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2F860" w14:textId="77777777" w:rsidR="00F241D2" w:rsidRDefault="005B3DD5" w:rsidP="00472EA9">
      <w:pPr>
        <w:jc w:val="center"/>
      </w:pPr>
      <w:bookmarkStart w:id="0" w:name="_GoBack"/>
      <w:bookmarkEnd w:id="0"/>
      <w:r>
        <w:rPr>
          <w:noProof/>
          <w:lang w:eastAsia="en-AU"/>
        </w:rPr>
        <w:drawing>
          <wp:inline distT="0" distB="0" distL="0" distR="0" wp14:anchorId="5C2B2D0D" wp14:editId="7F6C3CDC">
            <wp:extent cx="3181350" cy="17496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CEC_Master_Logo_RGB.png"/>
                    <pic:cNvPicPr/>
                  </pic:nvPicPr>
                  <pic:blipFill>
                    <a:blip r:embed="rId15">
                      <a:extLst>
                        <a:ext uri="{28A0092B-C50C-407E-A947-70E740481C1C}">
                          <a14:useLocalDpi xmlns:a14="http://schemas.microsoft.com/office/drawing/2010/main" val="0"/>
                        </a:ext>
                      </a:extLst>
                    </a:blip>
                    <a:stretch>
                      <a:fillRect/>
                    </a:stretch>
                  </pic:blipFill>
                  <pic:spPr>
                    <a:xfrm>
                      <a:off x="0" y="0"/>
                      <a:ext cx="3215025" cy="1768158"/>
                    </a:xfrm>
                    <a:prstGeom prst="rect">
                      <a:avLst/>
                    </a:prstGeom>
                  </pic:spPr>
                </pic:pic>
              </a:graphicData>
            </a:graphic>
          </wp:inline>
        </w:drawing>
      </w:r>
    </w:p>
    <w:p w14:paraId="11CF4056" w14:textId="77777777" w:rsidR="00F241D2" w:rsidRDefault="00F241D2" w:rsidP="00F241D2"/>
    <w:p w14:paraId="56E3E554" w14:textId="77777777" w:rsidR="00126A7B" w:rsidRDefault="00126A7B" w:rsidP="00F241D2"/>
    <w:p w14:paraId="7FE1A94B" w14:textId="77777777" w:rsidR="00126A7B" w:rsidRDefault="00126A7B" w:rsidP="00F241D2"/>
    <w:p w14:paraId="0F28A406" w14:textId="77777777" w:rsidR="00126A7B" w:rsidRDefault="00126A7B" w:rsidP="00F241D2"/>
    <w:p w14:paraId="252944BC" w14:textId="77777777" w:rsidR="00126A7B" w:rsidRDefault="00126A7B" w:rsidP="00F241D2"/>
    <w:p w14:paraId="3B3EAFDF" w14:textId="77777777" w:rsidR="00126A7B" w:rsidRPr="00F241D2" w:rsidRDefault="00126A7B" w:rsidP="00F241D2">
      <w:r>
        <w:rPr>
          <w:noProof/>
          <w:lang w:eastAsia="en-AU"/>
        </w:rPr>
        <mc:AlternateContent>
          <mc:Choice Requires="wps">
            <w:drawing>
              <wp:anchor distT="0" distB="0" distL="114300" distR="114300" simplePos="0" relativeHeight="251659264" behindDoc="0" locked="0" layoutInCell="1" allowOverlap="1" wp14:anchorId="7667CEC3" wp14:editId="0773FF03">
                <wp:simplePos x="0" y="0"/>
                <wp:positionH relativeFrom="margin">
                  <wp:align>right</wp:align>
                </wp:positionH>
                <wp:positionV relativeFrom="paragraph">
                  <wp:posOffset>19050</wp:posOffset>
                </wp:positionV>
                <wp:extent cx="5710555" cy="1555750"/>
                <wp:effectExtent l="95250" t="38100" r="42545" b="101600"/>
                <wp:wrapNone/>
                <wp:docPr id="1" name="Rounded Rectangle 1"/>
                <wp:cNvGraphicFramePr/>
                <a:graphic xmlns:a="http://schemas.openxmlformats.org/drawingml/2006/main">
                  <a:graphicData uri="http://schemas.microsoft.com/office/word/2010/wordprocessingShape">
                    <wps:wsp>
                      <wps:cNvSpPr/>
                      <wps:spPr>
                        <a:xfrm>
                          <a:off x="0" y="0"/>
                          <a:ext cx="5710555" cy="1555750"/>
                        </a:xfrm>
                        <a:prstGeom prst="roundRect">
                          <a:avLst/>
                        </a:prstGeom>
                        <a:solidFill>
                          <a:srgbClr val="002D73"/>
                        </a:solidFill>
                        <a:ln>
                          <a:noFill/>
                        </a:ln>
                        <a:effectLst>
                          <a:outerShdw blurRad="50800" dist="38100" dir="8100000" algn="tr"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04B9F88E" w14:textId="77777777" w:rsidR="00AB345E" w:rsidRDefault="00FD43BE" w:rsidP="00F241D2">
                            <w:pPr>
                              <w:jc w:val="center"/>
                              <w:rPr>
                                <w:b/>
                                <w:color w:val="FFFFFF" w:themeColor="background1"/>
                                <w:sz w:val="44"/>
                                <w:szCs w:val="44"/>
                              </w:rPr>
                            </w:pPr>
                            <w:r>
                              <w:rPr>
                                <w:b/>
                                <w:color w:val="FFFFFF" w:themeColor="background1"/>
                                <w:sz w:val="44"/>
                                <w:szCs w:val="44"/>
                              </w:rPr>
                              <w:t>National Education Evidence Base</w:t>
                            </w:r>
                          </w:p>
                          <w:p w14:paraId="6D810A5E" w14:textId="4AFA7AF0" w:rsidR="00051875" w:rsidRPr="00051875" w:rsidRDefault="003C6ADC" w:rsidP="00F241D2">
                            <w:pPr>
                              <w:jc w:val="center"/>
                              <w:rPr>
                                <w:b/>
                                <w:color w:val="FFFFFF" w:themeColor="background1"/>
                                <w:sz w:val="28"/>
                                <w:szCs w:val="28"/>
                              </w:rPr>
                            </w:pPr>
                            <w:r>
                              <w:rPr>
                                <w:b/>
                                <w:color w:val="FFFFFF" w:themeColor="background1"/>
                                <w:sz w:val="28"/>
                                <w:szCs w:val="28"/>
                              </w:rPr>
                              <w:t>25 May 2016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667CEC3" id="Rounded Rectangle 1" o:spid="_x0000_s1026" style="position:absolute;margin-left:398.45pt;margin-top:1.5pt;width:449.65pt;height:1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" fillcolor="#002d73" stroked="f" strokeweight="1pt">
                <v:shadow on="t" color="black" opacity="26214f" origin=".5,-.5" offset="-.74836mm,.74836mm"/>
                <v:textbox>
                  <w:txbxContent>
                    <w:p w14:paraId="04B9F88E" w14:textId="77777777" w:rsidR="00AB345E" w:rsidRDefault="00FD43BE" w:rsidP="00F241D2">
                      <w:pPr>
                        <w:jc w:val="center"/>
                        <w:rPr>
                          <w:b/>
                          <w:color w:val="FFFFFF" w:themeColor="background1"/>
                          <w:sz w:val="44"/>
                          <w:szCs w:val="44"/>
                        </w:rPr>
                      </w:pPr>
                      <w:r>
                        <w:rPr>
                          <w:b/>
                          <w:color w:val="FFFFFF" w:themeColor="background1"/>
                          <w:sz w:val="44"/>
                          <w:szCs w:val="44"/>
                        </w:rPr>
                        <w:t>National Education Evidence Base</w:t>
                      </w:r>
                    </w:p>
                    <w:p w14:paraId="6D810A5E" w14:textId="4AFA7AF0" w:rsidR="00051875" w:rsidRPr="00051875" w:rsidRDefault="003C6ADC" w:rsidP="00F241D2">
                      <w:pPr>
                        <w:jc w:val="center"/>
                        <w:rPr>
                          <w:b/>
                          <w:color w:val="FFFFFF" w:themeColor="background1"/>
                          <w:sz w:val="28"/>
                          <w:szCs w:val="28"/>
                        </w:rPr>
                      </w:pPr>
                      <w:r>
                        <w:rPr>
                          <w:b/>
                          <w:color w:val="FFFFFF" w:themeColor="background1"/>
                          <w:sz w:val="28"/>
                          <w:szCs w:val="28"/>
                        </w:rPr>
                        <w:t>25 May 2016</w:t>
                      </w:r>
                    </w:p>
                  </w:txbxContent>
                </v:textbox>
                <w10:wrap anchorx="margin"/>
              </v:roundrect>
            </w:pict>
          </mc:Fallback>
        </mc:AlternateContent>
      </w:r>
    </w:p>
    <w:p w14:paraId="6EEDD41A" w14:textId="77777777" w:rsidR="00F241D2" w:rsidRPr="00F241D2" w:rsidRDefault="00F241D2" w:rsidP="00F241D2"/>
    <w:p w14:paraId="34EEDE56" w14:textId="77777777" w:rsidR="00F241D2" w:rsidRDefault="00F241D2" w:rsidP="00F241D2"/>
    <w:p w14:paraId="4AD44A81" w14:textId="77777777" w:rsidR="00F241D2" w:rsidRDefault="00F241D2" w:rsidP="00F241D2">
      <w:pPr>
        <w:tabs>
          <w:tab w:val="left" w:pos="6915"/>
        </w:tabs>
      </w:pPr>
    </w:p>
    <w:p w14:paraId="4D3B18B8" w14:textId="77777777" w:rsidR="00F241D2" w:rsidRDefault="00F241D2" w:rsidP="00F241D2">
      <w:pPr>
        <w:tabs>
          <w:tab w:val="left" w:pos="6915"/>
        </w:tabs>
        <w:rPr>
          <w:b/>
          <w:u w:val="single"/>
        </w:rPr>
      </w:pPr>
    </w:p>
    <w:p w14:paraId="6F302D39" w14:textId="77777777" w:rsidR="00910C5E" w:rsidRDefault="00910C5E" w:rsidP="00F241D2">
      <w:pPr>
        <w:tabs>
          <w:tab w:val="left" w:pos="6915"/>
        </w:tabs>
        <w:rPr>
          <w:b/>
          <w:u w:val="single"/>
        </w:rPr>
      </w:pPr>
    </w:p>
    <w:p w14:paraId="2643D081" w14:textId="77777777" w:rsidR="00472EA9" w:rsidRDefault="00472EA9" w:rsidP="00F241D2">
      <w:pPr>
        <w:tabs>
          <w:tab w:val="left" w:pos="6915"/>
        </w:tabs>
        <w:rPr>
          <w:b/>
          <w:u w:val="single"/>
        </w:rPr>
      </w:pPr>
    </w:p>
    <w:p w14:paraId="12A2B4D1" w14:textId="77777777" w:rsidR="00910C5E" w:rsidRDefault="00910C5E" w:rsidP="00F241D2">
      <w:pPr>
        <w:tabs>
          <w:tab w:val="left" w:pos="6915"/>
        </w:tabs>
        <w:rPr>
          <w:b/>
          <w:u w:val="single"/>
        </w:rPr>
      </w:pPr>
    </w:p>
    <w:p w14:paraId="06FF6223" w14:textId="77777777" w:rsidR="00910C5E" w:rsidRDefault="00910C5E" w:rsidP="00F241D2">
      <w:pPr>
        <w:tabs>
          <w:tab w:val="left" w:pos="6915"/>
        </w:tabs>
        <w:rPr>
          <w:b/>
          <w:u w:val="single"/>
        </w:rPr>
      </w:pPr>
    </w:p>
    <w:p w14:paraId="0E6492A3" w14:textId="77777777" w:rsidR="00126A7B" w:rsidRDefault="00126A7B" w:rsidP="00F241D2">
      <w:pPr>
        <w:tabs>
          <w:tab w:val="left" w:pos="6915"/>
        </w:tabs>
        <w:rPr>
          <w:b/>
          <w:u w:val="single"/>
        </w:rPr>
      </w:pPr>
    </w:p>
    <w:p w14:paraId="435A3A5A" w14:textId="77777777" w:rsidR="00126A7B" w:rsidRDefault="00126A7B" w:rsidP="00F241D2">
      <w:pPr>
        <w:tabs>
          <w:tab w:val="left" w:pos="6915"/>
        </w:tabs>
        <w:rPr>
          <w:b/>
          <w:u w:val="single"/>
        </w:rPr>
      </w:pPr>
    </w:p>
    <w:p w14:paraId="777D5EF1" w14:textId="77777777" w:rsidR="00126A7B" w:rsidRDefault="00126A7B" w:rsidP="00F241D2">
      <w:pPr>
        <w:tabs>
          <w:tab w:val="left" w:pos="6915"/>
        </w:tabs>
        <w:rPr>
          <w:b/>
          <w:u w:val="single"/>
        </w:rPr>
      </w:pPr>
    </w:p>
    <w:p w14:paraId="1FB031FF" w14:textId="77777777" w:rsidR="00910C5E" w:rsidRDefault="00C154BF" w:rsidP="00F241D2">
      <w:pPr>
        <w:tabs>
          <w:tab w:val="left" w:pos="6915"/>
        </w:tabs>
        <w:rPr>
          <w:b/>
          <w:u w:val="single"/>
        </w:rPr>
      </w:pPr>
      <w:r>
        <w:pict w14:anchorId="080AC66C">
          <v:rect id="_x0000_i1025" style="width:451.3pt;height:2pt" o:hralign="center" o:hrstd="t" o:hrnoshade="t" o:hr="t" fillcolor="#002d73" stroked="f"/>
        </w:pict>
      </w:r>
    </w:p>
    <w:p w14:paraId="457AD396" w14:textId="77777777" w:rsidR="00F241D2" w:rsidRPr="00F241D2" w:rsidRDefault="00F241D2" w:rsidP="00F241D2">
      <w:pPr>
        <w:tabs>
          <w:tab w:val="left" w:pos="6915"/>
        </w:tabs>
        <w:rPr>
          <w:b/>
          <w:u w:val="single"/>
        </w:rPr>
      </w:pPr>
      <w:r w:rsidRPr="00F241D2">
        <w:rPr>
          <w:b/>
          <w:u w:val="single"/>
        </w:rPr>
        <w:t>About the National Catholic Education Commission</w:t>
      </w:r>
    </w:p>
    <w:p w14:paraId="1413F411" w14:textId="77777777" w:rsidR="00471CF4" w:rsidRDefault="00F241D2" w:rsidP="00F241D2">
      <w:pPr>
        <w:tabs>
          <w:tab w:val="left" w:pos="6915"/>
        </w:tabs>
        <w:rPr>
          <w:color w:val="333333"/>
          <w:shd w:val="clear" w:color="auto" w:fill="FFFFFF"/>
        </w:rPr>
      </w:pPr>
      <w:r w:rsidRPr="00F241D2">
        <w:rPr>
          <w:color w:val="333333"/>
          <w:shd w:val="clear" w:color="auto" w:fill="FFFFFF"/>
        </w:rPr>
        <w:t xml:space="preserve">The National Catholic Education Commission (NCEC) is established by the Australian Catholic Bishops Conference through the Bishops Commission for Catholic Education to maintain effective liaison with the Commonwealth Government and other key national education bodies. </w:t>
      </w:r>
      <w:r w:rsidR="00165C34">
        <w:rPr>
          <w:color w:val="333333"/>
          <w:shd w:val="clear" w:color="auto" w:fill="FFFFFF"/>
        </w:rPr>
        <w:t xml:space="preserve">The </w:t>
      </w:r>
      <w:r w:rsidRPr="00F241D2">
        <w:rPr>
          <w:color w:val="333333"/>
          <w:shd w:val="clear" w:color="auto" w:fill="FFFFFF"/>
        </w:rPr>
        <w:t>NCEC complements and supports at the national level the work of the State and Territory Catholic Education Commissions.</w:t>
      </w:r>
    </w:p>
    <w:p w14:paraId="5C86EA18" w14:textId="77777777" w:rsidR="009622EB" w:rsidRDefault="00305D94" w:rsidP="009622EB">
      <w:pPr>
        <w:tabs>
          <w:tab w:val="left" w:pos="6915"/>
        </w:tabs>
        <w:ind w:left="6915" w:hanging="6915"/>
        <w:rPr>
          <w:b/>
          <w:i/>
        </w:rPr>
        <w:sectPr w:rsidR="009622EB" w:rsidSect="00483249">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08"/>
          <w:docGrid w:linePitch="360"/>
        </w:sectPr>
      </w:pPr>
      <w:r w:rsidRPr="00910C5E">
        <w:rPr>
          <w:b/>
          <w:i/>
        </w:rPr>
        <w:t xml:space="preserve">Learn more at: </w:t>
      </w:r>
      <w:hyperlink r:id="rId22" w:history="1">
        <w:r w:rsidR="00CE251F" w:rsidRPr="008F745E">
          <w:rPr>
            <w:rStyle w:val="Hyperlink"/>
            <w:b/>
            <w:i/>
            <w:color w:val="002D73"/>
          </w:rPr>
          <w:t>www.ncec.catholic.edu.au</w:t>
        </w:r>
      </w:hyperlink>
      <w:r w:rsidR="009622EB" w:rsidRPr="008F745E">
        <w:rPr>
          <w:b/>
          <w:i/>
          <w:color w:val="002D73"/>
        </w:rPr>
        <w:t xml:space="preserve"> </w:t>
      </w:r>
    </w:p>
    <w:p w14:paraId="3ECF8438" w14:textId="77777777" w:rsidR="00D23EE0" w:rsidRPr="00D23EE0" w:rsidRDefault="00D23EE0" w:rsidP="00D275DE">
      <w:pPr>
        <w:spacing w:before="0" w:after="0" w:line="240" w:lineRule="auto"/>
        <w:rPr>
          <w:rFonts w:ascii="Calibri" w:eastAsia="Calibri" w:hAnsi="Calibri" w:cs="Times New Roman"/>
          <w:b/>
          <w:sz w:val="22"/>
          <w:szCs w:val="22"/>
        </w:rPr>
      </w:pPr>
      <w:r w:rsidRPr="00D23EE0">
        <w:rPr>
          <w:rFonts w:ascii="Calibri" w:eastAsia="Calibri" w:hAnsi="Calibri" w:cs="Times New Roman"/>
          <w:b/>
          <w:sz w:val="22"/>
          <w:szCs w:val="22"/>
        </w:rPr>
        <w:lastRenderedPageBreak/>
        <w:t>Introduction</w:t>
      </w:r>
    </w:p>
    <w:p w14:paraId="43476EF3" w14:textId="77777777" w:rsidR="00D07B00" w:rsidRDefault="00BD65ED" w:rsidP="00D275DE">
      <w:pPr>
        <w:spacing w:before="0" w:after="0" w:line="240" w:lineRule="auto"/>
        <w:rPr>
          <w:rFonts w:ascii="Calibri" w:hAnsi="Calibri"/>
          <w:sz w:val="22"/>
          <w:szCs w:val="22"/>
        </w:rPr>
      </w:pPr>
      <w:r w:rsidRPr="00BD65ED">
        <w:rPr>
          <w:rFonts w:ascii="Calibri" w:eastAsia="Calibri" w:hAnsi="Calibri" w:cs="Times New Roman"/>
          <w:sz w:val="22"/>
          <w:szCs w:val="22"/>
        </w:rPr>
        <w:t xml:space="preserve">The National Catholic Education Commission (NCEC) welcomes the opportunity to make a </w:t>
      </w:r>
      <w:r w:rsidRPr="00D07B00">
        <w:rPr>
          <w:rFonts w:ascii="Calibri" w:hAnsi="Calibri"/>
          <w:sz w:val="22"/>
          <w:szCs w:val="22"/>
        </w:rPr>
        <w:t>submission in the context of the Productivity Commission’s inquiry into the National Education Evidence Base</w:t>
      </w:r>
      <w:r w:rsidR="00D07B00" w:rsidRPr="00D07B00">
        <w:rPr>
          <w:rFonts w:ascii="Calibri" w:hAnsi="Calibri"/>
          <w:sz w:val="22"/>
          <w:szCs w:val="22"/>
        </w:rPr>
        <w:t xml:space="preserve">. </w:t>
      </w:r>
    </w:p>
    <w:p w14:paraId="3E1A595E" w14:textId="455868C2" w:rsidR="009631BC" w:rsidRPr="00556C8C" w:rsidRDefault="001F65F2" w:rsidP="001F65F2">
      <w:pPr>
        <w:spacing w:line="240" w:lineRule="auto"/>
        <w:rPr>
          <w:rFonts w:ascii="Calibri" w:eastAsia="Calibri" w:hAnsi="Calibri" w:cs="Times New Roman"/>
          <w:sz w:val="22"/>
          <w:szCs w:val="22"/>
        </w:rPr>
      </w:pPr>
      <w:r w:rsidRPr="00556C8C">
        <w:rPr>
          <w:rFonts w:ascii="Calibri" w:hAnsi="Calibri"/>
          <w:sz w:val="22"/>
          <w:szCs w:val="22"/>
        </w:rPr>
        <w:t xml:space="preserve">In an environment requiring greater accountability from schools </w:t>
      </w:r>
      <w:r w:rsidR="00D07B00" w:rsidRPr="00556C8C">
        <w:rPr>
          <w:rFonts w:ascii="Calibri" w:hAnsi="Calibri"/>
          <w:sz w:val="22"/>
          <w:szCs w:val="22"/>
        </w:rPr>
        <w:t xml:space="preserve">in relation to student achievement </w:t>
      </w:r>
      <w:r w:rsidRPr="00556C8C">
        <w:rPr>
          <w:rFonts w:ascii="Calibri" w:hAnsi="Calibri"/>
          <w:sz w:val="22"/>
          <w:szCs w:val="22"/>
        </w:rPr>
        <w:t>and finite resources, it</w:t>
      </w:r>
      <w:r w:rsidR="009631BC" w:rsidRPr="00556C8C">
        <w:rPr>
          <w:rFonts w:ascii="Calibri" w:hAnsi="Calibri"/>
          <w:sz w:val="22"/>
          <w:szCs w:val="22"/>
        </w:rPr>
        <w:t xml:space="preserve"> is critical that education</w:t>
      </w:r>
      <w:r w:rsidR="009631BC" w:rsidRPr="00556C8C">
        <w:rPr>
          <w:rFonts w:ascii="Calibri" w:hAnsi="Calibri"/>
          <w:sz w:val="22"/>
          <w:szCs w:val="22"/>
          <w:lang w:val="en-US"/>
        </w:rPr>
        <w:t xml:space="preserve"> policy decisions are made based on the best evidence possible.</w:t>
      </w:r>
      <w:r w:rsidRPr="00556C8C">
        <w:rPr>
          <w:rFonts w:ascii="Calibri" w:hAnsi="Calibri"/>
          <w:sz w:val="22"/>
          <w:szCs w:val="22"/>
        </w:rPr>
        <w:t xml:space="preserve"> This can operate on two levels: accessing existing research and evidence</w:t>
      </w:r>
      <w:r w:rsidR="00DF6C78">
        <w:rPr>
          <w:rFonts w:ascii="Calibri" w:hAnsi="Calibri"/>
          <w:sz w:val="22"/>
          <w:szCs w:val="22"/>
        </w:rPr>
        <w:t>,</w:t>
      </w:r>
      <w:r w:rsidRPr="00556C8C">
        <w:rPr>
          <w:rFonts w:ascii="Calibri" w:hAnsi="Calibri"/>
          <w:sz w:val="22"/>
          <w:szCs w:val="22"/>
        </w:rPr>
        <w:t xml:space="preserve"> and </w:t>
      </w:r>
      <w:r w:rsidR="00CA5056" w:rsidRPr="00556C8C">
        <w:rPr>
          <w:rFonts w:ascii="Calibri" w:hAnsi="Calibri"/>
          <w:sz w:val="22"/>
          <w:szCs w:val="22"/>
        </w:rPr>
        <w:t>generating</w:t>
      </w:r>
      <w:r w:rsidRPr="00556C8C">
        <w:rPr>
          <w:rFonts w:ascii="Calibri" w:hAnsi="Calibri"/>
          <w:sz w:val="22"/>
          <w:szCs w:val="22"/>
        </w:rPr>
        <w:t xml:space="preserve"> new research and evidence. Evidence in either case needs to be </w:t>
      </w:r>
      <w:r w:rsidR="00F71DDA">
        <w:rPr>
          <w:rFonts w:ascii="Calibri" w:hAnsi="Calibri"/>
          <w:sz w:val="22"/>
          <w:szCs w:val="22"/>
        </w:rPr>
        <w:t>robust</w:t>
      </w:r>
      <w:r w:rsidR="00DF6C78">
        <w:rPr>
          <w:rFonts w:ascii="Calibri" w:hAnsi="Calibri"/>
          <w:sz w:val="22"/>
          <w:szCs w:val="22"/>
        </w:rPr>
        <w:t>, high-</w:t>
      </w:r>
      <w:r w:rsidRPr="00556C8C">
        <w:rPr>
          <w:rFonts w:ascii="Calibri" w:hAnsi="Calibri"/>
          <w:sz w:val="22"/>
          <w:szCs w:val="22"/>
        </w:rPr>
        <w:t>quality and have practical relevance.</w:t>
      </w:r>
    </w:p>
    <w:p w14:paraId="3A102898" w14:textId="6D3486C2" w:rsidR="00BD65ED" w:rsidRPr="00556C8C" w:rsidRDefault="00F71DDA" w:rsidP="00FD43BE">
      <w:pPr>
        <w:spacing w:before="0" w:after="0" w:line="240" w:lineRule="auto"/>
        <w:rPr>
          <w:rFonts w:ascii="Calibri" w:eastAsia="Calibri" w:hAnsi="Calibri" w:cs="Times New Roman"/>
          <w:sz w:val="22"/>
          <w:szCs w:val="22"/>
        </w:rPr>
      </w:pPr>
      <w:r>
        <w:rPr>
          <w:rFonts w:ascii="Calibri" w:eastAsia="Calibri" w:hAnsi="Calibri" w:cs="Al Bayan Plain"/>
          <w:sz w:val="22"/>
          <w:szCs w:val="22"/>
        </w:rPr>
        <w:t>Data are</w:t>
      </w:r>
      <w:r w:rsidR="00CA5056" w:rsidRPr="00556C8C">
        <w:rPr>
          <w:rFonts w:ascii="Calibri" w:eastAsia="Calibri" w:hAnsi="Calibri" w:cs="Al Bayan Plain"/>
          <w:sz w:val="22"/>
          <w:szCs w:val="22"/>
        </w:rPr>
        <w:t xml:space="preserve"> </w:t>
      </w:r>
      <w:r w:rsidR="00D07B00" w:rsidRPr="00556C8C">
        <w:rPr>
          <w:rFonts w:ascii="Calibri" w:eastAsia="Calibri" w:hAnsi="Calibri" w:cs="Al Bayan Plain"/>
          <w:sz w:val="22"/>
          <w:szCs w:val="22"/>
        </w:rPr>
        <w:t xml:space="preserve">an essential component of a robust </w:t>
      </w:r>
      <w:r w:rsidR="00CA5056" w:rsidRPr="00556C8C">
        <w:rPr>
          <w:rFonts w:ascii="Calibri" w:eastAsia="Calibri" w:hAnsi="Calibri" w:cs="Al Bayan Plain"/>
          <w:sz w:val="22"/>
          <w:szCs w:val="22"/>
        </w:rPr>
        <w:t>evidence base</w:t>
      </w:r>
      <w:r w:rsidR="00D07B00" w:rsidRPr="00556C8C">
        <w:rPr>
          <w:rFonts w:ascii="Calibri" w:eastAsia="Calibri" w:hAnsi="Calibri" w:cs="Al Bayan Plain"/>
          <w:sz w:val="22"/>
          <w:szCs w:val="22"/>
        </w:rPr>
        <w:t xml:space="preserve">, but a </w:t>
      </w:r>
      <w:r w:rsidR="00CA5056" w:rsidRPr="00556C8C">
        <w:rPr>
          <w:rFonts w:ascii="Calibri" w:eastAsia="Calibri" w:hAnsi="Calibri" w:cs="Al Bayan Plain"/>
          <w:sz w:val="22"/>
          <w:szCs w:val="22"/>
        </w:rPr>
        <w:t xml:space="preserve">distinction </w:t>
      </w:r>
      <w:r w:rsidR="00D07B00" w:rsidRPr="00556C8C">
        <w:rPr>
          <w:rFonts w:ascii="Calibri" w:eastAsia="Calibri" w:hAnsi="Calibri" w:cs="Al Bayan Plain"/>
          <w:sz w:val="22"/>
          <w:szCs w:val="22"/>
        </w:rPr>
        <w:t xml:space="preserve">should be made </w:t>
      </w:r>
      <w:r w:rsidR="00CA5056" w:rsidRPr="00556C8C">
        <w:rPr>
          <w:rFonts w:ascii="Calibri" w:eastAsia="Calibri" w:hAnsi="Calibri" w:cs="Al Bayan Plain"/>
          <w:sz w:val="22"/>
          <w:szCs w:val="22"/>
        </w:rPr>
        <w:t>betw</w:t>
      </w:r>
      <w:r w:rsidR="00D07B00" w:rsidRPr="00556C8C">
        <w:rPr>
          <w:rFonts w:ascii="Calibri" w:eastAsia="Calibri" w:hAnsi="Calibri" w:cs="Al Bayan Plain"/>
          <w:sz w:val="22"/>
          <w:szCs w:val="22"/>
        </w:rPr>
        <w:t>een data that are collected for reporting and public accountability</w:t>
      </w:r>
      <w:r>
        <w:rPr>
          <w:rFonts w:ascii="Calibri" w:eastAsia="Calibri" w:hAnsi="Calibri" w:cs="Al Bayan Plain"/>
          <w:sz w:val="22"/>
          <w:szCs w:val="22"/>
        </w:rPr>
        <w:t>,</w:t>
      </w:r>
      <w:r w:rsidR="00D07B00" w:rsidRPr="00556C8C">
        <w:rPr>
          <w:rFonts w:ascii="Calibri" w:eastAsia="Calibri" w:hAnsi="Calibri" w:cs="Al Bayan Plain"/>
          <w:sz w:val="22"/>
          <w:szCs w:val="22"/>
        </w:rPr>
        <w:t xml:space="preserve"> and data that are collected</w:t>
      </w:r>
      <w:r>
        <w:rPr>
          <w:rFonts w:ascii="Calibri" w:eastAsia="Calibri" w:hAnsi="Calibri" w:cs="Al Bayan Plain"/>
          <w:sz w:val="22"/>
          <w:szCs w:val="22"/>
        </w:rPr>
        <w:t xml:space="preserve"> for</w:t>
      </w:r>
      <w:r w:rsidR="00D07B00" w:rsidRPr="00556C8C">
        <w:rPr>
          <w:rFonts w:ascii="Calibri" w:eastAsia="Calibri" w:hAnsi="Calibri" w:cs="Al Bayan Plain"/>
          <w:sz w:val="22"/>
          <w:szCs w:val="22"/>
        </w:rPr>
        <w:t xml:space="preserve"> </w:t>
      </w:r>
      <w:r w:rsidR="00CA5056" w:rsidRPr="00556C8C">
        <w:rPr>
          <w:rFonts w:ascii="Calibri" w:eastAsia="Calibri" w:hAnsi="Calibri" w:cs="Al Bayan Plain"/>
          <w:sz w:val="22"/>
          <w:szCs w:val="22"/>
        </w:rPr>
        <w:t xml:space="preserve">public </w:t>
      </w:r>
      <w:r w:rsidR="00D07B00" w:rsidRPr="00556C8C">
        <w:rPr>
          <w:rFonts w:ascii="Calibri" w:eastAsia="Calibri" w:hAnsi="Calibri" w:cs="Al Bayan Plain"/>
          <w:sz w:val="22"/>
          <w:szCs w:val="22"/>
        </w:rPr>
        <w:t>policy research and development</w:t>
      </w:r>
      <w:r w:rsidR="00CA5056" w:rsidRPr="00556C8C">
        <w:rPr>
          <w:rFonts w:ascii="Calibri" w:eastAsia="Calibri" w:hAnsi="Calibri" w:cs="Al Bayan Plain"/>
          <w:sz w:val="22"/>
          <w:szCs w:val="22"/>
        </w:rPr>
        <w:t>.</w:t>
      </w:r>
      <w:r w:rsidR="00CA5056" w:rsidRPr="00556C8C">
        <w:rPr>
          <w:rFonts w:ascii="Calibri" w:eastAsia="Calibri" w:hAnsi="Calibri" w:cs="Times New Roman"/>
          <w:sz w:val="22"/>
          <w:szCs w:val="22"/>
        </w:rPr>
        <w:t xml:space="preserve"> The Productivity Commission has indicated that its terms of reference require the inquiry to focus on data for an education evidence base that will shape policy development and improve educational outcomes. </w:t>
      </w:r>
      <w:r w:rsidR="00D07B00" w:rsidRPr="00556C8C">
        <w:rPr>
          <w:rFonts w:ascii="Calibri" w:eastAsia="Calibri" w:hAnsi="Calibri" w:cs="Times New Roman"/>
          <w:sz w:val="22"/>
          <w:szCs w:val="22"/>
        </w:rPr>
        <w:t>The NCEC welcomes this focus.</w:t>
      </w:r>
    </w:p>
    <w:p w14:paraId="18F2174D" w14:textId="77777777" w:rsidR="006D5701" w:rsidRDefault="006D5701" w:rsidP="00FD43BE">
      <w:pPr>
        <w:spacing w:before="0" w:after="0" w:line="240" w:lineRule="auto"/>
        <w:rPr>
          <w:rFonts w:ascii="Calibri" w:eastAsia="Calibri" w:hAnsi="Calibri" w:cs="Times New Roman"/>
          <w:sz w:val="22"/>
          <w:szCs w:val="22"/>
        </w:rPr>
      </w:pPr>
    </w:p>
    <w:p w14:paraId="1A74B4C6" w14:textId="340ACA34" w:rsidR="006D5701" w:rsidRPr="00BD65ED" w:rsidRDefault="006D5701" w:rsidP="006D5701">
      <w:pPr>
        <w:spacing w:before="0" w:after="0" w:line="240" w:lineRule="auto"/>
        <w:rPr>
          <w:rFonts w:ascii="Calibri" w:eastAsia="Calibri" w:hAnsi="Calibri" w:cs="Times New Roman"/>
          <w:sz w:val="22"/>
          <w:szCs w:val="22"/>
        </w:rPr>
      </w:pPr>
      <w:r>
        <w:rPr>
          <w:rFonts w:ascii="Calibri" w:eastAsia="Calibri" w:hAnsi="Calibri" w:cs="Times New Roman"/>
          <w:sz w:val="22"/>
          <w:szCs w:val="22"/>
        </w:rPr>
        <w:t xml:space="preserve">The NCEC submission </w:t>
      </w:r>
      <w:r w:rsidR="00D07B00">
        <w:rPr>
          <w:rFonts w:ascii="Calibri" w:eastAsia="Calibri" w:hAnsi="Calibri" w:cs="Times New Roman"/>
          <w:sz w:val="22"/>
          <w:szCs w:val="22"/>
        </w:rPr>
        <w:t xml:space="preserve">itself </w:t>
      </w:r>
      <w:r>
        <w:rPr>
          <w:rFonts w:ascii="Calibri" w:eastAsia="Calibri" w:hAnsi="Calibri" w:cs="Times New Roman"/>
          <w:sz w:val="22"/>
          <w:szCs w:val="22"/>
        </w:rPr>
        <w:t xml:space="preserve">focuses on the themes that the Commonwealth Treasurer has set out as the Productivity Commission’s terms of reference for this inquiry. Wherever possible, the NCEC submission has also sought to address the questions that the Productivity Commission has set out in the Issues Paper on the National Education Evidence Base. </w:t>
      </w:r>
      <w:r w:rsidR="00F71DDA">
        <w:rPr>
          <w:rFonts w:ascii="Calibri" w:eastAsia="Calibri" w:hAnsi="Calibri" w:cs="Times New Roman"/>
          <w:sz w:val="22"/>
          <w:szCs w:val="22"/>
        </w:rPr>
        <w:t xml:space="preserve">It begins with some brief </w:t>
      </w:r>
      <w:r w:rsidR="0070236F">
        <w:rPr>
          <w:rFonts w:ascii="Calibri" w:eastAsia="Calibri" w:hAnsi="Calibri" w:cs="Times New Roman"/>
          <w:sz w:val="22"/>
          <w:szCs w:val="22"/>
        </w:rPr>
        <w:t>background o</w:t>
      </w:r>
      <w:r w:rsidR="009A02ED">
        <w:rPr>
          <w:rFonts w:ascii="Calibri" w:eastAsia="Calibri" w:hAnsi="Calibri" w:cs="Times New Roman"/>
          <w:sz w:val="22"/>
          <w:szCs w:val="22"/>
        </w:rPr>
        <w:t>n Catholic schools in Australia and</w:t>
      </w:r>
      <w:r w:rsidR="003A4A44">
        <w:rPr>
          <w:rFonts w:ascii="Calibri" w:eastAsia="Calibri" w:hAnsi="Calibri" w:cs="Times New Roman"/>
          <w:sz w:val="22"/>
          <w:szCs w:val="22"/>
        </w:rPr>
        <w:t xml:space="preserve"> ends with high-level conclusions that summarise the main points of the NCEC submission.</w:t>
      </w:r>
    </w:p>
    <w:p w14:paraId="0A47D491" w14:textId="77777777" w:rsidR="006D5701" w:rsidRDefault="006D5701" w:rsidP="00FD43BE">
      <w:pPr>
        <w:spacing w:before="0" w:after="0" w:line="240" w:lineRule="auto"/>
        <w:rPr>
          <w:rFonts w:ascii="Calibri" w:eastAsia="Calibri" w:hAnsi="Calibri" w:cs="Times New Roman"/>
          <w:sz w:val="22"/>
          <w:szCs w:val="22"/>
        </w:rPr>
      </w:pPr>
    </w:p>
    <w:p w14:paraId="00B280D7" w14:textId="3F01109D" w:rsidR="006D5701" w:rsidRPr="006D5701" w:rsidRDefault="006D5701" w:rsidP="00FD43BE">
      <w:pPr>
        <w:spacing w:before="0" w:after="0" w:line="240" w:lineRule="auto"/>
        <w:rPr>
          <w:rFonts w:ascii="Calibri" w:eastAsia="Calibri" w:hAnsi="Calibri" w:cs="Times New Roman"/>
          <w:b/>
          <w:sz w:val="22"/>
          <w:szCs w:val="22"/>
        </w:rPr>
      </w:pPr>
      <w:r w:rsidRPr="006D5701">
        <w:rPr>
          <w:rFonts w:ascii="Calibri" w:eastAsia="Calibri" w:hAnsi="Calibri" w:cs="Times New Roman"/>
          <w:b/>
          <w:sz w:val="22"/>
          <w:szCs w:val="22"/>
        </w:rPr>
        <w:t xml:space="preserve">Catholic </w:t>
      </w:r>
      <w:r w:rsidR="00E31E0F">
        <w:rPr>
          <w:rFonts w:ascii="Calibri" w:eastAsia="Calibri" w:hAnsi="Calibri" w:cs="Times New Roman"/>
          <w:b/>
          <w:sz w:val="22"/>
          <w:szCs w:val="22"/>
        </w:rPr>
        <w:t>Schools in</w:t>
      </w:r>
      <w:r w:rsidRPr="006D5701">
        <w:rPr>
          <w:rFonts w:ascii="Calibri" w:eastAsia="Calibri" w:hAnsi="Calibri" w:cs="Times New Roman"/>
          <w:b/>
          <w:sz w:val="22"/>
          <w:szCs w:val="22"/>
        </w:rPr>
        <w:t xml:space="preserve"> Australia</w:t>
      </w:r>
    </w:p>
    <w:p w14:paraId="0C8E3FE5" w14:textId="6BB7A8ED" w:rsidR="00260623" w:rsidRDefault="00824F5D" w:rsidP="006D5701">
      <w:pPr>
        <w:spacing w:before="0" w:after="0" w:line="240" w:lineRule="auto"/>
        <w:rPr>
          <w:rFonts w:ascii="Calibri" w:hAnsi="Calibri"/>
          <w:sz w:val="22"/>
          <w:szCs w:val="22"/>
        </w:rPr>
      </w:pPr>
      <w:r w:rsidRPr="00F71DDA">
        <w:rPr>
          <w:rFonts w:ascii="Calibri" w:hAnsi="Calibri"/>
          <w:sz w:val="22"/>
          <w:szCs w:val="22"/>
        </w:rPr>
        <w:t xml:space="preserve">The Catholic education system in Australia comprises </w:t>
      </w:r>
      <w:r w:rsidR="00E31E0F" w:rsidRPr="00F71DDA">
        <w:rPr>
          <w:rFonts w:ascii="Calibri" w:hAnsi="Calibri"/>
          <w:sz w:val="22"/>
          <w:szCs w:val="22"/>
        </w:rPr>
        <w:t xml:space="preserve">early learning centres, primary and secondary schools as well as tertiary </w:t>
      </w:r>
      <w:r w:rsidR="002C4530" w:rsidRPr="00F71DDA">
        <w:rPr>
          <w:rFonts w:ascii="Calibri" w:hAnsi="Calibri"/>
          <w:sz w:val="22"/>
          <w:szCs w:val="22"/>
        </w:rPr>
        <w:t>education</w:t>
      </w:r>
      <w:r w:rsidR="00DF6C78">
        <w:rPr>
          <w:rFonts w:ascii="Calibri" w:hAnsi="Calibri"/>
          <w:sz w:val="22"/>
          <w:szCs w:val="22"/>
        </w:rPr>
        <w:t>,</w:t>
      </w:r>
      <w:r w:rsidR="002C4530" w:rsidRPr="00F71DDA">
        <w:rPr>
          <w:rFonts w:ascii="Calibri" w:hAnsi="Calibri"/>
          <w:sz w:val="22"/>
          <w:szCs w:val="22"/>
        </w:rPr>
        <w:t xml:space="preserve"> including two</w:t>
      </w:r>
      <w:r w:rsidR="00E31E0F" w:rsidRPr="00F71DDA">
        <w:rPr>
          <w:rFonts w:ascii="Calibri" w:hAnsi="Calibri"/>
          <w:sz w:val="22"/>
          <w:szCs w:val="22"/>
        </w:rPr>
        <w:t xml:space="preserve"> universities. </w:t>
      </w:r>
      <w:r w:rsidR="006D5701" w:rsidRPr="00F71DDA">
        <w:rPr>
          <w:rFonts w:ascii="Calibri" w:hAnsi="Calibri"/>
          <w:sz w:val="22"/>
          <w:szCs w:val="22"/>
        </w:rPr>
        <w:t xml:space="preserve">Catholic schools educate more than 760,000 </w:t>
      </w:r>
      <w:r w:rsidR="00E31E0F" w:rsidRPr="00F71DDA">
        <w:rPr>
          <w:rFonts w:ascii="Calibri" w:hAnsi="Calibri"/>
          <w:sz w:val="22"/>
          <w:szCs w:val="22"/>
        </w:rPr>
        <w:t xml:space="preserve">(or one in five) </w:t>
      </w:r>
      <w:r w:rsidR="006D5701" w:rsidRPr="00F71DDA">
        <w:rPr>
          <w:rFonts w:ascii="Calibri" w:hAnsi="Calibri"/>
          <w:sz w:val="22"/>
          <w:szCs w:val="22"/>
        </w:rPr>
        <w:t>stu</w:t>
      </w:r>
      <w:r w:rsidR="006D5701">
        <w:rPr>
          <w:rFonts w:ascii="Calibri" w:hAnsi="Calibri"/>
          <w:sz w:val="22"/>
          <w:szCs w:val="22"/>
        </w:rPr>
        <w:t xml:space="preserve">dents in 1,731 systemic and non-systemic </w:t>
      </w:r>
      <w:r w:rsidR="006D5701" w:rsidRPr="006311C4">
        <w:rPr>
          <w:rFonts w:ascii="Calibri" w:hAnsi="Calibri"/>
          <w:sz w:val="22"/>
          <w:szCs w:val="22"/>
        </w:rPr>
        <w:t xml:space="preserve">schools across Australia. Catholic school communities are geographically, economically and socially diverse: they are located in all states and territories, in metropolitan through to very remote communities, and they educate students from all socioeconomic backgrounds. Catholic schools also include a diverse range of school types, including special schools, majority Aboriginal and Torres Strait Islander schools and sole-provider schools. </w:t>
      </w:r>
      <w:r w:rsidR="00285561">
        <w:rPr>
          <w:rFonts w:ascii="Calibri" w:hAnsi="Calibri"/>
          <w:sz w:val="22"/>
          <w:szCs w:val="22"/>
        </w:rPr>
        <w:t>Figure 1 shows the proliferation of Catholic schools across Australia, by size and type.</w:t>
      </w:r>
    </w:p>
    <w:p w14:paraId="08EEABBC" w14:textId="77777777" w:rsidR="00285561" w:rsidRDefault="00285561" w:rsidP="006D5701">
      <w:pPr>
        <w:spacing w:before="0" w:after="0" w:line="240" w:lineRule="auto"/>
        <w:rPr>
          <w:rFonts w:ascii="Calibri" w:hAnsi="Calibri"/>
          <w:sz w:val="22"/>
          <w:szCs w:val="22"/>
        </w:rPr>
      </w:pPr>
    </w:p>
    <w:p w14:paraId="4835DCA7" w14:textId="77777777" w:rsidR="00260623" w:rsidRDefault="00260623" w:rsidP="006D5701">
      <w:pPr>
        <w:spacing w:before="0" w:after="0" w:line="240" w:lineRule="auto"/>
        <w:rPr>
          <w:rFonts w:ascii="Calibri" w:hAnsi="Calibri"/>
          <w:sz w:val="22"/>
          <w:szCs w:val="22"/>
        </w:rPr>
      </w:pPr>
    </w:p>
    <w:p w14:paraId="555ECFCE" w14:textId="77777777" w:rsidR="00260623" w:rsidRDefault="00260623" w:rsidP="006D5701">
      <w:pPr>
        <w:spacing w:before="0" w:after="0" w:line="240" w:lineRule="auto"/>
        <w:rPr>
          <w:rFonts w:ascii="Calibri" w:hAnsi="Calibri"/>
          <w:sz w:val="22"/>
          <w:szCs w:val="22"/>
        </w:rPr>
      </w:pPr>
    </w:p>
    <w:p w14:paraId="49109310" w14:textId="77777777" w:rsidR="00260623" w:rsidRDefault="00260623" w:rsidP="006D5701">
      <w:pPr>
        <w:spacing w:before="0" w:after="0" w:line="240" w:lineRule="auto"/>
        <w:rPr>
          <w:rFonts w:ascii="Calibri" w:hAnsi="Calibri"/>
          <w:sz w:val="22"/>
          <w:szCs w:val="22"/>
        </w:rPr>
      </w:pPr>
    </w:p>
    <w:p w14:paraId="1BE69712" w14:textId="77777777" w:rsidR="00260623" w:rsidRDefault="00260623" w:rsidP="006D5701">
      <w:pPr>
        <w:spacing w:before="0" w:after="0" w:line="240" w:lineRule="auto"/>
        <w:rPr>
          <w:rFonts w:ascii="Calibri" w:hAnsi="Calibri"/>
          <w:sz w:val="22"/>
          <w:szCs w:val="22"/>
        </w:rPr>
      </w:pPr>
    </w:p>
    <w:p w14:paraId="783E413D" w14:textId="77777777" w:rsidR="00260623" w:rsidRDefault="00260623" w:rsidP="006D5701">
      <w:pPr>
        <w:spacing w:before="0" w:after="0" w:line="240" w:lineRule="auto"/>
        <w:rPr>
          <w:rFonts w:ascii="Calibri" w:hAnsi="Calibri"/>
          <w:sz w:val="22"/>
          <w:szCs w:val="22"/>
        </w:rPr>
      </w:pPr>
    </w:p>
    <w:p w14:paraId="0759A7BE" w14:textId="77777777" w:rsidR="00260623" w:rsidRDefault="00260623" w:rsidP="006D5701">
      <w:pPr>
        <w:spacing w:before="0" w:after="0" w:line="240" w:lineRule="auto"/>
        <w:rPr>
          <w:rFonts w:ascii="Calibri" w:hAnsi="Calibri"/>
          <w:sz w:val="22"/>
          <w:szCs w:val="22"/>
        </w:rPr>
      </w:pPr>
    </w:p>
    <w:p w14:paraId="1584CAC4" w14:textId="77777777" w:rsidR="00260623" w:rsidRDefault="00260623" w:rsidP="006D5701">
      <w:pPr>
        <w:spacing w:before="0" w:after="0" w:line="240" w:lineRule="auto"/>
        <w:rPr>
          <w:rFonts w:ascii="Calibri" w:hAnsi="Calibri"/>
          <w:sz w:val="22"/>
          <w:szCs w:val="22"/>
        </w:rPr>
      </w:pPr>
    </w:p>
    <w:p w14:paraId="22637129" w14:textId="77777777" w:rsidR="00260623" w:rsidRDefault="00260623" w:rsidP="006D5701">
      <w:pPr>
        <w:spacing w:before="0" w:after="0" w:line="240" w:lineRule="auto"/>
        <w:rPr>
          <w:rFonts w:ascii="Calibri" w:hAnsi="Calibri"/>
          <w:sz w:val="22"/>
          <w:szCs w:val="22"/>
        </w:rPr>
      </w:pPr>
    </w:p>
    <w:p w14:paraId="5BF8EEF6" w14:textId="77777777" w:rsidR="00260623" w:rsidRDefault="00260623" w:rsidP="006D5701">
      <w:pPr>
        <w:spacing w:before="0" w:after="0" w:line="240" w:lineRule="auto"/>
        <w:rPr>
          <w:rFonts w:ascii="Calibri" w:hAnsi="Calibri"/>
          <w:sz w:val="22"/>
          <w:szCs w:val="22"/>
        </w:rPr>
      </w:pPr>
    </w:p>
    <w:p w14:paraId="77F42EA0" w14:textId="77777777" w:rsidR="00260623" w:rsidRDefault="00260623" w:rsidP="006D5701">
      <w:pPr>
        <w:spacing w:before="0" w:after="0" w:line="240" w:lineRule="auto"/>
        <w:rPr>
          <w:rFonts w:ascii="Calibri" w:hAnsi="Calibri"/>
          <w:sz w:val="22"/>
          <w:szCs w:val="22"/>
        </w:rPr>
      </w:pPr>
    </w:p>
    <w:p w14:paraId="6DADB977" w14:textId="77777777" w:rsidR="00260623" w:rsidRDefault="00260623" w:rsidP="006D5701">
      <w:pPr>
        <w:spacing w:before="0" w:after="0" w:line="240" w:lineRule="auto"/>
        <w:rPr>
          <w:rFonts w:ascii="Calibri" w:hAnsi="Calibri"/>
          <w:sz w:val="22"/>
          <w:szCs w:val="22"/>
        </w:rPr>
      </w:pPr>
    </w:p>
    <w:p w14:paraId="3CB1087C" w14:textId="77777777" w:rsidR="00260623" w:rsidRDefault="00260623" w:rsidP="006D5701">
      <w:pPr>
        <w:spacing w:before="0" w:after="0" w:line="240" w:lineRule="auto"/>
        <w:rPr>
          <w:rFonts w:ascii="Calibri" w:hAnsi="Calibri"/>
          <w:sz w:val="22"/>
          <w:szCs w:val="22"/>
        </w:rPr>
      </w:pPr>
    </w:p>
    <w:p w14:paraId="6E9F596E" w14:textId="77777777" w:rsidR="00260623" w:rsidRDefault="00260623" w:rsidP="006D5701">
      <w:pPr>
        <w:spacing w:before="0" w:after="0" w:line="240" w:lineRule="auto"/>
        <w:rPr>
          <w:rFonts w:ascii="Calibri" w:hAnsi="Calibri"/>
          <w:sz w:val="22"/>
          <w:szCs w:val="22"/>
        </w:rPr>
      </w:pPr>
    </w:p>
    <w:p w14:paraId="471F70A6" w14:textId="77777777" w:rsidR="00D275DE" w:rsidRDefault="00D275DE" w:rsidP="006D5701">
      <w:pPr>
        <w:spacing w:before="0" w:after="0" w:line="240" w:lineRule="auto"/>
        <w:rPr>
          <w:rFonts w:ascii="Calibri" w:hAnsi="Calibri"/>
          <w:sz w:val="22"/>
          <w:szCs w:val="22"/>
        </w:rPr>
      </w:pPr>
    </w:p>
    <w:p w14:paraId="7236CFBD" w14:textId="77777777" w:rsidR="00260623" w:rsidRDefault="00260623" w:rsidP="006D5701">
      <w:pPr>
        <w:spacing w:before="0" w:after="0" w:line="240" w:lineRule="auto"/>
        <w:rPr>
          <w:rFonts w:ascii="Calibri" w:hAnsi="Calibri"/>
          <w:sz w:val="22"/>
          <w:szCs w:val="22"/>
        </w:rPr>
      </w:pPr>
    </w:p>
    <w:p w14:paraId="3BCC6C63" w14:textId="77777777" w:rsidR="00260623" w:rsidRDefault="00260623" w:rsidP="006D5701">
      <w:pPr>
        <w:spacing w:before="0" w:after="0" w:line="240" w:lineRule="auto"/>
        <w:rPr>
          <w:rFonts w:ascii="Calibri" w:hAnsi="Calibri"/>
          <w:sz w:val="22"/>
          <w:szCs w:val="22"/>
        </w:rPr>
      </w:pPr>
    </w:p>
    <w:p w14:paraId="39B81AC6" w14:textId="4B13A393" w:rsidR="006D0955" w:rsidRDefault="006D5701" w:rsidP="006D0955">
      <w:pPr>
        <w:rPr>
          <w:rFonts w:ascii="Calibri" w:hAnsi="Calibri"/>
          <w:i/>
          <w:sz w:val="22"/>
          <w:szCs w:val="22"/>
          <w:lang w:val="en-US"/>
        </w:rPr>
      </w:pPr>
      <w:r w:rsidRPr="00051875">
        <w:rPr>
          <w:rFonts w:ascii="Calibri" w:hAnsi="Calibri"/>
          <w:i/>
          <w:sz w:val="22"/>
          <w:szCs w:val="22"/>
          <w:lang w:val="en-US"/>
        </w:rPr>
        <w:lastRenderedPageBreak/>
        <w:t>Figure 1—Full-time equivalent students by Catholi</w:t>
      </w:r>
      <w:r w:rsidR="006D0955">
        <w:rPr>
          <w:rFonts w:ascii="Calibri" w:hAnsi="Calibri"/>
          <w:i/>
          <w:sz w:val="22"/>
          <w:szCs w:val="22"/>
          <w:lang w:val="en-US"/>
        </w:rPr>
        <w:t>c school: Size and school type, 2015</w:t>
      </w:r>
    </w:p>
    <w:p w14:paraId="45B72D0F" w14:textId="77777777" w:rsidR="001B6743" w:rsidRDefault="001B6743" w:rsidP="006D0955"/>
    <w:p w14:paraId="66E7E110" w14:textId="77777777" w:rsidR="006D0955" w:rsidRDefault="006D0955" w:rsidP="006D0955">
      <w:r>
        <w:rPr>
          <w:noProof/>
          <w:lang w:eastAsia="en-AU"/>
        </w:rPr>
        <w:drawing>
          <wp:inline distT="0" distB="0" distL="0" distR="0" wp14:anchorId="68B2196C" wp14:editId="30A130EF">
            <wp:extent cx="5584850" cy="3851621"/>
            <wp:effectExtent l="0" t="0" r="0" b="0"/>
            <wp:docPr id="41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6"/>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r="14847" b="-1080"/>
                    <a:stretch/>
                  </pic:blipFill>
                  <pic:spPr bwMode="auto">
                    <a:xfrm>
                      <a:off x="0" y="0"/>
                      <a:ext cx="5593999" cy="3857931"/>
                    </a:xfrm>
                    <a:prstGeom prst="rect">
                      <a:avLst/>
                    </a:prstGeom>
                    <a:noFill/>
                    <a:ln>
                      <a:noFill/>
                    </a:ln>
                    <a:extLst>
                      <a:ext uri="{53640926-AAD7-44D8-BBD7-CCE9431645EC}">
                        <a14:shadowObscured xmlns:a14="http://schemas.microsoft.com/office/drawing/2010/main"/>
                      </a:ext>
                    </a:extLst>
                  </pic:spPr>
                </pic:pic>
              </a:graphicData>
            </a:graphic>
          </wp:inline>
        </w:drawing>
      </w:r>
    </w:p>
    <w:p w14:paraId="084A4B92" w14:textId="77777777" w:rsidR="008F7229" w:rsidRDefault="008F7229" w:rsidP="006D0955">
      <w:pPr>
        <w:rPr>
          <w:rFonts w:ascii="Calibri" w:hAnsi="Calibri"/>
          <w:sz w:val="22"/>
          <w:szCs w:val="22"/>
        </w:rPr>
      </w:pPr>
    </w:p>
    <w:p w14:paraId="3DBB0031" w14:textId="3310D8B4" w:rsidR="006D5701" w:rsidRDefault="00397A59" w:rsidP="008F7229">
      <w:pPr>
        <w:spacing w:before="0" w:after="0" w:line="240" w:lineRule="auto"/>
        <w:rPr>
          <w:rFonts w:ascii="Calibri" w:hAnsi="Calibri"/>
          <w:sz w:val="22"/>
          <w:szCs w:val="22"/>
        </w:rPr>
      </w:pPr>
      <w:r>
        <w:rPr>
          <w:rFonts w:ascii="Calibri" w:hAnsi="Calibri"/>
          <w:sz w:val="22"/>
          <w:szCs w:val="22"/>
        </w:rPr>
        <w:t>The missio</w:t>
      </w:r>
      <w:r w:rsidR="0033419A">
        <w:rPr>
          <w:rFonts w:ascii="Calibri" w:hAnsi="Calibri"/>
          <w:sz w:val="22"/>
          <w:szCs w:val="22"/>
        </w:rPr>
        <w:t>n</w:t>
      </w:r>
      <w:r w:rsidR="006D5701" w:rsidRPr="00A35A64">
        <w:rPr>
          <w:rFonts w:ascii="Calibri" w:hAnsi="Calibri"/>
          <w:sz w:val="22"/>
          <w:szCs w:val="22"/>
        </w:rPr>
        <w:t xml:space="preserve"> of Catholic education, since its inception, has been to serve</w:t>
      </w:r>
      <w:r w:rsidR="006D5701">
        <w:rPr>
          <w:rFonts w:ascii="Calibri" w:hAnsi="Calibri"/>
          <w:sz w:val="22"/>
          <w:szCs w:val="22"/>
        </w:rPr>
        <w:t xml:space="preserve"> students from a range of socio</w:t>
      </w:r>
      <w:r w:rsidR="006D5701" w:rsidRPr="00A35A64">
        <w:rPr>
          <w:rFonts w:ascii="Calibri" w:hAnsi="Calibri"/>
          <w:sz w:val="22"/>
          <w:szCs w:val="22"/>
        </w:rPr>
        <w:t xml:space="preserve">economic backgrounds, with a particular responsibility for the </w:t>
      </w:r>
      <w:r w:rsidR="006D5701">
        <w:rPr>
          <w:rFonts w:ascii="Calibri" w:hAnsi="Calibri"/>
          <w:sz w:val="22"/>
          <w:szCs w:val="22"/>
        </w:rPr>
        <w:t>disadvantaged and marginalised.</w:t>
      </w:r>
      <w:r w:rsidR="0070236F">
        <w:rPr>
          <w:rFonts w:ascii="Calibri" w:hAnsi="Calibri"/>
          <w:sz w:val="22"/>
          <w:szCs w:val="22"/>
        </w:rPr>
        <w:t xml:space="preserve"> Since 2003, the number of Indigenous students in Catholic schools has doubled. Since 2004, the number of students with disability in Catholic schools has doubled. This reflects one of the</w:t>
      </w:r>
      <w:r w:rsidR="006D5701">
        <w:rPr>
          <w:rFonts w:ascii="Calibri" w:hAnsi="Calibri"/>
          <w:sz w:val="22"/>
          <w:szCs w:val="22"/>
        </w:rPr>
        <w:t xml:space="preserve"> </w:t>
      </w:r>
      <w:r w:rsidR="006D5701" w:rsidRPr="00A35A64">
        <w:rPr>
          <w:rFonts w:ascii="Calibri" w:hAnsi="Calibri"/>
          <w:sz w:val="22"/>
          <w:szCs w:val="22"/>
        </w:rPr>
        <w:t>cornerstone</w:t>
      </w:r>
      <w:r w:rsidR="0070236F">
        <w:rPr>
          <w:rFonts w:ascii="Calibri" w:hAnsi="Calibri"/>
          <w:sz w:val="22"/>
          <w:szCs w:val="22"/>
        </w:rPr>
        <w:t>s</w:t>
      </w:r>
      <w:r w:rsidR="006D5701" w:rsidRPr="00A35A64">
        <w:rPr>
          <w:rFonts w:ascii="Calibri" w:hAnsi="Calibri"/>
          <w:sz w:val="22"/>
          <w:szCs w:val="22"/>
        </w:rPr>
        <w:t xml:space="preserve"> of Ca</w:t>
      </w:r>
      <w:r w:rsidR="0070236F">
        <w:rPr>
          <w:rFonts w:ascii="Calibri" w:hAnsi="Calibri"/>
          <w:sz w:val="22"/>
          <w:szCs w:val="22"/>
        </w:rPr>
        <w:t>tholic education—</w:t>
      </w:r>
      <w:r w:rsidR="006D5701">
        <w:rPr>
          <w:rFonts w:ascii="Calibri" w:hAnsi="Calibri"/>
          <w:sz w:val="22"/>
          <w:szCs w:val="22"/>
        </w:rPr>
        <w:t>that all children</w:t>
      </w:r>
      <w:r w:rsidR="006D5701" w:rsidRPr="00A35A64">
        <w:rPr>
          <w:rFonts w:ascii="Calibri" w:hAnsi="Calibri"/>
          <w:sz w:val="22"/>
          <w:szCs w:val="22"/>
        </w:rPr>
        <w:t xml:space="preserve"> </w:t>
      </w:r>
      <w:r w:rsidR="006D5701">
        <w:rPr>
          <w:rFonts w:ascii="Calibri" w:hAnsi="Calibri"/>
          <w:sz w:val="22"/>
          <w:szCs w:val="22"/>
        </w:rPr>
        <w:t>because of “their dignity as human persons,</w:t>
      </w:r>
      <w:r w:rsidR="006D5701" w:rsidRPr="00A35A64">
        <w:rPr>
          <w:rFonts w:ascii="Calibri" w:hAnsi="Calibri"/>
          <w:sz w:val="22"/>
          <w:szCs w:val="22"/>
        </w:rPr>
        <w:t xml:space="preserve"> have an</w:t>
      </w:r>
      <w:r w:rsidR="00DF6C78">
        <w:rPr>
          <w:rFonts w:ascii="Calibri" w:hAnsi="Calibri"/>
          <w:sz w:val="22"/>
          <w:szCs w:val="22"/>
        </w:rPr>
        <w:t xml:space="preserve"> inalienable right to education</w:t>
      </w:r>
      <w:r w:rsidR="006D5701">
        <w:rPr>
          <w:rFonts w:ascii="Calibri" w:hAnsi="Calibri"/>
          <w:sz w:val="22"/>
          <w:szCs w:val="22"/>
        </w:rPr>
        <w:t>”</w:t>
      </w:r>
      <w:r w:rsidR="00DF6C78">
        <w:rPr>
          <w:rFonts w:ascii="Calibri" w:hAnsi="Calibri"/>
          <w:sz w:val="22"/>
          <w:szCs w:val="22"/>
        </w:rPr>
        <w:t>,</w:t>
      </w:r>
      <w:r w:rsidR="006D5701">
        <w:rPr>
          <w:rFonts w:ascii="Calibri" w:hAnsi="Calibri"/>
          <w:sz w:val="22"/>
          <w:szCs w:val="22"/>
        </w:rPr>
        <w:t xml:space="preserve"> adapted to their ability.</w:t>
      </w:r>
      <w:r w:rsidR="006D5701">
        <w:rPr>
          <w:rStyle w:val="FootnoteReference"/>
          <w:rFonts w:ascii="Calibri" w:hAnsi="Calibri"/>
          <w:sz w:val="22"/>
          <w:szCs w:val="22"/>
        </w:rPr>
        <w:footnoteReference w:id="1"/>
      </w:r>
      <w:r w:rsidR="006D5701">
        <w:rPr>
          <w:rFonts w:ascii="Calibri" w:hAnsi="Calibri"/>
          <w:sz w:val="22"/>
          <w:szCs w:val="22"/>
        </w:rPr>
        <w:t xml:space="preserve"> </w:t>
      </w:r>
    </w:p>
    <w:p w14:paraId="6A8F0053" w14:textId="77777777" w:rsidR="00824F5D" w:rsidRDefault="00824F5D" w:rsidP="008F7229">
      <w:pPr>
        <w:spacing w:before="0" w:after="0" w:line="240" w:lineRule="auto"/>
        <w:rPr>
          <w:rFonts w:ascii="Calibri" w:hAnsi="Calibri"/>
          <w:sz w:val="22"/>
          <w:szCs w:val="22"/>
        </w:rPr>
      </w:pPr>
    </w:p>
    <w:p w14:paraId="20FAF765" w14:textId="3DFD829A" w:rsidR="00F31FE2" w:rsidRPr="00F31FE2" w:rsidRDefault="00F31FE2" w:rsidP="008F7229">
      <w:pPr>
        <w:spacing w:before="0" w:after="0" w:line="240" w:lineRule="auto"/>
        <w:rPr>
          <w:rFonts w:ascii="Calibri" w:hAnsi="Calibri"/>
          <w:i/>
          <w:sz w:val="22"/>
          <w:szCs w:val="22"/>
        </w:rPr>
      </w:pPr>
      <w:r>
        <w:rPr>
          <w:rFonts w:ascii="Calibri" w:hAnsi="Calibri"/>
          <w:i/>
          <w:sz w:val="22"/>
          <w:szCs w:val="22"/>
        </w:rPr>
        <w:t>The governance arrangements of Catholic schools</w:t>
      </w:r>
      <w:r w:rsidR="00413E00">
        <w:rPr>
          <w:rFonts w:ascii="Calibri" w:hAnsi="Calibri"/>
          <w:i/>
          <w:sz w:val="22"/>
          <w:szCs w:val="22"/>
        </w:rPr>
        <w:t xml:space="preserve"> in Australia</w:t>
      </w:r>
    </w:p>
    <w:p w14:paraId="65EA1169" w14:textId="299C1B5D" w:rsidR="00F51729" w:rsidRDefault="00D573EE" w:rsidP="008F7229">
      <w:pPr>
        <w:spacing w:before="0" w:after="0" w:line="240" w:lineRule="auto"/>
        <w:rPr>
          <w:rFonts w:ascii="Calibri" w:hAnsi="Calibri"/>
          <w:sz w:val="22"/>
          <w:szCs w:val="22"/>
        </w:rPr>
      </w:pPr>
      <w:r w:rsidRPr="00D573EE">
        <w:rPr>
          <w:rFonts w:ascii="Calibri" w:hAnsi="Calibri"/>
          <w:sz w:val="22"/>
          <w:szCs w:val="22"/>
        </w:rPr>
        <w:t>Catholic schools have been part of Australia’s education story for 200 years and their governance structure is characterised by a rich and diverse yet unified tradition.</w:t>
      </w:r>
      <w:r>
        <w:rPr>
          <w:rFonts w:ascii="Calibri" w:hAnsi="Calibri"/>
          <w:sz w:val="22"/>
          <w:szCs w:val="22"/>
        </w:rPr>
        <w:t xml:space="preserve"> </w:t>
      </w:r>
      <w:r w:rsidRPr="00D573EE">
        <w:rPr>
          <w:rFonts w:ascii="Calibri" w:hAnsi="Calibri"/>
          <w:sz w:val="22"/>
          <w:szCs w:val="22"/>
        </w:rPr>
        <w:t>The principle of subsidiar</w:t>
      </w:r>
      <w:r w:rsidR="00214E3F">
        <w:rPr>
          <w:rFonts w:ascii="Calibri" w:hAnsi="Calibri"/>
          <w:sz w:val="22"/>
          <w:szCs w:val="22"/>
        </w:rPr>
        <w:t>it</w:t>
      </w:r>
      <w:r w:rsidRPr="00D573EE">
        <w:rPr>
          <w:rFonts w:ascii="Calibri" w:hAnsi="Calibri"/>
          <w:sz w:val="22"/>
          <w:szCs w:val="22"/>
        </w:rPr>
        <w:t>y is a core principle guiding the administration and operation of Catholic education.</w:t>
      </w:r>
      <w:r w:rsidR="00496F43" w:rsidRPr="00285561">
        <w:rPr>
          <w:rFonts w:ascii="Calibri" w:hAnsi="Calibri"/>
          <w:sz w:val="22"/>
          <w:szCs w:val="22"/>
        </w:rPr>
        <w:t xml:space="preserve"> </w:t>
      </w:r>
      <w:r w:rsidR="00DF6C78">
        <w:rPr>
          <w:rFonts w:ascii="Calibri" w:hAnsi="Calibri"/>
          <w:sz w:val="22"/>
          <w:szCs w:val="22"/>
        </w:rPr>
        <w:t>Decision-</w:t>
      </w:r>
      <w:r w:rsidR="000141D6">
        <w:rPr>
          <w:rFonts w:ascii="Calibri" w:hAnsi="Calibri"/>
          <w:sz w:val="22"/>
          <w:szCs w:val="22"/>
        </w:rPr>
        <w:t>making is delegated to the most appropriate level under this principle. The</w:t>
      </w:r>
      <w:r>
        <w:rPr>
          <w:rFonts w:ascii="Calibri" w:hAnsi="Calibri"/>
          <w:sz w:val="22"/>
          <w:szCs w:val="22"/>
        </w:rPr>
        <w:t xml:space="preserve"> governance </w:t>
      </w:r>
      <w:r w:rsidR="008544CC">
        <w:rPr>
          <w:rFonts w:ascii="Calibri" w:hAnsi="Calibri"/>
          <w:sz w:val="22"/>
          <w:szCs w:val="22"/>
        </w:rPr>
        <w:t xml:space="preserve">arrangements </w:t>
      </w:r>
      <w:r w:rsidR="000141D6">
        <w:rPr>
          <w:rFonts w:ascii="Calibri" w:hAnsi="Calibri"/>
          <w:sz w:val="22"/>
          <w:szCs w:val="22"/>
        </w:rPr>
        <w:t xml:space="preserve">of Catholic education </w:t>
      </w:r>
      <w:r w:rsidR="008544CC">
        <w:rPr>
          <w:rFonts w:ascii="Calibri" w:hAnsi="Calibri"/>
          <w:sz w:val="22"/>
          <w:szCs w:val="22"/>
        </w:rPr>
        <w:t>span</w:t>
      </w:r>
      <w:r w:rsidR="00A07452">
        <w:rPr>
          <w:rFonts w:ascii="Calibri" w:hAnsi="Calibri"/>
          <w:sz w:val="22"/>
          <w:szCs w:val="22"/>
        </w:rPr>
        <w:t xml:space="preserve"> a variety of </w:t>
      </w:r>
      <w:r w:rsidR="00496F43" w:rsidRPr="00A07452">
        <w:rPr>
          <w:rFonts w:ascii="Calibri" w:hAnsi="Calibri"/>
          <w:sz w:val="22"/>
          <w:szCs w:val="22"/>
        </w:rPr>
        <w:t>autonomous education (empl</w:t>
      </w:r>
      <w:r w:rsidR="00A07452" w:rsidRPr="00A07452">
        <w:rPr>
          <w:rFonts w:ascii="Calibri" w:hAnsi="Calibri"/>
          <w:sz w:val="22"/>
          <w:szCs w:val="22"/>
        </w:rPr>
        <w:t xml:space="preserve">oying) authorities and </w:t>
      </w:r>
      <w:r w:rsidR="00A07452">
        <w:rPr>
          <w:rFonts w:ascii="Calibri" w:hAnsi="Calibri"/>
          <w:sz w:val="22"/>
          <w:szCs w:val="22"/>
        </w:rPr>
        <w:t>comprises</w:t>
      </w:r>
      <w:r w:rsidR="00DF6C78">
        <w:rPr>
          <w:rFonts w:ascii="Calibri" w:hAnsi="Calibri"/>
          <w:sz w:val="22"/>
          <w:szCs w:val="22"/>
        </w:rPr>
        <w:t xml:space="preserve"> 25</w:t>
      </w:r>
      <w:r w:rsidR="00496F43" w:rsidRPr="00A07452">
        <w:rPr>
          <w:rFonts w:ascii="Calibri" w:hAnsi="Calibri"/>
          <w:sz w:val="22"/>
          <w:szCs w:val="22"/>
        </w:rPr>
        <w:t xml:space="preserve"> diocesan Catholic education offices</w:t>
      </w:r>
      <w:r w:rsidR="00A07452">
        <w:rPr>
          <w:rFonts w:ascii="Calibri" w:hAnsi="Calibri"/>
          <w:sz w:val="22"/>
          <w:szCs w:val="22"/>
        </w:rPr>
        <w:t>, as well as a number of</w:t>
      </w:r>
      <w:r w:rsidR="00F67C34">
        <w:rPr>
          <w:rFonts w:ascii="Calibri" w:hAnsi="Calibri"/>
          <w:sz w:val="22"/>
          <w:szCs w:val="22"/>
        </w:rPr>
        <w:t xml:space="preserve"> “independent”</w:t>
      </w:r>
      <w:r w:rsidR="00496F43" w:rsidRPr="00A07452">
        <w:rPr>
          <w:rFonts w:ascii="Calibri" w:hAnsi="Calibri"/>
          <w:sz w:val="22"/>
          <w:szCs w:val="22"/>
        </w:rPr>
        <w:t xml:space="preserve"> Catholic schools</w:t>
      </w:r>
      <w:r w:rsidR="00F51729" w:rsidRPr="00A07452">
        <w:rPr>
          <w:rFonts w:ascii="Calibri" w:hAnsi="Calibri"/>
          <w:sz w:val="22"/>
          <w:szCs w:val="22"/>
        </w:rPr>
        <w:t>. The</w:t>
      </w:r>
      <w:r w:rsidR="00496F43" w:rsidRPr="00A07452">
        <w:rPr>
          <w:rFonts w:ascii="Calibri" w:hAnsi="Calibri"/>
          <w:sz w:val="22"/>
          <w:szCs w:val="22"/>
        </w:rPr>
        <w:t xml:space="preserve"> employing authorities are supported by state</w:t>
      </w:r>
      <w:r w:rsidR="00F51729" w:rsidRPr="00A07452">
        <w:rPr>
          <w:rFonts w:ascii="Calibri" w:hAnsi="Calibri"/>
          <w:sz w:val="22"/>
          <w:szCs w:val="22"/>
        </w:rPr>
        <w:t>/territory</w:t>
      </w:r>
      <w:r w:rsidR="00496F43" w:rsidRPr="00A07452">
        <w:rPr>
          <w:rFonts w:ascii="Calibri" w:hAnsi="Calibri"/>
          <w:sz w:val="22"/>
          <w:szCs w:val="22"/>
        </w:rPr>
        <w:t xml:space="preserve"> and n</w:t>
      </w:r>
      <w:r w:rsidR="00966E65">
        <w:rPr>
          <w:rFonts w:ascii="Calibri" w:hAnsi="Calibri"/>
          <w:sz w:val="22"/>
          <w:szCs w:val="22"/>
        </w:rPr>
        <w:t>ational representative bodies (“</w:t>
      </w:r>
      <w:r w:rsidR="00496F43" w:rsidRPr="00A07452">
        <w:rPr>
          <w:rFonts w:ascii="Calibri" w:hAnsi="Calibri"/>
          <w:sz w:val="22"/>
          <w:szCs w:val="22"/>
        </w:rPr>
        <w:t xml:space="preserve">Commissions”). </w:t>
      </w:r>
      <w:r w:rsidR="00A07452">
        <w:rPr>
          <w:rFonts w:ascii="Calibri" w:hAnsi="Calibri"/>
          <w:sz w:val="22"/>
          <w:szCs w:val="22"/>
        </w:rPr>
        <w:t>For example, in N</w:t>
      </w:r>
      <w:r w:rsidR="00DF6C78">
        <w:rPr>
          <w:rFonts w:ascii="Calibri" w:hAnsi="Calibri"/>
          <w:sz w:val="22"/>
          <w:szCs w:val="22"/>
        </w:rPr>
        <w:t>ew South Wales</w:t>
      </w:r>
      <w:r w:rsidR="00A07452">
        <w:rPr>
          <w:rFonts w:ascii="Calibri" w:hAnsi="Calibri"/>
          <w:sz w:val="22"/>
          <w:szCs w:val="22"/>
        </w:rPr>
        <w:t>, the Catholic Education Commission NSW</w:t>
      </w:r>
      <w:r w:rsidR="00035941">
        <w:rPr>
          <w:rFonts w:ascii="Calibri" w:hAnsi="Calibri"/>
          <w:sz w:val="22"/>
          <w:szCs w:val="22"/>
        </w:rPr>
        <w:t xml:space="preserve"> (CECNSW)</w:t>
      </w:r>
      <w:r w:rsidR="00A07452" w:rsidRPr="006D0955">
        <w:rPr>
          <w:rFonts w:ascii="Calibri" w:hAnsi="Calibri"/>
          <w:sz w:val="22"/>
          <w:szCs w:val="22"/>
        </w:rPr>
        <w:t xml:space="preserve"> </w:t>
      </w:r>
      <w:r w:rsidR="00A07452">
        <w:rPr>
          <w:rFonts w:ascii="Calibri" w:hAnsi="Calibri"/>
          <w:sz w:val="22"/>
          <w:szCs w:val="22"/>
        </w:rPr>
        <w:t>works together</w:t>
      </w:r>
      <w:r w:rsidR="00A07452" w:rsidRPr="006D0955">
        <w:rPr>
          <w:rFonts w:ascii="Calibri" w:hAnsi="Calibri"/>
          <w:sz w:val="22"/>
          <w:szCs w:val="22"/>
        </w:rPr>
        <w:t xml:space="preserve"> with diocesan directors, religious institutes, and princi</w:t>
      </w:r>
      <w:r w:rsidR="00A07452">
        <w:rPr>
          <w:rFonts w:ascii="Calibri" w:hAnsi="Calibri"/>
          <w:sz w:val="22"/>
          <w:szCs w:val="22"/>
        </w:rPr>
        <w:t xml:space="preserve">pal and parent associations to represent the 11 </w:t>
      </w:r>
      <w:r w:rsidR="00545AF5">
        <w:rPr>
          <w:rFonts w:ascii="Calibri" w:hAnsi="Calibri"/>
          <w:sz w:val="22"/>
          <w:szCs w:val="22"/>
        </w:rPr>
        <w:t>diocesan Catholic school</w:t>
      </w:r>
      <w:r w:rsidR="00A07452" w:rsidRPr="006D0955">
        <w:rPr>
          <w:rFonts w:ascii="Calibri" w:hAnsi="Calibri"/>
          <w:sz w:val="22"/>
          <w:szCs w:val="22"/>
        </w:rPr>
        <w:t xml:space="preserve"> auth</w:t>
      </w:r>
      <w:r w:rsidR="00A07452">
        <w:rPr>
          <w:rFonts w:ascii="Calibri" w:hAnsi="Calibri"/>
          <w:sz w:val="22"/>
          <w:szCs w:val="22"/>
        </w:rPr>
        <w:t xml:space="preserve">orities. </w:t>
      </w:r>
      <w:r w:rsidR="00F67C34">
        <w:rPr>
          <w:rFonts w:ascii="Calibri" w:hAnsi="Calibri"/>
          <w:sz w:val="22"/>
          <w:szCs w:val="22"/>
        </w:rPr>
        <w:t>T</w:t>
      </w:r>
      <w:r w:rsidR="00966E65">
        <w:rPr>
          <w:rFonts w:ascii="Calibri" w:hAnsi="Calibri"/>
          <w:sz w:val="22"/>
          <w:szCs w:val="22"/>
        </w:rPr>
        <w:t>hese</w:t>
      </w:r>
      <w:r w:rsidR="00F67C34">
        <w:rPr>
          <w:rFonts w:ascii="Calibri" w:hAnsi="Calibri"/>
          <w:sz w:val="22"/>
          <w:szCs w:val="22"/>
        </w:rPr>
        <w:t xml:space="preserve"> school authorities directly manage the</w:t>
      </w:r>
      <w:r w:rsidR="00DF6C78">
        <w:rPr>
          <w:rFonts w:ascii="Calibri" w:hAnsi="Calibri"/>
          <w:sz w:val="22"/>
          <w:szCs w:val="22"/>
        </w:rPr>
        <w:t xml:space="preserve"> 543</w:t>
      </w:r>
      <w:r w:rsidR="00966E65">
        <w:rPr>
          <w:rFonts w:ascii="Calibri" w:hAnsi="Calibri"/>
          <w:sz w:val="22"/>
          <w:szCs w:val="22"/>
        </w:rPr>
        <w:t xml:space="preserve"> </w:t>
      </w:r>
      <w:r w:rsidR="00F67C34">
        <w:rPr>
          <w:rFonts w:ascii="Calibri" w:hAnsi="Calibri"/>
          <w:sz w:val="22"/>
          <w:szCs w:val="22"/>
        </w:rPr>
        <w:t>“</w:t>
      </w:r>
      <w:r w:rsidR="00966E65" w:rsidRPr="00966E65">
        <w:rPr>
          <w:rFonts w:ascii="Calibri" w:hAnsi="Calibri"/>
          <w:sz w:val="22"/>
          <w:szCs w:val="22"/>
        </w:rPr>
        <w:t>systemic</w:t>
      </w:r>
      <w:r w:rsidR="00F67C34">
        <w:rPr>
          <w:rFonts w:ascii="Calibri" w:hAnsi="Calibri"/>
          <w:sz w:val="22"/>
          <w:szCs w:val="22"/>
        </w:rPr>
        <w:t>”</w:t>
      </w:r>
      <w:r w:rsidR="00966E65" w:rsidRPr="00966E65">
        <w:rPr>
          <w:rFonts w:ascii="Calibri" w:hAnsi="Calibri"/>
          <w:sz w:val="22"/>
          <w:szCs w:val="22"/>
        </w:rPr>
        <w:t xml:space="preserve"> </w:t>
      </w:r>
      <w:r w:rsidR="00F67C34">
        <w:rPr>
          <w:rFonts w:ascii="Calibri" w:hAnsi="Calibri"/>
          <w:sz w:val="22"/>
          <w:szCs w:val="22"/>
        </w:rPr>
        <w:t xml:space="preserve">Catholic </w:t>
      </w:r>
      <w:r w:rsidR="00966E65" w:rsidRPr="00966E65">
        <w:rPr>
          <w:rFonts w:ascii="Calibri" w:hAnsi="Calibri"/>
          <w:sz w:val="22"/>
          <w:szCs w:val="22"/>
        </w:rPr>
        <w:t>schools</w:t>
      </w:r>
      <w:r w:rsidR="00F67C34">
        <w:rPr>
          <w:rFonts w:ascii="Calibri" w:hAnsi="Calibri"/>
          <w:sz w:val="22"/>
          <w:szCs w:val="22"/>
        </w:rPr>
        <w:t xml:space="preserve"> in NSW</w:t>
      </w:r>
      <w:r w:rsidR="00966E65" w:rsidRPr="00966E65">
        <w:rPr>
          <w:rFonts w:ascii="Calibri" w:hAnsi="Calibri"/>
          <w:sz w:val="22"/>
          <w:szCs w:val="22"/>
        </w:rPr>
        <w:t xml:space="preserve">, under the canonical </w:t>
      </w:r>
      <w:r w:rsidR="00966E65" w:rsidRPr="00966E65">
        <w:rPr>
          <w:rFonts w:ascii="Calibri" w:hAnsi="Calibri"/>
          <w:sz w:val="22"/>
          <w:szCs w:val="22"/>
        </w:rPr>
        <w:lastRenderedPageBreak/>
        <w:t>authority of the respective diocesan Bishop</w:t>
      </w:r>
      <w:r w:rsidR="00035941">
        <w:rPr>
          <w:rFonts w:ascii="Calibri" w:hAnsi="Calibri"/>
          <w:sz w:val="22"/>
          <w:szCs w:val="22"/>
        </w:rPr>
        <w:t>. CECNSW</w:t>
      </w:r>
      <w:r w:rsidR="00A07452">
        <w:rPr>
          <w:rFonts w:ascii="Calibri" w:hAnsi="Calibri"/>
          <w:sz w:val="22"/>
          <w:szCs w:val="22"/>
        </w:rPr>
        <w:t xml:space="preserve"> also </w:t>
      </w:r>
      <w:r w:rsidR="00DF6C78">
        <w:rPr>
          <w:rFonts w:ascii="Calibri" w:hAnsi="Calibri"/>
          <w:sz w:val="22"/>
          <w:szCs w:val="22"/>
        </w:rPr>
        <w:t>works together with 45</w:t>
      </w:r>
      <w:r w:rsidR="00A07452">
        <w:rPr>
          <w:rFonts w:ascii="Calibri" w:hAnsi="Calibri"/>
          <w:sz w:val="22"/>
          <w:szCs w:val="22"/>
        </w:rPr>
        <w:t xml:space="preserve"> </w:t>
      </w:r>
      <w:r w:rsidR="00545AF5">
        <w:rPr>
          <w:rFonts w:ascii="Calibri" w:hAnsi="Calibri"/>
          <w:sz w:val="22"/>
          <w:szCs w:val="22"/>
        </w:rPr>
        <w:t>“i</w:t>
      </w:r>
      <w:r w:rsidR="00A07452">
        <w:rPr>
          <w:rFonts w:ascii="Calibri" w:hAnsi="Calibri"/>
          <w:sz w:val="22"/>
          <w:szCs w:val="22"/>
        </w:rPr>
        <w:t>ndependent</w:t>
      </w:r>
      <w:r w:rsidR="00545AF5">
        <w:rPr>
          <w:rFonts w:ascii="Calibri" w:hAnsi="Calibri"/>
          <w:sz w:val="22"/>
          <w:szCs w:val="22"/>
        </w:rPr>
        <w:t>”</w:t>
      </w:r>
      <w:r w:rsidR="00A07452">
        <w:rPr>
          <w:rFonts w:ascii="Calibri" w:hAnsi="Calibri"/>
          <w:sz w:val="22"/>
          <w:szCs w:val="22"/>
        </w:rPr>
        <w:t xml:space="preserve"> Catholic schools, </w:t>
      </w:r>
      <w:r w:rsidR="00A07452" w:rsidRPr="006D0955">
        <w:rPr>
          <w:rFonts w:ascii="Calibri" w:hAnsi="Calibri"/>
          <w:sz w:val="22"/>
          <w:szCs w:val="22"/>
        </w:rPr>
        <w:t>which are manag</w:t>
      </w:r>
      <w:r w:rsidR="00545AF5">
        <w:rPr>
          <w:rFonts w:ascii="Calibri" w:hAnsi="Calibri"/>
          <w:sz w:val="22"/>
          <w:szCs w:val="22"/>
        </w:rPr>
        <w:t xml:space="preserve">ed either independently or by a </w:t>
      </w:r>
      <w:r w:rsidR="00A07452" w:rsidRPr="006D0955">
        <w:rPr>
          <w:rFonts w:ascii="Calibri" w:hAnsi="Calibri"/>
          <w:sz w:val="22"/>
          <w:szCs w:val="22"/>
        </w:rPr>
        <w:t>religious institute.</w:t>
      </w:r>
      <w:r w:rsidR="00B023A4" w:rsidRPr="00B023A4">
        <w:t xml:space="preserve"> </w:t>
      </w:r>
    </w:p>
    <w:p w14:paraId="0662685C" w14:textId="77777777" w:rsidR="008F7229" w:rsidRPr="008F7229" w:rsidRDefault="008F7229" w:rsidP="006D5701">
      <w:pPr>
        <w:spacing w:before="0" w:after="0" w:line="240" w:lineRule="auto"/>
        <w:rPr>
          <w:rFonts w:ascii="Calibri" w:hAnsi="Calibri"/>
          <w:sz w:val="22"/>
          <w:szCs w:val="22"/>
        </w:rPr>
      </w:pPr>
    </w:p>
    <w:p w14:paraId="7CB0C6FA" w14:textId="399F59C7" w:rsidR="00F51729" w:rsidRDefault="00F51729" w:rsidP="006D5701">
      <w:pPr>
        <w:spacing w:before="0" w:after="0" w:line="240" w:lineRule="auto"/>
        <w:rPr>
          <w:rFonts w:ascii="Calibri" w:hAnsi="Calibri"/>
          <w:sz w:val="22"/>
          <w:szCs w:val="22"/>
        </w:rPr>
      </w:pPr>
      <w:r w:rsidRPr="00285561">
        <w:rPr>
          <w:rFonts w:ascii="Calibri" w:hAnsi="Calibri"/>
          <w:sz w:val="22"/>
          <w:szCs w:val="22"/>
        </w:rPr>
        <w:t xml:space="preserve">Catholic schools in </w:t>
      </w:r>
      <w:r w:rsidR="00285561">
        <w:rPr>
          <w:rFonts w:ascii="Calibri" w:hAnsi="Calibri"/>
          <w:sz w:val="22"/>
          <w:szCs w:val="22"/>
        </w:rPr>
        <w:t>Australia interact with a raft of federal and state laws. In e</w:t>
      </w:r>
      <w:r w:rsidRPr="00285561">
        <w:rPr>
          <w:rFonts w:ascii="Calibri" w:hAnsi="Calibri"/>
          <w:sz w:val="22"/>
          <w:szCs w:val="22"/>
        </w:rPr>
        <w:t>ach state and territory</w:t>
      </w:r>
      <w:r w:rsidR="00285561">
        <w:rPr>
          <w:rFonts w:ascii="Calibri" w:hAnsi="Calibri"/>
          <w:sz w:val="22"/>
          <w:szCs w:val="22"/>
        </w:rPr>
        <w:t>, Catholic schools</w:t>
      </w:r>
      <w:r w:rsidRPr="00285561">
        <w:rPr>
          <w:rFonts w:ascii="Calibri" w:hAnsi="Calibri"/>
          <w:sz w:val="22"/>
          <w:szCs w:val="22"/>
        </w:rPr>
        <w:t xml:space="preserve"> are subject to local registration and accreditation requirements as well as other applicable legislation. </w:t>
      </w:r>
      <w:r w:rsidR="00285561">
        <w:rPr>
          <w:rFonts w:ascii="Calibri" w:hAnsi="Calibri"/>
          <w:sz w:val="22"/>
          <w:szCs w:val="22"/>
        </w:rPr>
        <w:t xml:space="preserve">They are also subject to the </w:t>
      </w:r>
      <w:r w:rsidR="00285561" w:rsidRPr="00285561">
        <w:rPr>
          <w:rFonts w:ascii="Calibri" w:hAnsi="Calibri"/>
          <w:i/>
          <w:sz w:val="22"/>
          <w:szCs w:val="22"/>
        </w:rPr>
        <w:t>Australian Education Act</w:t>
      </w:r>
      <w:r w:rsidR="00285561">
        <w:rPr>
          <w:rFonts w:ascii="Calibri" w:hAnsi="Calibri"/>
          <w:sz w:val="22"/>
          <w:szCs w:val="22"/>
        </w:rPr>
        <w:t xml:space="preserve"> </w:t>
      </w:r>
      <w:r w:rsidR="00285561" w:rsidRPr="00285561">
        <w:rPr>
          <w:rFonts w:ascii="Calibri" w:hAnsi="Calibri"/>
          <w:i/>
          <w:sz w:val="22"/>
          <w:szCs w:val="22"/>
        </w:rPr>
        <w:t>2013</w:t>
      </w:r>
      <w:r w:rsidR="00285561">
        <w:rPr>
          <w:rFonts w:ascii="Calibri" w:hAnsi="Calibri"/>
          <w:sz w:val="22"/>
          <w:szCs w:val="22"/>
        </w:rPr>
        <w:t>. However, there are also cases where Catholic schools are subject to federal laws instead of state laws. For example, u</w:t>
      </w:r>
      <w:r w:rsidRPr="00285561">
        <w:rPr>
          <w:rFonts w:ascii="Calibri" w:hAnsi="Calibri"/>
          <w:sz w:val="22"/>
          <w:szCs w:val="22"/>
        </w:rPr>
        <w:t>nlike government schools</w:t>
      </w:r>
      <w:r w:rsidR="00285561">
        <w:rPr>
          <w:rFonts w:ascii="Calibri" w:hAnsi="Calibri"/>
          <w:sz w:val="22"/>
          <w:szCs w:val="22"/>
        </w:rPr>
        <w:t>,</w:t>
      </w:r>
      <w:r w:rsidR="00260623" w:rsidRPr="00285561">
        <w:rPr>
          <w:rFonts w:ascii="Calibri" w:hAnsi="Calibri"/>
          <w:sz w:val="22"/>
          <w:szCs w:val="22"/>
        </w:rPr>
        <w:t xml:space="preserve"> which are governed by varying state and territory privacy legislation, </w:t>
      </w:r>
      <w:r w:rsidRPr="00285561">
        <w:rPr>
          <w:rFonts w:ascii="Calibri" w:hAnsi="Calibri"/>
          <w:sz w:val="22"/>
          <w:szCs w:val="22"/>
        </w:rPr>
        <w:t xml:space="preserve">non-government </w:t>
      </w:r>
      <w:r w:rsidR="00285561">
        <w:rPr>
          <w:rFonts w:ascii="Calibri" w:hAnsi="Calibri"/>
          <w:sz w:val="22"/>
          <w:szCs w:val="22"/>
        </w:rPr>
        <w:t>schools are subject to federal p</w:t>
      </w:r>
      <w:r w:rsidRPr="00285561">
        <w:rPr>
          <w:rFonts w:ascii="Calibri" w:hAnsi="Calibri"/>
          <w:sz w:val="22"/>
          <w:szCs w:val="22"/>
        </w:rPr>
        <w:t>rivacy legislation</w:t>
      </w:r>
      <w:r w:rsidR="00260623" w:rsidRPr="00285561">
        <w:rPr>
          <w:rFonts w:ascii="Calibri" w:hAnsi="Calibri"/>
          <w:sz w:val="22"/>
          <w:szCs w:val="22"/>
        </w:rPr>
        <w:t xml:space="preserve">. </w:t>
      </w:r>
      <w:r w:rsidR="00382975">
        <w:rPr>
          <w:rFonts w:ascii="Calibri" w:hAnsi="Calibri"/>
          <w:sz w:val="22"/>
          <w:szCs w:val="22"/>
        </w:rPr>
        <w:t xml:space="preserve">Similarly, whereas non-government schools are subject to the regulation and reporting requirements of the Australian Charities and Not-for-profits Commission (ACNC), government schools do not provide financial data to the ACNC. </w:t>
      </w:r>
      <w:r w:rsidRPr="00285561">
        <w:rPr>
          <w:rFonts w:ascii="Calibri" w:hAnsi="Calibri"/>
          <w:sz w:val="22"/>
          <w:szCs w:val="22"/>
        </w:rPr>
        <w:t xml:space="preserve"> </w:t>
      </w:r>
    </w:p>
    <w:p w14:paraId="5CB20A99" w14:textId="77777777" w:rsidR="00285561" w:rsidRPr="00285561" w:rsidRDefault="00285561" w:rsidP="006D5701">
      <w:pPr>
        <w:spacing w:before="0" w:after="0" w:line="240" w:lineRule="auto"/>
        <w:rPr>
          <w:rFonts w:ascii="Calibri" w:hAnsi="Calibri"/>
          <w:sz w:val="22"/>
          <w:szCs w:val="22"/>
        </w:rPr>
      </w:pPr>
    </w:p>
    <w:p w14:paraId="5D1A5B0E" w14:textId="7C341C6C" w:rsidR="00824F5D" w:rsidRPr="00285561" w:rsidRDefault="00824F5D" w:rsidP="006D5701">
      <w:pPr>
        <w:spacing w:before="0" w:after="0" w:line="240" w:lineRule="auto"/>
        <w:rPr>
          <w:rFonts w:ascii="Calibri" w:eastAsia="Calibri" w:hAnsi="Calibri" w:cs="Times New Roman"/>
          <w:sz w:val="22"/>
          <w:szCs w:val="22"/>
        </w:rPr>
      </w:pPr>
      <w:r w:rsidRPr="00285561">
        <w:rPr>
          <w:rFonts w:ascii="Calibri" w:hAnsi="Calibri"/>
          <w:sz w:val="22"/>
          <w:szCs w:val="22"/>
        </w:rPr>
        <w:t>Given its national reach</w:t>
      </w:r>
      <w:r w:rsidR="002C4530" w:rsidRPr="00285561">
        <w:rPr>
          <w:rFonts w:ascii="Calibri" w:hAnsi="Calibri"/>
          <w:sz w:val="22"/>
          <w:szCs w:val="22"/>
        </w:rPr>
        <w:t xml:space="preserve"> and involvement across the learning continuum from early childhood through to adult education</w:t>
      </w:r>
      <w:r w:rsidRPr="00285561">
        <w:rPr>
          <w:rFonts w:ascii="Calibri" w:hAnsi="Calibri"/>
          <w:sz w:val="22"/>
          <w:szCs w:val="22"/>
        </w:rPr>
        <w:t xml:space="preserve">, Catholic education </w:t>
      </w:r>
      <w:r w:rsidR="00F51729" w:rsidRPr="00285561">
        <w:rPr>
          <w:rFonts w:ascii="Calibri" w:hAnsi="Calibri"/>
          <w:sz w:val="22"/>
          <w:szCs w:val="22"/>
        </w:rPr>
        <w:t xml:space="preserve">can provide a unique perspective on </w:t>
      </w:r>
      <w:r w:rsidR="00260623" w:rsidRPr="00285561">
        <w:rPr>
          <w:rFonts w:ascii="Calibri" w:hAnsi="Calibri"/>
          <w:sz w:val="22"/>
          <w:szCs w:val="22"/>
        </w:rPr>
        <w:t xml:space="preserve">the </w:t>
      </w:r>
      <w:r w:rsidR="00F51729" w:rsidRPr="00285561">
        <w:rPr>
          <w:rFonts w:ascii="Calibri" w:hAnsi="Calibri"/>
          <w:sz w:val="22"/>
          <w:szCs w:val="22"/>
        </w:rPr>
        <w:t xml:space="preserve">issues </w:t>
      </w:r>
      <w:r w:rsidR="00260623" w:rsidRPr="00285561">
        <w:rPr>
          <w:rFonts w:ascii="Calibri" w:hAnsi="Calibri"/>
          <w:sz w:val="22"/>
          <w:szCs w:val="22"/>
        </w:rPr>
        <w:t>raised in the Issues Paper.</w:t>
      </w:r>
    </w:p>
    <w:p w14:paraId="4A033B61" w14:textId="77777777" w:rsidR="00BD65ED" w:rsidRDefault="00BD65ED" w:rsidP="00FD43BE">
      <w:pPr>
        <w:spacing w:before="0" w:after="0" w:line="240" w:lineRule="auto"/>
        <w:rPr>
          <w:rFonts w:ascii="Calibri" w:eastAsia="Calibri" w:hAnsi="Calibri" w:cs="Times New Roman"/>
          <w:b/>
          <w:sz w:val="22"/>
          <w:szCs w:val="22"/>
        </w:rPr>
      </w:pPr>
    </w:p>
    <w:p w14:paraId="7909E16F" w14:textId="77777777" w:rsidR="00A41199" w:rsidRPr="00D23EE0" w:rsidRDefault="00F44EAF" w:rsidP="00FD43BE">
      <w:pPr>
        <w:spacing w:before="0" w:after="0" w:line="240" w:lineRule="auto"/>
        <w:rPr>
          <w:rFonts w:ascii="Calibri" w:eastAsia="Calibri" w:hAnsi="Calibri" w:cs="Times New Roman"/>
          <w:b/>
          <w:sz w:val="22"/>
          <w:szCs w:val="22"/>
        </w:rPr>
      </w:pPr>
      <w:r>
        <w:rPr>
          <w:rFonts w:ascii="Calibri" w:eastAsia="Calibri" w:hAnsi="Calibri" w:cs="Times New Roman"/>
          <w:b/>
          <w:sz w:val="22"/>
          <w:szCs w:val="22"/>
        </w:rPr>
        <w:t>A</w:t>
      </w:r>
      <w:r w:rsidR="00FD43BE" w:rsidRPr="001B39CC">
        <w:rPr>
          <w:rFonts w:ascii="Calibri" w:eastAsia="Calibri" w:hAnsi="Calibri" w:cs="Times New Roman"/>
          <w:b/>
          <w:sz w:val="22"/>
          <w:szCs w:val="22"/>
        </w:rPr>
        <w:t xml:space="preserve"> comprehensive evidence bas</w:t>
      </w:r>
      <w:r w:rsidR="00BD65ED">
        <w:rPr>
          <w:rFonts w:ascii="Calibri" w:eastAsia="Calibri" w:hAnsi="Calibri" w:cs="Times New Roman"/>
          <w:b/>
          <w:sz w:val="22"/>
          <w:szCs w:val="22"/>
        </w:rPr>
        <w:t xml:space="preserve">e to inform policy development </w:t>
      </w:r>
    </w:p>
    <w:p w14:paraId="0B1A606E" w14:textId="3143F30C" w:rsidR="00F44EAF" w:rsidRDefault="00260F90" w:rsidP="00191482">
      <w:pPr>
        <w:spacing w:before="0" w:after="0" w:line="240" w:lineRule="auto"/>
        <w:rPr>
          <w:rFonts w:ascii="Calibri" w:eastAsia="Calibri" w:hAnsi="Calibri" w:cs="Times New Roman"/>
          <w:sz w:val="22"/>
          <w:szCs w:val="22"/>
        </w:rPr>
      </w:pPr>
      <w:r w:rsidRPr="00260F90">
        <w:rPr>
          <w:rFonts w:ascii="Calibri" w:eastAsia="Calibri" w:hAnsi="Calibri" w:cs="Times New Roman"/>
          <w:sz w:val="22"/>
          <w:szCs w:val="22"/>
        </w:rPr>
        <w:t xml:space="preserve">At the outset, it is important to distinguish between education data per se and the concept of a national education evidence base. Research datasets and administrative records are rich sources of information that underpin an education evidence base. Although data are an essential element of any evidence base, the ultimate purpose of the Productivity Commission inquiry is the evolution of a </w:t>
      </w:r>
      <w:r w:rsidRPr="006A0395">
        <w:rPr>
          <w:rFonts w:ascii="Calibri" w:eastAsia="Calibri" w:hAnsi="Calibri" w:cs="Times New Roman"/>
          <w:sz w:val="22"/>
          <w:szCs w:val="22"/>
        </w:rPr>
        <w:t xml:space="preserve">national evidence base for </w:t>
      </w:r>
      <w:r w:rsidR="00382975">
        <w:rPr>
          <w:rFonts w:ascii="Calibri" w:eastAsia="Calibri" w:hAnsi="Calibri" w:cs="Times New Roman"/>
          <w:sz w:val="22"/>
          <w:szCs w:val="22"/>
        </w:rPr>
        <w:t xml:space="preserve">both </w:t>
      </w:r>
      <w:r w:rsidRPr="006A0395">
        <w:rPr>
          <w:rFonts w:ascii="Calibri" w:eastAsia="Calibri" w:hAnsi="Calibri" w:cs="Times New Roman"/>
          <w:sz w:val="22"/>
          <w:szCs w:val="22"/>
        </w:rPr>
        <w:t xml:space="preserve">early childhood and school education. A robust evidence base would draw on quantitative and qualitative </w:t>
      </w:r>
      <w:r w:rsidR="002A615F" w:rsidRPr="006A0395">
        <w:rPr>
          <w:rFonts w:ascii="Calibri" w:eastAsia="Calibri" w:hAnsi="Calibri" w:cs="Times New Roman"/>
          <w:sz w:val="22"/>
          <w:szCs w:val="22"/>
        </w:rPr>
        <w:t>data</w:t>
      </w:r>
      <w:r w:rsidR="009631BC" w:rsidRPr="006A0395">
        <w:rPr>
          <w:rFonts w:ascii="Calibri" w:eastAsia="Calibri" w:hAnsi="Calibri" w:cs="Times New Roman"/>
          <w:sz w:val="22"/>
          <w:szCs w:val="22"/>
        </w:rPr>
        <w:t xml:space="preserve">, </w:t>
      </w:r>
      <w:r w:rsidRPr="006A0395">
        <w:rPr>
          <w:rFonts w:ascii="Calibri" w:eastAsia="Calibri" w:hAnsi="Calibri" w:cs="Times New Roman"/>
          <w:sz w:val="22"/>
          <w:szCs w:val="22"/>
        </w:rPr>
        <w:t xml:space="preserve">research and </w:t>
      </w:r>
      <w:r w:rsidR="009631BC" w:rsidRPr="006A0395">
        <w:rPr>
          <w:rFonts w:ascii="Calibri" w:eastAsia="Calibri" w:hAnsi="Calibri" w:cs="Times New Roman"/>
          <w:sz w:val="22"/>
          <w:szCs w:val="22"/>
        </w:rPr>
        <w:t>evidence</w:t>
      </w:r>
      <w:r w:rsidR="006A0395">
        <w:rPr>
          <w:rFonts w:ascii="Calibri" w:eastAsia="Calibri" w:hAnsi="Calibri" w:cs="Times New Roman"/>
          <w:sz w:val="22"/>
          <w:szCs w:val="22"/>
        </w:rPr>
        <w:t>,</w:t>
      </w:r>
      <w:r w:rsidR="009631BC" w:rsidRPr="006A0395">
        <w:rPr>
          <w:rFonts w:ascii="Calibri" w:eastAsia="Calibri" w:hAnsi="Calibri" w:cs="Times New Roman"/>
          <w:sz w:val="22"/>
          <w:szCs w:val="22"/>
        </w:rPr>
        <w:t xml:space="preserve"> and </w:t>
      </w:r>
      <w:r w:rsidRPr="006A0395">
        <w:rPr>
          <w:rFonts w:ascii="Calibri" w:eastAsia="Calibri" w:hAnsi="Calibri" w:cs="Times New Roman"/>
          <w:sz w:val="22"/>
          <w:szCs w:val="22"/>
        </w:rPr>
        <w:t>would be able to meaningfully inform policy deve</w:t>
      </w:r>
      <w:r w:rsidR="00A56488" w:rsidRPr="006A0395">
        <w:rPr>
          <w:rFonts w:ascii="Calibri" w:eastAsia="Calibri" w:hAnsi="Calibri" w:cs="Times New Roman"/>
          <w:sz w:val="22"/>
          <w:szCs w:val="22"/>
        </w:rPr>
        <w:t>lopment and decision-making. Good data is a prerequisite but not sufficient by itself for the formation of an ideal national evidence base. Given the Productivity Commission Issues Paper focuses on the underlying data of a national education evidence base, the NCEC submission will p</w:t>
      </w:r>
      <w:r w:rsidR="00A56488">
        <w:rPr>
          <w:rFonts w:ascii="Calibri" w:eastAsia="Calibri" w:hAnsi="Calibri" w:cs="Times New Roman"/>
          <w:sz w:val="22"/>
          <w:szCs w:val="22"/>
        </w:rPr>
        <w:t>articularly explore</w:t>
      </w:r>
      <w:r w:rsidR="00A56488" w:rsidRPr="00A56488">
        <w:rPr>
          <w:rFonts w:ascii="Calibri" w:eastAsia="Calibri" w:hAnsi="Calibri" w:cs="Times New Roman"/>
          <w:sz w:val="22"/>
          <w:szCs w:val="22"/>
        </w:rPr>
        <w:t xml:space="preserve"> the data dimensions of a comprehensive evidence base.</w:t>
      </w:r>
    </w:p>
    <w:p w14:paraId="0DF20E3E" w14:textId="77777777" w:rsidR="00260F90" w:rsidRDefault="00260F90" w:rsidP="00191482">
      <w:pPr>
        <w:spacing w:before="0" w:after="0" w:line="240" w:lineRule="auto"/>
        <w:rPr>
          <w:rFonts w:ascii="Calibri" w:eastAsia="Calibri" w:hAnsi="Calibri" w:cs="Times New Roman"/>
          <w:sz w:val="22"/>
          <w:szCs w:val="22"/>
        </w:rPr>
      </w:pPr>
    </w:p>
    <w:p w14:paraId="1A190F6E" w14:textId="7D3E4921" w:rsidR="00191482" w:rsidRDefault="00191482" w:rsidP="00191482">
      <w:pPr>
        <w:spacing w:before="0" w:after="0" w:line="240" w:lineRule="auto"/>
        <w:rPr>
          <w:rFonts w:ascii="Calibri" w:eastAsia="Calibri" w:hAnsi="Calibri" w:cs="Times New Roman"/>
          <w:sz w:val="22"/>
          <w:szCs w:val="22"/>
        </w:rPr>
      </w:pPr>
      <w:r w:rsidRPr="00FD43BE">
        <w:rPr>
          <w:rFonts w:ascii="Calibri" w:eastAsia="Calibri" w:hAnsi="Calibri" w:cs="Times New Roman"/>
          <w:sz w:val="22"/>
          <w:szCs w:val="22"/>
        </w:rPr>
        <w:t xml:space="preserve">As the preamble of the </w:t>
      </w:r>
      <w:r w:rsidRPr="001B39CC">
        <w:rPr>
          <w:rFonts w:ascii="Calibri" w:eastAsia="Calibri" w:hAnsi="Calibri" w:cs="Times New Roman"/>
          <w:i/>
          <w:sz w:val="22"/>
          <w:szCs w:val="22"/>
        </w:rPr>
        <w:t>Australian Education Act 2013</w:t>
      </w:r>
      <w:r w:rsidRPr="00FD43BE">
        <w:rPr>
          <w:rFonts w:ascii="Calibri" w:eastAsia="Calibri" w:hAnsi="Calibri" w:cs="Times New Roman"/>
          <w:sz w:val="22"/>
          <w:szCs w:val="22"/>
        </w:rPr>
        <w:t xml:space="preserve"> </w:t>
      </w:r>
      <w:r w:rsidR="00260623" w:rsidRPr="000B68B8">
        <w:rPr>
          <w:rFonts w:ascii="Calibri" w:eastAsia="Calibri" w:hAnsi="Calibri" w:cs="Times New Roman"/>
          <w:sz w:val="22"/>
          <w:szCs w:val="22"/>
        </w:rPr>
        <w:t>states</w:t>
      </w:r>
      <w:r w:rsidRPr="000B68B8">
        <w:rPr>
          <w:rFonts w:ascii="Calibri" w:eastAsia="Calibri" w:hAnsi="Calibri" w:cs="Times New Roman"/>
          <w:sz w:val="22"/>
          <w:szCs w:val="22"/>
        </w:rPr>
        <w:t>,</w:t>
      </w:r>
      <w:r w:rsidRPr="00FD43BE">
        <w:rPr>
          <w:rFonts w:ascii="Calibri" w:eastAsia="Calibri" w:hAnsi="Calibri" w:cs="Times New Roman"/>
          <w:sz w:val="22"/>
          <w:szCs w:val="22"/>
        </w:rPr>
        <w:t xml:space="preserve"> the Australian schooling system should be of “a high quality and be highly equitable in order for young Australians to become successful learners, confident and creative individuals, a</w:t>
      </w:r>
      <w:r w:rsidR="00DF6C78">
        <w:rPr>
          <w:rFonts w:ascii="Calibri" w:eastAsia="Calibri" w:hAnsi="Calibri" w:cs="Times New Roman"/>
          <w:sz w:val="22"/>
          <w:szCs w:val="22"/>
        </w:rPr>
        <w:t>nd active and informed citizens</w:t>
      </w:r>
      <w:r w:rsidRPr="00FD43BE">
        <w:rPr>
          <w:rFonts w:ascii="Calibri" w:eastAsia="Calibri" w:hAnsi="Calibri" w:cs="Times New Roman"/>
          <w:sz w:val="22"/>
          <w:szCs w:val="22"/>
        </w:rPr>
        <w:t>”</w:t>
      </w:r>
      <w:r w:rsidR="00DF6C78">
        <w:rPr>
          <w:rFonts w:ascii="Calibri" w:eastAsia="Calibri" w:hAnsi="Calibri" w:cs="Times New Roman"/>
          <w:sz w:val="22"/>
          <w:szCs w:val="22"/>
        </w:rPr>
        <w:t>.</w:t>
      </w:r>
      <w:r w:rsidRPr="00FD43BE">
        <w:rPr>
          <w:rFonts w:ascii="Calibri" w:eastAsia="Calibri" w:hAnsi="Calibri" w:cs="Times New Roman"/>
          <w:sz w:val="22"/>
          <w:szCs w:val="22"/>
        </w:rPr>
        <w:t xml:space="preserve"> This aspiration is the cornerstone of a successful workforce, strong economy, and better productivity. </w:t>
      </w:r>
    </w:p>
    <w:p w14:paraId="795DBF55" w14:textId="033785FF" w:rsidR="00B40C48" w:rsidRDefault="00191482" w:rsidP="00191482">
      <w:pPr>
        <w:spacing w:before="0" w:after="0" w:line="240" w:lineRule="auto"/>
        <w:rPr>
          <w:rFonts w:ascii="Calibri" w:eastAsia="Calibri" w:hAnsi="Calibri" w:cs="Times New Roman"/>
          <w:sz w:val="22"/>
          <w:szCs w:val="22"/>
        </w:rPr>
      </w:pPr>
      <w:r>
        <w:rPr>
          <w:rFonts w:ascii="Calibri" w:eastAsia="Calibri" w:hAnsi="Calibri" w:cs="Times New Roman"/>
          <w:sz w:val="22"/>
          <w:szCs w:val="22"/>
        </w:rPr>
        <w:t xml:space="preserve">The preamble also underscores that Commonwealth Government </w:t>
      </w:r>
      <w:r w:rsidR="00E226F1">
        <w:rPr>
          <w:rFonts w:ascii="Calibri" w:eastAsia="Calibri" w:hAnsi="Calibri" w:cs="Times New Roman"/>
          <w:sz w:val="22"/>
          <w:szCs w:val="22"/>
        </w:rPr>
        <w:t>support</w:t>
      </w:r>
      <w:r w:rsidRPr="00191482">
        <w:rPr>
          <w:rFonts w:ascii="Calibri" w:eastAsia="Calibri" w:hAnsi="Calibri" w:cs="Times New Roman"/>
          <w:sz w:val="22"/>
          <w:szCs w:val="22"/>
        </w:rPr>
        <w:t xml:space="preserve"> will “be based on the needs of Australian schools and school students, and on evidence of how to provide an excellent</w:t>
      </w:r>
      <w:r w:rsidR="00DF6C78">
        <w:rPr>
          <w:rFonts w:ascii="Calibri" w:eastAsia="Calibri" w:hAnsi="Calibri" w:cs="Times New Roman"/>
          <w:sz w:val="22"/>
          <w:szCs w:val="22"/>
        </w:rPr>
        <w:t xml:space="preserve"> education for school students</w:t>
      </w:r>
      <w:r w:rsidR="006D3E97">
        <w:rPr>
          <w:rFonts w:ascii="Calibri" w:eastAsia="Calibri" w:hAnsi="Calibri" w:cs="Times New Roman"/>
          <w:sz w:val="22"/>
          <w:szCs w:val="22"/>
        </w:rPr>
        <w:t>”</w:t>
      </w:r>
      <w:r w:rsidR="00DF6C78">
        <w:rPr>
          <w:rFonts w:ascii="Calibri" w:eastAsia="Calibri" w:hAnsi="Calibri" w:cs="Times New Roman"/>
          <w:sz w:val="22"/>
          <w:szCs w:val="22"/>
        </w:rPr>
        <w:t>.</w:t>
      </w:r>
      <w:r w:rsidR="006D3E97">
        <w:rPr>
          <w:rFonts w:ascii="Calibri" w:eastAsia="Calibri" w:hAnsi="Calibri" w:cs="Times New Roman"/>
          <w:sz w:val="22"/>
          <w:szCs w:val="22"/>
        </w:rPr>
        <w:t xml:space="preserve"> By</w:t>
      </w:r>
      <w:r w:rsidRPr="00191482">
        <w:rPr>
          <w:rFonts w:ascii="Calibri" w:eastAsia="Calibri" w:hAnsi="Calibri" w:cs="Times New Roman"/>
          <w:sz w:val="22"/>
          <w:szCs w:val="22"/>
        </w:rPr>
        <w:t xml:space="preserve"> further developing the national evidence base for schooling</w:t>
      </w:r>
      <w:r w:rsidR="006D3E97">
        <w:rPr>
          <w:rFonts w:ascii="Calibri" w:eastAsia="Calibri" w:hAnsi="Calibri" w:cs="Times New Roman"/>
          <w:sz w:val="22"/>
          <w:szCs w:val="22"/>
        </w:rPr>
        <w:t xml:space="preserve">, </w:t>
      </w:r>
      <w:r w:rsidR="00F32777">
        <w:rPr>
          <w:rFonts w:ascii="Calibri" w:eastAsia="Calibri" w:hAnsi="Calibri" w:cs="Times New Roman"/>
          <w:sz w:val="22"/>
          <w:szCs w:val="22"/>
        </w:rPr>
        <w:t>government policy</w:t>
      </w:r>
      <w:r w:rsidR="00871164">
        <w:rPr>
          <w:rFonts w:ascii="Calibri" w:eastAsia="Calibri" w:hAnsi="Calibri" w:cs="Times New Roman"/>
          <w:sz w:val="22"/>
          <w:szCs w:val="22"/>
        </w:rPr>
        <w:t xml:space="preserve"> can support all children to achieve excellent outcomes, regardless of their postcode or </w:t>
      </w:r>
      <w:r w:rsidR="000743DD">
        <w:rPr>
          <w:rFonts w:ascii="Calibri" w:eastAsia="Calibri" w:hAnsi="Calibri" w:cs="Times New Roman"/>
          <w:sz w:val="22"/>
          <w:szCs w:val="22"/>
        </w:rPr>
        <w:t xml:space="preserve">life </w:t>
      </w:r>
      <w:r w:rsidR="009F6563">
        <w:rPr>
          <w:rFonts w:ascii="Calibri" w:eastAsia="Calibri" w:hAnsi="Calibri" w:cs="Times New Roman"/>
          <w:sz w:val="22"/>
          <w:szCs w:val="22"/>
        </w:rPr>
        <w:t>circumstances</w:t>
      </w:r>
      <w:r w:rsidRPr="00191482">
        <w:rPr>
          <w:rFonts w:ascii="Calibri" w:eastAsia="Calibri" w:hAnsi="Calibri" w:cs="Times New Roman"/>
          <w:sz w:val="22"/>
          <w:szCs w:val="22"/>
        </w:rPr>
        <w:t xml:space="preserve">. </w:t>
      </w:r>
    </w:p>
    <w:p w14:paraId="44C57204" w14:textId="77777777" w:rsidR="00B40C48" w:rsidRPr="000B68B8" w:rsidRDefault="00B40C48" w:rsidP="00191482">
      <w:pPr>
        <w:spacing w:before="0" w:after="0" w:line="240" w:lineRule="auto"/>
        <w:rPr>
          <w:rFonts w:ascii="Calibri" w:eastAsia="Calibri" w:hAnsi="Calibri" w:cs="Times New Roman"/>
          <w:sz w:val="22"/>
          <w:szCs w:val="22"/>
        </w:rPr>
      </w:pPr>
    </w:p>
    <w:p w14:paraId="15D07F5F" w14:textId="041C4B73" w:rsidR="00B40C48" w:rsidRPr="000B68B8" w:rsidRDefault="00B40C48" w:rsidP="00191482">
      <w:pPr>
        <w:spacing w:before="0" w:after="0" w:line="240" w:lineRule="auto"/>
        <w:rPr>
          <w:rFonts w:ascii="Calibri" w:eastAsia="Calibri" w:hAnsi="Calibri" w:cs="Times New Roman"/>
          <w:sz w:val="22"/>
          <w:szCs w:val="22"/>
        </w:rPr>
      </w:pPr>
      <w:r w:rsidRPr="000B68B8">
        <w:rPr>
          <w:rFonts w:ascii="Calibri" w:eastAsia="Calibri" w:hAnsi="Calibri" w:cs="Times New Roman"/>
          <w:sz w:val="22"/>
          <w:szCs w:val="22"/>
        </w:rPr>
        <w:t>It</w:t>
      </w:r>
      <w:r w:rsidR="00926B81" w:rsidRPr="000B68B8">
        <w:rPr>
          <w:rFonts w:ascii="Calibri" w:eastAsia="Calibri" w:hAnsi="Calibri" w:cs="Times New Roman"/>
          <w:sz w:val="22"/>
          <w:szCs w:val="22"/>
        </w:rPr>
        <w:t xml:space="preserve"> is worth </w:t>
      </w:r>
      <w:r w:rsidRPr="000B68B8">
        <w:rPr>
          <w:rFonts w:ascii="Calibri" w:eastAsia="Calibri" w:hAnsi="Calibri" w:cs="Times New Roman"/>
          <w:sz w:val="22"/>
          <w:szCs w:val="22"/>
        </w:rPr>
        <w:t>noting</w:t>
      </w:r>
      <w:r w:rsidR="00926B81" w:rsidRPr="000B68B8">
        <w:rPr>
          <w:rFonts w:ascii="Calibri" w:eastAsia="Calibri" w:hAnsi="Calibri" w:cs="Times New Roman"/>
          <w:sz w:val="22"/>
          <w:szCs w:val="22"/>
        </w:rPr>
        <w:t xml:space="preserve"> that </w:t>
      </w:r>
      <w:r w:rsidR="00191482" w:rsidRPr="000B68B8">
        <w:rPr>
          <w:rFonts w:ascii="Calibri" w:eastAsia="Calibri" w:hAnsi="Calibri" w:cs="Times New Roman"/>
          <w:sz w:val="22"/>
          <w:szCs w:val="22"/>
        </w:rPr>
        <w:t>t</w:t>
      </w:r>
      <w:r w:rsidR="00926B81" w:rsidRPr="000B68B8">
        <w:rPr>
          <w:rFonts w:ascii="Calibri" w:eastAsia="Calibri" w:hAnsi="Calibri" w:cs="Times New Roman"/>
          <w:sz w:val="22"/>
          <w:szCs w:val="22"/>
        </w:rPr>
        <w:t xml:space="preserve">here are a raft of </w:t>
      </w:r>
      <w:r w:rsidR="00260623" w:rsidRPr="000B68B8">
        <w:rPr>
          <w:rFonts w:ascii="Calibri" w:eastAsia="Calibri" w:hAnsi="Calibri" w:cs="Times New Roman"/>
          <w:sz w:val="22"/>
          <w:szCs w:val="22"/>
        </w:rPr>
        <w:t xml:space="preserve">national </w:t>
      </w:r>
      <w:r w:rsidR="00926B81" w:rsidRPr="000B68B8">
        <w:rPr>
          <w:rFonts w:ascii="Calibri" w:eastAsia="Calibri" w:hAnsi="Calibri" w:cs="Times New Roman"/>
          <w:sz w:val="22"/>
          <w:szCs w:val="22"/>
        </w:rPr>
        <w:t>projects which</w:t>
      </w:r>
      <w:r w:rsidR="00191482" w:rsidRPr="000B68B8">
        <w:rPr>
          <w:rFonts w:ascii="Calibri" w:eastAsia="Calibri" w:hAnsi="Calibri" w:cs="Times New Roman"/>
          <w:sz w:val="22"/>
          <w:szCs w:val="22"/>
        </w:rPr>
        <w:t xml:space="preserve"> have already made progress in developing the data needed to</w:t>
      </w:r>
      <w:r w:rsidR="00F06692" w:rsidRPr="000B68B8">
        <w:rPr>
          <w:rFonts w:ascii="Calibri" w:eastAsia="Calibri" w:hAnsi="Calibri" w:cs="Times New Roman"/>
          <w:sz w:val="22"/>
          <w:szCs w:val="22"/>
        </w:rPr>
        <w:t xml:space="preserve"> build the </w:t>
      </w:r>
      <w:r w:rsidR="00260623" w:rsidRPr="000B68B8">
        <w:rPr>
          <w:rFonts w:ascii="Calibri" w:eastAsia="Calibri" w:hAnsi="Calibri" w:cs="Times New Roman"/>
          <w:sz w:val="22"/>
          <w:szCs w:val="22"/>
        </w:rPr>
        <w:t xml:space="preserve">national </w:t>
      </w:r>
      <w:r w:rsidR="00F06692" w:rsidRPr="000B68B8">
        <w:rPr>
          <w:rFonts w:ascii="Calibri" w:eastAsia="Calibri" w:hAnsi="Calibri" w:cs="Times New Roman"/>
          <w:sz w:val="22"/>
          <w:szCs w:val="22"/>
        </w:rPr>
        <w:t>evidence base required to</w:t>
      </w:r>
      <w:r w:rsidR="00191482" w:rsidRPr="000B68B8">
        <w:rPr>
          <w:rFonts w:ascii="Calibri" w:eastAsia="Calibri" w:hAnsi="Calibri" w:cs="Times New Roman"/>
          <w:sz w:val="22"/>
          <w:szCs w:val="22"/>
        </w:rPr>
        <w:t xml:space="preserve"> </w:t>
      </w:r>
      <w:r w:rsidR="00496203" w:rsidRPr="000B68B8">
        <w:rPr>
          <w:rFonts w:ascii="Calibri" w:eastAsia="Calibri" w:hAnsi="Calibri" w:cs="Times New Roman"/>
          <w:sz w:val="22"/>
          <w:szCs w:val="22"/>
        </w:rPr>
        <w:t>improve education outcomes</w:t>
      </w:r>
      <w:r w:rsidR="00260623" w:rsidRPr="000B68B8">
        <w:rPr>
          <w:rFonts w:ascii="Calibri" w:eastAsia="Calibri" w:hAnsi="Calibri" w:cs="Times New Roman"/>
          <w:sz w:val="22"/>
          <w:szCs w:val="22"/>
        </w:rPr>
        <w:t xml:space="preserve"> for all young Australians</w:t>
      </w:r>
      <w:r w:rsidR="00191482" w:rsidRPr="000B68B8">
        <w:rPr>
          <w:rFonts w:ascii="Calibri" w:eastAsia="Calibri" w:hAnsi="Calibri" w:cs="Times New Roman"/>
          <w:sz w:val="22"/>
          <w:szCs w:val="22"/>
        </w:rPr>
        <w:t xml:space="preserve">. </w:t>
      </w:r>
      <w:r w:rsidR="00260623" w:rsidRPr="000B68B8">
        <w:rPr>
          <w:rFonts w:ascii="Calibri" w:eastAsia="Calibri" w:hAnsi="Calibri" w:cs="Times New Roman"/>
          <w:sz w:val="22"/>
          <w:szCs w:val="22"/>
        </w:rPr>
        <w:t xml:space="preserve"> </w:t>
      </w:r>
      <w:r w:rsidRPr="000B68B8">
        <w:rPr>
          <w:rFonts w:ascii="Calibri" w:eastAsia="Calibri" w:hAnsi="Calibri" w:cs="Times New Roman"/>
          <w:sz w:val="22"/>
          <w:szCs w:val="22"/>
        </w:rPr>
        <w:t>One of the challenges of enhancing and consolidating the national education evidence base is in fact navigating the existing intergovernmental policy discussions and data projects that are under</w:t>
      </w:r>
      <w:r w:rsidR="00DF6C78">
        <w:rPr>
          <w:rFonts w:ascii="Calibri" w:eastAsia="Calibri" w:hAnsi="Calibri" w:cs="Times New Roman"/>
          <w:sz w:val="22"/>
          <w:szCs w:val="22"/>
        </w:rPr>
        <w:t xml:space="preserve"> </w:t>
      </w:r>
      <w:r w:rsidRPr="000B68B8">
        <w:rPr>
          <w:rFonts w:ascii="Calibri" w:eastAsia="Calibri" w:hAnsi="Calibri" w:cs="Times New Roman"/>
          <w:sz w:val="22"/>
          <w:szCs w:val="22"/>
        </w:rPr>
        <w:t xml:space="preserve">way. </w:t>
      </w:r>
      <w:r w:rsidR="00260623" w:rsidRPr="000B68B8">
        <w:rPr>
          <w:rFonts w:ascii="Calibri" w:eastAsia="Calibri" w:hAnsi="Calibri" w:cs="Times New Roman"/>
          <w:sz w:val="22"/>
          <w:szCs w:val="22"/>
        </w:rPr>
        <w:t>Much of this work is being undertaken though the COAG Education Council, and in particular through the Data Strategy Group of which the NCEC is a member.</w:t>
      </w:r>
      <w:r w:rsidRPr="000B68B8">
        <w:rPr>
          <w:rFonts w:ascii="Calibri" w:eastAsia="Calibri" w:hAnsi="Calibri" w:cs="Times New Roman"/>
          <w:sz w:val="22"/>
          <w:szCs w:val="22"/>
        </w:rPr>
        <w:t xml:space="preserve"> </w:t>
      </w:r>
    </w:p>
    <w:p w14:paraId="44847338" w14:textId="77777777" w:rsidR="00B40C48" w:rsidRDefault="00B40C48" w:rsidP="00191482">
      <w:pPr>
        <w:spacing w:before="0" w:after="0" w:line="240" w:lineRule="auto"/>
        <w:rPr>
          <w:rFonts w:ascii="Calibri" w:eastAsia="Calibri" w:hAnsi="Calibri" w:cs="Times New Roman"/>
          <w:sz w:val="22"/>
          <w:szCs w:val="22"/>
        </w:rPr>
      </w:pPr>
    </w:p>
    <w:p w14:paraId="231B833C" w14:textId="7B3CA2CC" w:rsidR="00191482" w:rsidRPr="00B40C48" w:rsidRDefault="00191482" w:rsidP="00191482">
      <w:pPr>
        <w:spacing w:before="0" w:after="0" w:line="240" w:lineRule="auto"/>
        <w:rPr>
          <w:rFonts w:ascii="Calibri" w:eastAsia="Calibri" w:hAnsi="Calibri" w:cs="Times New Roman"/>
          <w:color w:val="0070C0"/>
          <w:sz w:val="22"/>
          <w:szCs w:val="22"/>
        </w:rPr>
      </w:pPr>
      <w:r w:rsidRPr="00FD43BE">
        <w:rPr>
          <w:rFonts w:ascii="Calibri" w:eastAsia="Calibri" w:hAnsi="Calibri" w:cs="Times New Roman"/>
          <w:sz w:val="22"/>
          <w:szCs w:val="22"/>
        </w:rPr>
        <w:t>The collection</w:t>
      </w:r>
      <w:r>
        <w:rPr>
          <w:rFonts w:ascii="Calibri" w:eastAsia="Calibri" w:hAnsi="Calibri" w:cs="Times New Roman"/>
          <w:sz w:val="22"/>
          <w:szCs w:val="22"/>
        </w:rPr>
        <w:t xml:space="preserve"> of data for a national education evidence base</w:t>
      </w:r>
      <w:r w:rsidRPr="00FD43BE">
        <w:rPr>
          <w:rFonts w:ascii="Calibri" w:eastAsia="Calibri" w:hAnsi="Calibri" w:cs="Times New Roman"/>
          <w:sz w:val="22"/>
          <w:szCs w:val="22"/>
        </w:rPr>
        <w:t xml:space="preserve"> should also respect the diversity of Catholic education</w:t>
      </w:r>
      <w:r w:rsidR="000141D6">
        <w:rPr>
          <w:rFonts w:ascii="Calibri" w:eastAsia="Calibri" w:hAnsi="Calibri" w:cs="Times New Roman"/>
          <w:sz w:val="22"/>
          <w:szCs w:val="22"/>
        </w:rPr>
        <w:t xml:space="preserve"> and its governance arrangements</w:t>
      </w:r>
      <w:r w:rsidRPr="00FD43BE">
        <w:rPr>
          <w:rFonts w:ascii="Calibri" w:eastAsia="Calibri" w:hAnsi="Calibri" w:cs="Times New Roman"/>
          <w:sz w:val="22"/>
          <w:szCs w:val="22"/>
        </w:rPr>
        <w:t xml:space="preserve">, which may </w:t>
      </w:r>
      <w:r>
        <w:rPr>
          <w:rFonts w:ascii="Calibri" w:eastAsia="Calibri" w:hAnsi="Calibri" w:cs="Times New Roman"/>
          <w:sz w:val="22"/>
          <w:szCs w:val="22"/>
        </w:rPr>
        <w:t>not be able to solve some</w:t>
      </w:r>
      <w:r w:rsidRPr="00FD43BE">
        <w:rPr>
          <w:rFonts w:ascii="Calibri" w:eastAsia="Calibri" w:hAnsi="Calibri" w:cs="Times New Roman"/>
          <w:sz w:val="22"/>
          <w:szCs w:val="22"/>
        </w:rPr>
        <w:t xml:space="preserve"> data issues as easily as the government sector, where there is a singl</w:t>
      </w:r>
      <w:r>
        <w:rPr>
          <w:rFonts w:ascii="Calibri" w:eastAsia="Calibri" w:hAnsi="Calibri" w:cs="Times New Roman"/>
          <w:sz w:val="22"/>
          <w:szCs w:val="22"/>
        </w:rPr>
        <w:t xml:space="preserve">e </w:t>
      </w:r>
      <w:r w:rsidR="00382975">
        <w:rPr>
          <w:rFonts w:ascii="Calibri" w:eastAsia="Calibri" w:hAnsi="Calibri" w:cs="Times New Roman"/>
          <w:sz w:val="22"/>
          <w:szCs w:val="22"/>
        </w:rPr>
        <w:t xml:space="preserve">school owner, operator and </w:t>
      </w:r>
      <w:r>
        <w:rPr>
          <w:rFonts w:ascii="Calibri" w:eastAsia="Calibri" w:hAnsi="Calibri" w:cs="Times New Roman"/>
          <w:sz w:val="22"/>
          <w:szCs w:val="22"/>
        </w:rPr>
        <w:lastRenderedPageBreak/>
        <w:t xml:space="preserve">employer. </w:t>
      </w:r>
      <w:r w:rsidR="000141D6">
        <w:rPr>
          <w:rFonts w:ascii="Calibri" w:eastAsia="Calibri" w:hAnsi="Calibri" w:cs="Times New Roman"/>
          <w:sz w:val="22"/>
          <w:szCs w:val="22"/>
        </w:rPr>
        <w:t xml:space="preserve">The governance arrangements of Catholic schools are more devolved. </w:t>
      </w:r>
      <w:r>
        <w:rPr>
          <w:rFonts w:ascii="Calibri" w:eastAsia="Calibri" w:hAnsi="Calibri" w:cs="Times New Roman"/>
          <w:sz w:val="22"/>
          <w:szCs w:val="22"/>
        </w:rPr>
        <w:t>More</w:t>
      </w:r>
      <w:r w:rsidRPr="000B68B8">
        <w:rPr>
          <w:rFonts w:ascii="Calibri" w:eastAsia="Calibri" w:hAnsi="Calibri" w:cs="Times New Roman"/>
          <w:sz w:val="22"/>
          <w:szCs w:val="22"/>
        </w:rPr>
        <w:t xml:space="preserve">over, not all Catholic systems are </w:t>
      </w:r>
      <w:r w:rsidR="00B40C48" w:rsidRPr="000B68B8">
        <w:rPr>
          <w:rFonts w:ascii="Calibri" w:eastAsia="Calibri" w:hAnsi="Calibri" w:cs="Times New Roman"/>
          <w:sz w:val="22"/>
          <w:szCs w:val="22"/>
        </w:rPr>
        <w:t xml:space="preserve">of </w:t>
      </w:r>
      <w:r w:rsidRPr="000B68B8">
        <w:rPr>
          <w:rFonts w:ascii="Calibri" w:eastAsia="Calibri" w:hAnsi="Calibri" w:cs="Times New Roman"/>
          <w:sz w:val="22"/>
          <w:szCs w:val="22"/>
        </w:rPr>
        <w:t>the s</w:t>
      </w:r>
      <w:r>
        <w:rPr>
          <w:rFonts w:ascii="Calibri" w:eastAsia="Calibri" w:hAnsi="Calibri" w:cs="Times New Roman"/>
          <w:sz w:val="22"/>
          <w:szCs w:val="22"/>
        </w:rPr>
        <w:t>ame size</w:t>
      </w:r>
      <w:r w:rsidR="00150D3F">
        <w:rPr>
          <w:rFonts w:ascii="Calibri" w:eastAsia="Calibri" w:hAnsi="Calibri" w:cs="Times New Roman"/>
          <w:sz w:val="22"/>
          <w:szCs w:val="22"/>
        </w:rPr>
        <w:t xml:space="preserve"> and capacity</w:t>
      </w:r>
      <w:r>
        <w:rPr>
          <w:rFonts w:ascii="Calibri" w:eastAsia="Calibri" w:hAnsi="Calibri" w:cs="Times New Roman"/>
          <w:sz w:val="22"/>
          <w:szCs w:val="22"/>
        </w:rPr>
        <w:t>.</w:t>
      </w:r>
      <w:r w:rsidR="00FE0876">
        <w:rPr>
          <w:rFonts w:ascii="Calibri" w:eastAsia="Calibri" w:hAnsi="Calibri" w:cs="Times New Roman"/>
          <w:sz w:val="22"/>
          <w:szCs w:val="22"/>
        </w:rPr>
        <w:t xml:space="preserve"> For example, although there are 588 Catholic schools in NSW and 493 Catholic schools in Victoria, there are 37 Catholic schools in Tasmania and 30 Catholic schools in the ACT. </w:t>
      </w:r>
      <w:r w:rsidR="00926F91">
        <w:rPr>
          <w:rFonts w:ascii="Calibri" w:eastAsia="Calibri" w:hAnsi="Calibri" w:cs="Times New Roman"/>
          <w:sz w:val="22"/>
          <w:szCs w:val="22"/>
        </w:rPr>
        <w:t>This diversity and</w:t>
      </w:r>
      <w:r w:rsidR="00D52E9D">
        <w:rPr>
          <w:rFonts w:ascii="Calibri" w:eastAsia="Calibri" w:hAnsi="Calibri" w:cs="Times New Roman"/>
          <w:sz w:val="22"/>
          <w:szCs w:val="22"/>
        </w:rPr>
        <w:t xml:space="preserve"> the </w:t>
      </w:r>
      <w:r w:rsidR="00926F91">
        <w:rPr>
          <w:rFonts w:ascii="Calibri" w:eastAsia="Calibri" w:hAnsi="Calibri" w:cs="Times New Roman"/>
          <w:sz w:val="22"/>
          <w:szCs w:val="22"/>
        </w:rPr>
        <w:t xml:space="preserve">potential </w:t>
      </w:r>
      <w:r w:rsidR="00D52E9D">
        <w:rPr>
          <w:rFonts w:ascii="Calibri" w:eastAsia="Calibri" w:hAnsi="Calibri" w:cs="Times New Roman"/>
          <w:sz w:val="22"/>
          <w:szCs w:val="22"/>
        </w:rPr>
        <w:t xml:space="preserve">impact of any </w:t>
      </w:r>
      <w:r w:rsidR="00926F91">
        <w:rPr>
          <w:rFonts w:ascii="Calibri" w:eastAsia="Calibri" w:hAnsi="Calibri" w:cs="Times New Roman"/>
          <w:sz w:val="22"/>
          <w:szCs w:val="22"/>
        </w:rPr>
        <w:t xml:space="preserve">new </w:t>
      </w:r>
      <w:r w:rsidR="00DF6C78">
        <w:rPr>
          <w:rFonts w:ascii="Calibri" w:eastAsia="Calibri" w:hAnsi="Calibri" w:cs="Times New Roman"/>
          <w:sz w:val="22"/>
          <w:szCs w:val="22"/>
        </w:rPr>
        <w:t>data-</w:t>
      </w:r>
      <w:r w:rsidR="00D52E9D">
        <w:rPr>
          <w:rFonts w:ascii="Calibri" w:eastAsia="Calibri" w:hAnsi="Calibri" w:cs="Times New Roman"/>
          <w:sz w:val="22"/>
          <w:szCs w:val="22"/>
        </w:rPr>
        <w:t xml:space="preserve">gathering process </w:t>
      </w:r>
      <w:r w:rsidR="00926F91">
        <w:rPr>
          <w:rFonts w:ascii="Calibri" w:eastAsia="Calibri" w:hAnsi="Calibri" w:cs="Times New Roman"/>
          <w:sz w:val="22"/>
          <w:szCs w:val="22"/>
        </w:rPr>
        <w:t xml:space="preserve">in different </w:t>
      </w:r>
      <w:r w:rsidR="00D52E9D">
        <w:rPr>
          <w:rFonts w:ascii="Calibri" w:eastAsia="Calibri" w:hAnsi="Calibri" w:cs="Times New Roman"/>
          <w:sz w:val="22"/>
          <w:szCs w:val="22"/>
        </w:rPr>
        <w:t xml:space="preserve">jurisdictions </w:t>
      </w:r>
      <w:r w:rsidR="00926F91">
        <w:rPr>
          <w:rFonts w:ascii="Calibri" w:eastAsia="Calibri" w:hAnsi="Calibri" w:cs="Times New Roman"/>
          <w:sz w:val="22"/>
          <w:szCs w:val="22"/>
        </w:rPr>
        <w:t xml:space="preserve">should be considered. Early consultation with affected parties is </w:t>
      </w:r>
      <w:r w:rsidR="00B40C48">
        <w:rPr>
          <w:rFonts w:ascii="Calibri" w:eastAsia="Calibri" w:hAnsi="Calibri" w:cs="Times New Roman"/>
          <w:sz w:val="22"/>
          <w:szCs w:val="22"/>
        </w:rPr>
        <w:t>essential</w:t>
      </w:r>
      <w:r w:rsidR="00926F91">
        <w:rPr>
          <w:rFonts w:ascii="Calibri" w:eastAsia="Calibri" w:hAnsi="Calibri" w:cs="Times New Roman"/>
          <w:sz w:val="22"/>
          <w:szCs w:val="22"/>
        </w:rPr>
        <w:t xml:space="preserve">. </w:t>
      </w:r>
    </w:p>
    <w:p w14:paraId="71865143" w14:textId="77777777" w:rsidR="00191482" w:rsidRDefault="00191482" w:rsidP="00FD43BE">
      <w:pPr>
        <w:spacing w:before="0" w:after="0" w:line="240" w:lineRule="auto"/>
        <w:rPr>
          <w:rFonts w:ascii="Calibri" w:eastAsia="Calibri" w:hAnsi="Calibri" w:cs="Times New Roman"/>
          <w:sz w:val="22"/>
          <w:szCs w:val="22"/>
        </w:rPr>
      </w:pPr>
    </w:p>
    <w:p w14:paraId="7A9C264E" w14:textId="09E9535C" w:rsidR="0055386D" w:rsidRPr="0055386D" w:rsidRDefault="0055386D" w:rsidP="00FD43BE">
      <w:pPr>
        <w:spacing w:before="0" w:after="0" w:line="240" w:lineRule="auto"/>
        <w:rPr>
          <w:rFonts w:ascii="Calibri" w:eastAsia="Calibri" w:hAnsi="Calibri" w:cs="Times New Roman"/>
          <w:i/>
          <w:sz w:val="22"/>
          <w:szCs w:val="22"/>
        </w:rPr>
      </w:pPr>
      <w:r w:rsidRPr="0055386D">
        <w:rPr>
          <w:rFonts w:ascii="Calibri" w:eastAsia="Calibri" w:hAnsi="Calibri" w:cs="Times New Roman"/>
          <w:i/>
          <w:sz w:val="22"/>
          <w:szCs w:val="22"/>
        </w:rPr>
        <w:t>A national evidence base should not become an exercise in data for data’s sake</w:t>
      </w:r>
    </w:p>
    <w:p w14:paraId="48E86795" w14:textId="137610D8" w:rsidR="00C545A4" w:rsidRPr="00FD43BE" w:rsidRDefault="00191482" w:rsidP="00FD43BE">
      <w:pPr>
        <w:spacing w:before="0" w:after="0" w:line="240" w:lineRule="auto"/>
        <w:rPr>
          <w:rFonts w:ascii="Calibri" w:eastAsia="Calibri" w:hAnsi="Calibri" w:cs="Times New Roman"/>
          <w:sz w:val="22"/>
          <w:szCs w:val="22"/>
        </w:rPr>
      </w:pPr>
      <w:r>
        <w:rPr>
          <w:rFonts w:ascii="Calibri" w:eastAsia="Calibri" w:hAnsi="Calibri" w:cs="Times New Roman"/>
          <w:sz w:val="22"/>
          <w:szCs w:val="22"/>
        </w:rPr>
        <w:t>Catholic education believes t</w:t>
      </w:r>
      <w:r w:rsidR="00A41199">
        <w:rPr>
          <w:rFonts w:ascii="Calibri" w:eastAsia="Calibri" w:hAnsi="Calibri" w:cs="Times New Roman"/>
          <w:sz w:val="22"/>
          <w:szCs w:val="22"/>
        </w:rPr>
        <w:t>he national education evidence base should be wide-ranging</w:t>
      </w:r>
      <w:r w:rsidR="00470210">
        <w:rPr>
          <w:rFonts w:ascii="Calibri" w:eastAsia="Calibri" w:hAnsi="Calibri" w:cs="Times New Roman"/>
          <w:sz w:val="22"/>
          <w:szCs w:val="22"/>
        </w:rPr>
        <w:t>, longitudinal</w:t>
      </w:r>
      <w:r w:rsidR="00A41199">
        <w:rPr>
          <w:rFonts w:ascii="Calibri" w:eastAsia="Calibri" w:hAnsi="Calibri" w:cs="Times New Roman"/>
          <w:sz w:val="22"/>
          <w:szCs w:val="22"/>
        </w:rPr>
        <w:t xml:space="preserve"> and ambitious</w:t>
      </w:r>
      <w:r w:rsidR="00D52E9D">
        <w:rPr>
          <w:rFonts w:ascii="Calibri" w:eastAsia="Calibri" w:hAnsi="Calibri" w:cs="Times New Roman"/>
          <w:sz w:val="22"/>
          <w:szCs w:val="22"/>
        </w:rPr>
        <w:t>, with well-considered li</w:t>
      </w:r>
      <w:r w:rsidR="00DF6C78">
        <w:rPr>
          <w:rFonts w:ascii="Calibri" w:eastAsia="Calibri" w:hAnsi="Calibri" w:cs="Times New Roman"/>
          <w:sz w:val="22"/>
          <w:szCs w:val="22"/>
        </w:rPr>
        <w:t>nkage opportunities across data</w:t>
      </w:r>
      <w:r w:rsidR="00D52E9D">
        <w:rPr>
          <w:rFonts w:ascii="Calibri" w:eastAsia="Calibri" w:hAnsi="Calibri" w:cs="Times New Roman"/>
          <w:sz w:val="22"/>
          <w:szCs w:val="22"/>
        </w:rPr>
        <w:t>sets both within and beyond the education domain. However, it should</w:t>
      </w:r>
      <w:r w:rsidR="00A41199">
        <w:rPr>
          <w:rFonts w:ascii="Calibri" w:eastAsia="Calibri" w:hAnsi="Calibri" w:cs="Times New Roman"/>
          <w:sz w:val="22"/>
          <w:szCs w:val="22"/>
        </w:rPr>
        <w:t xml:space="preserve"> not become an exercise in data for data’s sake. The evidence should be framed by strategic objectives and an overarching purpose. Moreover, a broad education evidence base, characterised by </w:t>
      </w:r>
      <w:r w:rsidR="00A90CC5">
        <w:rPr>
          <w:rFonts w:ascii="Calibri" w:eastAsia="Calibri" w:hAnsi="Calibri" w:cs="Times New Roman"/>
          <w:sz w:val="22"/>
          <w:szCs w:val="22"/>
        </w:rPr>
        <w:t>considered</w:t>
      </w:r>
      <w:r w:rsidR="002B2600">
        <w:rPr>
          <w:rFonts w:ascii="Calibri" w:eastAsia="Calibri" w:hAnsi="Calibri" w:cs="Times New Roman"/>
          <w:sz w:val="22"/>
          <w:szCs w:val="22"/>
        </w:rPr>
        <w:t>, valid</w:t>
      </w:r>
      <w:r w:rsidR="00A90CC5">
        <w:rPr>
          <w:rFonts w:ascii="Calibri" w:eastAsia="Calibri" w:hAnsi="Calibri" w:cs="Times New Roman"/>
          <w:sz w:val="22"/>
          <w:szCs w:val="22"/>
        </w:rPr>
        <w:t xml:space="preserve"> and </w:t>
      </w:r>
      <w:r w:rsidR="00A41199">
        <w:rPr>
          <w:rFonts w:ascii="Calibri" w:eastAsia="Calibri" w:hAnsi="Calibri" w:cs="Times New Roman"/>
          <w:sz w:val="22"/>
          <w:szCs w:val="22"/>
        </w:rPr>
        <w:t>reliable measures</w:t>
      </w:r>
      <w:r w:rsidR="00470210">
        <w:rPr>
          <w:rFonts w:ascii="Calibri" w:eastAsia="Calibri" w:hAnsi="Calibri" w:cs="Times New Roman"/>
          <w:sz w:val="22"/>
          <w:szCs w:val="22"/>
        </w:rPr>
        <w:t xml:space="preserve"> that track </w:t>
      </w:r>
      <w:r w:rsidR="00A90CC5">
        <w:rPr>
          <w:rFonts w:ascii="Calibri" w:eastAsia="Calibri" w:hAnsi="Calibri" w:cs="Times New Roman"/>
          <w:sz w:val="22"/>
          <w:szCs w:val="22"/>
        </w:rPr>
        <w:t xml:space="preserve">progress and </w:t>
      </w:r>
      <w:r w:rsidR="00470210">
        <w:rPr>
          <w:rFonts w:ascii="Calibri" w:eastAsia="Calibri" w:hAnsi="Calibri" w:cs="Times New Roman"/>
          <w:sz w:val="22"/>
          <w:szCs w:val="22"/>
        </w:rPr>
        <w:t xml:space="preserve">significant </w:t>
      </w:r>
      <w:r w:rsidR="00A90CC5">
        <w:rPr>
          <w:rFonts w:ascii="Calibri" w:eastAsia="Calibri" w:hAnsi="Calibri" w:cs="Times New Roman"/>
          <w:sz w:val="22"/>
          <w:szCs w:val="22"/>
        </w:rPr>
        <w:t>changes over time</w:t>
      </w:r>
      <w:r w:rsidR="00A41199">
        <w:rPr>
          <w:rFonts w:ascii="Calibri" w:eastAsia="Calibri" w:hAnsi="Calibri" w:cs="Times New Roman"/>
          <w:sz w:val="22"/>
          <w:szCs w:val="22"/>
        </w:rPr>
        <w:t xml:space="preserve">, should not sit in isolation from </w:t>
      </w:r>
      <w:r w:rsidR="009C2616">
        <w:rPr>
          <w:rFonts w:ascii="Calibri" w:eastAsia="Calibri" w:hAnsi="Calibri" w:cs="Times New Roman"/>
          <w:sz w:val="22"/>
          <w:szCs w:val="22"/>
        </w:rPr>
        <w:t>evidence</w:t>
      </w:r>
      <w:r w:rsidR="00A41199">
        <w:rPr>
          <w:rFonts w:ascii="Calibri" w:eastAsia="Calibri" w:hAnsi="Calibri" w:cs="Times New Roman"/>
          <w:sz w:val="22"/>
          <w:szCs w:val="22"/>
        </w:rPr>
        <w:t xml:space="preserve"> available</w:t>
      </w:r>
      <w:r w:rsidR="00C1451F">
        <w:rPr>
          <w:rFonts w:ascii="Calibri" w:eastAsia="Calibri" w:hAnsi="Calibri" w:cs="Times New Roman"/>
          <w:sz w:val="22"/>
          <w:szCs w:val="22"/>
        </w:rPr>
        <w:t xml:space="preserve"> on health and social welfare. It should be possible for e</w:t>
      </w:r>
      <w:r w:rsidR="00A41199">
        <w:rPr>
          <w:rFonts w:ascii="Calibri" w:eastAsia="Calibri" w:hAnsi="Calibri" w:cs="Times New Roman"/>
          <w:sz w:val="22"/>
          <w:szCs w:val="22"/>
        </w:rPr>
        <w:t>duca</w:t>
      </w:r>
      <w:r w:rsidR="00C1451F">
        <w:rPr>
          <w:rFonts w:ascii="Calibri" w:eastAsia="Calibri" w:hAnsi="Calibri" w:cs="Times New Roman"/>
          <w:sz w:val="22"/>
          <w:szCs w:val="22"/>
        </w:rPr>
        <w:t>tion data to be linked to</w:t>
      </w:r>
      <w:r w:rsidR="00A41199">
        <w:rPr>
          <w:rFonts w:ascii="Calibri" w:eastAsia="Calibri" w:hAnsi="Calibri" w:cs="Times New Roman"/>
          <w:sz w:val="22"/>
          <w:szCs w:val="22"/>
        </w:rPr>
        <w:t xml:space="preserve"> health data and welfare data in a meaningful way.</w:t>
      </w:r>
      <w:r w:rsidR="00A90CC5">
        <w:rPr>
          <w:rFonts w:ascii="Calibri" w:eastAsia="Calibri" w:hAnsi="Calibri" w:cs="Times New Roman"/>
          <w:sz w:val="22"/>
          <w:szCs w:val="22"/>
        </w:rPr>
        <w:t xml:space="preserve"> Although it may not be able to identify causal relationships, linked data can provide insights into educational disadvantage and make correlations between school outcomes and life outcomes. </w:t>
      </w:r>
      <w:r w:rsidR="00D23EE0">
        <w:rPr>
          <w:rFonts w:ascii="Calibri" w:eastAsia="Calibri" w:hAnsi="Calibri" w:cs="Times New Roman"/>
          <w:sz w:val="22"/>
          <w:szCs w:val="22"/>
        </w:rPr>
        <w:t>Moreover, Catholic education believes that data on the non-cognitive skills of students would add significant value to the education evidence base, though such skills are inherently difficult to measure.</w:t>
      </w:r>
      <w:r w:rsidRPr="00191482">
        <w:t xml:space="preserve"> </w:t>
      </w:r>
      <w:r>
        <w:rPr>
          <w:rFonts w:ascii="Calibri" w:eastAsia="Calibri" w:hAnsi="Calibri" w:cs="Times New Roman"/>
          <w:sz w:val="22"/>
          <w:szCs w:val="22"/>
        </w:rPr>
        <w:t>T</w:t>
      </w:r>
      <w:r w:rsidRPr="00191482">
        <w:rPr>
          <w:rFonts w:ascii="Calibri" w:eastAsia="Calibri" w:hAnsi="Calibri" w:cs="Times New Roman"/>
          <w:sz w:val="22"/>
          <w:szCs w:val="22"/>
        </w:rPr>
        <w:t>he non-cognitive skills of students</w:t>
      </w:r>
      <w:r w:rsidR="00B02E4E">
        <w:rPr>
          <w:rFonts w:ascii="Calibri" w:eastAsia="Calibri" w:hAnsi="Calibri" w:cs="Times New Roman"/>
          <w:sz w:val="22"/>
          <w:szCs w:val="22"/>
        </w:rPr>
        <w:t>, including indicators of wellbeing,</w:t>
      </w:r>
      <w:r w:rsidRPr="00191482">
        <w:rPr>
          <w:rFonts w:ascii="Calibri" w:eastAsia="Calibri" w:hAnsi="Calibri" w:cs="Times New Roman"/>
          <w:sz w:val="22"/>
          <w:szCs w:val="22"/>
        </w:rPr>
        <w:t xml:space="preserve"> are a vital dimension of</w:t>
      </w:r>
      <w:r w:rsidR="002B2600">
        <w:rPr>
          <w:rFonts w:ascii="Calibri" w:eastAsia="Calibri" w:hAnsi="Calibri" w:cs="Times New Roman"/>
          <w:sz w:val="22"/>
          <w:szCs w:val="22"/>
        </w:rPr>
        <w:t xml:space="preserve"> a holistic education provided by a school and an integral </w:t>
      </w:r>
      <w:r w:rsidRPr="00191482">
        <w:rPr>
          <w:rFonts w:ascii="Calibri" w:eastAsia="Calibri" w:hAnsi="Calibri" w:cs="Times New Roman"/>
          <w:sz w:val="22"/>
          <w:szCs w:val="22"/>
        </w:rPr>
        <w:t>part of the richness that Catholic schools—which educate the whole person—have to offer.</w:t>
      </w:r>
      <w:r w:rsidR="00B02E4E" w:rsidRPr="00B02E4E">
        <w:t xml:space="preserve"> </w:t>
      </w:r>
    </w:p>
    <w:p w14:paraId="16DA9CDE" w14:textId="77777777" w:rsidR="00FD43BE" w:rsidRPr="00FD43BE" w:rsidRDefault="00FD43BE" w:rsidP="00FD43BE">
      <w:pPr>
        <w:spacing w:before="0" w:after="0" w:line="240" w:lineRule="auto"/>
        <w:rPr>
          <w:rFonts w:ascii="Calibri" w:eastAsia="Calibri" w:hAnsi="Calibri" w:cs="Times New Roman"/>
          <w:sz w:val="22"/>
          <w:szCs w:val="22"/>
        </w:rPr>
      </w:pPr>
    </w:p>
    <w:p w14:paraId="5BC0AD0A" w14:textId="3370F6ED" w:rsidR="00926F91" w:rsidRDefault="00681A82" w:rsidP="00FD43BE">
      <w:pPr>
        <w:spacing w:before="0" w:after="0" w:line="240" w:lineRule="auto"/>
        <w:rPr>
          <w:rFonts w:ascii="Calibri" w:eastAsia="Calibri" w:hAnsi="Calibri" w:cs="Times New Roman"/>
          <w:sz w:val="22"/>
          <w:szCs w:val="22"/>
        </w:rPr>
      </w:pPr>
      <w:r>
        <w:rPr>
          <w:rFonts w:ascii="Calibri" w:eastAsia="Calibri" w:hAnsi="Calibri" w:cs="Times New Roman"/>
          <w:sz w:val="22"/>
          <w:szCs w:val="22"/>
        </w:rPr>
        <w:t>One of the challenges education policy</w:t>
      </w:r>
      <w:r w:rsidR="00FD43BE" w:rsidRPr="00FD43BE">
        <w:rPr>
          <w:rFonts w:ascii="Calibri" w:eastAsia="Calibri" w:hAnsi="Calibri" w:cs="Times New Roman"/>
          <w:sz w:val="22"/>
          <w:szCs w:val="22"/>
        </w:rPr>
        <w:t xml:space="preserve"> face</w:t>
      </w:r>
      <w:r>
        <w:rPr>
          <w:rFonts w:ascii="Calibri" w:eastAsia="Calibri" w:hAnsi="Calibri" w:cs="Times New Roman"/>
          <w:sz w:val="22"/>
          <w:szCs w:val="22"/>
        </w:rPr>
        <w:t>s</w:t>
      </w:r>
      <w:r w:rsidR="00FD43BE" w:rsidRPr="00FD43BE">
        <w:rPr>
          <w:rFonts w:ascii="Calibri" w:eastAsia="Calibri" w:hAnsi="Calibri" w:cs="Times New Roman"/>
          <w:sz w:val="22"/>
          <w:szCs w:val="22"/>
        </w:rPr>
        <w:t xml:space="preserve"> is whether data showing how our students and schools are faring nationally and internationally can also tell us what forms of teaching and learning are the most successful. </w:t>
      </w:r>
      <w:r>
        <w:rPr>
          <w:rFonts w:ascii="Calibri" w:eastAsia="Calibri" w:hAnsi="Calibri" w:cs="Times New Roman"/>
          <w:sz w:val="22"/>
          <w:szCs w:val="22"/>
        </w:rPr>
        <w:t xml:space="preserve">That is, how can data answer the cause and effect questions related to schooling? </w:t>
      </w:r>
      <w:r w:rsidR="00E10343">
        <w:rPr>
          <w:rFonts w:ascii="Calibri" w:eastAsia="Calibri" w:hAnsi="Calibri" w:cs="Times New Roman"/>
          <w:sz w:val="22"/>
          <w:szCs w:val="22"/>
        </w:rPr>
        <w:t>The way we measure student learning and make meaningful comparisons with other data beyond the education sphere is important. For exa</w:t>
      </w:r>
      <w:r w:rsidR="009C2616">
        <w:rPr>
          <w:rFonts w:ascii="Calibri" w:eastAsia="Calibri" w:hAnsi="Calibri" w:cs="Times New Roman"/>
          <w:sz w:val="22"/>
          <w:szCs w:val="22"/>
        </w:rPr>
        <w:t>mple, while</w:t>
      </w:r>
      <w:r w:rsidR="00E10343">
        <w:rPr>
          <w:rFonts w:ascii="Calibri" w:eastAsia="Calibri" w:hAnsi="Calibri" w:cs="Times New Roman"/>
          <w:sz w:val="22"/>
          <w:szCs w:val="22"/>
        </w:rPr>
        <w:t xml:space="preserve"> Australia’s national test of literacy and numeracy—NAPLAN—is an important data source for student progress, it does not</w:t>
      </w:r>
      <w:r w:rsidR="00F66B03">
        <w:rPr>
          <w:rFonts w:ascii="Calibri" w:eastAsia="Calibri" w:hAnsi="Calibri" w:cs="Times New Roman"/>
          <w:sz w:val="22"/>
          <w:szCs w:val="22"/>
        </w:rPr>
        <w:t xml:space="preserve"> always</w:t>
      </w:r>
      <w:r w:rsidR="00E10343">
        <w:rPr>
          <w:rFonts w:ascii="Calibri" w:eastAsia="Calibri" w:hAnsi="Calibri" w:cs="Times New Roman"/>
          <w:sz w:val="22"/>
          <w:szCs w:val="22"/>
        </w:rPr>
        <w:t xml:space="preserve"> facilitate meaningful comparisons with different groups of students</w:t>
      </w:r>
      <w:r w:rsidR="004D0B6E">
        <w:rPr>
          <w:rFonts w:ascii="Calibri" w:eastAsia="Calibri" w:hAnsi="Calibri" w:cs="Times New Roman"/>
          <w:sz w:val="22"/>
          <w:szCs w:val="22"/>
        </w:rPr>
        <w:t>, and the comparisons it does allow are limited in scope</w:t>
      </w:r>
      <w:r w:rsidR="00E10343">
        <w:rPr>
          <w:rFonts w:ascii="Calibri" w:eastAsia="Calibri" w:hAnsi="Calibri" w:cs="Times New Roman"/>
          <w:sz w:val="22"/>
          <w:szCs w:val="22"/>
        </w:rPr>
        <w:t>.</w:t>
      </w:r>
      <w:r w:rsidR="00E10343">
        <w:rPr>
          <w:rStyle w:val="FootnoteReference"/>
          <w:rFonts w:ascii="Calibri" w:eastAsia="Calibri" w:hAnsi="Calibri" w:cs="Times New Roman"/>
          <w:sz w:val="22"/>
          <w:szCs w:val="22"/>
        </w:rPr>
        <w:footnoteReference w:id="2"/>
      </w:r>
      <w:r w:rsidR="00926F91">
        <w:rPr>
          <w:rFonts w:ascii="Calibri" w:eastAsia="Calibri" w:hAnsi="Calibri" w:cs="Times New Roman"/>
          <w:sz w:val="22"/>
          <w:szCs w:val="22"/>
        </w:rPr>
        <w:t xml:space="preserve"> NAPLAN compares schools which are comprised of different cohorts but the potential for the data to provide insights into groups of students within a school or system is also important. Universal collections and comparisons are not desirable if they cannot be used to target policy interventions at a school or system level. There is a need for better data linkages, which can </w:t>
      </w:r>
      <w:r w:rsidR="00AE5277">
        <w:rPr>
          <w:rFonts w:ascii="Calibri" w:eastAsia="Calibri" w:hAnsi="Calibri" w:cs="Times New Roman"/>
          <w:sz w:val="22"/>
          <w:szCs w:val="22"/>
        </w:rPr>
        <w:t xml:space="preserve">offer a clearer picture of student progress and explore the social </w:t>
      </w:r>
      <w:r w:rsidR="00DF6C78">
        <w:rPr>
          <w:rFonts w:ascii="Calibri" w:eastAsia="Calibri" w:hAnsi="Calibri" w:cs="Times New Roman"/>
          <w:sz w:val="22"/>
          <w:szCs w:val="22"/>
        </w:rPr>
        <w:t xml:space="preserve">and other </w:t>
      </w:r>
      <w:r w:rsidR="00AE5277">
        <w:rPr>
          <w:rFonts w:ascii="Calibri" w:eastAsia="Calibri" w:hAnsi="Calibri" w:cs="Times New Roman"/>
          <w:sz w:val="22"/>
          <w:szCs w:val="22"/>
        </w:rPr>
        <w:t>determinants of educational outcomes.</w:t>
      </w:r>
      <w:r w:rsidR="00237553">
        <w:rPr>
          <w:rFonts w:ascii="Calibri" w:eastAsia="Calibri" w:hAnsi="Calibri" w:cs="Times New Roman"/>
          <w:sz w:val="22"/>
          <w:szCs w:val="22"/>
        </w:rPr>
        <w:t xml:space="preserve"> For Catholic education, the role of the family is paramount and, as a consequence, relevant family circumstances form part of the planning that Catholic schools undertake to improve student outcomes. </w:t>
      </w:r>
    </w:p>
    <w:p w14:paraId="09BB41E9" w14:textId="77777777" w:rsidR="00F82A75" w:rsidRDefault="00F82A75" w:rsidP="00FD43BE">
      <w:pPr>
        <w:spacing w:before="0" w:after="0" w:line="240" w:lineRule="auto"/>
        <w:rPr>
          <w:rFonts w:ascii="Calibri" w:eastAsia="Calibri" w:hAnsi="Calibri" w:cs="Times New Roman"/>
          <w:sz w:val="22"/>
          <w:szCs w:val="22"/>
        </w:rPr>
      </w:pPr>
    </w:p>
    <w:p w14:paraId="572F9B34" w14:textId="58620F3A" w:rsidR="0055386D" w:rsidRPr="0055386D" w:rsidRDefault="0055386D" w:rsidP="00FD43BE">
      <w:pPr>
        <w:spacing w:before="0" w:after="0" w:line="240" w:lineRule="auto"/>
        <w:rPr>
          <w:rFonts w:ascii="Calibri" w:eastAsia="Calibri" w:hAnsi="Calibri" w:cs="Times New Roman"/>
          <w:i/>
          <w:sz w:val="22"/>
          <w:szCs w:val="22"/>
        </w:rPr>
      </w:pPr>
      <w:r>
        <w:rPr>
          <w:rFonts w:ascii="Calibri" w:eastAsia="Calibri" w:hAnsi="Calibri" w:cs="Times New Roman"/>
          <w:i/>
          <w:sz w:val="22"/>
          <w:szCs w:val="22"/>
        </w:rPr>
        <w:t>Consolidating and interrogating the data</w:t>
      </w:r>
    </w:p>
    <w:p w14:paraId="6FDC42FC" w14:textId="1834EF46" w:rsidR="0020128B" w:rsidRDefault="0020128B" w:rsidP="00FD43BE">
      <w:pPr>
        <w:spacing w:before="0" w:after="0" w:line="240" w:lineRule="auto"/>
        <w:rPr>
          <w:rFonts w:ascii="Calibri" w:eastAsia="Calibri" w:hAnsi="Calibri" w:cs="Times New Roman"/>
          <w:sz w:val="22"/>
          <w:szCs w:val="22"/>
        </w:rPr>
      </w:pPr>
      <w:r>
        <w:rPr>
          <w:rFonts w:ascii="Calibri" w:eastAsia="Calibri" w:hAnsi="Calibri" w:cs="Times New Roman"/>
          <w:sz w:val="22"/>
          <w:szCs w:val="22"/>
        </w:rPr>
        <w:t xml:space="preserve">Just as </w:t>
      </w:r>
      <w:r w:rsidR="00F82A75">
        <w:rPr>
          <w:rFonts w:ascii="Calibri" w:eastAsia="Calibri" w:hAnsi="Calibri" w:cs="Times New Roman"/>
          <w:sz w:val="22"/>
          <w:szCs w:val="22"/>
        </w:rPr>
        <w:t xml:space="preserve">the collection of </w:t>
      </w:r>
      <w:r>
        <w:rPr>
          <w:rFonts w:ascii="Calibri" w:eastAsia="Calibri" w:hAnsi="Calibri" w:cs="Times New Roman"/>
          <w:sz w:val="22"/>
          <w:szCs w:val="22"/>
        </w:rPr>
        <w:t>education data should be underpinned by strate</w:t>
      </w:r>
      <w:r w:rsidR="009C2616">
        <w:rPr>
          <w:rFonts w:ascii="Calibri" w:eastAsia="Calibri" w:hAnsi="Calibri" w:cs="Times New Roman"/>
          <w:sz w:val="22"/>
          <w:szCs w:val="22"/>
        </w:rPr>
        <w:t>gic objectives at the outset, a robust</w:t>
      </w:r>
      <w:r>
        <w:rPr>
          <w:rFonts w:ascii="Calibri" w:eastAsia="Calibri" w:hAnsi="Calibri" w:cs="Times New Roman"/>
          <w:sz w:val="22"/>
          <w:szCs w:val="22"/>
        </w:rPr>
        <w:t xml:space="preserve"> education evidence base should </w:t>
      </w:r>
      <w:r w:rsidR="009C2616">
        <w:rPr>
          <w:rFonts w:ascii="Calibri" w:eastAsia="Calibri" w:hAnsi="Calibri" w:cs="Times New Roman"/>
          <w:sz w:val="22"/>
          <w:szCs w:val="22"/>
        </w:rPr>
        <w:t xml:space="preserve">consolidate and interrogate the data needed to </w:t>
      </w:r>
      <w:r>
        <w:rPr>
          <w:rFonts w:ascii="Calibri" w:eastAsia="Calibri" w:hAnsi="Calibri" w:cs="Times New Roman"/>
          <w:sz w:val="22"/>
          <w:szCs w:val="22"/>
        </w:rPr>
        <w:t xml:space="preserve">shape governments’ policy decisions and inform national priorities. </w:t>
      </w:r>
      <w:r w:rsidR="00E10343">
        <w:rPr>
          <w:rFonts w:ascii="Calibri" w:eastAsia="Calibri" w:hAnsi="Calibri" w:cs="Times New Roman"/>
          <w:sz w:val="22"/>
          <w:szCs w:val="22"/>
        </w:rPr>
        <w:t>This</w:t>
      </w:r>
      <w:r>
        <w:rPr>
          <w:rFonts w:ascii="Calibri" w:eastAsia="Calibri" w:hAnsi="Calibri" w:cs="Times New Roman"/>
          <w:sz w:val="22"/>
          <w:szCs w:val="22"/>
        </w:rPr>
        <w:t xml:space="preserve"> closes the loop which begins </w:t>
      </w:r>
      <w:r w:rsidR="00E10343">
        <w:rPr>
          <w:rFonts w:ascii="Calibri" w:eastAsia="Calibri" w:hAnsi="Calibri" w:cs="Times New Roman"/>
          <w:sz w:val="22"/>
          <w:szCs w:val="22"/>
        </w:rPr>
        <w:t>with</w:t>
      </w:r>
      <w:r w:rsidR="00FD43BE" w:rsidRPr="00FD43BE">
        <w:rPr>
          <w:rFonts w:ascii="Calibri" w:eastAsia="Calibri" w:hAnsi="Calibri" w:cs="Times New Roman"/>
          <w:sz w:val="22"/>
          <w:szCs w:val="22"/>
        </w:rPr>
        <w:t xml:space="preserve"> the purpose and objective</w:t>
      </w:r>
      <w:r w:rsidR="00E10343">
        <w:rPr>
          <w:rFonts w:ascii="Calibri" w:eastAsia="Calibri" w:hAnsi="Calibri" w:cs="Times New Roman"/>
          <w:sz w:val="22"/>
          <w:szCs w:val="22"/>
        </w:rPr>
        <w:t>s</w:t>
      </w:r>
      <w:r w:rsidR="00FD43BE" w:rsidRPr="00FD43BE">
        <w:rPr>
          <w:rFonts w:ascii="Calibri" w:eastAsia="Calibri" w:hAnsi="Calibri" w:cs="Times New Roman"/>
          <w:sz w:val="22"/>
          <w:szCs w:val="22"/>
        </w:rPr>
        <w:t xml:space="preserve"> that fra</w:t>
      </w:r>
      <w:r w:rsidR="00E10343">
        <w:rPr>
          <w:rFonts w:ascii="Calibri" w:eastAsia="Calibri" w:hAnsi="Calibri" w:cs="Times New Roman"/>
          <w:sz w:val="22"/>
          <w:szCs w:val="22"/>
        </w:rPr>
        <w:t>me</w:t>
      </w:r>
      <w:r>
        <w:rPr>
          <w:rFonts w:ascii="Calibri" w:eastAsia="Calibri" w:hAnsi="Calibri" w:cs="Times New Roman"/>
          <w:sz w:val="22"/>
          <w:szCs w:val="22"/>
        </w:rPr>
        <w:t xml:space="preserve"> any data initiative, continues with the collection and analysis of the </w:t>
      </w:r>
      <w:r w:rsidR="009C2616">
        <w:rPr>
          <w:rFonts w:ascii="Calibri" w:eastAsia="Calibri" w:hAnsi="Calibri" w:cs="Times New Roman"/>
          <w:sz w:val="22"/>
          <w:szCs w:val="22"/>
        </w:rPr>
        <w:t xml:space="preserve">data that build an </w:t>
      </w:r>
      <w:r>
        <w:rPr>
          <w:rFonts w:ascii="Calibri" w:eastAsia="Calibri" w:hAnsi="Calibri" w:cs="Times New Roman"/>
          <w:sz w:val="22"/>
          <w:szCs w:val="22"/>
        </w:rPr>
        <w:t>education evidence</w:t>
      </w:r>
      <w:r w:rsidR="009C2616">
        <w:rPr>
          <w:rFonts w:ascii="Calibri" w:eastAsia="Calibri" w:hAnsi="Calibri" w:cs="Times New Roman"/>
          <w:sz w:val="22"/>
          <w:szCs w:val="22"/>
        </w:rPr>
        <w:t xml:space="preserve"> base</w:t>
      </w:r>
      <w:r>
        <w:rPr>
          <w:rFonts w:ascii="Calibri" w:eastAsia="Calibri" w:hAnsi="Calibri" w:cs="Times New Roman"/>
          <w:sz w:val="22"/>
          <w:szCs w:val="22"/>
        </w:rPr>
        <w:t>, and then</w:t>
      </w:r>
      <w:r w:rsidR="009C2616">
        <w:rPr>
          <w:rFonts w:ascii="Calibri" w:eastAsia="Calibri" w:hAnsi="Calibri" w:cs="Times New Roman"/>
          <w:sz w:val="22"/>
          <w:szCs w:val="22"/>
        </w:rPr>
        <w:t xml:space="preserve"> provides </w:t>
      </w:r>
      <w:r w:rsidR="00A032FF">
        <w:rPr>
          <w:rFonts w:ascii="Calibri" w:eastAsia="Calibri" w:hAnsi="Calibri" w:cs="Times New Roman"/>
          <w:sz w:val="22"/>
          <w:szCs w:val="22"/>
        </w:rPr>
        <w:t xml:space="preserve">Australian governments </w:t>
      </w:r>
      <w:r w:rsidR="00237553">
        <w:rPr>
          <w:rFonts w:ascii="Calibri" w:eastAsia="Calibri" w:hAnsi="Calibri" w:cs="Times New Roman"/>
          <w:sz w:val="22"/>
          <w:szCs w:val="22"/>
        </w:rPr>
        <w:t xml:space="preserve">and all school authorities with </w:t>
      </w:r>
      <w:r w:rsidR="009C2616">
        <w:rPr>
          <w:rFonts w:ascii="Calibri" w:eastAsia="Calibri" w:hAnsi="Calibri" w:cs="Times New Roman"/>
          <w:sz w:val="22"/>
          <w:szCs w:val="22"/>
        </w:rPr>
        <w:t>the evidence that can influence</w:t>
      </w:r>
      <w:r>
        <w:rPr>
          <w:rFonts w:ascii="Calibri" w:eastAsia="Calibri" w:hAnsi="Calibri" w:cs="Times New Roman"/>
          <w:sz w:val="22"/>
          <w:szCs w:val="22"/>
        </w:rPr>
        <w:t xml:space="preserve"> </w:t>
      </w:r>
      <w:r w:rsidR="00A032FF">
        <w:rPr>
          <w:rFonts w:ascii="Calibri" w:eastAsia="Calibri" w:hAnsi="Calibri" w:cs="Times New Roman"/>
          <w:sz w:val="22"/>
          <w:szCs w:val="22"/>
        </w:rPr>
        <w:t>public policy development, which in turn can feed back into the evidence base through a post-factum assessment of policy implementation.</w:t>
      </w:r>
    </w:p>
    <w:p w14:paraId="2ED42976" w14:textId="77777777" w:rsidR="00CA2F97" w:rsidRDefault="00CA2F97" w:rsidP="00FD43BE">
      <w:pPr>
        <w:spacing w:before="0" w:after="0" w:line="240" w:lineRule="auto"/>
        <w:rPr>
          <w:rFonts w:ascii="Calibri" w:eastAsia="Calibri" w:hAnsi="Calibri" w:cs="Times New Roman"/>
          <w:sz w:val="22"/>
          <w:szCs w:val="22"/>
        </w:rPr>
      </w:pPr>
    </w:p>
    <w:p w14:paraId="336749CF" w14:textId="011BC255" w:rsidR="006969EC" w:rsidRPr="006969EC" w:rsidRDefault="006969EC" w:rsidP="00FD43BE">
      <w:pPr>
        <w:spacing w:before="0" w:after="0" w:line="240" w:lineRule="auto"/>
        <w:rPr>
          <w:rFonts w:ascii="Calibri" w:eastAsia="Calibri" w:hAnsi="Calibri" w:cs="Times New Roman"/>
          <w:b/>
          <w:sz w:val="22"/>
          <w:szCs w:val="22"/>
        </w:rPr>
      </w:pPr>
      <w:r w:rsidRPr="006969EC">
        <w:rPr>
          <w:rFonts w:ascii="Calibri" w:eastAsia="Calibri" w:hAnsi="Calibri" w:cs="Times New Roman"/>
          <w:b/>
          <w:sz w:val="22"/>
          <w:szCs w:val="22"/>
        </w:rPr>
        <w:lastRenderedPageBreak/>
        <w:t xml:space="preserve">Standard definitions </w:t>
      </w:r>
      <w:r w:rsidR="00F31FE2">
        <w:rPr>
          <w:rFonts w:ascii="Calibri" w:eastAsia="Calibri" w:hAnsi="Calibri" w:cs="Times New Roman"/>
          <w:b/>
          <w:sz w:val="22"/>
          <w:szCs w:val="22"/>
        </w:rPr>
        <w:t>and the use of quality data</w:t>
      </w:r>
    </w:p>
    <w:p w14:paraId="44EF0F25" w14:textId="30CC8404" w:rsidR="0055386D" w:rsidRDefault="00E930FE" w:rsidP="00AE56F5">
      <w:pPr>
        <w:spacing w:before="0" w:after="0" w:line="240" w:lineRule="auto"/>
        <w:rPr>
          <w:rFonts w:ascii="Calibri" w:eastAsia="Calibri" w:hAnsi="Calibri" w:cs="Times New Roman"/>
          <w:sz w:val="22"/>
          <w:szCs w:val="22"/>
        </w:rPr>
      </w:pPr>
      <w:r>
        <w:rPr>
          <w:rFonts w:ascii="Calibri" w:eastAsia="Calibri" w:hAnsi="Calibri" w:cs="Times New Roman"/>
          <w:sz w:val="22"/>
          <w:szCs w:val="22"/>
        </w:rPr>
        <w:t>Standard definitions of complex matters such as socioecon</w:t>
      </w:r>
      <w:r w:rsidR="00237553">
        <w:rPr>
          <w:rFonts w:ascii="Calibri" w:eastAsia="Calibri" w:hAnsi="Calibri" w:cs="Times New Roman"/>
          <w:sz w:val="22"/>
          <w:szCs w:val="22"/>
        </w:rPr>
        <w:t xml:space="preserve">omic status and disability </w:t>
      </w:r>
      <w:r w:rsidR="005F5811">
        <w:rPr>
          <w:rFonts w:ascii="Calibri" w:eastAsia="Calibri" w:hAnsi="Calibri" w:cs="Times New Roman"/>
          <w:sz w:val="22"/>
          <w:szCs w:val="22"/>
        </w:rPr>
        <w:t>will</w:t>
      </w:r>
      <w:r>
        <w:rPr>
          <w:rFonts w:ascii="Calibri" w:eastAsia="Calibri" w:hAnsi="Calibri" w:cs="Times New Roman"/>
          <w:sz w:val="22"/>
          <w:szCs w:val="22"/>
        </w:rPr>
        <w:t xml:space="preserve"> assist in better analysis of student data. </w:t>
      </w:r>
      <w:r w:rsidR="005F5811">
        <w:rPr>
          <w:rFonts w:ascii="Calibri" w:eastAsia="Calibri" w:hAnsi="Calibri" w:cs="Times New Roman"/>
          <w:sz w:val="22"/>
          <w:szCs w:val="22"/>
        </w:rPr>
        <w:t xml:space="preserve">Along with robust analysis and standards of data, this </w:t>
      </w:r>
      <w:r>
        <w:rPr>
          <w:rFonts w:ascii="Calibri" w:eastAsia="Calibri" w:hAnsi="Calibri" w:cs="Times New Roman"/>
          <w:sz w:val="22"/>
          <w:szCs w:val="22"/>
        </w:rPr>
        <w:t>would in turn improve the evidence base and enhance any future policy development and decision-making process to</w:t>
      </w:r>
      <w:r w:rsidR="00B52092">
        <w:rPr>
          <w:rFonts w:ascii="Calibri" w:eastAsia="Calibri" w:hAnsi="Calibri" w:cs="Times New Roman"/>
          <w:sz w:val="22"/>
          <w:szCs w:val="22"/>
        </w:rPr>
        <w:t xml:space="preserve"> improve </w:t>
      </w:r>
      <w:r>
        <w:rPr>
          <w:rFonts w:ascii="Calibri" w:eastAsia="Calibri" w:hAnsi="Calibri" w:cs="Times New Roman"/>
          <w:sz w:val="22"/>
          <w:szCs w:val="22"/>
        </w:rPr>
        <w:t>student</w:t>
      </w:r>
      <w:r w:rsidR="00B52092">
        <w:rPr>
          <w:rFonts w:ascii="Calibri" w:eastAsia="Calibri" w:hAnsi="Calibri" w:cs="Times New Roman"/>
          <w:sz w:val="22"/>
          <w:szCs w:val="22"/>
        </w:rPr>
        <w:t xml:space="preserve"> outcomes. </w:t>
      </w:r>
    </w:p>
    <w:p w14:paraId="780910AA" w14:textId="77777777" w:rsidR="0055386D" w:rsidRDefault="0055386D" w:rsidP="00AE56F5">
      <w:pPr>
        <w:spacing w:before="0" w:after="0" w:line="240" w:lineRule="auto"/>
        <w:rPr>
          <w:rFonts w:ascii="Calibri" w:eastAsia="Calibri" w:hAnsi="Calibri" w:cs="Times New Roman"/>
          <w:sz w:val="22"/>
          <w:szCs w:val="22"/>
        </w:rPr>
      </w:pPr>
    </w:p>
    <w:p w14:paraId="0ED147CA" w14:textId="77777777" w:rsidR="0055386D" w:rsidRDefault="00F31FE2" w:rsidP="00AE56F5">
      <w:pPr>
        <w:spacing w:before="0" w:after="0" w:line="240" w:lineRule="auto"/>
        <w:rPr>
          <w:rFonts w:ascii="Calibri" w:eastAsia="Calibri" w:hAnsi="Calibri" w:cs="Times New Roman"/>
          <w:sz w:val="22"/>
          <w:szCs w:val="22"/>
        </w:rPr>
      </w:pPr>
      <w:r w:rsidRPr="00F31FE2">
        <w:rPr>
          <w:rFonts w:ascii="Calibri" w:eastAsia="Calibri" w:hAnsi="Calibri" w:cs="Times New Roman"/>
          <w:sz w:val="22"/>
          <w:szCs w:val="22"/>
        </w:rPr>
        <w:t>On the meaning of socioeconomic status (S</w:t>
      </w:r>
      <w:r>
        <w:rPr>
          <w:rFonts w:ascii="Calibri" w:eastAsia="Calibri" w:hAnsi="Calibri" w:cs="Times New Roman"/>
          <w:sz w:val="22"/>
          <w:szCs w:val="22"/>
        </w:rPr>
        <w:t>ES), at this stage there appear</w:t>
      </w:r>
      <w:r w:rsidRPr="00F31FE2">
        <w:rPr>
          <w:rFonts w:ascii="Calibri" w:eastAsia="Calibri" w:hAnsi="Calibri" w:cs="Times New Roman"/>
          <w:sz w:val="22"/>
          <w:szCs w:val="22"/>
        </w:rPr>
        <w:t xml:space="preserve"> to be two different definitions</w:t>
      </w:r>
      <w:r>
        <w:rPr>
          <w:rFonts w:ascii="Calibri" w:eastAsia="Calibri" w:hAnsi="Calibri" w:cs="Times New Roman"/>
          <w:sz w:val="22"/>
          <w:szCs w:val="22"/>
        </w:rPr>
        <w:t xml:space="preserve"> derived from two separate datasets, one direct (school-</w:t>
      </w:r>
      <w:r w:rsidRPr="00F31FE2">
        <w:rPr>
          <w:rFonts w:ascii="Calibri" w:eastAsia="Calibri" w:hAnsi="Calibri" w:cs="Times New Roman"/>
          <w:sz w:val="22"/>
          <w:szCs w:val="22"/>
        </w:rPr>
        <w:t xml:space="preserve">collected parental background data) and one indirect (ABS </w:t>
      </w:r>
      <w:r>
        <w:rPr>
          <w:rFonts w:ascii="Calibri" w:eastAsia="Calibri" w:hAnsi="Calibri" w:cs="Times New Roman"/>
          <w:sz w:val="22"/>
          <w:szCs w:val="22"/>
        </w:rPr>
        <w:t>Census data). The former is</w:t>
      </w:r>
      <w:r w:rsidRPr="00F31FE2">
        <w:rPr>
          <w:rFonts w:ascii="Calibri" w:eastAsia="Calibri" w:hAnsi="Calibri" w:cs="Times New Roman"/>
          <w:sz w:val="22"/>
          <w:szCs w:val="22"/>
        </w:rPr>
        <w:t xml:space="preserve"> patchy and incomplete and its quality has not significantly improved. Moreover, it is open to manipulation. The latter is more complete and accurate bu</w:t>
      </w:r>
      <w:r>
        <w:rPr>
          <w:rFonts w:ascii="Calibri" w:eastAsia="Calibri" w:hAnsi="Calibri" w:cs="Times New Roman"/>
          <w:sz w:val="22"/>
          <w:szCs w:val="22"/>
        </w:rPr>
        <w:t>t describes the local community</w:t>
      </w:r>
      <w:r w:rsidRPr="00F31FE2">
        <w:rPr>
          <w:rFonts w:ascii="Calibri" w:eastAsia="Calibri" w:hAnsi="Calibri" w:cs="Times New Roman"/>
          <w:sz w:val="22"/>
          <w:szCs w:val="22"/>
        </w:rPr>
        <w:t xml:space="preserve">, not </w:t>
      </w:r>
      <w:r>
        <w:rPr>
          <w:rFonts w:ascii="Calibri" w:eastAsia="Calibri" w:hAnsi="Calibri" w:cs="Times New Roman"/>
          <w:sz w:val="22"/>
          <w:szCs w:val="22"/>
        </w:rPr>
        <w:t>the school itself—</w:t>
      </w:r>
      <w:r w:rsidRPr="00F31FE2">
        <w:rPr>
          <w:rFonts w:ascii="Calibri" w:eastAsia="Calibri" w:hAnsi="Calibri" w:cs="Times New Roman"/>
          <w:sz w:val="22"/>
          <w:szCs w:val="22"/>
        </w:rPr>
        <w:t>tho</w:t>
      </w:r>
      <w:r>
        <w:rPr>
          <w:rFonts w:ascii="Calibri" w:eastAsia="Calibri" w:hAnsi="Calibri" w:cs="Times New Roman"/>
          <w:sz w:val="22"/>
          <w:szCs w:val="22"/>
        </w:rPr>
        <w:t>ugh they are highly correlated.</w:t>
      </w:r>
      <w:r w:rsidRPr="00F31FE2">
        <w:rPr>
          <w:rFonts w:ascii="Calibri" w:eastAsia="Calibri" w:hAnsi="Calibri" w:cs="Times New Roman"/>
          <w:sz w:val="22"/>
          <w:szCs w:val="22"/>
        </w:rPr>
        <w:t xml:space="preserve"> The Commonwealth Government us</w:t>
      </w:r>
      <w:r>
        <w:rPr>
          <w:rFonts w:ascii="Calibri" w:eastAsia="Calibri" w:hAnsi="Calibri" w:cs="Times New Roman"/>
          <w:sz w:val="22"/>
          <w:szCs w:val="22"/>
        </w:rPr>
        <w:t>es the ABS data to construct</w:t>
      </w:r>
      <w:r w:rsidRPr="00F31FE2">
        <w:rPr>
          <w:rFonts w:ascii="Calibri" w:eastAsia="Calibri" w:hAnsi="Calibri" w:cs="Times New Roman"/>
          <w:sz w:val="22"/>
          <w:szCs w:val="22"/>
        </w:rPr>
        <w:t xml:space="preserve"> the SES index it uses to determine levels of non-government school grants. ACARA uses the school-based data to calculate its Index of Communit</w:t>
      </w:r>
      <w:r>
        <w:rPr>
          <w:rFonts w:ascii="Calibri" w:eastAsia="Calibri" w:hAnsi="Calibri" w:cs="Times New Roman"/>
          <w:sz w:val="22"/>
          <w:szCs w:val="22"/>
        </w:rPr>
        <w:t>y Socio-Educational Advantage (</w:t>
      </w:r>
      <w:r w:rsidRPr="00F31FE2">
        <w:rPr>
          <w:rFonts w:ascii="Calibri" w:eastAsia="Calibri" w:hAnsi="Calibri" w:cs="Times New Roman"/>
          <w:sz w:val="22"/>
          <w:szCs w:val="22"/>
        </w:rPr>
        <w:t>ICSEA) and the same dat</w:t>
      </w:r>
      <w:r>
        <w:rPr>
          <w:rFonts w:ascii="Calibri" w:eastAsia="Calibri" w:hAnsi="Calibri" w:cs="Times New Roman"/>
          <w:sz w:val="22"/>
          <w:szCs w:val="22"/>
        </w:rPr>
        <w:t>a form</w:t>
      </w:r>
      <w:r w:rsidRPr="00F31FE2">
        <w:rPr>
          <w:rFonts w:ascii="Calibri" w:eastAsia="Calibri" w:hAnsi="Calibri" w:cs="Times New Roman"/>
          <w:sz w:val="22"/>
          <w:szCs w:val="22"/>
        </w:rPr>
        <w:t xml:space="preserve"> the basis of the Commonwealth calculation of ‘low SES’ for </w:t>
      </w:r>
      <w:r>
        <w:rPr>
          <w:rFonts w:ascii="Calibri" w:eastAsia="Calibri" w:hAnsi="Calibri" w:cs="Times New Roman"/>
          <w:sz w:val="22"/>
          <w:szCs w:val="22"/>
        </w:rPr>
        <w:t xml:space="preserve">the </w:t>
      </w:r>
      <w:r w:rsidRPr="00F31FE2">
        <w:rPr>
          <w:rFonts w:ascii="Calibri" w:eastAsia="Calibri" w:hAnsi="Calibri" w:cs="Times New Roman"/>
          <w:sz w:val="22"/>
          <w:szCs w:val="22"/>
        </w:rPr>
        <w:t>purposes of calculating a loading under the</w:t>
      </w:r>
      <w:r w:rsidRPr="00F31FE2">
        <w:rPr>
          <w:rFonts w:ascii="Calibri" w:eastAsia="Calibri" w:hAnsi="Calibri" w:cs="Times New Roman"/>
          <w:i/>
          <w:sz w:val="22"/>
          <w:szCs w:val="22"/>
        </w:rPr>
        <w:t xml:space="preserve"> Australian Education Act</w:t>
      </w:r>
      <w:r>
        <w:rPr>
          <w:rFonts w:ascii="Calibri" w:eastAsia="Calibri" w:hAnsi="Calibri" w:cs="Times New Roman"/>
          <w:sz w:val="22"/>
          <w:szCs w:val="22"/>
        </w:rPr>
        <w:t xml:space="preserve">. </w:t>
      </w:r>
      <w:r w:rsidRPr="00F31FE2">
        <w:rPr>
          <w:rFonts w:ascii="Calibri" w:eastAsia="Calibri" w:hAnsi="Calibri" w:cs="Times New Roman"/>
          <w:sz w:val="22"/>
          <w:szCs w:val="22"/>
        </w:rPr>
        <w:t xml:space="preserve">ICSEA was originally developed for the purpose of grouping schools in lots of 60 for school comparisons on the basis of NAPLAN results only and is published on ACARA’s </w:t>
      </w:r>
      <w:r w:rsidRPr="00F31FE2">
        <w:rPr>
          <w:rFonts w:ascii="Calibri" w:eastAsia="Calibri" w:hAnsi="Calibri" w:cs="Times New Roman"/>
          <w:i/>
          <w:sz w:val="22"/>
          <w:szCs w:val="22"/>
        </w:rPr>
        <w:t>My School</w:t>
      </w:r>
      <w:r w:rsidRPr="00F31FE2">
        <w:rPr>
          <w:rFonts w:ascii="Calibri" w:eastAsia="Calibri" w:hAnsi="Calibri" w:cs="Times New Roman"/>
          <w:sz w:val="22"/>
          <w:szCs w:val="22"/>
        </w:rPr>
        <w:t xml:space="preserve"> website as part of the Socio-Educat</w:t>
      </w:r>
      <w:r>
        <w:rPr>
          <w:rFonts w:ascii="Calibri" w:eastAsia="Calibri" w:hAnsi="Calibri" w:cs="Times New Roman"/>
          <w:sz w:val="22"/>
          <w:szCs w:val="22"/>
        </w:rPr>
        <w:t xml:space="preserve">ional Advantage (SEA) model. </w:t>
      </w:r>
    </w:p>
    <w:p w14:paraId="7A57FDEE" w14:textId="77777777" w:rsidR="0055386D" w:rsidRDefault="0055386D" w:rsidP="00AE56F5">
      <w:pPr>
        <w:spacing w:before="0" w:after="0" w:line="240" w:lineRule="auto"/>
        <w:rPr>
          <w:rFonts w:ascii="Calibri" w:eastAsia="Calibri" w:hAnsi="Calibri" w:cs="Times New Roman"/>
          <w:sz w:val="22"/>
          <w:szCs w:val="22"/>
        </w:rPr>
      </w:pPr>
    </w:p>
    <w:p w14:paraId="1CB59B4F" w14:textId="77777777" w:rsidR="0055386D" w:rsidRDefault="00F31FE2" w:rsidP="00AE56F5">
      <w:pPr>
        <w:spacing w:before="0" w:after="0" w:line="240" w:lineRule="auto"/>
        <w:rPr>
          <w:rFonts w:ascii="Calibri" w:eastAsia="Calibri" w:hAnsi="Calibri" w:cs="Times New Roman"/>
          <w:sz w:val="22"/>
          <w:szCs w:val="22"/>
        </w:rPr>
      </w:pPr>
      <w:r>
        <w:rPr>
          <w:rFonts w:ascii="Calibri" w:eastAsia="Calibri" w:hAnsi="Calibri" w:cs="Times New Roman"/>
          <w:sz w:val="22"/>
          <w:szCs w:val="22"/>
        </w:rPr>
        <w:t xml:space="preserve">In </w:t>
      </w:r>
      <w:r w:rsidRPr="00F31FE2">
        <w:rPr>
          <w:rFonts w:ascii="Calibri" w:eastAsia="Calibri" w:hAnsi="Calibri" w:cs="Times New Roman"/>
          <w:sz w:val="22"/>
          <w:szCs w:val="22"/>
        </w:rPr>
        <w:t>relation to the definition of disability, the Nationally Consistent Collection o</w:t>
      </w:r>
      <w:r>
        <w:rPr>
          <w:rFonts w:ascii="Calibri" w:eastAsia="Calibri" w:hAnsi="Calibri" w:cs="Times New Roman"/>
          <w:sz w:val="22"/>
          <w:szCs w:val="22"/>
        </w:rPr>
        <w:t>f Data (NCCD), currently there are</w:t>
      </w:r>
      <w:r w:rsidRPr="00F31FE2">
        <w:rPr>
          <w:rFonts w:ascii="Calibri" w:eastAsia="Calibri" w:hAnsi="Calibri" w:cs="Times New Roman"/>
          <w:sz w:val="22"/>
          <w:szCs w:val="22"/>
        </w:rPr>
        <w:t xml:space="preserve"> multiple definitions of disability: state and territory definitions, the NCCD definitions and others. Evidence requires the best possible data. At this stage there are serious technical and quality limitations around the use of the school-based family background data and the NCCD data. </w:t>
      </w:r>
    </w:p>
    <w:p w14:paraId="5C511011" w14:textId="77777777" w:rsidR="0055386D" w:rsidRDefault="0055386D" w:rsidP="00AE56F5">
      <w:pPr>
        <w:spacing w:before="0" w:after="0" w:line="240" w:lineRule="auto"/>
        <w:rPr>
          <w:rFonts w:ascii="Calibri" w:eastAsia="Calibri" w:hAnsi="Calibri" w:cs="Times New Roman"/>
          <w:sz w:val="22"/>
          <w:szCs w:val="22"/>
        </w:rPr>
      </w:pPr>
    </w:p>
    <w:p w14:paraId="1C349F27" w14:textId="7E13E54F" w:rsidR="00AE56F5" w:rsidRDefault="00F31FE2" w:rsidP="00AE56F5">
      <w:pPr>
        <w:spacing w:before="0" w:after="0" w:line="240" w:lineRule="auto"/>
        <w:rPr>
          <w:rFonts w:ascii="Calibri" w:eastAsia="Calibri" w:hAnsi="Calibri" w:cs="Times New Roman"/>
          <w:sz w:val="22"/>
          <w:szCs w:val="22"/>
        </w:rPr>
      </w:pPr>
      <w:r w:rsidRPr="00F31FE2">
        <w:rPr>
          <w:rFonts w:ascii="Calibri" w:eastAsia="Calibri" w:hAnsi="Calibri" w:cs="Times New Roman"/>
          <w:sz w:val="22"/>
          <w:szCs w:val="22"/>
        </w:rPr>
        <w:t>In both cases, more rigorous analysis and standards of collection are required before they can be conside</w:t>
      </w:r>
      <w:r>
        <w:rPr>
          <w:rFonts w:ascii="Calibri" w:eastAsia="Calibri" w:hAnsi="Calibri" w:cs="Times New Roman"/>
          <w:sz w:val="22"/>
          <w:szCs w:val="22"/>
        </w:rPr>
        <w:t>red robust enough to constitute</w:t>
      </w:r>
      <w:r w:rsidRPr="00F31FE2">
        <w:rPr>
          <w:rFonts w:ascii="Calibri" w:eastAsia="Calibri" w:hAnsi="Calibri" w:cs="Times New Roman"/>
          <w:sz w:val="22"/>
          <w:szCs w:val="22"/>
        </w:rPr>
        <w:t xml:space="preserve"> educational evidence.</w:t>
      </w:r>
    </w:p>
    <w:p w14:paraId="54BDEC94" w14:textId="77777777" w:rsidR="008F7229" w:rsidRDefault="008F7229" w:rsidP="00FD43BE">
      <w:pPr>
        <w:spacing w:before="0" w:after="0" w:line="240" w:lineRule="auto"/>
        <w:rPr>
          <w:rFonts w:ascii="Calibri" w:eastAsia="Calibri" w:hAnsi="Calibri" w:cs="Times New Roman"/>
          <w:sz w:val="22"/>
          <w:szCs w:val="22"/>
        </w:rPr>
      </w:pPr>
    </w:p>
    <w:p w14:paraId="53A4C5AE" w14:textId="77777777" w:rsidR="00FD43BE" w:rsidRPr="001B39CC" w:rsidRDefault="00FD43BE" w:rsidP="00FD43BE">
      <w:pPr>
        <w:spacing w:before="0" w:after="0" w:line="240" w:lineRule="auto"/>
        <w:rPr>
          <w:rFonts w:ascii="Calibri" w:eastAsia="Calibri" w:hAnsi="Calibri" w:cs="Times New Roman"/>
          <w:b/>
          <w:sz w:val="22"/>
          <w:szCs w:val="22"/>
        </w:rPr>
      </w:pPr>
      <w:r w:rsidRPr="001B39CC">
        <w:rPr>
          <w:rFonts w:ascii="Calibri" w:eastAsia="Calibri" w:hAnsi="Calibri" w:cs="Times New Roman"/>
          <w:b/>
          <w:sz w:val="22"/>
          <w:szCs w:val="22"/>
        </w:rPr>
        <w:t>Existing or potential barriers t</w:t>
      </w:r>
      <w:r w:rsidR="0082588D">
        <w:rPr>
          <w:rFonts w:ascii="Calibri" w:eastAsia="Calibri" w:hAnsi="Calibri" w:cs="Times New Roman"/>
          <w:b/>
          <w:sz w:val="22"/>
          <w:szCs w:val="22"/>
        </w:rPr>
        <w:t>o the sharing of education data</w:t>
      </w:r>
    </w:p>
    <w:p w14:paraId="734075CE" w14:textId="22D0CBA7" w:rsidR="00FD43BE" w:rsidRDefault="00FD43BE" w:rsidP="00FD43BE">
      <w:pPr>
        <w:spacing w:before="0" w:after="0" w:line="240" w:lineRule="auto"/>
        <w:rPr>
          <w:rFonts w:ascii="Calibri" w:eastAsia="Calibri" w:hAnsi="Calibri" w:cs="Times New Roman"/>
          <w:sz w:val="22"/>
          <w:szCs w:val="22"/>
        </w:rPr>
      </w:pPr>
      <w:r w:rsidRPr="00FD43BE">
        <w:rPr>
          <w:rFonts w:ascii="Calibri" w:eastAsia="Calibri" w:hAnsi="Calibri" w:cs="Times New Roman"/>
          <w:sz w:val="22"/>
          <w:szCs w:val="22"/>
        </w:rPr>
        <w:t xml:space="preserve">Privacy legislation is an important consideration when developing a national education evidence base. However, there </w:t>
      </w:r>
      <w:r w:rsidR="00E43C3B">
        <w:rPr>
          <w:rFonts w:ascii="Calibri" w:eastAsia="Calibri" w:hAnsi="Calibri" w:cs="Times New Roman"/>
          <w:sz w:val="22"/>
          <w:szCs w:val="22"/>
        </w:rPr>
        <w:t xml:space="preserve">is </w:t>
      </w:r>
      <w:r w:rsidRPr="00FD43BE">
        <w:rPr>
          <w:rFonts w:ascii="Calibri" w:eastAsia="Calibri" w:hAnsi="Calibri" w:cs="Times New Roman"/>
          <w:sz w:val="22"/>
          <w:szCs w:val="22"/>
        </w:rPr>
        <w:t xml:space="preserve">an inclination in the education sector to accept privacy barriers as inevitable in a way that does </w:t>
      </w:r>
      <w:r w:rsidR="00237553">
        <w:rPr>
          <w:rFonts w:ascii="Calibri" w:eastAsia="Calibri" w:hAnsi="Calibri" w:cs="Times New Roman"/>
          <w:sz w:val="22"/>
          <w:szCs w:val="22"/>
        </w:rPr>
        <w:t>not apply</w:t>
      </w:r>
      <w:r w:rsidR="001B39CC">
        <w:rPr>
          <w:rFonts w:ascii="Calibri" w:eastAsia="Calibri" w:hAnsi="Calibri" w:cs="Times New Roman"/>
          <w:sz w:val="22"/>
          <w:szCs w:val="22"/>
        </w:rPr>
        <w:t xml:space="preserve"> overseas or</w:t>
      </w:r>
      <w:r w:rsidR="00E43C3B">
        <w:rPr>
          <w:rFonts w:ascii="Calibri" w:eastAsia="Calibri" w:hAnsi="Calibri" w:cs="Times New Roman"/>
          <w:sz w:val="22"/>
          <w:szCs w:val="22"/>
        </w:rPr>
        <w:t>, for example,</w:t>
      </w:r>
      <w:r w:rsidR="001B39CC">
        <w:rPr>
          <w:rFonts w:ascii="Calibri" w:eastAsia="Calibri" w:hAnsi="Calibri" w:cs="Times New Roman"/>
          <w:sz w:val="22"/>
          <w:szCs w:val="22"/>
        </w:rPr>
        <w:t xml:space="preserve"> in the health sector locally.</w:t>
      </w:r>
      <w:r w:rsidR="00614763">
        <w:rPr>
          <w:rFonts w:ascii="Calibri" w:eastAsia="Calibri" w:hAnsi="Calibri" w:cs="Times New Roman"/>
          <w:sz w:val="22"/>
          <w:szCs w:val="22"/>
        </w:rPr>
        <w:t xml:space="preserve"> </w:t>
      </w:r>
      <w:r w:rsidR="00F32777">
        <w:rPr>
          <w:rFonts w:ascii="Calibri" w:eastAsia="Calibri" w:hAnsi="Calibri" w:cs="Times New Roman"/>
          <w:sz w:val="22"/>
          <w:szCs w:val="22"/>
        </w:rPr>
        <w:t xml:space="preserve">Although public perceptions of the education and health spheres suggest there may be more community support for privacy barriers to be overcome in the latter, it is worth questioning whether a similar model that is robust and founded on good governance could be realised in education. </w:t>
      </w:r>
      <w:r w:rsidR="00614763">
        <w:rPr>
          <w:rFonts w:ascii="Calibri" w:eastAsia="Calibri" w:hAnsi="Calibri" w:cs="Times New Roman"/>
          <w:sz w:val="22"/>
          <w:szCs w:val="22"/>
        </w:rPr>
        <w:t xml:space="preserve">As the Issues Paper notes (p. 21), in the context of medical research there is a waiver under the </w:t>
      </w:r>
      <w:r w:rsidR="00614763" w:rsidRPr="00614763">
        <w:rPr>
          <w:rFonts w:ascii="Calibri" w:eastAsia="Calibri" w:hAnsi="Calibri" w:cs="Times New Roman"/>
          <w:i/>
          <w:sz w:val="22"/>
          <w:szCs w:val="22"/>
        </w:rPr>
        <w:t>Privacy Act 1988</w:t>
      </w:r>
      <w:r w:rsidR="00614763">
        <w:rPr>
          <w:rFonts w:ascii="Calibri" w:eastAsia="Calibri" w:hAnsi="Calibri" w:cs="Times New Roman"/>
          <w:sz w:val="22"/>
          <w:szCs w:val="22"/>
        </w:rPr>
        <w:t xml:space="preserve"> (</w:t>
      </w:r>
      <w:proofErr w:type="spellStart"/>
      <w:r w:rsidR="00614763">
        <w:rPr>
          <w:rFonts w:ascii="Calibri" w:eastAsia="Calibri" w:hAnsi="Calibri" w:cs="Times New Roman"/>
          <w:sz w:val="22"/>
          <w:szCs w:val="22"/>
        </w:rPr>
        <w:t>Cth</w:t>
      </w:r>
      <w:proofErr w:type="spellEnd"/>
      <w:r w:rsidR="00614763">
        <w:rPr>
          <w:rFonts w:ascii="Calibri" w:eastAsia="Calibri" w:hAnsi="Calibri" w:cs="Times New Roman"/>
          <w:sz w:val="22"/>
          <w:szCs w:val="22"/>
        </w:rPr>
        <w:t>) that allows health data to be accessed without consent.</w:t>
      </w:r>
      <w:r w:rsidRPr="00FD43BE">
        <w:rPr>
          <w:rFonts w:ascii="Calibri" w:eastAsia="Calibri" w:hAnsi="Calibri" w:cs="Times New Roman"/>
          <w:sz w:val="22"/>
          <w:szCs w:val="22"/>
        </w:rPr>
        <w:t xml:space="preserve"> Although </w:t>
      </w:r>
      <w:r w:rsidR="00BD4DB8">
        <w:rPr>
          <w:rFonts w:ascii="Calibri" w:eastAsia="Calibri" w:hAnsi="Calibri" w:cs="Times New Roman"/>
          <w:sz w:val="22"/>
          <w:szCs w:val="22"/>
        </w:rPr>
        <w:t>efforts to build a</w:t>
      </w:r>
      <w:r w:rsidRPr="00FD43BE">
        <w:rPr>
          <w:rFonts w:ascii="Calibri" w:eastAsia="Calibri" w:hAnsi="Calibri" w:cs="Times New Roman"/>
          <w:sz w:val="22"/>
          <w:szCs w:val="22"/>
        </w:rPr>
        <w:t xml:space="preserve"> comprehensive and rich </w:t>
      </w:r>
      <w:r w:rsidR="00BD4DB8">
        <w:rPr>
          <w:rFonts w:ascii="Calibri" w:eastAsia="Calibri" w:hAnsi="Calibri" w:cs="Times New Roman"/>
          <w:sz w:val="22"/>
          <w:szCs w:val="22"/>
        </w:rPr>
        <w:t>data</w:t>
      </w:r>
      <w:r w:rsidRPr="00FD43BE">
        <w:rPr>
          <w:rFonts w:ascii="Calibri" w:eastAsia="Calibri" w:hAnsi="Calibri" w:cs="Times New Roman"/>
          <w:sz w:val="22"/>
          <w:szCs w:val="22"/>
        </w:rPr>
        <w:t xml:space="preserve">base </w:t>
      </w:r>
      <w:r w:rsidR="00614763">
        <w:rPr>
          <w:rFonts w:ascii="Calibri" w:eastAsia="Calibri" w:hAnsi="Calibri" w:cs="Times New Roman"/>
          <w:sz w:val="22"/>
          <w:szCs w:val="22"/>
        </w:rPr>
        <w:t xml:space="preserve">in education </w:t>
      </w:r>
      <w:r w:rsidRPr="00FD43BE">
        <w:rPr>
          <w:rFonts w:ascii="Calibri" w:eastAsia="Calibri" w:hAnsi="Calibri" w:cs="Times New Roman"/>
          <w:sz w:val="22"/>
          <w:szCs w:val="22"/>
        </w:rPr>
        <w:t>should not</w:t>
      </w:r>
      <w:r w:rsidR="00F32777">
        <w:rPr>
          <w:rFonts w:ascii="Calibri" w:eastAsia="Calibri" w:hAnsi="Calibri" w:cs="Times New Roman"/>
          <w:sz w:val="22"/>
          <w:szCs w:val="22"/>
        </w:rPr>
        <w:t xml:space="preserve"> arbitrarily</w:t>
      </w:r>
      <w:r w:rsidR="00237553">
        <w:rPr>
          <w:rFonts w:ascii="Calibri" w:eastAsia="Calibri" w:hAnsi="Calibri" w:cs="Times New Roman"/>
          <w:sz w:val="22"/>
          <w:szCs w:val="22"/>
        </w:rPr>
        <w:t xml:space="preserve"> contravene Privacy Principles set out in Commonwealth privacy law</w:t>
      </w:r>
      <w:r w:rsidRPr="00FD43BE">
        <w:rPr>
          <w:rFonts w:ascii="Calibri" w:eastAsia="Calibri" w:hAnsi="Calibri" w:cs="Times New Roman"/>
          <w:sz w:val="22"/>
          <w:szCs w:val="22"/>
        </w:rPr>
        <w:t>, barriers to the sharing of education data prevent strong correla</w:t>
      </w:r>
      <w:r w:rsidR="00E43C3B">
        <w:rPr>
          <w:rFonts w:ascii="Calibri" w:eastAsia="Calibri" w:hAnsi="Calibri" w:cs="Times New Roman"/>
          <w:sz w:val="22"/>
          <w:szCs w:val="22"/>
        </w:rPr>
        <w:t>tional research from occurring.</w:t>
      </w:r>
      <w:r w:rsidRPr="00FD43BE">
        <w:rPr>
          <w:rFonts w:ascii="Calibri" w:eastAsia="Calibri" w:hAnsi="Calibri" w:cs="Times New Roman"/>
          <w:sz w:val="22"/>
          <w:szCs w:val="22"/>
        </w:rPr>
        <w:t xml:space="preserve"> There is added complexity for education</w:t>
      </w:r>
      <w:r w:rsidR="00BD4DB8">
        <w:rPr>
          <w:rFonts w:ascii="Calibri" w:eastAsia="Calibri" w:hAnsi="Calibri" w:cs="Times New Roman"/>
          <w:sz w:val="22"/>
          <w:szCs w:val="22"/>
        </w:rPr>
        <w:t xml:space="preserve"> data</w:t>
      </w:r>
      <w:r w:rsidRPr="00FD43BE">
        <w:rPr>
          <w:rFonts w:ascii="Calibri" w:eastAsia="Calibri" w:hAnsi="Calibri" w:cs="Times New Roman"/>
          <w:sz w:val="22"/>
          <w:szCs w:val="22"/>
        </w:rPr>
        <w:t xml:space="preserve"> in terms of privacy legislation: whereas the non-government sector is subject to Commonwealth privacy law, the government sector is subject to state privacy laws.</w:t>
      </w:r>
    </w:p>
    <w:p w14:paraId="2CE24C7F" w14:textId="77777777" w:rsidR="0055386D" w:rsidRDefault="0055386D" w:rsidP="00FD43BE">
      <w:pPr>
        <w:spacing w:before="0" w:after="0" w:line="240" w:lineRule="auto"/>
        <w:rPr>
          <w:rFonts w:ascii="Calibri" w:eastAsia="Calibri" w:hAnsi="Calibri" w:cs="Times New Roman"/>
          <w:sz w:val="22"/>
          <w:szCs w:val="22"/>
        </w:rPr>
      </w:pPr>
    </w:p>
    <w:p w14:paraId="5AF89E1B" w14:textId="76EE4ABF" w:rsidR="00FD43BE" w:rsidRPr="00FD43BE" w:rsidRDefault="00614763" w:rsidP="00FD43BE">
      <w:pPr>
        <w:spacing w:before="0" w:after="0" w:line="240" w:lineRule="auto"/>
        <w:rPr>
          <w:rFonts w:ascii="Calibri" w:eastAsia="Calibri" w:hAnsi="Calibri" w:cs="Times New Roman"/>
          <w:sz w:val="22"/>
          <w:szCs w:val="22"/>
        </w:rPr>
      </w:pPr>
      <w:r>
        <w:rPr>
          <w:rFonts w:ascii="Calibri" w:eastAsia="Calibri" w:hAnsi="Calibri" w:cs="Times New Roman"/>
          <w:sz w:val="22"/>
          <w:szCs w:val="22"/>
        </w:rPr>
        <w:t>Although privacy legislation has a legitimate purpose, the limits and barriers it creates inhibit data linkage and necessitate practices such as the de-identification of unit record data or</w:t>
      </w:r>
      <w:r w:rsidR="004D0B6E">
        <w:rPr>
          <w:rFonts w:ascii="Calibri" w:eastAsia="Calibri" w:hAnsi="Calibri" w:cs="Times New Roman"/>
          <w:sz w:val="22"/>
          <w:szCs w:val="22"/>
        </w:rPr>
        <w:t xml:space="preserve"> mitigates against</w:t>
      </w:r>
      <w:r>
        <w:rPr>
          <w:rFonts w:ascii="Calibri" w:eastAsia="Calibri" w:hAnsi="Calibri" w:cs="Times New Roman"/>
          <w:sz w:val="22"/>
          <w:szCs w:val="22"/>
        </w:rPr>
        <w:t xml:space="preserve"> the adoption of unique student identifiers. </w:t>
      </w:r>
      <w:r w:rsidR="00237553">
        <w:rPr>
          <w:rFonts w:ascii="Calibri" w:eastAsia="Calibri" w:hAnsi="Calibri" w:cs="Times New Roman"/>
          <w:sz w:val="22"/>
          <w:szCs w:val="22"/>
        </w:rPr>
        <w:t xml:space="preserve">Data collection in respect of small cohorts also presents a challenge. </w:t>
      </w:r>
      <w:r>
        <w:rPr>
          <w:rFonts w:ascii="Calibri" w:eastAsia="Calibri" w:hAnsi="Calibri" w:cs="Times New Roman"/>
          <w:sz w:val="22"/>
          <w:szCs w:val="22"/>
        </w:rPr>
        <w:t xml:space="preserve">Privacy legislation can also engender unexpected </w:t>
      </w:r>
      <w:r w:rsidR="003F2AC5">
        <w:rPr>
          <w:rFonts w:ascii="Calibri" w:eastAsia="Calibri" w:hAnsi="Calibri" w:cs="Times New Roman"/>
          <w:sz w:val="22"/>
          <w:szCs w:val="22"/>
        </w:rPr>
        <w:t xml:space="preserve">obligations on education authorities. </w:t>
      </w:r>
      <w:r w:rsidR="00FD43BE" w:rsidRPr="00FD43BE">
        <w:rPr>
          <w:rFonts w:ascii="Calibri" w:eastAsia="Calibri" w:hAnsi="Calibri" w:cs="Times New Roman"/>
          <w:sz w:val="22"/>
          <w:szCs w:val="22"/>
        </w:rPr>
        <w:t>One example of how privacy law is a</w:t>
      </w:r>
      <w:r w:rsidR="003F2AC5">
        <w:rPr>
          <w:rFonts w:ascii="Calibri" w:eastAsia="Calibri" w:hAnsi="Calibri" w:cs="Times New Roman"/>
          <w:sz w:val="22"/>
          <w:szCs w:val="22"/>
        </w:rPr>
        <w:t>n important consideration is</w:t>
      </w:r>
      <w:r w:rsidR="00FD43BE" w:rsidRPr="00FD43BE">
        <w:rPr>
          <w:rFonts w:ascii="Calibri" w:eastAsia="Calibri" w:hAnsi="Calibri" w:cs="Times New Roman"/>
          <w:sz w:val="22"/>
          <w:szCs w:val="22"/>
        </w:rPr>
        <w:t xml:space="preserve"> Australian Pri</w:t>
      </w:r>
      <w:r w:rsidR="003F2AC5">
        <w:rPr>
          <w:rFonts w:ascii="Calibri" w:eastAsia="Calibri" w:hAnsi="Calibri" w:cs="Times New Roman"/>
          <w:sz w:val="22"/>
          <w:szCs w:val="22"/>
        </w:rPr>
        <w:t>vacy Principle 8—</w:t>
      </w:r>
      <w:proofErr w:type="spellStart"/>
      <w:r w:rsidR="003F2AC5">
        <w:rPr>
          <w:rFonts w:ascii="Calibri" w:eastAsia="Calibri" w:hAnsi="Calibri" w:cs="Times New Roman"/>
          <w:sz w:val="22"/>
          <w:szCs w:val="22"/>
        </w:rPr>
        <w:t>transborder</w:t>
      </w:r>
      <w:proofErr w:type="spellEnd"/>
      <w:r w:rsidR="003F2AC5">
        <w:rPr>
          <w:rFonts w:ascii="Calibri" w:eastAsia="Calibri" w:hAnsi="Calibri" w:cs="Times New Roman"/>
          <w:sz w:val="22"/>
          <w:szCs w:val="22"/>
        </w:rPr>
        <w:t xml:space="preserve"> data flow—which</w:t>
      </w:r>
      <w:r w:rsidR="00FD43BE" w:rsidRPr="00FD43BE">
        <w:rPr>
          <w:rFonts w:ascii="Calibri" w:eastAsia="Calibri" w:hAnsi="Calibri" w:cs="Times New Roman"/>
          <w:sz w:val="22"/>
          <w:szCs w:val="22"/>
        </w:rPr>
        <w:t xml:space="preserve"> places greater obligations on entities in relation to the cross-border disclosure of personal information than were previously required. In certain </w:t>
      </w:r>
      <w:r w:rsidR="00FD43BE" w:rsidRPr="00FD43BE">
        <w:rPr>
          <w:rFonts w:ascii="Calibri" w:eastAsia="Calibri" w:hAnsi="Calibri" w:cs="Times New Roman"/>
          <w:sz w:val="22"/>
          <w:szCs w:val="22"/>
        </w:rPr>
        <w:lastRenderedPageBreak/>
        <w:t>circumstances, schools may be liable for any breach of privacy by an overseas entity in relation t</w:t>
      </w:r>
      <w:r w:rsidR="00237553">
        <w:rPr>
          <w:rFonts w:ascii="Calibri" w:eastAsia="Calibri" w:hAnsi="Calibri" w:cs="Times New Roman"/>
          <w:sz w:val="22"/>
          <w:szCs w:val="22"/>
        </w:rPr>
        <w:t>o the disclosure of a</w:t>
      </w:r>
      <w:r w:rsidR="00FD43BE" w:rsidRPr="00FD43BE">
        <w:rPr>
          <w:rFonts w:ascii="Calibri" w:eastAsia="Calibri" w:hAnsi="Calibri" w:cs="Times New Roman"/>
          <w:sz w:val="22"/>
          <w:szCs w:val="22"/>
        </w:rPr>
        <w:t xml:space="preserve"> record</w:t>
      </w:r>
      <w:r w:rsidR="00237553">
        <w:rPr>
          <w:rFonts w:ascii="Calibri" w:eastAsia="Calibri" w:hAnsi="Calibri" w:cs="Times New Roman"/>
          <w:sz w:val="22"/>
          <w:szCs w:val="22"/>
        </w:rPr>
        <w:t xml:space="preserve"> of personal information originally sourced from a school</w:t>
      </w:r>
      <w:r w:rsidR="00FD43BE" w:rsidRPr="00FD43BE">
        <w:rPr>
          <w:rFonts w:ascii="Calibri" w:eastAsia="Calibri" w:hAnsi="Calibri" w:cs="Times New Roman"/>
          <w:sz w:val="22"/>
          <w:szCs w:val="22"/>
        </w:rPr>
        <w:t>.</w:t>
      </w:r>
    </w:p>
    <w:p w14:paraId="0ED6638E" w14:textId="77777777" w:rsidR="00FD43BE" w:rsidRDefault="00FD43BE" w:rsidP="00FD43BE">
      <w:pPr>
        <w:spacing w:before="0" w:after="0" w:line="240" w:lineRule="auto"/>
        <w:rPr>
          <w:rFonts w:ascii="Calibri" w:eastAsia="Calibri" w:hAnsi="Calibri" w:cs="Times New Roman"/>
          <w:sz w:val="22"/>
          <w:szCs w:val="22"/>
        </w:rPr>
      </w:pPr>
    </w:p>
    <w:p w14:paraId="009D6255" w14:textId="30D20137" w:rsidR="0055386D" w:rsidRPr="0055386D" w:rsidRDefault="0055386D" w:rsidP="00FD43BE">
      <w:pPr>
        <w:spacing w:before="0" w:after="0" w:line="240" w:lineRule="auto"/>
        <w:rPr>
          <w:rFonts w:ascii="Calibri" w:eastAsia="Calibri" w:hAnsi="Calibri" w:cs="Times New Roman"/>
          <w:i/>
          <w:sz w:val="22"/>
          <w:szCs w:val="22"/>
        </w:rPr>
      </w:pPr>
      <w:r>
        <w:rPr>
          <w:rFonts w:ascii="Calibri" w:eastAsia="Calibri" w:hAnsi="Calibri" w:cs="Times New Roman"/>
          <w:i/>
          <w:sz w:val="22"/>
          <w:szCs w:val="22"/>
        </w:rPr>
        <w:t>Data linkage and a unique student identifier</w:t>
      </w:r>
    </w:p>
    <w:p w14:paraId="4A877355" w14:textId="2B4D7609" w:rsidR="00A80C77" w:rsidRDefault="000A39ED" w:rsidP="00A80C77">
      <w:pPr>
        <w:spacing w:before="0" w:after="0" w:line="240" w:lineRule="auto"/>
        <w:rPr>
          <w:rFonts w:ascii="Calibri" w:eastAsia="Calibri" w:hAnsi="Calibri" w:cs="Times New Roman"/>
          <w:sz w:val="22"/>
          <w:szCs w:val="22"/>
        </w:rPr>
      </w:pPr>
      <w:r>
        <w:rPr>
          <w:rFonts w:ascii="Calibri" w:eastAsia="Calibri" w:hAnsi="Calibri" w:cs="Times New Roman"/>
          <w:sz w:val="22"/>
          <w:szCs w:val="22"/>
        </w:rPr>
        <w:t xml:space="preserve">There is a need </w:t>
      </w:r>
      <w:r w:rsidR="00FD43BE" w:rsidRPr="00FD43BE">
        <w:rPr>
          <w:rFonts w:ascii="Calibri" w:eastAsia="Calibri" w:hAnsi="Calibri" w:cs="Times New Roman"/>
          <w:sz w:val="22"/>
          <w:szCs w:val="22"/>
        </w:rPr>
        <w:t>to</w:t>
      </w:r>
      <w:r w:rsidR="00CA2F97">
        <w:rPr>
          <w:rFonts w:ascii="Calibri" w:eastAsia="Calibri" w:hAnsi="Calibri" w:cs="Times New Roman"/>
          <w:sz w:val="22"/>
          <w:szCs w:val="22"/>
        </w:rPr>
        <w:t xml:space="preserve"> make student</w:t>
      </w:r>
      <w:r w:rsidR="00FD43BE" w:rsidRPr="00FD43BE">
        <w:rPr>
          <w:rFonts w:ascii="Calibri" w:eastAsia="Calibri" w:hAnsi="Calibri" w:cs="Times New Roman"/>
          <w:sz w:val="22"/>
          <w:szCs w:val="22"/>
        </w:rPr>
        <w:t xml:space="preserve"> data more ac</w:t>
      </w:r>
      <w:r w:rsidR="00792F51">
        <w:rPr>
          <w:rFonts w:ascii="Calibri" w:eastAsia="Calibri" w:hAnsi="Calibri" w:cs="Times New Roman"/>
          <w:sz w:val="22"/>
          <w:szCs w:val="22"/>
        </w:rPr>
        <w:t>cessible for data linkage</w:t>
      </w:r>
      <w:r w:rsidR="00CA2F97">
        <w:rPr>
          <w:rFonts w:ascii="Calibri" w:eastAsia="Calibri" w:hAnsi="Calibri" w:cs="Times New Roman"/>
          <w:sz w:val="22"/>
          <w:szCs w:val="22"/>
        </w:rPr>
        <w:t>, which could provide further insights into student achievement</w:t>
      </w:r>
      <w:r w:rsidR="00792F51">
        <w:rPr>
          <w:rFonts w:ascii="Calibri" w:eastAsia="Calibri" w:hAnsi="Calibri" w:cs="Times New Roman"/>
          <w:sz w:val="22"/>
          <w:szCs w:val="22"/>
        </w:rPr>
        <w:t xml:space="preserve">. </w:t>
      </w:r>
      <w:r>
        <w:rPr>
          <w:rFonts w:ascii="Calibri" w:eastAsia="Calibri" w:hAnsi="Calibri" w:cs="Times New Roman"/>
          <w:sz w:val="22"/>
          <w:szCs w:val="22"/>
        </w:rPr>
        <w:t>A</w:t>
      </w:r>
      <w:r w:rsidR="00AA1FFC">
        <w:rPr>
          <w:rFonts w:ascii="Calibri" w:eastAsia="Calibri" w:hAnsi="Calibri" w:cs="Times New Roman"/>
          <w:sz w:val="22"/>
          <w:szCs w:val="22"/>
        </w:rPr>
        <w:t xml:space="preserve"> unique student i</w:t>
      </w:r>
      <w:r w:rsidRPr="000A39ED">
        <w:rPr>
          <w:rFonts w:ascii="Calibri" w:eastAsia="Calibri" w:hAnsi="Calibri" w:cs="Times New Roman"/>
          <w:sz w:val="22"/>
          <w:szCs w:val="22"/>
        </w:rPr>
        <w:t>dentifier (USI)</w:t>
      </w:r>
      <w:r>
        <w:rPr>
          <w:rFonts w:ascii="Calibri" w:eastAsia="Calibri" w:hAnsi="Calibri" w:cs="Times New Roman"/>
          <w:sz w:val="22"/>
          <w:szCs w:val="22"/>
        </w:rPr>
        <w:t xml:space="preserve"> is a way of addressing this need. It</w:t>
      </w:r>
      <w:r w:rsidR="00FD43BE" w:rsidRPr="00FD43BE">
        <w:rPr>
          <w:rFonts w:ascii="Calibri" w:eastAsia="Calibri" w:hAnsi="Calibri" w:cs="Times New Roman"/>
          <w:sz w:val="22"/>
          <w:szCs w:val="22"/>
        </w:rPr>
        <w:t xml:space="preserve"> </w:t>
      </w:r>
      <w:r>
        <w:rPr>
          <w:rFonts w:ascii="Calibri" w:eastAsia="Calibri" w:hAnsi="Calibri" w:cs="Times New Roman"/>
          <w:sz w:val="22"/>
          <w:szCs w:val="22"/>
        </w:rPr>
        <w:t>would be</w:t>
      </w:r>
      <w:r w:rsidR="00792F51">
        <w:rPr>
          <w:rFonts w:ascii="Calibri" w:eastAsia="Calibri" w:hAnsi="Calibri" w:cs="Times New Roman"/>
          <w:sz w:val="22"/>
          <w:szCs w:val="22"/>
        </w:rPr>
        <w:t xml:space="preserve"> </w:t>
      </w:r>
      <w:r w:rsidR="00FD43BE" w:rsidRPr="00FD43BE">
        <w:rPr>
          <w:rFonts w:ascii="Calibri" w:eastAsia="Calibri" w:hAnsi="Calibri" w:cs="Times New Roman"/>
          <w:sz w:val="22"/>
          <w:szCs w:val="22"/>
        </w:rPr>
        <w:t>an opp</w:t>
      </w:r>
      <w:r w:rsidR="00792F51">
        <w:rPr>
          <w:rFonts w:ascii="Calibri" w:eastAsia="Calibri" w:hAnsi="Calibri" w:cs="Times New Roman"/>
          <w:sz w:val="22"/>
          <w:szCs w:val="22"/>
        </w:rPr>
        <w:t>ortunity for longitudinal data that could provide insights across the life cycle of learning—from early childhood to post-school pathways.</w:t>
      </w:r>
      <w:r w:rsidR="00690667">
        <w:rPr>
          <w:rFonts w:ascii="Calibri" w:eastAsia="Calibri" w:hAnsi="Calibri" w:cs="Times New Roman"/>
          <w:sz w:val="22"/>
          <w:szCs w:val="22"/>
        </w:rPr>
        <w:t xml:space="preserve"> </w:t>
      </w:r>
      <w:r w:rsidR="00A80C77">
        <w:rPr>
          <w:rFonts w:ascii="Calibri" w:eastAsia="Calibri" w:hAnsi="Calibri" w:cs="Times New Roman"/>
          <w:sz w:val="22"/>
          <w:szCs w:val="22"/>
        </w:rPr>
        <w:t xml:space="preserve">There is already some progress in this area. </w:t>
      </w:r>
      <w:r w:rsidR="00A80C77" w:rsidRPr="00A80C77">
        <w:rPr>
          <w:rFonts w:ascii="Calibri" w:eastAsia="Calibri" w:hAnsi="Calibri" w:cs="Times New Roman"/>
          <w:sz w:val="22"/>
          <w:szCs w:val="22"/>
        </w:rPr>
        <w:t xml:space="preserve">The Commonwealth Higher Education Supported Student Number (CHESSN) is a unique identifier that identifies a student who is </w:t>
      </w:r>
      <w:r w:rsidR="00A80C77">
        <w:rPr>
          <w:rFonts w:ascii="Calibri" w:eastAsia="Calibri" w:hAnsi="Calibri" w:cs="Times New Roman"/>
          <w:sz w:val="22"/>
          <w:szCs w:val="22"/>
        </w:rPr>
        <w:t>supported by the Commonwealth Government. And s</w:t>
      </w:r>
      <w:r w:rsidR="00690667">
        <w:rPr>
          <w:rFonts w:ascii="Calibri" w:eastAsia="Calibri" w:hAnsi="Calibri" w:cs="Times New Roman"/>
          <w:sz w:val="22"/>
          <w:szCs w:val="22"/>
        </w:rPr>
        <w:t xml:space="preserve">ince </w:t>
      </w:r>
      <w:r w:rsidR="00690667" w:rsidRPr="00690667">
        <w:rPr>
          <w:rFonts w:ascii="Calibri" w:eastAsia="Calibri" w:hAnsi="Calibri" w:cs="Times New Roman"/>
          <w:sz w:val="22"/>
          <w:szCs w:val="22"/>
        </w:rPr>
        <w:t xml:space="preserve">2012, </w:t>
      </w:r>
      <w:r w:rsidR="00690667">
        <w:rPr>
          <w:rFonts w:ascii="Calibri" w:eastAsia="Calibri" w:hAnsi="Calibri" w:cs="Times New Roman"/>
          <w:sz w:val="22"/>
          <w:szCs w:val="22"/>
        </w:rPr>
        <w:t xml:space="preserve">following agreement by </w:t>
      </w:r>
      <w:r w:rsidR="00690667" w:rsidRPr="00690667">
        <w:rPr>
          <w:rFonts w:ascii="Calibri" w:eastAsia="Calibri" w:hAnsi="Calibri" w:cs="Times New Roman"/>
          <w:sz w:val="22"/>
          <w:szCs w:val="22"/>
        </w:rPr>
        <w:t>the Council of Australian Governments</w:t>
      </w:r>
      <w:r w:rsidR="00690667">
        <w:rPr>
          <w:rFonts w:ascii="Calibri" w:eastAsia="Calibri" w:hAnsi="Calibri" w:cs="Times New Roman"/>
          <w:sz w:val="22"/>
          <w:szCs w:val="22"/>
        </w:rPr>
        <w:t xml:space="preserve">, a USI has evolved that enables students </w:t>
      </w:r>
      <w:r w:rsidR="00690667" w:rsidRPr="00690667">
        <w:rPr>
          <w:rFonts w:ascii="Calibri" w:eastAsia="Calibri" w:hAnsi="Calibri" w:cs="Times New Roman"/>
          <w:sz w:val="22"/>
          <w:szCs w:val="22"/>
        </w:rPr>
        <w:t xml:space="preserve">to obtain a complete record of their </w:t>
      </w:r>
      <w:r w:rsidR="00690667">
        <w:rPr>
          <w:rFonts w:ascii="Calibri" w:eastAsia="Calibri" w:hAnsi="Calibri" w:cs="Times New Roman"/>
          <w:sz w:val="22"/>
          <w:szCs w:val="22"/>
        </w:rPr>
        <w:t>Vocational Education and Training (</w:t>
      </w:r>
      <w:r w:rsidR="00690667" w:rsidRPr="00690667">
        <w:rPr>
          <w:rFonts w:ascii="Calibri" w:eastAsia="Calibri" w:hAnsi="Calibri" w:cs="Times New Roman"/>
          <w:sz w:val="22"/>
          <w:szCs w:val="22"/>
        </w:rPr>
        <w:t>VET</w:t>
      </w:r>
      <w:r w:rsidR="00690667">
        <w:rPr>
          <w:rFonts w:ascii="Calibri" w:eastAsia="Calibri" w:hAnsi="Calibri" w:cs="Times New Roman"/>
          <w:sz w:val="22"/>
          <w:szCs w:val="22"/>
        </w:rPr>
        <w:t>)</w:t>
      </w:r>
      <w:r w:rsidR="00690667" w:rsidRPr="00690667">
        <w:rPr>
          <w:rFonts w:ascii="Calibri" w:eastAsia="Calibri" w:hAnsi="Calibri" w:cs="Times New Roman"/>
          <w:sz w:val="22"/>
          <w:szCs w:val="22"/>
        </w:rPr>
        <w:t xml:space="preserve"> enrolments and achievements from a single source.</w:t>
      </w:r>
      <w:r w:rsidR="00690667">
        <w:rPr>
          <w:rFonts w:ascii="Calibri" w:eastAsia="Calibri" w:hAnsi="Calibri" w:cs="Times New Roman"/>
          <w:sz w:val="22"/>
          <w:szCs w:val="22"/>
        </w:rPr>
        <w:t xml:space="preserve"> Although the </w:t>
      </w:r>
      <w:r w:rsidR="00690667" w:rsidRPr="00690667">
        <w:rPr>
          <w:rFonts w:ascii="Calibri" w:eastAsia="Calibri" w:hAnsi="Calibri" w:cs="Times New Roman"/>
          <w:i/>
          <w:sz w:val="22"/>
          <w:szCs w:val="22"/>
        </w:rPr>
        <w:t>Student Identifiers Act 2014</w:t>
      </w:r>
      <w:r w:rsidR="00690667" w:rsidRPr="00690667">
        <w:rPr>
          <w:rFonts w:ascii="Calibri" w:eastAsia="Calibri" w:hAnsi="Calibri" w:cs="Times New Roman"/>
          <w:sz w:val="22"/>
          <w:szCs w:val="22"/>
        </w:rPr>
        <w:t xml:space="preserve"> and </w:t>
      </w:r>
      <w:r w:rsidR="00690667">
        <w:rPr>
          <w:rFonts w:ascii="Calibri" w:eastAsia="Calibri" w:hAnsi="Calibri" w:cs="Times New Roman"/>
          <w:sz w:val="22"/>
          <w:szCs w:val="22"/>
        </w:rPr>
        <w:t>the</w:t>
      </w:r>
      <w:r w:rsidR="00690667" w:rsidRPr="00690667">
        <w:rPr>
          <w:rFonts w:ascii="Calibri" w:eastAsia="Calibri" w:hAnsi="Calibri" w:cs="Times New Roman"/>
          <w:sz w:val="22"/>
          <w:szCs w:val="22"/>
        </w:rPr>
        <w:t xml:space="preserve"> national Information Communication </w:t>
      </w:r>
      <w:r w:rsidR="00690667">
        <w:rPr>
          <w:rFonts w:ascii="Calibri" w:eastAsia="Calibri" w:hAnsi="Calibri" w:cs="Times New Roman"/>
          <w:sz w:val="22"/>
          <w:szCs w:val="22"/>
        </w:rPr>
        <w:t xml:space="preserve">Technology (ICT) system that support the current arrangements are limited to the VET sector, there is potential for this initiative to go beyond this sector. </w:t>
      </w:r>
      <w:r w:rsidR="00A80C77">
        <w:rPr>
          <w:rFonts w:ascii="Calibri" w:eastAsia="Calibri" w:hAnsi="Calibri" w:cs="Times New Roman"/>
          <w:sz w:val="22"/>
          <w:szCs w:val="22"/>
        </w:rPr>
        <w:t>In</w:t>
      </w:r>
      <w:r w:rsidR="00A80C77" w:rsidRPr="00A80C77">
        <w:rPr>
          <w:rFonts w:ascii="Calibri" w:eastAsia="Calibri" w:hAnsi="Calibri" w:cs="Times New Roman"/>
          <w:sz w:val="22"/>
          <w:szCs w:val="22"/>
        </w:rPr>
        <w:t xml:space="preserve"> Victoria</w:t>
      </w:r>
      <w:r w:rsidR="00A80C77">
        <w:rPr>
          <w:rFonts w:ascii="Calibri" w:eastAsia="Calibri" w:hAnsi="Calibri" w:cs="Times New Roman"/>
          <w:sz w:val="22"/>
          <w:szCs w:val="22"/>
        </w:rPr>
        <w:t>,</w:t>
      </w:r>
      <w:r w:rsidR="00A80C77" w:rsidRPr="00A80C77">
        <w:rPr>
          <w:rFonts w:ascii="Calibri" w:eastAsia="Calibri" w:hAnsi="Calibri" w:cs="Times New Roman"/>
          <w:sz w:val="22"/>
          <w:szCs w:val="22"/>
        </w:rPr>
        <w:t xml:space="preserve"> </w:t>
      </w:r>
      <w:r w:rsidR="00A80C77">
        <w:rPr>
          <w:rFonts w:ascii="Calibri" w:eastAsia="Calibri" w:hAnsi="Calibri" w:cs="Times New Roman"/>
          <w:sz w:val="22"/>
          <w:szCs w:val="22"/>
        </w:rPr>
        <w:t xml:space="preserve">it is currently the case that </w:t>
      </w:r>
      <w:r w:rsidR="00A80C77" w:rsidRPr="00A80C77">
        <w:rPr>
          <w:rFonts w:ascii="Calibri" w:eastAsia="Calibri" w:hAnsi="Calibri" w:cs="Times New Roman"/>
          <w:sz w:val="22"/>
          <w:szCs w:val="22"/>
        </w:rPr>
        <w:t>all students can be identified by a state-wide unique student identifier. The Victorian Student</w:t>
      </w:r>
      <w:r w:rsidR="00CA2F97">
        <w:rPr>
          <w:rFonts w:ascii="Calibri" w:eastAsia="Calibri" w:hAnsi="Calibri" w:cs="Times New Roman"/>
          <w:sz w:val="22"/>
          <w:szCs w:val="22"/>
        </w:rPr>
        <w:t xml:space="preserve"> </w:t>
      </w:r>
      <w:r w:rsidR="00A80C77" w:rsidRPr="00A80C77">
        <w:rPr>
          <w:rFonts w:ascii="Calibri" w:eastAsia="Calibri" w:hAnsi="Calibri" w:cs="Times New Roman"/>
          <w:sz w:val="22"/>
          <w:szCs w:val="22"/>
        </w:rPr>
        <w:t>Number (VSN) was implemented in 2009</w:t>
      </w:r>
      <w:r w:rsidR="00A80C77">
        <w:rPr>
          <w:rFonts w:ascii="Calibri" w:eastAsia="Calibri" w:hAnsi="Calibri" w:cs="Times New Roman"/>
          <w:sz w:val="22"/>
          <w:szCs w:val="22"/>
        </w:rPr>
        <w:t xml:space="preserve">—for students in </w:t>
      </w:r>
      <w:r w:rsidR="00A80C77" w:rsidRPr="00A80C77">
        <w:rPr>
          <w:rFonts w:ascii="Calibri" w:eastAsia="Calibri" w:hAnsi="Calibri" w:cs="Times New Roman"/>
          <w:sz w:val="22"/>
          <w:szCs w:val="22"/>
        </w:rPr>
        <w:t>government and</w:t>
      </w:r>
      <w:r w:rsidR="00A80C77">
        <w:rPr>
          <w:rFonts w:ascii="Calibri" w:eastAsia="Calibri" w:hAnsi="Calibri" w:cs="Times New Roman"/>
          <w:sz w:val="22"/>
          <w:szCs w:val="22"/>
        </w:rPr>
        <w:t xml:space="preserve"> non-government schools—as well as </w:t>
      </w:r>
      <w:r w:rsidR="00A80C77" w:rsidRPr="00A80C77">
        <w:rPr>
          <w:rFonts w:ascii="Calibri" w:eastAsia="Calibri" w:hAnsi="Calibri" w:cs="Times New Roman"/>
          <w:sz w:val="22"/>
          <w:szCs w:val="22"/>
        </w:rPr>
        <w:t>students b</w:t>
      </w:r>
      <w:r w:rsidR="00A80C77">
        <w:rPr>
          <w:rFonts w:ascii="Calibri" w:eastAsia="Calibri" w:hAnsi="Calibri" w:cs="Times New Roman"/>
          <w:sz w:val="22"/>
          <w:szCs w:val="22"/>
        </w:rPr>
        <w:t>elow the age of 25 undertaking VET</w:t>
      </w:r>
      <w:r w:rsidR="00A80C77" w:rsidRPr="00A80C77">
        <w:rPr>
          <w:rFonts w:ascii="Calibri" w:eastAsia="Calibri" w:hAnsi="Calibri" w:cs="Times New Roman"/>
          <w:sz w:val="22"/>
          <w:szCs w:val="22"/>
        </w:rPr>
        <w:t xml:space="preserve">. </w:t>
      </w:r>
    </w:p>
    <w:p w14:paraId="49605686" w14:textId="77777777" w:rsidR="00A80C77" w:rsidRDefault="00A80C77" w:rsidP="00FD43BE">
      <w:pPr>
        <w:spacing w:before="0" w:after="0" w:line="240" w:lineRule="auto"/>
        <w:rPr>
          <w:rFonts w:ascii="Calibri" w:eastAsia="Calibri" w:hAnsi="Calibri" w:cs="Times New Roman"/>
          <w:sz w:val="22"/>
          <w:szCs w:val="22"/>
        </w:rPr>
      </w:pPr>
    </w:p>
    <w:p w14:paraId="418F44D7" w14:textId="412919F8" w:rsidR="00FD43BE" w:rsidRDefault="00A80C77" w:rsidP="00FD43BE">
      <w:pPr>
        <w:spacing w:before="0" w:after="0" w:line="240" w:lineRule="auto"/>
        <w:rPr>
          <w:rFonts w:ascii="Calibri" w:eastAsia="Calibri" w:hAnsi="Calibri" w:cs="Times New Roman"/>
          <w:sz w:val="22"/>
          <w:szCs w:val="22"/>
        </w:rPr>
      </w:pPr>
      <w:r>
        <w:rPr>
          <w:rFonts w:ascii="Calibri" w:eastAsia="Calibri" w:hAnsi="Calibri" w:cs="Times New Roman"/>
          <w:sz w:val="22"/>
          <w:szCs w:val="22"/>
        </w:rPr>
        <w:t>These examples of unique student</w:t>
      </w:r>
      <w:r w:rsidRPr="00A80C77">
        <w:rPr>
          <w:rFonts w:ascii="Calibri" w:eastAsia="Calibri" w:hAnsi="Calibri" w:cs="Times New Roman"/>
          <w:sz w:val="22"/>
          <w:szCs w:val="22"/>
        </w:rPr>
        <w:t xml:space="preserve"> identifiers </w:t>
      </w:r>
      <w:r>
        <w:rPr>
          <w:rFonts w:ascii="Calibri" w:eastAsia="Calibri" w:hAnsi="Calibri" w:cs="Times New Roman"/>
          <w:sz w:val="22"/>
          <w:szCs w:val="22"/>
        </w:rPr>
        <w:t>show how</w:t>
      </w:r>
      <w:r w:rsidRPr="00A80C77">
        <w:rPr>
          <w:rFonts w:ascii="Calibri" w:eastAsia="Calibri" w:hAnsi="Calibri" w:cs="Times New Roman"/>
          <w:sz w:val="22"/>
          <w:szCs w:val="22"/>
        </w:rPr>
        <w:t xml:space="preserve"> reliable longitudinal data </w:t>
      </w:r>
      <w:r>
        <w:rPr>
          <w:rFonts w:ascii="Calibri" w:eastAsia="Calibri" w:hAnsi="Calibri" w:cs="Times New Roman"/>
          <w:sz w:val="22"/>
          <w:szCs w:val="22"/>
        </w:rPr>
        <w:t xml:space="preserve">can be harnessed </w:t>
      </w:r>
      <w:r w:rsidRPr="00A80C77">
        <w:rPr>
          <w:rFonts w:ascii="Calibri" w:eastAsia="Calibri" w:hAnsi="Calibri" w:cs="Times New Roman"/>
          <w:sz w:val="22"/>
          <w:szCs w:val="22"/>
        </w:rPr>
        <w:t xml:space="preserve">to </w:t>
      </w:r>
      <w:r w:rsidR="00BD4DB8">
        <w:rPr>
          <w:rFonts w:ascii="Calibri" w:eastAsia="Calibri" w:hAnsi="Calibri" w:cs="Times New Roman"/>
          <w:sz w:val="22"/>
          <w:szCs w:val="22"/>
        </w:rPr>
        <w:t xml:space="preserve">build an evidence base that will </w:t>
      </w:r>
      <w:r>
        <w:rPr>
          <w:rFonts w:ascii="Calibri" w:eastAsia="Calibri" w:hAnsi="Calibri" w:cs="Times New Roman"/>
          <w:sz w:val="22"/>
          <w:szCs w:val="22"/>
        </w:rPr>
        <w:t>shape</w:t>
      </w:r>
      <w:r w:rsidRPr="00A80C77">
        <w:rPr>
          <w:rFonts w:ascii="Calibri" w:eastAsia="Calibri" w:hAnsi="Calibri" w:cs="Times New Roman"/>
          <w:sz w:val="22"/>
          <w:szCs w:val="22"/>
        </w:rPr>
        <w:t xml:space="preserve"> robust education policy.</w:t>
      </w:r>
      <w:r>
        <w:rPr>
          <w:rFonts w:ascii="Calibri" w:eastAsia="Calibri" w:hAnsi="Calibri" w:cs="Times New Roman"/>
          <w:sz w:val="22"/>
          <w:szCs w:val="22"/>
        </w:rPr>
        <w:t xml:space="preserve"> </w:t>
      </w:r>
      <w:r w:rsidR="00711FB8">
        <w:rPr>
          <w:rFonts w:ascii="Calibri" w:eastAsia="Calibri" w:hAnsi="Calibri" w:cs="Times New Roman"/>
          <w:sz w:val="22"/>
          <w:szCs w:val="22"/>
        </w:rPr>
        <w:t>A</w:t>
      </w:r>
      <w:r w:rsidR="00711FB8" w:rsidRPr="00711FB8">
        <w:rPr>
          <w:rFonts w:ascii="Calibri" w:eastAsia="Calibri" w:hAnsi="Calibri" w:cs="Times New Roman"/>
          <w:sz w:val="22"/>
          <w:szCs w:val="22"/>
        </w:rPr>
        <w:t xml:space="preserve"> USI that goes beyond the VET sector would begin to address the need for consistency between early learning, primary and secondary data collection standards.</w:t>
      </w:r>
      <w:r w:rsidR="00711FB8">
        <w:rPr>
          <w:rFonts w:ascii="Calibri" w:eastAsia="Calibri" w:hAnsi="Calibri" w:cs="Times New Roman"/>
          <w:sz w:val="22"/>
          <w:szCs w:val="22"/>
        </w:rPr>
        <w:t xml:space="preserve"> </w:t>
      </w:r>
      <w:r w:rsidR="00B06AAC">
        <w:rPr>
          <w:rFonts w:ascii="Calibri" w:eastAsia="Calibri" w:hAnsi="Calibri" w:cs="Times New Roman"/>
          <w:sz w:val="22"/>
          <w:szCs w:val="22"/>
        </w:rPr>
        <w:t>As well as the benefits arising from the longitudinal data it would create, a USI could minimise data entry errors and reduce the regulatory burden on schools.</w:t>
      </w:r>
      <w:r w:rsidR="004D0B6E">
        <w:rPr>
          <w:rFonts w:ascii="Calibri" w:eastAsia="Calibri" w:hAnsi="Calibri" w:cs="Times New Roman"/>
          <w:sz w:val="22"/>
          <w:szCs w:val="22"/>
        </w:rPr>
        <w:t xml:space="preserve"> It can also facilitate better monitoring and support for student learning when a student changes schools or sectors.</w:t>
      </w:r>
      <w:r w:rsidR="00B06AAC">
        <w:rPr>
          <w:rFonts w:ascii="Calibri" w:eastAsia="Calibri" w:hAnsi="Calibri" w:cs="Times New Roman"/>
          <w:sz w:val="22"/>
          <w:szCs w:val="22"/>
        </w:rPr>
        <w:t xml:space="preserve"> One question that would need to be examined</w:t>
      </w:r>
      <w:r w:rsidR="00711FB8">
        <w:rPr>
          <w:rFonts w:ascii="Calibri" w:eastAsia="Calibri" w:hAnsi="Calibri" w:cs="Times New Roman"/>
          <w:sz w:val="22"/>
          <w:szCs w:val="22"/>
        </w:rPr>
        <w:t xml:space="preserve"> carefully</w:t>
      </w:r>
      <w:r w:rsidR="00B06AAC">
        <w:rPr>
          <w:rFonts w:ascii="Calibri" w:eastAsia="Calibri" w:hAnsi="Calibri" w:cs="Times New Roman"/>
          <w:sz w:val="22"/>
          <w:szCs w:val="22"/>
        </w:rPr>
        <w:t xml:space="preserve"> is whether there is </w:t>
      </w:r>
      <w:r w:rsidR="00711FB8">
        <w:rPr>
          <w:rFonts w:ascii="Calibri" w:eastAsia="Calibri" w:hAnsi="Calibri" w:cs="Times New Roman"/>
          <w:sz w:val="22"/>
          <w:szCs w:val="22"/>
        </w:rPr>
        <w:t xml:space="preserve">more of </w:t>
      </w:r>
      <w:r w:rsidR="00B06AAC">
        <w:rPr>
          <w:rFonts w:ascii="Calibri" w:eastAsia="Calibri" w:hAnsi="Calibri" w:cs="Times New Roman"/>
          <w:sz w:val="22"/>
          <w:szCs w:val="22"/>
        </w:rPr>
        <w:t>a need for a school USI</w:t>
      </w:r>
      <w:r w:rsidR="00FD43BE" w:rsidRPr="00FD43BE">
        <w:rPr>
          <w:rFonts w:ascii="Calibri" w:eastAsia="Calibri" w:hAnsi="Calibri" w:cs="Times New Roman"/>
          <w:sz w:val="22"/>
          <w:szCs w:val="22"/>
        </w:rPr>
        <w:t xml:space="preserve"> </w:t>
      </w:r>
      <w:r w:rsidR="00B06AAC">
        <w:rPr>
          <w:rFonts w:ascii="Calibri" w:eastAsia="Calibri" w:hAnsi="Calibri" w:cs="Times New Roman"/>
          <w:sz w:val="22"/>
          <w:szCs w:val="22"/>
        </w:rPr>
        <w:t xml:space="preserve">to </w:t>
      </w:r>
      <w:r w:rsidR="00FD43BE" w:rsidRPr="00FD43BE">
        <w:rPr>
          <w:rFonts w:ascii="Calibri" w:eastAsia="Calibri" w:hAnsi="Calibri" w:cs="Times New Roman"/>
          <w:sz w:val="22"/>
          <w:szCs w:val="22"/>
        </w:rPr>
        <w:t xml:space="preserve">be </w:t>
      </w:r>
      <w:r w:rsidR="00711FB8">
        <w:rPr>
          <w:rFonts w:ascii="Calibri" w:eastAsia="Calibri" w:hAnsi="Calibri" w:cs="Times New Roman"/>
          <w:sz w:val="22"/>
          <w:szCs w:val="22"/>
        </w:rPr>
        <w:t xml:space="preserve">a </w:t>
      </w:r>
      <w:r w:rsidR="00FD43BE" w:rsidRPr="00FD43BE">
        <w:rPr>
          <w:rFonts w:ascii="Calibri" w:eastAsia="Calibri" w:hAnsi="Calibri" w:cs="Times New Roman"/>
          <w:sz w:val="22"/>
          <w:szCs w:val="22"/>
        </w:rPr>
        <w:t>national</w:t>
      </w:r>
      <w:r w:rsidR="00711FB8">
        <w:rPr>
          <w:rFonts w:ascii="Calibri" w:eastAsia="Calibri" w:hAnsi="Calibri" w:cs="Times New Roman"/>
          <w:sz w:val="22"/>
          <w:szCs w:val="22"/>
        </w:rPr>
        <w:t xml:space="preserve"> exercise</w:t>
      </w:r>
      <w:r w:rsidR="00FD43BE" w:rsidRPr="00FD43BE">
        <w:rPr>
          <w:rFonts w:ascii="Calibri" w:eastAsia="Calibri" w:hAnsi="Calibri" w:cs="Times New Roman"/>
          <w:sz w:val="22"/>
          <w:szCs w:val="22"/>
        </w:rPr>
        <w:t xml:space="preserve">, as opposed to </w:t>
      </w:r>
      <w:r w:rsidR="00AA1FFC">
        <w:rPr>
          <w:rFonts w:ascii="Calibri" w:eastAsia="Calibri" w:hAnsi="Calibri" w:cs="Times New Roman"/>
          <w:sz w:val="22"/>
          <w:szCs w:val="22"/>
        </w:rPr>
        <w:t xml:space="preserve">a </w:t>
      </w:r>
      <w:r w:rsidR="00FD43BE" w:rsidRPr="00FD43BE">
        <w:rPr>
          <w:rFonts w:ascii="Calibri" w:eastAsia="Calibri" w:hAnsi="Calibri" w:cs="Times New Roman"/>
          <w:sz w:val="22"/>
          <w:szCs w:val="22"/>
        </w:rPr>
        <w:t xml:space="preserve">state-based </w:t>
      </w:r>
      <w:r w:rsidR="00711FB8">
        <w:rPr>
          <w:rFonts w:ascii="Calibri" w:eastAsia="Calibri" w:hAnsi="Calibri" w:cs="Times New Roman"/>
          <w:sz w:val="22"/>
          <w:szCs w:val="22"/>
        </w:rPr>
        <w:t xml:space="preserve">initiative </w:t>
      </w:r>
      <w:r w:rsidR="00FD43BE" w:rsidRPr="00FD43BE">
        <w:rPr>
          <w:rFonts w:ascii="Calibri" w:eastAsia="Calibri" w:hAnsi="Calibri" w:cs="Times New Roman"/>
          <w:sz w:val="22"/>
          <w:szCs w:val="22"/>
        </w:rPr>
        <w:t>with dat</w:t>
      </w:r>
      <w:r w:rsidR="00B06AAC">
        <w:rPr>
          <w:rFonts w:ascii="Calibri" w:eastAsia="Calibri" w:hAnsi="Calibri" w:cs="Times New Roman"/>
          <w:sz w:val="22"/>
          <w:szCs w:val="22"/>
        </w:rPr>
        <w:t>a linkages across jurisdictions.</w:t>
      </w:r>
      <w:r w:rsidR="00E637AA">
        <w:rPr>
          <w:rFonts w:ascii="Calibri" w:eastAsia="Calibri" w:hAnsi="Calibri" w:cs="Times New Roman"/>
          <w:sz w:val="22"/>
          <w:szCs w:val="22"/>
        </w:rPr>
        <w:t xml:space="preserve"> </w:t>
      </w:r>
      <w:r w:rsidR="00CA2F97">
        <w:rPr>
          <w:rFonts w:ascii="Calibri" w:eastAsia="Calibri" w:hAnsi="Calibri" w:cs="Times New Roman"/>
          <w:sz w:val="22"/>
          <w:szCs w:val="22"/>
        </w:rPr>
        <w:t>As the Issue</w:t>
      </w:r>
      <w:r w:rsidR="00AA1FFC">
        <w:rPr>
          <w:rFonts w:ascii="Calibri" w:eastAsia="Calibri" w:hAnsi="Calibri" w:cs="Times New Roman"/>
          <w:sz w:val="22"/>
          <w:szCs w:val="22"/>
        </w:rPr>
        <w:t>s</w:t>
      </w:r>
      <w:r w:rsidR="00CA2F97">
        <w:rPr>
          <w:rFonts w:ascii="Calibri" w:eastAsia="Calibri" w:hAnsi="Calibri" w:cs="Times New Roman"/>
          <w:sz w:val="22"/>
          <w:szCs w:val="22"/>
        </w:rPr>
        <w:t xml:space="preserve"> Paper acknowledges (p. 17), although deterministic linkage is the method that frames a USI, probabilistic linkage is also a way of linking datasets. </w:t>
      </w:r>
      <w:r w:rsidR="00696A0A">
        <w:rPr>
          <w:rFonts w:ascii="Calibri" w:eastAsia="Calibri" w:hAnsi="Calibri" w:cs="Times New Roman"/>
          <w:sz w:val="22"/>
          <w:szCs w:val="22"/>
        </w:rPr>
        <w:t>The</w:t>
      </w:r>
      <w:r w:rsidR="00696A0A" w:rsidRPr="00696A0A">
        <w:rPr>
          <w:rFonts w:ascii="Calibri" w:eastAsia="Calibri" w:hAnsi="Calibri" w:cs="Times New Roman"/>
          <w:sz w:val="22"/>
          <w:szCs w:val="22"/>
        </w:rPr>
        <w:t xml:space="preserve"> timing for generating a USI</w:t>
      </w:r>
      <w:r w:rsidR="00696A0A">
        <w:rPr>
          <w:rFonts w:ascii="Calibri" w:eastAsia="Calibri" w:hAnsi="Calibri" w:cs="Times New Roman"/>
          <w:sz w:val="22"/>
          <w:szCs w:val="22"/>
        </w:rPr>
        <w:t xml:space="preserve"> is also an important consideration</w:t>
      </w:r>
      <w:r w:rsidR="00696A0A" w:rsidRPr="00696A0A">
        <w:rPr>
          <w:rFonts w:ascii="Calibri" w:eastAsia="Calibri" w:hAnsi="Calibri" w:cs="Times New Roman"/>
          <w:sz w:val="22"/>
          <w:szCs w:val="22"/>
        </w:rPr>
        <w:t>, taking account of the increased priorities being given to early childhood education and care.</w:t>
      </w:r>
    </w:p>
    <w:p w14:paraId="2EB66A70" w14:textId="77777777" w:rsidR="00237553" w:rsidRPr="00FD43BE" w:rsidRDefault="00237553" w:rsidP="00FD43BE">
      <w:pPr>
        <w:spacing w:before="0" w:after="0" w:line="240" w:lineRule="auto"/>
        <w:rPr>
          <w:rFonts w:ascii="Calibri" w:eastAsia="Calibri" w:hAnsi="Calibri" w:cs="Times New Roman"/>
          <w:sz w:val="22"/>
          <w:szCs w:val="22"/>
        </w:rPr>
      </w:pPr>
    </w:p>
    <w:p w14:paraId="3050BCBB" w14:textId="77777777" w:rsidR="00FD43BE" w:rsidRDefault="00FD43BE" w:rsidP="00FD43BE">
      <w:pPr>
        <w:spacing w:before="0" w:after="0" w:line="240" w:lineRule="auto"/>
        <w:rPr>
          <w:rFonts w:ascii="Calibri" w:eastAsia="Calibri" w:hAnsi="Calibri" w:cs="Times New Roman"/>
          <w:b/>
          <w:sz w:val="22"/>
          <w:szCs w:val="22"/>
        </w:rPr>
      </w:pPr>
      <w:r w:rsidRPr="001B39CC">
        <w:rPr>
          <w:rFonts w:ascii="Calibri" w:eastAsia="Calibri" w:hAnsi="Calibri" w:cs="Times New Roman"/>
          <w:b/>
          <w:sz w:val="22"/>
          <w:szCs w:val="22"/>
        </w:rPr>
        <w:t xml:space="preserve">Factors that inhibit access to, and consistency of, education-relevant data to support evidence-based policy development </w:t>
      </w:r>
    </w:p>
    <w:p w14:paraId="2465167F" w14:textId="7006C479" w:rsidR="00514041" w:rsidRPr="009135FA" w:rsidRDefault="00C1451F" w:rsidP="00C1451F">
      <w:pPr>
        <w:spacing w:before="0" w:after="0" w:line="240" w:lineRule="auto"/>
        <w:rPr>
          <w:rFonts w:ascii="Calibri" w:eastAsia="Calibri" w:hAnsi="Calibri" w:cs="Times New Roman"/>
          <w:color w:val="0070C0"/>
          <w:sz w:val="22"/>
          <w:szCs w:val="22"/>
        </w:rPr>
      </w:pPr>
      <w:r>
        <w:rPr>
          <w:rFonts w:ascii="Calibri" w:eastAsia="Calibri" w:hAnsi="Calibri" w:cs="Times New Roman"/>
          <w:sz w:val="22"/>
          <w:szCs w:val="22"/>
        </w:rPr>
        <w:t>Part of the challenge in gathering the data needed to support evidence-based policy development is managing transitions to new technologies and the associated cost implications. For example, the move to NAPLAN online is an important initiative that will support the collection of education-relevant data. However, the move to NAPLAN online has the potential to involve significant costs for Catholic schools. The transition requires significant investment in ICT infrastructure.</w:t>
      </w:r>
    </w:p>
    <w:p w14:paraId="03856683" w14:textId="77777777" w:rsidR="0055386D" w:rsidRDefault="0055386D" w:rsidP="00FD43BE">
      <w:pPr>
        <w:spacing w:before="0" w:after="0" w:line="240" w:lineRule="auto"/>
        <w:rPr>
          <w:rFonts w:ascii="Calibri" w:eastAsia="Calibri" w:hAnsi="Calibri" w:cs="Times New Roman"/>
          <w:sz w:val="22"/>
          <w:szCs w:val="22"/>
        </w:rPr>
      </w:pPr>
    </w:p>
    <w:p w14:paraId="2FBA722A" w14:textId="1EBA8ACA" w:rsidR="0055386D" w:rsidRPr="0055386D" w:rsidRDefault="0055386D" w:rsidP="00FD43BE">
      <w:pPr>
        <w:spacing w:before="0" w:after="0" w:line="240" w:lineRule="auto"/>
        <w:rPr>
          <w:rFonts w:ascii="Calibri" w:eastAsia="Calibri" w:hAnsi="Calibri" w:cs="Times New Roman"/>
          <w:i/>
          <w:sz w:val="22"/>
          <w:szCs w:val="22"/>
        </w:rPr>
      </w:pPr>
      <w:r w:rsidRPr="0055386D">
        <w:rPr>
          <w:rFonts w:ascii="Calibri" w:eastAsia="Calibri" w:hAnsi="Calibri" w:cs="Times New Roman"/>
          <w:i/>
          <w:sz w:val="22"/>
          <w:szCs w:val="22"/>
        </w:rPr>
        <w:t>Accessing data from regional and remote areas</w:t>
      </w:r>
    </w:p>
    <w:p w14:paraId="4B31A063" w14:textId="60D61EA0" w:rsidR="00180723" w:rsidRDefault="00C1451F" w:rsidP="00FD43BE">
      <w:pPr>
        <w:spacing w:before="0" w:after="0" w:line="240" w:lineRule="auto"/>
        <w:rPr>
          <w:rFonts w:ascii="Calibri" w:eastAsia="Calibri" w:hAnsi="Calibri" w:cs="Times New Roman"/>
          <w:sz w:val="22"/>
          <w:szCs w:val="22"/>
        </w:rPr>
      </w:pPr>
      <w:r>
        <w:rPr>
          <w:rFonts w:ascii="Calibri" w:eastAsia="Calibri" w:hAnsi="Calibri" w:cs="Times New Roman"/>
          <w:sz w:val="22"/>
          <w:szCs w:val="22"/>
        </w:rPr>
        <w:t xml:space="preserve">Another </w:t>
      </w:r>
      <w:r w:rsidR="00514041">
        <w:rPr>
          <w:rFonts w:ascii="Calibri" w:eastAsia="Calibri" w:hAnsi="Calibri" w:cs="Times New Roman"/>
          <w:sz w:val="22"/>
          <w:szCs w:val="22"/>
        </w:rPr>
        <w:t>challenge</w:t>
      </w:r>
      <w:r>
        <w:rPr>
          <w:rFonts w:ascii="Calibri" w:eastAsia="Calibri" w:hAnsi="Calibri" w:cs="Times New Roman"/>
          <w:sz w:val="22"/>
          <w:szCs w:val="22"/>
        </w:rPr>
        <w:t xml:space="preserve"> to accessing education-relevant data</w:t>
      </w:r>
      <w:r w:rsidR="00514041">
        <w:rPr>
          <w:rFonts w:ascii="Calibri" w:eastAsia="Calibri" w:hAnsi="Calibri" w:cs="Times New Roman"/>
          <w:sz w:val="22"/>
          <w:szCs w:val="22"/>
        </w:rPr>
        <w:t xml:space="preserve"> </w:t>
      </w:r>
      <w:r w:rsidRPr="00C1451F">
        <w:rPr>
          <w:rFonts w:ascii="Calibri" w:eastAsia="Calibri" w:hAnsi="Calibri" w:cs="Times New Roman"/>
          <w:sz w:val="22"/>
          <w:szCs w:val="22"/>
        </w:rPr>
        <w:t xml:space="preserve">to support evidence-based policy development </w:t>
      </w:r>
      <w:r>
        <w:rPr>
          <w:rFonts w:ascii="Calibri" w:eastAsia="Calibri" w:hAnsi="Calibri" w:cs="Times New Roman"/>
          <w:sz w:val="22"/>
          <w:szCs w:val="22"/>
        </w:rPr>
        <w:t>is</w:t>
      </w:r>
      <w:r w:rsidR="00514041">
        <w:rPr>
          <w:rFonts w:ascii="Calibri" w:eastAsia="Calibri" w:hAnsi="Calibri" w:cs="Times New Roman"/>
          <w:sz w:val="22"/>
          <w:szCs w:val="22"/>
        </w:rPr>
        <w:t xml:space="preserve"> collecting data from regional and remote areas of Australia. T</w:t>
      </w:r>
      <w:r w:rsidR="00FD43BE" w:rsidRPr="00FD43BE">
        <w:rPr>
          <w:rFonts w:ascii="Calibri" w:eastAsia="Calibri" w:hAnsi="Calibri" w:cs="Times New Roman"/>
          <w:sz w:val="22"/>
          <w:szCs w:val="22"/>
        </w:rPr>
        <w:t>he comparability a</w:t>
      </w:r>
      <w:r w:rsidR="00514041">
        <w:rPr>
          <w:rFonts w:ascii="Calibri" w:eastAsia="Calibri" w:hAnsi="Calibri" w:cs="Times New Roman"/>
          <w:sz w:val="22"/>
          <w:szCs w:val="22"/>
        </w:rPr>
        <w:t>nd timeliness of education data depends on the nature and coverage of the systems used to capture and manipulate data.</w:t>
      </w:r>
      <w:r w:rsidR="00FD43BE" w:rsidRPr="00FD43BE">
        <w:rPr>
          <w:rFonts w:ascii="Calibri" w:eastAsia="Calibri" w:hAnsi="Calibri" w:cs="Times New Roman"/>
          <w:sz w:val="22"/>
          <w:szCs w:val="22"/>
        </w:rPr>
        <w:t xml:space="preserve"> </w:t>
      </w:r>
      <w:r w:rsidR="00514041">
        <w:rPr>
          <w:rFonts w:ascii="Calibri" w:eastAsia="Calibri" w:hAnsi="Calibri" w:cs="Times New Roman"/>
          <w:sz w:val="22"/>
          <w:szCs w:val="22"/>
        </w:rPr>
        <w:t xml:space="preserve">Monitoring the progress of Australian governments in meeting nationally agreed targets can often be difficult if data </w:t>
      </w:r>
      <w:r w:rsidR="00D5304F">
        <w:rPr>
          <w:rFonts w:ascii="Calibri" w:eastAsia="Calibri" w:hAnsi="Calibri" w:cs="Times New Roman"/>
          <w:sz w:val="22"/>
          <w:szCs w:val="22"/>
        </w:rPr>
        <w:t xml:space="preserve">is not timely or data </w:t>
      </w:r>
      <w:r w:rsidR="00514041">
        <w:rPr>
          <w:rFonts w:ascii="Calibri" w:eastAsia="Calibri" w:hAnsi="Calibri" w:cs="Times New Roman"/>
          <w:sz w:val="22"/>
          <w:szCs w:val="22"/>
        </w:rPr>
        <w:t>from some regional areas or remote Indigenous locations are not available. For example, if the Counc</w:t>
      </w:r>
      <w:r w:rsidR="00B32397">
        <w:rPr>
          <w:rFonts w:ascii="Calibri" w:eastAsia="Calibri" w:hAnsi="Calibri" w:cs="Times New Roman"/>
          <w:sz w:val="22"/>
          <w:szCs w:val="22"/>
        </w:rPr>
        <w:t xml:space="preserve">il of Australian Governments </w:t>
      </w:r>
      <w:r w:rsidR="00FD43BE" w:rsidRPr="00FD43BE">
        <w:rPr>
          <w:rFonts w:ascii="Calibri" w:eastAsia="Calibri" w:hAnsi="Calibri" w:cs="Times New Roman"/>
          <w:sz w:val="22"/>
          <w:szCs w:val="22"/>
        </w:rPr>
        <w:t xml:space="preserve">wishes to monitor </w:t>
      </w:r>
      <w:r w:rsidR="00514041">
        <w:rPr>
          <w:rFonts w:ascii="Calibri" w:eastAsia="Calibri" w:hAnsi="Calibri" w:cs="Times New Roman"/>
          <w:sz w:val="22"/>
          <w:szCs w:val="22"/>
        </w:rPr>
        <w:t>Australia’s progress in</w:t>
      </w:r>
      <w:r w:rsidR="00FD43BE" w:rsidRPr="00FD43BE">
        <w:rPr>
          <w:rFonts w:ascii="Calibri" w:eastAsia="Calibri" w:hAnsi="Calibri" w:cs="Times New Roman"/>
          <w:sz w:val="22"/>
          <w:szCs w:val="22"/>
        </w:rPr>
        <w:t xml:space="preserve"> lifting attainment rates or examining the proporti</w:t>
      </w:r>
      <w:r w:rsidR="00FD43BE" w:rsidRPr="00C1451F">
        <w:rPr>
          <w:rFonts w:ascii="Calibri" w:eastAsia="Calibri" w:hAnsi="Calibri" w:cs="Times New Roman"/>
          <w:sz w:val="22"/>
          <w:szCs w:val="22"/>
        </w:rPr>
        <w:t>on of you</w:t>
      </w:r>
      <w:r w:rsidR="00556BE9" w:rsidRPr="00C1451F">
        <w:rPr>
          <w:rFonts w:ascii="Calibri" w:eastAsia="Calibri" w:hAnsi="Calibri" w:cs="Times New Roman"/>
          <w:sz w:val="22"/>
          <w:szCs w:val="22"/>
        </w:rPr>
        <w:t>ng</w:t>
      </w:r>
      <w:r w:rsidR="00FD43BE" w:rsidRPr="00C1451F">
        <w:rPr>
          <w:rFonts w:ascii="Calibri" w:eastAsia="Calibri" w:hAnsi="Calibri" w:cs="Times New Roman"/>
          <w:sz w:val="22"/>
          <w:szCs w:val="22"/>
        </w:rPr>
        <w:t xml:space="preserve"> </w:t>
      </w:r>
      <w:r w:rsidR="00514041" w:rsidRPr="00C1451F">
        <w:rPr>
          <w:rFonts w:ascii="Calibri" w:eastAsia="Calibri" w:hAnsi="Calibri" w:cs="Times New Roman"/>
          <w:sz w:val="22"/>
          <w:szCs w:val="22"/>
        </w:rPr>
        <w:t xml:space="preserve">people engaged in work or study, the </w:t>
      </w:r>
      <w:r w:rsidR="00FD43BE" w:rsidRPr="00C1451F">
        <w:rPr>
          <w:rFonts w:ascii="Calibri" w:eastAsia="Calibri" w:hAnsi="Calibri" w:cs="Times New Roman"/>
          <w:sz w:val="22"/>
          <w:szCs w:val="22"/>
        </w:rPr>
        <w:t xml:space="preserve">data from </w:t>
      </w:r>
      <w:r w:rsidR="00514041" w:rsidRPr="00C1451F">
        <w:rPr>
          <w:rFonts w:ascii="Calibri" w:eastAsia="Calibri" w:hAnsi="Calibri" w:cs="Times New Roman"/>
          <w:sz w:val="22"/>
          <w:szCs w:val="22"/>
        </w:rPr>
        <w:t xml:space="preserve">regional and remote </w:t>
      </w:r>
      <w:r w:rsidR="00FD43BE" w:rsidRPr="00C1451F">
        <w:rPr>
          <w:rFonts w:ascii="Calibri" w:eastAsia="Calibri" w:hAnsi="Calibri" w:cs="Times New Roman"/>
          <w:sz w:val="22"/>
          <w:szCs w:val="22"/>
        </w:rPr>
        <w:t>areas</w:t>
      </w:r>
      <w:r w:rsidR="00514041" w:rsidRPr="00C1451F">
        <w:rPr>
          <w:rFonts w:ascii="Calibri" w:eastAsia="Calibri" w:hAnsi="Calibri" w:cs="Times New Roman"/>
          <w:sz w:val="22"/>
          <w:szCs w:val="22"/>
        </w:rPr>
        <w:t xml:space="preserve"> </w:t>
      </w:r>
      <w:r w:rsidR="00514041" w:rsidRPr="00C1451F">
        <w:rPr>
          <w:rFonts w:ascii="Calibri" w:eastAsia="Calibri" w:hAnsi="Calibri" w:cs="Times New Roman"/>
          <w:sz w:val="22"/>
          <w:szCs w:val="22"/>
        </w:rPr>
        <w:lastRenderedPageBreak/>
        <w:t xml:space="preserve">has either not been available or </w:t>
      </w:r>
      <w:r w:rsidR="00AA1FFC">
        <w:rPr>
          <w:rFonts w:ascii="Calibri" w:eastAsia="Calibri" w:hAnsi="Calibri" w:cs="Times New Roman"/>
          <w:sz w:val="22"/>
          <w:szCs w:val="22"/>
        </w:rPr>
        <w:t xml:space="preserve">been </w:t>
      </w:r>
      <w:r w:rsidR="00514041" w:rsidRPr="00C1451F">
        <w:rPr>
          <w:rFonts w:ascii="Calibri" w:eastAsia="Calibri" w:hAnsi="Calibri" w:cs="Times New Roman"/>
          <w:sz w:val="22"/>
          <w:szCs w:val="22"/>
        </w:rPr>
        <w:t>reliant upon the ABS Census data, wh</w:t>
      </w:r>
      <w:r w:rsidR="0045793F" w:rsidRPr="00C1451F">
        <w:rPr>
          <w:rFonts w:ascii="Calibri" w:eastAsia="Calibri" w:hAnsi="Calibri" w:cs="Times New Roman"/>
          <w:sz w:val="22"/>
          <w:szCs w:val="22"/>
        </w:rPr>
        <w:t>ich is collected once every five</w:t>
      </w:r>
      <w:r w:rsidR="00514041" w:rsidRPr="00C1451F">
        <w:rPr>
          <w:rFonts w:ascii="Calibri" w:eastAsia="Calibri" w:hAnsi="Calibri" w:cs="Times New Roman"/>
          <w:sz w:val="22"/>
          <w:szCs w:val="22"/>
        </w:rPr>
        <w:t xml:space="preserve"> years</w:t>
      </w:r>
      <w:r w:rsidR="00FD43BE" w:rsidRPr="00C1451F">
        <w:rPr>
          <w:rFonts w:ascii="Calibri" w:eastAsia="Calibri" w:hAnsi="Calibri" w:cs="Times New Roman"/>
          <w:sz w:val="22"/>
          <w:szCs w:val="22"/>
        </w:rPr>
        <w:t xml:space="preserve">. </w:t>
      </w:r>
      <w:r w:rsidR="00180723" w:rsidRPr="00C1451F">
        <w:rPr>
          <w:rFonts w:ascii="Calibri" w:eastAsia="Calibri" w:hAnsi="Calibri" w:cs="Times New Roman"/>
          <w:sz w:val="22"/>
          <w:szCs w:val="22"/>
        </w:rPr>
        <w:t xml:space="preserve">Catholic education faces similar challenges in collecting data from Catholic schools located in regional or remote areas of the nation. </w:t>
      </w:r>
    </w:p>
    <w:p w14:paraId="104CA9E2" w14:textId="77777777" w:rsidR="00FD43BE" w:rsidRPr="00FD43BE" w:rsidRDefault="00FD43BE" w:rsidP="00FD43BE">
      <w:pPr>
        <w:spacing w:before="0" w:after="0" w:line="240" w:lineRule="auto"/>
        <w:rPr>
          <w:rFonts w:ascii="Calibri" w:eastAsia="Calibri" w:hAnsi="Calibri" w:cs="Times New Roman"/>
          <w:sz w:val="22"/>
          <w:szCs w:val="22"/>
        </w:rPr>
      </w:pPr>
    </w:p>
    <w:p w14:paraId="681E02B7" w14:textId="77777777" w:rsidR="00FD43BE" w:rsidRPr="001B39CC" w:rsidRDefault="00FD43BE" w:rsidP="00FD43BE">
      <w:pPr>
        <w:spacing w:before="0" w:after="0" w:line="240" w:lineRule="auto"/>
        <w:rPr>
          <w:rFonts w:ascii="Calibri" w:eastAsia="Calibri" w:hAnsi="Calibri" w:cs="Times New Roman"/>
          <w:b/>
          <w:sz w:val="22"/>
          <w:szCs w:val="22"/>
        </w:rPr>
      </w:pPr>
      <w:r w:rsidRPr="001B39CC">
        <w:rPr>
          <w:rFonts w:ascii="Calibri" w:eastAsia="Calibri" w:hAnsi="Calibri" w:cs="Times New Roman"/>
          <w:b/>
          <w:sz w:val="22"/>
          <w:szCs w:val="22"/>
        </w:rPr>
        <w:t>The role of technology and mobile devices</w:t>
      </w:r>
    </w:p>
    <w:p w14:paraId="625B087C" w14:textId="77777777" w:rsidR="000C694A" w:rsidRDefault="00FD43BE" w:rsidP="0078741A">
      <w:pPr>
        <w:spacing w:before="0" w:after="0" w:line="240" w:lineRule="auto"/>
        <w:rPr>
          <w:rFonts w:ascii="Calibri" w:eastAsia="Calibri" w:hAnsi="Calibri" w:cs="Times New Roman"/>
          <w:sz w:val="22"/>
          <w:szCs w:val="22"/>
        </w:rPr>
      </w:pPr>
      <w:r w:rsidRPr="00FD43BE">
        <w:rPr>
          <w:rFonts w:ascii="Calibri" w:eastAsia="Calibri" w:hAnsi="Calibri" w:cs="Times New Roman"/>
          <w:sz w:val="22"/>
          <w:szCs w:val="22"/>
        </w:rPr>
        <w:t>Technology can play an important role in achieving timely and quality data but can be a barrier for remote schools or school</w:t>
      </w:r>
      <w:r w:rsidR="000C694A">
        <w:rPr>
          <w:rFonts w:ascii="Calibri" w:eastAsia="Calibri" w:hAnsi="Calibri" w:cs="Times New Roman"/>
          <w:sz w:val="22"/>
          <w:szCs w:val="22"/>
        </w:rPr>
        <w:t xml:space="preserve">s that lack adequate resources. As well as making data more timely and of greater quality, technology should enable schools to collect and provide data more easily, thus reducing the administrative burden. Technology will also empower teachers to </w:t>
      </w:r>
      <w:r w:rsidR="006310C2">
        <w:rPr>
          <w:rFonts w:ascii="Calibri" w:eastAsia="Calibri" w:hAnsi="Calibri" w:cs="Times New Roman"/>
          <w:sz w:val="22"/>
          <w:szCs w:val="22"/>
        </w:rPr>
        <w:t xml:space="preserve">improve teaching and learning through access to online resources and opportunities to collaborate with other schools in metropolitan areas on questions of how to use student data to inform pedagogy. </w:t>
      </w:r>
      <w:r w:rsidR="0078741A">
        <w:rPr>
          <w:rFonts w:ascii="Calibri" w:eastAsia="Calibri" w:hAnsi="Calibri" w:cs="Times New Roman"/>
          <w:sz w:val="22"/>
          <w:szCs w:val="22"/>
        </w:rPr>
        <w:t xml:space="preserve">This is especially the case in remote areas of Australia where children </w:t>
      </w:r>
      <w:r w:rsidR="0078741A" w:rsidRPr="0078741A">
        <w:rPr>
          <w:rFonts w:ascii="Calibri" w:eastAsia="Calibri" w:hAnsi="Calibri" w:cs="Times New Roman"/>
          <w:sz w:val="22"/>
          <w:szCs w:val="22"/>
        </w:rPr>
        <w:t>ar</w:t>
      </w:r>
      <w:r w:rsidR="0078741A">
        <w:rPr>
          <w:rFonts w:ascii="Calibri" w:eastAsia="Calibri" w:hAnsi="Calibri" w:cs="Times New Roman"/>
          <w:sz w:val="22"/>
          <w:szCs w:val="22"/>
        </w:rPr>
        <w:t>e developmentally vulnerable.</w:t>
      </w:r>
    </w:p>
    <w:p w14:paraId="59616D5D" w14:textId="77777777" w:rsidR="000C694A" w:rsidRDefault="000C694A" w:rsidP="00FD43BE">
      <w:pPr>
        <w:spacing w:before="0" w:after="0" w:line="240" w:lineRule="auto"/>
        <w:rPr>
          <w:rFonts w:ascii="Calibri" w:eastAsia="Calibri" w:hAnsi="Calibri" w:cs="Times New Roman"/>
          <w:sz w:val="22"/>
          <w:szCs w:val="22"/>
        </w:rPr>
      </w:pPr>
    </w:p>
    <w:p w14:paraId="36368BBB" w14:textId="77777777" w:rsidR="00C1451F" w:rsidRDefault="006310C2" w:rsidP="00FD43BE">
      <w:pPr>
        <w:spacing w:before="0" w:after="0" w:line="240" w:lineRule="auto"/>
        <w:rPr>
          <w:rFonts w:ascii="Calibri" w:eastAsia="Calibri" w:hAnsi="Calibri" w:cs="Times New Roman"/>
          <w:sz w:val="22"/>
          <w:szCs w:val="22"/>
        </w:rPr>
      </w:pPr>
      <w:r>
        <w:rPr>
          <w:rFonts w:ascii="Calibri" w:eastAsia="Calibri" w:hAnsi="Calibri" w:cs="Times New Roman"/>
          <w:sz w:val="22"/>
          <w:szCs w:val="22"/>
        </w:rPr>
        <w:t>However, a</w:t>
      </w:r>
      <w:r w:rsidR="00FD43BE" w:rsidRPr="00FD43BE">
        <w:rPr>
          <w:rFonts w:ascii="Calibri" w:eastAsia="Calibri" w:hAnsi="Calibri" w:cs="Times New Roman"/>
          <w:sz w:val="22"/>
          <w:szCs w:val="22"/>
        </w:rPr>
        <w:t>ccessibility</w:t>
      </w:r>
      <w:r w:rsidR="003F7F15">
        <w:rPr>
          <w:rFonts w:ascii="Calibri" w:eastAsia="Calibri" w:hAnsi="Calibri" w:cs="Times New Roman"/>
          <w:sz w:val="22"/>
          <w:szCs w:val="22"/>
        </w:rPr>
        <w:t xml:space="preserve"> and adoption of technology is a difficult endeavour</w:t>
      </w:r>
      <w:r w:rsidR="00FD43BE" w:rsidRPr="00FD43BE">
        <w:rPr>
          <w:rFonts w:ascii="Calibri" w:eastAsia="Calibri" w:hAnsi="Calibri" w:cs="Times New Roman"/>
          <w:sz w:val="22"/>
          <w:szCs w:val="22"/>
        </w:rPr>
        <w:t xml:space="preserve"> for Catholic schools in </w:t>
      </w:r>
      <w:r w:rsidR="001B39CC">
        <w:rPr>
          <w:rFonts w:ascii="Calibri" w:eastAsia="Calibri" w:hAnsi="Calibri" w:cs="Times New Roman"/>
          <w:sz w:val="22"/>
          <w:szCs w:val="22"/>
        </w:rPr>
        <w:t xml:space="preserve">regional and </w:t>
      </w:r>
      <w:r w:rsidR="00FD43BE" w:rsidRPr="00FD43BE">
        <w:rPr>
          <w:rFonts w:ascii="Calibri" w:eastAsia="Calibri" w:hAnsi="Calibri" w:cs="Times New Roman"/>
          <w:sz w:val="22"/>
          <w:szCs w:val="22"/>
        </w:rPr>
        <w:t>remote areas such as the Kimberley, parts of the</w:t>
      </w:r>
      <w:r w:rsidR="001B39CC">
        <w:rPr>
          <w:rFonts w:ascii="Calibri" w:eastAsia="Calibri" w:hAnsi="Calibri" w:cs="Times New Roman"/>
          <w:sz w:val="22"/>
          <w:szCs w:val="22"/>
        </w:rPr>
        <w:t xml:space="preserve"> Northern Territory and</w:t>
      </w:r>
      <w:r w:rsidR="00FD43BE" w:rsidRPr="00FD43BE">
        <w:rPr>
          <w:rFonts w:ascii="Calibri" w:eastAsia="Calibri" w:hAnsi="Calibri" w:cs="Times New Roman"/>
          <w:sz w:val="22"/>
          <w:szCs w:val="22"/>
        </w:rPr>
        <w:t xml:space="preserve"> Queensland.</w:t>
      </w:r>
      <w:r w:rsidR="003F7F15">
        <w:rPr>
          <w:rFonts w:ascii="Calibri" w:eastAsia="Calibri" w:hAnsi="Calibri" w:cs="Times New Roman"/>
          <w:sz w:val="22"/>
          <w:szCs w:val="22"/>
        </w:rPr>
        <w:t xml:space="preserve"> </w:t>
      </w:r>
      <w:r w:rsidR="00D5304F">
        <w:rPr>
          <w:rFonts w:ascii="Calibri" w:eastAsia="Calibri" w:hAnsi="Calibri" w:cs="Times New Roman"/>
          <w:sz w:val="22"/>
          <w:szCs w:val="22"/>
        </w:rPr>
        <w:t xml:space="preserve">For example, remote Catholic schools in the Kimberley currently rely on satellite technology to transmit enrolment and attendance data, which is an impractical way of conveying information. </w:t>
      </w:r>
      <w:r w:rsidR="00FD43BE" w:rsidRPr="00FD43BE">
        <w:rPr>
          <w:rFonts w:ascii="Calibri" w:eastAsia="Calibri" w:hAnsi="Calibri" w:cs="Times New Roman"/>
          <w:sz w:val="22"/>
          <w:szCs w:val="22"/>
        </w:rPr>
        <w:t xml:space="preserve">The cost of data systems and access to broadband internet in remote areas—especially for non-government </w:t>
      </w:r>
      <w:r w:rsidR="001B39CC">
        <w:rPr>
          <w:rFonts w:ascii="Calibri" w:eastAsia="Calibri" w:hAnsi="Calibri" w:cs="Times New Roman"/>
          <w:sz w:val="22"/>
          <w:szCs w:val="22"/>
        </w:rPr>
        <w:t>schools—can be prohibitive. T</w:t>
      </w:r>
      <w:r w:rsidR="00FD43BE" w:rsidRPr="00FD43BE">
        <w:rPr>
          <w:rFonts w:ascii="Calibri" w:eastAsia="Calibri" w:hAnsi="Calibri" w:cs="Times New Roman"/>
          <w:sz w:val="22"/>
          <w:szCs w:val="22"/>
        </w:rPr>
        <w:t xml:space="preserve">here </w:t>
      </w:r>
      <w:r w:rsidR="001B39CC">
        <w:rPr>
          <w:rFonts w:ascii="Calibri" w:eastAsia="Calibri" w:hAnsi="Calibri" w:cs="Times New Roman"/>
          <w:sz w:val="22"/>
          <w:szCs w:val="22"/>
        </w:rPr>
        <w:t xml:space="preserve">is </w:t>
      </w:r>
      <w:r w:rsidR="00FD43BE" w:rsidRPr="00FD43BE">
        <w:rPr>
          <w:rFonts w:ascii="Calibri" w:eastAsia="Calibri" w:hAnsi="Calibri" w:cs="Times New Roman"/>
          <w:sz w:val="22"/>
          <w:szCs w:val="22"/>
        </w:rPr>
        <w:t xml:space="preserve">a role for the Commonwealth Government in helping </w:t>
      </w:r>
      <w:r w:rsidR="001B39CC">
        <w:rPr>
          <w:rFonts w:ascii="Calibri" w:eastAsia="Calibri" w:hAnsi="Calibri" w:cs="Times New Roman"/>
          <w:sz w:val="22"/>
          <w:szCs w:val="22"/>
        </w:rPr>
        <w:t>schools overcome these barriers that goes beyond</w:t>
      </w:r>
      <w:r w:rsidR="003F7F15">
        <w:rPr>
          <w:rFonts w:ascii="Calibri" w:eastAsia="Calibri" w:hAnsi="Calibri" w:cs="Times New Roman"/>
          <w:sz w:val="22"/>
          <w:szCs w:val="22"/>
        </w:rPr>
        <w:t xml:space="preserve"> supplying</w:t>
      </w:r>
      <w:r w:rsidR="001B39CC">
        <w:rPr>
          <w:rFonts w:ascii="Calibri" w:eastAsia="Calibri" w:hAnsi="Calibri" w:cs="Times New Roman"/>
          <w:sz w:val="22"/>
          <w:szCs w:val="22"/>
        </w:rPr>
        <w:t xml:space="preserve"> the</w:t>
      </w:r>
      <w:r w:rsidR="00A52D61" w:rsidRPr="00A52D61">
        <w:t xml:space="preserve"> </w:t>
      </w:r>
      <w:proofErr w:type="spellStart"/>
      <w:r w:rsidR="00A52D61" w:rsidRPr="00A52D61">
        <w:rPr>
          <w:rFonts w:ascii="Calibri" w:eastAsia="Calibri" w:hAnsi="Calibri" w:cs="Times New Roman"/>
          <w:sz w:val="22"/>
          <w:szCs w:val="22"/>
        </w:rPr>
        <w:t>nbn</w:t>
      </w:r>
      <w:proofErr w:type="spellEnd"/>
      <w:r w:rsidR="00A52D61" w:rsidRPr="00A52D61">
        <w:rPr>
          <w:rFonts w:ascii="Calibri" w:eastAsia="Calibri" w:hAnsi="Calibri" w:cs="Times New Roman"/>
          <w:sz w:val="22"/>
          <w:szCs w:val="22"/>
        </w:rPr>
        <w:t>™</w:t>
      </w:r>
      <w:r w:rsidR="00A52D61">
        <w:rPr>
          <w:rFonts w:ascii="Calibri" w:eastAsia="Calibri" w:hAnsi="Calibri" w:cs="Times New Roman"/>
          <w:sz w:val="22"/>
          <w:szCs w:val="22"/>
        </w:rPr>
        <w:t xml:space="preserve"> network</w:t>
      </w:r>
      <w:r w:rsidR="001B39CC">
        <w:rPr>
          <w:rFonts w:ascii="Calibri" w:eastAsia="Calibri" w:hAnsi="Calibri" w:cs="Times New Roman"/>
          <w:sz w:val="22"/>
          <w:szCs w:val="22"/>
        </w:rPr>
        <w:t xml:space="preserve">. Whilst </w:t>
      </w:r>
      <w:r w:rsidR="00A52D61">
        <w:rPr>
          <w:rFonts w:ascii="Calibri" w:eastAsia="Calibri" w:hAnsi="Calibri" w:cs="Times New Roman"/>
          <w:sz w:val="22"/>
          <w:szCs w:val="22"/>
        </w:rPr>
        <w:t>an infrastructure project of this magnitude</w:t>
      </w:r>
      <w:r w:rsidR="001B39CC">
        <w:rPr>
          <w:rFonts w:ascii="Calibri" w:eastAsia="Calibri" w:hAnsi="Calibri" w:cs="Times New Roman"/>
          <w:sz w:val="22"/>
          <w:szCs w:val="22"/>
        </w:rPr>
        <w:t xml:space="preserve"> is welcome, Catholic education would benefit from</w:t>
      </w:r>
      <w:r w:rsidR="00A52D61">
        <w:rPr>
          <w:rFonts w:ascii="Calibri" w:eastAsia="Calibri" w:hAnsi="Calibri" w:cs="Times New Roman"/>
          <w:sz w:val="22"/>
          <w:szCs w:val="22"/>
        </w:rPr>
        <w:t xml:space="preserve"> associated</w:t>
      </w:r>
      <w:r w:rsidR="001B39CC">
        <w:rPr>
          <w:rFonts w:ascii="Calibri" w:eastAsia="Calibri" w:hAnsi="Calibri" w:cs="Times New Roman"/>
          <w:sz w:val="22"/>
          <w:szCs w:val="22"/>
        </w:rPr>
        <w:t xml:space="preserve"> infrastructure that supports the </w:t>
      </w:r>
      <w:r w:rsidR="00A52D61">
        <w:rPr>
          <w:rFonts w:ascii="Calibri" w:eastAsia="Calibri" w:hAnsi="Calibri" w:cs="Times New Roman"/>
          <w:sz w:val="22"/>
          <w:szCs w:val="22"/>
        </w:rPr>
        <w:t xml:space="preserve">capacity of schools in regional and </w:t>
      </w:r>
      <w:r w:rsidR="001B39CC">
        <w:rPr>
          <w:rFonts w:ascii="Calibri" w:eastAsia="Calibri" w:hAnsi="Calibri" w:cs="Times New Roman"/>
          <w:sz w:val="22"/>
          <w:szCs w:val="22"/>
        </w:rPr>
        <w:t xml:space="preserve">remote </w:t>
      </w:r>
      <w:r w:rsidR="00A52D61">
        <w:rPr>
          <w:rFonts w:ascii="Calibri" w:eastAsia="Calibri" w:hAnsi="Calibri" w:cs="Times New Roman"/>
          <w:sz w:val="22"/>
          <w:szCs w:val="22"/>
        </w:rPr>
        <w:t>areas to embrace technology that has been inherently</w:t>
      </w:r>
      <w:r w:rsidR="001B39CC">
        <w:rPr>
          <w:rFonts w:ascii="Calibri" w:eastAsia="Calibri" w:hAnsi="Calibri" w:cs="Times New Roman"/>
          <w:sz w:val="22"/>
          <w:szCs w:val="22"/>
        </w:rPr>
        <w:t xml:space="preserve"> easier for</w:t>
      </w:r>
      <w:r w:rsidR="00A52D61">
        <w:rPr>
          <w:rFonts w:ascii="Calibri" w:eastAsia="Calibri" w:hAnsi="Calibri" w:cs="Times New Roman"/>
          <w:sz w:val="22"/>
          <w:szCs w:val="22"/>
        </w:rPr>
        <w:t xml:space="preserve"> metropolitan schools to harness</w:t>
      </w:r>
      <w:r w:rsidR="001B39CC">
        <w:rPr>
          <w:rFonts w:ascii="Calibri" w:eastAsia="Calibri" w:hAnsi="Calibri" w:cs="Times New Roman"/>
          <w:sz w:val="22"/>
          <w:szCs w:val="22"/>
        </w:rPr>
        <w:t>.</w:t>
      </w:r>
      <w:r w:rsidR="00D5304F">
        <w:rPr>
          <w:rFonts w:ascii="Calibri" w:eastAsia="Calibri" w:hAnsi="Calibri" w:cs="Times New Roman"/>
          <w:sz w:val="22"/>
          <w:szCs w:val="22"/>
        </w:rPr>
        <w:t xml:space="preserve"> </w:t>
      </w:r>
    </w:p>
    <w:p w14:paraId="2C2F2042" w14:textId="77777777" w:rsidR="003C6ADC" w:rsidRPr="00FD43BE" w:rsidRDefault="003C6ADC" w:rsidP="00FD43BE">
      <w:pPr>
        <w:spacing w:before="0" w:after="0" w:line="240" w:lineRule="auto"/>
        <w:rPr>
          <w:rFonts w:ascii="Calibri" w:eastAsia="Calibri" w:hAnsi="Calibri" w:cs="Times New Roman"/>
          <w:sz w:val="22"/>
          <w:szCs w:val="22"/>
        </w:rPr>
      </w:pPr>
    </w:p>
    <w:p w14:paraId="21688117" w14:textId="77777777" w:rsidR="00FD43BE" w:rsidRPr="001B39CC" w:rsidRDefault="00FD43BE" w:rsidP="00FD43BE">
      <w:pPr>
        <w:spacing w:before="0" w:after="0" w:line="240" w:lineRule="auto"/>
        <w:rPr>
          <w:rFonts w:ascii="Calibri" w:eastAsia="Calibri" w:hAnsi="Calibri" w:cs="Times New Roman"/>
          <w:b/>
          <w:sz w:val="22"/>
          <w:szCs w:val="22"/>
        </w:rPr>
      </w:pPr>
      <w:r w:rsidRPr="001B39CC">
        <w:rPr>
          <w:rFonts w:ascii="Calibri" w:eastAsia="Calibri" w:hAnsi="Calibri" w:cs="Times New Roman"/>
          <w:b/>
          <w:sz w:val="22"/>
          <w:szCs w:val="22"/>
        </w:rPr>
        <w:t>The costs and benefits of options for improvements to the national education evidence base</w:t>
      </w:r>
    </w:p>
    <w:p w14:paraId="1298E06F" w14:textId="397B3FAE" w:rsidR="00FF710B" w:rsidRPr="00EB764D" w:rsidRDefault="00FD43BE" w:rsidP="00FD43BE">
      <w:pPr>
        <w:spacing w:before="0" w:after="0" w:line="240" w:lineRule="auto"/>
        <w:rPr>
          <w:rFonts w:ascii="Calibri" w:eastAsia="Calibri" w:hAnsi="Calibri" w:cs="Times New Roman"/>
          <w:sz w:val="22"/>
          <w:szCs w:val="22"/>
        </w:rPr>
      </w:pPr>
      <w:r w:rsidRPr="00FD43BE">
        <w:rPr>
          <w:rFonts w:ascii="Calibri" w:eastAsia="Calibri" w:hAnsi="Calibri" w:cs="Times New Roman"/>
          <w:sz w:val="22"/>
          <w:szCs w:val="22"/>
        </w:rPr>
        <w:t>Catholic education will generally be wary of the costs of collection of additional data, especiall</w:t>
      </w:r>
      <w:r w:rsidR="00AA1FFC">
        <w:rPr>
          <w:rFonts w:ascii="Calibri" w:eastAsia="Calibri" w:hAnsi="Calibri" w:cs="Times New Roman"/>
          <w:sz w:val="22"/>
          <w:szCs w:val="22"/>
        </w:rPr>
        <w:t xml:space="preserve">y if it is mainly for reporting and </w:t>
      </w:r>
      <w:r w:rsidRPr="00FD43BE">
        <w:rPr>
          <w:rFonts w:ascii="Calibri" w:eastAsia="Calibri" w:hAnsi="Calibri" w:cs="Times New Roman"/>
          <w:sz w:val="22"/>
          <w:szCs w:val="22"/>
        </w:rPr>
        <w:t>accou</w:t>
      </w:r>
      <w:r w:rsidR="009151EF">
        <w:rPr>
          <w:rFonts w:ascii="Calibri" w:eastAsia="Calibri" w:hAnsi="Calibri" w:cs="Times New Roman"/>
          <w:sz w:val="22"/>
          <w:szCs w:val="22"/>
        </w:rPr>
        <w:t>ntability</w:t>
      </w:r>
      <w:r w:rsidR="00AA1FFC">
        <w:rPr>
          <w:rFonts w:ascii="Calibri" w:eastAsia="Calibri" w:hAnsi="Calibri" w:cs="Times New Roman"/>
          <w:sz w:val="22"/>
          <w:szCs w:val="22"/>
        </w:rPr>
        <w:t xml:space="preserve"> purposes</w:t>
      </w:r>
      <w:r w:rsidR="009151EF">
        <w:rPr>
          <w:rFonts w:ascii="Calibri" w:eastAsia="Calibri" w:hAnsi="Calibri" w:cs="Times New Roman"/>
          <w:sz w:val="22"/>
          <w:szCs w:val="22"/>
        </w:rPr>
        <w:t>, rather than policy development</w:t>
      </w:r>
      <w:r w:rsidRPr="00FD43BE">
        <w:rPr>
          <w:rFonts w:ascii="Calibri" w:eastAsia="Calibri" w:hAnsi="Calibri" w:cs="Times New Roman"/>
          <w:sz w:val="22"/>
          <w:szCs w:val="22"/>
        </w:rPr>
        <w:t xml:space="preserve"> or </w:t>
      </w:r>
      <w:r w:rsidR="009151EF">
        <w:rPr>
          <w:rFonts w:ascii="Calibri" w:eastAsia="Calibri" w:hAnsi="Calibri" w:cs="Times New Roman"/>
          <w:sz w:val="22"/>
          <w:szCs w:val="22"/>
        </w:rPr>
        <w:t>classroom</w:t>
      </w:r>
      <w:r w:rsidRPr="00FD43BE">
        <w:rPr>
          <w:rFonts w:ascii="Calibri" w:eastAsia="Calibri" w:hAnsi="Calibri" w:cs="Times New Roman"/>
          <w:sz w:val="22"/>
          <w:szCs w:val="22"/>
        </w:rPr>
        <w:t xml:space="preserve"> use. The impact of the </w:t>
      </w:r>
      <w:r w:rsidR="001B39CC">
        <w:rPr>
          <w:rFonts w:ascii="Calibri" w:eastAsia="Calibri" w:hAnsi="Calibri" w:cs="Times New Roman"/>
          <w:sz w:val="22"/>
          <w:szCs w:val="22"/>
        </w:rPr>
        <w:t>costs of such collections will often</w:t>
      </w:r>
      <w:r w:rsidRPr="00FD43BE">
        <w:rPr>
          <w:rFonts w:ascii="Calibri" w:eastAsia="Calibri" w:hAnsi="Calibri" w:cs="Times New Roman"/>
          <w:sz w:val="22"/>
          <w:szCs w:val="22"/>
        </w:rPr>
        <w:t xml:space="preserve"> be greater for Catholic schools than it w</w:t>
      </w:r>
      <w:r w:rsidR="004026C1">
        <w:rPr>
          <w:rFonts w:ascii="Calibri" w:eastAsia="Calibri" w:hAnsi="Calibri" w:cs="Times New Roman"/>
          <w:sz w:val="22"/>
          <w:szCs w:val="22"/>
        </w:rPr>
        <w:t>ill be for government s</w:t>
      </w:r>
      <w:r w:rsidR="004026C1" w:rsidRPr="00EB764D">
        <w:rPr>
          <w:rFonts w:ascii="Calibri" w:eastAsia="Calibri" w:hAnsi="Calibri" w:cs="Times New Roman"/>
          <w:sz w:val="22"/>
          <w:szCs w:val="22"/>
        </w:rPr>
        <w:t xml:space="preserve">chools. </w:t>
      </w:r>
      <w:r w:rsidR="0038270A">
        <w:rPr>
          <w:rFonts w:ascii="Calibri" w:eastAsia="Calibri" w:hAnsi="Calibri" w:cs="Times New Roman"/>
          <w:sz w:val="22"/>
          <w:szCs w:val="22"/>
        </w:rPr>
        <w:t xml:space="preserve">This is, in part, because of the devolved governance arrangements of Catholic schools. </w:t>
      </w:r>
      <w:r w:rsidR="009151EF" w:rsidRPr="00EB764D">
        <w:rPr>
          <w:rFonts w:ascii="Calibri" w:eastAsia="Calibri" w:hAnsi="Calibri" w:cs="Times New Roman"/>
          <w:sz w:val="22"/>
          <w:szCs w:val="22"/>
        </w:rPr>
        <w:t>Although Catholic schools devote considerable tim</w:t>
      </w:r>
      <w:r w:rsidR="009A3F57" w:rsidRPr="00EB764D">
        <w:rPr>
          <w:rFonts w:ascii="Calibri" w:eastAsia="Calibri" w:hAnsi="Calibri" w:cs="Times New Roman"/>
          <w:sz w:val="22"/>
          <w:szCs w:val="22"/>
        </w:rPr>
        <w:t>e and resources to meeting</w:t>
      </w:r>
      <w:r w:rsidR="009151EF" w:rsidRPr="00EB764D">
        <w:rPr>
          <w:rFonts w:ascii="Calibri" w:eastAsia="Calibri" w:hAnsi="Calibri" w:cs="Times New Roman"/>
          <w:sz w:val="22"/>
          <w:szCs w:val="22"/>
        </w:rPr>
        <w:t xml:space="preserve"> reporting requirements</w:t>
      </w:r>
      <w:r w:rsidR="009A3F57" w:rsidRPr="00EB764D">
        <w:rPr>
          <w:rFonts w:ascii="Calibri" w:eastAsia="Calibri" w:hAnsi="Calibri" w:cs="Times New Roman"/>
          <w:sz w:val="22"/>
          <w:szCs w:val="22"/>
        </w:rPr>
        <w:t xml:space="preserve">, they </w:t>
      </w:r>
      <w:r w:rsidR="00FF710B" w:rsidRPr="00EB764D">
        <w:rPr>
          <w:rFonts w:ascii="Calibri" w:eastAsia="Calibri" w:hAnsi="Calibri" w:cs="Times New Roman"/>
          <w:sz w:val="22"/>
          <w:szCs w:val="22"/>
        </w:rPr>
        <w:t xml:space="preserve">do </w:t>
      </w:r>
      <w:r w:rsidR="009A3F57" w:rsidRPr="00EB764D">
        <w:rPr>
          <w:rFonts w:ascii="Calibri" w:eastAsia="Calibri" w:hAnsi="Calibri" w:cs="Times New Roman"/>
          <w:sz w:val="22"/>
          <w:szCs w:val="22"/>
        </w:rPr>
        <w:t>no</w:t>
      </w:r>
      <w:r w:rsidR="0068706D" w:rsidRPr="00EB764D">
        <w:rPr>
          <w:rFonts w:ascii="Calibri" w:eastAsia="Calibri" w:hAnsi="Calibri" w:cs="Times New Roman"/>
          <w:sz w:val="22"/>
          <w:szCs w:val="22"/>
        </w:rPr>
        <w:t>t have the staff and resources that the government sector has at its disposal.</w:t>
      </w:r>
      <w:r w:rsidR="009151EF" w:rsidRPr="00EB764D">
        <w:rPr>
          <w:rFonts w:ascii="Calibri" w:eastAsia="Calibri" w:hAnsi="Calibri" w:cs="Times New Roman"/>
          <w:sz w:val="22"/>
          <w:szCs w:val="22"/>
        </w:rPr>
        <w:t xml:space="preserve"> </w:t>
      </w:r>
      <w:r w:rsidR="004026C1" w:rsidRPr="00EB764D">
        <w:rPr>
          <w:rFonts w:ascii="Calibri" w:eastAsia="Calibri" w:hAnsi="Calibri" w:cs="Times New Roman"/>
          <w:sz w:val="22"/>
          <w:szCs w:val="22"/>
        </w:rPr>
        <w:t>Therefore it is important to balance</w:t>
      </w:r>
      <w:r w:rsidR="0075535D" w:rsidRPr="00EB764D">
        <w:rPr>
          <w:rFonts w:ascii="Calibri" w:eastAsia="Calibri" w:hAnsi="Calibri" w:cs="Times New Roman"/>
          <w:sz w:val="22"/>
          <w:szCs w:val="22"/>
        </w:rPr>
        <w:t xml:space="preserve"> data for data’s sake with data that have a </w:t>
      </w:r>
      <w:r w:rsidR="004026C1" w:rsidRPr="00EB764D">
        <w:rPr>
          <w:rFonts w:ascii="Calibri" w:eastAsia="Calibri" w:hAnsi="Calibri" w:cs="Times New Roman"/>
          <w:sz w:val="22"/>
          <w:szCs w:val="22"/>
        </w:rPr>
        <w:t xml:space="preserve">clear and strategic </w:t>
      </w:r>
      <w:r w:rsidR="0075535D" w:rsidRPr="00EB764D">
        <w:rPr>
          <w:rFonts w:ascii="Calibri" w:eastAsia="Calibri" w:hAnsi="Calibri" w:cs="Times New Roman"/>
          <w:sz w:val="22"/>
          <w:szCs w:val="22"/>
        </w:rPr>
        <w:t>purpose</w:t>
      </w:r>
      <w:r w:rsidR="004026C1" w:rsidRPr="00EB764D">
        <w:rPr>
          <w:rFonts w:ascii="Calibri" w:eastAsia="Calibri" w:hAnsi="Calibri" w:cs="Times New Roman"/>
          <w:sz w:val="22"/>
          <w:szCs w:val="22"/>
        </w:rPr>
        <w:t xml:space="preserve">. </w:t>
      </w:r>
    </w:p>
    <w:p w14:paraId="69D308DF" w14:textId="77777777" w:rsidR="00FF710B" w:rsidRDefault="00FF710B" w:rsidP="00FD43BE">
      <w:pPr>
        <w:spacing w:before="0" w:after="0" w:line="240" w:lineRule="auto"/>
        <w:rPr>
          <w:rFonts w:ascii="Calibri" w:eastAsia="Calibri" w:hAnsi="Calibri" w:cs="Times New Roman"/>
          <w:sz w:val="22"/>
          <w:szCs w:val="22"/>
        </w:rPr>
      </w:pPr>
    </w:p>
    <w:p w14:paraId="756B3B30" w14:textId="2DCA93CB" w:rsidR="0055386D" w:rsidRPr="0055386D" w:rsidRDefault="0055386D" w:rsidP="00FD43BE">
      <w:pPr>
        <w:spacing w:before="0" w:after="0" w:line="240" w:lineRule="auto"/>
        <w:rPr>
          <w:rFonts w:ascii="Calibri" w:eastAsia="Calibri" w:hAnsi="Calibri" w:cs="Times New Roman"/>
          <w:i/>
          <w:sz w:val="22"/>
          <w:szCs w:val="22"/>
        </w:rPr>
      </w:pPr>
      <w:r>
        <w:rPr>
          <w:rFonts w:ascii="Calibri" w:eastAsia="Calibri" w:hAnsi="Calibri" w:cs="Times New Roman"/>
          <w:i/>
          <w:sz w:val="22"/>
          <w:szCs w:val="22"/>
        </w:rPr>
        <w:t>The challenges of open data and the proliferation of information</w:t>
      </w:r>
    </w:p>
    <w:p w14:paraId="412D22C0" w14:textId="04FE40F1" w:rsidR="0075535D" w:rsidRPr="00EB764D" w:rsidRDefault="00AA1FFC" w:rsidP="00FD43BE">
      <w:pPr>
        <w:spacing w:before="0" w:after="0" w:line="240" w:lineRule="auto"/>
        <w:rPr>
          <w:rFonts w:ascii="Calibri" w:eastAsia="Calibri" w:hAnsi="Calibri" w:cs="Times New Roman"/>
          <w:sz w:val="22"/>
          <w:szCs w:val="22"/>
        </w:rPr>
      </w:pPr>
      <w:r>
        <w:rPr>
          <w:rFonts w:ascii="Calibri" w:eastAsia="Calibri" w:hAnsi="Calibri" w:cs="Times New Roman"/>
          <w:sz w:val="22"/>
          <w:szCs w:val="22"/>
        </w:rPr>
        <w:t>Although the 21</w:t>
      </w:r>
      <w:r w:rsidRPr="00AA1FFC">
        <w:rPr>
          <w:rFonts w:ascii="Calibri" w:eastAsia="Calibri" w:hAnsi="Calibri" w:cs="Times New Roman"/>
          <w:sz w:val="22"/>
          <w:szCs w:val="22"/>
          <w:vertAlign w:val="superscript"/>
        </w:rPr>
        <w:t>st</w:t>
      </w:r>
      <w:r w:rsidR="004026C1" w:rsidRPr="00EB764D">
        <w:rPr>
          <w:rFonts w:ascii="Calibri" w:eastAsia="Calibri" w:hAnsi="Calibri" w:cs="Times New Roman"/>
          <w:sz w:val="22"/>
          <w:szCs w:val="22"/>
        </w:rPr>
        <w:t xml:space="preserve"> century has seen a move towards open data and </w:t>
      </w:r>
      <w:r w:rsidR="001B5BD3" w:rsidRPr="00EB764D">
        <w:rPr>
          <w:rFonts w:ascii="Calibri" w:eastAsia="Calibri" w:hAnsi="Calibri" w:cs="Times New Roman"/>
          <w:sz w:val="22"/>
          <w:szCs w:val="22"/>
        </w:rPr>
        <w:t xml:space="preserve">the proliferation of information, this can render the sheer magnitude of the data </w:t>
      </w:r>
      <w:r w:rsidR="00215EFA" w:rsidRPr="00EB764D">
        <w:rPr>
          <w:rFonts w:ascii="Calibri" w:eastAsia="Calibri" w:hAnsi="Calibri" w:cs="Times New Roman"/>
          <w:sz w:val="22"/>
          <w:szCs w:val="22"/>
        </w:rPr>
        <w:t>overwhelming. Less data</w:t>
      </w:r>
      <w:r w:rsidR="001B5BD3" w:rsidRPr="00EB764D">
        <w:rPr>
          <w:rFonts w:ascii="Calibri" w:eastAsia="Calibri" w:hAnsi="Calibri" w:cs="Times New Roman"/>
          <w:sz w:val="22"/>
          <w:szCs w:val="22"/>
        </w:rPr>
        <w:t xml:space="preserve"> can be more powerful and </w:t>
      </w:r>
      <w:r w:rsidR="0075535D" w:rsidRPr="00EB764D">
        <w:rPr>
          <w:rFonts w:ascii="Calibri" w:eastAsia="Calibri" w:hAnsi="Calibri" w:cs="Times New Roman"/>
          <w:sz w:val="22"/>
          <w:szCs w:val="22"/>
        </w:rPr>
        <w:t>effective</w:t>
      </w:r>
      <w:r w:rsidR="001B5BD3" w:rsidRPr="00EB764D">
        <w:rPr>
          <w:rFonts w:ascii="Calibri" w:eastAsia="Calibri" w:hAnsi="Calibri" w:cs="Times New Roman"/>
          <w:sz w:val="22"/>
          <w:szCs w:val="22"/>
        </w:rPr>
        <w:t xml:space="preserve"> if it is prioritised and harnessed in a strategic way. The inevitable question</w:t>
      </w:r>
      <w:r w:rsidR="007F39BA" w:rsidRPr="00EB764D">
        <w:rPr>
          <w:rFonts w:ascii="Calibri" w:eastAsia="Calibri" w:hAnsi="Calibri" w:cs="Times New Roman"/>
          <w:sz w:val="22"/>
          <w:szCs w:val="22"/>
        </w:rPr>
        <w:t>s</w:t>
      </w:r>
      <w:r w:rsidR="001B5BD3" w:rsidRPr="00EB764D">
        <w:rPr>
          <w:rFonts w:ascii="Calibri" w:eastAsia="Calibri" w:hAnsi="Calibri" w:cs="Times New Roman"/>
          <w:sz w:val="22"/>
          <w:szCs w:val="22"/>
        </w:rPr>
        <w:t xml:space="preserve"> for a national education evidence base is whether</w:t>
      </w:r>
      <w:r w:rsidR="0075535D" w:rsidRPr="00EB764D">
        <w:rPr>
          <w:rFonts w:ascii="Calibri" w:eastAsia="Calibri" w:hAnsi="Calibri" w:cs="Times New Roman"/>
          <w:sz w:val="22"/>
          <w:szCs w:val="22"/>
        </w:rPr>
        <w:t xml:space="preserve"> d</w:t>
      </w:r>
      <w:r w:rsidR="001B5BD3" w:rsidRPr="00EB764D">
        <w:rPr>
          <w:rFonts w:ascii="Calibri" w:eastAsia="Calibri" w:hAnsi="Calibri" w:cs="Times New Roman"/>
          <w:sz w:val="22"/>
          <w:szCs w:val="22"/>
        </w:rPr>
        <w:t>ata</w:t>
      </w:r>
      <w:r w:rsidR="00636E7B" w:rsidRPr="00EB764D">
        <w:rPr>
          <w:rFonts w:ascii="Calibri" w:eastAsia="Calibri" w:hAnsi="Calibri" w:cs="Times New Roman"/>
          <w:sz w:val="22"/>
          <w:szCs w:val="22"/>
        </w:rPr>
        <w:t>—and what data—</w:t>
      </w:r>
      <w:r w:rsidR="001B5BD3" w:rsidRPr="00EB764D">
        <w:rPr>
          <w:rFonts w:ascii="Calibri" w:eastAsia="Calibri" w:hAnsi="Calibri" w:cs="Times New Roman"/>
          <w:sz w:val="22"/>
          <w:szCs w:val="22"/>
        </w:rPr>
        <w:t>should be national or state-based</w:t>
      </w:r>
      <w:r w:rsidR="007F39BA" w:rsidRPr="00EB764D">
        <w:rPr>
          <w:rFonts w:ascii="Calibri" w:eastAsia="Calibri" w:hAnsi="Calibri" w:cs="Times New Roman"/>
          <w:sz w:val="22"/>
          <w:szCs w:val="22"/>
        </w:rPr>
        <w:t xml:space="preserve"> and what data will be the most fruitful in improving Australian educational outcomes</w:t>
      </w:r>
      <w:r w:rsidR="001B5BD3" w:rsidRPr="00EB764D">
        <w:rPr>
          <w:rFonts w:ascii="Calibri" w:eastAsia="Calibri" w:hAnsi="Calibri" w:cs="Times New Roman"/>
          <w:sz w:val="22"/>
          <w:szCs w:val="22"/>
        </w:rPr>
        <w:t>.</w:t>
      </w:r>
      <w:r w:rsidR="0055386D">
        <w:rPr>
          <w:rFonts w:ascii="Calibri" w:eastAsia="Calibri" w:hAnsi="Calibri" w:cs="Times New Roman"/>
          <w:sz w:val="22"/>
          <w:szCs w:val="22"/>
        </w:rPr>
        <w:t xml:space="preserve"> </w:t>
      </w:r>
      <w:r w:rsidR="00413E00">
        <w:rPr>
          <w:rFonts w:ascii="Calibri" w:eastAsia="Calibri" w:hAnsi="Calibri" w:cs="Times New Roman"/>
          <w:sz w:val="22"/>
          <w:szCs w:val="22"/>
        </w:rPr>
        <w:t>It is important to be strategic in choosing the datasets that will support</w:t>
      </w:r>
      <w:r w:rsidR="0055386D">
        <w:rPr>
          <w:rFonts w:ascii="Calibri" w:eastAsia="Calibri" w:hAnsi="Calibri" w:cs="Times New Roman"/>
          <w:sz w:val="22"/>
          <w:szCs w:val="22"/>
        </w:rPr>
        <w:t xml:space="preserve"> </w:t>
      </w:r>
      <w:r w:rsidR="00413E00">
        <w:rPr>
          <w:rFonts w:ascii="Calibri" w:eastAsia="Calibri" w:hAnsi="Calibri" w:cs="Times New Roman"/>
          <w:sz w:val="22"/>
          <w:szCs w:val="22"/>
        </w:rPr>
        <w:t>Australia’s</w:t>
      </w:r>
      <w:r w:rsidR="0075535D" w:rsidRPr="00EB764D">
        <w:rPr>
          <w:rFonts w:ascii="Calibri" w:eastAsia="Calibri" w:hAnsi="Calibri" w:cs="Times New Roman"/>
          <w:sz w:val="22"/>
          <w:szCs w:val="22"/>
        </w:rPr>
        <w:t xml:space="preserve"> </w:t>
      </w:r>
      <w:r w:rsidR="001B5BD3" w:rsidRPr="00EB764D">
        <w:rPr>
          <w:rFonts w:ascii="Calibri" w:eastAsia="Calibri" w:hAnsi="Calibri" w:cs="Times New Roman"/>
          <w:sz w:val="22"/>
          <w:szCs w:val="22"/>
        </w:rPr>
        <w:t>national goals</w:t>
      </w:r>
      <w:r w:rsidR="007F39BA" w:rsidRPr="00EB764D">
        <w:rPr>
          <w:rFonts w:ascii="Calibri" w:eastAsia="Calibri" w:hAnsi="Calibri" w:cs="Times New Roman"/>
          <w:sz w:val="22"/>
          <w:szCs w:val="22"/>
        </w:rPr>
        <w:t xml:space="preserve"> and priorities</w:t>
      </w:r>
      <w:r w:rsidR="001B5BD3" w:rsidRPr="00EB764D">
        <w:rPr>
          <w:rFonts w:ascii="Calibri" w:eastAsia="Calibri" w:hAnsi="Calibri" w:cs="Times New Roman"/>
          <w:sz w:val="22"/>
          <w:szCs w:val="22"/>
        </w:rPr>
        <w:t xml:space="preserve"> for education</w:t>
      </w:r>
      <w:r w:rsidR="0075535D" w:rsidRPr="00EB764D">
        <w:rPr>
          <w:rFonts w:ascii="Calibri" w:eastAsia="Calibri" w:hAnsi="Calibri" w:cs="Times New Roman"/>
          <w:sz w:val="22"/>
          <w:szCs w:val="22"/>
        </w:rPr>
        <w:t>.</w:t>
      </w:r>
    </w:p>
    <w:p w14:paraId="7B9AFFF4" w14:textId="77777777" w:rsidR="00FD43BE" w:rsidRPr="00FD43BE" w:rsidRDefault="00FD43BE" w:rsidP="00FD43BE">
      <w:pPr>
        <w:spacing w:before="0" w:after="0" w:line="240" w:lineRule="auto"/>
        <w:rPr>
          <w:rFonts w:ascii="Calibri" w:eastAsia="Calibri" w:hAnsi="Calibri" w:cs="Times New Roman"/>
          <w:sz w:val="22"/>
          <w:szCs w:val="22"/>
        </w:rPr>
      </w:pPr>
    </w:p>
    <w:p w14:paraId="045A3C8A" w14:textId="77777777" w:rsidR="00FD43BE" w:rsidRPr="00FD43BE" w:rsidRDefault="001B5BD3" w:rsidP="00FD43BE">
      <w:pPr>
        <w:spacing w:before="0" w:after="0" w:line="240" w:lineRule="auto"/>
        <w:rPr>
          <w:rFonts w:ascii="Calibri" w:eastAsia="Calibri" w:hAnsi="Calibri" w:cs="Times New Roman"/>
          <w:sz w:val="22"/>
          <w:szCs w:val="22"/>
        </w:rPr>
      </w:pPr>
      <w:r>
        <w:rPr>
          <w:rFonts w:ascii="Calibri" w:eastAsia="Calibri" w:hAnsi="Calibri" w:cs="Times New Roman"/>
          <w:sz w:val="22"/>
          <w:szCs w:val="22"/>
        </w:rPr>
        <w:t>Catholic education supports a national education evidence base that will shape and be shaped by</w:t>
      </w:r>
      <w:r w:rsidR="00FD43BE" w:rsidRPr="00FD43BE">
        <w:rPr>
          <w:rFonts w:ascii="Calibri" w:eastAsia="Calibri" w:hAnsi="Calibri" w:cs="Times New Roman"/>
          <w:sz w:val="22"/>
          <w:szCs w:val="22"/>
        </w:rPr>
        <w:t xml:space="preserve"> national education policy</w:t>
      </w:r>
      <w:r>
        <w:rPr>
          <w:rFonts w:ascii="Calibri" w:eastAsia="Calibri" w:hAnsi="Calibri" w:cs="Times New Roman"/>
          <w:sz w:val="22"/>
          <w:szCs w:val="22"/>
        </w:rPr>
        <w:t xml:space="preserve"> and strategy. However, t</w:t>
      </w:r>
      <w:r w:rsidR="00FD43BE" w:rsidRPr="00FD43BE">
        <w:rPr>
          <w:rFonts w:ascii="Calibri" w:eastAsia="Calibri" w:hAnsi="Calibri" w:cs="Times New Roman"/>
          <w:sz w:val="22"/>
          <w:szCs w:val="22"/>
        </w:rPr>
        <w:t xml:space="preserve">he </w:t>
      </w:r>
      <w:r>
        <w:rPr>
          <w:rFonts w:ascii="Calibri" w:eastAsia="Calibri" w:hAnsi="Calibri" w:cs="Times New Roman"/>
          <w:sz w:val="22"/>
          <w:szCs w:val="22"/>
        </w:rPr>
        <w:t xml:space="preserve">temptation to use </w:t>
      </w:r>
      <w:r w:rsidR="00FD43BE" w:rsidRPr="00FD43BE">
        <w:rPr>
          <w:rFonts w:ascii="Calibri" w:eastAsia="Calibri" w:hAnsi="Calibri" w:cs="Times New Roman"/>
          <w:sz w:val="22"/>
          <w:szCs w:val="22"/>
        </w:rPr>
        <w:t>data as a comparative tool</w:t>
      </w:r>
      <w:r>
        <w:rPr>
          <w:rFonts w:ascii="Calibri" w:eastAsia="Calibri" w:hAnsi="Calibri" w:cs="Times New Roman"/>
          <w:sz w:val="22"/>
          <w:szCs w:val="22"/>
        </w:rPr>
        <w:t>kit</w:t>
      </w:r>
      <w:r w:rsidR="00FD43BE" w:rsidRPr="00FD43BE">
        <w:rPr>
          <w:rFonts w:ascii="Calibri" w:eastAsia="Calibri" w:hAnsi="Calibri" w:cs="Times New Roman"/>
          <w:sz w:val="22"/>
          <w:szCs w:val="22"/>
        </w:rPr>
        <w:t xml:space="preserve"> that ranks jur</w:t>
      </w:r>
      <w:r w:rsidR="004026C1">
        <w:rPr>
          <w:rFonts w:ascii="Calibri" w:eastAsia="Calibri" w:hAnsi="Calibri" w:cs="Times New Roman"/>
          <w:sz w:val="22"/>
          <w:szCs w:val="22"/>
        </w:rPr>
        <w:t>isdictions</w:t>
      </w:r>
      <w:r>
        <w:rPr>
          <w:rFonts w:ascii="Calibri" w:eastAsia="Calibri" w:hAnsi="Calibri" w:cs="Times New Roman"/>
          <w:sz w:val="22"/>
          <w:szCs w:val="22"/>
        </w:rPr>
        <w:t xml:space="preserve"> or makes comparisons that are not meaningful should be mitigated</w:t>
      </w:r>
      <w:r w:rsidR="004026C1">
        <w:rPr>
          <w:rFonts w:ascii="Calibri" w:eastAsia="Calibri" w:hAnsi="Calibri" w:cs="Times New Roman"/>
          <w:sz w:val="22"/>
          <w:szCs w:val="22"/>
        </w:rPr>
        <w:t xml:space="preserve">. </w:t>
      </w:r>
      <w:r>
        <w:rPr>
          <w:rFonts w:ascii="Calibri" w:eastAsia="Calibri" w:hAnsi="Calibri" w:cs="Times New Roman"/>
          <w:sz w:val="22"/>
          <w:szCs w:val="22"/>
        </w:rPr>
        <w:t>Data that informs policy development</w:t>
      </w:r>
      <w:r w:rsidR="003E2985">
        <w:rPr>
          <w:rFonts w:ascii="Calibri" w:eastAsia="Calibri" w:hAnsi="Calibri" w:cs="Times New Roman"/>
          <w:sz w:val="22"/>
          <w:szCs w:val="22"/>
        </w:rPr>
        <w:t xml:space="preserve"> and practices to </w:t>
      </w:r>
      <w:r w:rsidR="00337519">
        <w:rPr>
          <w:rFonts w:ascii="Calibri" w:eastAsia="Calibri" w:hAnsi="Calibri" w:cs="Times New Roman"/>
          <w:sz w:val="22"/>
          <w:szCs w:val="22"/>
        </w:rPr>
        <w:t>improve student outcomes</w:t>
      </w:r>
      <w:r>
        <w:rPr>
          <w:rFonts w:ascii="Calibri" w:eastAsia="Calibri" w:hAnsi="Calibri" w:cs="Times New Roman"/>
          <w:sz w:val="22"/>
          <w:szCs w:val="22"/>
        </w:rPr>
        <w:t xml:space="preserve"> and facilitates public accountability should be prioritised</w:t>
      </w:r>
      <w:r w:rsidR="007F39BA">
        <w:rPr>
          <w:rFonts w:ascii="Calibri" w:eastAsia="Calibri" w:hAnsi="Calibri" w:cs="Times New Roman"/>
          <w:sz w:val="22"/>
          <w:szCs w:val="22"/>
        </w:rPr>
        <w:t xml:space="preserve"> according to the objectives of a national education strategy</w:t>
      </w:r>
      <w:r>
        <w:rPr>
          <w:rFonts w:ascii="Calibri" w:eastAsia="Calibri" w:hAnsi="Calibri" w:cs="Times New Roman"/>
          <w:sz w:val="22"/>
          <w:szCs w:val="22"/>
        </w:rPr>
        <w:t xml:space="preserve">. </w:t>
      </w:r>
      <w:r w:rsidR="004026C1">
        <w:rPr>
          <w:rFonts w:ascii="Calibri" w:eastAsia="Calibri" w:hAnsi="Calibri" w:cs="Times New Roman"/>
          <w:sz w:val="22"/>
          <w:szCs w:val="22"/>
        </w:rPr>
        <w:t xml:space="preserve">A relevant example of </w:t>
      </w:r>
      <w:r w:rsidR="007F39BA">
        <w:rPr>
          <w:rFonts w:ascii="Calibri" w:eastAsia="Calibri" w:hAnsi="Calibri" w:cs="Times New Roman"/>
          <w:sz w:val="22"/>
          <w:szCs w:val="22"/>
        </w:rPr>
        <w:t>this</w:t>
      </w:r>
      <w:r w:rsidR="004026C1">
        <w:rPr>
          <w:rFonts w:ascii="Calibri" w:eastAsia="Calibri" w:hAnsi="Calibri" w:cs="Times New Roman"/>
          <w:sz w:val="22"/>
          <w:szCs w:val="22"/>
        </w:rPr>
        <w:t xml:space="preserve"> is teacher education and teacher workforce data.</w:t>
      </w:r>
    </w:p>
    <w:p w14:paraId="14D12837" w14:textId="77777777" w:rsidR="00FD43BE" w:rsidRDefault="00FD43BE" w:rsidP="00FD43BE">
      <w:pPr>
        <w:spacing w:before="0" w:after="0" w:line="240" w:lineRule="auto"/>
        <w:rPr>
          <w:rFonts w:ascii="Calibri" w:eastAsia="Calibri" w:hAnsi="Calibri" w:cs="Times New Roman"/>
          <w:sz w:val="22"/>
          <w:szCs w:val="22"/>
        </w:rPr>
      </w:pPr>
    </w:p>
    <w:p w14:paraId="08D6EA1B" w14:textId="77777777" w:rsidR="0055386D" w:rsidRDefault="0055386D" w:rsidP="0065422A">
      <w:pPr>
        <w:spacing w:before="0" w:after="0" w:line="240" w:lineRule="auto"/>
        <w:rPr>
          <w:rFonts w:ascii="Calibri" w:eastAsia="Calibri" w:hAnsi="Calibri" w:cs="Times New Roman"/>
          <w:sz w:val="22"/>
          <w:szCs w:val="22"/>
        </w:rPr>
      </w:pPr>
    </w:p>
    <w:p w14:paraId="37DFBE37" w14:textId="05F1BE08" w:rsidR="0055386D" w:rsidRPr="0055386D" w:rsidRDefault="0055386D" w:rsidP="0065422A">
      <w:pPr>
        <w:spacing w:before="0" w:after="0" w:line="240" w:lineRule="auto"/>
        <w:rPr>
          <w:rFonts w:ascii="Calibri" w:eastAsia="Calibri" w:hAnsi="Calibri" w:cs="Times New Roman"/>
          <w:i/>
          <w:sz w:val="22"/>
          <w:szCs w:val="22"/>
        </w:rPr>
      </w:pPr>
      <w:r w:rsidRPr="0055386D">
        <w:rPr>
          <w:rFonts w:ascii="Calibri" w:eastAsia="Calibri" w:hAnsi="Calibri" w:cs="Times New Roman"/>
          <w:i/>
          <w:sz w:val="22"/>
          <w:szCs w:val="22"/>
        </w:rPr>
        <w:lastRenderedPageBreak/>
        <w:t>Teacher education and teacher workforce data</w:t>
      </w:r>
    </w:p>
    <w:p w14:paraId="370094A8" w14:textId="00608705" w:rsidR="0065422A" w:rsidRDefault="00BD3FAC" w:rsidP="0065422A">
      <w:pPr>
        <w:spacing w:before="0" w:after="0" w:line="240" w:lineRule="auto"/>
        <w:rPr>
          <w:rFonts w:ascii="Calibri" w:eastAsia="Calibri" w:hAnsi="Calibri" w:cs="Times New Roman"/>
          <w:sz w:val="22"/>
          <w:szCs w:val="22"/>
        </w:rPr>
      </w:pPr>
      <w:r>
        <w:rPr>
          <w:rFonts w:ascii="Calibri" w:eastAsia="Calibri" w:hAnsi="Calibri" w:cs="Times New Roman"/>
          <w:sz w:val="22"/>
          <w:szCs w:val="22"/>
        </w:rPr>
        <w:t>Teacher education and teacher workforce data in Australia are not currently consistent, which limits the</w:t>
      </w:r>
      <w:r w:rsidR="0075535D">
        <w:rPr>
          <w:rFonts w:ascii="Calibri" w:eastAsia="Calibri" w:hAnsi="Calibri" w:cs="Times New Roman"/>
          <w:sz w:val="22"/>
          <w:szCs w:val="22"/>
        </w:rPr>
        <w:t xml:space="preserve"> effective use of </w:t>
      </w:r>
      <w:r>
        <w:rPr>
          <w:rFonts w:ascii="Calibri" w:eastAsia="Calibri" w:hAnsi="Calibri" w:cs="Times New Roman"/>
          <w:sz w:val="22"/>
          <w:szCs w:val="22"/>
        </w:rPr>
        <w:t xml:space="preserve">the </w:t>
      </w:r>
      <w:r w:rsidR="0075535D">
        <w:rPr>
          <w:rFonts w:ascii="Calibri" w:eastAsia="Calibri" w:hAnsi="Calibri" w:cs="Times New Roman"/>
          <w:sz w:val="22"/>
          <w:szCs w:val="22"/>
        </w:rPr>
        <w:t xml:space="preserve">data </w:t>
      </w:r>
      <w:r>
        <w:rPr>
          <w:rFonts w:ascii="Calibri" w:eastAsia="Calibri" w:hAnsi="Calibri" w:cs="Times New Roman"/>
          <w:sz w:val="22"/>
          <w:szCs w:val="22"/>
        </w:rPr>
        <w:t xml:space="preserve">nationally. </w:t>
      </w:r>
      <w:r w:rsidR="004026C1">
        <w:rPr>
          <w:rFonts w:ascii="Calibri" w:eastAsia="Calibri" w:hAnsi="Calibri" w:cs="Times New Roman"/>
          <w:sz w:val="22"/>
          <w:szCs w:val="22"/>
        </w:rPr>
        <w:t>This is a matter that</w:t>
      </w:r>
      <w:r w:rsidR="00AA1FFC">
        <w:rPr>
          <w:rFonts w:ascii="Calibri" w:eastAsia="Calibri" w:hAnsi="Calibri" w:cs="Times New Roman"/>
          <w:sz w:val="22"/>
          <w:szCs w:val="22"/>
        </w:rPr>
        <w:t xml:space="preserve"> the</w:t>
      </w:r>
      <w:r w:rsidR="00AA1FFC" w:rsidRPr="00AA1FFC">
        <w:t xml:space="preserve"> </w:t>
      </w:r>
      <w:r w:rsidR="00AA1FFC" w:rsidRPr="00AA1FFC">
        <w:rPr>
          <w:rFonts w:ascii="Calibri" w:eastAsia="Calibri" w:hAnsi="Calibri" w:cs="Times New Roman"/>
          <w:sz w:val="22"/>
          <w:szCs w:val="22"/>
        </w:rPr>
        <w:t>Australian Institute for Teaching and School Leadership</w:t>
      </w:r>
      <w:r w:rsidR="004026C1">
        <w:rPr>
          <w:rFonts w:ascii="Calibri" w:eastAsia="Calibri" w:hAnsi="Calibri" w:cs="Times New Roman"/>
          <w:sz w:val="22"/>
          <w:szCs w:val="22"/>
        </w:rPr>
        <w:t xml:space="preserve"> is currently investigating</w:t>
      </w:r>
      <w:r w:rsidR="0075535D">
        <w:rPr>
          <w:rFonts w:ascii="Calibri" w:eastAsia="Calibri" w:hAnsi="Calibri" w:cs="Times New Roman"/>
          <w:sz w:val="22"/>
          <w:szCs w:val="22"/>
        </w:rPr>
        <w:t>,</w:t>
      </w:r>
      <w:r w:rsidR="004026C1">
        <w:rPr>
          <w:rFonts w:ascii="Calibri" w:eastAsia="Calibri" w:hAnsi="Calibri" w:cs="Times New Roman"/>
          <w:sz w:val="22"/>
          <w:szCs w:val="22"/>
        </w:rPr>
        <w:t xml:space="preserve"> especially</w:t>
      </w:r>
      <w:r w:rsidR="0075535D">
        <w:rPr>
          <w:rFonts w:ascii="Calibri" w:eastAsia="Calibri" w:hAnsi="Calibri" w:cs="Times New Roman"/>
          <w:sz w:val="22"/>
          <w:szCs w:val="22"/>
        </w:rPr>
        <w:t xml:space="preserve"> </w:t>
      </w:r>
      <w:r w:rsidR="004026C1">
        <w:rPr>
          <w:rFonts w:ascii="Calibri" w:eastAsia="Calibri" w:hAnsi="Calibri" w:cs="Times New Roman"/>
          <w:sz w:val="22"/>
          <w:szCs w:val="22"/>
        </w:rPr>
        <w:t xml:space="preserve">given </w:t>
      </w:r>
      <w:r w:rsidR="0075535D">
        <w:rPr>
          <w:rFonts w:ascii="Calibri" w:eastAsia="Calibri" w:hAnsi="Calibri" w:cs="Times New Roman"/>
          <w:sz w:val="22"/>
          <w:szCs w:val="22"/>
        </w:rPr>
        <w:t xml:space="preserve">teacher development and teacher quality is a national </w:t>
      </w:r>
      <w:r w:rsidR="007F39BA">
        <w:rPr>
          <w:rFonts w:ascii="Calibri" w:eastAsia="Calibri" w:hAnsi="Calibri" w:cs="Times New Roman"/>
          <w:sz w:val="22"/>
          <w:szCs w:val="22"/>
        </w:rPr>
        <w:t xml:space="preserve">education </w:t>
      </w:r>
      <w:r w:rsidR="0075535D">
        <w:rPr>
          <w:rFonts w:ascii="Calibri" w:eastAsia="Calibri" w:hAnsi="Calibri" w:cs="Times New Roman"/>
          <w:sz w:val="22"/>
          <w:szCs w:val="22"/>
        </w:rPr>
        <w:t>priority for the C</w:t>
      </w:r>
      <w:r>
        <w:rPr>
          <w:rFonts w:ascii="Calibri" w:eastAsia="Calibri" w:hAnsi="Calibri" w:cs="Times New Roman"/>
          <w:sz w:val="22"/>
          <w:szCs w:val="22"/>
        </w:rPr>
        <w:t>ommonweal</w:t>
      </w:r>
      <w:r w:rsidR="0075535D">
        <w:rPr>
          <w:rFonts w:ascii="Calibri" w:eastAsia="Calibri" w:hAnsi="Calibri" w:cs="Times New Roman"/>
          <w:sz w:val="22"/>
          <w:szCs w:val="22"/>
        </w:rPr>
        <w:t xml:space="preserve">th </w:t>
      </w:r>
      <w:r w:rsidR="004026C1">
        <w:rPr>
          <w:rFonts w:ascii="Calibri" w:eastAsia="Calibri" w:hAnsi="Calibri" w:cs="Times New Roman"/>
          <w:sz w:val="22"/>
          <w:szCs w:val="22"/>
        </w:rPr>
        <w:t xml:space="preserve">Government. There is a </w:t>
      </w:r>
      <w:r w:rsidR="0075535D">
        <w:rPr>
          <w:rFonts w:ascii="Calibri" w:eastAsia="Calibri" w:hAnsi="Calibri" w:cs="Times New Roman"/>
          <w:sz w:val="22"/>
          <w:szCs w:val="22"/>
        </w:rPr>
        <w:t xml:space="preserve">need </w:t>
      </w:r>
      <w:r w:rsidR="004026C1">
        <w:rPr>
          <w:rFonts w:ascii="Calibri" w:eastAsia="Calibri" w:hAnsi="Calibri" w:cs="Times New Roman"/>
          <w:sz w:val="22"/>
          <w:szCs w:val="22"/>
        </w:rPr>
        <w:t xml:space="preserve">for </w:t>
      </w:r>
      <w:r w:rsidR="0075535D">
        <w:rPr>
          <w:rFonts w:ascii="Calibri" w:eastAsia="Calibri" w:hAnsi="Calibri" w:cs="Times New Roman"/>
          <w:sz w:val="22"/>
          <w:szCs w:val="22"/>
        </w:rPr>
        <w:t>a natio</w:t>
      </w:r>
      <w:r w:rsidR="004026C1">
        <w:rPr>
          <w:rFonts w:ascii="Calibri" w:eastAsia="Calibri" w:hAnsi="Calibri" w:cs="Times New Roman"/>
          <w:sz w:val="22"/>
          <w:szCs w:val="22"/>
        </w:rPr>
        <w:t>nal database that collects</w:t>
      </w:r>
      <w:r w:rsidR="00BF3DDC">
        <w:rPr>
          <w:rFonts w:ascii="Calibri" w:eastAsia="Calibri" w:hAnsi="Calibri" w:cs="Times New Roman"/>
          <w:sz w:val="22"/>
          <w:szCs w:val="22"/>
        </w:rPr>
        <w:t xml:space="preserve"> and identifies</w:t>
      </w:r>
      <w:r w:rsidR="004026C1">
        <w:rPr>
          <w:rFonts w:ascii="Calibri" w:eastAsia="Calibri" w:hAnsi="Calibri" w:cs="Times New Roman"/>
          <w:sz w:val="22"/>
          <w:szCs w:val="22"/>
        </w:rPr>
        <w:t xml:space="preserve"> relevant information on Australia’s</w:t>
      </w:r>
      <w:r w:rsidR="0075535D">
        <w:rPr>
          <w:rFonts w:ascii="Calibri" w:eastAsia="Calibri" w:hAnsi="Calibri" w:cs="Times New Roman"/>
          <w:sz w:val="22"/>
          <w:szCs w:val="22"/>
        </w:rPr>
        <w:t xml:space="preserve"> teachers </w:t>
      </w:r>
      <w:r w:rsidR="004026C1">
        <w:rPr>
          <w:rFonts w:ascii="Calibri" w:eastAsia="Calibri" w:hAnsi="Calibri" w:cs="Times New Roman"/>
          <w:sz w:val="22"/>
          <w:szCs w:val="22"/>
        </w:rPr>
        <w:t xml:space="preserve">but this must be framed by a national teacher education and teacher workforce data strategy. Catholic education believes that clear objectives and student </w:t>
      </w:r>
      <w:r w:rsidR="0075535D">
        <w:rPr>
          <w:rFonts w:ascii="Calibri" w:eastAsia="Calibri" w:hAnsi="Calibri" w:cs="Times New Roman"/>
          <w:sz w:val="22"/>
          <w:szCs w:val="22"/>
        </w:rPr>
        <w:t>outcomes</w:t>
      </w:r>
      <w:r w:rsidR="004026C1">
        <w:rPr>
          <w:rFonts w:ascii="Calibri" w:eastAsia="Calibri" w:hAnsi="Calibri" w:cs="Times New Roman"/>
          <w:sz w:val="22"/>
          <w:szCs w:val="22"/>
        </w:rPr>
        <w:t xml:space="preserve"> should underpin a national approach to teacher data.</w:t>
      </w:r>
      <w:r w:rsidR="0075535D">
        <w:rPr>
          <w:rFonts w:ascii="Calibri" w:eastAsia="Calibri" w:hAnsi="Calibri" w:cs="Times New Roman"/>
          <w:sz w:val="22"/>
          <w:szCs w:val="22"/>
        </w:rPr>
        <w:t xml:space="preserve"> </w:t>
      </w:r>
      <w:r w:rsidR="004026C1">
        <w:rPr>
          <w:rFonts w:ascii="Calibri" w:eastAsia="Calibri" w:hAnsi="Calibri" w:cs="Times New Roman"/>
          <w:sz w:val="22"/>
          <w:szCs w:val="22"/>
        </w:rPr>
        <w:t xml:space="preserve">The data would ideally assist </w:t>
      </w:r>
      <w:r w:rsidR="00AA1FFC">
        <w:rPr>
          <w:rFonts w:ascii="Calibri" w:eastAsia="Calibri" w:hAnsi="Calibri" w:cs="Times New Roman"/>
          <w:sz w:val="22"/>
          <w:szCs w:val="22"/>
        </w:rPr>
        <w:t>policy-</w:t>
      </w:r>
      <w:r w:rsidR="0065422A">
        <w:rPr>
          <w:rFonts w:ascii="Calibri" w:eastAsia="Calibri" w:hAnsi="Calibri" w:cs="Times New Roman"/>
          <w:sz w:val="22"/>
          <w:szCs w:val="22"/>
        </w:rPr>
        <w:t xml:space="preserve">makers, </w:t>
      </w:r>
      <w:r w:rsidR="004026C1">
        <w:rPr>
          <w:rFonts w:ascii="Calibri" w:eastAsia="Calibri" w:hAnsi="Calibri" w:cs="Times New Roman"/>
          <w:sz w:val="22"/>
          <w:szCs w:val="22"/>
        </w:rPr>
        <w:t>universities</w:t>
      </w:r>
      <w:r w:rsidR="0065422A" w:rsidRPr="0065422A">
        <w:rPr>
          <w:rFonts w:ascii="Calibri" w:eastAsia="Calibri" w:hAnsi="Calibri" w:cs="Times New Roman"/>
          <w:sz w:val="22"/>
          <w:szCs w:val="22"/>
        </w:rPr>
        <w:t xml:space="preserve">, regulators and employers to drive </w:t>
      </w:r>
      <w:r w:rsidR="0065422A">
        <w:rPr>
          <w:rFonts w:ascii="Calibri" w:eastAsia="Calibri" w:hAnsi="Calibri" w:cs="Times New Roman"/>
          <w:sz w:val="22"/>
          <w:szCs w:val="22"/>
        </w:rPr>
        <w:t xml:space="preserve">effective </w:t>
      </w:r>
      <w:r w:rsidR="0065422A" w:rsidRPr="0065422A">
        <w:rPr>
          <w:rFonts w:ascii="Calibri" w:eastAsia="Calibri" w:hAnsi="Calibri" w:cs="Times New Roman"/>
          <w:sz w:val="22"/>
          <w:szCs w:val="22"/>
        </w:rPr>
        <w:t xml:space="preserve">planning and </w:t>
      </w:r>
      <w:r w:rsidR="004026C1">
        <w:rPr>
          <w:rFonts w:ascii="Calibri" w:eastAsia="Calibri" w:hAnsi="Calibri" w:cs="Times New Roman"/>
          <w:sz w:val="22"/>
          <w:szCs w:val="22"/>
        </w:rPr>
        <w:t xml:space="preserve">enrich </w:t>
      </w:r>
      <w:r w:rsidR="0065422A">
        <w:rPr>
          <w:rFonts w:ascii="Calibri" w:eastAsia="Calibri" w:hAnsi="Calibri" w:cs="Times New Roman"/>
          <w:sz w:val="22"/>
          <w:szCs w:val="22"/>
        </w:rPr>
        <w:t xml:space="preserve">the teacher life cycle. </w:t>
      </w:r>
      <w:r w:rsidR="004026C1">
        <w:rPr>
          <w:rFonts w:ascii="Calibri" w:eastAsia="Calibri" w:hAnsi="Calibri" w:cs="Times New Roman"/>
          <w:sz w:val="22"/>
          <w:szCs w:val="22"/>
        </w:rPr>
        <w:t>However, it is important that</w:t>
      </w:r>
      <w:r w:rsidR="0065422A">
        <w:rPr>
          <w:rFonts w:ascii="Calibri" w:eastAsia="Calibri" w:hAnsi="Calibri" w:cs="Times New Roman"/>
          <w:sz w:val="22"/>
          <w:szCs w:val="22"/>
        </w:rPr>
        <w:t xml:space="preserve"> a nationally consistent measurement and data framework </w:t>
      </w:r>
      <w:r w:rsidR="004026C1">
        <w:rPr>
          <w:rFonts w:ascii="Calibri" w:eastAsia="Calibri" w:hAnsi="Calibri" w:cs="Times New Roman"/>
          <w:sz w:val="22"/>
          <w:szCs w:val="22"/>
        </w:rPr>
        <w:t>considers the</w:t>
      </w:r>
      <w:r w:rsidR="0065422A">
        <w:rPr>
          <w:rFonts w:ascii="Calibri" w:eastAsia="Calibri" w:hAnsi="Calibri" w:cs="Times New Roman"/>
          <w:sz w:val="22"/>
          <w:szCs w:val="22"/>
        </w:rPr>
        <w:t xml:space="preserve"> costs and </w:t>
      </w:r>
      <w:r w:rsidR="0065422A" w:rsidRPr="0065422A">
        <w:rPr>
          <w:rFonts w:ascii="Calibri" w:eastAsia="Calibri" w:hAnsi="Calibri" w:cs="Times New Roman"/>
          <w:sz w:val="22"/>
          <w:szCs w:val="22"/>
        </w:rPr>
        <w:t>benefits of implement</w:t>
      </w:r>
      <w:r w:rsidR="004026C1">
        <w:rPr>
          <w:rFonts w:ascii="Calibri" w:eastAsia="Calibri" w:hAnsi="Calibri" w:cs="Times New Roman"/>
          <w:sz w:val="22"/>
          <w:szCs w:val="22"/>
        </w:rPr>
        <w:t xml:space="preserve">ing such a framework. </w:t>
      </w:r>
    </w:p>
    <w:p w14:paraId="2C53C03B" w14:textId="77777777" w:rsidR="002D35F0" w:rsidRDefault="002D35F0" w:rsidP="0065422A">
      <w:pPr>
        <w:spacing w:before="0" w:after="0" w:line="240" w:lineRule="auto"/>
        <w:rPr>
          <w:rFonts w:ascii="Calibri" w:eastAsia="Calibri" w:hAnsi="Calibri" w:cs="Times New Roman"/>
          <w:i/>
          <w:sz w:val="22"/>
          <w:szCs w:val="22"/>
        </w:rPr>
      </w:pPr>
    </w:p>
    <w:p w14:paraId="2613FC92" w14:textId="67CD2156" w:rsidR="0055386D" w:rsidRDefault="0055386D" w:rsidP="0065422A">
      <w:pPr>
        <w:spacing w:before="0" w:after="0" w:line="240" w:lineRule="auto"/>
        <w:rPr>
          <w:rFonts w:ascii="Calibri" w:eastAsia="Calibri" w:hAnsi="Calibri" w:cs="Times New Roman"/>
          <w:i/>
          <w:sz w:val="22"/>
          <w:szCs w:val="22"/>
        </w:rPr>
      </w:pPr>
      <w:r>
        <w:rPr>
          <w:rFonts w:ascii="Calibri" w:eastAsia="Calibri" w:hAnsi="Calibri" w:cs="Times New Roman"/>
          <w:i/>
          <w:sz w:val="22"/>
          <w:szCs w:val="22"/>
        </w:rPr>
        <w:t>Data governance</w:t>
      </w:r>
    </w:p>
    <w:p w14:paraId="2402710D" w14:textId="1D37309B" w:rsidR="00895812" w:rsidRDefault="0065422A" w:rsidP="00D34884">
      <w:pPr>
        <w:spacing w:before="0" w:after="0" w:line="240" w:lineRule="auto"/>
        <w:rPr>
          <w:rFonts w:ascii="Calibri" w:eastAsia="Calibri" w:hAnsi="Calibri" w:cs="Times New Roman"/>
          <w:sz w:val="22"/>
          <w:szCs w:val="22"/>
        </w:rPr>
      </w:pPr>
      <w:r w:rsidRPr="0075535D">
        <w:rPr>
          <w:rFonts w:ascii="Calibri" w:eastAsia="Calibri" w:hAnsi="Calibri" w:cs="Times New Roman"/>
          <w:sz w:val="22"/>
          <w:szCs w:val="22"/>
        </w:rPr>
        <w:t xml:space="preserve">This also raises the </w:t>
      </w:r>
      <w:r w:rsidR="002D35F0">
        <w:rPr>
          <w:rFonts w:ascii="Calibri" w:eastAsia="Calibri" w:hAnsi="Calibri" w:cs="Times New Roman"/>
          <w:sz w:val="22"/>
          <w:szCs w:val="22"/>
        </w:rPr>
        <w:t>related matter of data governance</w:t>
      </w:r>
      <w:r w:rsidR="00237553">
        <w:rPr>
          <w:rFonts w:ascii="Calibri" w:eastAsia="Calibri" w:hAnsi="Calibri" w:cs="Times New Roman"/>
          <w:sz w:val="22"/>
          <w:szCs w:val="22"/>
        </w:rPr>
        <w:t xml:space="preserve"> and access</w:t>
      </w:r>
      <w:r w:rsidR="002D35F0">
        <w:rPr>
          <w:rFonts w:ascii="Calibri" w:eastAsia="Calibri" w:hAnsi="Calibri" w:cs="Times New Roman"/>
          <w:sz w:val="22"/>
          <w:szCs w:val="22"/>
        </w:rPr>
        <w:t>. The</w:t>
      </w:r>
      <w:r w:rsidRPr="0075535D">
        <w:rPr>
          <w:rFonts w:ascii="Calibri" w:eastAsia="Calibri" w:hAnsi="Calibri" w:cs="Times New Roman"/>
          <w:sz w:val="22"/>
          <w:szCs w:val="22"/>
        </w:rPr>
        <w:t xml:space="preserve"> ownership</w:t>
      </w:r>
      <w:r w:rsidR="002D35F0">
        <w:rPr>
          <w:rFonts w:ascii="Calibri" w:eastAsia="Calibri" w:hAnsi="Calibri" w:cs="Times New Roman"/>
          <w:sz w:val="22"/>
          <w:szCs w:val="22"/>
        </w:rPr>
        <w:t xml:space="preserve"> of data</w:t>
      </w:r>
      <w:r w:rsidRPr="0075535D">
        <w:rPr>
          <w:rFonts w:ascii="Calibri" w:eastAsia="Calibri" w:hAnsi="Calibri" w:cs="Times New Roman"/>
          <w:sz w:val="22"/>
          <w:szCs w:val="22"/>
        </w:rPr>
        <w:t xml:space="preserve">, </w:t>
      </w:r>
      <w:r w:rsidR="002D35F0">
        <w:rPr>
          <w:rFonts w:ascii="Calibri" w:eastAsia="Calibri" w:hAnsi="Calibri" w:cs="Times New Roman"/>
          <w:sz w:val="22"/>
          <w:szCs w:val="22"/>
        </w:rPr>
        <w:t xml:space="preserve">data custodians and </w:t>
      </w:r>
      <w:r w:rsidRPr="0075535D">
        <w:rPr>
          <w:rFonts w:ascii="Calibri" w:eastAsia="Calibri" w:hAnsi="Calibri" w:cs="Times New Roman"/>
          <w:sz w:val="22"/>
          <w:szCs w:val="22"/>
        </w:rPr>
        <w:t>access</w:t>
      </w:r>
      <w:r w:rsidR="002D35F0">
        <w:rPr>
          <w:rFonts w:ascii="Calibri" w:eastAsia="Calibri" w:hAnsi="Calibri" w:cs="Times New Roman"/>
          <w:sz w:val="22"/>
          <w:szCs w:val="22"/>
        </w:rPr>
        <w:t xml:space="preserve"> t</w:t>
      </w:r>
      <w:r w:rsidR="00237553">
        <w:rPr>
          <w:rFonts w:ascii="Calibri" w:eastAsia="Calibri" w:hAnsi="Calibri" w:cs="Times New Roman"/>
          <w:sz w:val="22"/>
          <w:szCs w:val="22"/>
        </w:rPr>
        <w:t>o data are questions that must</w:t>
      </w:r>
      <w:r w:rsidR="002D35F0">
        <w:rPr>
          <w:rFonts w:ascii="Calibri" w:eastAsia="Calibri" w:hAnsi="Calibri" w:cs="Times New Roman"/>
          <w:sz w:val="22"/>
          <w:szCs w:val="22"/>
        </w:rPr>
        <w:t xml:space="preserve"> inform consideration of whether there should be a central holding agency.</w:t>
      </w:r>
      <w:r w:rsidR="002D35F0" w:rsidRPr="002D35F0">
        <w:t xml:space="preserve"> </w:t>
      </w:r>
      <w:r w:rsidR="002D35F0">
        <w:rPr>
          <w:rFonts w:ascii="Calibri" w:eastAsia="Calibri" w:hAnsi="Calibri" w:cs="Times New Roman"/>
          <w:sz w:val="22"/>
          <w:szCs w:val="22"/>
        </w:rPr>
        <w:t>Data governance should strive for simplicity</w:t>
      </w:r>
      <w:r w:rsidR="00143DC9">
        <w:rPr>
          <w:rFonts w:ascii="Calibri" w:eastAsia="Calibri" w:hAnsi="Calibri" w:cs="Times New Roman"/>
          <w:sz w:val="22"/>
          <w:szCs w:val="22"/>
        </w:rPr>
        <w:t xml:space="preserve"> and efficiency</w:t>
      </w:r>
      <w:r w:rsidR="002D35F0">
        <w:rPr>
          <w:rFonts w:ascii="Calibri" w:eastAsia="Calibri" w:hAnsi="Calibri" w:cs="Times New Roman"/>
          <w:sz w:val="22"/>
          <w:szCs w:val="22"/>
        </w:rPr>
        <w:t xml:space="preserve"> wherever possible—without compromising data integrity and institutional accountability—so that it increases connectivity between relevant groups and reduce</w:t>
      </w:r>
      <w:r w:rsidR="0038270A">
        <w:rPr>
          <w:rFonts w:ascii="Calibri" w:eastAsia="Calibri" w:hAnsi="Calibri" w:cs="Times New Roman"/>
          <w:sz w:val="22"/>
          <w:szCs w:val="22"/>
        </w:rPr>
        <w:t>s</w:t>
      </w:r>
      <w:r w:rsidR="002D35F0">
        <w:rPr>
          <w:rFonts w:ascii="Calibri" w:eastAsia="Calibri" w:hAnsi="Calibri" w:cs="Times New Roman"/>
          <w:sz w:val="22"/>
          <w:szCs w:val="22"/>
        </w:rPr>
        <w:t xml:space="preserve"> the duplication of efforts that may come about from a lack of aligned purpose. The more g</w:t>
      </w:r>
      <w:r w:rsidR="002D35F0" w:rsidRPr="002D35F0">
        <w:rPr>
          <w:rFonts w:ascii="Calibri" w:eastAsia="Calibri" w:hAnsi="Calibri" w:cs="Times New Roman"/>
          <w:sz w:val="22"/>
          <w:szCs w:val="22"/>
        </w:rPr>
        <w:t>overnance complexity</w:t>
      </w:r>
      <w:r w:rsidR="002D35F0">
        <w:rPr>
          <w:rFonts w:ascii="Calibri" w:eastAsia="Calibri" w:hAnsi="Calibri" w:cs="Times New Roman"/>
          <w:sz w:val="22"/>
          <w:szCs w:val="22"/>
        </w:rPr>
        <w:t xml:space="preserve"> there is, the less successful the evidence base will be. As the Issues Paper notes, Australia’s current data governance arrangements are generally complex and out of date (p. 32). </w:t>
      </w:r>
      <w:r w:rsidR="00895812">
        <w:rPr>
          <w:rFonts w:ascii="Calibri" w:eastAsia="Calibri" w:hAnsi="Calibri" w:cs="Times New Roman"/>
          <w:sz w:val="22"/>
          <w:szCs w:val="22"/>
        </w:rPr>
        <w:t xml:space="preserve">A precondition for improving and further developing the national education evidence base is streamlining and modernising data governance arrangements. </w:t>
      </w:r>
      <w:r w:rsidR="00237553">
        <w:rPr>
          <w:rFonts w:ascii="Calibri" w:eastAsia="Calibri" w:hAnsi="Calibri" w:cs="Times New Roman"/>
          <w:sz w:val="22"/>
          <w:szCs w:val="22"/>
        </w:rPr>
        <w:t>Given the legitimate privacy concerns discussed earlier in this submission, data governance needs to be robust, transparent and participatory. With respect to participation, this criterion could be met by the creation of a governing boa</w:t>
      </w:r>
      <w:r w:rsidR="00D75BA3">
        <w:rPr>
          <w:rFonts w:ascii="Calibri" w:eastAsia="Calibri" w:hAnsi="Calibri" w:cs="Times New Roman"/>
          <w:sz w:val="22"/>
          <w:szCs w:val="22"/>
        </w:rPr>
        <w:t>rd that is representative of all education</w:t>
      </w:r>
      <w:r w:rsidR="00237553">
        <w:rPr>
          <w:rFonts w:ascii="Calibri" w:eastAsia="Calibri" w:hAnsi="Calibri" w:cs="Times New Roman"/>
          <w:sz w:val="22"/>
          <w:szCs w:val="22"/>
        </w:rPr>
        <w:t xml:space="preserve"> stakeholders and is responsible to the COAG Education Council</w:t>
      </w:r>
      <w:r w:rsidR="008544CC">
        <w:rPr>
          <w:rFonts w:ascii="Calibri" w:eastAsia="Calibri" w:hAnsi="Calibri" w:cs="Times New Roman"/>
          <w:sz w:val="22"/>
          <w:szCs w:val="22"/>
        </w:rPr>
        <w:t>.</w:t>
      </w:r>
    </w:p>
    <w:p w14:paraId="0CB7BC7E" w14:textId="77777777" w:rsidR="00895812" w:rsidRDefault="00895812" w:rsidP="00D34884">
      <w:pPr>
        <w:spacing w:before="0" w:after="0" w:line="240" w:lineRule="auto"/>
        <w:rPr>
          <w:rFonts w:ascii="Calibri" w:eastAsia="Calibri" w:hAnsi="Calibri" w:cs="Times New Roman"/>
          <w:sz w:val="22"/>
          <w:szCs w:val="22"/>
        </w:rPr>
      </w:pPr>
    </w:p>
    <w:p w14:paraId="4384D834" w14:textId="5A67154F" w:rsidR="0055386D" w:rsidRPr="0055386D" w:rsidRDefault="0055386D" w:rsidP="00D34884">
      <w:pPr>
        <w:spacing w:before="0" w:after="0" w:line="240" w:lineRule="auto"/>
        <w:rPr>
          <w:rFonts w:ascii="Calibri" w:eastAsia="Calibri" w:hAnsi="Calibri" w:cs="Times New Roman"/>
          <w:i/>
          <w:sz w:val="22"/>
          <w:szCs w:val="22"/>
        </w:rPr>
      </w:pPr>
      <w:r>
        <w:rPr>
          <w:rFonts w:ascii="Calibri" w:eastAsia="Calibri" w:hAnsi="Calibri" w:cs="Times New Roman"/>
          <w:i/>
          <w:sz w:val="22"/>
          <w:szCs w:val="22"/>
        </w:rPr>
        <w:t>Insights from overseas</w:t>
      </w:r>
    </w:p>
    <w:p w14:paraId="2AFA71CA" w14:textId="3556E25F" w:rsidR="00073787" w:rsidRDefault="00D34884" w:rsidP="00143DC9">
      <w:pPr>
        <w:spacing w:before="0" w:after="0" w:line="240" w:lineRule="auto"/>
        <w:rPr>
          <w:rFonts w:ascii="Calibri" w:eastAsia="Calibri" w:hAnsi="Calibri" w:cs="Times New Roman"/>
          <w:sz w:val="22"/>
          <w:szCs w:val="22"/>
        </w:rPr>
      </w:pPr>
      <w:r>
        <w:rPr>
          <w:rFonts w:ascii="Calibri" w:eastAsia="Calibri" w:hAnsi="Calibri" w:cs="Times New Roman"/>
          <w:sz w:val="22"/>
          <w:szCs w:val="22"/>
        </w:rPr>
        <w:t xml:space="preserve">There is an opportunity to gather </w:t>
      </w:r>
      <w:r w:rsidR="00B70F52">
        <w:rPr>
          <w:rFonts w:ascii="Calibri" w:eastAsia="Calibri" w:hAnsi="Calibri" w:cs="Times New Roman"/>
          <w:sz w:val="22"/>
          <w:szCs w:val="22"/>
        </w:rPr>
        <w:t xml:space="preserve">relevant </w:t>
      </w:r>
      <w:r>
        <w:rPr>
          <w:rFonts w:ascii="Calibri" w:eastAsia="Calibri" w:hAnsi="Calibri" w:cs="Times New Roman"/>
          <w:sz w:val="22"/>
          <w:szCs w:val="22"/>
        </w:rPr>
        <w:t>insights from the experiences of other governments in this area.</w:t>
      </w:r>
      <w:r w:rsidR="008F31BE">
        <w:rPr>
          <w:rFonts w:ascii="Calibri" w:eastAsia="Calibri" w:hAnsi="Calibri" w:cs="Times New Roman"/>
          <w:sz w:val="22"/>
          <w:szCs w:val="22"/>
        </w:rPr>
        <w:t xml:space="preserve"> </w:t>
      </w:r>
      <w:r>
        <w:rPr>
          <w:rFonts w:ascii="Calibri" w:eastAsia="Calibri" w:hAnsi="Calibri" w:cs="Times New Roman"/>
          <w:sz w:val="22"/>
          <w:szCs w:val="22"/>
        </w:rPr>
        <w:t>For example, t</w:t>
      </w:r>
      <w:r w:rsidRPr="00D34884">
        <w:rPr>
          <w:rFonts w:ascii="Calibri" w:eastAsia="Calibri" w:hAnsi="Calibri" w:cs="Times New Roman"/>
          <w:sz w:val="22"/>
          <w:szCs w:val="22"/>
        </w:rPr>
        <w:t>he Abu Dhabi</w:t>
      </w:r>
      <w:r>
        <w:rPr>
          <w:rFonts w:ascii="Calibri" w:eastAsia="Calibri" w:hAnsi="Calibri" w:cs="Times New Roman"/>
          <w:sz w:val="22"/>
          <w:szCs w:val="22"/>
        </w:rPr>
        <w:t xml:space="preserve"> Systems and Information Centre </w:t>
      </w:r>
      <w:r w:rsidRPr="00D34884">
        <w:rPr>
          <w:rFonts w:ascii="Calibri" w:eastAsia="Calibri" w:hAnsi="Calibri" w:cs="Times New Roman"/>
          <w:sz w:val="22"/>
          <w:szCs w:val="22"/>
        </w:rPr>
        <w:t xml:space="preserve">is </w:t>
      </w:r>
      <w:r w:rsidR="00636E7B">
        <w:rPr>
          <w:rFonts w:ascii="Calibri" w:eastAsia="Calibri" w:hAnsi="Calibri" w:cs="Times New Roman"/>
          <w:sz w:val="22"/>
          <w:szCs w:val="22"/>
        </w:rPr>
        <w:t>responsible</w:t>
      </w:r>
      <w:r>
        <w:rPr>
          <w:rFonts w:ascii="Calibri" w:eastAsia="Calibri" w:hAnsi="Calibri" w:cs="Times New Roman"/>
          <w:sz w:val="22"/>
          <w:szCs w:val="22"/>
        </w:rPr>
        <w:t xml:space="preserve"> for the IT </w:t>
      </w:r>
      <w:r w:rsidRPr="00D34884">
        <w:rPr>
          <w:rFonts w:ascii="Calibri" w:eastAsia="Calibri" w:hAnsi="Calibri" w:cs="Times New Roman"/>
          <w:sz w:val="22"/>
          <w:szCs w:val="22"/>
        </w:rPr>
        <w:t>and transformat</w:t>
      </w:r>
      <w:r>
        <w:rPr>
          <w:rFonts w:ascii="Calibri" w:eastAsia="Calibri" w:hAnsi="Calibri" w:cs="Times New Roman"/>
          <w:sz w:val="22"/>
          <w:szCs w:val="22"/>
        </w:rPr>
        <w:t xml:space="preserve">ion agenda within the Abu Dhabi </w:t>
      </w:r>
      <w:r w:rsidRPr="00D34884">
        <w:rPr>
          <w:rFonts w:ascii="Calibri" w:eastAsia="Calibri" w:hAnsi="Calibri" w:cs="Times New Roman"/>
          <w:sz w:val="22"/>
          <w:szCs w:val="22"/>
        </w:rPr>
        <w:t>Government</w:t>
      </w:r>
      <w:r>
        <w:rPr>
          <w:rFonts w:ascii="Calibri" w:eastAsia="Calibri" w:hAnsi="Calibri" w:cs="Times New Roman"/>
          <w:sz w:val="22"/>
          <w:szCs w:val="22"/>
        </w:rPr>
        <w:t>.</w:t>
      </w:r>
      <w:r>
        <w:rPr>
          <w:rStyle w:val="FootnoteReference"/>
          <w:rFonts w:ascii="Calibri" w:eastAsia="Calibri" w:hAnsi="Calibri" w:cs="Times New Roman"/>
          <w:sz w:val="22"/>
          <w:szCs w:val="22"/>
        </w:rPr>
        <w:footnoteReference w:id="3"/>
      </w:r>
      <w:r w:rsidRPr="00D34884">
        <w:t xml:space="preserve"> </w:t>
      </w:r>
      <w:r w:rsidR="00B70F52" w:rsidRPr="00D34884">
        <w:rPr>
          <w:rFonts w:ascii="Calibri" w:eastAsia="Calibri" w:hAnsi="Calibri" w:cs="Times New Roman"/>
          <w:sz w:val="22"/>
          <w:szCs w:val="22"/>
        </w:rPr>
        <w:t>This</w:t>
      </w:r>
      <w:r w:rsidR="00636E7B">
        <w:rPr>
          <w:rFonts w:ascii="Calibri" w:eastAsia="Calibri" w:hAnsi="Calibri" w:cs="Times New Roman"/>
          <w:sz w:val="22"/>
          <w:szCs w:val="22"/>
        </w:rPr>
        <w:t xml:space="preserve"> initiative</w:t>
      </w:r>
      <w:r w:rsidR="00AA1FFC">
        <w:rPr>
          <w:rFonts w:ascii="Calibri" w:eastAsia="Calibri" w:hAnsi="Calibri" w:cs="Times New Roman"/>
          <w:sz w:val="22"/>
          <w:szCs w:val="22"/>
        </w:rPr>
        <w:t xml:space="preserve"> spans more than 50</w:t>
      </w:r>
      <w:r w:rsidR="00B70F52">
        <w:rPr>
          <w:rFonts w:ascii="Calibri" w:eastAsia="Calibri" w:hAnsi="Calibri" w:cs="Times New Roman"/>
          <w:sz w:val="22"/>
          <w:szCs w:val="22"/>
        </w:rPr>
        <w:t xml:space="preserve"> Abu Dhabi Government Entities. </w:t>
      </w:r>
      <w:r w:rsidRPr="00D34884">
        <w:rPr>
          <w:rFonts w:ascii="Calibri" w:eastAsia="Calibri" w:hAnsi="Calibri" w:cs="Times New Roman"/>
          <w:sz w:val="22"/>
          <w:szCs w:val="22"/>
        </w:rPr>
        <w:t>A key aspect of the</w:t>
      </w:r>
      <w:r>
        <w:rPr>
          <w:rFonts w:ascii="Calibri" w:eastAsia="Calibri" w:hAnsi="Calibri" w:cs="Times New Roman"/>
          <w:sz w:val="22"/>
          <w:szCs w:val="22"/>
        </w:rPr>
        <w:t xml:space="preserve"> strategy is the multi-year Abu </w:t>
      </w:r>
      <w:r w:rsidRPr="00D34884">
        <w:rPr>
          <w:rFonts w:ascii="Calibri" w:eastAsia="Calibri" w:hAnsi="Calibri" w:cs="Times New Roman"/>
          <w:sz w:val="22"/>
          <w:szCs w:val="22"/>
        </w:rPr>
        <w:t>Dhabi Govern</w:t>
      </w:r>
      <w:r w:rsidR="004621F1">
        <w:rPr>
          <w:rFonts w:ascii="Calibri" w:eastAsia="Calibri" w:hAnsi="Calibri" w:cs="Times New Roman"/>
          <w:sz w:val="22"/>
          <w:szCs w:val="22"/>
        </w:rPr>
        <w:t>ment Data Management Programme and its Data Management Standards.</w:t>
      </w:r>
      <w:r w:rsidR="004621F1">
        <w:rPr>
          <w:rStyle w:val="FootnoteReference"/>
          <w:rFonts w:ascii="Calibri" w:eastAsia="Calibri" w:hAnsi="Calibri" w:cs="Times New Roman"/>
          <w:sz w:val="22"/>
          <w:szCs w:val="22"/>
        </w:rPr>
        <w:footnoteReference w:id="4"/>
      </w:r>
      <w:r w:rsidR="004621F1">
        <w:rPr>
          <w:rFonts w:ascii="Calibri" w:eastAsia="Calibri" w:hAnsi="Calibri" w:cs="Times New Roman"/>
          <w:sz w:val="22"/>
          <w:szCs w:val="22"/>
        </w:rPr>
        <w:t xml:space="preserve"> </w:t>
      </w:r>
      <w:r w:rsidR="00636E7B">
        <w:rPr>
          <w:rFonts w:ascii="Calibri" w:eastAsia="Calibri" w:hAnsi="Calibri" w:cs="Times New Roman"/>
          <w:sz w:val="22"/>
          <w:szCs w:val="22"/>
        </w:rPr>
        <w:t>However, any</w:t>
      </w:r>
      <w:r w:rsidR="00B70F52">
        <w:rPr>
          <w:rFonts w:ascii="Calibri" w:eastAsia="Calibri" w:hAnsi="Calibri" w:cs="Times New Roman"/>
          <w:sz w:val="22"/>
          <w:szCs w:val="22"/>
        </w:rPr>
        <w:t xml:space="preserve"> insights</w:t>
      </w:r>
      <w:r w:rsidR="00636E7B">
        <w:rPr>
          <w:rFonts w:ascii="Calibri" w:eastAsia="Calibri" w:hAnsi="Calibri" w:cs="Times New Roman"/>
          <w:sz w:val="22"/>
          <w:szCs w:val="22"/>
        </w:rPr>
        <w:t xml:space="preserve"> one might glean</w:t>
      </w:r>
      <w:r w:rsidR="00B70F52">
        <w:rPr>
          <w:rFonts w:ascii="Calibri" w:eastAsia="Calibri" w:hAnsi="Calibri" w:cs="Times New Roman"/>
          <w:sz w:val="22"/>
          <w:szCs w:val="22"/>
        </w:rPr>
        <w:t xml:space="preserve"> would need to be adap</w:t>
      </w:r>
      <w:r w:rsidR="008F7229">
        <w:rPr>
          <w:rFonts w:ascii="Calibri" w:eastAsia="Calibri" w:hAnsi="Calibri" w:cs="Times New Roman"/>
          <w:sz w:val="22"/>
          <w:szCs w:val="22"/>
        </w:rPr>
        <w:t>table to the Australian context.</w:t>
      </w:r>
      <w:r w:rsidR="00073787">
        <w:rPr>
          <w:rFonts w:ascii="Calibri" w:eastAsia="Calibri" w:hAnsi="Calibri" w:cs="Times New Roman"/>
          <w:sz w:val="22"/>
          <w:szCs w:val="22"/>
        </w:rPr>
        <w:t xml:space="preserve"> </w:t>
      </w:r>
    </w:p>
    <w:p w14:paraId="50755A64" w14:textId="77777777" w:rsidR="00073787" w:rsidRDefault="00073787" w:rsidP="00143DC9">
      <w:pPr>
        <w:spacing w:before="0" w:after="0" w:line="240" w:lineRule="auto"/>
        <w:rPr>
          <w:rFonts w:ascii="Calibri" w:eastAsia="Calibri" w:hAnsi="Calibri" w:cs="Times New Roman"/>
          <w:sz w:val="22"/>
          <w:szCs w:val="22"/>
        </w:rPr>
      </w:pPr>
    </w:p>
    <w:p w14:paraId="2794B31F" w14:textId="0CEB3B64" w:rsidR="00EB764D" w:rsidRPr="00073787" w:rsidRDefault="00B42A54" w:rsidP="00143DC9">
      <w:pPr>
        <w:spacing w:before="0" w:after="0" w:line="240" w:lineRule="auto"/>
        <w:rPr>
          <w:rFonts w:ascii="Calibri" w:eastAsia="Calibri" w:hAnsi="Calibri" w:cs="Times New Roman"/>
          <w:sz w:val="22"/>
          <w:szCs w:val="22"/>
        </w:rPr>
      </w:pPr>
      <w:r>
        <w:rPr>
          <w:rFonts w:ascii="Calibri" w:eastAsia="Calibri" w:hAnsi="Calibri" w:cs="Times New Roman"/>
          <w:sz w:val="22"/>
          <w:szCs w:val="22"/>
        </w:rPr>
        <w:t>Other</w:t>
      </w:r>
      <w:r w:rsidR="00D34884">
        <w:rPr>
          <w:rFonts w:ascii="Calibri" w:eastAsia="Calibri" w:hAnsi="Calibri" w:cs="Times New Roman"/>
          <w:sz w:val="22"/>
          <w:szCs w:val="22"/>
        </w:rPr>
        <w:t xml:space="preserve"> examples </w:t>
      </w:r>
      <w:r w:rsidR="009A7454">
        <w:rPr>
          <w:rFonts w:ascii="Calibri" w:eastAsia="Calibri" w:hAnsi="Calibri" w:cs="Times New Roman"/>
          <w:sz w:val="22"/>
          <w:szCs w:val="22"/>
        </w:rPr>
        <w:t>of how overseas governments use data</w:t>
      </w:r>
      <w:r>
        <w:rPr>
          <w:rFonts w:ascii="Calibri" w:eastAsia="Calibri" w:hAnsi="Calibri" w:cs="Times New Roman"/>
          <w:sz w:val="22"/>
          <w:szCs w:val="22"/>
        </w:rPr>
        <w:t xml:space="preserve"> to improve outcomes </w:t>
      </w:r>
      <w:r w:rsidR="00580A94">
        <w:rPr>
          <w:rFonts w:ascii="Calibri" w:eastAsia="Calibri" w:hAnsi="Calibri" w:cs="Times New Roman"/>
          <w:sz w:val="22"/>
          <w:szCs w:val="22"/>
        </w:rPr>
        <w:t>include:</w:t>
      </w:r>
    </w:p>
    <w:p w14:paraId="4A7F2182" w14:textId="77777777" w:rsidR="00580A94" w:rsidRDefault="00966539" w:rsidP="00580A94">
      <w:pPr>
        <w:pStyle w:val="ListParagraph"/>
        <w:numPr>
          <w:ilvl w:val="0"/>
          <w:numId w:val="37"/>
        </w:numPr>
        <w:spacing w:after="0" w:line="240" w:lineRule="auto"/>
        <w:rPr>
          <w:rFonts w:ascii="Calibri" w:eastAsia="Calibri" w:hAnsi="Calibri" w:cs="Times New Roman"/>
        </w:rPr>
      </w:pPr>
      <w:r>
        <w:rPr>
          <w:rFonts w:ascii="Calibri" w:eastAsia="Calibri" w:hAnsi="Calibri" w:cs="Times New Roman"/>
        </w:rPr>
        <w:t>t</w:t>
      </w:r>
      <w:r w:rsidR="00580A94">
        <w:rPr>
          <w:rFonts w:ascii="Calibri" w:eastAsia="Calibri" w:hAnsi="Calibri" w:cs="Times New Roman"/>
        </w:rPr>
        <w:t>he National Information Infrastructure Project in the UK</w:t>
      </w:r>
      <w:r w:rsidR="00580A94">
        <w:rPr>
          <w:rStyle w:val="FootnoteReference"/>
          <w:rFonts w:ascii="Calibri" w:eastAsia="Calibri" w:hAnsi="Calibri" w:cs="Times New Roman"/>
        </w:rPr>
        <w:footnoteReference w:id="5"/>
      </w:r>
    </w:p>
    <w:p w14:paraId="0A355B96" w14:textId="77777777" w:rsidR="00580A94" w:rsidRDefault="00966539" w:rsidP="00580A94">
      <w:pPr>
        <w:pStyle w:val="ListParagraph"/>
        <w:numPr>
          <w:ilvl w:val="0"/>
          <w:numId w:val="37"/>
        </w:numPr>
        <w:spacing w:after="0" w:line="240" w:lineRule="auto"/>
        <w:rPr>
          <w:rFonts w:ascii="Calibri" w:eastAsia="Calibri" w:hAnsi="Calibri" w:cs="Times New Roman"/>
        </w:rPr>
      </w:pPr>
      <w:r>
        <w:rPr>
          <w:rFonts w:ascii="Calibri" w:eastAsia="Calibri" w:hAnsi="Calibri" w:cs="Times New Roman"/>
        </w:rPr>
        <w:t>t</w:t>
      </w:r>
      <w:r w:rsidR="00580A94">
        <w:rPr>
          <w:rFonts w:ascii="Calibri" w:eastAsia="Calibri" w:hAnsi="Calibri" w:cs="Times New Roman"/>
        </w:rPr>
        <w:t xml:space="preserve">he </w:t>
      </w:r>
      <w:r w:rsidR="002D35F0" w:rsidRPr="00580A94">
        <w:rPr>
          <w:rFonts w:ascii="Calibri" w:eastAsia="Calibri" w:hAnsi="Calibri" w:cs="Times New Roman"/>
        </w:rPr>
        <w:t>Education Data Initiative</w:t>
      </w:r>
      <w:r w:rsidR="00580A94">
        <w:rPr>
          <w:rFonts w:ascii="Calibri" w:eastAsia="Calibri" w:hAnsi="Calibri" w:cs="Times New Roman"/>
        </w:rPr>
        <w:t xml:space="preserve"> in the US</w:t>
      </w:r>
      <w:r w:rsidR="00580A94">
        <w:rPr>
          <w:rStyle w:val="FootnoteReference"/>
          <w:rFonts w:ascii="Calibri" w:eastAsia="Calibri" w:hAnsi="Calibri" w:cs="Times New Roman"/>
        </w:rPr>
        <w:footnoteReference w:id="6"/>
      </w:r>
    </w:p>
    <w:p w14:paraId="3C07376C" w14:textId="77777777" w:rsidR="00FD43BE" w:rsidRDefault="00580A94" w:rsidP="002D35F0">
      <w:pPr>
        <w:pStyle w:val="ListParagraph"/>
        <w:numPr>
          <w:ilvl w:val="0"/>
          <w:numId w:val="37"/>
        </w:numPr>
        <w:spacing w:after="0" w:line="240" w:lineRule="auto"/>
        <w:rPr>
          <w:rFonts w:ascii="Calibri" w:eastAsia="Calibri" w:hAnsi="Calibri" w:cs="Times New Roman"/>
        </w:rPr>
      </w:pPr>
      <w:r>
        <w:rPr>
          <w:rFonts w:ascii="Calibri" w:eastAsia="Calibri" w:hAnsi="Calibri" w:cs="Times New Roman"/>
        </w:rPr>
        <w:t>Research Data Canada.</w:t>
      </w:r>
      <w:r>
        <w:rPr>
          <w:rStyle w:val="FootnoteReference"/>
          <w:rFonts w:ascii="Calibri" w:eastAsia="Calibri" w:hAnsi="Calibri" w:cs="Times New Roman"/>
        </w:rPr>
        <w:footnoteReference w:id="7"/>
      </w:r>
    </w:p>
    <w:p w14:paraId="68372BB5" w14:textId="77777777" w:rsidR="00EB764D" w:rsidRDefault="00EB764D" w:rsidP="00636E7B">
      <w:pPr>
        <w:spacing w:before="0" w:after="0" w:line="240" w:lineRule="auto"/>
        <w:rPr>
          <w:rFonts w:ascii="Calibri" w:eastAsia="Calibri" w:hAnsi="Calibri" w:cs="Times New Roman"/>
        </w:rPr>
      </w:pPr>
    </w:p>
    <w:p w14:paraId="3FA97069" w14:textId="77777777" w:rsidR="0055386D" w:rsidRDefault="0055386D" w:rsidP="00636E7B">
      <w:pPr>
        <w:spacing w:before="0" w:after="0" w:line="240" w:lineRule="auto"/>
        <w:rPr>
          <w:rFonts w:ascii="Calibri" w:eastAsia="Calibri" w:hAnsi="Calibri" w:cs="Times New Roman"/>
        </w:rPr>
      </w:pPr>
    </w:p>
    <w:p w14:paraId="4433E7AF" w14:textId="0EA58C67" w:rsidR="0071322E" w:rsidRPr="003A4A44" w:rsidRDefault="0071322E" w:rsidP="0071322E">
      <w:pPr>
        <w:spacing w:after="0" w:line="240" w:lineRule="auto"/>
        <w:rPr>
          <w:rFonts w:ascii="Calibri" w:eastAsia="Calibri" w:hAnsi="Calibri" w:cs="Times New Roman"/>
          <w:b/>
          <w:sz w:val="22"/>
          <w:szCs w:val="22"/>
        </w:rPr>
      </w:pPr>
      <w:r w:rsidRPr="003A4A44">
        <w:rPr>
          <w:rFonts w:ascii="Calibri" w:eastAsia="Calibri" w:hAnsi="Calibri" w:cs="Times New Roman"/>
          <w:b/>
          <w:sz w:val="22"/>
          <w:szCs w:val="22"/>
        </w:rPr>
        <w:lastRenderedPageBreak/>
        <w:t>Conclusions</w:t>
      </w:r>
    </w:p>
    <w:p w14:paraId="164BFD84" w14:textId="3C3D62A0" w:rsidR="00636E7B" w:rsidRDefault="00636E7B" w:rsidP="00636E7B">
      <w:pPr>
        <w:spacing w:before="0" w:after="0" w:line="240" w:lineRule="auto"/>
        <w:rPr>
          <w:rFonts w:ascii="Calibri" w:eastAsia="Calibri" w:hAnsi="Calibri" w:cs="Times New Roman"/>
          <w:sz w:val="22"/>
          <w:szCs w:val="22"/>
        </w:rPr>
      </w:pPr>
      <w:r w:rsidRPr="00BD65ED">
        <w:rPr>
          <w:rFonts w:ascii="Calibri" w:eastAsia="Calibri" w:hAnsi="Calibri" w:cs="Times New Roman"/>
          <w:sz w:val="22"/>
          <w:szCs w:val="22"/>
        </w:rPr>
        <w:t xml:space="preserve">The </w:t>
      </w:r>
      <w:r>
        <w:rPr>
          <w:rFonts w:ascii="Calibri" w:eastAsia="Calibri" w:hAnsi="Calibri" w:cs="Times New Roman"/>
          <w:sz w:val="22"/>
          <w:szCs w:val="22"/>
        </w:rPr>
        <w:t>NCEC submission has outlined its support for</w:t>
      </w:r>
      <w:r w:rsidRPr="00D23EE0">
        <w:rPr>
          <w:rFonts w:ascii="Calibri" w:eastAsia="Calibri" w:hAnsi="Calibri" w:cs="Times New Roman"/>
          <w:sz w:val="22"/>
          <w:szCs w:val="22"/>
        </w:rPr>
        <w:t xml:space="preserve"> a meaningful national education evidence base that is of the highest quality</w:t>
      </w:r>
      <w:r>
        <w:rPr>
          <w:rFonts w:ascii="Calibri" w:eastAsia="Calibri" w:hAnsi="Calibri" w:cs="Times New Roman"/>
          <w:sz w:val="22"/>
          <w:szCs w:val="22"/>
        </w:rPr>
        <w:t>.</w:t>
      </w:r>
      <w:r w:rsidRPr="00D23EE0">
        <w:rPr>
          <w:rFonts w:ascii="Calibri" w:eastAsia="Calibri" w:hAnsi="Calibri" w:cs="Times New Roman"/>
          <w:sz w:val="22"/>
          <w:szCs w:val="22"/>
        </w:rPr>
        <w:t xml:space="preserve"> </w:t>
      </w:r>
      <w:r>
        <w:rPr>
          <w:rFonts w:ascii="Calibri" w:eastAsia="Calibri" w:hAnsi="Calibri" w:cs="Times New Roman"/>
          <w:sz w:val="22"/>
          <w:szCs w:val="22"/>
        </w:rPr>
        <w:t xml:space="preserve">This evidence base should underpin </w:t>
      </w:r>
      <w:r w:rsidRPr="00D23EE0">
        <w:rPr>
          <w:rFonts w:ascii="Calibri" w:eastAsia="Calibri" w:hAnsi="Calibri" w:cs="Times New Roman"/>
          <w:sz w:val="22"/>
          <w:szCs w:val="22"/>
        </w:rPr>
        <w:t xml:space="preserve">public policy </w:t>
      </w:r>
      <w:r>
        <w:rPr>
          <w:rFonts w:ascii="Calibri" w:eastAsia="Calibri" w:hAnsi="Calibri" w:cs="Times New Roman"/>
          <w:sz w:val="22"/>
          <w:szCs w:val="22"/>
        </w:rPr>
        <w:t>development and decision-making in education</w:t>
      </w:r>
      <w:r w:rsidR="00D16AFD">
        <w:rPr>
          <w:rFonts w:ascii="Calibri" w:eastAsia="Calibri" w:hAnsi="Calibri" w:cs="Times New Roman"/>
          <w:sz w:val="22"/>
          <w:szCs w:val="22"/>
        </w:rPr>
        <w:t>; it should not serve as a basis for imposing further levels of accountability on schools or become an exercise in data for data’s sake</w:t>
      </w:r>
      <w:r>
        <w:rPr>
          <w:rFonts w:ascii="Calibri" w:eastAsia="Calibri" w:hAnsi="Calibri" w:cs="Times New Roman"/>
          <w:sz w:val="22"/>
          <w:szCs w:val="22"/>
        </w:rPr>
        <w:t>.</w:t>
      </w:r>
      <w:r w:rsidR="006F504C">
        <w:rPr>
          <w:rFonts w:ascii="Calibri" w:eastAsia="Calibri" w:hAnsi="Calibri" w:cs="Times New Roman"/>
          <w:sz w:val="22"/>
          <w:szCs w:val="22"/>
        </w:rPr>
        <w:t xml:space="preserve"> NCEC recommends that the evidence base</w:t>
      </w:r>
      <w:r w:rsidR="00BF3DDC">
        <w:rPr>
          <w:rFonts w:ascii="Calibri" w:eastAsia="Calibri" w:hAnsi="Calibri" w:cs="Times New Roman"/>
          <w:sz w:val="22"/>
          <w:szCs w:val="22"/>
        </w:rPr>
        <w:t>:</w:t>
      </w:r>
    </w:p>
    <w:p w14:paraId="26364150" w14:textId="4731F10C" w:rsidR="00B32397" w:rsidRPr="00D16AFD" w:rsidRDefault="00B32397" w:rsidP="001B6743">
      <w:pPr>
        <w:pStyle w:val="ListParagraph"/>
        <w:numPr>
          <w:ilvl w:val="0"/>
          <w:numId w:val="39"/>
        </w:numPr>
        <w:spacing w:after="0" w:line="240" w:lineRule="auto"/>
        <w:ind w:left="357" w:hanging="357"/>
        <w:rPr>
          <w:rFonts w:ascii="Calibri" w:eastAsia="Calibri" w:hAnsi="Calibri" w:cs="Times New Roman"/>
        </w:rPr>
      </w:pPr>
      <w:r>
        <w:rPr>
          <w:rFonts w:ascii="Calibri" w:eastAsia="Calibri" w:hAnsi="Calibri" w:cs="Times New Roman"/>
        </w:rPr>
        <w:t>references</w:t>
      </w:r>
      <w:r w:rsidRPr="00B32397">
        <w:rPr>
          <w:rFonts w:ascii="Calibri" w:eastAsia="Calibri" w:hAnsi="Calibri" w:cs="Times New Roman"/>
        </w:rPr>
        <w:t xml:space="preserve"> strategic objectives and an overarching purpose</w:t>
      </w:r>
      <w:r w:rsidR="00D16AFD">
        <w:rPr>
          <w:rFonts w:ascii="Calibri" w:eastAsia="Calibri" w:hAnsi="Calibri" w:cs="Times New Roman"/>
        </w:rPr>
        <w:t xml:space="preserve">, </w:t>
      </w:r>
      <w:r w:rsidR="00BF3DDC" w:rsidRPr="00D16AFD">
        <w:rPr>
          <w:rFonts w:ascii="Calibri" w:eastAsia="Calibri" w:hAnsi="Calibri" w:cs="Times New Roman"/>
        </w:rPr>
        <w:t>draw</w:t>
      </w:r>
      <w:r w:rsidR="00D16AFD">
        <w:rPr>
          <w:rFonts w:ascii="Calibri" w:eastAsia="Calibri" w:hAnsi="Calibri" w:cs="Times New Roman"/>
        </w:rPr>
        <w:t>ing</w:t>
      </w:r>
      <w:r w:rsidR="00BF3DDC" w:rsidRPr="00D16AFD">
        <w:rPr>
          <w:rFonts w:ascii="Calibri" w:eastAsia="Calibri" w:hAnsi="Calibri" w:cs="Times New Roman"/>
        </w:rPr>
        <w:t xml:space="preserve"> on robust quantitative and qualitative research to meaningfully inform policy development and decision-making;</w:t>
      </w:r>
    </w:p>
    <w:p w14:paraId="7B5A4EF1" w14:textId="04D10399" w:rsidR="00C237BB" w:rsidRDefault="00B32397" w:rsidP="001B6743">
      <w:pPr>
        <w:pStyle w:val="ListParagraph"/>
        <w:numPr>
          <w:ilvl w:val="0"/>
          <w:numId w:val="39"/>
        </w:numPr>
        <w:spacing w:after="0" w:line="240" w:lineRule="auto"/>
        <w:ind w:left="357" w:hanging="357"/>
        <w:rPr>
          <w:rFonts w:ascii="Calibri" w:eastAsia="Calibri" w:hAnsi="Calibri" w:cs="Times New Roman"/>
        </w:rPr>
      </w:pPr>
      <w:r>
        <w:rPr>
          <w:rFonts w:ascii="Calibri" w:eastAsia="Calibri" w:hAnsi="Calibri" w:cs="Times New Roman"/>
        </w:rPr>
        <w:t>overcomes</w:t>
      </w:r>
      <w:r w:rsidRPr="00B32397">
        <w:rPr>
          <w:rFonts w:ascii="Calibri" w:eastAsia="Calibri" w:hAnsi="Calibri" w:cs="Times New Roman"/>
        </w:rPr>
        <w:t xml:space="preserve"> barriers to </w:t>
      </w:r>
      <w:r>
        <w:rPr>
          <w:rFonts w:ascii="Calibri" w:eastAsia="Calibri" w:hAnsi="Calibri" w:cs="Times New Roman"/>
        </w:rPr>
        <w:t>data</w:t>
      </w:r>
      <w:r w:rsidR="001B6743">
        <w:rPr>
          <w:rFonts w:ascii="Calibri" w:eastAsia="Calibri" w:hAnsi="Calibri" w:cs="Times New Roman"/>
        </w:rPr>
        <w:t xml:space="preserve"> linkage, </w:t>
      </w:r>
      <w:r w:rsidR="00D16AFD">
        <w:rPr>
          <w:rFonts w:ascii="Calibri" w:eastAsia="Calibri" w:hAnsi="Calibri" w:cs="Times New Roman"/>
        </w:rPr>
        <w:t>particularly privacy obligations</w:t>
      </w:r>
      <w:r w:rsidR="001B6743">
        <w:rPr>
          <w:rFonts w:ascii="Calibri" w:eastAsia="Calibri" w:hAnsi="Calibri" w:cs="Times New Roman"/>
        </w:rPr>
        <w:t xml:space="preserve">, </w:t>
      </w:r>
      <w:r>
        <w:rPr>
          <w:rFonts w:ascii="Calibri" w:eastAsia="Calibri" w:hAnsi="Calibri" w:cs="Times New Roman"/>
        </w:rPr>
        <w:t>which can enable</w:t>
      </w:r>
      <w:r w:rsidRPr="00B32397">
        <w:rPr>
          <w:rFonts w:ascii="Calibri" w:eastAsia="Calibri" w:hAnsi="Calibri" w:cs="Times New Roman"/>
        </w:rPr>
        <w:t xml:space="preserve"> strong correlational research</w:t>
      </w:r>
      <w:r w:rsidR="00D16AFD">
        <w:rPr>
          <w:rFonts w:ascii="Calibri" w:eastAsia="Calibri" w:hAnsi="Calibri" w:cs="Times New Roman"/>
        </w:rPr>
        <w:t xml:space="preserve"> and lead to powerful insight</w:t>
      </w:r>
      <w:r w:rsidR="00930F33">
        <w:rPr>
          <w:rFonts w:ascii="Calibri" w:eastAsia="Calibri" w:hAnsi="Calibri" w:cs="Times New Roman"/>
        </w:rPr>
        <w:t>s—this entails robust, streamlined and participatory data governance</w:t>
      </w:r>
      <w:r w:rsidR="00C237BB" w:rsidRPr="00D16AFD">
        <w:rPr>
          <w:rFonts w:ascii="Calibri" w:eastAsia="Calibri" w:hAnsi="Calibri" w:cs="Times New Roman"/>
        </w:rPr>
        <w:t>;</w:t>
      </w:r>
    </w:p>
    <w:p w14:paraId="63F35BED" w14:textId="557B6530" w:rsidR="001B6743" w:rsidRPr="001B6743" w:rsidRDefault="001B6743" w:rsidP="001B6743">
      <w:pPr>
        <w:pStyle w:val="ListParagraph"/>
        <w:numPr>
          <w:ilvl w:val="0"/>
          <w:numId w:val="39"/>
        </w:numPr>
        <w:spacing w:after="0" w:line="240" w:lineRule="auto"/>
        <w:ind w:left="357" w:hanging="357"/>
        <w:rPr>
          <w:rFonts w:ascii="Calibri" w:eastAsia="Calibri" w:hAnsi="Calibri" w:cs="Times New Roman"/>
        </w:rPr>
      </w:pPr>
      <w:r w:rsidRPr="001B6743">
        <w:rPr>
          <w:rFonts w:ascii="Calibri" w:eastAsia="Calibri" w:hAnsi="Calibri" w:cs="Times New Roman"/>
        </w:rPr>
        <w:t>correlates evidence available on health and social welfare—and learns from the approaches to data in those sectors—whilst also incorporating data from the affective domain of schooling, which relates to the linkages between studen</w:t>
      </w:r>
      <w:r>
        <w:rPr>
          <w:rFonts w:ascii="Calibri" w:eastAsia="Calibri" w:hAnsi="Calibri" w:cs="Times New Roman"/>
        </w:rPr>
        <w:t>t wellbeing and learning;</w:t>
      </w:r>
    </w:p>
    <w:p w14:paraId="7F64B27E" w14:textId="1E4B9CF7" w:rsidR="001026C6" w:rsidRDefault="00D16AFD" w:rsidP="001B6743">
      <w:pPr>
        <w:pStyle w:val="ListParagraph"/>
        <w:numPr>
          <w:ilvl w:val="0"/>
          <w:numId w:val="39"/>
        </w:numPr>
        <w:spacing w:after="0" w:line="240" w:lineRule="auto"/>
        <w:ind w:left="357" w:hanging="357"/>
        <w:rPr>
          <w:rFonts w:ascii="Calibri" w:eastAsia="Calibri" w:hAnsi="Calibri" w:cs="Times New Roman"/>
        </w:rPr>
      </w:pPr>
      <w:r>
        <w:rPr>
          <w:rFonts w:ascii="Calibri" w:eastAsia="Calibri" w:hAnsi="Calibri" w:cs="Times New Roman"/>
        </w:rPr>
        <w:t>mitigates</w:t>
      </w:r>
      <w:r w:rsidRPr="00D16AFD">
        <w:rPr>
          <w:rFonts w:ascii="Calibri" w:eastAsia="Calibri" w:hAnsi="Calibri" w:cs="Times New Roman"/>
        </w:rPr>
        <w:t xml:space="preserve"> the temptation to use data as a comparative toolkit that ranks jurisdictions or </w:t>
      </w:r>
      <w:r w:rsidR="00AA1FFC">
        <w:rPr>
          <w:rFonts w:ascii="Calibri" w:eastAsia="Calibri" w:hAnsi="Calibri" w:cs="Times New Roman"/>
        </w:rPr>
        <w:t>schools and makes</w:t>
      </w:r>
      <w:r w:rsidRPr="00D16AFD">
        <w:rPr>
          <w:rFonts w:ascii="Calibri" w:eastAsia="Calibri" w:hAnsi="Calibri" w:cs="Times New Roman"/>
        </w:rPr>
        <w:t xml:space="preserve"> com</w:t>
      </w:r>
      <w:r>
        <w:rPr>
          <w:rFonts w:ascii="Calibri" w:eastAsia="Calibri" w:hAnsi="Calibri" w:cs="Times New Roman"/>
        </w:rPr>
        <w:t>parisons that are not meaningful</w:t>
      </w:r>
      <w:r w:rsidR="001026C6">
        <w:rPr>
          <w:rFonts w:ascii="Calibri" w:eastAsia="Calibri" w:hAnsi="Calibri" w:cs="Times New Roman"/>
        </w:rPr>
        <w:t>;</w:t>
      </w:r>
    </w:p>
    <w:p w14:paraId="552088C1" w14:textId="7C1EB0DA" w:rsidR="006F504C" w:rsidRDefault="00304A72" w:rsidP="001B6743">
      <w:pPr>
        <w:pStyle w:val="ListParagraph"/>
        <w:numPr>
          <w:ilvl w:val="0"/>
          <w:numId w:val="39"/>
        </w:numPr>
        <w:spacing w:after="0" w:line="240" w:lineRule="auto"/>
        <w:ind w:left="357" w:hanging="357"/>
        <w:rPr>
          <w:rFonts w:ascii="Calibri" w:eastAsia="Calibri" w:hAnsi="Calibri" w:cs="Times New Roman"/>
        </w:rPr>
      </w:pPr>
      <w:r>
        <w:rPr>
          <w:rFonts w:ascii="Calibri" w:eastAsia="Calibri" w:hAnsi="Calibri" w:cs="Times New Roman"/>
        </w:rPr>
        <w:t>acknowledges the</w:t>
      </w:r>
      <w:r w:rsidRPr="00304A72">
        <w:rPr>
          <w:rFonts w:ascii="Calibri" w:eastAsia="Calibri" w:hAnsi="Calibri" w:cs="Times New Roman"/>
        </w:rPr>
        <w:t xml:space="preserve"> diversity </w:t>
      </w:r>
      <w:r>
        <w:rPr>
          <w:rFonts w:ascii="Calibri" w:eastAsia="Calibri" w:hAnsi="Calibri" w:cs="Times New Roman"/>
        </w:rPr>
        <w:t>of Catholic education</w:t>
      </w:r>
      <w:r w:rsidR="0036107F">
        <w:rPr>
          <w:rFonts w:ascii="Calibri" w:eastAsia="Calibri" w:hAnsi="Calibri" w:cs="Times New Roman"/>
        </w:rPr>
        <w:t xml:space="preserve"> and its governance arrangements,</w:t>
      </w:r>
      <w:r>
        <w:rPr>
          <w:rFonts w:ascii="Calibri" w:eastAsia="Calibri" w:hAnsi="Calibri" w:cs="Times New Roman"/>
        </w:rPr>
        <w:t xml:space="preserve"> </w:t>
      </w:r>
      <w:r w:rsidR="0036107F">
        <w:rPr>
          <w:rFonts w:ascii="Calibri" w:eastAsia="Calibri" w:hAnsi="Calibri" w:cs="Times New Roman"/>
        </w:rPr>
        <w:t>as well as</w:t>
      </w:r>
      <w:r w:rsidRPr="00304A72">
        <w:rPr>
          <w:rFonts w:ascii="Calibri" w:eastAsia="Calibri" w:hAnsi="Calibri" w:cs="Times New Roman"/>
        </w:rPr>
        <w:t xml:space="preserve"> </w:t>
      </w:r>
      <w:r w:rsidR="00D75BA3">
        <w:rPr>
          <w:rFonts w:ascii="Calibri" w:eastAsia="Calibri" w:hAnsi="Calibri" w:cs="Times New Roman"/>
        </w:rPr>
        <w:t>the potential costs of new</w:t>
      </w:r>
      <w:r w:rsidR="00C237BB">
        <w:rPr>
          <w:rFonts w:ascii="Calibri" w:eastAsia="Calibri" w:hAnsi="Calibri" w:cs="Times New Roman"/>
        </w:rPr>
        <w:t xml:space="preserve"> </w:t>
      </w:r>
      <w:r w:rsidRPr="00304A72">
        <w:rPr>
          <w:rFonts w:ascii="Calibri" w:eastAsia="Calibri" w:hAnsi="Calibri" w:cs="Times New Roman"/>
        </w:rPr>
        <w:t>dat</w:t>
      </w:r>
      <w:r w:rsidR="00C237BB">
        <w:rPr>
          <w:rFonts w:ascii="Calibri" w:eastAsia="Calibri" w:hAnsi="Calibri" w:cs="Times New Roman"/>
        </w:rPr>
        <w:t xml:space="preserve">a collections or </w:t>
      </w:r>
      <w:r w:rsidR="00D75BA3">
        <w:rPr>
          <w:rFonts w:ascii="Calibri" w:eastAsia="Calibri" w:hAnsi="Calibri" w:cs="Times New Roman"/>
        </w:rPr>
        <w:t xml:space="preserve">implementing </w:t>
      </w:r>
      <w:r w:rsidR="00C237BB">
        <w:rPr>
          <w:rFonts w:ascii="Calibri" w:eastAsia="Calibri" w:hAnsi="Calibri" w:cs="Times New Roman"/>
        </w:rPr>
        <w:t>new technologies</w:t>
      </w:r>
      <w:r>
        <w:rPr>
          <w:rFonts w:ascii="Calibri" w:eastAsia="Calibri" w:hAnsi="Calibri" w:cs="Times New Roman"/>
        </w:rPr>
        <w:t xml:space="preserve"> </w:t>
      </w:r>
      <w:r w:rsidR="00D75BA3">
        <w:rPr>
          <w:rFonts w:ascii="Calibri" w:eastAsia="Calibri" w:hAnsi="Calibri" w:cs="Times New Roman"/>
        </w:rPr>
        <w:t>for</w:t>
      </w:r>
      <w:r w:rsidR="001B6743">
        <w:rPr>
          <w:rFonts w:ascii="Calibri" w:eastAsia="Calibri" w:hAnsi="Calibri" w:cs="Times New Roman"/>
        </w:rPr>
        <w:t xml:space="preserve"> Catholic schools.</w:t>
      </w:r>
    </w:p>
    <w:sectPr w:rsidR="006F504C" w:rsidSect="0040693E">
      <w:headerReference w:type="default" r:id="rId24"/>
      <w:footerReference w:type="default" r:id="rId25"/>
      <w:pgSz w:w="11906" w:h="16838"/>
      <w:pgMar w:top="1440" w:right="1440" w:bottom="1440" w:left="1440" w:header="284" w:footer="397" w:gutter="2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C6F94" w14:textId="77777777" w:rsidR="000C1EB1" w:rsidRDefault="000C1EB1" w:rsidP="009F5B2B">
      <w:pPr>
        <w:spacing w:before="0" w:after="0" w:line="240" w:lineRule="auto"/>
      </w:pPr>
      <w:r>
        <w:separator/>
      </w:r>
    </w:p>
  </w:endnote>
  <w:endnote w:type="continuationSeparator" w:id="0">
    <w:p w14:paraId="35E244A6" w14:textId="77777777" w:rsidR="000C1EB1" w:rsidRDefault="000C1EB1" w:rsidP="009F5B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l Bayan Plain">
    <w:charset w:val="B2"/>
    <w:family w:val="auto"/>
    <w:pitch w:val="variable"/>
    <w:sig w:usb0="00002001" w:usb1="0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07572" w14:textId="77777777" w:rsidR="002E33E5" w:rsidRDefault="002E33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741677"/>
      <w:docPartObj>
        <w:docPartGallery w:val="Page Numbers (Bottom of Page)"/>
        <w:docPartUnique/>
      </w:docPartObj>
    </w:sdtPr>
    <w:sdtEndPr>
      <w:rPr>
        <w:noProof/>
      </w:rPr>
    </w:sdtEndPr>
    <w:sdtContent>
      <w:p w14:paraId="5C73E18F" w14:textId="77777777" w:rsidR="00AB345E" w:rsidRDefault="00C154BF">
        <w:pPr>
          <w:pStyle w:val="Footer"/>
          <w:jc w:val="right"/>
        </w:pPr>
      </w:p>
    </w:sdtContent>
  </w:sdt>
  <w:p w14:paraId="64A11652" w14:textId="77777777" w:rsidR="00AB345E" w:rsidRDefault="00AB34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67015" w14:textId="77777777" w:rsidR="002E33E5" w:rsidRDefault="002E33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3F80F" w14:textId="77777777" w:rsidR="0040693E" w:rsidRDefault="0040693E" w:rsidP="0040693E">
    <w:pPr>
      <w:pStyle w:val="Footer"/>
      <w:tabs>
        <w:tab w:val="left" w:pos="5490"/>
        <w:tab w:val="right" w:pos="8799"/>
      </w:tabs>
    </w:pPr>
    <w:r>
      <w:tab/>
    </w:r>
    <w:r>
      <w:tab/>
    </w:r>
    <w:r>
      <w:tab/>
    </w:r>
    <w:r>
      <w:rPr>
        <w:noProof/>
        <w:lang w:eastAsia="en-AU"/>
      </w:rPr>
      <w:drawing>
        <wp:inline distT="0" distB="0" distL="0" distR="0" wp14:anchorId="191DF481" wp14:editId="2D39C1FF">
          <wp:extent cx="1181100" cy="6496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EC_Master_Logo_RGB.jpg"/>
                  <pic:cNvPicPr/>
                </pic:nvPicPr>
                <pic:blipFill>
                  <a:blip r:embed="rId1">
                    <a:extLst>
                      <a:ext uri="{28A0092B-C50C-407E-A947-70E740481C1C}">
                        <a14:useLocalDpi xmlns:a14="http://schemas.microsoft.com/office/drawing/2010/main" val="0"/>
                      </a:ext>
                    </a:extLst>
                  </a:blip>
                  <a:stretch>
                    <a:fillRect/>
                  </a:stretch>
                </pic:blipFill>
                <pic:spPr>
                  <a:xfrm>
                    <a:off x="0" y="0"/>
                    <a:ext cx="1181100" cy="64960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EBEFE" w14:textId="77777777" w:rsidR="000C1EB1" w:rsidRDefault="000C1EB1" w:rsidP="009F5B2B">
      <w:pPr>
        <w:spacing w:before="0" w:after="0" w:line="240" w:lineRule="auto"/>
      </w:pPr>
      <w:r>
        <w:separator/>
      </w:r>
    </w:p>
  </w:footnote>
  <w:footnote w:type="continuationSeparator" w:id="0">
    <w:p w14:paraId="18508492" w14:textId="77777777" w:rsidR="000C1EB1" w:rsidRDefault="000C1EB1" w:rsidP="009F5B2B">
      <w:pPr>
        <w:spacing w:before="0" w:after="0" w:line="240" w:lineRule="auto"/>
      </w:pPr>
      <w:r>
        <w:continuationSeparator/>
      </w:r>
    </w:p>
  </w:footnote>
  <w:footnote w:id="1">
    <w:p w14:paraId="1BD411E8" w14:textId="77777777" w:rsidR="006D5701" w:rsidRPr="00B6589B" w:rsidRDefault="006D5701" w:rsidP="006D5701">
      <w:pPr>
        <w:pStyle w:val="FootnoteText"/>
        <w:rPr>
          <w:sz w:val="18"/>
          <w:szCs w:val="18"/>
        </w:rPr>
      </w:pPr>
      <w:r w:rsidRPr="00B6589B">
        <w:rPr>
          <w:rStyle w:val="FootnoteReference"/>
          <w:sz w:val="18"/>
          <w:szCs w:val="18"/>
        </w:rPr>
        <w:footnoteRef/>
      </w:r>
      <w:r w:rsidRPr="00B6589B">
        <w:rPr>
          <w:sz w:val="18"/>
          <w:szCs w:val="18"/>
        </w:rPr>
        <w:t xml:space="preserve"> </w:t>
      </w:r>
      <w:proofErr w:type="spellStart"/>
      <w:r w:rsidRPr="00B6589B">
        <w:rPr>
          <w:i/>
          <w:sz w:val="18"/>
          <w:szCs w:val="18"/>
        </w:rPr>
        <w:t>Gravissimum</w:t>
      </w:r>
      <w:proofErr w:type="spellEnd"/>
      <w:r w:rsidRPr="00B6589B">
        <w:rPr>
          <w:i/>
          <w:sz w:val="18"/>
          <w:szCs w:val="18"/>
        </w:rPr>
        <w:t xml:space="preserve"> </w:t>
      </w:r>
      <w:proofErr w:type="spellStart"/>
      <w:r w:rsidRPr="00B6589B">
        <w:rPr>
          <w:i/>
          <w:sz w:val="18"/>
          <w:szCs w:val="18"/>
        </w:rPr>
        <w:t>Educationis</w:t>
      </w:r>
      <w:proofErr w:type="spellEnd"/>
      <w:r w:rsidRPr="00B6589B">
        <w:rPr>
          <w:sz w:val="18"/>
          <w:szCs w:val="18"/>
        </w:rPr>
        <w:t xml:space="preserve">, Declaration on Christian Education (October 28, 1965), </w:t>
      </w:r>
      <w:hyperlink r:id="rId1" w:history="1">
        <w:r w:rsidRPr="00B6589B">
          <w:rPr>
            <w:rStyle w:val="Hyperlink"/>
            <w:sz w:val="18"/>
            <w:szCs w:val="18"/>
          </w:rPr>
          <w:t>http://www.vatican.va/archive/hist_councils/ii_vatican_council/documents/vat-ii_decl_19651028_gravissimum-educationis_en.html</w:t>
        </w:r>
      </w:hyperlink>
      <w:r w:rsidRPr="00B6589B">
        <w:rPr>
          <w:sz w:val="18"/>
          <w:szCs w:val="18"/>
        </w:rPr>
        <w:t xml:space="preserve">, viewed 4 May 2016. </w:t>
      </w:r>
    </w:p>
  </w:footnote>
  <w:footnote w:id="2">
    <w:p w14:paraId="31BFA296" w14:textId="77777777" w:rsidR="00E10343" w:rsidRPr="00B6589B" w:rsidRDefault="00E10343" w:rsidP="00E10343">
      <w:pPr>
        <w:pStyle w:val="FootnoteText"/>
        <w:rPr>
          <w:i/>
          <w:sz w:val="18"/>
          <w:szCs w:val="18"/>
        </w:rPr>
      </w:pPr>
      <w:r w:rsidRPr="00B6589B">
        <w:rPr>
          <w:rStyle w:val="FootnoteReference"/>
          <w:sz w:val="18"/>
          <w:szCs w:val="18"/>
        </w:rPr>
        <w:footnoteRef/>
      </w:r>
      <w:r w:rsidRPr="00B6589B">
        <w:rPr>
          <w:sz w:val="18"/>
          <w:szCs w:val="18"/>
        </w:rPr>
        <w:t xml:space="preserve"> See </w:t>
      </w:r>
      <w:r w:rsidR="00B6589B" w:rsidRPr="00B6589B">
        <w:rPr>
          <w:sz w:val="18"/>
          <w:szCs w:val="18"/>
        </w:rPr>
        <w:t>P. Goss et al</w:t>
      </w:r>
      <w:r w:rsidRPr="00B6589B">
        <w:rPr>
          <w:sz w:val="18"/>
          <w:szCs w:val="18"/>
        </w:rPr>
        <w:t xml:space="preserve">, </w:t>
      </w:r>
      <w:r w:rsidRPr="00B6589B">
        <w:rPr>
          <w:i/>
          <w:sz w:val="18"/>
          <w:szCs w:val="18"/>
        </w:rPr>
        <w:t>Widening gaps: what NAPLAN tells us</w:t>
      </w:r>
      <w:r w:rsidR="00B6589B" w:rsidRPr="00B6589B">
        <w:rPr>
          <w:i/>
          <w:sz w:val="18"/>
          <w:szCs w:val="18"/>
        </w:rPr>
        <w:t xml:space="preserve"> </w:t>
      </w:r>
      <w:r w:rsidRPr="00B6589B">
        <w:rPr>
          <w:i/>
          <w:sz w:val="18"/>
          <w:szCs w:val="18"/>
        </w:rPr>
        <w:t>about student progress</w:t>
      </w:r>
      <w:r w:rsidRPr="00B6589B">
        <w:rPr>
          <w:sz w:val="18"/>
          <w:szCs w:val="18"/>
        </w:rPr>
        <w:t xml:space="preserve"> </w:t>
      </w:r>
      <w:r w:rsidR="00B6589B" w:rsidRPr="00B6589B">
        <w:rPr>
          <w:sz w:val="18"/>
          <w:szCs w:val="18"/>
        </w:rPr>
        <w:t>(</w:t>
      </w:r>
      <w:r w:rsidRPr="00B6589B">
        <w:rPr>
          <w:sz w:val="18"/>
          <w:szCs w:val="18"/>
        </w:rPr>
        <w:t>Grattan Institute</w:t>
      </w:r>
      <w:r w:rsidR="00B6589B" w:rsidRPr="00B6589B">
        <w:rPr>
          <w:sz w:val="18"/>
          <w:szCs w:val="18"/>
        </w:rPr>
        <w:t>, 2016)</w:t>
      </w:r>
      <w:r w:rsidRPr="00B6589B">
        <w:rPr>
          <w:sz w:val="18"/>
          <w:szCs w:val="18"/>
        </w:rPr>
        <w:t>.</w:t>
      </w:r>
    </w:p>
  </w:footnote>
  <w:footnote w:id="3">
    <w:p w14:paraId="1FCD1BE7" w14:textId="77777777" w:rsidR="00D34884" w:rsidRDefault="00D34884">
      <w:pPr>
        <w:pStyle w:val="FootnoteText"/>
      </w:pPr>
      <w:r>
        <w:rPr>
          <w:rStyle w:val="FootnoteReference"/>
        </w:rPr>
        <w:footnoteRef/>
      </w:r>
      <w:r>
        <w:t xml:space="preserve"> See </w:t>
      </w:r>
      <w:hyperlink r:id="rId2" w:history="1">
        <w:r>
          <w:rPr>
            <w:rStyle w:val="Hyperlink"/>
          </w:rPr>
          <w:t>https://www.abudhabi.ae/portal/public/en/abu_dhabi_emirate/government/news/</w:t>
        </w:r>
      </w:hyperlink>
      <w:r>
        <w:t>, viewed 6 May 2016.</w:t>
      </w:r>
    </w:p>
  </w:footnote>
  <w:footnote w:id="4">
    <w:p w14:paraId="1AB4245E" w14:textId="77777777" w:rsidR="004621F1" w:rsidRDefault="004621F1">
      <w:pPr>
        <w:pStyle w:val="FootnoteText"/>
      </w:pPr>
      <w:r>
        <w:rPr>
          <w:rStyle w:val="FootnoteReference"/>
        </w:rPr>
        <w:footnoteRef/>
      </w:r>
      <w:r>
        <w:t xml:space="preserve"> See </w:t>
      </w:r>
      <w:hyperlink r:id="rId3" w:history="1">
        <w:r w:rsidRPr="00EE25E0">
          <w:rPr>
            <w:rStyle w:val="Hyperlink"/>
          </w:rPr>
          <w:t>https://www.abudhabi.ae/cs/groups/public/documents/attachment/mgfk/mdyy/~edisp/ad062021.pdf</w:t>
        </w:r>
      </w:hyperlink>
      <w:r>
        <w:t>, viewed 6 May 2016.</w:t>
      </w:r>
    </w:p>
  </w:footnote>
  <w:footnote w:id="5">
    <w:p w14:paraId="0BE3ED83" w14:textId="77777777" w:rsidR="00580A94" w:rsidRDefault="00580A94">
      <w:pPr>
        <w:pStyle w:val="FootnoteText"/>
      </w:pPr>
      <w:r>
        <w:rPr>
          <w:rStyle w:val="FootnoteReference"/>
        </w:rPr>
        <w:footnoteRef/>
      </w:r>
      <w:r>
        <w:t xml:space="preserve"> See </w:t>
      </w:r>
      <w:hyperlink r:id="rId4" w:history="1">
        <w:r w:rsidRPr="0083753A">
          <w:rPr>
            <w:rStyle w:val="Hyperlink"/>
          </w:rPr>
          <w:t>https://www.gov.uk/government/publications/national-information-infrastructure/national-information-infrastructure</w:t>
        </w:r>
      </w:hyperlink>
      <w:r>
        <w:t>, viewed 6 May 2016.</w:t>
      </w:r>
    </w:p>
  </w:footnote>
  <w:footnote w:id="6">
    <w:p w14:paraId="421B7961" w14:textId="77777777" w:rsidR="00580A94" w:rsidRDefault="00580A94">
      <w:pPr>
        <w:pStyle w:val="FootnoteText"/>
      </w:pPr>
      <w:r>
        <w:rPr>
          <w:rStyle w:val="FootnoteReference"/>
        </w:rPr>
        <w:footnoteRef/>
      </w:r>
      <w:r>
        <w:t xml:space="preserve"> See </w:t>
      </w:r>
      <w:hyperlink r:id="rId5" w:history="1">
        <w:r w:rsidRPr="0083753A">
          <w:rPr>
            <w:rStyle w:val="Hyperlink"/>
          </w:rPr>
          <w:t>https://www.whitehouse.gov/blog/2012/01/19/unlocking-power-education-data-all-americans</w:t>
        </w:r>
      </w:hyperlink>
      <w:r>
        <w:t xml:space="preserve">, </w:t>
      </w:r>
      <w:r w:rsidRPr="00580A94">
        <w:t>viewed 6 May 2016.</w:t>
      </w:r>
    </w:p>
  </w:footnote>
  <w:footnote w:id="7">
    <w:p w14:paraId="330C6052" w14:textId="77777777" w:rsidR="00580A94" w:rsidRDefault="00580A94">
      <w:pPr>
        <w:pStyle w:val="FootnoteText"/>
      </w:pPr>
      <w:r>
        <w:rPr>
          <w:rStyle w:val="FootnoteReference"/>
        </w:rPr>
        <w:footnoteRef/>
      </w:r>
      <w:r>
        <w:t xml:space="preserve"> See </w:t>
      </w:r>
      <w:hyperlink r:id="rId6" w:history="1">
        <w:r w:rsidRPr="0083753A">
          <w:rPr>
            <w:rStyle w:val="Hyperlink"/>
          </w:rPr>
          <w:t>http://www.rdc-drc.ca/about-us/</w:t>
        </w:r>
      </w:hyperlink>
      <w:r>
        <w:t>, viewed 6 May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ED0FB" w14:textId="77777777" w:rsidR="00AB345E" w:rsidRDefault="00C154BF">
    <w:pPr>
      <w:pStyle w:val="Header"/>
    </w:pPr>
    <w:r>
      <w:rPr>
        <w:noProof/>
        <w:lang w:val="en-US"/>
      </w:rPr>
      <w:pict w14:anchorId="1065A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121.55pt;margin-top:306pt;width:202.8pt;height:1in;rotation:-30;z-index:-251655168" fillcolor="#ffd200" stroked="f">
          <v:shadow color="#868686"/>
          <v:textpath style="font-family:&quot;EYInterstate&quot;;font-size:44pt;v-text-kern:t" trim="t" fitpath="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2DD2D" w14:textId="77777777" w:rsidR="002E33E5" w:rsidRDefault="002E33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D3BE5" w14:textId="77777777" w:rsidR="00AB345E" w:rsidRDefault="00C154BF">
    <w:pPr>
      <w:pStyle w:val="Header"/>
    </w:pPr>
    <w:r>
      <w:rPr>
        <w:noProof/>
        <w:lang w:val="en-US"/>
      </w:rPr>
      <w:pict w14:anchorId="276D6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121.55pt;margin-top:306pt;width:202.8pt;height:1in;rotation:-30;z-index:-251656192" fillcolor="#ffd200" stroked="f">
          <v:shadow color="#868686"/>
          <v:textpath style="font-family:&quot;EYInterstate&quot;;font-size:44pt;v-text-kern:t" trim="t" fitpath="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B59F6" w14:textId="28A03479" w:rsidR="00AB345E" w:rsidRDefault="00C154BF" w:rsidP="005B3DD5">
    <w:pPr>
      <w:pStyle w:val="Header"/>
      <w:ind w:left="-1276"/>
      <w:jc w:val="right"/>
    </w:pPr>
    <w:sdt>
      <w:sdtPr>
        <w:id w:val="728272709"/>
        <w:docPartObj>
          <w:docPartGallery w:val="Page Numbers (Margins)"/>
          <w:docPartUnique/>
        </w:docPartObj>
      </w:sdtPr>
      <w:sdtEndPr/>
      <w:sdtContent>
        <w:r w:rsidR="00F317B8">
          <w:rPr>
            <w:noProof/>
            <w:lang w:eastAsia="en-AU"/>
          </w:rPr>
          <mc:AlternateContent>
            <mc:Choice Requires="wps">
              <w:drawing>
                <wp:anchor distT="0" distB="0" distL="114300" distR="114300" simplePos="0" relativeHeight="251663360" behindDoc="0" locked="0" layoutInCell="0" allowOverlap="1" wp14:anchorId="2C22D3B1" wp14:editId="4F1FFC46">
                  <wp:simplePos x="0" y="0"/>
                  <wp:positionH relativeFrom="rightMargin">
                    <wp:align>right</wp:align>
                  </wp:positionH>
                  <mc:AlternateContent>
                    <mc:Choice Requires="wp14">
                      <wp:positionV relativeFrom="margin">
                        <wp14:pctPosVOffset>10000</wp14:pctPosVOffset>
                      </wp:positionV>
                    </mc:Choice>
                    <mc:Fallback>
                      <wp:positionV relativeFrom="page">
                        <wp:posOffset>1800225</wp:posOffset>
                      </wp:positionV>
                    </mc:Fallback>
                  </mc:AlternateContent>
                  <wp:extent cx="821055" cy="479425"/>
                  <wp:effectExtent l="0" t="0" r="1905" b="44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55" cy="479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88322" w14:textId="77777777" w:rsidR="00F317B8" w:rsidRDefault="00F317B8">
                              <w:pPr>
                                <w:pBdr>
                                  <w:top w:val="single" w:sz="4" w:space="1" w:color="D8D8D8" w:themeColor="background1" w:themeShade="D8"/>
                                </w:pBdr>
                              </w:pPr>
                              <w:r>
                                <w:t xml:space="preserve">Page | </w:t>
                              </w:r>
                              <w:r>
                                <w:fldChar w:fldCharType="begin"/>
                              </w:r>
                              <w:r>
                                <w:instrText xml:space="preserve"> PAGE   \* MERGEFORMAT </w:instrText>
                              </w:r>
                              <w:r>
                                <w:fldChar w:fldCharType="separate"/>
                              </w:r>
                              <w:r w:rsidR="00C154BF">
                                <w:rPr>
                                  <w:noProof/>
                                </w:rPr>
                                <w:t>10</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7" o:spid="_x0000_s1027" style="position:absolute;left:0;text-align:left;margin-left:13.45pt;margin-top:0;width:64.65pt;height:37.75pt;z-index:251663360;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" o:allowincell="f" stroked="f">
                  <v:textbox style="mso-fit-shape-to-text:t" inset="0,,0">
                    <w:txbxContent>
                      <w:p w14:paraId="48388322" w14:textId="77777777" w:rsidR="00F317B8" w:rsidRDefault="00F317B8">
                        <w:pPr>
                          <w:pBdr>
                            <w:top w:val="single" w:sz="4" w:space="1" w:color="D8D8D8" w:themeColor="background1" w:themeShade="D8"/>
                          </w:pBdr>
                        </w:pPr>
                        <w:r>
                          <w:t xml:space="preserve">Page | </w:t>
                        </w:r>
                        <w:r>
                          <w:fldChar w:fldCharType="begin"/>
                        </w:r>
                        <w:r>
                          <w:instrText xml:space="preserve"> PAGE   \* MERGEFORMAT </w:instrText>
                        </w:r>
                        <w:r>
                          <w:fldChar w:fldCharType="separate"/>
                        </w:r>
                        <w:r w:rsidR="00C154BF">
                          <w:rPr>
                            <w:noProof/>
                          </w:rPr>
                          <w:t>10</w:t>
                        </w:r>
                        <w:r>
                          <w:rPr>
                            <w:noProof/>
                          </w:rPr>
                          <w:fldChar w:fldCharType="end"/>
                        </w:r>
                      </w:p>
                    </w:txbxContent>
                  </v:textbox>
                  <w10:wrap anchorx="margin" anchory="margin"/>
                </v:rect>
              </w:pict>
            </mc:Fallback>
          </mc:AlternateContent>
        </w:r>
      </w:sdtContent>
    </w:sdt>
    <w:r w:rsidR="005B3DD5">
      <w:t xml:space="preserve">     </w:t>
    </w:r>
  </w:p>
  <w:p w14:paraId="7EB6E41E" w14:textId="77777777" w:rsidR="005B3DD5" w:rsidRPr="005B3DD5" w:rsidRDefault="005B3DD5" w:rsidP="005B3D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80300"/>
    <w:multiLevelType w:val="hybridMultilevel"/>
    <w:tmpl w:val="780CE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6A5AC4"/>
    <w:multiLevelType w:val="hybridMultilevel"/>
    <w:tmpl w:val="B5E4A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0E682A"/>
    <w:multiLevelType w:val="hybridMultilevel"/>
    <w:tmpl w:val="AE3CA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94D4F5C"/>
    <w:multiLevelType w:val="hybridMultilevel"/>
    <w:tmpl w:val="777EA3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ED167AF"/>
    <w:multiLevelType w:val="hybridMultilevel"/>
    <w:tmpl w:val="EDDEF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832639"/>
    <w:multiLevelType w:val="hybridMultilevel"/>
    <w:tmpl w:val="478AC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24C6F21"/>
    <w:multiLevelType w:val="hybridMultilevel"/>
    <w:tmpl w:val="3FFAB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2AA0163"/>
    <w:multiLevelType w:val="hybridMultilevel"/>
    <w:tmpl w:val="A6B88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3F0BCB"/>
    <w:multiLevelType w:val="hybridMultilevel"/>
    <w:tmpl w:val="3EE8C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F1629C2"/>
    <w:multiLevelType w:val="hybridMultilevel"/>
    <w:tmpl w:val="6B4EF55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
    <w:nsid w:val="31303D32"/>
    <w:multiLevelType w:val="hybridMultilevel"/>
    <w:tmpl w:val="CC2A1D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15C45F8"/>
    <w:multiLevelType w:val="hybridMultilevel"/>
    <w:tmpl w:val="F8EAD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F33193"/>
    <w:multiLevelType w:val="hybridMultilevel"/>
    <w:tmpl w:val="3BE2A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DB46A97"/>
    <w:multiLevelType w:val="hybridMultilevel"/>
    <w:tmpl w:val="CB6808F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E004A72"/>
    <w:multiLevelType w:val="hybridMultilevel"/>
    <w:tmpl w:val="4B461D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ECF3C92"/>
    <w:multiLevelType w:val="hybridMultilevel"/>
    <w:tmpl w:val="D1C04C9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nsid w:val="41272F96"/>
    <w:multiLevelType w:val="hybridMultilevel"/>
    <w:tmpl w:val="AE348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18266B3"/>
    <w:multiLevelType w:val="hybridMultilevel"/>
    <w:tmpl w:val="6E5C1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A6F3D45"/>
    <w:multiLevelType w:val="hybridMultilevel"/>
    <w:tmpl w:val="5F4EB7D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9">
    <w:nsid w:val="4C867305"/>
    <w:multiLevelType w:val="hybridMultilevel"/>
    <w:tmpl w:val="93FE2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6DC75D6"/>
    <w:multiLevelType w:val="hybridMultilevel"/>
    <w:tmpl w:val="D9ECD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9793A31"/>
    <w:multiLevelType w:val="hybridMultilevel"/>
    <w:tmpl w:val="74685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CD657C5"/>
    <w:multiLevelType w:val="hybridMultilevel"/>
    <w:tmpl w:val="EDBE44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D6523C6"/>
    <w:multiLevelType w:val="hybridMultilevel"/>
    <w:tmpl w:val="38AEB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2982D4A"/>
    <w:multiLevelType w:val="hybridMultilevel"/>
    <w:tmpl w:val="7B4C8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34C2576"/>
    <w:multiLevelType w:val="hybridMultilevel"/>
    <w:tmpl w:val="C14AA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3FF777B"/>
    <w:multiLevelType w:val="hybridMultilevel"/>
    <w:tmpl w:val="D4AA0A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4525C59"/>
    <w:multiLevelType w:val="hybridMultilevel"/>
    <w:tmpl w:val="F53E0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4777E7A"/>
    <w:multiLevelType w:val="hybridMultilevel"/>
    <w:tmpl w:val="DEE6D6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5BA576E"/>
    <w:multiLevelType w:val="hybridMultilevel"/>
    <w:tmpl w:val="D5FA7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B67223A"/>
    <w:multiLevelType w:val="hybridMultilevel"/>
    <w:tmpl w:val="9C889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D657950"/>
    <w:multiLevelType w:val="hybridMultilevel"/>
    <w:tmpl w:val="91A29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F9203F2"/>
    <w:multiLevelType w:val="hybridMultilevel"/>
    <w:tmpl w:val="33803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19E0A0C"/>
    <w:multiLevelType w:val="hybridMultilevel"/>
    <w:tmpl w:val="5804F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1EA7653"/>
    <w:multiLevelType w:val="hybridMultilevel"/>
    <w:tmpl w:val="4CFEF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74E53E42"/>
    <w:multiLevelType w:val="hybridMultilevel"/>
    <w:tmpl w:val="777EA3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970110C"/>
    <w:multiLevelType w:val="hybridMultilevel"/>
    <w:tmpl w:val="48A8C89E"/>
    <w:lvl w:ilvl="0" w:tplc="013A7886">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D5457EE"/>
    <w:multiLevelType w:val="hybridMultilevel"/>
    <w:tmpl w:val="98C0AD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E625435"/>
    <w:multiLevelType w:val="hybridMultilevel"/>
    <w:tmpl w:val="85B01224"/>
    <w:lvl w:ilvl="0" w:tplc="6924FCDE">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
  </w:num>
  <w:num w:numId="2">
    <w:abstractNumId w:val="7"/>
  </w:num>
  <w:num w:numId="3">
    <w:abstractNumId w:val="32"/>
  </w:num>
  <w:num w:numId="4">
    <w:abstractNumId w:val="5"/>
  </w:num>
  <w:num w:numId="5">
    <w:abstractNumId w:val="19"/>
  </w:num>
  <w:num w:numId="6">
    <w:abstractNumId w:val="16"/>
  </w:num>
  <w:num w:numId="7">
    <w:abstractNumId w:val="0"/>
  </w:num>
  <w:num w:numId="8">
    <w:abstractNumId w:val="26"/>
  </w:num>
  <w:num w:numId="9">
    <w:abstractNumId w:val="23"/>
  </w:num>
  <w:num w:numId="10">
    <w:abstractNumId w:val="17"/>
  </w:num>
  <w:num w:numId="11">
    <w:abstractNumId w:val="20"/>
  </w:num>
  <w:num w:numId="12">
    <w:abstractNumId w:val="11"/>
  </w:num>
  <w:num w:numId="13">
    <w:abstractNumId w:val="30"/>
  </w:num>
  <w:num w:numId="14">
    <w:abstractNumId w:val="15"/>
  </w:num>
  <w:num w:numId="15">
    <w:abstractNumId w:val="18"/>
  </w:num>
  <w:num w:numId="16">
    <w:abstractNumId w:val="35"/>
  </w:num>
  <w:num w:numId="17">
    <w:abstractNumId w:val="22"/>
  </w:num>
  <w:num w:numId="18">
    <w:abstractNumId w:val="37"/>
  </w:num>
  <w:num w:numId="19">
    <w:abstractNumId w:val="38"/>
  </w:num>
  <w:num w:numId="20">
    <w:abstractNumId w:val="3"/>
  </w:num>
  <w:num w:numId="21">
    <w:abstractNumId w:val="14"/>
  </w:num>
  <w:num w:numId="22">
    <w:abstractNumId w:val="8"/>
  </w:num>
  <w:num w:numId="23">
    <w:abstractNumId w:val="1"/>
  </w:num>
  <w:num w:numId="24">
    <w:abstractNumId w:val="10"/>
  </w:num>
  <w:num w:numId="25">
    <w:abstractNumId w:val="27"/>
  </w:num>
  <w:num w:numId="26">
    <w:abstractNumId w:val="9"/>
  </w:num>
  <w:num w:numId="27">
    <w:abstractNumId w:val="33"/>
  </w:num>
  <w:num w:numId="28">
    <w:abstractNumId w:val="25"/>
  </w:num>
  <w:num w:numId="29">
    <w:abstractNumId w:val="29"/>
  </w:num>
  <w:num w:numId="30">
    <w:abstractNumId w:val="2"/>
  </w:num>
  <w:num w:numId="31">
    <w:abstractNumId w:val="36"/>
  </w:num>
  <w:num w:numId="32">
    <w:abstractNumId w:val="31"/>
  </w:num>
  <w:num w:numId="33">
    <w:abstractNumId w:val="24"/>
  </w:num>
  <w:num w:numId="34">
    <w:abstractNumId w:val="12"/>
  </w:num>
  <w:num w:numId="35">
    <w:abstractNumId w:val="6"/>
  </w:num>
  <w:num w:numId="36">
    <w:abstractNumId w:val="21"/>
  </w:num>
  <w:num w:numId="37">
    <w:abstractNumId w:val="34"/>
  </w:num>
  <w:num w:numId="38">
    <w:abstractNumId w:val="28"/>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1D2"/>
    <w:rsid w:val="00001ED9"/>
    <w:rsid w:val="000036E7"/>
    <w:rsid w:val="000141D6"/>
    <w:rsid w:val="0001471F"/>
    <w:rsid w:val="00023182"/>
    <w:rsid w:val="00035941"/>
    <w:rsid w:val="000370F7"/>
    <w:rsid w:val="00044193"/>
    <w:rsid w:val="00050F02"/>
    <w:rsid w:val="00051875"/>
    <w:rsid w:val="00052AE8"/>
    <w:rsid w:val="0005307A"/>
    <w:rsid w:val="00054D21"/>
    <w:rsid w:val="000643D0"/>
    <w:rsid w:val="00065D86"/>
    <w:rsid w:val="00073787"/>
    <w:rsid w:val="000743DD"/>
    <w:rsid w:val="00076D19"/>
    <w:rsid w:val="0008148B"/>
    <w:rsid w:val="00082DD5"/>
    <w:rsid w:val="000860B0"/>
    <w:rsid w:val="00090D03"/>
    <w:rsid w:val="0009353C"/>
    <w:rsid w:val="000970C4"/>
    <w:rsid w:val="000A39ED"/>
    <w:rsid w:val="000B6310"/>
    <w:rsid w:val="000B68B8"/>
    <w:rsid w:val="000C1EB1"/>
    <w:rsid w:val="000C3645"/>
    <w:rsid w:val="000C694A"/>
    <w:rsid w:val="000C7EE9"/>
    <w:rsid w:val="000E236C"/>
    <w:rsid w:val="000E5ED8"/>
    <w:rsid w:val="000F0BC8"/>
    <w:rsid w:val="00100990"/>
    <w:rsid w:val="001012F0"/>
    <w:rsid w:val="001020E6"/>
    <w:rsid w:val="001026C6"/>
    <w:rsid w:val="00103525"/>
    <w:rsid w:val="001059E0"/>
    <w:rsid w:val="001061D1"/>
    <w:rsid w:val="0011080D"/>
    <w:rsid w:val="00112EE4"/>
    <w:rsid w:val="00126A7B"/>
    <w:rsid w:val="00134390"/>
    <w:rsid w:val="00137ABD"/>
    <w:rsid w:val="001412F6"/>
    <w:rsid w:val="00143DC9"/>
    <w:rsid w:val="00150D3F"/>
    <w:rsid w:val="00151BF9"/>
    <w:rsid w:val="001526CA"/>
    <w:rsid w:val="00154791"/>
    <w:rsid w:val="00165C34"/>
    <w:rsid w:val="00166020"/>
    <w:rsid w:val="00171DCC"/>
    <w:rsid w:val="001774B8"/>
    <w:rsid w:val="00180723"/>
    <w:rsid w:val="00191482"/>
    <w:rsid w:val="001953B8"/>
    <w:rsid w:val="001A2245"/>
    <w:rsid w:val="001A7BEB"/>
    <w:rsid w:val="001B2CFB"/>
    <w:rsid w:val="001B39CC"/>
    <w:rsid w:val="001B47D8"/>
    <w:rsid w:val="001B5BD3"/>
    <w:rsid w:val="001B6743"/>
    <w:rsid w:val="001C4EC7"/>
    <w:rsid w:val="001C60A9"/>
    <w:rsid w:val="001C6A19"/>
    <w:rsid w:val="001F65F2"/>
    <w:rsid w:val="0020128B"/>
    <w:rsid w:val="0020448E"/>
    <w:rsid w:val="002109E6"/>
    <w:rsid w:val="0021297D"/>
    <w:rsid w:val="00214E3F"/>
    <w:rsid w:val="00215EFA"/>
    <w:rsid w:val="00220E96"/>
    <w:rsid w:val="00223117"/>
    <w:rsid w:val="00237553"/>
    <w:rsid w:val="00246C9A"/>
    <w:rsid w:val="0024737E"/>
    <w:rsid w:val="00253018"/>
    <w:rsid w:val="00260623"/>
    <w:rsid w:val="00260F90"/>
    <w:rsid w:val="0026604C"/>
    <w:rsid w:val="00270F2D"/>
    <w:rsid w:val="00277B5E"/>
    <w:rsid w:val="0028415C"/>
    <w:rsid w:val="002843AE"/>
    <w:rsid w:val="00285561"/>
    <w:rsid w:val="00292A52"/>
    <w:rsid w:val="00293003"/>
    <w:rsid w:val="002957CC"/>
    <w:rsid w:val="002A0090"/>
    <w:rsid w:val="002A1002"/>
    <w:rsid w:val="002A615F"/>
    <w:rsid w:val="002A7AB1"/>
    <w:rsid w:val="002B2600"/>
    <w:rsid w:val="002B5695"/>
    <w:rsid w:val="002C4530"/>
    <w:rsid w:val="002D35F0"/>
    <w:rsid w:val="002E31BD"/>
    <w:rsid w:val="002E33E5"/>
    <w:rsid w:val="002F462E"/>
    <w:rsid w:val="002F577E"/>
    <w:rsid w:val="00304A72"/>
    <w:rsid w:val="00305D94"/>
    <w:rsid w:val="00324C92"/>
    <w:rsid w:val="0033419A"/>
    <w:rsid w:val="00337519"/>
    <w:rsid w:val="00340977"/>
    <w:rsid w:val="00341E9D"/>
    <w:rsid w:val="00351817"/>
    <w:rsid w:val="00351A11"/>
    <w:rsid w:val="00357FC8"/>
    <w:rsid w:val="0036107F"/>
    <w:rsid w:val="00367E1A"/>
    <w:rsid w:val="00375732"/>
    <w:rsid w:val="0038270A"/>
    <w:rsid w:val="00382975"/>
    <w:rsid w:val="00390880"/>
    <w:rsid w:val="00392615"/>
    <w:rsid w:val="0039592F"/>
    <w:rsid w:val="00397A59"/>
    <w:rsid w:val="003A4A44"/>
    <w:rsid w:val="003A70BB"/>
    <w:rsid w:val="003B05B9"/>
    <w:rsid w:val="003C184E"/>
    <w:rsid w:val="003C6ADC"/>
    <w:rsid w:val="003D0685"/>
    <w:rsid w:val="003E2985"/>
    <w:rsid w:val="003E2C88"/>
    <w:rsid w:val="003F2AC5"/>
    <w:rsid w:val="003F5BB3"/>
    <w:rsid w:val="003F7F15"/>
    <w:rsid w:val="0040074B"/>
    <w:rsid w:val="00400F10"/>
    <w:rsid w:val="004021A2"/>
    <w:rsid w:val="004026C1"/>
    <w:rsid w:val="00404DBC"/>
    <w:rsid w:val="0040693E"/>
    <w:rsid w:val="00413E00"/>
    <w:rsid w:val="00417078"/>
    <w:rsid w:val="00430208"/>
    <w:rsid w:val="00437D27"/>
    <w:rsid w:val="00443986"/>
    <w:rsid w:val="00447B1D"/>
    <w:rsid w:val="0045793F"/>
    <w:rsid w:val="004621F1"/>
    <w:rsid w:val="00470210"/>
    <w:rsid w:val="00471CF4"/>
    <w:rsid w:val="00472EA9"/>
    <w:rsid w:val="00476CBA"/>
    <w:rsid w:val="00481B41"/>
    <w:rsid w:val="00481FAA"/>
    <w:rsid w:val="00483249"/>
    <w:rsid w:val="004860B7"/>
    <w:rsid w:val="00496203"/>
    <w:rsid w:val="00496F43"/>
    <w:rsid w:val="004A2B74"/>
    <w:rsid w:val="004C168B"/>
    <w:rsid w:val="004C34CB"/>
    <w:rsid w:val="004D0B6E"/>
    <w:rsid w:val="004D32E3"/>
    <w:rsid w:val="004D3A96"/>
    <w:rsid w:val="004D55A2"/>
    <w:rsid w:val="004F57C9"/>
    <w:rsid w:val="004F5A98"/>
    <w:rsid w:val="00506E53"/>
    <w:rsid w:val="00514041"/>
    <w:rsid w:val="00523FF9"/>
    <w:rsid w:val="00531E72"/>
    <w:rsid w:val="005350E6"/>
    <w:rsid w:val="00545AF5"/>
    <w:rsid w:val="00553425"/>
    <w:rsid w:val="0055386D"/>
    <w:rsid w:val="00556BE9"/>
    <w:rsid w:val="00556C8C"/>
    <w:rsid w:val="00562523"/>
    <w:rsid w:val="00572D93"/>
    <w:rsid w:val="0057332B"/>
    <w:rsid w:val="00580A94"/>
    <w:rsid w:val="005A6F44"/>
    <w:rsid w:val="005B3093"/>
    <w:rsid w:val="005B3DD5"/>
    <w:rsid w:val="005C3744"/>
    <w:rsid w:val="005C4107"/>
    <w:rsid w:val="005C6C11"/>
    <w:rsid w:val="005D4690"/>
    <w:rsid w:val="005D53A0"/>
    <w:rsid w:val="005D5CAC"/>
    <w:rsid w:val="005D64FD"/>
    <w:rsid w:val="005E4B01"/>
    <w:rsid w:val="005E55BE"/>
    <w:rsid w:val="005F5811"/>
    <w:rsid w:val="00610821"/>
    <w:rsid w:val="00614763"/>
    <w:rsid w:val="00626EC5"/>
    <w:rsid w:val="006310C2"/>
    <w:rsid w:val="0063432F"/>
    <w:rsid w:val="00635D75"/>
    <w:rsid w:val="00636E7B"/>
    <w:rsid w:val="0065029D"/>
    <w:rsid w:val="0065422A"/>
    <w:rsid w:val="00655C6D"/>
    <w:rsid w:val="006602D6"/>
    <w:rsid w:val="00681A82"/>
    <w:rsid w:val="00686240"/>
    <w:rsid w:val="0068706D"/>
    <w:rsid w:val="00690667"/>
    <w:rsid w:val="006969EC"/>
    <w:rsid w:val="00696A0A"/>
    <w:rsid w:val="006A0395"/>
    <w:rsid w:val="006A38BD"/>
    <w:rsid w:val="006B4894"/>
    <w:rsid w:val="006B48DF"/>
    <w:rsid w:val="006B68CD"/>
    <w:rsid w:val="006B7C10"/>
    <w:rsid w:val="006C3D24"/>
    <w:rsid w:val="006D0955"/>
    <w:rsid w:val="006D3E97"/>
    <w:rsid w:val="006D5701"/>
    <w:rsid w:val="006E3563"/>
    <w:rsid w:val="006E7739"/>
    <w:rsid w:val="006F1AB2"/>
    <w:rsid w:val="006F1C6D"/>
    <w:rsid w:val="006F504C"/>
    <w:rsid w:val="006F7C66"/>
    <w:rsid w:val="0070236F"/>
    <w:rsid w:val="007067E9"/>
    <w:rsid w:val="00711FB8"/>
    <w:rsid w:val="0071322E"/>
    <w:rsid w:val="00717B75"/>
    <w:rsid w:val="00722B5C"/>
    <w:rsid w:val="00731254"/>
    <w:rsid w:val="00735561"/>
    <w:rsid w:val="007361BD"/>
    <w:rsid w:val="0075535D"/>
    <w:rsid w:val="00765174"/>
    <w:rsid w:val="00772183"/>
    <w:rsid w:val="0077728B"/>
    <w:rsid w:val="00780D29"/>
    <w:rsid w:val="007814D4"/>
    <w:rsid w:val="0078741A"/>
    <w:rsid w:val="00791A98"/>
    <w:rsid w:val="00792F51"/>
    <w:rsid w:val="007A539E"/>
    <w:rsid w:val="007B6E99"/>
    <w:rsid w:val="007D0A03"/>
    <w:rsid w:val="007D2348"/>
    <w:rsid w:val="007E7545"/>
    <w:rsid w:val="007F0A04"/>
    <w:rsid w:val="007F2756"/>
    <w:rsid w:val="007F358D"/>
    <w:rsid w:val="007F39BA"/>
    <w:rsid w:val="007F3BB1"/>
    <w:rsid w:val="007F6263"/>
    <w:rsid w:val="007F711A"/>
    <w:rsid w:val="007F772E"/>
    <w:rsid w:val="00807E00"/>
    <w:rsid w:val="008152E9"/>
    <w:rsid w:val="00824DDE"/>
    <w:rsid w:val="00824F5D"/>
    <w:rsid w:val="0082588D"/>
    <w:rsid w:val="008266DB"/>
    <w:rsid w:val="00834550"/>
    <w:rsid w:val="00837AD6"/>
    <w:rsid w:val="00852B9E"/>
    <w:rsid w:val="008544CC"/>
    <w:rsid w:val="00871164"/>
    <w:rsid w:val="00875BC1"/>
    <w:rsid w:val="008863B2"/>
    <w:rsid w:val="00886A67"/>
    <w:rsid w:val="00895812"/>
    <w:rsid w:val="008C374A"/>
    <w:rsid w:val="008D71FC"/>
    <w:rsid w:val="008E599A"/>
    <w:rsid w:val="008F31BE"/>
    <w:rsid w:val="008F7229"/>
    <w:rsid w:val="008F745E"/>
    <w:rsid w:val="00910C5E"/>
    <w:rsid w:val="00912815"/>
    <w:rsid w:val="009135FA"/>
    <w:rsid w:val="009151EF"/>
    <w:rsid w:val="00915479"/>
    <w:rsid w:val="00916D20"/>
    <w:rsid w:val="00926B81"/>
    <w:rsid w:val="00926F91"/>
    <w:rsid w:val="00930ED7"/>
    <w:rsid w:val="00930F33"/>
    <w:rsid w:val="009310A9"/>
    <w:rsid w:val="009312A9"/>
    <w:rsid w:val="00932196"/>
    <w:rsid w:val="00942CD6"/>
    <w:rsid w:val="00944136"/>
    <w:rsid w:val="00953612"/>
    <w:rsid w:val="00955041"/>
    <w:rsid w:val="0096070B"/>
    <w:rsid w:val="00961AA5"/>
    <w:rsid w:val="009622EB"/>
    <w:rsid w:val="009631BC"/>
    <w:rsid w:val="00966539"/>
    <w:rsid w:val="00966E65"/>
    <w:rsid w:val="00967BB8"/>
    <w:rsid w:val="00967CE9"/>
    <w:rsid w:val="00976F58"/>
    <w:rsid w:val="00983F32"/>
    <w:rsid w:val="00985454"/>
    <w:rsid w:val="00985B7D"/>
    <w:rsid w:val="00996D8A"/>
    <w:rsid w:val="009A02ED"/>
    <w:rsid w:val="009A3F57"/>
    <w:rsid w:val="009A7454"/>
    <w:rsid w:val="009C2616"/>
    <w:rsid w:val="009C314C"/>
    <w:rsid w:val="009C4D71"/>
    <w:rsid w:val="009C5158"/>
    <w:rsid w:val="009C59D9"/>
    <w:rsid w:val="009C5C6F"/>
    <w:rsid w:val="009C675D"/>
    <w:rsid w:val="009D2E0F"/>
    <w:rsid w:val="009D5BA0"/>
    <w:rsid w:val="009E0817"/>
    <w:rsid w:val="009F4E62"/>
    <w:rsid w:val="009F5B2B"/>
    <w:rsid w:val="009F6563"/>
    <w:rsid w:val="009F6829"/>
    <w:rsid w:val="00A032FF"/>
    <w:rsid w:val="00A0417E"/>
    <w:rsid w:val="00A07452"/>
    <w:rsid w:val="00A11289"/>
    <w:rsid w:val="00A120AE"/>
    <w:rsid w:val="00A12B40"/>
    <w:rsid w:val="00A149CF"/>
    <w:rsid w:val="00A246D0"/>
    <w:rsid w:val="00A41199"/>
    <w:rsid w:val="00A44EFE"/>
    <w:rsid w:val="00A529A2"/>
    <w:rsid w:val="00A52D61"/>
    <w:rsid w:val="00A56488"/>
    <w:rsid w:val="00A72056"/>
    <w:rsid w:val="00A74B52"/>
    <w:rsid w:val="00A80C77"/>
    <w:rsid w:val="00A869DF"/>
    <w:rsid w:val="00A90CC5"/>
    <w:rsid w:val="00AA06BD"/>
    <w:rsid w:val="00AA0CF3"/>
    <w:rsid w:val="00AA1FFC"/>
    <w:rsid w:val="00AA7E18"/>
    <w:rsid w:val="00AB345E"/>
    <w:rsid w:val="00AC1857"/>
    <w:rsid w:val="00AC18C6"/>
    <w:rsid w:val="00AD1DF7"/>
    <w:rsid w:val="00AE5277"/>
    <w:rsid w:val="00AE56F5"/>
    <w:rsid w:val="00AF3341"/>
    <w:rsid w:val="00B00763"/>
    <w:rsid w:val="00B023A4"/>
    <w:rsid w:val="00B02E4E"/>
    <w:rsid w:val="00B056FB"/>
    <w:rsid w:val="00B06AAC"/>
    <w:rsid w:val="00B14372"/>
    <w:rsid w:val="00B147E6"/>
    <w:rsid w:val="00B2065B"/>
    <w:rsid w:val="00B32397"/>
    <w:rsid w:val="00B40C48"/>
    <w:rsid w:val="00B41185"/>
    <w:rsid w:val="00B42A54"/>
    <w:rsid w:val="00B44818"/>
    <w:rsid w:val="00B52092"/>
    <w:rsid w:val="00B63BCF"/>
    <w:rsid w:val="00B6589B"/>
    <w:rsid w:val="00B70F52"/>
    <w:rsid w:val="00B8368C"/>
    <w:rsid w:val="00B95924"/>
    <w:rsid w:val="00BC0AB3"/>
    <w:rsid w:val="00BC26F0"/>
    <w:rsid w:val="00BC4A6B"/>
    <w:rsid w:val="00BD3FAC"/>
    <w:rsid w:val="00BD4DB8"/>
    <w:rsid w:val="00BD65ED"/>
    <w:rsid w:val="00BE5B4A"/>
    <w:rsid w:val="00BF3DDC"/>
    <w:rsid w:val="00C119E4"/>
    <w:rsid w:val="00C12495"/>
    <w:rsid w:val="00C1451F"/>
    <w:rsid w:val="00C152AA"/>
    <w:rsid w:val="00C154BF"/>
    <w:rsid w:val="00C20AFD"/>
    <w:rsid w:val="00C235C4"/>
    <w:rsid w:val="00C237BB"/>
    <w:rsid w:val="00C4143E"/>
    <w:rsid w:val="00C41A76"/>
    <w:rsid w:val="00C524C3"/>
    <w:rsid w:val="00C545A4"/>
    <w:rsid w:val="00C554D3"/>
    <w:rsid w:val="00C65E77"/>
    <w:rsid w:val="00C8308B"/>
    <w:rsid w:val="00C918A7"/>
    <w:rsid w:val="00CA2F97"/>
    <w:rsid w:val="00CA5056"/>
    <w:rsid w:val="00CB3A97"/>
    <w:rsid w:val="00CB3C9C"/>
    <w:rsid w:val="00CB7144"/>
    <w:rsid w:val="00CD2B86"/>
    <w:rsid w:val="00CD2BBD"/>
    <w:rsid w:val="00CE05FF"/>
    <w:rsid w:val="00CE251F"/>
    <w:rsid w:val="00CE74CA"/>
    <w:rsid w:val="00CF120A"/>
    <w:rsid w:val="00D0162B"/>
    <w:rsid w:val="00D01816"/>
    <w:rsid w:val="00D04DA1"/>
    <w:rsid w:val="00D07B00"/>
    <w:rsid w:val="00D16AFD"/>
    <w:rsid w:val="00D23EE0"/>
    <w:rsid w:val="00D275DE"/>
    <w:rsid w:val="00D34884"/>
    <w:rsid w:val="00D41D94"/>
    <w:rsid w:val="00D52E9D"/>
    <w:rsid w:val="00D5304F"/>
    <w:rsid w:val="00D573EE"/>
    <w:rsid w:val="00D644B9"/>
    <w:rsid w:val="00D722FB"/>
    <w:rsid w:val="00D72783"/>
    <w:rsid w:val="00D72EBF"/>
    <w:rsid w:val="00D75BA3"/>
    <w:rsid w:val="00D81FF0"/>
    <w:rsid w:val="00D8354C"/>
    <w:rsid w:val="00DA2EAD"/>
    <w:rsid w:val="00DA3275"/>
    <w:rsid w:val="00DB0ED9"/>
    <w:rsid w:val="00DB2351"/>
    <w:rsid w:val="00DC7A68"/>
    <w:rsid w:val="00DD4ED0"/>
    <w:rsid w:val="00DD7EE0"/>
    <w:rsid w:val="00DF6C78"/>
    <w:rsid w:val="00E03373"/>
    <w:rsid w:val="00E05E35"/>
    <w:rsid w:val="00E06076"/>
    <w:rsid w:val="00E10343"/>
    <w:rsid w:val="00E15564"/>
    <w:rsid w:val="00E16B1E"/>
    <w:rsid w:val="00E226F1"/>
    <w:rsid w:val="00E25306"/>
    <w:rsid w:val="00E31E0F"/>
    <w:rsid w:val="00E327AD"/>
    <w:rsid w:val="00E34C86"/>
    <w:rsid w:val="00E36741"/>
    <w:rsid w:val="00E43C3B"/>
    <w:rsid w:val="00E44730"/>
    <w:rsid w:val="00E54EB2"/>
    <w:rsid w:val="00E6265E"/>
    <w:rsid w:val="00E637AA"/>
    <w:rsid w:val="00E67074"/>
    <w:rsid w:val="00E74EFF"/>
    <w:rsid w:val="00E930FE"/>
    <w:rsid w:val="00EA464C"/>
    <w:rsid w:val="00EB0953"/>
    <w:rsid w:val="00EB3390"/>
    <w:rsid w:val="00EB3CCF"/>
    <w:rsid w:val="00EB764D"/>
    <w:rsid w:val="00EC16CB"/>
    <w:rsid w:val="00EE13BC"/>
    <w:rsid w:val="00EF1C74"/>
    <w:rsid w:val="00EF716F"/>
    <w:rsid w:val="00F027C5"/>
    <w:rsid w:val="00F06692"/>
    <w:rsid w:val="00F105ED"/>
    <w:rsid w:val="00F1171B"/>
    <w:rsid w:val="00F1760D"/>
    <w:rsid w:val="00F241D2"/>
    <w:rsid w:val="00F257ED"/>
    <w:rsid w:val="00F27454"/>
    <w:rsid w:val="00F317B8"/>
    <w:rsid w:val="00F31FE2"/>
    <w:rsid w:val="00F32777"/>
    <w:rsid w:val="00F34E2B"/>
    <w:rsid w:val="00F40DE6"/>
    <w:rsid w:val="00F43A40"/>
    <w:rsid w:val="00F44EAF"/>
    <w:rsid w:val="00F51729"/>
    <w:rsid w:val="00F56F46"/>
    <w:rsid w:val="00F57E5F"/>
    <w:rsid w:val="00F63815"/>
    <w:rsid w:val="00F66B03"/>
    <w:rsid w:val="00F67C34"/>
    <w:rsid w:val="00F71DDA"/>
    <w:rsid w:val="00F807F2"/>
    <w:rsid w:val="00F82A75"/>
    <w:rsid w:val="00F8310B"/>
    <w:rsid w:val="00F84496"/>
    <w:rsid w:val="00FA4506"/>
    <w:rsid w:val="00FA73B4"/>
    <w:rsid w:val="00FB25E5"/>
    <w:rsid w:val="00FB4FCD"/>
    <w:rsid w:val="00FC125C"/>
    <w:rsid w:val="00FD43BE"/>
    <w:rsid w:val="00FE0876"/>
    <w:rsid w:val="00FE760A"/>
    <w:rsid w:val="00FF2C0D"/>
    <w:rsid w:val="00FF71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1A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1D2"/>
  </w:style>
  <w:style w:type="paragraph" w:styleId="Heading1">
    <w:name w:val="heading 1"/>
    <w:basedOn w:val="Normal"/>
    <w:next w:val="Normal"/>
    <w:link w:val="Heading1Char"/>
    <w:uiPriority w:val="9"/>
    <w:qFormat/>
    <w:rsid w:val="00F241D2"/>
    <w:pPr>
      <w:pBdr>
        <w:top w:val="single" w:sz="24" w:space="0" w:color="50B4C8" w:themeColor="accent1"/>
        <w:left w:val="single" w:sz="24" w:space="0" w:color="50B4C8" w:themeColor="accent1"/>
        <w:bottom w:val="single" w:sz="24" w:space="0" w:color="50B4C8" w:themeColor="accent1"/>
        <w:right w:val="single" w:sz="24" w:space="0" w:color="50B4C8" w:themeColor="accent1"/>
      </w:pBdr>
      <w:shd w:val="clear" w:color="auto" w:fill="50B4C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241D2"/>
    <w:pPr>
      <w:pBdr>
        <w:top w:val="single" w:sz="24" w:space="0" w:color="DCEFF4" w:themeColor="accent1" w:themeTint="33"/>
        <w:left w:val="single" w:sz="24" w:space="0" w:color="DCEFF4" w:themeColor="accent1" w:themeTint="33"/>
        <w:bottom w:val="single" w:sz="24" w:space="0" w:color="DCEFF4" w:themeColor="accent1" w:themeTint="33"/>
        <w:right w:val="single" w:sz="24" w:space="0" w:color="DCEFF4" w:themeColor="accent1" w:themeTint="33"/>
      </w:pBdr>
      <w:shd w:val="clear" w:color="auto" w:fill="DCEFF4"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241D2"/>
    <w:pPr>
      <w:pBdr>
        <w:top w:val="single" w:sz="6" w:space="2" w:color="50B4C8" w:themeColor="accent1"/>
      </w:pBdr>
      <w:spacing w:before="300" w:after="0"/>
      <w:outlineLvl w:val="2"/>
    </w:pPr>
    <w:rPr>
      <w:caps/>
      <w:color w:val="215D6A" w:themeColor="accent1" w:themeShade="7F"/>
      <w:spacing w:val="15"/>
    </w:rPr>
  </w:style>
  <w:style w:type="paragraph" w:styleId="Heading4">
    <w:name w:val="heading 4"/>
    <w:basedOn w:val="Normal"/>
    <w:next w:val="Normal"/>
    <w:link w:val="Heading4Char"/>
    <w:uiPriority w:val="9"/>
    <w:semiHidden/>
    <w:unhideWhenUsed/>
    <w:qFormat/>
    <w:rsid w:val="00F241D2"/>
    <w:pPr>
      <w:pBdr>
        <w:top w:val="dotted" w:sz="6" w:space="2" w:color="50B4C8" w:themeColor="accent1"/>
      </w:pBdr>
      <w:spacing w:before="200" w:after="0"/>
      <w:outlineLvl w:val="3"/>
    </w:pPr>
    <w:rPr>
      <w:caps/>
      <w:color w:val="328D9F" w:themeColor="accent1" w:themeShade="BF"/>
      <w:spacing w:val="10"/>
    </w:rPr>
  </w:style>
  <w:style w:type="paragraph" w:styleId="Heading5">
    <w:name w:val="heading 5"/>
    <w:basedOn w:val="Normal"/>
    <w:next w:val="Normal"/>
    <w:link w:val="Heading5Char"/>
    <w:uiPriority w:val="9"/>
    <w:semiHidden/>
    <w:unhideWhenUsed/>
    <w:qFormat/>
    <w:rsid w:val="00F241D2"/>
    <w:pPr>
      <w:pBdr>
        <w:bottom w:val="single" w:sz="6" w:space="1" w:color="50B4C8" w:themeColor="accent1"/>
      </w:pBdr>
      <w:spacing w:before="200" w:after="0"/>
      <w:outlineLvl w:val="4"/>
    </w:pPr>
    <w:rPr>
      <w:caps/>
      <w:color w:val="328D9F" w:themeColor="accent1" w:themeShade="BF"/>
      <w:spacing w:val="10"/>
    </w:rPr>
  </w:style>
  <w:style w:type="paragraph" w:styleId="Heading6">
    <w:name w:val="heading 6"/>
    <w:basedOn w:val="Normal"/>
    <w:next w:val="Normal"/>
    <w:link w:val="Heading6Char"/>
    <w:uiPriority w:val="9"/>
    <w:semiHidden/>
    <w:unhideWhenUsed/>
    <w:qFormat/>
    <w:rsid w:val="00F241D2"/>
    <w:pPr>
      <w:pBdr>
        <w:bottom w:val="dotted" w:sz="6" w:space="1" w:color="50B4C8" w:themeColor="accent1"/>
      </w:pBdr>
      <w:spacing w:before="200" w:after="0"/>
      <w:outlineLvl w:val="5"/>
    </w:pPr>
    <w:rPr>
      <w:caps/>
      <w:color w:val="328D9F" w:themeColor="accent1" w:themeShade="BF"/>
      <w:spacing w:val="10"/>
    </w:rPr>
  </w:style>
  <w:style w:type="paragraph" w:styleId="Heading7">
    <w:name w:val="heading 7"/>
    <w:basedOn w:val="Normal"/>
    <w:next w:val="Normal"/>
    <w:link w:val="Heading7Char"/>
    <w:uiPriority w:val="9"/>
    <w:semiHidden/>
    <w:unhideWhenUsed/>
    <w:qFormat/>
    <w:rsid w:val="00F241D2"/>
    <w:pPr>
      <w:spacing w:before="200" w:after="0"/>
      <w:outlineLvl w:val="6"/>
    </w:pPr>
    <w:rPr>
      <w:caps/>
      <w:color w:val="328D9F" w:themeColor="accent1" w:themeShade="BF"/>
      <w:spacing w:val="10"/>
    </w:rPr>
  </w:style>
  <w:style w:type="paragraph" w:styleId="Heading8">
    <w:name w:val="heading 8"/>
    <w:basedOn w:val="Normal"/>
    <w:next w:val="Normal"/>
    <w:link w:val="Heading8Char"/>
    <w:uiPriority w:val="9"/>
    <w:semiHidden/>
    <w:unhideWhenUsed/>
    <w:qFormat/>
    <w:rsid w:val="00F241D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41D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1D2"/>
    <w:rPr>
      <w:caps/>
      <w:color w:val="FFFFFF" w:themeColor="background1"/>
      <w:spacing w:val="15"/>
      <w:sz w:val="22"/>
      <w:szCs w:val="22"/>
      <w:shd w:val="clear" w:color="auto" w:fill="50B4C8" w:themeFill="accent1"/>
    </w:rPr>
  </w:style>
  <w:style w:type="character" w:customStyle="1" w:styleId="Heading2Char">
    <w:name w:val="Heading 2 Char"/>
    <w:basedOn w:val="DefaultParagraphFont"/>
    <w:link w:val="Heading2"/>
    <w:uiPriority w:val="9"/>
    <w:semiHidden/>
    <w:rsid w:val="00F241D2"/>
    <w:rPr>
      <w:caps/>
      <w:spacing w:val="15"/>
      <w:shd w:val="clear" w:color="auto" w:fill="DCEFF4" w:themeFill="accent1" w:themeFillTint="33"/>
    </w:rPr>
  </w:style>
  <w:style w:type="character" w:customStyle="1" w:styleId="Heading3Char">
    <w:name w:val="Heading 3 Char"/>
    <w:basedOn w:val="DefaultParagraphFont"/>
    <w:link w:val="Heading3"/>
    <w:uiPriority w:val="9"/>
    <w:semiHidden/>
    <w:rsid w:val="00F241D2"/>
    <w:rPr>
      <w:caps/>
      <w:color w:val="215D6A" w:themeColor="accent1" w:themeShade="7F"/>
      <w:spacing w:val="15"/>
    </w:rPr>
  </w:style>
  <w:style w:type="character" w:customStyle="1" w:styleId="Heading4Char">
    <w:name w:val="Heading 4 Char"/>
    <w:basedOn w:val="DefaultParagraphFont"/>
    <w:link w:val="Heading4"/>
    <w:uiPriority w:val="9"/>
    <w:semiHidden/>
    <w:rsid w:val="00F241D2"/>
    <w:rPr>
      <w:caps/>
      <w:color w:val="328D9F" w:themeColor="accent1" w:themeShade="BF"/>
      <w:spacing w:val="10"/>
    </w:rPr>
  </w:style>
  <w:style w:type="character" w:customStyle="1" w:styleId="Heading5Char">
    <w:name w:val="Heading 5 Char"/>
    <w:basedOn w:val="DefaultParagraphFont"/>
    <w:link w:val="Heading5"/>
    <w:uiPriority w:val="9"/>
    <w:semiHidden/>
    <w:rsid w:val="00F241D2"/>
    <w:rPr>
      <w:caps/>
      <w:color w:val="328D9F" w:themeColor="accent1" w:themeShade="BF"/>
      <w:spacing w:val="10"/>
    </w:rPr>
  </w:style>
  <w:style w:type="character" w:customStyle="1" w:styleId="Heading6Char">
    <w:name w:val="Heading 6 Char"/>
    <w:basedOn w:val="DefaultParagraphFont"/>
    <w:link w:val="Heading6"/>
    <w:uiPriority w:val="9"/>
    <w:semiHidden/>
    <w:rsid w:val="00F241D2"/>
    <w:rPr>
      <w:caps/>
      <w:color w:val="328D9F" w:themeColor="accent1" w:themeShade="BF"/>
      <w:spacing w:val="10"/>
    </w:rPr>
  </w:style>
  <w:style w:type="character" w:customStyle="1" w:styleId="Heading7Char">
    <w:name w:val="Heading 7 Char"/>
    <w:basedOn w:val="DefaultParagraphFont"/>
    <w:link w:val="Heading7"/>
    <w:uiPriority w:val="9"/>
    <w:semiHidden/>
    <w:rsid w:val="00F241D2"/>
    <w:rPr>
      <w:caps/>
      <w:color w:val="328D9F" w:themeColor="accent1" w:themeShade="BF"/>
      <w:spacing w:val="10"/>
    </w:rPr>
  </w:style>
  <w:style w:type="character" w:customStyle="1" w:styleId="Heading8Char">
    <w:name w:val="Heading 8 Char"/>
    <w:basedOn w:val="DefaultParagraphFont"/>
    <w:link w:val="Heading8"/>
    <w:uiPriority w:val="9"/>
    <w:semiHidden/>
    <w:rsid w:val="00F241D2"/>
    <w:rPr>
      <w:caps/>
      <w:spacing w:val="10"/>
      <w:sz w:val="18"/>
      <w:szCs w:val="18"/>
    </w:rPr>
  </w:style>
  <w:style w:type="character" w:customStyle="1" w:styleId="Heading9Char">
    <w:name w:val="Heading 9 Char"/>
    <w:basedOn w:val="DefaultParagraphFont"/>
    <w:link w:val="Heading9"/>
    <w:uiPriority w:val="9"/>
    <w:semiHidden/>
    <w:rsid w:val="00F241D2"/>
    <w:rPr>
      <w:i/>
      <w:iCs/>
      <w:caps/>
      <w:spacing w:val="10"/>
      <w:sz w:val="18"/>
      <w:szCs w:val="18"/>
    </w:rPr>
  </w:style>
  <w:style w:type="paragraph" w:styleId="Caption">
    <w:name w:val="caption"/>
    <w:basedOn w:val="Normal"/>
    <w:next w:val="Normal"/>
    <w:uiPriority w:val="35"/>
    <w:unhideWhenUsed/>
    <w:qFormat/>
    <w:rsid w:val="00F241D2"/>
    <w:rPr>
      <w:b/>
      <w:bCs/>
      <w:color w:val="328D9F" w:themeColor="accent1" w:themeShade="BF"/>
      <w:sz w:val="16"/>
      <w:szCs w:val="16"/>
    </w:rPr>
  </w:style>
  <w:style w:type="paragraph" w:styleId="Title">
    <w:name w:val="Title"/>
    <w:basedOn w:val="Normal"/>
    <w:next w:val="Normal"/>
    <w:link w:val="TitleChar"/>
    <w:uiPriority w:val="10"/>
    <w:qFormat/>
    <w:rsid w:val="00F241D2"/>
    <w:pPr>
      <w:spacing w:before="0" w:after="0"/>
    </w:pPr>
    <w:rPr>
      <w:rFonts w:asciiTheme="majorHAnsi" w:eastAsiaTheme="majorEastAsia" w:hAnsiTheme="majorHAnsi" w:cstheme="majorBidi"/>
      <w:caps/>
      <w:color w:val="50B4C8" w:themeColor="accent1"/>
      <w:spacing w:val="10"/>
      <w:sz w:val="52"/>
      <w:szCs w:val="52"/>
    </w:rPr>
  </w:style>
  <w:style w:type="character" w:customStyle="1" w:styleId="TitleChar">
    <w:name w:val="Title Char"/>
    <w:basedOn w:val="DefaultParagraphFont"/>
    <w:link w:val="Title"/>
    <w:uiPriority w:val="10"/>
    <w:rsid w:val="00F241D2"/>
    <w:rPr>
      <w:rFonts w:asciiTheme="majorHAnsi" w:eastAsiaTheme="majorEastAsia" w:hAnsiTheme="majorHAnsi" w:cstheme="majorBidi"/>
      <w:caps/>
      <w:color w:val="50B4C8" w:themeColor="accent1"/>
      <w:spacing w:val="10"/>
      <w:sz w:val="52"/>
      <w:szCs w:val="52"/>
    </w:rPr>
  </w:style>
  <w:style w:type="paragraph" w:styleId="Subtitle">
    <w:name w:val="Subtitle"/>
    <w:basedOn w:val="Normal"/>
    <w:next w:val="Normal"/>
    <w:link w:val="SubtitleChar"/>
    <w:uiPriority w:val="11"/>
    <w:qFormat/>
    <w:rsid w:val="00F241D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241D2"/>
    <w:rPr>
      <w:caps/>
      <w:color w:val="595959" w:themeColor="text1" w:themeTint="A6"/>
      <w:spacing w:val="10"/>
      <w:sz w:val="21"/>
      <w:szCs w:val="21"/>
    </w:rPr>
  </w:style>
  <w:style w:type="character" w:styleId="Strong">
    <w:name w:val="Strong"/>
    <w:uiPriority w:val="22"/>
    <w:qFormat/>
    <w:rsid w:val="00F241D2"/>
    <w:rPr>
      <w:b/>
      <w:bCs/>
    </w:rPr>
  </w:style>
  <w:style w:type="character" w:styleId="Emphasis">
    <w:name w:val="Emphasis"/>
    <w:uiPriority w:val="20"/>
    <w:qFormat/>
    <w:rsid w:val="00F241D2"/>
    <w:rPr>
      <w:caps/>
      <w:color w:val="215D6A" w:themeColor="accent1" w:themeShade="7F"/>
      <w:spacing w:val="5"/>
    </w:rPr>
  </w:style>
  <w:style w:type="paragraph" w:styleId="NoSpacing">
    <w:name w:val="No Spacing"/>
    <w:link w:val="NoSpacingChar"/>
    <w:uiPriority w:val="1"/>
    <w:qFormat/>
    <w:rsid w:val="00F241D2"/>
    <w:pPr>
      <w:spacing w:after="0" w:line="240" w:lineRule="auto"/>
    </w:pPr>
  </w:style>
  <w:style w:type="paragraph" w:styleId="Quote">
    <w:name w:val="Quote"/>
    <w:basedOn w:val="Normal"/>
    <w:next w:val="Normal"/>
    <w:link w:val="QuoteChar"/>
    <w:uiPriority w:val="29"/>
    <w:qFormat/>
    <w:rsid w:val="00F241D2"/>
    <w:rPr>
      <w:i/>
      <w:iCs/>
      <w:sz w:val="24"/>
      <w:szCs w:val="24"/>
    </w:rPr>
  </w:style>
  <w:style w:type="character" w:customStyle="1" w:styleId="QuoteChar">
    <w:name w:val="Quote Char"/>
    <w:basedOn w:val="DefaultParagraphFont"/>
    <w:link w:val="Quote"/>
    <w:uiPriority w:val="29"/>
    <w:rsid w:val="00F241D2"/>
    <w:rPr>
      <w:i/>
      <w:iCs/>
      <w:sz w:val="24"/>
      <w:szCs w:val="24"/>
    </w:rPr>
  </w:style>
  <w:style w:type="paragraph" w:styleId="IntenseQuote">
    <w:name w:val="Intense Quote"/>
    <w:basedOn w:val="Normal"/>
    <w:next w:val="Normal"/>
    <w:link w:val="IntenseQuoteChar"/>
    <w:uiPriority w:val="30"/>
    <w:qFormat/>
    <w:rsid w:val="00F241D2"/>
    <w:pPr>
      <w:spacing w:before="240" w:after="240" w:line="240" w:lineRule="auto"/>
      <w:ind w:left="1080" w:right="1080"/>
      <w:jc w:val="center"/>
    </w:pPr>
    <w:rPr>
      <w:color w:val="50B4C8" w:themeColor="accent1"/>
      <w:sz w:val="24"/>
      <w:szCs w:val="24"/>
    </w:rPr>
  </w:style>
  <w:style w:type="character" w:customStyle="1" w:styleId="IntenseQuoteChar">
    <w:name w:val="Intense Quote Char"/>
    <w:basedOn w:val="DefaultParagraphFont"/>
    <w:link w:val="IntenseQuote"/>
    <w:uiPriority w:val="30"/>
    <w:rsid w:val="00F241D2"/>
    <w:rPr>
      <w:color w:val="50B4C8" w:themeColor="accent1"/>
      <w:sz w:val="24"/>
      <w:szCs w:val="24"/>
    </w:rPr>
  </w:style>
  <w:style w:type="character" w:styleId="SubtleEmphasis">
    <w:name w:val="Subtle Emphasis"/>
    <w:uiPriority w:val="19"/>
    <w:qFormat/>
    <w:rsid w:val="00F241D2"/>
    <w:rPr>
      <w:i/>
      <w:iCs/>
      <w:color w:val="215D6A" w:themeColor="accent1" w:themeShade="7F"/>
    </w:rPr>
  </w:style>
  <w:style w:type="character" w:styleId="IntenseEmphasis">
    <w:name w:val="Intense Emphasis"/>
    <w:uiPriority w:val="21"/>
    <w:qFormat/>
    <w:rsid w:val="00F241D2"/>
    <w:rPr>
      <w:b/>
      <w:bCs/>
      <w:caps/>
      <w:color w:val="215D6A" w:themeColor="accent1" w:themeShade="7F"/>
      <w:spacing w:val="10"/>
    </w:rPr>
  </w:style>
  <w:style w:type="character" w:styleId="SubtleReference">
    <w:name w:val="Subtle Reference"/>
    <w:uiPriority w:val="31"/>
    <w:qFormat/>
    <w:rsid w:val="00F241D2"/>
    <w:rPr>
      <w:b/>
      <w:bCs/>
      <w:color w:val="50B4C8" w:themeColor="accent1"/>
    </w:rPr>
  </w:style>
  <w:style w:type="character" w:styleId="IntenseReference">
    <w:name w:val="Intense Reference"/>
    <w:uiPriority w:val="32"/>
    <w:qFormat/>
    <w:rsid w:val="00F241D2"/>
    <w:rPr>
      <w:b/>
      <w:bCs/>
      <w:i/>
      <w:iCs/>
      <w:caps/>
      <w:color w:val="50B4C8" w:themeColor="accent1"/>
    </w:rPr>
  </w:style>
  <w:style w:type="character" w:styleId="BookTitle">
    <w:name w:val="Book Title"/>
    <w:uiPriority w:val="33"/>
    <w:qFormat/>
    <w:rsid w:val="00F241D2"/>
    <w:rPr>
      <w:b/>
      <w:bCs/>
      <w:i/>
      <w:iCs/>
      <w:spacing w:val="0"/>
    </w:rPr>
  </w:style>
  <w:style w:type="paragraph" w:styleId="TOCHeading">
    <w:name w:val="TOC Heading"/>
    <w:basedOn w:val="Heading1"/>
    <w:next w:val="Normal"/>
    <w:uiPriority w:val="39"/>
    <w:semiHidden/>
    <w:unhideWhenUsed/>
    <w:qFormat/>
    <w:rsid w:val="00F241D2"/>
    <w:pPr>
      <w:outlineLvl w:val="9"/>
    </w:pPr>
  </w:style>
  <w:style w:type="table" w:styleId="TableGrid">
    <w:name w:val="Table Grid"/>
    <w:basedOn w:val="TableNormal"/>
    <w:uiPriority w:val="59"/>
    <w:rsid w:val="00472EA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E251F"/>
    <w:rPr>
      <w:color w:val="2370CD" w:themeColor="hyperlink"/>
      <w:u w:val="single"/>
    </w:rPr>
  </w:style>
  <w:style w:type="paragraph" w:styleId="ListParagraph">
    <w:name w:val="List Paragraph"/>
    <w:basedOn w:val="Normal"/>
    <w:uiPriority w:val="34"/>
    <w:qFormat/>
    <w:rsid w:val="009F5B2B"/>
    <w:pPr>
      <w:spacing w:before="0"/>
      <w:ind w:left="720"/>
      <w:contextualSpacing/>
    </w:pPr>
    <w:rPr>
      <w:sz w:val="22"/>
      <w:szCs w:val="22"/>
      <w:lang w:eastAsia="en-AU"/>
    </w:rPr>
  </w:style>
  <w:style w:type="character" w:styleId="FootnoteReference">
    <w:name w:val="footnote reference"/>
    <w:basedOn w:val="DefaultParagraphFont"/>
    <w:uiPriority w:val="99"/>
    <w:rsid w:val="009F5B2B"/>
    <w:rPr>
      <w:vertAlign w:val="superscript"/>
    </w:rPr>
  </w:style>
  <w:style w:type="paragraph" w:styleId="FootnoteText">
    <w:name w:val="footnote text"/>
    <w:basedOn w:val="Normal"/>
    <w:link w:val="FootnoteTextChar"/>
    <w:uiPriority w:val="99"/>
    <w:unhideWhenUsed/>
    <w:rsid w:val="009F5B2B"/>
    <w:pPr>
      <w:spacing w:before="0" w:after="0" w:line="240" w:lineRule="auto"/>
    </w:pPr>
    <w:rPr>
      <w:lang w:eastAsia="en-AU"/>
    </w:rPr>
  </w:style>
  <w:style w:type="character" w:customStyle="1" w:styleId="FootnoteTextChar">
    <w:name w:val="Footnote Text Char"/>
    <w:basedOn w:val="DefaultParagraphFont"/>
    <w:link w:val="FootnoteText"/>
    <w:uiPriority w:val="99"/>
    <w:rsid w:val="009F5B2B"/>
    <w:rPr>
      <w:lang w:eastAsia="en-AU"/>
    </w:rPr>
  </w:style>
  <w:style w:type="character" w:customStyle="1" w:styleId="NoSpacingChar">
    <w:name w:val="No Spacing Char"/>
    <w:basedOn w:val="DefaultParagraphFont"/>
    <w:link w:val="NoSpacing"/>
    <w:uiPriority w:val="1"/>
    <w:rsid w:val="009F5B2B"/>
  </w:style>
  <w:style w:type="table" w:customStyle="1" w:styleId="TableGrid1">
    <w:name w:val="Table Grid1"/>
    <w:basedOn w:val="TableNormal"/>
    <w:next w:val="TableGrid"/>
    <w:uiPriority w:val="59"/>
    <w:rsid w:val="009C5C6F"/>
    <w:pPr>
      <w:spacing w:before="0"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4506"/>
    <w:pPr>
      <w:tabs>
        <w:tab w:val="center" w:pos="4513"/>
        <w:tab w:val="right" w:pos="9026"/>
      </w:tabs>
      <w:spacing w:before="0" w:after="0" w:line="240" w:lineRule="auto"/>
    </w:pPr>
    <w:rPr>
      <w:rFonts w:eastAsia="Calibri"/>
      <w:sz w:val="22"/>
      <w:szCs w:val="22"/>
    </w:rPr>
  </w:style>
  <w:style w:type="character" w:customStyle="1" w:styleId="HeaderChar">
    <w:name w:val="Header Char"/>
    <w:basedOn w:val="DefaultParagraphFont"/>
    <w:link w:val="Header"/>
    <w:uiPriority w:val="99"/>
    <w:rsid w:val="00FA4506"/>
    <w:rPr>
      <w:rFonts w:eastAsia="Calibri"/>
      <w:sz w:val="22"/>
      <w:szCs w:val="22"/>
    </w:rPr>
  </w:style>
  <w:style w:type="table" w:customStyle="1" w:styleId="TableGrid2">
    <w:name w:val="Table Grid2"/>
    <w:basedOn w:val="TableNormal"/>
    <w:next w:val="TableGrid"/>
    <w:uiPriority w:val="59"/>
    <w:rsid w:val="00FA4506"/>
    <w:pPr>
      <w:spacing w:before="0"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A450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A4506"/>
  </w:style>
  <w:style w:type="paragraph" w:styleId="BalloonText">
    <w:name w:val="Balloon Text"/>
    <w:basedOn w:val="Normal"/>
    <w:link w:val="BalloonTextChar"/>
    <w:uiPriority w:val="99"/>
    <w:semiHidden/>
    <w:unhideWhenUsed/>
    <w:rsid w:val="00A74B5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B52"/>
    <w:rPr>
      <w:rFonts w:ascii="Segoe UI" w:hAnsi="Segoe UI" w:cs="Segoe UI"/>
      <w:sz w:val="18"/>
      <w:szCs w:val="18"/>
    </w:rPr>
  </w:style>
  <w:style w:type="character" w:styleId="CommentReference">
    <w:name w:val="annotation reference"/>
    <w:basedOn w:val="DefaultParagraphFont"/>
    <w:uiPriority w:val="99"/>
    <w:semiHidden/>
    <w:unhideWhenUsed/>
    <w:rsid w:val="003F5BB3"/>
    <w:rPr>
      <w:sz w:val="16"/>
      <w:szCs w:val="16"/>
    </w:rPr>
  </w:style>
  <w:style w:type="paragraph" w:styleId="CommentText">
    <w:name w:val="annotation text"/>
    <w:basedOn w:val="Normal"/>
    <w:link w:val="CommentTextChar"/>
    <w:uiPriority w:val="99"/>
    <w:semiHidden/>
    <w:unhideWhenUsed/>
    <w:rsid w:val="003F5BB3"/>
    <w:pPr>
      <w:spacing w:line="240" w:lineRule="auto"/>
    </w:pPr>
  </w:style>
  <w:style w:type="character" w:customStyle="1" w:styleId="CommentTextChar">
    <w:name w:val="Comment Text Char"/>
    <w:basedOn w:val="DefaultParagraphFont"/>
    <w:link w:val="CommentText"/>
    <w:uiPriority w:val="99"/>
    <w:semiHidden/>
    <w:rsid w:val="003F5BB3"/>
  </w:style>
  <w:style w:type="paragraph" w:styleId="CommentSubject">
    <w:name w:val="annotation subject"/>
    <w:basedOn w:val="CommentText"/>
    <w:next w:val="CommentText"/>
    <w:link w:val="CommentSubjectChar"/>
    <w:uiPriority w:val="99"/>
    <w:semiHidden/>
    <w:unhideWhenUsed/>
    <w:rsid w:val="003F5BB3"/>
    <w:rPr>
      <w:b/>
      <w:bCs/>
    </w:rPr>
  </w:style>
  <w:style w:type="character" w:customStyle="1" w:styleId="CommentSubjectChar">
    <w:name w:val="Comment Subject Char"/>
    <w:basedOn w:val="CommentTextChar"/>
    <w:link w:val="CommentSubject"/>
    <w:uiPriority w:val="99"/>
    <w:semiHidden/>
    <w:rsid w:val="003F5BB3"/>
    <w:rPr>
      <w:b/>
      <w:bCs/>
    </w:rPr>
  </w:style>
  <w:style w:type="character" w:styleId="PageNumber">
    <w:name w:val="page number"/>
    <w:basedOn w:val="DefaultParagraphFont"/>
    <w:uiPriority w:val="99"/>
    <w:unhideWhenUsed/>
    <w:rsid w:val="00D41D94"/>
  </w:style>
  <w:style w:type="character" w:styleId="FollowedHyperlink">
    <w:name w:val="FollowedHyperlink"/>
    <w:basedOn w:val="DefaultParagraphFont"/>
    <w:uiPriority w:val="99"/>
    <w:semiHidden/>
    <w:unhideWhenUsed/>
    <w:rsid w:val="00D34884"/>
    <w:rPr>
      <w:color w:val="877589"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1D2"/>
  </w:style>
  <w:style w:type="paragraph" w:styleId="Heading1">
    <w:name w:val="heading 1"/>
    <w:basedOn w:val="Normal"/>
    <w:next w:val="Normal"/>
    <w:link w:val="Heading1Char"/>
    <w:uiPriority w:val="9"/>
    <w:qFormat/>
    <w:rsid w:val="00F241D2"/>
    <w:pPr>
      <w:pBdr>
        <w:top w:val="single" w:sz="24" w:space="0" w:color="50B4C8" w:themeColor="accent1"/>
        <w:left w:val="single" w:sz="24" w:space="0" w:color="50B4C8" w:themeColor="accent1"/>
        <w:bottom w:val="single" w:sz="24" w:space="0" w:color="50B4C8" w:themeColor="accent1"/>
        <w:right w:val="single" w:sz="24" w:space="0" w:color="50B4C8" w:themeColor="accent1"/>
      </w:pBdr>
      <w:shd w:val="clear" w:color="auto" w:fill="50B4C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241D2"/>
    <w:pPr>
      <w:pBdr>
        <w:top w:val="single" w:sz="24" w:space="0" w:color="DCEFF4" w:themeColor="accent1" w:themeTint="33"/>
        <w:left w:val="single" w:sz="24" w:space="0" w:color="DCEFF4" w:themeColor="accent1" w:themeTint="33"/>
        <w:bottom w:val="single" w:sz="24" w:space="0" w:color="DCEFF4" w:themeColor="accent1" w:themeTint="33"/>
        <w:right w:val="single" w:sz="24" w:space="0" w:color="DCEFF4" w:themeColor="accent1" w:themeTint="33"/>
      </w:pBdr>
      <w:shd w:val="clear" w:color="auto" w:fill="DCEFF4"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241D2"/>
    <w:pPr>
      <w:pBdr>
        <w:top w:val="single" w:sz="6" w:space="2" w:color="50B4C8" w:themeColor="accent1"/>
      </w:pBdr>
      <w:spacing w:before="300" w:after="0"/>
      <w:outlineLvl w:val="2"/>
    </w:pPr>
    <w:rPr>
      <w:caps/>
      <w:color w:val="215D6A" w:themeColor="accent1" w:themeShade="7F"/>
      <w:spacing w:val="15"/>
    </w:rPr>
  </w:style>
  <w:style w:type="paragraph" w:styleId="Heading4">
    <w:name w:val="heading 4"/>
    <w:basedOn w:val="Normal"/>
    <w:next w:val="Normal"/>
    <w:link w:val="Heading4Char"/>
    <w:uiPriority w:val="9"/>
    <w:semiHidden/>
    <w:unhideWhenUsed/>
    <w:qFormat/>
    <w:rsid w:val="00F241D2"/>
    <w:pPr>
      <w:pBdr>
        <w:top w:val="dotted" w:sz="6" w:space="2" w:color="50B4C8" w:themeColor="accent1"/>
      </w:pBdr>
      <w:spacing w:before="200" w:after="0"/>
      <w:outlineLvl w:val="3"/>
    </w:pPr>
    <w:rPr>
      <w:caps/>
      <w:color w:val="328D9F" w:themeColor="accent1" w:themeShade="BF"/>
      <w:spacing w:val="10"/>
    </w:rPr>
  </w:style>
  <w:style w:type="paragraph" w:styleId="Heading5">
    <w:name w:val="heading 5"/>
    <w:basedOn w:val="Normal"/>
    <w:next w:val="Normal"/>
    <w:link w:val="Heading5Char"/>
    <w:uiPriority w:val="9"/>
    <w:semiHidden/>
    <w:unhideWhenUsed/>
    <w:qFormat/>
    <w:rsid w:val="00F241D2"/>
    <w:pPr>
      <w:pBdr>
        <w:bottom w:val="single" w:sz="6" w:space="1" w:color="50B4C8" w:themeColor="accent1"/>
      </w:pBdr>
      <w:spacing w:before="200" w:after="0"/>
      <w:outlineLvl w:val="4"/>
    </w:pPr>
    <w:rPr>
      <w:caps/>
      <w:color w:val="328D9F" w:themeColor="accent1" w:themeShade="BF"/>
      <w:spacing w:val="10"/>
    </w:rPr>
  </w:style>
  <w:style w:type="paragraph" w:styleId="Heading6">
    <w:name w:val="heading 6"/>
    <w:basedOn w:val="Normal"/>
    <w:next w:val="Normal"/>
    <w:link w:val="Heading6Char"/>
    <w:uiPriority w:val="9"/>
    <w:semiHidden/>
    <w:unhideWhenUsed/>
    <w:qFormat/>
    <w:rsid w:val="00F241D2"/>
    <w:pPr>
      <w:pBdr>
        <w:bottom w:val="dotted" w:sz="6" w:space="1" w:color="50B4C8" w:themeColor="accent1"/>
      </w:pBdr>
      <w:spacing w:before="200" w:after="0"/>
      <w:outlineLvl w:val="5"/>
    </w:pPr>
    <w:rPr>
      <w:caps/>
      <w:color w:val="328D9F" w:themeColor="accent1" w:themeShade="BF"/>
      <w:spacing w:val="10"/>
    </w:rPr>
  </w:style>
  <w:style w:type="paragraph" w:styleId="Heading7">
    <w:name w:val="heading 7"/>
    <w:basedOn w:val="Normal"/>
    <w:next w:val="Normal"/>
    <w:link w:val="Heading7Char"/>
    <w:uiPriority w:val="9"/>
    <w:semiHidden/>
    <w:unhideWhenUsed/>
    <w:qFormat/>
    <w:rsid w:val="00F241D2"/>
    <w:pPr>
      <w:spacing w:before="200" w:after="0"/>
      <w:outlineLvl w:val="6"/>
    </w:pPr>
    <w:rPr>
      <w:caps/>
      <w:color w:val="328D9F" w:themeColor="accent1" w:themeShade="BF"/>
      <w:spacing w:val="10"/>
    </w:rPr>
  </w:style>
  <w:style w:type="paragraph" w:styleId="Heading8">
    <w:name w:val="heading 8"/>
    <w:basedOn w:val="Normal"/>
    <w:next w:val="Normal"/>
    <w:link w:val="Heading8Char"/>
    <w:uiPriority w:val="9"/>
    <w:semiHidden/>
    <w:unhideWhenUsed/>
    <w:qFormat/>
    <w:rsid w:val="00F241D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41D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1D2"/>
    <w:rPr>
      <w:caps/>
      <w:color w:val="FFFFFF" w:themeColor="background1"/>
      <w:spacing w:val="15"/>
      <w:sz w:val="22"/>
      <w:szCs w:val="22"/>
      <w:shd w:val="clear" w:color="auto" w:fill="50B4C8" w:themeFill="accent1"/>
    </w:rPr>
  </w:style>
  <w:style w:type="character" w:customStyle="1" w:styleId="Heading2Char">
    <w:name w:val="Heading 2 Char"/>
    <w:basedOn w:val="DefaultParagraphFont"/>
    <w:link w:val="Heading2"/>
    <w:uiPriority w:val="9"/>
    <w:semiHidden/>
    <w:rsid w:val="00F241D2"/>
    <w:rPr>
      <w:caps/>
      <w:spacing w:val="15"/>
      <w:shd w:val="clear" w:color="auto" w:fill="DCEFF4" w:themeFill="accent1" w:themeFillTint="33"/>
    </w:rPr>
  </w:style>
  <w:style w:type="character" w:customStyle="1" w:styleId="Heading3Char">
    <w:name w:val="Heading 3 Char"/>
    <w:basedOn w:val="DefaultParagraphFont"/>
    <w:link w:val="Heading3"/>
    <w:uiPriority w:val="9"/>
    <w:semiHidden/>
    <w:rsid w:val="00F241D2"/>
    <w:rPr>
      <w:caps/>
      <w:color w:val="215D6A" w:themeColor="accent1" w:themeShade="7F"/>
      <w:spacing w:val="15"/>
    </w:rPr>
  </w:style>
  <w:style w:type="character" w:customStyle="1" w:styleId="Heading4Char">
    <w:name w:val="Heading 4 Char"/>
    <w:basedOn w:val="DefaultParagraphFont"/>
    <w:link w:val="Heading4"/>
    <w:uiPriority w:val="9"/>
    <w:semiHidden/>
    <w:rsid w:val="00F241D2"/>
    <w:rPr>
      <w:caps/>
      <w:color w:val="328D9F" w:themeColor="accent1" w:themeShade="BF"/>
      <w:spacing w:val="10"/>
    </w:rPr>
  </w:style>
  <w:style w:type="character" w:customStyle="1" w:styleId="Heading5Char">
    <w:name w:val="Heading 5 Char"/>
    <w:basedOn w:val="DefaultParagraphFont"/>
    <w:link w:val="Heading5"/>
    <w:uiPriority w:val="9"/>
    <w:semiHidden/>
    <w:rsid w:val="00F241D2"/>
    <w:rPr>
      <w:caps/>
      <w:color w:val="328D9F" w:themeColor="accent1" w:themeShade="BF"/>
      <w:spacing w:val="10"/>
    </w:rPr>
  </w:style>
  <w:style w:type="character" w:customStyle="1" w:styleId="Heading6Char">
    <w:name w:val="Heading 6 Char"/>
    <w:basedOn w:val="DefaultParagraphFont"/>
    <w:link w:val="Heading6"/>
    <w:uiPriority w:val="9"/>
    <w:semiHidden/>
    <w:rsid w:val="00F241D2"/>
    <w:rPr>
      <w:caps/>
      <w:color w:val="328D9F" w:themeColor="accent1" w:themeShade="BF"/>
      <w:spacing w:val="10"/>
    </w:rPr>
  </w:style>
  <w:style w:type="character" w:customStyle="1" w:styleId="Heading7Char">
    <w:name w:val="Heading 7 Char"/>
    <w:basedOn w:val="DefaultParagraphFont"/>
    <w:link w:val="Heading7"/>
    <w:uiPriority w:val="9"/>
    <w:semiHidden/>
    <w:rsid w:val="00F241D2"/>
    <w:rPr>
      <w:caps/>
      <w:color w:val="328D9F" w:themeColor="accent1" w:themeShade="BF"/>
      <w:spacing w:val="10"/>
    </w:rPr>
  </w:style>
  <w:style w:type="character" w:customStyle="1" w:styleId="Heading8Char">
    <w:name w:val="Heading 8 Char"/>
    <w:basedOn w:val="DefaultParagraphFont"/>
    <w:link w:val="Heading8"/>
    <w:uiPriority w:val="9"/>
    <w:semiHidden/>
    <w:rsid w:val="00F241D2"/>
    <w:rPr>
      <w:caps/>
      <w:spacing w:val="10"/>
      <w:sz w:val="18"/>
      <w:szCs w:val="18"/>
    </w:rPr>
  </w:style>
  <w:style w:type="character" w:customStyle="1" w:styleId="Heading9Char">
    <w:name w:val="Heading 9 Char"/>
    <w:basedOn w:val="DefaultParagraphFont"/>
    <w:link w:val="Heading9"/>
    <w:uiPriority w:val="9"/>
    <w:semiHidden/>
    <w:rsid w:val="00F241D2"/>
    <w:rPr>
      <w:i/>
      <w:iCs/>
      <w:caps/>
      <w:spacing w:val="10"/>
      <w:sz w:val="18"/>
      <w:szCs w:val="18"/>
    </w:rPr>
  </w:style>
  <w:style w:type="paragraph" w:styleId="Caption">
    <w:name w:val="caption"/>
    <w:basedOn w:val="Normal"/>
    <w:next w:val="Normal"/>
    <w:uiPriority w:val="35"/>
    <w:unhideWhenUsed/>
    <w:qFormat/>
    <w:rsid w:val="00F241D2"/>
    <w:rPr>
      <w:b/>
      <w:bCs/>
      <w:color w:val="328D9F" w:themeColor="accent1" w:themeShade="BF"/>
      <w:sz w:val="16"/>
      <w:szCs w:val="16"/>
    </w:rPr>
  </w:style>
  <w:style w:type="paragraph" w:styleId="Title">
    <w:name w:val="Title"/>
    <w:basedOn w:val="Normal"/>
    <w:next w:val="Normal"/>
    <w:link w:val="TitleChar"/>
    <w:uiPriority w:val="10"/>
    <w:qFormat/>
    <w:rsid w:val="00F241D2"/>
    <w:pPr>
      <w:spacing w:before="0" w:after="0"/>
    </w:pPr>
    <w:rPr>
      <w:rFonts w:asciiTheme="majorHAnsi" w:eastAsiaTheme="majorEastAsia" w:hAnsiTheme="majorHAnsi" w:cstheme="majorBidi"/>
      <w:caps/>
      <w:color w:val="50B4C8" w:themeColor="accent1"/>
      <w:spacing w:val="10"/>
      <w:sz w:val="52"/>
      <w:szCs w:val="52"/>
    </w:rPr>
  </w:style>
  <w:style w:type="character" w:customStyle="1" w:styleId="TitleChar">
    <w:name w:val="Title Char"/>
    <w:basedOn w:val="DefaultParagraphFont"/>
    <w:link w:val="Title"/>
    <w:uiPriority w:val="10"/>
    <w:rsid w:val="00F241D2"/>
    <w:rPr>
      <w:rFonts w:asciiTheme="majorHAnsi" w:eastAsiaTheme="majorEastAsia" w:hAnsiTheme="majorHAnsi" w:cstheme="majorBidi"/>
      <w:caps/>
      <w:color w:val="50B4C8" w:themeColor="accent1"/>
      <w:spacing w:val="10"/>
      <w:sz w:val="52"/>
      <w:szCs w:val="52"/>
    </w:rPr>
  </w:style>
  <w:style w:type="paragraph" w:styleId="Subtitle">
    <w:name w:val="Subtitle"/>
    <w:basedOn w:val="Normal"/>
    <w:next w:val="Normal"/>
    <w:link w:val="SubtitleChar"/>
    <w:uiPriority w:val="11"/>
    <w:qFormat/>
    <w:rsid w:val="00F241D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241D2"/>
    <w:rPr>
      <w:caps/>
      <w:color w:val="595959" w:themeColor="text1" w:themeTint="A6"/>
      <w:spacing w:val="10"/>
      <w:sz w:val="21"/>
      <w:szCs w:val="21"/>
    </w:rPr>
  </w:style>
  <w:style w:type="character" w:styleId="Strong">
    <w:name w:val="Strong"/>
    <w:uiPriority w:val="22"/>
    <w:qFormat/>
    <w:rsid w:val="00F241D2"/>
    <w:rPr>
      <w:b/>
      <w:bCs/>
    </w:rPr>
  </w:style>
  <w:style w:type="character" w:styleId="Emphasis">
    <w:name w:val="Emphasis"/>
    <w:uiPriority w:val="20"/>
    <w:qFormat/>
    <w:rsid w:val="00F241D2"/>
    <w:rPr>
      <w:caps/>
      <w:color w:val="215D6A" w:themeColor="accent1" w:themeShade="7F"/>
      <w:spacing w:val="5"/>
    </w:rPr>
  </w:style>
  <w:style w:type="paragraph" w:styleId="NoSpacing">
    <w:name w:val="No Spacing"/>
    <w:link w:val="NoSpacingChar"/>
    <w:uiPriority w:val="1"/>
    <w:qFormat/>
    <w:rsid w:val="00F241D2"/>
    <w:pPr>
      <w:spacing w:after="0" w:line="240" w:lineRule="auto"/>
    </w:pPr>
  </w:style>
  <w:style w:type="paragraph" w:styleId="Quote">
    <w:name w:val="Quote"/>
    <w:basedOn w:val="Normal"/>
    <w:next w:val="Normal"/>
    <w:link w:val="QuoteChar"/>
    <w:uiPriority w:val="29"/>
    <w:qFormat/>
    <w:rsid w:val="00F241D2"/>
    <w:rPr>
      <w:i/>
      <w:iCs/>
      <w:sz w:val="24"/>
      <w:szCs w:val="24"/>
    </w:rPr>
  </w:style>
  <w:style w:type="character" w:customStyle="1" w:styleId="QuoteChar">
    <w:name w:val="Quote Char"/>
    <w:basedOn w:val="DefaultParagraphFont"/>
    <w:link w:val="Quote"/>
    <w:uiPriority w:val="29"/>
    <w:rsid w:val="00F241D2"/>
    <w:rPr>
      <w:i/>
      <w:iCs/>
      <w:sz w:val="24"/>
      <w:szCs w:val="24"/>
    </w:rPr>
  </w:style>
  <w:style w:type="paragraph" w:styleId="IntenseQuote">
    <w:name w:val="Intense Quote"/>
    <w:basedOn w:val="Normal"/>
    <w:next w:val="Normal"/>
    <w:link w:val="IntenseQuoteChar"/>
    <w:uiPriority w:val="30"/>
    <w:qFormat/>
    <w:rsid w:val="00F241D2"/>
    <w:pPr>
      <w:spacing w:before="240" w:after="240" w:line="240" w:lineRule="auto"/>
      <w:ind w:left="1080" w:right="1080"/>
      <w:jc w:val="center"/>
    </w:pPr>
    <w:rPr>
      <w:color w:val="50B4C8" w:themeColor="accent1"/>
      <w:sz w:val="24"/>
      <w:szCs w:val="24"/>
    </w:rPr>
  </w:style>
  <w:style w:type="character" w:customStyle="1" w:styleId="IntenseQuoteChar">
    <w:name w:val="Intense Quote Char"/>
    <w:basedOn w:val="DefaultParagraphFont"/>
    <w:link w:val="IntenseQuote"/>
    <w:uiPriority w:val="30"/>
    <w:rsid w:val="00F241D2"/>
    <w:rPr>
      <w:color w:val="50B4C8" w:themeColor="accent1"/>
      <w:sz w:val="24"/>
      <w:szCs w:val="24"/>
    </w:rPr>
  </w:style>
  <w:style w:type="character" w:styleId="SubtleEmphasis">
    <w:name w:val="Subtle Emphasis"/>
    <w:uiPriority w:val="19"/>
    <w:qFormat/>
    <w:rsid w:val="00F241D2"/>
    <w:rPr>
      <w:i/>
      <w:iCs/>
      <w:color w:val="215D6A" w:themeColor="accent1" w:themeShade="7F"/>
    </w:rPr>
  </w:style>
  <w:style w:type="character" w:styleId="IntenseEmphasis">
    <w:name w:val="Intense Emphasis"/>
    <w:uiPriority w:val="21"/>
    <w:qFormat/>
    <w:rsid w:val="00F241D2"/>
    <w:rPr>
      <w:b/>
      <w:bCs/>
      <w:caps/>
      <w:color w:val="215D6A" w:themeColor="accent1" w:themeShade="7F"/>
      <w:spacing w:val="10"/>
    </w:rPr>
  </w:style>
  <w:style w:type="character" w:styleId="SubtleReference">
    <w:name w:val="Subtle Reference"/>
    <w:uiPriority w:val="31"/>
    <w:qFormat/>
    <w:rsid w:val="00F241D2"/>
    <w:rPr>
      <w:b/>
      <w:bCs/>
      <w:color w:val="50B4C8" w:themeColor="accent1"/>
    </w:rPr>
  </w:style>
  <w:style w:type="character" w:styleId="IntenseReference">
    <w:name w:val="Intense Reference"/>
    <w:uiPriority w:val="32"/>
    <w:qFormat/>
    <w:rsid w:val="00F241D2"/>
    <w:rPr>
      <w:b/>
      <w:bCs/>
      <w:i/>
      <w:iCs/>
      <w:caps/>
      <w:color w:val="50B4C8" w:themeColor="accent1"/>
    </w:rPr>
  </w:style>
  <w:style w:type="character" w:styleId="BookTitle">
    <w:name w:val="Book Title"/>
    <w:uiPriority w:val="33"/>
    <w:qFormat/>
    <w:rsid w:val="00F241D2"/>
    <w:rPr>
      <w:b/>
      <w:bCs/>
      <w:i/>
      <w:iCs/>
      <w:spacing w:val="0"/>
    </w:rPr>
  </w:style>
  <w:style w:type="paragraph" w:styleId="TOCHeading">
    <w:name w:val="TOC Heading"/>
    <w:basedOn w:val="Heading1"/>
    <w:next w:val="Normal"/>
    <w:uiPriority w:val="39"/>
    <w:semiHidden/>
    <w:unhideWhenUsed/>
    <w:qFormat/>
    <w:rsid w:val="00F241D2"/>
    <w:pPr>
      <w:outlineLvl w:val="9"/>
    </w:pPr>
  </w:style>
  <w:style w:type="table" w:styleId="TableGrid">
    <w:name w:val="Table Grid"/>
    <w:basedOn w:val="TableNormal"/>
    <w:uiPriority w:val="59"/>
    <w:rsid w:val="00472EA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E251F"/>
    <w:rPr>
      <w:color w:val="2370CD" w:themeColor="hyperlink"/>
      <w:u w:val="single"/>
    </w:rPr>
  </w:style>
  <w:style w:type="paragraph" w:styleId="ListParagraph">
    <w:name w:val="List Paragraph"/>
    <w:basedOn w:val="Normal"/>
    <w:uiPriority w:val="34"/>
    <w:qFormat/>
    <w:rsid w:val="009F5B2B"/>
    <w:pPr>
      <w:spacing w:before="0"/>
      <w:ind w:left="720"/>
      <w:contextualSpacing/>
    </w:pPr>
    <w:rPr>
      <w:sz w:val="22"/>
      <w:szCs w:val="22"/>
      <w:lang w:eastAsia="en-AU"/>
    </w:rPr>
  </w:style>
  <w:style w:type="character" w:styleId="FootnoteReference">
    <w:name w:val="footnote reference"/>
    <w:basedOn w:val="DefaultParagraphFont"/>
    <w:uiPriority w:val="99"/>
    <w:rsid w:val="009F5B2B"/>
    <w:rPr>
      <w:vertAlign w:val="superscript"/>
    </w:rPr>
  </w:style>
  <w:style w:type="paragraph" w:styleId="FootnoteText">
    <w:name w:val="footnote text"/>
    <w:basedOn w:val="Normal"/>
    <w:link w:val="FootnoteTextChar"/>
    <w:uiPriority w:val="99"/>
    <w:unhideWhenUsed/>
    <w:rsid w:val="009F5B2B"/>
    <w:pPr>
      <w:spacing w:before="0" w:after="0" w:line="240" w:lineRule="auto"/>
    </w:pPr>
    <w:rPr>
      <w:lang w:eastAsia="en-AU"/>
    </w:rPr>
  </w:style>
  <w:style w:type="character" w:customStyle="1" w:styleId="FootnoteTextChar">
    <w:name w:val="Footnote Text Char"/>
    <w:basedOn w:val="DefaultParagraphFont"/>
    <w:link w:val="FootnoteText"/>
    <w:uiPriority w:val="99"/>
    <w:rsid w:val="009F5B2B"/>
    <w:rPr>
      <w:lang w:eastAsia="en-AU"/>
    </w:rPr>
  </w:style>
  <w:style w:type="character" w:customStyle="1" w:styleId="NoSpacingChar">
    <w:name w:val="No Spacing Char"/>
    <w:basedOn w:val="DefaultParagraphFont"/>
    <w:link w:val="NoSpacing"/>
    <w:uiPriority w:val="1"/>
    <w:rsid w:val="009F5B2B"/>
  </w:style>
  <w:style w:type="table" w:customStyle="1" w:styleId="TableGrid1">
    <w:name w:val="Table Grid1"/>
    <w:basedOn w:val="TableNormal"/>
    <w:next w:val="TableGrid"/>
    <w:uiPriority w:val="59"/>
    <w:rsid w:val="009C5C6F"/>
    <w:pPr>
      <w:spacing w:before="0"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4506"/>
    <w:pPr>
      <w:tabs>
        <w:tab w:val="center" w:pos="4513"/>
        <w:tab w:val="right" w:pos="9026"/>
      </w:tabs>
      <w:spacing w:before="0" w:after="0" w:line="240" w:lineRule="auto"/>
    </w:pPr>
    <w:rPr>
      <w:rFonts w:eastAsia="Calibri"/>
      <w:sz w:val="22"/>
      <w:szCs w:val="22"/>
    </w:rPr>
  </w:style>
  <w:style w:type="character" w:customStyle="1" w:styleId="HeaderChar">
    <w:name w:val="Header Char"/>
    <w:basedOn w:val="DefaultParagraphFont"/>
    <w:link w:val="Header"/>
    <w:uiPriority w:val="99"/>
    <w:rsid w:val="00FA4506"/>
    <w:rPr>
      <w:rFonts w:eastAsia="Calibri"/>
      <w:sz w:val="22"/>
      <w:szCs w:val="22"/>
    </w:rPr>
  </w:style>
  <w:style w:type="table" w:customStyle="1" w:styleId="TableGrid2">
    <w:name w:val="Table Grid2"/>
    <w:basedOn w:val="TableNormal"/>
    <w:next w:val="TableGrid"/>
    <w:uiPriority w:val="59"/>
    <w:rsid w:val="00FA4506"/>
    <w:pPr>
      <w:spacing w:before="0"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A450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A4506"/>
  </w:style>
  <w:style w:type="paragraph" w:styleId="BalloonText">
    <w:name w:val="Balloon Text"/>
    <w:basedOn w:val="Normal"/>
    <w:link w:val="BalloonTextChar"/>
    <w:uiPriority w:val="99"/>
    <w:semiHidden/>
    <w:unhideWhenUsed/>
    <w:rsid w:val="00A74B5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B52"/>
    <w:rPr>
      <w:rFonts w:ascii="Segoe UI" w:hAnsi="Segoe UI" w:cs="Segoe UI"/>
      <w:sz w:val="18"/>
      <w:szCs w:val="18"/>
    </w:rPr>
  </w:style>
  <w:style w:type="character" w:styleId="CommentReference">
    <w:name w:val="annotation reference"/>
    <w:basedOn w:val="DefaultParagraphFont"/>
    <w:uiPriority w:val="99"/>
    <w:semiHidden/>
    <w:unhideWhenUsed/>
    <w:rsid w:val="003F5BB3"/>
    <w:rPr>
      <w:sz w:val="16"/>
      <w:szCs w:val="16"/>
    </w:rPr>
  </w:style>
  <w:style w:type="paragraph" w:styleId="CommentText">
    <w:name w:val="annotation text"/>
    <w:basedOn w:val="Normal"/>
    <w:link w:val="CommentTextChar"/>
    <w:uiPriority w:val="99"/>
    <w:semiHidden/>
    <w:unhideWhenUsed/>
    <w:rsid w:val="003F5BB3"/>
    <w:pPr>
      <w:spacing w:line="240" w:lineRule="auto"/>
    </w:pPr>
  </w:style>
  <w:style w:type="character" w:customStyle="1" w:styleId="CommentTextChar">
    <w:name w:val="Comment Text Char"/>
    <w:basedOn w:val="DefaultParagraphFont"/>
    <w:link w:val="CommentText"/>
    <w:uiPriority w:val="99"/>
    <w:semiHidden/>
    <w:rsid w:val="003F5BB3"/>
  </w:style>
  <w:style w:type="paragraph" w:styleId="CommentSubject">
    <w:name w:val="annotation subject"/>
    <w:basedOn w:val="CommentText"/>
    <w:next w:val="CommentText"/>
    <w:link w:val="CommentSubjectChar"/>
    <w:uiPriority w:val="99"/>
    <w:semiHidden/>
    <w:unhideWhenUsed/>
    <w:rsid w:val="003F5BB3"/>
    <w:rPr>
      <w:b/>
      <w:bCs/>
    </w:rPr>
  </w:style>
  <w:style w:type="character" w:customStyle="1" w:styleId="CommentSubjectChar">
    <w:name w:val="Comment Subject Char"/>
    <w:basedOn w:val="CommentTextChar"/>
    <w:link w:val="CommentSubject"/>
    <w:uiPriority w:val="99"/>
    <w:semiHidden/>
    <w:rsid w:val="003F5BB3"/>
    <w:rPr>
      <w:b/>
      <w:bCs/>
    </w:rPr>
  </w:style>
  <w:style w:type="character" w:styleId="PageNumber">
    <w:name w:val="page number"/>
    <w:basedOn w:val="DefaultParagraphFont"/>
    <w:uiPriority w:val="99"/>
    <w:unhideWhenUsed/>
    <w:rsid w:val="00D41D94"/>
  </w:style>
  <w:style w:type="character" w:styleId="FollowedHyperlink">
    <w:name w:val="FollowedHyperlink"/>
    <w:basedOn w:val="DefaultParagraphFont"/>
    <w:uiPriority w:val="99"/>
    <w:semiHidden/>
    <w:unhideWhenUsed/>
    <w:rsid w:val="00D34884"/>
    <w:rPr>
      <w:color w:val="87758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99120">
      <w:bodyDiv w:val="1"/>
      <w:marLeft w:val="0"/>
      <w:marRight w:val="0"/>
      <w:marTop w:val="0"/>
      <w:marBottom w:val="0"/>
      <w:divBdr>
        <w:top w:val="none" w:sz="0" w:space="0" w:color="auto"/>
        <w:left w:val="none" w:sz="0" w:space="0" w:color="auto"/>
        <w:bottom w:val="none" w:sz="0" w:space="0" w:color="auto"/>
        <w:right w:val="none" w:sz="0" w:space="0" w:color="auto"/>
      </w:divBdr>
    </w:div>
    <w:div w:id="568544306">
      <w:bodyDiv w:val="1"/>
      <w:marLeft w:val="0"/>
      <w:marRight w:val="0"/>
      <w:marTop w:val="0"/>
      <w:marBottom w:val="0"/>
      <w:divBdr>
        <w:top w:val="none" w:sz="0" w:space="0" w:color="auto"/>
        <w:left w:val="none" w:sz="0" w:space="0" w:color="auto"/>
        <w:bottom w:val="none" w:sz="0" w:space="0" w:color="auto"/>
        <w:right w:val="none" w:sz="0" w:space="0" w:color="auto"/>
      </w:divBdr>
    </w:div>
    <w:div w:id="717705269">
      <w:bodyDiv w:val="1"/>
      <w:marLeft w:val="0"/>
      <w:marRight w:val="0"/>
      <w:marTop w:val="0"/>
      <w:marBottom w:val="0"/>
      <w:divBdr>
        <w:top w:val="none" w:sz="0" w:space="0" w:color="auto"/>
        <w:left w:val="none" w:sz="0" w:space="0" w:color="auto"/>
        <w:bottom w:val="none" w:sz="0" w:space="0" w:color="auto"/>
        <w:right w:val="none" w:sz="0" w:space="0" w:color="auto"/>
      </w:divBdr>
    </w:div>
    <w:div w:id="768235051">
      <w:bodyDiv w:val="1"/>
      <w:marLeft w:val="0"/>
      <w:marRight w:val="0"/>
      <w:marTop w:val="0"/>
      <w:marBottom w:val="0"/>
      <w:divBdr>
        <w:top w:val="none" w:sz="0" w:space="0" w:color="auto"/>
        <w:left w:val="none" w:sz="0" w:space="0" w:color="auto"/>
        <w:bottom w:val="none" w:sz="0" w:space="0" w:color="auto"/>
        <w:right w:val="none" w:sz="0" w:space="0" w:color="auto"/>
      </w:divBdr>
      <w:divsChild>
        <w:div w:id="1858421434">
          <w:marLeft w:val="0"/>
          <w:marRight w:val="0"/>
          <w:marTop w:val="0"/>
          <w:marBottom w:val="0"/>
          <w:divBdr>
            <w:top w:val="none" w:sz="0" w:space="0" w:color="auto"/>
            <w:left w:val="none" w:sz="0" w:space="0" w:color="auto"/>
            <w:bottom w:val="none" w:sz="0" w:space="0" w:color="auto"/>
            <w:right w:val="none" w:sz="0" w:space="0" w:color="auto"/>
          </w:divBdr>
        </w:div>
        <w:div w:id="1725064752">
          <w:marLeft w:val="0"/>
          <w:marRight w:val="0"/>
          <w:marTop w:val="0"/>
          <w:marBottom w:val="0"/>
          <w:divBdr>
            <w:top w:val="none" w:sz="0" w:space="0" w:color="auto"/>
            <w:left w:val="none" w:sz="0" w:space="0" w:color="auto"/>
            <w:bottom w:val="none" w:sz="0" w:space="0" w:color="auto"/>
            <w:right w:val="none" w:sz="0" w:space="0" w:color="auto"/>
          </w:divBdr>
        </w:div>
        <w:div w:id="1812021704">
          <w:marLeft w:val="0"/>
          <w:marRight w:val="0"/>
          <w:marTop w:val="0"/>
          <w:marBottom w:val="0"/>
          <w:divBdr>
            <w:top w:val="none" w:sz="0" w:space="0" w:color="auto"/>
            <w:left w:val="none" w:sz="0" w:space="0" w:color="auto"/>
            <w:bottom w:val="none" w:sz="0" w:space="0" w:color="auto"/>
            <w:right w:val="none" w:sz="0" w:space="0" w:color="auto"/>
          </w:divBdr>
        </w:div>
      </w:divsChild>
    </w:div>
    <w:div w:id="814420043">
      <w:bodyDiv w:val="1"/>
      <w:marLeft w:val="0"/>
      <w:marRight w:val="0"/>
      <w:marTop w:val="0"/>
      <w:marBottom w:val="0"/>
      <w:divBdr>
        <w:top w:val="none" w:sz="0" w:space="0" w:color="auto"/>
        <w:left w:val="none" w:sz="0" w:space="0" w:color="auto"/>
        <w:bottom w:val="none" w:sz="0" w:space="0" w:color="auto"/>
        <w:right w:val="none" w:sz="0" w:space="0" w:color="auto"/>
      </w:divBdr>
    </w:div>
    <w:div w:id="1203665174">
      <w:bodyDiv w:val="1"/>
      <w:marLeft w:val="0"/>
      <w:marRight w:val="0"/>
      <w:marTop w:val="0"/>
      <w:marBottom w:val="0"/>
      <w:divBdr>
        <w:top w:val="none" w:sz="0" w:space="0" w:color="auto"/>
        <w:left w:val="none" w:sz="0" w:space="0" w:color="auto"/>
        <w:bottom w:val="none" w:sz="0" w:space="0" w:color="auto"/>
        <w:right w:val="none" w:sz="0" w:space="0" w:color="auto"/>
      </w:divBdr>
    </w:div>
    <w:div w:id="1413310914">
      <w:bodyDiv w:val="1"/>
      <w:marLeft w:val="0"/>
      <w:marRight w:val="0"/>
      <w:marTop w:val="0"/>
      <w:marBottom w:val="0"/>
      <w:divBdr>
        <w:top w:val="none" w:sz="0" w:space="0" w:color="auto"/>
        <w:left w:val="none" w:sz="0" w:space="0" w:color="auto"/>
        <w:bottom w:val="none" w:sz="0" w:space="0" w:color="auto"/>
        <w:right w:val="none" w:sz="0" w:space="0" w:color="auto"/>
      </w:divBdr>
    </w:div>
    <w:div w:id="1729841246">
      <w:bodyDiv w:val="1"/>
      <w:marLeft w:val="0"/>
      <w:marRight w:val="0"/>
      <w:marTop w:val="0"/>
      <w:marBottom w:val="0"/>
      <w:divBdr>
        <w:top w:val="none" w:sz="0" w:space="0" w:color="auto"/>
        <w:left w:val="none" w:sz="0" w:space="0" w:color="auto"/>
        <w:bottom w:val="none" w:sz="0" w:space="0" w:color="auto"/>
        <w:right w:val="none" w:sz="0" w:space="0" w:color="auto"/>
      </w:divBdr>
    </w:div>
    <w:div w:id="198489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2.png"/><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www.ncec.catholic.edu.au" TargetMode="External"/><Relationship Id="rId27"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www.abudhabi.ae/cs/groups/public/documents/attachment/mgfk/mdyy/~edisp/ad062021.pdf" TargetMode="External"/><Relationship Id="rId2" Type="http://schemas.openxmlformats.org/officeDocument/2006/relationships/hyperlink" Target="https://www.abudhabi.ae/portal/public/en/abu_dhabi_emirate/government/news/" TargetMode="External"/><Relationship Id="rId1" Type="http://schemas.openxmlformats.org/officeDocument/2006/relationships/hyperlink" Target="http://www.vatican.va/archive/hist_councils/ii_vatican_council/documents/vat-ii_decl_19651028_gravissimum-educationis_en.html" TargetMode="External"/><Relationship Id="rId6" Type="http://schemas.openxmlformats.org/officeDocument/2006/relationships/hyperlink" Target="http://www.rdc-drc.ca/about-us/" TargetMode="External"/><Relationship Id="rId5" Type="http://schemas.openxmlformats.org/officeDocument/2006/relationships/hyperlink" Target="https://www.whitehouse.gov/blog/2012/01/19/unlocking-power-education-data-all-americans" TargetMode="External"/><Relationship Id="rId4" Type="http://schemas.openxmlformats.org/officeDocument/2006/relationships/hyperlink" Target="https://www.gov.uk/government/publications/national-information-infrastructure/national-information-infrastructure" TargetMode="Externa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xmlns=""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3dabe0dfe58b8c3f0b9e68489cb398d4">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35b44f1ff4d1223ad8b14363e9f2ba8"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6684A-6EB7-432A-8ACB-F113690ED625}">
  <ds:schemaRefs>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3f4bcce7-ac1a-4c9d-aa3e-7e77695652db"/>
    <ds:schemaRef ds:uri="8044c801-d84b-4ee1-a77e-678f8dcdee17"/>
    <ds:schemaRef ds:uri="http://schemas.microsoft.com/office/2006/metadata/properties"/>
  </ds:schemaRefs>
</ds:datastoreItem>
</file>

<file path=customXml/itemProps2.xml><?xml version="1.0" encoding="utf-8"?>
<ds:datastoreItem xmlns:ds="http://schemas.openxmlformats.org/officeDocument/2006/customXml" ds:itemID="{393B9DAB-C81D-4597-A846-4C867B573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7C866-1B45-42B0-B52A-AED295DA0C97}">
  <ds:schemaRefs>
    <ds:schemaRef ds:uri="http://schemas.microsoft.com/sharepoint/v3/contenttype/forms"/>
  </ds:schemaRefs>
</ds:datastoreItem>
</file>

<file path=customXml/itemProps4.xml><?xml version="1.0" encoding="utf-8"?>
<ds:datastoreItem xmlns:ds="http://schemas.openxmlformats.org/officeDocument/2006/customXml" ds:itemID="{F0BBD207-AEB4-49B0-AA88-3E14FAA4476E}">
  <ds:schemaRefs>
    <ds:schemaRef ds:uri="http://schemas.microsoft.com/sharepoint/events"/>
  </ds:schemaRefs>
</ds:datastoreItem>
</file>

<file path=customXml/itemProps5.xml><?xml version="1.0" encoding="utf-8"?>
<ds:datastoreItem xmlns:ds="http://schemas.openxmlformats.org/officeDocument/2006/customXml" ds:itemID="{7458FC64-BE01-413C-ADB5-58415ADB3B94}">
  <ds:schemaRefs>
    <ds:schemaRef ds:uri="http://schemas.microsoft.com/office/2006/metadata/customXsn"/>
  </ds:schemaRefs>
</ds:datastoreItem>
</file>

<file path=customXml/itemProps6.xml><?xml version="1.0" encoding="utf-8"?>
<ds:datastoreItem xmlns:ds="http://schemas.openxmlformats.org/officeDocument/2006/customXml" ds:itemID="{564F92A6-5821-45C4-B053-19F12774E228}">
  <ds:schemaRefs>
    <ds:schemaRef ds:uri="Microsoft.SharePoint.Taxonomy.ContentTypeSync"/>
  </ds:schemaRefs>
</ds:datastoreItem>
</file>

<file path=customXml/itemProps7.xml><?xml version="1.0" encoding="utf-8"?>
<ds:datastoreItem xmlns:ds="http://schemas.openxmlformats.org/officeDocument/2006/customXml" ds:itemID="{EC313987-73D1-40F5-B8D3-D124014E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10</Pages>
  <Words>4369</Words>
  <Characters>24909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Submission 49 - National Catholic Education Commission - Education Evidence Base - Public inquiry</vt:lpstr>
    </vt:vector>
  </TitlesOfParts>
  <Company>National Catholic Education Commission</Company>
  <LinksUpToDate>false</LinksUpToDate>
  <CharactersWithSpaces>29220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49 - National Catholic Education Commission - Education Evidence Base - Public inquiry</dc:title>
  <dc:subject/>
  <dc:creator>National Catholic Education Commission</dc:creator>
  <cp:keywords/>
  <dc:description/>
  <cp:lastModifiedBy>Productivity Commission</cp:lastModifiedBy>
  <cp:revision>46</cp:revision>
  <cp:lastPrinted>2016-05-25T06:55:00Z</cp:lastPrinted>
  <dcterms:created xsi:type="dcterms:W3CDTF">2016-05-17T22:46:00Z</dcterms:created>
  <dcterms:modified xsi:type="dcterms:W3CDTF">2016-05-26T03:52:00Z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c401844703f64372bb0e85d87d761fe6">
    <vt:lpwstr>Reference Only|923c7a19-3b10-4b1a-aa53-490b73d512fc</vt:lpwstr>
  </property>
  <property fmtid="{D5CDD505-2E9C-101B-9397-08002B2CF9AE}" pid="4" name="Order">
    <vt:r8>5400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