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4C" w:rsidRDefault="00B8012D" w:rsidP="0088545E">
      <w:pPr>
        <w:autoSpaceDE w:val="0"/>
        <w:autoSpaceDN w:val="0"/>
        <w:adjustRightInd w:val="0"/>
        <w:spacing w:after="0" w:line="240" w:lineRule="auto"/>
        <w:jc w:val="center"/>
        <w:rPr>
          <w:rFonts w:ascii="Calibri-Bold" w:hAnsi="Calibri-Bold" w:cs="Calibri-Bold"/>
          <w:b/>
          <w:bCs/>
        </w:rPr>
      </w:pPr>
      <w:bookmarkStart w:id="0" w:name="_GoBack"/>
      <w:bookmarkEnd w:id="0"/>
      <w:r w:rsidRPr="00D64CB4">
        <w:rPr>
          <w:rFonts w:ascii="Calibri-Bold" w:hAnsi="Calibri-Bold" w:cs="Calibri-Bold"/>
          <w:b/>
          <w:bCs/>
        </w:rPr>
        <w:t xml:space="preserve">NASAA </w:t>
      </w:r>
      <w:r w:rsidR="00014931" w:rsidRPr="00D64CB4">
        <w:rPr>
          <w:rFonts w:ascii="Calibri-Bold" w:hAnsi="Calibri-Bold" w:cs="Calibri-Bold"/>
          <w:b/>
          <w:bCs/>
        </w:rPr>
        <w:t xml:space="preserve">Submission to the Productivity Commission </w:t>
      </w:r>
      <w:r w:rsidR="00014931" w:rsidRPr="00B8012D">
        <w:rPr>
          <w:rFonts w:ascii="Calibri-Bold" w:hAnsi="Calibri-Bold" w:cs="Calibri-Bold"/>
          <w:b/>
          <w:bCs/>
        </w:rPr>
        <w:t>Draft</w:t>
      </w:r>
      <w:r w:rsidR="000772D7">
        <w:rPr>
          <w:rFonts w:ascii="Calibri-Bold" w:hAnsi="Calibri-Bold" w:cs="Calibri-Bold"/>
          <w:b/>
          <w:bCs/>
        </w:rPr>
        <w:t xml:space="preserve"> </w:t>
      </w:r>
      <w:r w:rsidR="00014931" w:rsidRPr="00B8012D">
        <w:rPr>
          <w:rFonts w:ascii="Calibri-Bold" w:hAnsi="Calibri-Bold" w:cs="Calibri-Bold"/>
          <w:b/>
          <w:bCs/>
        </w:rPr>
        <w:t>Report</w:t>
      </w:r>
    </w:p>
    <w:p w:rsidR="00B5233E" w:rsidRDefault="00014931" w:rsidP="000772D7">
      <w:pPr>
        <w:autoSpaceDE w:val="0"/>
        <w:autoSpaceDN w:val="0"/>
        <w:adjustRightInd w:val="0"/>
        <w:spacing w:after="0" w:line="240" w:lineRule="auto"/>
        <w:jc w:val="center"/>
        <w:rPr>
          <w:rFonts w:ascii="Calibri-Bold" w:hAnsi="Calibri-Bold" w:cs="Calibri-Bold"/>
          <w:b/>
          <w:bCs/>
        </w:rPr>
      </w:pPr>
      <w:r w:rsidRPr="00B8012D">
        <w:rPr>
          <w:rFonts w:ascii="Calibri-Bold" w:hAnsi="Calibri-Bold" w:cs="Calibri-Bold"/>
          <w:b/>
          <w:bCs/>
        </w:rPr>
        <w:t>on the Regulation of Australian Agriculture</w:t>
      </w:r>
    </w:p>
    <w:p w:rsidR="00F03FBB" w:rsidRDefault="00F03FBB" w:rsidP="000772D7">
      <w:pPr>
        <w:autoSpaceDE w:val="0"/>
        <w:autoSpaceDN w:val="0"/>
        <w:adjustRightInd w:val="0"/>
        <w:spacing w:after="0" w:line="240" w:lineRule="auto"/>
        <w:jc w:val="center"/>
        <w:rPr>
          <w:rFonts w:ascii="Calibri-Bold" w:hAnsi="Calibri-Bold" w:cs="Calibri-Bold"/>
          <w:b/>
          <w:bCs/>
        </w:rPr>
      </w:pPr>
    </w:p>
    <w:p w:rsidR="00B157CF" w:rsidRPr="00D64CB4" w:rsidRDefault="00B157CF" w:rsidP="00B157CF">
      <w:pPr>
        <w:rPr>
          <w:rFonts w:cs="Calibri-Bold"/>
          <w:bCs/>
        </w:rPr>
      </w:pPr>
      <w:r w:rsidRPr="00D64CB4">
        <w:rPr>
          <w:rFonts w:cs="Calibri-Bold"/>
          <w:bCs/>
        </w:rPr>
        <w:t xml:space="preserve">The National Association of Sustainable Agriculture Australia (NASAA) has been informed of proposals in the Productivity Commission draft report on Regulation of Australian Agriculture that if implemented, will seriously affect the livelihood of all </w:t>
      </w:r>
      <w:r w:rsidR="00B87FA2" w:rsidRPr="00D64CB4">
        <w:rPr>
          <w:rFonts w:cs="Calibri-Bold"/>
          <w:bCs/>
        </w:rPr>
        <w:t xml:space="preserve">producers of product labelled as </w:t>
      </w:r>
      <w:r w:rsidRPr="00D64CB4">
        <w:rPr>
          <w:rFonts w:cs="Calibri-Bold"/>
          <w:bCs/>
        </w:rPr>
        <w:t>organic</w:t>
      </w:r>
      <w:r w:rsidR="00A322AA" w:rsidRPr="00D64CB4">
        <w:rPr>
          <w:rFonts w:cs="Calibri-Bold"/>
          <w:bCs/>
        </w:rPr>
        <w:t xml:space="preserve">, biodynamic, biological, ecological, sustainable (or words of </w:t>
      </w:r>
      <w:r w:rsidR="00B87FA2" w:rsidRPr="00D64CB4">
        <w:rPr>
          <w:rFonts w:cs="Calibri-Bold"/>
          <w:bCs/>
        </w:rPr>
        <w:t>similar</w:t>
      </w:r>
      <w:r w:rsidR="00A322AA" w:rsidRPr="00D64CB4">
        <w:rPr>
          <w:rFonts w:cs="Calibri-Bold"/>
          <w:bCs/>
        </w:rPr>
        <w:t xml:space="preserve"> intent used to imply organic production</w:t>
      </w:r>
      <w:r w:rsidR="00A322AA" w:rsidRPr="00D64CB4">
        <w:rPr>
          <w:rStyle w:val="EndnoteReference"/>
          <w:rFonts w:cs="Calibri-Bold"/>
          <w:bCs/>
        </w:rPr>
        <w:endnoteReference w:id="1"/>
      </w:r>
      <w:r w:rsidR="00A322AA" w:rsidRPr="00D64CB4">
        <w:rPr>
          <w:rFonts w:cs="Calibri-Bold"/>
          <w:bCs/>
        </w:rPr>
        <w:t>)</w:t>
      </w:r>
      <w:r w:rsidR="00B87FA2" w:rsidRPr="00D64CB4">
        <w:t>.</w:t>
      </w:r>
      <w:r w:rsidR="00A322AA" w:rsidRPr="00D64CB4">
        <w:t xml:space="preserve"> </w:t>
      </w:r>
    </w:p>
    <w:p w:rsidR="00B157CF" w:rsidRPr="00D64CB4" w:rsidRDefault="00C700D9" w:rsidP="00B157CF">
      <w:pPr>
        <w:rPr>
          <w:rFonts w:cs="Calibri-Bold"/>
          <w:bCs/>
        </w:rPr>
      </w:pPr>
      <w:r w:rsidRPr="00D64CB4">
        <w:rPr>
          <w:rFonts w:cs="Calibri-Bold"/>
          <w:bCs/>
        </w:rPr>
        <w:t xml:space="preserve">NASAA </w:t>
      </w:r>
      <w:r w:rsidR="00B157CF" w:rsidRPr="00D64CB4">
        <w:rPr>
          <w:rFonts w:cs="Calibri-Bold"/>
          <w:bCs/>
        </w:rPr>
        <w:t xml:space="preserve">has </w:t>
      </w:r>
      <w:r w:rsidRPr="00D64CB4">
        <w:rPr>
          <w:rFonts w:cs="Calibri-Bold"/>
          <w:bCs/>
        </w:rPr>
        <w:t>over thirty</w:t>
      </w:r>
      <w:r w:rsidR="00B157CF" w:rsidRPr="00D64CB4">
        <w:rPr>
          <w:rFonts w:cs="Calibri-Bold"/>
          <w:bCs/>
        </w:rPr>
        <w:t xml:space="preserve"> year</w:t>
      </w:r>
      <w:r w:rsidRPr="00D64CB4">
        <w:rPr>
          <w:rFonts w:cs="Calibri-Bold"/>
          <w:bCs/>
        </w:rPr>
        <w:t>s of</w:t>
      </w:r>
      <w:r w:rsidR="00B157CF" w:rsidRPr="00D64CB4">
        <w:rPr>
          <w:rFonts w:cs="Calibri-Bold"/>
          <w:bCs/>
        </w:rPr>
        <w:t xml:space="preserve"> history supporting and developing Australian Organic and Sustainable </w:t>
      </w:r>
      <w:r w:rsidRPr="00D64CB4">
        <w:rPr>
          <w:rFonts w:cs="Calibri-Bold"/>
          <w:bCs/>
        </w:rPr>
        <w:t>Agriculture</w:t>
      </w:r>
      <w:r w:rsidR="004D32EE" w:rsidRPr="00D64CB4">
        <w:rPr>
          <w:rFonts w:cs="Calibri-Bold"/>
          <w:bCs/>
        </w:rPr>
        <w:t xml:space="preserve"> and it is from this</w:t>
      </w:r>
      <w:r w:rsidRPr="00D64CB4">
        <w:rPr>
          <w:rFonts w:cs="Calibri-Bold"/>
          <w:bCs/>
        </w:rPr>
        <w:t xml:space="preserve"> foundation that we respond to the current </w:t>
      </w:r>
      <w:r w:rsidR="000772D7" w:rsidRPr="00D64CB4">
        <w:rPr>
          <w:rFonts w:cs="Calibri-Bold"/>
          <w:bCs/>
        </w:rPr>
        <w:t xml:space="preserve">(July 2016) </w:t>
      </w:r>
      <w:r w:rsidRPr="00D64CB4">
        <w:rPr>
          <w:rFonts w:cs="Calibri-Bold"/>
          <w:bCs/>
        </w:rPr>
        <w:t>draft report.</w:t>
      </w:r>
    </w:p>
    <w:p w:rsidR="00611895" w:rsidRPr="0088545E" w:rsidRDefault="00611895" w:rsidP="00B157CF">
      <w:r w:rsidRPr="00D64CB4">
        <w:rPr>
          <w:rFonts w:cs="Calibri-Bold"/>
          <w:bCs/>
        </w:rPr>
        <w:t xml:space="preserve">Australia </w:t>
      </w:r>
      <w:r w:rsidRPr="0088545E">
        <w:rPr>
          <w:rFonts w:cs="Calibri-Bold"/>
          <w:bCs/>
        </w:rPr>
        <w:t xml:space="preserve">is an active member of Codex </w:t>
      </w:r>
      <w:proofErr w:type="spellStart"/>
      <w:r w:rsidRPr="0088545E">
        <w:rPr>
          <w:rFonts w:cs="Calibri-Bold"/>
          <w:bCs/>
        </w:rPr>
        <w:t>Alimentarius</w:t>
      </w:r>
      <w:proofErr w:type="spellEnd"/>
      <w:r w:rsidRPr="0088545E">
        <w:rPr>
          <w:rFonts w:cs="Calibri-Bold"/>
          <w:bCs/>
        </w:rPr>
        <w:t xml:space="preserve">, and we specifically reference the Codex document </w:t>
      </w:r>
      <w:r w:rsidRPr="0088545E">
        <w:rPr>
          <w:b/>
          <w:bCs/>
        </w:rPr>
        <w:t xml:space="preserve">GL 32–1999 </w:t>
      </w:r>
      <w:r w:rsidRPr="0088545E">
        <w:rPr>
          <w:b/>
        </w:rPr>
        <w:t xml:space="preserve">GUIDELINES FOR THE PRODUCTION, PROCESSING, LABELLING AND MARKETING OF ORGANICALLY PRODUCED FOODS, </w:t>
      </w:r>
      <w:r w:rsidR="004F315A" w:rsidRPr="0088545E">
        <w:rPr>
          <w:rFonts w:cs="Calibri-Bold"/>
          <w:bCs/>
        </w:rPr>
        <w:t>which was developed with leading input from Australia w</w:t>
      </w:r>
      <w:r w:rsidR="00471BE5" w:rsidRPr="0088545E">
        <w:rPr>
          <w:rFonts w:cs="Calibri-Bold"/>
          <w:bCs/>
        </w:rPr>
        <w:t>ho</w:t>
      </w:r>
      <w:r w:rsidR="004F315A" w:rsidRPr="0088545E">
        <w:rPr>
          <w:rFonts w:cs="Calibri-Bold"/>
          <w:bCs/>
        </w:rPr>
        <w:t xml:space="preserve"> chaired the working group responsible for </w:t>
      </w:r>
      <w:r w:rsidR="00471BE5" w:rsidRPr="0088545E">
        <w:rPr>
          <w:rFonts w:cs="Calibri-Bold"/>
          <w:bCs/>
        </w:rPr>
        <w:t xml:space="preserve">drafting </w:t>
      </w:r>
      <w:r w:rsidR="004F315A" w:rsidRPr="0088545E">
        <w:rPr>
          <w:rFonts w:cs="Calibri-Bold"/>
          <w:bCs/>
        </w:rPr>
        <w:t>the document.</w:t>
      </w:r>
      <w:r w:rsidR="00D64CB4" w:rsidRPr="0088545E">
        <w:rPr>
          <w:rFonts w:cs="Calibri-Bold"/>
          <w:bCs/>
        </w:rPr>
        <w:t xml:space="preserve"> Clause 1.5 of the </w:t>
      </w:r>
      <w:r w:rsidR="00471BE5" w:rsidRPr="0088545E">
        <w:rPr>
          <w:rFonts w:cs="Calibri-Bold"/>
          <w:bCs/>
        </w:rPr>
        <w:t>guideline</w:t>
      </w:r>
      <w:r w:rsidR="00D64CB4" w:rsidRPr="0088545E">
        <w:rPr>
          <w:rFonts w:cs="Calibri-Bold"/>
          <w:bCs/>
        </w:rPr>
        <w:t xml:space="preserve"> states:  “</w:t>
      </w:r>
      <w:r w:rsidR="00D64CB4" w:rsidRPr="0088545E">
        <w:rPr>
          <w:i/>
        </w:rPr>
        <w:t>All materials and/or the products produced from genetically engineered/modified organisms (GEO/GMO) are not compatible with the principles of organic production (either the growing, manufacturing, or processing) and therefore are not accepted under these guidelines”</w:t>
      </w:r>
      <w:r w:rsidR="00D64CB4" w:rsidRPr="0088545E">
        <w:rPr>
          <w:sz w:val="17"/>
          <w:szCs w:val="17"/>
        </w:rPr>
        <w:t xml:space="preserve"> </w:t>
      </w:r>
      <w:r w:rsidR="004F315A" w:rsidRPr="0088545E">
        <w:t xml:space="preserve"> </w:t>
      </w:r>
    </w:p>
    <w:p w:rsidR="00C20B41" w:rsidRPr="0088545E" w:rsidRDefault="00C20B41" w:rsidP="008F1006">
      <w:pPr>
        <w:autoSpaceDE w:val="0"/>
        <w:autoSpaceDN w:val="0"/>
        <w:adjustRightInd w:val="0"/>
        <w:spacing w:after="0" w:line="240" w:lineRule="auto"/>
        <w:rPr>
          <w:rFonts w:ascii="Calibri" w:hAnsi="Calibri" w:cs="Calibri"/>
        </w:rPr>
      </w:pPr>
      <w:r w:rsidRPr="0088545E">
        <w:rPr>
          <w:rFonts w:ascii="Calibri" w:hAnsi="Calibri" w:cs="Calibri"/>
        </w:rPr>
        <w:t xml:space="preserve">We refer to </w:t>
      </w:r>
      <w:r w:rsidR="00E758D2" w:rsidRPr="0088545E">
        <w:rPr>
          <w:rFonts w:ascii="Calibri" w:hAnsi="Calibri" w:cs="Calibri"/>
        </w:rPr>
        <w:t xml:space="preserve">statements in the </w:t>
      </w:r>
      <w:r w:rsidR="00471BE5" w:rsidRPr="0088545E">
        <w:rPr>
          <w:rFonts w:ascii="Calibri" w:hAnsi="Calibri" w:cs="Calibri"/>
        </w:rPr>
        <w:t>Commis</w:t>
      </w:r>
      <w:r w:rsidR="00424C41" w:rsidRPr="0088545E">
        <w:rPr>
          <w:rFonts w:ascii="Calibri" w:hAnsi="Calibri" w:cs="Calibri"/>
        </w:rPr>
        <w:t>s</w:t>
      </w:r>
      <w:r w:rsidR="00471BE5" w:rsidRPr="0088545E">
        <w:rPr>
          <w:rFonts w:ascii="Calibri" w:hAnsi="Calibri" w:cs="Calibri"/>
        </w:rPr>
        <w:t xml:space="preserve">ion’s </w:t>
      </w:r>
      <w:r w:rsidRPr="0088545E">
        <w:rPr>
          <w:rFonts w:ascii="Calibri" w:hAnsi="Calibri" w:cs="Calibri"/>
        </w:rPr>
        <w:t xml:space="preserve">draft report page 234/235 which </w:t>
      </w:r>
      <w:r w:rsidR="00424C41" w:rsidRPr="0088545E">
        <w:rPr>
          <w:rFonts w:ascii="Calibri" w:hAnsi="Calibri" w:cs="Calibri"/>
        </w:rPr>
        <w:t>read</w:t>
      </w:r>
      <w:r w:rsidRPr="0088545E">
        <w:rPr>
          <w:rFonts w:ascii="Calibri" w:hAnsi="Calibri" w:cs="Calibri"/>
        </w:rPr>
        <w:t xml:space="preserve">: </w:t>
      </w:r>
    </w:p>
    <w:p w:rsidR="00C20B41" w:rsidRPr="0088545E" w:rsidRDefault="00424C41" w:rsidP="008F1006">
      <w:pPr>
        <w:autoSpaceDE w:val="0"/>
        <w:autoSpaceDN w:val="0"/>
        <w:adjustRightInd w:val="0"/>
        <w:spacing w:after="0" w:line="240" w:lineRule="auto"/>
        <w:rPr>
          <w:i/>
        </w:rPr>
      </w:pPr>
      <w:r w:rsidRPr="0088545E">
        <w:t>“[</w:t>
      </w:r>
      <w:r w:rsidR="00C20B41" w:rsidRPr="0088545E">
        <w:t>It may not be possible to completely eliminate the potential for cross-contamination.</w:t>
      </w:r>
      <w:r w:rsidRPr="0088545E">
        <w:t>]</w:t>
      </w:r>
      <w:r w:rsidR="00C20B41" w:rsidRPr="0088545E">
        <w:rPr>
          <w:i/>
        </w:rPr>
        <w:t xml:space="preserve"> However, evidence suggests that it is possible to manage segregation throughout the supply chain such that GM and non-GM systems can co-exist</w:t>
      </w:r>
      <w:r w:rsidR="00C20B41" w:rsidRPr="0088545E">
        <w:t>.” and “</w:t>
      </w:r>
      <w:r w:rsidR="00C20B41" w:rsidRPr="0088545E">
        <w:rPr>
          <w:i/>
        </w:rPr>
        <w:t>In addition, the ability for GM and non-GM crops to co-exist in the marketplace is evidenced by the growth of the organic food sector in countries where GM crops are grown.”</w:t>
      </w:r>
    </w:p>
    <w:p w:rsidR="00C20B41" w:rsidRPr="0088545E" w:rsidRDefault="00424C41" w:rsidP="008F1006">
      <w:pPr>
        <w:autoSpaceDE w:val="0"/>
        <w:autoSpaceDN w:val="0"/>
        <w:adjustRightInd w:val="0"/>
        <w:spacing w:after="0" w:line="240" w:lineRule="auto"/>
      </w:pPr>
      <w:r w:rsidRPr="0088545E">
        <w:t xml:space="preserve">and raise that these conclusions </w:t>
      </w:r>
      <w:r w:rsidR="00E758D2" w:rsidRPr="0088545E">
        <w:t>are erroneous on a number of accounts. Cross contamination is a very real issue for organic farmers</w:t>
      </w:r>
      <w:r w:rsidR="0056275E" w:rsidRPr="0088545E">
        <w:t xml:space="preserve"> with any such occurrence impacting their livelihood through loss of certification. </w:t>
      </w:r>
      <w:r w:rsidR="00E758D2" w:rsidRPr="0088545E">
        <w:t xml:space="preserve"> </w:t>
      </w:r>
      <w:r w:rsidR="0056275E" w:rsidRPr="0088545E">
        <w:t>A</w:t>
      </w:r>
      <w:r w:rsidR="00E758D2" w:rsidRPr="0088545E">
        <w:t xml:space="preserve">s stated in </w:t>
      </w:r>
      <w:r w:rsidRPr="0088545E">
        <w:t>your own</w:t>
      </w:r>
      <w:r w:rsidR="00E758D2" w:rsidRPr="0088545E">
        <w:t xml:space="preserve"> report, </w:t>
      </w:r>
      <w:r w:rsidR="00E758D2" w:rsidRPr="0088545E">
        <w:rPr>
          <w:b/>
        </w:rPr>
        <w:t xml:space="preserve">it is not possible to completely eliminate the possibility </w:t>
      </w:r>
      <w:r w:rsidRPr="0088545E">
        <w:rPr>
          <w:b/>
        </w:rPr>
        <w:t>for cross-</w:t>
      </w:r>
      <w:r w:rsidR="00E758D2" w:rsidRPr="0088545E">
        <w:rPr>
          <w:b/>
        </w:rPr>
        <w:t>contamination</w:t>
      </w:r>
      <w:r w:rsidR="00E758D2" w:rsidRPr="0088545E">
        <w:t xml:space="preserve">, which </w:t>
      </w:r>
      <w:r w:rsidRPr="0088545E">
        <w:t>can be</w:t>
      </w:r>
      <w:r w:rsidR="00E758D2" w:rsidRPr="0088545E">
        <w:t xml:space="preserve"> confirmed by evidence of such events occurring in those countries where GM crops are grown.  The report also fails to note that the organic industry in such countries </w:t>
      </w:r>
      <w:r w:rsidRPr="0088545E">
        <w:t>have</w:t>
      </w:r>
      <w:r w:rsidR="00E758D2" w:rsidRPr="0088545E">
        <w:t xml:space="preserve"> had to amend their National Organic Regulations to accommodate a GM toler</w:t>
      </w:r>
      <w:r w:rsidRPr="0088545E">
        <w:t>ance limit - c</w:t>
      </w:r>
      <w:r w:rsidR="00E758D2" w:rsidRPr="0088545E">
        <w:t>learly contra to the Codex Guideline requir</w:t>
      </w:r>
      <w:r w:rsidR="000A779C" w:rsidRPr="0088545E">
        <w:t>e</w:t>
      </w:r>
      <w:r w:rsidR="00E758D2" w:rsidRPr="0088545E">
        <w:t xml:space="preserve">ments and </w:t>
      </w:r>
      <w:r w:rsidRPr="0088545E">
        <w:t>an</w:t>
      </w:r>
      <w:r w:rsidR="000A779C" w:rsidRPr="0088545E">
        <w:t xml:space="preserve"> issue highlighted during</w:t>
      </w:r>
      <w:r w:rsidR="00E8673A" w:rsidRPr="0088545E">
        <w:t xml:space="preserve"> equivalency agreement</w:t>
      </w:r>
      <w:r w:rsidRPr="0088545E">
        <w:t>/</w:t>
      </w:r>
      <w:r w:rsidR="00343CC7" w:rsidRPr="0088545E">
        <w:t xml:space="preserve">trade </w:t>
      </w:r>
      <w:r w:rsidR="000A779C" w:rsidRPr="0088545E">
        <w:t xml:space="preserve">discussions </w:t>
      </w:r>
      <w:r w:rsidRPr="0088545E">
        <w:t>with those</w:t>
      </w:r>
      <w:r w:rsidR="000A779C" w:rsidRPr="0088545E">
        <w:t xml:space="preserve"> countries. </w:t>
      </w:r>
    </w:p>
    <w:p w:rsidR="008E0AB3" w:rsidRPr="0088545E" w:rsidRDefault="008E0AB3" w:rsidP="008F1006">
      <w:pPr>
        <w:autoSpaceDE w:val="0"/>
        <w:autoSpaceDN w:val="0"/>
        <w:adjustRightInd w:val="0"/>
        <w:spacing w:after="0" w:line="240" w:lineRule="auto"/>
        <w:rPr>
          <w:rFonts w:ascii="Calibri" w:hAnsi="Calibri" w:cs="Calibri"/>
        </w:rPr>
      </w:pPr>
    </w:p>
    <w:p w:rsidR="00BB35E2" w:rsidRPr="0088545E" w:rsidRDefault="00BB35E2" w:rsidP="008F1006">
      <w:pPr>
        <w:autoSpaceDE w:val="0"/>
        <w:autoSpaceDN w:val="0"/>
        <w:adjustRightInd w:val="0"/>
        <w:spacing w:after="0" w:line="240" w:lineRule="auto"/>
      </w:pPr>
      <w:r w:rsidRPr="0088545E">
        <w:rPr>
          <w:rFonts w:ascii="Calibri" w:hAnsi="Calibri" w:cs="Calibri"/>
        </w:rPr>
        <w:t>Page 235 of the Report puts forward the argument that “</w:t>
      </w:r>
      <w:r w:rsidRPr="0088545E">
        <w:rPr>
          <w:i/>
        </w:rPr>
        <w:t xml:space="preserve">Several reviews and regulatory impact statements (RISs) to evaluate the costs and benefits of the moratoria have consistently failed to demonstrate net benefits.”  </w:t>
      </w:r>
      <w:r w:rsidRPr="0088545E">
        <w:t xml:space="preserve">Again this statement is limited in effect, since RISs in Australia </w:t>
      </w:r>
      <w:r w:rsidR="00D61418" w:rsidRPr="0088545E">
        <w:t>regarding this issue</w:t>
      </w:r>
      <w:r w:rsidRPr="0088545E">
        <w:t xml:space="preserve"> have only focused on current GM crops (canola and cotton).  As more GM crops enter commercial production in Australia </w:t>
      </w:r>
      <w:proofErr w:type="spellStart"/>
      <w:r w:rsidRPr="0088545E">
        <w:t>ie</w:t>
      </w:r>
      <w:proofErr w:type="spellEnd"/>
      <w:r w:rsidRPr="0088545E">
        <w:t xml:space="preserve"> from the field trials currently underway for banana, barley, perennial ryegrass, safflower, sugarcane, wheat and white clover, cost benefit </w:t>
      </w:r>
      <w:r w:rsidR="00E8673A" w:rsidRPr="0088545E">
        <w:t>of</w:t>
      </w:r>
      <w:r w:rsidRPr="0088545E">
        <w:t xml:space="preserve"> any such moratoria</w:t>
      </w:r>
      <w:r w:rsidR="00A107D2" w:rsidRPr="0088545E">
        <w:t xml:space="preserve"> will only increase.</w:t>
      </w:r>
    </w:p>
    <w:p w:rsidR="008E0AB3" w:rsidRPr="0088545E" w:rsidRDefault="008E0AB3" w:rsidP="008F1006">
      <w:pPr>
        <w:autoSpaceDE w:val="0"/>
        <w:autoSpaceDN w:val="0"/>
        <w:adjustRightInd w:val="0"/>
        <w:spacing w:after="0" w:line="240" w:lineRule="auto"/>
      </w:pPr>
    </w:p>
    <w:p w:rsidR="008E0AB3" w:rsidRPr="0088545E" w:rsidRDefault="008E0AB3" w:rsidP="008E0AB3">
      <w:pPr>
        <w:autoSpaceDE w:val="0"/>
        <w:autoSpaceDN w:val="0"/>
        <w:adjustRightInd w:val="0"/>
        <w:spacing w:after="0" w:line="240" w:lineRule="auto"/>
      </w:pPr>
      <w:r w:rsidRPr="0088545E">
        <w:t>The Australian Organic industry represents over 20 Million</w:t>
      </w:r>
      <w:r w:rsidR="0056275E" w:rsidRPr="0088545E">
        <w:t xml:space="preserve"> h</w:t>
      </w:r>
      <w:r w:rsidRPr="0088545E">
        <w:t xml:space="preserve">ectares of land, with a farm gate production of 100’s of Millions of dollars. </w:t>
      </w:r>
      <w:r w:rsidR="005B1F5D" w:rsidRPr="0088545E">
        <w:t>O</w:t>
      </w:r>
      <w:r w:rsidRPr="0088545E">
        <w:t xml:space="preserve">rganic </w:t>
      </w:r>
      <w:r w:rsidR="005B1F5D" w:rsidRPr="0088545E">
        <w:t xml:space="preserve">produce from </w:t>
      </w:r>
      <w:r w:rsidRPr="0088545E">
        <w:t>producers operating within the States that have imposed GM moratoria have a strong trade advantage over organic produce arising from GM growing countries and/or States.</w:t>
      </w:r>
    </w:p>
    <w:p w:rsidR="00A107D2" w:rsidRPr="0088545E" w:rsidRDefault="00A107D2" w:rsidP="008F1006">
      <w:pPr>
        <w:autoSpaceDE w:val="0"/>
        <w:autoSpaceDN w:val="0"/>
        <w:adjustRightInd w:val="0"/>
        <w:spacing w:after="0" w:line="240" w:lineRule="auto"/>
      </w:pPr>
    </w:p>
    <w:p w:rsidR="001751D3" w:rsidRPr="0088545E" w:rsidRDefault="00D61418" w:rsidP="001751D3">
      <w:pPr>
        <w:autoSpaceDE w:val="0"/>
        <w:autoSpaceDN w:val="0"/>
        <w:adjustRightInd w:val="0"/>
        <w:spacing w:after="0" w:line="240" w:lineRule="auto"/>
        <w:rPr>
          <w:rFonts w:ascii="Calibri" w:hAnsi="Calibri" w:cs="Calibri"/>
        </w:rPr>
      </w:pPr>
      <w:r w:rsidRPr="0088545E">
        <w:t>Ther</w:t>
      </w:r>
      <w:r w:rsidR="001751D3" w:rsidRPr="0088545E">
        <w:t xml:space="preserve">efore </w:t>
      </w:r>
      <w:r w:rsidRPr="0088545E">
        <w:t>NASAA</w:t>
      </w:r>
      <w:r w:rsidR="001751D3" w:rsidRPr="0088545E">
        <w:t xml:space="preserve"> oppose </w:t>
      </w:r>
      <w:r w:rsidR="001751D3" w:rsidRPr="0088545E">
        <w:rPr>
          <w:rFonts w:cs="Calibri-Bold"/>
          <w:b/>
          <w:bCs/>
        </w:rPr>
        <w:t xml:space="preserve">Draft Recommendation 6.1  </w:t>
      </w:r>
      <w:r w:rsidRPr="0088545E">
        <w:rPr>
          <w:rFonts w:cs="Calibri-Bold"/>
          <w:bCs/>
        </w:rPr>
        <w:t>which requires t</w:t>
      </w:r>
      <w:r w:rsidRPr="0088545E">
        <w:rPr>
          <w:rFonts w:ascii="Calibri" w:hAnsi="Calibri" w:cs="Calibri"/>
        </w:rPr>
        <w:t>hat State and Territory G</w:t>
      </w:r>
      <w:r w:rsidR="001751D3" w:rsidRPr="0088545E">
        <w:rPr>
          <w:rFonts w:ascii="Calibri" w:hAnsi="Calibri" w:cs="Calibri"/>
        </w:rPr>
        <w:t>overnments remove their moratoria on genetically modified (GMO) crops and repeal the relevant legislation.</w:t>
      </w:r>
    </w:p>
    <w:sectPr w:rsidR="001751D3" w:rsidRPr="0088545E" w:rsidSect="0088545E">
      <w:headerReference w:type="even" r:id="rId14"/>
      <w:headerReference w:type="default" r:id="rId15"/>
      <w:head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50" w:rsidRDefault="00582950" w:rsidP="00B157CF">
      <w:pPr>
        <w:spacing w:after="0" w:line="240" w:lineRule="auto"/>
      </w:pPr>
      <w:r>
        <w:separator/>
      </w:r>
    </w:p>
  </w:endnote>
  <w:endnote w:type="continuationSeparator" w:id="0">
    <w:p w:rsidR="00582950" w:rsidRDefault="00582950" w:rsidP="00B157CF">
      <w:pPr>
        <w:spacing w:after="0" w:line="240" w:lineRule="auto"/>
      </w:pPr>
      <w:r>
        <w:continuationSeparator/>
      </w:r>
    </w:p>
  </w:endnote>
  <w:endnote w:id="1">
    <w:p w:rsidR="00A322AA" w:rsidRDefault="00A322AA">
      <w:pPr>
        <w:pStyle w:val="EndnoteText"/>
      </w:pPr>
      <w:r>
        <w:rPr>
          <w:rStyle w:val="EndnoteReference"/>
        </w:rPr>
        <w:endnoteRef/>
      </w:r>
      <w:r>
        <w:t xml:space="preserve">  </w:t>
      </w:r>
      <w:r w:rsidR="00B87FA2" w:rsidRPr="00B87FA2">
        <w:t>Codex</w:t>
      </w:r>
      <w:r w:rsidR="00B87FA2">
        <w:t xml:space="preserve"> </w:t>
      </w:r>
      <w:proofErr w:type="spellStart"/>
      <w:r w:rsidR="00B87FA2">
        <w:t>A</w:t>
      </w:r>
      <w:r w:rsidR="00B87FA2" w:rsidRPr="00B87FA2">
        <w:t>limentarius</w:t>
      </w:r>
      <w:proofErr w:type="spellEnd"/>
      <w:r w:rsidR="00B87FA2">
        <w:t xml:space="preserve"> </w:t>
      </w:r>
      <w:r w:rsidRPr="00B87FA2">
        <w:rPr>
          <w:b/>
          <w:bCs/>
        </w:rPr>
        <w:t xml:space="preserve">GL 32–1999 </w:t>
      </w:r>
      <w:r w:rsidRPr="00B87FA2">
        <w:t>GUIDELINES FOR THE PRODUCTION, PROCESSING, LABELLING AND MARKETING OF ORGANICALLY PRODUCED FOODS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50" w:rsidRDefault="00582950" w:rsidP="00B157CF">
      <w:pPr>
        <w:spacing w:after="0" w:line="240" w:lineRule="auto"/>
      </w:pPr>
      <w:r>
        <w:separator/>
      </w:r>
    </w:p>
  </w:footnote>
  <w:footnote w:type="continuationSeparator" w:id="0">
    <w:p w:rsidR="00582950" w:rsidRDefault="00582950" w:rsidP="00B15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CF" w:rsidRDefault="00321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174922" o:spid="_x0000_s2050" type="#_x0000_t136" style="position:absolute;margin-left:0;margin-top:0;width:397.65pt;height:238.6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CF" w:rsidRDefault="00321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174923" o:spid="_x0000_s2051" type="#_x0000_t136" style="position:absolute;margin-left:0;margin-top:0;width:397.65pt;height:238.6pt;rotation:315;z-index:-251653120;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CF" w:rsidRDefault="003211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174921" o:spid="_x0000_s2049" type="#_x0000_t136" style="position:absolute;margin-left:0;margin-top:0;width:397.65pt;height:238.6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31"/>
    <w:rsid w:val="00014931"/>
    <w:rsid w:val="000772D7"/>
    <w:rsid w:val="000A779C"/>
    <w:rsid w:val="001751D3"/>
    <w:rsid w:val="001E070D"/>
    <w:rsid w:val="00293427"/>
    <w:rsid w:val="00314266"/>
    <w:rsid w:val="003211FE"/>
    <w:rsid w:val="00343CC7"/>
    <w:rsid w:val="00424C41"/>
    <w:rsid w:val="00471BE5"/>
    <w:rsid w:val="004D32EE"/>
    <w:rsid w:val="004F315A"/>
    <w:rsid w:val="0056275E"/>
    <w:rsid w:val="00582950"/>
    <w:rsid w:val="00597C25"/>
    <w:rsid w:val="005B1F5D"/>
    <w:rsid w:val="00611895"/>
    <w:rsid w:val="00803CDF"/>
    <w:rsid w:val="0088545E"/>
    <w:rsid w:val="008E0AB3"/>
    <w:rsid w:val="008F1006"/>
    <w:rsid w:val="008F7FE4"/>
    <w:rsid w:val="00A107D2"/>
    <w:rsid w:val="00A322AA"/>
    <w:rsid w:val="00B157CF"/>
    <w:rsid w:val="00B5233E"/>
    <w:rsid w:val="00B8012D"/>
    <w:rsid w:val="00B87FA2"/>
    <w:rsid w:val="00BB35E2"/>
    <w:rsid w:val="00BE2713"/>
    <w:rsid w:val="00C20B41"/>
    <w:rsid w:val="00C700D9"/>
    <w:rsid w:val="00D02376"/>
    <w:rsid w:val="00D61418"/>
    <w:rsid w:val="00D64CB4"/>
    <w:rsid w:val="00E758D2"/>
    <w:rsid w:val="00E8673A"/>
    <w:rsid w:val="00F03FBB"/>
    <w:rsid w:val="00F52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3CDF"/>
    <w:pPr>
      <w:pBdr>
        <w:top w:val="none" w:sz="0" w:space="0" w:color="000000"/>
        <w:left w:val="none" w:sz="0" w:space="0" w:color="000000"/>
        <w:bottom w:val="none" w:sz="0" w:space="0" w:color="000000"/>
        <w:right w:val="none" w:sz="0" w:space="0" w:color="000000"/>
      </w:pBdr>
      <w:tabs>
        <w:tab w:val="right" w:pos="9523"/>
      </w:tabs>
      <w:spacing w:before="120" w:after="60" w:line="240" w:lineRule="auto"/>
    </w:pPr>
    <w:rPr>
      <w:rFonts w:ascii="Arial" w:eastAsia="Times New Roman" w:hAnsi="Arial" w:cs="Times New Roman"/>
      <w:b/>
      <w:caps/>
      <w:noProof/>
      <w:color w:val="000000"/>
      <w:sz w:val="20"/>
      <w:szCs w:val="20"/>
      <w:lang w:val="en-US"/>
    </w:rPr>
  </w:style>
  <w:style w:type="paragraph" w:styleId="Header">
    <w:name w:val="header"/>
    <w:basedOn w:val="Normal"/>
    <w:link w:val="HeaderChar"/>
    <w:uiPriority w:val="99"/>
    <w:unhideWhenUsed/>
    <w:rsid w:val="00B15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7CF"/>
  </w:style>
  <w:style w:type="paragraph" w:styleId="Footer">
    <w:name w:val="footer"/>
    <w:basedOn w:val="Normal"/>
    <w:link w:val="FooterChar"/>
    <w:uiPriority w:val="99"/>
    <w:unhideWhenUsed/>
    <w:rsid w:val="00B15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7CF"/>
  </w:style>
  <w:style w:type="paragraph" w:styleId="EndnoteText">
    <w:name w:val="endnote text"/>
    <w:basedOn w:val="Normal"/>
    <w:link w:val="EndnoteTextChar"/>
    <w:uiPriority w:val="99"/>
    <w:semiHidden/>
    <w:unhideWhenUsed/>
    <w:rsid w:val="00A322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22AA"/>
    <w:rPr>
      <w:sz w:val="20"/>
      <w:szCs w:val="20"/>
    </w:rPr>
  </w:style>
  <w:style w:type="character" w:styleId="EndnoteReference">
    <w:name w:val="endnote reference"/>
    <w:basedOn w:val="DefaultParagraphFont"/>
    <w:uiPriority w:val="99"/>
    <w:semiHidden/>
    <w:unhideWhenUsed/>
    <w:rsid w:val="00A322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3CDF"/>
    <w:pPr>
      <w:pBdr>
        <w:top w:val="none" w:sz="0" w:space="0" w:color="000000"/>
        <w:left w:val="none" w:sz="0" w:space="0" w:color="000000"/>
        <w:bottom w:val="none" w:sz="0" w:space="0" w:color="000000"/>
        <w:right w:val="none" w:sz="0" w:space="0" w:color="000000"/>
      </w:pBdr>
      <w:tabs>
        <w:tab w:val="right" w:pos="9523"/>
      </w:tabs>
      <w:spacing w:before="120" w:after="60" w:line="240" w:lineRule="auto"/>
    </w:pPr>
    <w:rPr>
      <w:rFonts w:ascii="Arial" w:eastAsia="Times New Roman" w:hAnsi="Arial" w:cs="Times New Roman"/>
      <w:b/>
      <w:caps/>
      <w:noProof/>
      <w:color w:val="000000"/>
      <w:sz w:val="20"/>
      <w:szCs w:val="20"/>
      <w:lang w:val="en-US"/>
    </w:rPr>
  </w:style>
  <w:style w:type="paragraph" w:styleId="Header">
    <w:name w:val="header"/>
    <w:basedOn w:val="Normal"/>
    <w:link w:val="HeaderChar"/>
    <w:uiPriority w:val="99"/>
    <w:unhideWhenUsed/>
    <w:rsid w:val="00B15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7CF"/>
  </w:style>
  <w:style w:type="paragraph" w:styleId="Footer">
    <w:name w:val="footer"/>
    <w:basedOn w:val="Normal"/>
    <w:link w:val="FooterChar"/>
    <w:uiPriority w:val="99"/>
    <w:unhideWhenUsed/>
    <w:rsid w:val="00B15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7CF"/>
  </w:style>
  <w:style w:type="paragraph" w:styleId="EndnoteText">
    <w:name w:val="endnote text"/>
    <w:basedOn w:val="Normal"/>
    <w:link w:val="EndnoteTextChar"/>
    <w:uiPriority w:val="99"/>
    <w:semiHidden/>
    <w:unhideWhenUsed/>
    <w:rsid w:val="00A322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22AA"/>
    <w:rPr>
      <w:sz w:val="20"/>
      <w:szCs w:val="20"/>
    </w:rPr>
  </w:style>
  <w:style w:type="character" w:styleId="EndnoteReference">
    <w:name w:val="endnote reference"/>
    <w:basedOn w:val="DefaultParagraphFont"/>
    <w:uiPriority w:val="99"/>
    <w:semiHidden/>
    <w:unhideWhenUsed/>
    <w:rsid w:val="00A32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7712-E2B6-47D2-B90D-DCFAF620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47FB8-5174-424F-84E7-2563961776F6}">
  <ds:schemaRefs>
    <ds:schemaRef ds:uri="http://www.w3.org/XML/1998/namespace"/>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8044c801-d84b-4ee1-a77e-678f8dcdee17"/>
    <ds:schemaRef ds:uri="3f4bcce7-ac1a-4c9d-aa3e-7e77695652db"/>
  </ds:schemaRefs>
</ds:datastoreItem>
</file>

<file path=customXml/itemProps3.xml><?xml version="1.0" encoding="utf-8"?>
<ds:datastoreItem xmlns:ds="http://schemas.openxmlformats.org/officeDocument/2006/customXml" ds:itemID="{A8C541F8-00A5-4BC3-9968-7F727853AE1C}">
  <ds:schemaRefs>
    <ds:schemaRef ds:uri="http://schemas.microsoft.com/sharepoint/v3/contenttype/forms"/>
  </ds:schemaRefs>
</ds:datastoreItem>
</file>

<file path=customXml/itemProps4.xml><?xml version="1.0" encoding="utf-8"?>
<ds:datastoreItem xmlns:ds="http://schemas.openxmlformats.org/officeDocument/2006/customXml" ds:itemID="{F390BFB4-2DD9-4329-99A7-094AC4F60E86}">
  <ds:schemaRefs>
    <ds:schemaRef ds:uri="http://schemas.microsoft.com/sharepoint/events"/>
  </ds:schemaRefs>
</ds:datastoreItem>
</file>

<file path=customXml/itemProps5.xml><?xml version="1.0" encoding="utf-8"?>
<ds:datastoreItem xmlns:ds="http://schemas.openxmlformats.org/officeDocument/2006/customXml" ds:itemID="{43C9C5F0-1334-4104-9D8C-7F9654536F02}">
  <ds:schemaRefs>
    <ds:schemaRef ds:uri="http://schemas.microsoft.com/office/2006/metadata/customXsn"/>
  </ds:schemaRefs>
</ds:datastoreItem>
</file>

<file path=customXml/itemProps6.xml><?xml version="1.0" encoding="utf-8"?>
<ds:datastoreItem xmlns:ds="http://schemas.openxmlformats.org/officeDocument/2006/customXml" ds:itemID="{50A950A2-7442-4392-B311-A2256ADE04D0}">
  <ds:schemaRefs>
    <ds:schemaRef ds:uri="Microsoft.SharePoint.Taxonomy.ContentTypeSync"/>
  </ds:schemaRefs>
</ds:datastoreItem>
</file>

<file path=customXml/itemProps7.xml><?xml version="1.0" encoding="utf-8"?>
<ds:datastoreItem xmlns:ds="http://schemas.openxmlformats.org/officeDocument/2006/customXml" ds:itemID="{3D904E8C-2BB6-404F-A84B-CCC669DC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3126</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Submission DR259 - National Association of Sustainable Agriculture Australia (NASAA) - Regulation of Agriculture - Public inquiry</vt:lpstr>
    </vt:vector>
  </TitlesOfParts>
  <Company>National Association of Sustainable Agriculture Australia (NASAA)</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DR259 - National Association of Sustainable Agriculture Australia (NASAA) - Regulation of Agriculture - Public inquiry</dc:title>
  <dc:subject/>
  <dc:creator>National Association of Sustainable Agriculture Australia (NASAA)</dc:creator>
  <cp:keywords/>
  <dc:description/>
  <cp:lastModifiedBy>Pimperl, Mark</cp:lastModifiedBy>
  <cp:revision>3</cp:revision>
  <cp:lastPrinted>2016-08-24T09:55:00Z</cp:lastPrinted>
  <dcterms:created xsi:type="dcterms:W3CDTF">2016-09-02T03:37:00Z</dcterms:created>
  <dcterms:modified xsi:type="dcterms:W3CDTF">2016-09-02T05:48:00Z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