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1E0" w:firstRow="1" w:lastRow="1" w:firstColumn="1" w:lastColumn="1" w:noHBand="0" w:noVBand="0"/>
      </w:tblPr>
      <w:tblGrid>
        <w:gridCol w:w="9570"/>
      </w:tblGrid>
      <w:tr w:rsidR="00703227" w:rsidTr="00A76056">
        <w:tc>
          <w:tcPr>
            <w:tcW w:w="9570" w:type="dxa"/>
          </w:tcPr>
          <w:p w:rsidR="00703227" w:rsidRDefault="00703227" w:rsidP="00171807">
            <w:pPr>
              <w:pStyle w:val="LetterDate"/>
            </w:pPr>
            <w:bookmarkStart w:id="0" w:name="To"/>
            <w:r>
              <w:t>Superannuation</w:t>
            </w:r>
            <w:bookmarkEnd w:id="0"/>
            <w:r>
              <w:t xml:space="preserve"> </w:t>
            </w:r>
          </w:p>
          <w:p w:rsidR="00703227" w:rsidRDefault="00703227" w:rsidP="00171807">
            <w:pPr>
              <w:pStyle w:val="Address"/>
            </w:pPr>
            <w:bookmarkStart w:id="1" w:name="Organization"/>
            <w:r>
              <w:t>Productivity Commission</w:t>
            </w:r>
            <w:bookmarkEnd w:id="1"/>
          </w:p>
          <w:p w:rsidR="00703227" w:rsidRDefault="00703227" w:rsidP="00171807">
            <w:pPr>
              <w:pStyle w:val="Address"/>
            </w:pPr>
            <w:bookmarkStart w:id="2" w:name="OrganizationAddress"/>
            <w:r>
              <w:t xml:space="preserve">Locked Bag 2, </w:t>
            </w:r>
            <w:smartTag w:uri="urn:schemas-microsoft-com:office:smarttags" w:element="address">
              <w:smartTag w:uri="urn:schemas-microsoft-com:office:smarttags" w:element="Street">
                <w:r>
                  <w:t>Collins St East</w:t>
                </w:r>
              </w:smartTag>
            </w:smartTag>
          </w:p>
          <w:p w:rsidR="00703227" w:rsidRDefault="00703227" w:rsidP="00171807">
            <w:pPr>
              <w:pStyle w:val="Address"/>
            </w:pPr>
            <w:smartTag w:uri="urn:schemas-microsoft-com:office:smarttags" w:element="City">
              <w:smartTag w:uri="urn:schemas-microsoft-com:office:smarttags" w:element="place">
                <w:r>
                  <w:t>Melbourne</w:t>
                </w:r>
              </w:smartTag>
            </w:smartTag>
          </w:p>
          <w:p w:rsidR="00703227" w:rsidRDefault="00703227" w:rsidP="00171807">
            <w:pPr>
              <w:pStyle w:val="Address"/>
            </w:pPr>
            <w:r>
              <w:t>VIC   8003</w:t>
            </w:r>
            <w:bookmarkEnd w:id="2"/>
          </w:p>
          <w:p w:rsidR="00703227" w:rsidRDefault="00703227">
            <w:pPr>
              <w:pStyle w:val="LetterDate"/>
            </w:pPr>
          </w:p>
        </w:tc>
      </w:tr>
    </w:tbl>
    <w:p w:rsidR="00703227" w:rsidRDefault="008D1C9A" w:rsidP="004B3487">
      <w:pPr>
        <w:pStyle w:val="Address"/>
      </w:pPr>
      <w:bookmarkStart w:id="3" w:name="SendersCity"/>
      <w:bookmarkEnd w:id="3"/>
      <w:r>
        <w:t>13 September 2016</w:t>
      </w:r>
    </w:p>
    <w:p w:rsidR="00703227" w:rsidRDefault="00703227"/>
    <w:p w:rsidR="00703227" w:rsidRDefault="00703227" w:rsidP="002A7911">
      <w:pPr>
        <w:pStyle w:val="Subject"/>
      </w:pPr>
      <w:bookmarkStart w:id="4" w:name="MMC_Subject"/>
      <w:r>
        <w:t>Subject</w:t>
      </w:r>
      <w:bookmarkEnd w:id="4"/>
      <w:r>
        <w:t xml:space="preserve">: </w:t>
      </w:r>
      <w:bookmarkStart w:id="5" w:name="Subject"/>
      <w:r>
        <w:rPr>
          <w:b w:val="0"/>
        </w:rPr>
        <w:t>Superannuation Efficiency and Competitiveness</w:t>
      </w:r>
      <w:bookmarkEnd w:id="5"/>
    </w:p>
    <w:p w:rsidR="00703227" w:rsidRDefault="00703227">
      <w:pPr>
        <w:pStyle w:val="Subject"/>
      </w:pPr>
    </w:p>
    <w:p w:rsidR="00703227" w:rsidRDefault="00703227">
      <w:bookmarkStart w:id="6" w:name="Greeting"/>
      <w:r>
        <w:t>Dear Karen and Angela</w:t>
      </w:r>
      <w:bookmarkEnd w:id="6"/>
    </w:p>
    <w:p w:rsidR="00703227" w:rsidRDefault="00703227" w:rsidP="006F648B">
      <w:pPr>
        <w:spacing w:before="100" w:beforeAutospacing="1" w:after="100" w:afterAutospacing="1" w:line="240" w:lineRule="auto"/>
        <w:rPr>
          <w:szCs w:val="22"/>
          <w:lang w:eastAsia="en-AU"/>
        </w:rPr>
      </w:pPr>
      <w:bookmarkStart w:id="7" w:name="Start"/>
      <w:bookmarkEnd w:id="7"/>
      <w:r w:rsidRPr="00F733C5">
        <w:rPr>
          <w:szCs w:val="22"/>
          <w:lang w:eastAsia="en-AU"/>
        </w:rPr>
        <w:t xml:space="preserve">Mercer welcomes the </w:t>
      </w:r>
      <w:r>
        <w:rPr>
          <w:szCs w:val="22"/>
          <w:lang w:eastAsia="en-AU"/>
        </w:rPr>
        <w:t xml:space="preserve">Productivity Commission’s </w:t>
      </w:r>
      <w:r w:rsidRPr="00F733C5">
        <w:rPr>
          <w:szCs w:val="22"/>
          <w:lang w:eastAsia="en-AU"/>
        </w:rPr>
        <w:t xml:space="preserve">invitation </w:t>
      </w:r>
      <w:r>
        <w:rPr>
          <w:szCs w:val="22"/>
          <w:lang w:eastAsia="en-AU"/>
        </w:rPr>
        <w:t xml:space="preserve">to make a submission responding to the Commission’s Draft Report entitled </w:t>
      </w:r>
      <w:r w:rsidRPr="007A750B">
        <w:rPr>
          <w:i/>
          <w:szCs w:val="22"/>
          <w:lang w:eastAsia="en-AU"/>
        </w:rPr>
        <w:t>How to Assess the Competitiveness and Efficiency of the Superannuation System</w:t>
      </w:r>
      <w:r>
        <w:rPr>
          <w:i/>
          <w:szCs w:val="22"/>
          <w:lang w:eastAsia="en-AU"/>
        </w:rPr>
        <w:t>.</w:t>
      </w:r>
    </w:p>
    <w:p w:rsidR="00703227" w:rsidRDefault="00703227" w:rsidP="0046080A">
      <w:r>
        <w:t xml:space="preserve">We have segmented our analysis according to the core items in the Draft Report about which the Commission sought feedback, namely the 5 draft ‘system-level’ </w:t>
      </w:r>
      <w:r w:rsidRPr="007A750B">
        <w:t>objectives</w:t>
      </w:r>
      <w:r>
        <w:t>; the 2</w:t>
      </w:r>
      <w:r w:rsidR="00995EB1">
        <w:t>7</w:t>
      </w:r>
      <w:r>
        <w:t xml:space="preserve"> assessment ‘</w:t>
      </w:r>
      <w:r w:rsidRPr="007A750B">
        <w:t>criteria</w:t>
      </w:r>
      <w:r>
        <w:t>’;</w:t>
      </w:r>
      <w:r w:rsidRPr="007A750B">
        <w:t xml:space="preserve"> and </w:t>
      </w:r>
      <w:r>
        <w:t>the 115 ‘</w:t>
      </w:r>
      <w:r w:rsidRPr="007A750B">
        <w:t>indicators</w:t>
      </w:r>
      <w:r>
        <w:t>’. Our comments for each element are in a separate attachment to this letter as follows:</w:t>
      </w:r>
    </w:p>
    <w:p w:rsidR="00703227" w:rsidRDefault="00703227"/>
    <w:p w:rsidR="00703227" w:rsidRPr="006F648B" w:rsidRDefault="00703227" w:rsidP="006F648B">
      <w:pPr>
        <w:pStyle w:val="ListParagraph"/>
        <w:numPr>
          <w:ilvl w:val="0"/>
          <w:numId w:val="29"/>
        </w:numPr>
        <w:rPr>
          <w:rFonts w:ascii="Arial" w:hAnsi="Arial" w:cs="Arial"/>
          <w:szCs w:val="20"/>
        </w:rPr>
      </w:pPr>
      <w:r>
        <w:rPr>
          <w:rFonts w:ascii="Arial" w:hAnsi="Arial" w:cs="Arial"/>
          <w:szCs w:val="20"/>
        </w:rPr>
        <w:t>System-level o</w:t>
      </w:r>
      <w:r w:rsidRPr="006F648B">
        <w:rPr>
          <w:rFonts w:ascii="Arial" w:hAnsi="Arial" w:cs="Arial"/>
          <w:szCs w:val="20"/>
        </w:rPr>
        <w:t>bjectives</w:t>
      </w:r>
      <w:r>
        <w:rPr>
          <w:rFonts w:ascii="Arial" w:hAnsi="Arial" w:cs="Arial"/>
          <w:szCs w:val="20"/>
        </w:rPr>
        <w:t xml:space="preserve">: pages </w:t>
      </w:r>
      <w:r w:rsidR="004A2E15">
        <w:rPr>
          <w:rFonts w:ascii="Arial" w:hAnsi="Arial" w:cs="Arial"/>
          <w:szCs w:val="20"/>
        </w:rPr>
        <w:t>6</w:t>
      </w:r>
      <w:r>
        <w:rPr>
          <w:rFonts w:ascii="Arial" w:hAnsi="Arial" w:cs="Arial"/>
          <w:szCs w:val="20"/>
        </w:rPr>
        <w:t xml:space="preserve"> - </w:t>
      </w:r>
      <w:r w:rsidR="004A2E15">
        <w:rPr>
          <w:rFonts w:ascii="Arial" w:hAnsi="Arial" w:cs="Arial"/>
          <w:szCs w:val="20"/>
        </w:rPr>
        <w:t>8</w:t>
      </w:r>
    </w:p>
    <w:p w:rsidR="00703227" w:rsidRPr="006F648B" w:rsidRDefault="00703227" w:rsidP="006F648B">
      <w:pPr>
        <w:pStyle w:val="ListParagraph"/>
        <w:numPr>
          <w:ilvl w:val="0"/>
          <w:numId w:val="29"/>
        </w:numPr>
        <w:rPr>
          <w:rFonts w:ascii="Arial" w:hAnsi="Arial" w:cs="Arial"/>
          <w:szCs w:val="20"/>
        </w:rPr>
      </w:pPr>
      <w:r>
        <w:rPr>
          <w:rFonts w:ascii="Arial" w:hAnsi="Arial" w:cs="Arial"/>
          <w:szCs w:val="20"/>
        </w:rPr>
        <w:t xml:space="preserve">Assessment criteria: pages </w:t>
      </w:r>
      <w:r w:rsidR="004A2E15">
        <w:rPr>
          <w:rFonts w:ascii="Arial" w:hAnsi="Arial" w:cs="Arial"/>
          <w:szCs w:val="20"/>
        </w:rPr>
        <w:t>9</w:t>
      </w:r>
      <w:r>
        <w:rPr>
          <w:rFonts w:ascii="Arial" w:hAnsi="Arial" w:cs="Arial"/>
          <w:szCs w:val="20"/>
        </w:rPr>
        <w:t xml:space="preserve"> - </w:t>
      </w:r>
      <w:r w:rsidR="004A2E15">
        <w:rPr>
          <w:rFonts w:ascii="Arial" w:hAnsi="Arial" w:cs="Arial"/>
          <w:szCs w:val="20"/>
        </w:rPr>
        <w:t>17</w:t>
      </w:r>
    </w:p>
    <w:p w:rsidR="00703227" w:rsidRPr="006F648B" w:rsidRDefault="004A2E15" w:rsidP="006F648B">
      <w:pPr>
        <w:pStyle w:val="ListParagraph"/>
        <w:numPr>
          <w:ilvl w:val="0"/>
          <w:numId w:val="29"/>
        </w:numPr>
        <w:rPr>
          <w:rFonts w:ascii="Arial" w:hAnsi="Arial" w:cs="Arial"/>
          <w:szCs w:val="20"/>
        </w:rPr>
      </w:pPr>
      <w:r>
        <w:rPr>
          <w:rFonts w:ascii="Arial" w:hAnsi="Arial" w:cs="Arial"/>
          <w:szCs w:val="20"/>
        </w:rPr>
        <w:t>Indicators: pages 18</w:t>
      </w:r>
      <w:r w:rsidR="00703227">
        <w:rPr>
          <w:rFonts w:ascii="Arial" w:hAnsi="Arial" w:cs="Arial"/>
          <w:szCs w:val="20"/>
        </w:rPr>
        <w:t xml:space="preserve"> - </w:t>
      </w:r>
      <w:r>
        <w:rPr>
          <w:rFonts w:ascii="Arial" w:hAnsi="Arial" w:cs="Arial"/>
          <w:szCs w:val="20"/>
        </w:rPr>
        <w:t>57</w:t>
      </w:r>
    </w:p>
    <w:p w:rsidR="00703227" w:rsidRDefault="00703227" w:rsidP="005A4C7B">
      <w:pPr>
        <w:pStyle w:val="ListParagraph"/>
        <w:numPr>
          <w:ilvl w:val="0"/>
          <w:numId w:val="29"/>
        </w:numPr>
        <w:rPr>
          <w:rFonts w:ascii="Arial" w:hAnsi="Arial" w:cs="Arial"/>
          <w:szCs w:val="20"/>
        </w:rPr>
      </w:pPr>
      <w:r>
        <w:rPr>
          <w:rFonts w:ascii="Arial" w:hAnsi="Arial" w:cs="Arial"/>
          <w:szCs w:val="20"/>
        </w:rPr>
        <w:t xml:space="preserve">Information requests: pages </w:t>
      </w:r>
      <w:r w:rsidR="004A2E15">
        <w:rPr>
          <w:rFonts w:ascii="Arial" w:hAnsi="Arial" w:cs="Arial"/>
          <w:szCs w:val="20"/>
        </w:rPr>
        <w:t>58</w:t>
      </w:r>
      <w:r>
        <w:rPr>
          <w:rFonts w:ascii="Arial" w:hAnsi="Arial" w:cs="Arial"/>
          <w:szCs w:val="20"/>
        </w:rPr>
        <w:t xml:space="preserve"> </w:t>
      </w:r>
      <w:r w:rsidR="008D1C9A">
        <w:rPr>
          <w:rFonts w:ascii="Arial" w:hAnsi="Arial" w:cs="Arial"/>
          <w:szCs w:val="20"/>
        </w:rPr>
        <w:t>–</w:t>
      </w:r>
      <w:r>
        <w:rPr>
          <w:rFonts w:ascii="Arial" w:hAnsi="Arial" w:cs="Arial"/>
          <w:szCs w:val="20"/>
        </w:rPr>
        <w:t xml:space="preserve"> </w:t>
      </w:r>
      <w:r w:rsidR="004A2E15">
        <w:rPr>
          <w:rFonts w:ascii="Arial" w:hAnsi="Arial" w:cs="Arial"/>
          <w:szCs w:val="20"/>
        </w:rPr>
        <w:t>63</w:t>
      </w:r>
    </w:p>
    <w:p w:rsidR="008D1C9A" w:rsidRPr="005A4C7B" w:rsidRDefault="004A2E15" w:rsidP="005A4C7B">
      <w:pPr>
        <w:pStyle w:val="ListParagraph"/>
        <w:numPr>
          <w:ilvl w:val="0"/>
          <w:numId w:val="29"/>
        </w:numPr>
        <w:rPr>
          <w:rFonts w:ascii="Arial" w:hAnsi="Arial" w:cs="Arial"/>
          <w:szCs w:val="20"/>
        </w:rPr>
      </w:pPr>
      <w:r>
        <w:rPr>
          <w:rFonts w:ascii="Arial" w:hAnsi="Arial" w:cs="Arial"/>
          <w:szCs w:val="20"/>
        </w:rPr>
        <w:t>Further comments: pages 64</w:t>
      </w:r>
      <w:r w:rsidR="008D1C9A">
        <w:rPr>
          <w:rFonts w:ascii="Arial" w:hAnsi="Arial" w:cs="Arial"/>
          <w:szCs w:val="20"/>
        </w:rPr>
        <w:t xml:space="preserve"> - </w:t>
      </w:r>
      <w:r>
        <w:rPr>
          <w:rFonts w:ascii="Arial" w:hAnsi="Arial" w:cs="Arial"/>
          <w:szCs w:val="20"/>
        </w:rPr>
        <w:t>67</w:t>
      </w:r>
    </w:p>
    <w:p w:rsidR="00703227" w:rsidRDefault="00703227"/>
    <w:p w:rsidR="00CB697E" w:rsidRDefault="00703227">
      <w:r>
        <w:t>In addition to these responses, we wish to make the follo</w:t>
      </w:r>
      <w:r w:rsidR="00995EB1">
        <w:t>wing general comments:</w:t>
      </w:r>
    </w:p>
    <w:p w:rsidR="009D097A" w:rsidRPr="00F733C5" w:rsidRDefault="009D097A" w:rsidP="009D097A">
      <w:pPr>
        <w:numPr>
          <w:ilvl w:val="0"/>
          <w:numId w:val="32"/>
        </w:numPr>
        <w:spacing w:before="100" w:beforeAutospacing="1" w:after="100" w:afterAutospacing="1" w:line="240" w:lineRule="auto"/>
        <w:rPr>
          <w:lang w:eastAsia="en-AU"/>
        </w:rPr>
      </w:pPr>
      <w:r>
        <w:rPr>
          <w:lang w:eastAsia="en-AU"/>
        </w:rPr>
        <w:t>Mercer considers the Government’s proposed superannuation system objective</w:t>
      </w:r>
      <w:r w:rsidRPr="00F733C5">
        <w:rPr>
          <w:lang w:eastAsia="en-AU"/>
        </w:rPr>
        <w:t xml:space="preserve"> is too vague</w:t>
      </w:r>
      <w:r>
        <w:rPr>
          <w:lang w:eastAsia="en-AU"/>
        </w:rPr>
        <w:t xml:space="preserve"> and arguably permits any </w:t>
      </w:r>
      <w:r w:rsidRPr="00D109DA">
        <w:t xml:space="preserve">level of superannuation </w:t>
      </w:r>
      <w:r>
        <w:t>to</w:t>
      </w:r>
      <w:r w:rsidRPr="00D109DA">
        <w:t xml:space="preserve"> meet th</w:t>
      </w:r>
      <w:r>
        <w:t>e proposed o</w:t>
      </w:r>
      <w:r w:rsidRPr="00D109DA">
        <w:t>bjective</w:t>
      </w:r>
      <w:r>
        <w:t xml:space="preserve"> without any assessment as to adequacy. For the development of sound future policies,</w:t>
      </w:r>
      <w:r w:rsidRPr="009D097A">
        <w:rPr>
          <w:lang w:eastAsia="en-AU"/>
        </w:rPr>
        <w:t xml:space="preserve"> </w:t>
      </w:r>
      <w:r w:rsidRPr="00F733C5">
        <w:rPr>
          <w:lang w:eastAsia="en-AU"/>
        </w:rPr>
        <w:t>Mercer believes</w:t>
      </w:r>
      <w:r>
        <w:t xml:space="preserve"> it is important that agreement is reached on the objective of the overall retirement income system as well as the objectives of each pillar within the system, together with an agreed understanding of the integration and relationships between each pillar. </w:t>
      </w:r>
      <w:r>
        <w:rPr>
          <w:lang w:eastAsia="en-AU"/>
        </w:rPr>
        <w:t>W</w:t>
      </w:r>
      <w:r w:rsidRPr="00F733C5">
        <w:rPr>
          <w:lang w:eastAsia="en-AU"/>
        </w:rPr>
        <w:t xml:space="preserve">e </w:t>
      </w:r>
      <w:r>
        <w:rPr>
          <w:lang w:eastAsia="en-AU"/>
        </w:rPr>
        <w:t xml:space="preserve">have </w:t>
      </w:r>
      <w:r w:rsidRPr="00F733C5">
        <w:rPr>
          <w:lang w:eastAsia="en-AU"/>
        </w:rPr>
        <w:t>recommend</w:t>
      </w:r>
      <w:r>
        <w:rPr>
          <w:lang w:eastAsia="en-AU"/>
        </w:rPr>
        <w:t>ed</w:t>
      </w:r>
      <w:r w:rsidRPr="00F733C5">
        <w:rPr>
          <w:lang w:eastAsia="en-AU"/>
        </w:rPr>
        <w:t xml:space="preserve"> that the objective for the overall retirement income system should be:</w:t>
      </w:r>
    </w:p>
    <w:p w:rsidR="009D097A" w:rsidRPr="00F733C5" w:rsidRDefault="009D097A" w:rsidP="00995EB1">
      <w:pPr>
        <w:ind w:left="1134"/>
        <w:rPr>
          <w:i/>
        </w:rPr>
      </w:pPr>
      <w:r w:rsidRPr="00F733C5">
        <w:rPr>
          <w:i/>
        </w:rPr>
        <w:lastRenderedPageBreak/>
        <w:t xml:space="preserve">to provide </w:t>
      </w:r>
      <w:r w:rsidR="00CB4CB9">
        <w:rPr>
          <w:i/>
        </w:rPr>
        <w:t>the vast majority of Australians</w:t>
      </w:r>
      <w:r w:rsidRPr="00F733C5">
        <w:rPr>
          <w:i/>
        </w:rPr>
        <w:t xml:space="preserve"> with an income throughout their retirement that enables their pre-retirement living standards to be maintained. </w:t>
      </w:r>
    </w:p>
    <w:p w:rsidR="009D097A" w:rsidRDefault="009D097A" w:rsidP="00995EB1">
      <w:pPr>
        <w:pStyle w:val="ListParagraph"/>
        <w:ind w:left="360"/>
        <w:rPr>
          <w:rFonts w:ascii="Arial" w:hAnsi="Arial" w:cs="Arial"/>
        </w:rPr>
      </w:pPr>
    </w:p>
    <w:p w:rsidR="009D097A" w:rsidRDefault="00CB4CB9" w:rsidP="00995EB1">
      <w:pPr>
        <w:pStyle w:val="ListParagraph"/>
        <w:rPr>
          <w:rFonts w:ascii="Arial" w:hAnsi="Arial" w:cs="Arial"/>
        </w:rPr>
      </w:pPr>
      <w:r>
        <w:rPr>
          <w:rFonts w:ascii="Arial" w:hAnsi="Arial" w:cs="Arial"/>
        </w:rPr>
        <w:t xml:space="preserve">Nevertheless we are broadly supportive of the set of system level objectives proposed by the Commission. We have recommended a number of refinements in Attachment 1. </w:t>
      </w:r>
    </w:p>
    <w:p w:rsidR="00CB4CB9" w:rsidRDefault="00CB4CB9" w:rsidP="00995EB1">
      <w:pPr>
        <w:pStyle w:val="ListParagraph"/>
        <w:ind w:left="360"/>
        <w:rPr>
          <w:rFonts w:ascii="Arial" w:hAnsi="Arial" w:cs="Arial"/>
        </w:rPr>
      </w:pPr>
    </w:p>
    <w:p w:rsidR="00703227" w:rsidRDefault="00703227" w:rsidP="005A4C7B">
      <w:pPr>
        <w:pStyle w:val="ListParagraph"/>
        <w:numPr>
          <w:ilvl w:val="0"/>
          <w:numId w:val="32"/>
        </w:numPr>
        <w:rPr>
          <w:rFonts w:ascii="Arial" w:hAnsi="Arial" w:cs="Arial"/>
        </w:rPr>
      </w:pPr>
      <w:r>
        <w:rPr>
          <w:rFonts w:ascii="Arial" w:hAnsi="Arial" w:cs="Arial"/>
        </w:rPr>
        <w:t xml:space="preserve">We recognise that the superannuation industry has many aspects to it and congratulate </w:t>
      </w:r>
      <w:r w:rsidRPr="005A4C7B">
        <w:rPr>
          <w:rFonts w:ascii="Arial" w:hAnsi="Arial" w:cs="Arial"/>
        </w:rPr>
        <w:t>the Commission on the necessary breadth of its report.</w:t>
      </w:r>
    </w:p>
    <w:p w:rsidR="00703227" w:rsidRPr="005A4C7B" w:rsidRDefault="00703227" w:rsidP="005A4C7B">
      <w:pPr>
        <w:pStyle w:val="ListParagraph"/>
        <w:rPr>
          <w:rFonts w:ascii="Arial" w:hAnsi="Arial" w:cs="Arial"/>
        </w:rPr>
      </w:pPr>
    </w:p>
    <w:p w:rsidR="00703227" w:rsidRDefault="00703227" w:rsidP="005A4C7B">
      <w:pPr>
        <w:pStyle w:val="ListParagraph"/>
        <w:numPr>
          <w:ilvl w:val="0"/>
          <w:numId w:val="32"/>
        </w:numPr>
        <w:rPr>
          <w:rFonts w:ascii="Arial" w:hAnsi="Arial" w:cs="Arial"/>
        </w:rPr>
      </w:pPr>
      <w:r>
        <w:rPr>
          <w:rFonts w:ascii="Arial" w:hAnsi="Arial" w:cs="Arial"/>
        </w:rPr>
        <w:t xml:space="preserve">Notwithstanding the need for this breadth, we are concerned at the size of the task that the Commission proposes for itself. The </w:t>
      </w:r>
      <w:r w:rsidR="00424FB4">
        <w:rPr>
          <w:rFonts w:ascii="Arial" w:hAnsi="Arial" w:cs="Arial"/>
        </w:rPr>
        <w:t>D</w:t>
      </w:r>
      <w:r>
        <w:rPr>
          <w:rFonts w:ascii="Arial" w:hAnsi="Arial" w:cs="Arial"/>
        </w:rPr>
        <w:t xml:space="preserve">raft </w:t>
      </w:r>
      <w:r w:rsidR="00424FB4">
        <w:rPr>
          <w:rFonts w:ascii="Arial" w:hAnsi="Arial" w:cs="Arial"/>
        </w:rPr>
        <w:t>R</w:t>
      </w:r>
      <w:r>
        <w:rPr>
          <w:rFonts w:ascii="Arial" w:hAnsi="Arial" w:cs="Arial"/>
        </w:rPr>
        <w:t xml:space="preserve">eport has 5 system-level objectives, 27 criteria and 115 indicators plus extensive evidential sources. We are concerned that the Commission may be forced to pursue ‘short cuts’ in its assessment and rely upon easily accessible or amenable, but not necessarily appropriate or comprehensive, data.  </w:t>
      </w:r>
    </w:p>
    <w:p w:rsidR="00703227" w:rsidRDefault="00703227" w:rsidP="00B068DF">
      <w:pPr>
        <w:pStyle w:val="ListParagraph"/>
        <w:rPr>
          <w:rFonts w:ascii="Arial" w:hAnsi="Arial" w:cs="Arial"/>
        </w:rPr>
      </w:pPr>
    </w:p>
    <w:p w:rsidR="00703227" w:rsidRDefault="00995EB1" w:rsidP="00106B5A">
      <w:pPr>
        <w:pStyle w:val="ListParagraph"/>
        <w:rPr>
          <w:rFonts w:ascii="Arial" w:hAnsi="Arial" w:cs="Arial"/>
        </w:rPr>
      </w:pPr>
      <w:r>
        <w:rPr>
          <w:rFonts w:ascii="Arial" w:hAnsi="Arial" w:cs="Arial"/>
        </w:rPr>
        <w:t>Further, w</w:t>
      </w:r>
      <w:r w:rsidR="00703227">
        <w:rPr>
          <w:rFonts w:ascii="Arial" w:hAnsi="Arial" w:cs="Arial"/>
        </w:rPr>
        <w:t xml:space="preserve">e are concerned that the references to ‘industry data’ and ‘surveys’ could coalesce as multiple demands upon industry to supply or develop information, or complete surveys. We recommend the Commission use publicly available information or data held by the regulators as much as possible and minimise the extra requirements that could be placed on the industry. By definition, surveys’ utility is limited by </w:t>
      </w:r>
      <w:r w:rsidR="00971719">
        <w:rPr>
          <w:rFonts w:ascii="Arial" w:hAnsi="Arial" w:cs="Arial"/>
        </w:rPr>
        <w:t xml:space="preserve">the </w:t>
      </w:r>
      <w:r w:rsidR="00703227">
        <w:rPr>
          <w:rFonts w:ascii="Arial" w:hAnsi="Arial" w:cs="Arial"/>
        </w:rPr>
        <w:t xml:space="preserve">survey sample </w:t>
      </w:r>
      <w:r w:rsidR="00971719">
        <w:rPr>
          <w:rFonts w:ascii="Arial" w:hAnsi="Arial" w:cs="Arial"/>
        </w:rPr>
        <w:t xml:space="preserve">size </w:t>
      </w:r>
      <w:r w:rsidR="00703227">
        <w:rPr>
          <w:rFonts w:ascii="Arial" w:hAnsi="Arial" w:cs="Arial"/>
        </w:rPr>
        <w:t xml:space="preserve">and design, and we caution the Commission about relying overly upon this source. We also highlight that the “easy” availability of any data requirements should not be assumed due to the diversity of operations within the industry. </w:t>
      </w:r>
    </w:p>
    <w:p w:rsidR="00703227" w:rsidRPr="00CD4082" w:rsidRDefault="00703227" w:rsidP="00106B5A">
      <w:pPr>
        <w:pStyle w:val="ListParagraph"/>
        <w:rPr>
          <w:rFonts w:ascii="Arial" w:hAnsi="Arial" w:cs="Arial"/>
        </w:rPr>
      </w:pPr>
    </w:p>
    <w:p w:rsidR="00703227" w:rsidRDefault="00703227" w:rsidP="00511105">
      <w:pPr>
        <w:pStyle w:val="ListParagraph"/>
        <w:numPr>
          <w:ilvl w:val="0"/>
          <w:numId w:val="32"/>
        </w:numPr>
        <w:rPr>
          <w:rFonts w:ascii="Arial" w:hAnsi="Arial" w:cs="Arial"/>
        </w:rPr>
      </w:pPr>
      <w:r w:rsidRPr="00B5657E">
        <w:rPr>
          <w:rFonts w:ascii="Arial" w:hAnsi="Arial" w:cs="Arial"/>
        </w:rPr>
        <w:t xml:space="preserve">We </w:t>
      </w:r>
      <w:r>
        <w:rPr>
          <w:rFonts w:ascii="Arial" w:hAnsi="Arial" w:cs="Arial"/>
        </w:rPr>
        <w:t xml:space="preserve">acknowledge the Commission’s discussion about the heterogeneity of the superannuation ‘market’ at 5.1 in its </w:t>
      </w:r>
      <w:r w:rsidR="00424FB4">
        <w:rPr>
          <w:rFonts w:ascii="Arial" w:hAnsi="Arial" w:cs="Arial"/>
        </w:rPr>
        <w:t>D</w:t>
      </w:r>
      <w:r>
        <w:rPr>
          <w:rFonts w:ascii="Arial" w:hAnsi="Arial" w:cs="Arial"/>
        </w:rPr>
        <w:t xml:space="preserve">raft </w:t>
      </w:r>
      <w:r w:rsidR="00424FB4">
        <w:rPr>
          <w:rFonts w:ascii="Arial" w:hAnsi="Arial" w:cs="Arial"/>
        </w:rPr>
        <w:t>R</w:t>
      </w:r>
      <w:r>
        <w:rPr>
          <w:rFonts w:ascii="Arial" w:hAnsi="Arial" w:cs="Arial"/>
        </w:rPr>
        <w:t xml:space="preserve">eport but emphasise </w:t>
      </w:r>
      <w:r w:rsidRPr="00B5657E">
        <w:rPr>
          <w:rFonts w:ascii="Arial" w:hAnsi="Arial" w:cs="Arial"/>
        </w:rPr>
        <w:t xml:space="preserve">caution </w:t>
      </w:r>
      <w:r>
        <w:rPr>
          <w:rFonts w:ascii="Arial" w:hAnsi="Arial" w:cs="Arial"/>
        </w:rPr>
        <w:t xml:space="preserve">by </w:t>
      </w:r>
      <w:r w:rsidRPr="00B5657E">
        <w:rPr>
          <w:rFonts w:ascii="Arial" w:hAnsi="Arial" w:cs="Arial"/>
        </w:rPr>
        <w:t xml:space="preserve">the Commission </w:t>
      </w:r>
      <w:r>
        <w:rPr>
          <w:rFonts w:ascii="Arial" w:hAnsi="Arial" w:cs="Arial"/>
        </w:rPr>
        <w:t xml:space="preserve">in </w:t>
      </w:r>
      <w:r w:rsidRPr="00B5657E">
        <w:rPr>
          <w:rFonts w:ascii="Arial" w:hAnsi="Arial" w:cs="Arial"/>
        </w:rPr>
        <w:t xml:space="preserve">perceiving the ‘superannuation system’ as </w:t>
      </w:r>
      <w:r>
        <w:rPr>
          <w:rFonts w:ascii="Arial" w:hAnsi="Arial" w:cs="Arial"/>
        </w:rPr>
        <w:t xml:space="preserve">a solitary </w:t>
      </w:r>
      <w:r w:rsidRPr="00B5657E">
        <w:rPr>
          <w:rFonts w:ascii="Arial" w:hAnsi="Arial" w:cs="Arial"/>
        </w:rPr>
        <w:t>market</w:t>
      </w:r>
      <w:r>
        <w:rPr>
          <w:rFonts w:ascii="Arial" w:hAnsi="Arial" w:cs="Arial"/>
        </w:rPr>
        <w:t>. T</w:t>
      </w:r>
      <w:r w:rsidRPr="00B5657E">
        <w:rPr>
          <w:rFonts w:ascii="Arial" w:hAnsi="Arial" w:cs="Arial"/>
        </w:rPr>
        <w:t xml:space="preserve">he superannuation system </w:t>
      </w:r>
      <w:r w:rsidRPr="00B057A6">
        <w:rPr>
          <w:rFonts w:ascii="Arial" w:hAnsi="Arial" w:cs="Arial"/>
        </w:rPr>
        <w:t>is very complex</w:t>
      </w:r>
      <w:r>
        <w:rPr>
          <w:rFonts w:ascii="Arial" w:hAnsi="Arial" w:cs="Arial"/>
        </w:rPr>
        <w:t xml:space="preserve">, comprising </w:t>
      </w:r>
      <w:r w:rsidRPr="00B5657E">
        <w:rPr>
          <w:rFonts w:ascii="Arial" w:hAnsi="Arial" w:cs="Arial"/>
        </w:rPr>
        <w:t>multiple markets</w:t>
      </w:r>
      <w:r>
        <w:rPr>
          <w:rFonts w:ascii="Arial" w:hAnsi="Arial" w:cs="Arial"/>
        </w:rPr>
        <w:t xml:space="preserve"> and segments. The Commission is vague about this segmentation at places, mentioning on page 77 that it will “</w:t>
      </w:r>
      <w:r w:rsidRPr="00511105">
        <w:rPr>
          <w:rFonts w:ascii="Arial" w:hAnsi="Arial" w:cs="Arial"/>
        </w:rPr>
        <w:t xml:space="preserve">nominate for which segment </w:t>
      </w:r>
      <w:r>
        <w:rPr>
          <w:rFonts w:ascii="Arial" w:hAnsi="Arial" w:cs="Arial"/>
        </w:rPr>
        <w:t xml:space="preserve">[of the market] </w:t>
      </w:r>
      <w:r w:rsidRPr="00511105">
        <w:rPr>
          <w:rFonts w:ascii="Arial" w:hAnsi="Arial" w:cs="Arial"/>
        </w:rPr>
        <w:t>the proposed indicators are most relevant</w:t>
      </w:r>
      <w:r>
        <w:rPr>
          <w:rFonts w:ascii="Arial" w:hAnsi="Arial" w:cs="Arial"/>
        </w:rPr>
        <w:t>” for example</w:t>
      </w:r>
      <w:r w:rsidRPr="00511105">
        <w:rPr>
          <w:rFonts w:ascii="Arial" w:hAnsi="Arial" w:cs="Arial"/>
        </w:rPr>
        <w:t>.</w:t>
      </w:r>
      <w:r>
        <w:rPr>
          <w:rFonts w:ascii="Arial" w:hAnsi="Arial" w:cs="Arial"/>
        </w:rPr>
        <w:t xml:space="preserve"> </w:t>
      </w:r>
    </w:p>
    <w:p w:rsidR="00703227" w:rsidRPr="005A4C7B" w:rsidRDefault="00703227" w:rsidP="005A4C7B">
      <w:pPr>
        <w:pStyle w:val="ListParagraph"/>
        <w:rPr>
          <w:rFonts w:ascii="Arial" w:hAnsi="Arial" w:cs="Arial"/>
        </w:rPr>
      </w:pPr>
    </w:p>
    <w:p w:rsidR="00703227" w:rsidRDefault="00703227" w:rsidP="005A4C7B">
      <w:pPr>
        <w:pStyle w:val="ListParagraph"/>
        <w:rPr>
          <w:rFonts w:ascii="Arial" w:hAnsi="Arial" w:cs="Arial"/>
        </w:rPr>
      </w:pPr>
      <w:r>
        <w:rPr>
          <w:rFonts w:ascii="Arial" w:hAnsi="Arial" w:cs="Arial"/>
        </w:rPr>
        <w:t xml:space="preserve">It is important that </w:t>
      </w:r>
      <w:r w:rsidR="004A0BEC">
        <w:rPr>
          <w:rFonts w:ascii="Arial" w:hAnsi="Arial" w:cs="Arial"/>
        </w:rPr>
        <w:t xml:space="preserve">the Commission appreciates </w:t>
      </w:r>
      <w:r>
        <w:rPr>
          <w:rFonts w:ascii="Arial" w:hAnsi="Arial" w:cs="Arial"/>
        </w:rPr>
        <w:t xml:space="preserve">the significance of this market segmentation </w:t>
      </w:r>
      <w:r w:rsidR="004A0BEC">
        <w:rPr>
          <w:rFonts w:ascii="Arial" w:hAnsi="Arial" w:cs="Arial"/>
        </w:rPr>
        <w:t>when</w:t>
      </w:r>
      <w:r>
        <w:rPr>
          <w:rFonts w:ascii="Arial" w:hAnsi="Arial" w:cs="Arial"/>
        </w:rPr>
        <w:t xml:space="preserve"> developing and applying criteria to assess the efficiency and competitiveness of the ‘superannuation system’. This is important especially when attempts are made to benchmark the performance of industry participants’ actions and market segments’ performance. As a minimum, we recommend that the Commission should recognise the fundamental differences between:</w:t>
      </w:r>
    </w:p>
    <w:p w:rsidR="00703227" w:rsidRPr="006A00EC" w:rsidRDefault="00703227" w:rsidP="006A00EC">
      <w:pPr>
        <w:pStyle w:val="ListParagraph"/>
        <w:numPr>
          <w:ilvl w:val="1"/>
          <w:numId w:val="32"/>
        </w:numPr>
        <w:rPr>
          <w:rFonts w:ascii="Arial" w:hAnsi="Arial" w:cs="Arial"/>
        </w:rPr>
      </w:pPr>
      <w:r w:rsidRPr="006A00EC">
        <w:rPr>
          <w:rFonts w:ascii="Arial" w:hAnsi="Arial" w:cs="Arial"/>
        </w:rPr>
        <w:t>Default (or MySuper) products within APRA regulated funds</w:t>
      </w:r>
    </w:p>
    <w:p w:rsidR="00703227" w:rsidRDefault="00703227" w:rsidP="006A00EC">
      <w:pPr>
        <w:pStyle w:val="ListParagraph"/>
        <w:numPr>
          <w:ilvl w:val="1"/>
          <w:numId w:val="32"/>
        </w:numPr>
        <w:rPr>
          <w:rFonts w:ascii="Arial" w:hAnsi="Arial" w:cs="Arial"/>
        </w:rPr>
      </w:pPr>
      <w:r w:rsidRPr="006A00EC">
        <w:rPr>
          <w:rFonts w:ascii="Arial" w:hAnsi="Arial" w:cs="Arial"/>
        </w:rPr>
        <w:t>Choice products within APRA regulated funds</w:t>
      </w:r>
    </w:p>
    <w:p w:rsidR="00703227" w:rsidRDefault="00703227" w:rsidP="006A00EC">
      <w:pPr>
        <w:pStyle w:val="ListParagraph"/>
        <w:numPr>
          <w:ilvl w:val="1"/>
          <w:numId w:val="32"/>
        </w:numPr>
        <w:rPr>
          <w:rFonts w:ascii="Arial" w:hAnsi="Arial" w:cs="Arial"/>
        </w:rPr>
      </w:pPr>
      <w:r>
        <w:rPr>
          <w:rFonts w:ascii="Arial" w:hAnsi="Arial" w:cs="Arial"/>
        </w:rPr>
        <w:lastRenderedPageBreak/>
        <w:t>Non-APRA regulated funds in the public sector</w:t>
      </w:r>
    </w:p>
    <w:p w:rsidR="00703227" w:rsidRPr="006A00EC" w:rsidRDefault="004A2E15" w:rsidP="006A00EC">
      <w:pPr>
        <w:pStyle w:val="ListParagraph"/>
        <w:numPr>
          <w:ilvl w:val="1"/>
          <w:numId w:val="32"/>
        </w:numPr>
        <w:rPr>
          <w:rFonts w:ascii="Arial" w:hAnsi="Arial" w:cs="Arial"/>
        </w:rPr>
      </w:pPr>
      <w:r>
        <w:rPr>
          <w:rFonts w:ascii="Arial" w:hAnsi="Arial" w:cs="Arial"/>
        </w:rPr>
        <w:t>Self-Managed</w:t>
      </w:r>
      <w:r w:rsidR="00703227">
        <w:rPr>
          <w:rFonts w:ascii="Arial" w:hAnsi="Arial" w:cs="Arial"/>
        </w:rPr>
        <w:t xml:space="preserve"> Superannuation Funds</w:t>
      </w:r>
    </w:p>
    <w:p w:rsidR="004D7966" w:rsidRDefault="004D7966" w:rsidP="005A4C7B">
      <w:pPr>
        <w:ind w:left="709"/>
      </w:pPr>
    </w:p>
    <w:p w:rsidR="00703227" w:rsidRPr="006A00EC" w:rsidRDefault="00703227" w:rsidP="005A4C7B">
      <w:pPr>
        <w:ind w:left="709"/>
      </w:pPr>
      <w:r>
        <w:t>Our reason for highlighting these differences is that the decisions taken by members, or available to members, are very different in each of these segments thereby affecting both competition and efficiency. We also highlight that competition and efficiency issues as they relate to different providers within the industry (e</w:t>
      </w:r>
      <w:r w:rsidR="004A0BEC">
        <w:t>.</w:t>
      </w:r>
      <w:r>
        <w:t>g</w:t>
      </w:r>
      <w:r w:rsidR="004A0BEC">
        <w:t>.</w:t>
      </w:r>
      <w:r>
        <w:t xml:space="preserve"> insurers, fund managers, administrators, and custodians) vary greatly and will need to be considered using different criteria. In short, each of these types of providers operate within their own marketplace.  </w:t>
      </w:r>
    </w:p>
    <w:p w:rsidR="00703227" w:rsidRPr="005E7882" w:rsidRDefault="00703227" w:rsidP="005E7882">
      <w:pPr>
        <w:pStyle w:val="ListParagraph"/>
        <w:rPr>
          <w:rFonts w:ascii="Arial" w:hAnsi="Arial" w:cs="Arial"/>
        </w:rPr>
      </w:pPr>
    </w:p>
    <w:p w:rsidR="00703227" w:rsidRDefault="00703227" w:rsidP="00B1442D">
      <w:pPr>
        <w:pStyle w:val="ListParagraph"/>
        <w:numPr>
          <w:ilvl w:val="0"/>
          <w:numId w:val="32"/>
        </w:numPr>
        <w:rPr>
          <w:rFonts w:ascii="Arial" w:hAnsi="Arial" w:cs="Arial"/>
        </w:rPr>
      </w:pPr>
      <w:r>
        <w:rPr>
          <w:rFonts w:ascii="Arial" w:hAnsi="Arial" w:cs="Arial"/>
        </w:rPr>
        <w:t>We remain</w:t>
      </w:r>
      <w:r w:rsidRPr="00B1442D">
        <w:rPr>
          <w:rFonts w:ascii="Arial" w:hAnsi="Arial" w:cs="Arial"/>
        </w:rPr>
        <w:t xml:space="preserve"> concerned that, because fees can be objectively measured and aspects such as service and product quality are difficult to measure objectively, inappropriate weight will be attached to fees when assessing efficiency. </w:t>
      </w:r>
      <w:r>
        <w:rPr>
          <w:rFonts w:ascii="Arial" w:hAnsi="Arial" w:cs="Arial"/>
        </w:rPr>
        <w:t>As noted in our submission on the Commission</w:t>
      </w:r>
      <w:r w:rsidR="004A0BEC">
        <w:rPr>
          <w:rFonts w:ascii="Arial" w:hAnsi="Arial" w:cs="Arial"/>
        </w:rPr>
        <w:t>’s</w:t>
      </w:r>
      <w:r>
        <w:rPr>
          <w:rFonts w:ascii="Arial" w:hAnsi="Arial" w:cs="Arial"/>
        </w:rPr>
        <w:t xml:space="preserve"> Issues Paper, w</w:t>
      </w:r>
      <w:r w:rsidRPr="004643B8">
        <w:rPr>
          <w:rFonts w:ascii="Arial" w:hAnsi="Arial" w:cs="Arial"/>
        </w:rPr>
        <w:t xml:space="preserve">hile headline overall investment fees may not have reduced significantly due to scale, the quality of investment portfolios of many major funds has improved significantly over time so that the value per dollar of investment fees has improved due to increased scale. </w:t>
      </w:r>
      <w:r w:rsidRPr="00B1442D">
        <w:rPr>
          <w:rFonts w:ascii="Arial" w:hAnsi="Arial" w:cs="Arial"/>
        </w:rPr>
        <w:t>The ‘product’ of superannuation has many possible features and therefore it should not be considered to be a commodity and assessed on price alone.</w:t>
      </w:r>
      <w:r>
        <w:rPr>
          <w:rFonts w:ascii="Arial" w:hAnsi="Arial" w:cs="Arial"/>
        </w:rPr>
        <w:t xml:space="preserve"> </w:t>
      </w:r>
    </w:p>
    <w:p w:rsidR="0049778A" w:rsidRDefault="0049778A" w:rsidP="0049778A">
      <w:pPr>
        <w:pStyle w:val="ListParagraph"/>
        <w:rPr>
          <w:rFonts w:ascii="Arial" w:hAnsi="Arial" w:cs="Arial"/>
        </w:rPr>
      </w:pPr>
    </w:p>
    <w:p w:rsidR="00703227" w:rsidRPr="004A0BEC" w:rsidRDefault="00703227" w:rsidP="004A0BEC">
      <w:pPr>
        <w:pStyle w:val="ListParagraph"/>
        <w:numPr>
          <w:ilvl w:val="0"/>
          <w:numId w:val="32"/>
        </w:numPr>
        <w:rPr>
          <w:rFonts w:ascii="Arial" w:hAnsi="Arial" w:cs="Arial"/>
        </w:rPr>
      </w:pPr>
      <w:r w:rsidRPr="004A0BEC">
        <w:rPr>
          <w:rFonts w:ascii="Arial" w:hAnsi="Arial" w:cs="Arial"/>
        </w:rPr>
        <w:t xml:space="preserve">We note the </w:t>
      </w:r>
      <w:r w:rsidR="00424FB4">
        <w:rPr>
          <w:rFonts w:ascii="Arial" w:hAnsi="Arial" w:cs="Arial"/>
        </w:rPr>
        <w:t>D</w:t>
      </w:r>
      <w:r w:rsidRPr="004A0BEC">
        <w:rPr>
          <w:rFonts w:ascii="Arial" w:hAnsi="Arial" w:cs="Arial"/>
        </w:rPr>
        <w:t xml:space="preserve">raft </w:t>
      </w:r>
      <w:r w:rsidR="00424FB4">
        <w:rPr>
          <w:rFonts w:ascii="Arial" w:hAnsi="Arial" w:cs="Arial"/>
        </w:rPr>
        <w:t>R</w:t>
      </w:r>
      <w:r w:rsidRPr="004A0BEC">
        <w:rPr>
          <w:rFonts w:ascii="Arial" w:hAnsi="Arial" w:cs="Arial"/>
        </w:rPr>
        <w:t xml:space="preserve">eport does not directly assess the contribution that regulatory costs make to the efficiency or competitiveness of the superannuation system. While we acknowledge the Commission proposes to take “current policy settings as given when developing the assessment criteria” (page 13), we do not consider this should preclude the Commission drawing conclusions on the contribution that regulatory </w:t>
      </w:r>
      <w:r w:rsidR="004A0BEC">
        <w:rPr>
          <w:rFonts w:ascii="Arial" w:hAnsi="Arial" w:cs="Arial"/>
        </w:rPr>
        <w:t>approaches</w:t>
      </w:r>
      <w:r w:rsidRPr="004A0BEC">
        <w:rPr>
          <w:rFonts w:ascii="Arial" w:hAnsi="Arial" w:cs="Arial"/>
        </w:rPr>
        <w:t xml:space="preserve"> make to efficiency. We consider that indicators should be added relating to the impact of regulatory change, complexity and restrictions on member engagement, system costs and product and service innovation</w:t>
      </w:r>
      <w:r w:rsidR="004D7966" w:rsidRPr="004A0BEC">
        <w:rPr>
          <w:rFonts w:ascii="Arial" w:hAnsi="Arial" w:cs="Arial"/>
        </w:rPr>
        <w:t xml:space="preserve"> and have recommended a number of indicators in respect of these factors in Attachment 3</w:t>
      </w:r>
      <w:r w:rsidRPr="004A0BEC">
        <w:rPr>
          <w:rFonts w:ascii="Arial" w:hAnsi="Arial" w:cs="Arial"/>
        </w:rPr>
        <w:t xml:space="preserve">. </w:t>
      </w:r>
    </w:p>
    <w:p w:rsidR="00703227" w:rsidRPr="00BE6396" w:rsidRDefault="00703227" w:rsidP="00BE6396">
      <w:pPr>
        <w:pStyle w:val="ListParagraph"/>
        <w:rPr>
          <w:rFonts w:ascii="Arial" w:hAnsi="Arial" w:cs="Arial"/>
        </w:rPr>
      </w:pPr>
    </w:p>
    <w:p w:rsidR="00703227" w:rsidRPr="00F974EA" w:rsidRDefault="00703227" w:rsidP="00B057A6">
      <w:pPr>
        <w:pStyle w:val="ListParagraph"/>
        <w:numPr>
          <w:ilvl w:val="0"/>
          <w:numId w:val="32"/>
        </w:numPr>
        <w:rPr>
          <w:rFonts w:ascii="Arial" w:hAnsi="Arial" w:cs="Arial"/>
        </w:rPr>
      </w:pPr>
      <w:r>
        <w:rPr>
          <w:rFonts w:ascii="Arial" w:hAnsi="Arial" w:cs="Arial"/>
        </w:rPr>
        <w:t>We note m</w:t>
      </w:r>
      <w:r w:rsidRPr="00C31688">
        <w:rPr>
          <w:rFonts w:ascii="Arial" w:hAnsi="Arial" w:cs="Arial"/>
        </w:rPr>
        <w:t>ember</w:t>
      </w:r>
      <w:r>
        <w:rPr>
          <w:rFonts w:ascii="Arial" w:hAnsi="Arial" w:cs="Arial"/>
        </w:rPr>
        <w:t xml:space="preserve">s’ needs and </w:t>
      </w:r>
      <w:r w:rsidRPr="00C31688">
        <w:rPr>
          <w:rFonts w:ascii="Arial" w:hAnsi="Arial" w:cs="Arial"/>
        </w:rPr>
        <w:t>preferences are very diverse</w:t>
      </w:r>
      <w:r>
        <w:rPr>
          <w:rFonts w:ascii="Arial" w:hAnsi="Arial" w:cs="Arial"/>
        </w:rPr>
        <w:t>, particularly in the retirement years</w:t>
      </w:r>
      <w:r w:rsidRPr="00C31688">
        <w:rPr>
          <w:rFonts w:ascii="Arial" w:hAnsi="Arial" w:cs="Arial"/>
        </w:rPr>
        <w:t xml:space="preserve">. For example, some members will </w:t>
      </w:r>
      <w:r>
        <w:rPr>
          <w:rFonts w:ascii="Arial" w:hAnsi="Arial" w:cs="Arial"/>
        </w:rPr>
        <w:t xml:space="preserve">want to take a </w:t>
      </w:r>
      <w:r w:rsidRPr="00C31688">
        <w:rPr>
          <w:rFonts w:ascii="Arial" w:hAnsi="Arial" w:cs="Arial"/>
        </w:rPr>
        <w:t>lump sum benefit at retirement</w:t>
      </w:r>
      <w:r>
        <w:rPr>
          <w:rFonts w:ascii="Arial" w:hAnsi="Arial" w:cs="Arial"/>
        </w:rPr>
        <w:t xml:space="preserve"> while </w:t>
      </w:r>
      <w:r w:rsidRPr="00C31688">
        <w:rPr>
          <w:rFonts w:ascii="Arial" w:hAnsi="Arial" w:cs="Arial"/>
        </w:rPr>
        <w:t>other retirees will desire a steady and reliable level of retirement income. Most retirees are risk averse</w:t>
      </w:r>
      <w:r>
        <w:rPr>
          <w:rFonts w:ascii="Arial" w:hAnsi="Arial" w:cs="Arial"/>
        </w:rPr>
        <w:t xml:space="preserve"> and many are</w:t>
      </w:r>
      <w:r w:rsidRPr="00C31688">
        <w:rPr>
          <w:rFonts w:ascii="Arial" w:hAnsi="Arial" w:cs="Arial"/>
        </w:rPr>
        <w:t xml:space="preserve"> wary of market volatility (that is, the </w:t>
      </w:r>
      <w:r>
        <w:rPr>
          <w:rFonts w:ascii="Arial" w:hAnsi="Arial" w:cs="Arial"/>
        </w:rPr>
        <w:t xml:space="preserve">variability </w:t>
      </w:r>
      <w:r w:rsidRPr="00C31688">
        <w:rPr>
          <w:rFonts w:ascii="Arial" w:hAnsi="Arial" w:cs="Arial"/>
        </w:rPr>
        <w:t>of their assets in their account based pension)</w:t>
      </w:r>
      <w:r>
        <w:rPr>
          <w:rFonts w:ascii="Arial" w:hAnsi="Arial" w:cs="Arial"/>
        </w:rPr>
        <w:t>.</w:t>
      </w:r>
      <w:r w:rsidRPr="00C31688">
        <w:rPr>
          <w:rFonts w:ascii="Arial" w:hAnsi="Arial" w:cs="Arial"/>
        </w:rPr>
        <w:t xml:space="preserve"> </w:t>
      </w:r>
      <w:r>
        <w:rPr>
          <w:rFonts w:ascii="Arial" w:hAnsi="Arial" w:cs="Arial"/>
        </w:rPr>
        <w:t xml:space="preserve">On the other hand, </w:t>
      </w:r>
      <w:r w:rsidRPr="00C31688">
        <w:rPr>
          <w:rFonts w:ascii="Arial" w:hAnsi="Arial" w:cs="Arial"/>
        </w:rPr>
        <w:t>other</w:t>
      </w:r>
      <w:r>
        <w:rPr>
          <w:rFonts w:ascii="Arial" w:hAnsi="Arial" w:cs="Arial"/>
        </w:rPr>
        <w:t>s</w:t>
      </w:r>
      <w:r w:rsidRPr="00C31688">
        <w:rPr>
          <w:rFonts w:ascii="Arial" w:hAnsi="Arial" w:cs="Arial"/>
        </w:rPr>
        <w:t xml:space="preserve"> are more concerned with risks to the value of their regular income or pension payment</w:t>
      </w:r>
      <w:r>
        <w:rPr>
          <w:rFonts w:ascii="Arial" w:hAnsi="Arial" w:cs="Arial"/>
        </w:rPr>
        <w:t xml:space="preserve">. </w:t>
      </w:r>
      <w:r w:rsidRPr="00C31688">
        <w:rPr>
          <w:rFonts w:ascii="Arial" w:hAnsi="Arial" w:cs="Arial"/>
        </w:rPr>
        <w:t xml:space="preserve"> These contrasting requirements and desires mean that the optimal asset allocation </w:t>
      </w:r>
      <w:r>
        <w:rPr>
          <w:rFonts w:ascii="Arial" w:hAnsi="Arial" w:cs="Arial"/>
        </w:rPr>
        <w:t xml:space="preserve">and product design </w:t>
      </w:r>
      <w:r w:rsidRPr="00C31688">
        <w:rPr>
          <w:rFonts w:ascii="Arial" w:hAnsi="Arial" w:cs="Arial"/>
        </w:rPr>
        <w:t>for retirees var</w:t>
      </w:r>
      <w:r>
        <w:rPr>
          <w:rFonts w:ascii="Arial" w:hAnsi="Arial" w:cs="Arial"/>
        </w:rPr>
        <w:t>ies</w:t>
      </w:r>
      <w:r w:rsidRPr="00C31688">
        <w:rPr>
          <w:rFonts w:ascii="Arial" w:hAnsi="Arial" w:cs="Arial"/>
        </w:rPr>
        <w:t xml:space="preserve"> considerably</w:t>
      </w:r>
      <w:r>
        <w:rPr>
          <w:rFonts w:ascii="Arial" w:hAnsi="Arial" w:cs="Arial"/>
        </w:rPr>
        <w:t xml:space="preserve">. </w:t>
      </w:r>
    </w:p>
    <w:p w:rsidR="00703227" w:rsidRDefault="00703227"/>
    <w:p w:rsidR="00703227" w:rsidRPr="00F733C5" w:rsidRDefault="00703227" w:rsidP="006F648B">
      <w:pPr>
        <w:keepNext/>
        <w:numPr>
          <w:ilvl w:val="1"/>
          <w:numId w:val="0"/>
        </w:numPr>
        <w:tabs>
          <w:tab w:val="num" w:pos="0"/>
        </w:tabs>
        <w:spacing w:line="240" w:lineRule="auto"/>
        <w:outlineLvl w:val="1"/>
        <w:rPr>
          <w:b/>
          <w:sz w:val="24"/>
        </w:rPr>
      </w:pPr>
      <w:r w:rsidRPr="00F733C5">
        <w:rPr>
          <w:b/>
          <w:sz w:val="24"/>
        </w:rPr>
        <w:lastRenderedPageBreak/>
        <w:t>Who is Mercer?</w:t>
      </w:r>
    </w:p>
    <w:p w:rsidR="00703227" w:rsidRPr="00F733C5" w:rsidRDefault="00703227" w:rsidP="006F648B">
      <w:pPr>
        <w:rPr>
          <w:b/>
        </w:rPr>
      </w:pPr>
    </w:p>
    <w:p w:rsidR="00703227" w:rsidRPr="00F733C5" w:rsidRDefault="00703227" w:rsidP="006F648B">
      <w:r w:rsidRPr="00F733C5">
        <w:t>Mercer is a global consulting leader in talent, health, retirement and investments.  Mercer helps clients around the world advance the health, wealth and performance of their most vital asset – their people.</w:t>
      </w:r>
    </w:p>
    <w:p w:rsidR="00703227" w:rsidRPr="00F733C5" w:rsidRDefault="00703227" w:rsidP="006F648B"/>
    <w:p w:rsidR="00703227" w:rsidRPr="00F733C5" w:rsidRDefault="00703227" w:rsidP="006F648B">
      <w:r w:rsidRPr="00F733C5">
        <w:t xml:space="preserve">Mercer </w:t>
      </w:r>
      <w:smartTag w:uri="urn:schemas-microsoft-com:office:smarttags" w:element="country-region">
        <w:smartTag w:uri="urn:schemas-microsoft-com:office:smarttags" w:element="place">
          <w:r w:rsidRPr="00F733C5">
            <w:t>Australia</w:t>
          </w:r>
        </w:smartTag>
      </w:smartTag>
      <w:r w:rsidRPr="00F733C5">
        <w:t xml:space="preserve"> provides customised administration, technology and total benefits outsourcing solutions to a large number of employer clients and superannuation funds (including industry funds, master trusts and employer sponsored superannuation funds). We have over $50 billion in funds under administration locally and provide services to over 1.3 million super members and 15,000 private clients. Our own master trust in </w:t>
      </w:r>
      <w:smartTag w:uri="urn:schemas-microsoft-com:office:smarttags" w:element="country-region">
        <w:smartTag w:uri="urn:schemas-microsoft-com:office:smarttags" w:element="place">
          <w:r w:rsidRPr="00F733C5">
            <w:t>Australia</w:t>
          </w:r>
        </w:smartTag>
      </w:smartTag>
      <w:r w:rsidRPr="00F733C5">
        <w:t xml:space="preserve">, the Mercer Super Trust, has around 230 participating employers, 213,000 members and </w:t>
      </w:r>
      <w:r>
        <w:t xml:space="preserve">more than </w:t>
      </w:r>
      <w:r w:rsidRPr="00F733C5">
        <w:t>$20 billion in assets under management.</w:t>
      </w:r>
    </w:p>
    <w:p w:rsidR="00703227" w:rsidRDefault="00703227" w:rsidP="006F648B"/>
    <w:p w:rsidR="00F974EA" w:rsidRDefault="00F974EA" w:rsidP="006F648B"/>
    <w:p w:rsidR="00703227" w:rsidRPr="00F733C5" w:rsidRDefault="00703227" w:rsidP="006F648B">
      <w:r>
        <w:t xml:space="preserve">We would be delighted to meet with you to discuss our submission. </w:t>
      </w:r>
      <w:r w:rsidRPr="00F733C5">
        <w:t>Please contact me on 03 9623 5464</w:t>
      </w:r>
      <w:r>
        <w:t xml:space="preserve"> or by email </w:t>
      </w:r>
      <w:r w:rsidRPr="00F733C5">
        <w:t xml:space="preserve">if you would like to </w:t>
      </w:r>
      <w:r>
        <w:t xml:space="preserve">arrange a </w:t>
      </w:r>
      <w:r w:rsidRPr="00F733C5">
        <w:t>discuss</w:t>
      </w:r>
      <w:r>
        <w:t>ion</w:t>
      </w:r>
      <w:r w:rsidRPr="00F733C5">
        <w:t xml:space="preserve">. </w:t>
      </w:r>
      <w:r>
        <w:t xml:space="preserve">I would add that due to the time and resources constraints at this time of year, we have not been able to respond to every issue </w:t>
      </w:r>
      <w:r w:rsidR="00F974EA">
        <w:t>raised by t</w:t>
      </w:r>
      <w:r w:rsidR="00424FB4">
        <w:t>he D</w:t>
      </w:r>
      <w:r w:rsidR="00F974EA">
        <w:t xml:space="preserve">raft </w:t>
      </w:r>
      <w:r w:rsidR="00424FB4">
        <w:t>R</w:t>
      </w:r>
      <w:r w:rsidR="00F974EA">
        <w:t xml:space="preserve">eport </w:t>
      </w:r>
      <w:r>
        <w:t xml:space="preserve">or </w:t>
      </w:r>
      <w:r w:rsidR="00F974EA">
        <w:t>information request</w:t>
      </w:r>
      <w:r>
        <w:t xml:space="preserve">. However if there are particular issues that you would like to explore with us, please let </w:t>
      </w:r>
      <w:r w:rsidR="00F974EA">
        <w:t>me</w:t>
      </w:r>
      <w:r>
        <w:t xml:space="preserve"> know. </w:t>
      </w:r>
    </w:p>
    <w:p w:rsidR="00703227" w:rsidRDefault="00703227"/>
    <w:p w:rsidR="00703227" w:rsidRDefault="00703227"/>
    <w:p w:rsidR="00C74119" w:rsidRDefault="00703227">
      <w:bookmarkStart w:id="8" w:name="Closing"/>
      <w:r>
        <w:t>Yours sincerely,</w:t>
      </w:r>
      <w:bookmarkEnd w:id="8"/>
      <w:r w:rsidR="00F974EA">
        <w:br/>
      </w:r>
    </w:p>
    <w:p w:rsidR="00237950" w:rsidRDefault="00237950" w:rsidP="00C74119">
      <w:pPr>
        <w:rPr>
          <w:noProof/>
          <w:lang w:eastAsia="en-AU"/>
        </w:rPr>
      </w:pPr>
    </w:p>
    <w:p w:rsidR="00237950" w:rsidRDefault="00237950" w:rsidP="00C74119">
      <w:pPr>
        <w:rPr>
          <w:noProof/>
          <w:lang w:eastAsia="en-AU"/>
        </w:rPr>
      </w:pPr>
    </w:p>
    <w:p w:rsidR="00703227" w:rsidRPr="006F648B" w:rsidRDefault="00F974EA" w:rsidP="00C74119">
      <w:pPr>
        <w:rPr>
          <w:b/>
        </w:rPr>
      </w:pPr>
      <w:bookmarkStart w:id="9" w:name="_GoBack"/>
      <w:bookmarkEnd w:id="9"/>
      <w:r>
        <w:br/>
      </w:r>
      <w:r>
        <w:br/>
      </w:r>
      <w:bookmarkStart w:id="10" w:name="SignatoryName"/>
      <w:r w:rsidR="00703227" w:rsidRPr="006F648B">
        <w:rPr>
          <w:b/>
        </w:rPr>
        <w:t>Dr David Knox</w:t>
      </w:r>
      <w:bookmarkEnd w:id="10"/>
    </w:p>
    <w:p w:rsidR="00703227" w:rsidRDefault="00703227">
      <w:bookmarkStart w:id="11" w:name="SignatoryTitle"/>
      <w:r w:rsidRPr="006F648B">
        <w:rPr>
          <w:b/>
        </w:rPr>
        <w:t>Senior Partner</w:t>
      </w:r>
      <w:bookmarkEnd w:id="11"/>
    </w:p>
    <w:p w:rsidR="00703227" w:rsidRPr="00BA683D" w:rsidRDefault="00703227" w:rsidP="001E5D3B">
      <w:pPr>
        <w:spacing w:line="240" w:lineRule="auto"/>
        <w:jc w:val="center"/>
        <w:rPr>
          <w:b/>
          <w:sz w:val="24"/>
          <w:szCs w:val="24"/>
        </w:rPr>
      </w:pPr>
      <w:r>
        <w:br w:type="page"/>
      </w:r>
      <w:r w:rsidRPr="00BA683D">
        <w:rPr>
          <w:b/>
          <w:sz w:val="24"/>
          <w:szCs w:val="24"/>
        </w:rPr>
        <w:lastRenderedPageBreak/>
        <w:t xml:space="preserve">Attachment 1: </w:t>
      </w:r>
      <w:r w:rsidR="00807089">
        <w:rPr>
          <w:b/>
          <w:sz w:val="24"/>
          <w:szCs w:val="24"/>
        </w:rPr>
        <w:t>S</w:t>
      </w:r>
      <w:r>
        <w:rPr>
          <w:b/>
          <w:sz w:val="24"/>
          <w:szCs w:val="24"/>
        </w:rPr>
        <w:t>ystem-level o</w:t>
      </w:r>
      <w:r w:rsidRPr="00BA683D">
        <w:rPr>
          <w:b/>
          <w:sz w:val="24"/>
          <w:szCs w:val="24"/>
        </w:rPr>
        <w:t>bjectives</w:t>
      </w:r>
    </w:p>
    <w:p w:rsidR="00703227" w:rsidRDefault="00703227" w:rsidP="00BA683D"/>
    <w:p w:rsidR="00703227" w:rsidRPr="00F733C5" w:rsidRDefault="00703227" w:rsidP="00B5657E">
      <w:pPr>
        <w:spacing w:before="100" w:beforeAutospacing="1" w:after="100" w:afterAutospacing="1" w:line="240" w:lineRule="auto"/>
        <w:rPr>
          <w:lang w:eastAsia="en-AU"/>
        </w:rPr>
      </w:pPr>
      <w:r>
        <w:rPr>
          <w:lang w:eastAsia="en-AU"/>
        </w:rPr>
        <w:t xml:space="preserve">As submitted in our response to the Productivity Commission’s Issues Paper, </w:t>
      </w:r>
      <w:r w:rsidRPr="00F733C5">
        <w:rPr>
          <w:lang w:eastAsia="en-AU"/>
        </w:rPr>
        <w:t xml:space="preserve">Mercer believes the </w:t>
      </w:r>
      <w:r>
        <w:rPr>
          <w:lang w:eastAsia="en-AU"/>
        </w:rPr>
        <w:t xml:space="preserve">superannuation system </w:t>
      </w:r>
      <w:r w:rsidRPr="00F733C5">
        <w:rPr>
          <w:lang w:eastAsia="en-AU"/>
        </w:rPr>
        <w:t>objective</w:t>
      </w:r>
      <w:r>
        <w:rPr>
          <w:lang w:eastAsia="en-AU"/>
        </w:rPr>
        <w:t xml:space="preserve"> must be </w:t>
      </w:r>
      <w:r w:rsidRPr="00F733C5">
        <w:rPr>
          <w:lang w:eastAsia="en-AU"/>
        </w:rPr>
        <w:t>defined with a total retirement income perspective</w:t>
      </w:r>
      <w:r w:rsidR="001E5D3B">
        <w:rPr>
          <w:lang w:eastAsia="en-AU"/>
        </w:rPr>
        <w:t xml:space="preserve"> in mind</w:t>
      </w:r>
      <w:r w:rsidRPr="00F733C5">
        <w:rPr>
          <w:lang w:eastAsia="en-AU"/>
        </w:rPr>
        <w:t>. To do this properly</w:t>
      </w:r>
      <w:r>
        <w:rPr>
          <w:lang w:eastAsia="en-AU"/>
        </w:rPr>
        <w:t>,</w:t>
      </w:r>
      <w:r w:rsidRPr="00F733C5">
        <w:rPr>
          <w:lang w:eastAsia="en-AU"/>
        </w:rPr>
        <w:t xml:space="preserve"> we </w:t>
      </w:r>
      <w:r>
        <w:rPr>
          <w:lang w:eastAsia="en-AU"/>
        </w:rPr>
        <w:t xml:space="preserve">have </w:t>
      </w:r>
      <w:r w:rsidRPr="00F733C5">
        <w:rPr>
          <w:lang w:eastAsia="en-AU"/>
        </w:rPr>
        <w:t>recommend</w:t>
      </w:r>
      <w:r>
        <w:rPr>
          <w:lang w:eastAsia="en-AU"/>
        </w:rPr>
        <w:t>ed to Government that</w:t>
      </w:r>
      <w:r w:rsidRPr="00F733C5">
        <w:rPr>
          <w:lang w:eastAsia="en-AU"/>
        </w:rPr>
        <w:t xml:space="preserve"> defining the objectives of both superannuation and the </w:t>
      </w:r>
      <w:r>
        <w:rPr>
          <w:lang w:eastAsia="en-AU"/>
        </w:rPr>
        <w:t>A</w:t>
      </w:r>
      <w:r w:rsidRPr="00F733C5">
        <w:rPr>
          <w:lang w:eastAsia="en-AU"/>
        </w:rPr>
        <w:t xml:space="preserve">ge </w:t>
      </w:r>
      <w:r>
        <w:rPr>
          <w:lang w:eastAsia="en-AU"/>
        </w:rPr>
        <w:t>P</w:t>
      </w:r>
      <w:r w:rsidRPr="00F733C5">
        <w:rPr>
          <w:lang w:eastAsia="en-AU"/>
        </w:rPr>
        <w:t xml:space="preserve">ension </w:t>
      </w:r>
      <w:r>
        <w:rPr>
          <w:lang w:eastAsia="en-AU"/>
        </w:rPr>
        <w:t xml:space="preserve">should be conducted </w:t>
      </w:r>
      <w:r w:rsidRPr="00F733C5">
        <w:rPr>
          <w:lang w:eastAsia="en-AU"/>
        </w:rPr>
        <w:t>simultaneously, with a key factor being the inclusion in the objective of a desired level of total income fr</w:t>
      </w:r>
      <w:r>
        <w:rPr>
          <w:lang w:eastAsia="en-AU"/>
        </w:rPr>
        <w:t>om both superannuation and the A</w:t>
      </w:r>
      <w:r w:rsidRPr="00F733C5">
        <w:rPr>
          <w:lang w:eastAsia="en-AU"/>
        </w:rPr>
        <w:t xml:space="preserve">ge </w:t>
      </w:r>
      <w:r>
        <w:rPr>
          <w:lang w:eastAsia="en-AU"/>
        </w:rPr>
        <w:t>P</w:t>
      </w:r>
      <w:r w:rsidRPr="00F733C5">
        <w:rPr>
          <w:lang w:eastAsia="en-AU"/>
        </w:rPr>
        <w:t>ension.</w:t>
      </w:r>
      <w:r>
        <w:rPr>
          <w:lang w:eastAsia="en-AU"/>
        </w:rPr>
        <w:t xml:space="preserve"> W</w:t>
      </w:r>
      <w:r w:rsidRPr="00F733C5">
        <w:rPr>
          <w:lang w:eastAsia="en-AU"/>
        </w:rPr>
        <w:t xml:space="preserve">e </w:t>
      </w:r>
      <w:r>
        <w:rPr>
          <w:lang w:eastAsia="en-AU"/>
        </w:rPr>
        <w:t xml:space="preserve">have </w:t>
      </w:r>
      <w:r w:rsidRPr="00F733C5">
        <w:rPr>
          <w:lang w:eastAsia="en-AU"/>
        </w:rPr>
        <w:t>recommend</w:t>
      </w:r>
      <w:r>
        <w:rPr>
          <w:lang w:eastAsia="en-AU"/>
        </w:rPr>
        <w:t>ed</w:t>
      </w:r>
      <w:r w:rsidRPr="00F733C5">
        <w:rPr>
          <w:lang w:eastAsia="en-AU"/>
        </w:rPr>
        <w:t xml:space="preserve"> that the objective for the overall retirement income system should be:</w:t>
      </w:r>
    </w:p>
    <w:p w:rsidR="00703227" w:rsidRPr="00F733C5" w:rsidRDefault="00703227" w:rsidP="00BA683D">
      <w:pPr>
        <w:ind w:left="420"/>
        <w:rPr>
          <w:i/>
        </w:rPr>
      </w:pPr>
      <w:r w:rsidRPr="00F733C5">
        <w:rPr>
          <w:i/>
        </w:rPr>
        <w:t>to provide the vast majority of Australians</w:t>
      </w:r>
      <w:r w:rsidRPr="00F733C5">
        <w:rPr>
          <w:i/>
          <w:vertAlign w:val="superscript"/>
        </w:rPr>
        <w:footnoteReference w:id="1"/>
      </w:r>
      <w:r w:rsidRPr="00F733C5">
        <w:rPr>
          <w:i/>
        </w:rPr>
        <w:t xml:space="preserve"> with an income throughout their retirement that enables their pre-retirement living standards to be maintained. </w:t>
      </w:r>
    </w:p>
    <w:p w:rsidR="00703227" w:rsidRDefault="00703227" w:rsidP="00BA683D">
      <w:pPr>
        <w:rPr>
          <w:lang w:eastAsia="en-AU"/>
        </w:rPr>
      </w:pPr>
    </w:p>
    <w:p w:rsidR="00703227" w:rsidRDefault="00703227" w:rsidP="00BA683D">
      <w:r>
        <w:rPr>
          <w:lang w:eastAsia="en-AU"/>
        </w:rPr>
        <w:t>W</w:t>
      </w:r>
      <w:r w:rsidRPr="00F733C5">
        <w:rPr>
          <w:lang w:eastAsia="en-AU"/>
        </w:rPr>
        <w:t>e do not believe it is appropriate</w:t>
      </w:r>
      <w:r>
        <w:rPr>
          <w:lang w:eastAsia="en-AU"/>
        </w:rPr>
        <w:t xml:space="preserve">, as the Government has done in its proposed superannuation system objective, </w:t>
      </w:r>
      <w:r w:rsidRPr="00F733C5">
        <w:rPr>
          <w:lang w:eastAsia="en-AU"/>
        </w:rPr>
        <w:t xml:space="preserve">to state that superannuation should </w:t>
      </w:r>
      <w:r>
        <w:rPr>
          <w:lang w:eastAsia="en-AU"/>
        </w:rPr>
        <w:t xml:space="preserve">be restricted to </w:t>
      </w:r>
      <w:r w:rsidRPr="00F733C5">
        <w:rPr>
          <w:lang w:eastAsia="en-AU"/>
        </w:rPr>
        <w:t xml:space="preserve">substitute or supplement the </w:t>
      </w:r>
      <w:r>
        <w:rPr>
          <w:lang w:eastAsia="en-AU"/>
        </w:rPr>
        <w:t>A</w:t>
      </w:r>
      <w:r w:rsidRPr="00F733C5">
        <w:rPr>
          <w:lang w:eastAsia="en-AU"/>
        </w:rPr>
        <w:t xml:space="preserve">ge </w:t>
      </w:r>
      <w:r>
        <w:rPr>
          <w:lang w:eastAsia="en-AU"/>
        </w:rPr>
        <w:t>P</w:t>
      </w:r>
      <w:r w:rsidRPr="00F733C5">
        <w:rPr>
          <w:lang w:eastAsia="en-AU"/>
        </w:rPr>
        <w:t>ension. It is too vague</w:t>
      </w:r>
      <w:r>
        <w:rPr>
          <w:lang w:eastAsia="en-AU"/>
        </w:rPr>
        <w:t xml:space="preserve"> and arguably permits any </w:t>
      </w:r>
      <w:r w:rsidRPr="00D109DA">
        <w:t xml:space="preserve">level of superannuation </w:t>
      </w:r>
      <w:r>
        <w:t>to</w:t>
      </w:r>
      <w:r w:rsidRPr="00D109DA">
        <w:t xml:space="preserve"> meet th</w:t>
      </w:r>
      <w:r>
        <w:t>e proposed o</w:t>
      </w:r>
      <w:r w:rsidRPr="00D109DA">
        <w:t>bjective</w:t>
      </w:r>
      <w:r>
        <w:t xml:space="preserve"> without any assessment as to adequacy</w:t>
      </w:r>
      <w:r w:rsidRPr="00D109DA">
        <w:t xml:space="preserve">.  </w:t>
      </w:r>
      <w:r w:rsidRPr="00F733C5">
        <w:rPr>
          <w:lang w:eastAsia="en-AU"/>
        </w:rPr>
        <w:t xml:space="preserve">Whilst recognising that supplementation and substitution will occur, </w:t>
      </w:r>
      <w:r w:rsidR="001E5D3B">
        <w:rPr>
          <w:lang w:eastAsia="en-AU"/>
        </w:rPr>
        <w:t>Australia</w:t>
      </w:r>
      <w:r w:rsidRPr="00F733C5">
        <w:rPr>
          <w:lang w:eastAsia="en-AU"/>
        </w:rPr>
        <w:t xml:space="preserve"> need</w:t>
      </w:r>
      <w:r w:rsidR="001E5D3B">
        <w:rPr>
          <w:lang w:eastAsia="en-AU"/>
        </w:rPr>
        <w:t>s</w:t>
      </w:r>
      <w:r w:rsidRPr="00F733C5">
        <w:rPr>
          <w:lang w:eastAsia="en-AU"/>
        </w:rPr>
        <w:t xml:space="preserve"> a clear and sensible line in the sand as to when superannuation income should move from supplementing the </w:t>
      </w:r>
      <w:r>
        <w:rPr>
          <w:lang w:eastAsia="en-AU"/>
        </w:rPr>
        <w:t>A</w:t>
      </w:r>
      <w:r w:rsidRPr="00F733C5">
        <w:rPr>
          <w:lang w:eastAsia="en-AU"/>
        </w:rPr>
        <w:t xml:space="preserve">ge </w:t>
      </w:r>
      <w:r>
        <w:rPr>
          <w:lang w:eastAsia="en-AU"/>
        </w:rPr>
        <w:t>P</w:t>
      </w:r>
      <w:r w:rsidRPr="00F733C5">
        <w:rPr>
          <w:lang w:eastAsia="en-AU"/>
        </w:rPr>
        <w:t xml:space="preserve">ension to becoming a substitute for it. </w:t>
      </w:r>
      <w:r>
        <w:rPr>
          <w:lang w:eastAsia="en-AU"/>
        </w:rPr>
        <w:t>We submit again that, f</w:t>
      </w:r>
      <w:r>
        <w:t xml:space="preserve">or the development of sound future policies, it is important that agreement is reached on the objective of the overall retirement income system as well as the objectives of each pillar within the system, together with an agreed understanding of the integration and relationships between each pillar. </w:t>
      </w:r>
    </w:p>
    <w:p w:rsidR="00703227" w:rsidRDefault="00703227" w:rsidP="00BA683D"/>
    <w:p w:rsidR="00703227" w:rsidRDefault="00703227" w:rsidP="000723FE">
      <w:pPr>
        <w:spacing w:after="120"/>
      </w:pPr>
      <w:r>
        <w:t>We note that as part of trustees’ obligations to act in members’ best interests, superannuation objectives could include any or all of the following objectives:</w:t>
      </w:r>
    </w:p>
    <w:p w:rsidR="00703227" w:rsidRPr="00BA683D" w:rsidRDefault="00703227" w:rsidP="008F6C10">
      <w:pPr>
        <w:pStyle w:val="ListParagraph"/>
        <w:numPr>
          <w:ilvl w:val="0"/>
          <w:numId w:val="30"/>
        </w:numPr>
        <w:spacing w:after="200" w:line="260" w:lineRule="atLeast"/>
        <w:ind w:left="714" w:hanging="357"/>
        <w:contextualSpacing/>
        <w:rPr>
          <w:rFonts w:ascii="Arial" w:hAnsi="Arial" w:cs="Arial"/>
        </w:rPr>
      </w:pPr>
      <w:r w:rsidRPr="00BA683D">
        <w:rPr>
          <w:rFonts w:ascii="Arial" w:hAnsi="Arial" w:cs="Arial"/>
        </w:rPr>
        <w:t>to provide a level of retirement income that enables retirees to maintain their previous standard of living during retirement</w:t>
      </w:r>
      <w:r>
        <w:rPr>
          <w:rFonts w:ascii="Arial" w:hAnsi="Arial" w:cs="Arial"/>
        </w:rPr>
        <w:t>;</w:t>
      </w:r>
    </w:p>
    <w:p w:rsidR="00703227" w:rsidRPr="00BA683D" w:rsidRDefault="00703227" w:rsidP="008F6C10">
      <w:pPr>
        <w:pStyle w:val="ListParagraph"/>
        <w:numPr>
          <w:ilvl w:val="0"/>
          <w:numId w:val="30"/>
        </w:numPr>
        <w:spacing w:after="200" w:line="260" w:lineRule="atLeast"/>
        <w:ind w:left="714" w:hanging="357"/>
        <w:contextualSpacing/>
        <w:rPr>
          <w:rFonts w:ascii="Arial" w:hAnsi="Arial" w:cs="Arial"/>
        </w:rPr>
      </w:pPr>
      <w:r w:rsidRPr="00BA683D">
        <w:rPr>
          <w:rFonts w:ascii="Arial" w:hAnsi="Arial" w:cs="Arial"/>
        </w:rPr>
        <w:t>to provide death and disablement insurance during the pre-retirement years at a cost lower than available to most individuals</w:t>
      </w:r>
      <w:r>
        <w:rPr>
          <w:rFonts w:ascii="Arial" w:hAnsi="Arial" w:cs="Arial"/>
        </w:rPr>
        <w:t>, outside of superannuation;</w:t>
      </w:r>
    </w:p>
    <w:p w:rsidR="00703227" w:rsidRPr="00BA683D" w:rsidRDefault="00703227" w:rsidP="008F6C10">
      <w:pPr>
        <w:pStyle w:val="ListParagraph"/>
        <w:numPr>
          <w:ilvl w:val="0"/>
          <w:numId w:val="30"/>
        </w:numPr>
        <w:spacing w:after="200" w:line="260" w:lineRule="atLeast"/>
        <w:ind w:left="714" w:hanging="357"/>
        <w:contextualSpacing/>
        <w:rPr>
          <w:rFonts w:ascii="Arial" w:hAnsi="Arial" w:cs="Arial"/>
        </w:rPr>
      </w:pPr>
      <w:r w:rsidRPr="00BA683D">
        <w:rPr>
          <w:rFonts w:ascii="Arial" w:hAnsi="Arial" w:cs="Arial"/>
        </w:rPr>
        <w:t>to provide education to the member so they understand more about their superannuation, its purpose and the options available</w:t>
      </w:r>
      <w:r>
        <w:rPr>
          <w:rFonts w:ascii="Arial" w:hAnsi="Arial" w:cs="Arial"/>
        </w:rPr>
        <w:t>; and</w:t>
      </w:r>
    </w:p>
    <w:p w:rsidR="00703227" w:rsidRPr="00BA683D" w:rsidRDefault="00703227" w:rsidP="008F6C10">
      <w:pPr>
        <w:pStyle w:val="ListParagraph"/>
        <w:numPr>
          <w:ilvl w:val="0"/>
          <w:numId w:val="30"/>
        </w:numPr>
        <w:spacing w:after="200" w:line="260" w:lineRule="atLeast"/>
        <w:ind w:left="714" w:hanging="357"/>
        <w:contextualSpacing/>
        <w:rPr>
          <w:rFonts w:ascii="Arial" w:hAnsi="Arial" w:cs="Arial"/>
        </w:rPr>
      </w:pPr>
      <w:r w:rsidRPr="00BA683D">
        <w:rPr>
          <w:rFonts w:ascii="Arial" w:hAnsi="Arial" w:cs="Arial"/>
        </w:rPr>
        <w:t>to provide a range of appropriate retirement products, recognising the diversity of risks faced by retirees</w:t>
      </w:r>
      <w:r>
        <w:rPr>
          <w:rFonts w:ascii="Arial" w:hAnsi="Arial" w:cs="Arial"/>
        </w:rPr>
        <w:t>.</w:t>
      </w:r>
    </w:p>
    <w:p w:rsidR="00703227" w:rsidRDefault="00703227" w:rsidP="00BA683D">
      <w:r>
        <w:lastRenderedPageBreak/>
        <w:t>The Government may also have slightly different objectives.  For example, the Government may wish to see:</w:t>
      </w:r>
    </w:p>
    <w:p w:rsidR="00703227" w:rsidRPr="00BA683D" w:rsidRDefault="00703227" w:rsidP="008F6C10">
      <w:pPr>
        <w:pStyle w:val="ListParagraph"/>
        <w:numPr>
          <w:ilvl w:val="0"/>
          <w:numId w:val="31"/>
        </w:numPr>
        <w:spacing w:after="200" w:line="260" w:lineRule="atLeast"/>
        <w:ind w:left="714" w:hanging="357"/>
        <w:contextualSpacing/>
        <w:rPr>
          <w:rFonts w:ascii="Arial" w:hAnsi="Arial" w:cs="Arial"/>
        </w:rPr>
      </w:pPr>
      <w:r w:rsidRPr="00BA683D">
        <w:rPr>
          <w:rFonts w:ascii="Arial" w:hAnsi="Arial" w:cs="Arial"/>
        </w:rPr>
        <w:t xml:space="preserve">reducing costs of the </w:t>
      </w:r>
      <w:r>
        <w:rPr>
          <w:rFonts w:ascii="Arial" w:hAnsi="Arial" w:cs="Arial"/>
        </w:rPr>
        <w:t>A</w:t>
      </w:r>
      <w:r w:rsidRPr="00BA683D">
        <w:rPr>
          <w:rFonts w:ascii="Arial" w:hAnsi="Arial" w:cs="Arial"/>
        </w:rPr>
        <w:t xml:space="preserve">ge </w:t>
      </w:r>
      <w:r>
        <w:rPr>
          <w:rFonts w:ascii="Arial" w:hAnsi="Arial" w:cs="Arial"/>
        </w:rPr>
        <w:t>P</w:t>
      </w:r>
      <w:r w:rsidRPr="00BA683D">
        <w:rPr>
          <w:rFonts w:ascii="Arial" w:hAnsi="Arial" w:cs="Arial"/>
        </w:rPr>
        <w:t>ension in future years as the superannuation system matures</w:t>
      </w:r>
      <w:r w:rsidR="001E5D3B">
        <w:rPr>
          <w:rFonts w:ascii="Arial" w:hAnsi="Arial" w:cs="Arial"/>
        </w:rPr>
        <w:t>;</w:t>
      </w:r>
    </w:p>
    <w:p w:rsidR="00703227" w:rsidRPr="00BA683D" w:rsidRDefault="00703227" w:rsidP="008F6C10">
      <w:pPr>
        <w:pStyle w:val="ListParagraph"/>
        <w:numPr>
          <w:ilvl w:val="0"/>
          <w:numId w:val="31"/>
        </w:numPr>
        <w:spacing w:after="200" w:line="260" w:lineRule="atLeast"/>
        <w:ind w:left="714" w:hanging="357"/>
        <w:contextualSpacing/>
        <w:rPr>
          <w:rFonts w:ascii="Arial" w:hAnsi="Arial" w:cs="Arial"/>
        </w:rPr>
      </w:pPr>
      <w:r w:rsidRPr="00BA683D">
        <w:rPr>
          <w:rFonts w:ascii="Arial" w:hAnsi="Arial" w:cs="Arial"/>
        </w:rPr>
        <w:t>increasing provision of insurance related products, both in the accumulation and retirement periods, thereby reducing future costs to Government of supporting those in financial need</w:t>
      </w:r>
      <w:r w:rsidR="001E5D3B">
        <w:rPr>
          <w:rFonts w:ascii="Arial" w:hAnsi="Arial" w:cs="Arial"/>
        </w:rPr>
        <w:t>;</w:t>
      </w:r>
    </w:p>
    <w:p w:rsidR="00703227" w:rsidRPr="00BA683D" w:rsidRDefault="00703227" w:rsidP="008F6C10">
      <w:pPr>
        <w:pStyle w:val="ListParagraph"/>
        <w:numPr>
          <w:ilvl w:val="0"/>
          <w:numId w:val="31"/>
        </w:numPr>
        <w:spacing w:after="200" w:line="260" w:lineRule="atLeast"/>
        <w:ind w:left="714" w:hanging="357"/>
        <w:contextualSpacing/>
        <w:rPr>
          <w:rFonts w:ascii="Arial" w:hAnsi="Arial" w:cs="Arial"/>
        </w:rPr>
      </w:pPr>
      <w:r w:rsidRPr="00BA683D">
        <w:rPr>
          <w:rFonts w:ascii="Arial" w:hAnsi="Arial" w:cs="Arial"/>
        </w:rPr>
        <w:t>the ongoing development of deep and sophisticated capital markets, thereby promoting some export opportunities</w:t>
      </w:r>
      <w:r>
        <w:rPr>
          <w:rFonts w:ascii="Arial" w:hAnsi="Arial" w:cs="Arial"/>
        </w:rPr>
        <w:t>; and</w:t>
      </w:r>
    </w:p>
    <w:p w:rsidR="00703227" w:rsidRPr="00BA683D" w:rsidRDefault="00703227" w:rsidP="008F6C10">
      <w:pPr>
        <w:pStyle w:val="ListParagraph"/>
        <w:numPr>
          <w:ilvl w:val="0"/>
          <w:numId w:val="31"/>
        </w:numPr>
        <w:spacing w:after="200" w:line="260" w:lineRule="atLeast"/>
        <w:ind w:left="714" w:hanging="357"/>
        <w:contextualSpacing/>
        <w:rPr>
          <w:rFonts w:ascii="Arial" w:hAnsi="Arial" w:cs="Arial"/>
        </w:rPr>
      </w:pPr>
      <w:r w:rsidRPr="00BA683D">
        <w:rPr>
          <w:rFonts w:ascii="Arial" w:hAnsi="Arial" w:cs="Arial"/>
        </w:rPr>
        <w:t>the development of well-resourced regulators to ensure that there is appropriate protection for consumers; a level playing field for product providers; and appropriate disclosure of relevant information in a cost-effective manner</w:t>
      </w:r>
      <w:r w:rsidR="001E5D3B">
        <w:rPr>
          <w:rFonts w:ascii="Arial" w:hAnsi="Arial" w:cs="Arial"/>
        </w:rPr>
        <w:t>.</w:t>
      </w:r>
    </w:p>
    <w:p w:rsidR="00703227" w:rsidRDefault="00703227" w:rsidP="00BA683D">
      <w:r>
        <w:t>There exist a variety of objectives for superannuation depending on the position of different stakeholders and different objectives may lead to conflicting outcomes. For example, the provision of group insurance may provide valuable protection to members and their households during the working years.  However, higher levels of insurance inevitably lead</w:t>
      </w:r>
      <w:r w:rsidR="001E5D3B">
        <w:t>s</w:t>
      </w:r>
      <w:r>
        <w:t xml:space="preserve"> to lower retirement benefits which reduces the future age pension saving. Such tensions are inevitable but unsurprising as the ultimate objective of providing retirement income should be able to be modified or adjusted to reflect the needs of the actual members.  </w:t>
      </w:r>
    </w:p>
    <w:p w:rsidR="00703227" w:rsidRDefault="00703227" w:rsidP="00BA683D"/>
    <w:p w:rsidR="00703227" w:rsidRDefault="00703227" w:rsidP="00BA683D">
      <w:r>
        <w:t xml:space="preserve">Having made the above broad statements on the optimal characteristics for objectives of the superannuation system, Mercer makes the following comments on the </w:t>
      </w:r>
      <w:r w:rsidR="001E5D3B">
        <w:t xml:space="preserve">Commission’s proposed </w:t>
      </w:r>
      <w:r>
        <w:t>system-level objectives:</w:t>
      </w:r>
    </w:p>
    <w:p w:rsidR="00703227" w:rsidRDefault="00703227" w:rsidP="00BA683D"/>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4229"/>
        <w:gridCol w:w="4438"/>
      </w:tblGrid>
      <w:tr w:rsidR="00703227" w:rsidRPr="00674A1C" w:rsidTr="001E5D3B">
        <w:trPr>
          <w:jc w:val="center"/>
        </w:trPr>
        <w:tc>
          <w:tcPr>
            <w:tcW w:w="563" w:type="dxa"/>
          </w:tcPr>
          <w:p w:rsidR="00703227" w:rsidRPr="00A76056" w:rsidRDefault="00703227" w:rsidP="00A76056">
            <w:pPr>
              <w:autoSpaceDE w:val="0"/>
              <w:autoSpaceDN w:val="0"/>
              <w:adjustRightInd w:val="0"/>
              <w:rPr>
                <w:b/>
                <w:szCs w:val="22"/>
              </w:rPr>
            </w:pPr>
          </w:p>
        </w:tc>
        <w:tc>
          <w:tcPr>
            <w:tcW w:w="4229" w:type="dxa"/>
          </w:tcPr>
          <w:p w:rsidR="00703227" w:rsidRPr="00A76056" w:rsidRDefault="00703227" w:rsidP="00A76056">
            <w:pPr>
              <w:autoSpaceDE w:val="0"/>
              <w:autoSpaceDN w:val="0"/>
              <w:adjustRightInd w:val="0"/>
              <w:rPr>
                <w:b/>
                <w:szCs w:val="22"/>
              </w:rPr>
            </w:pPr>
            <w:r w:rsidRPr="00A76056">
              <w:rPr>
                <w:b/>
                <w:szCs w:val="22"/>
              </w:rPr>
              <w:t>System-level Objective</w:t>
            </w:r>
          </w:p>
        </w:tc>
        <w:tc>
          <w:tcPr>
            <w:tcW w:w="4438" w:type="dxa"/>
          </w:tcPr>
          <w:p w:rsidR="00703227" w:rsidRPr="00A76056" w:rsidRDefault="00703227" w:rsidP="00A76056">
            <w:pPr>
              <w:autoSpaceDE w:val="0"/>
              <w:autoSpaceDN w:val="0"/>
              <w:adjustRightInd w:val="0"/>
              <w:jc w:val="center"/>
              <w:rPr>
                <w:b/>
                <w:szCs w:val="22"/>
              </w:rPr>
            </w:pPr>
            <w:r w:rsidRPr="00A76056">
              <w:rPr>
                <w:b/>
                <w:szCs w:val="22"/>
              </w:rPr>
              <w:t>Comment</w:t>
            </w:r>
          </w:p>
        </w:tc>
      </w:tr>
      <w:tr w:rsidR="00703227" w:rsidRPr="00674A1C" w:rsidTr="001E5D3B">
        <w:trPr>
          <w:jc w:val="center"/>
        </w:trPr>
        <w:tc>
          <w:tcPr>
            <w:tcW w:w="563" w:type="dxa"/>
          </w:tcPr>
          <w:p w:rsidR="00703227" w:rsidRPr="00A76056" w:rsidRDefault="00703227" w:rsidP="00A76056">
            <w:pPr>
              <w:autoSpaceDE w:val="0"/>
              <w:autoSpaceDN w:val="0"/>
              <w:adjustRightInd w:val="0"/>
              <w:rPr>
                <w:szCs w:val="22"/>
              </w:rPr>
            </w:pPr>
            <w:r w:rsidRPr="00A76056">
              <w:rPr>
                <w:szCs w:val="22"/>
              </w:rPr>
              <w:t>4.1</w:t>
            </w:r>
          </w:p>
        </w:tc>
        <w:tc>
          <w:tcPr>
            <w:tcW w:w="4229" w:type="dxa"/>
          </w:tcPr>
          <w:p w:rsidR="00703227" w:rsidRPr="00A76056" w:rsidRDefault="00703227" w:rsidP="00A76056">
            <w:pPr>
              <w:autoSpaceDE w:val="0"/>
              <w:autoSpaceDN w:val="0"/>
              <w:adjustRightInd w:val="0"/>
              <w:rPr>
                <w:szCs w:val="22"/>
              </w:rPr>
            </w:pPr>
            <w:r w:rsidRPr="00A76056">
              <w:rPr>
                <w:szCs w:val="22"/>
              </w:rPr>
              <w:t>Competition in the superannuation system that drives efficient outcomes for members through:</w:t>
            </w:r>
          </w:p>
          <w:p w:rsidR="00703227" w:rsidRPr="00A76056" w:rsidRDefault="00703227" w:rsidP="00A76056">
            <w:pPr>
              <w:pStyle w:val="ListParagraph"/>
              <w:numPr>
                <w:ilvl w:val="0"/>
                <w:numId w:val="33"/>
              </w:numPr>
              <w:autoSpaceDE w:val="0"/>
              <w:autoSpaceDN w:val="0"/>
              <w:adjustRightInd w:val="0"/>
              <w:contextualSpacing/>
              <w:rPr>
                <w:rFonts w:ascii="Arial" w:hAnsi="Arial" w:cs="Arial"/>
              </w:rPr>
            </w:pPr>
            <w:r w:rsidRPr="00A76056">
              <w:rPr>
                <w:rFonts w:ascii="Arial" w:hAnsi="Arial" w:cs="Arial"/>
              </w:rPr>
              <w:t>a market structure and other supply and demand-side conditions that facilitate rivalry and contestability; and</w:t>
            </w:r>
          </w:p>
          <w:p w:rsidR="00703227" w:rsidRPr="00A76056" w:rsidRDefault="00703227" w:rsidP="00A76056">
            <w:pPr>
              <w:pStyle w:val="ListParagraph"/>
              <w:numPr>
                <w:ilvl w:val="0"/>
                <w:numId w:val="33"/>
              </w:numPr>
              <w:autoSpaceDE w:val="0"/>
              <w:autoSpaceDN w:val="0"/>
              <w:adjustRightInd w:val="0"/>
              <w:contextualSpacing/>
              <w:rPr>
                <w:rFonts w:ascii="Arial" w:hAnsi="Arial" w:cs="Arial"/>
              </w:rPr>
            </w:pPr>
            <w:r w:rsidRPr="00A76056">
              <w:rPr>
                <w:rFonts w:ascii="Arial" w:hAnsi="Arial" w:cs="Arial"/>
              </w:rPr>
              <w:t>suppliers competing on aspects of value to members across the accumulation, transition and retirement phases.</w:t>
            </w:r>
          </w:p>
        </w:tc>
        <w:tc>
          <w:tcPr>
            <w:tcW w:w="4438" w:type="dxa"/>
          </w:tcPr>
          <w:p w:rsidR="00703227" w:rsidRPr="00A76056" w:rsidRDefault="00703227" w:rsidP="00A76056">
            <w:pPr>
              <w:autoSpaceDE w:val="0"/>
              <w:autoSpaceDN w:val="0"/>
              <w:adjustRightInd w:val="0"/>
              <w:rPr>
                <w:szCs w:val="22"/>
              </w:rPr>
            </w:pPr>
            <w:r>
              <w:rPr>
                <w:szCs w:val="22"/>
              </w:rPr>
              <w:t xml:space="preserve">REFINE: </w:t>
            </w:r>
            <w:r w:rsidRPr="00A76056">
              <w:rPr>
                <w:szCs w:val="22"/>
              </w:rPr>
              <w:t xml:space="preserve">We support the direction of this proposed objective although the term “rivalry” seems inappropriate.  </w:t>
            </w:r>
            <w:r w:rsidR="001E5D3B">
              <w:rPr>
                <w:szCs w:val="22"/>
              </w:rPr>
              <w:t>In place of ‘facilitate rivalry and contestability, w</w:t>
            </w:r>
            <w:r w:rsidRPr="00A76056">
              <w:rPr>
                <w:szCs w:val="22"/>
              </w:rPr>
              <w:t>e suggest “facilitate contestability supported by transparency”.</w:t>
            </w:r>
          </w:p>
          <w:p w:rsidR="00703227" w:rsidRPr="00A76056" w:rsidRDefault="00703227" w:rsidP="00A76056">
            <w:pPr>
              <w:autoSpaceDE w:val="0"/>
              <w:autoSpaceDN w:val="0"/>
              <w:adjustRightInd w:val="0"/>
              <w:rPr>
                <w:szCs w:val="22"/>
              </w:rPr>
            </w:pPr>
          </w:p>
          <w:p w:rsidR="00703227" w:rsidRDefault="00703227" w:rsidP="00CB697E">
            <w:pPr>
              <w:autoSpaceDE w:val="0"/>
              <w:autoSpaceDN w:val="0"/>
              <w:adjustRightInd w:val="0"/>
              <w:rPr>
                <w:szCs w:val="22"/>
              </w:rPr>
            </w:pPr>
            <w:r w:rsidRPr="00A76056">
              <w:rPr>
                <w:szCs w:val="22"/>
              </w:rPr>
              <w:t xml:space="preserve">We also recommend </w:t>
            </w:r>
            <w:r w:rsidR="00CB697E">
              <w:rPr>
                <w:szCs w:val="22"/>
              </w:rPr>
              <w:t xml:space="preserve">refinement of the wording to refer to “Competition… that </w:t>
            </w:r>
            <w:r w:rsidRPr="00A76056">
              <w:rPr>
                <w:szCs w:val="22"/>
              </w:rPr>
              <w:t>drive</w:t>
            </w:r>
            <w:r w:rsidR="00CB697E">
              <w:rPr>
                <w:szCs w:val="22"/>
              </w:rPr>
              <w:t xml:space="preserve">s </w:t>
            </w:r>
            <w:r w:rsidRPr="00A76056">
              <w:rPr>
                <w:szCs w:val="22"/>
              </w:rPr>
              <w:t xml:space="preserve">efficient </w:t>
            </w:r>
            <w:r w:rsidRPr="0049778A">
              <w:rPr>
                <w:b/>
                <w:szCs w:val="22"/>
              </w:rPr>
              <w:t xml:space="preserve">and valued </w:t>
            </w:r>
            <w:r w:rsidRPr="00CB697E">
              <w:rPr>
                <w:szCs w:val="22"/>
              </w:rPr>
              <w:t>outcomes</w:t>
            </w:r>
            <w:r w:rsidRPr="00206F78">
              <w:rPr>
                <w:szCs w:val="22"/>
              </w:rPr>
              <w:t xml:space="preserve"> </w:t>
            </w:r>
            <w:r w:rsidRPr="00A76056">
              <w:rPr>
                <w:szCs w:val="22"/>
              </w:rPr>
              <w:t>for members</w:t>
            </w:r>
            <w:r w:rsidR="00CB697E">
              <w:rPr>
                <w:szCs w:val="22"/>
              </w:rPr>
              <w:t>…</w:t>
            </w:r>
            <w:r w:rsidRPr="00A76056">
              <w:rPr>
                <w:szCs w:val="22"/>
              </w:rPr>
              <w:t>” as the desired outcome is more than just efficiency.</w:t>
            </w:r>
            <w:r w:rsidR="001E5D3B">
              <w:rPr>
                <w:szCs w:val="22"/>
              </w:rPr>
              <w:br/>
            </w:r>
          </w:p>
          <w:p w:rsidR="00807089" w:rsidRDefault="00807089" w:rsidP="00CB697E">
            <w:pPr>
              <w:autoSpaceDE w:val="0"/>
              <w:autoSpaceDN w:val="0"/>
              <w:adjustRightInd w:val="0"/>
              <w:rPr>
                <w:szCs w:val="22"/>
              </w:rPr>
            </w:pPr>
          </w:p>
          <w:p w:rsidR="00807089" w:rsidRPr="00A76056" w:rsidRDefault="00807089" w:rsidP="00CB697E">
            <w:pPr>
              <w:autoSpaceDE w:val="0"/>
              <w:autoSpaceDN w:val="0"/>
              <w:adjustRightInd w:val="0"/>
              <w:rPr>
                <w:szCs w:val="22"/>
              </w:rPr>
            </w:pPr>
          </w:p>
        </w:tc>
      </w:tr>
      <w:tr w:rsidR="00703227" w:rsidRPr="00674A1C" w:rsidTr="001E5D3B">
        <w:trPr>
          <w:jc w:val="center"/>
        </w:trPr>
        <w:tc>
          <w:tcPr>
            <w:tcW w:w="563" w:type="dxa"/>
          </w:tcPr>
          <w:p w:rsidR="00703227" w:rsidRPr="00A76056" w:rsidRDefault="00703227" w:rsidP="00A76056">
            <w:pPr>
              <w:autoSpaceDE w:val="0"/>
              <w:autoSpaceDN w:val="0"/>
              <w:adjustRightInd w:val="0"/>
              <w:rPr>
                <w:szCs w:val="22"/>
              </w:rPr>
            </w:pPr>
            <w:r w:rsidRPr="00A76056">
              <w:rPr>
                <w:szCs w:val="22"/>
              </w:rPr>
              <w:lastRenderedPageBreak/>
              <w:t>4.2</w:t>
            </w:r>
          </w:p>
        </w:tc>
        <w:tc>
          <w:tcPr>
            <w:tcW w:w="4229" w:type="dxa"/>
          </w:tcPr>
          <w:p w:rsidR="00703227" w:rsidRPr="00A76056" w:rsidRDefault="00703227" w:rsidP="00A76056">
            <w:pPr>
              <w:autoSpaceDE w:val="0"/>
              <w:autoSpaceDN w:val="0"/>
              <w:adjustRightInd w:val="0"/>
              <w:rPr>
                <w:szCs w:val="22"/>
              </w:rPr>
            </w:pPr>
            <w:r w:rsidRPr="00A76056">
              <w:rPr>
                <w:szCs w:val="22"/>
              </w:rPr>
              <w:t>The superannuation system maximises net returns on member contributions and balances over the long term.</w:t>
            </w:r>
          </w:p>
        </w:tc>
        <w:tc>
          <w:tcPr>
            <w:tcW w:w="4438" w:type="dxa"/>
          </w:tcPr>
          <w:p w:rsidR="00703227" w:rsidRPr="00A76056" w:rsidRDefault="00703227" w:rsidP="00A76056">
            <w:pPr>
              <w:autoSpaceDE w:val="0"/>
              <w:autoSpaceDN w:val="0"/>
              <w:adjustRightInd w:val="0"/>
              <w:rPr>
                <w:szCs w:val="22"/>
              </w:rPr>
            </w:pPr>
            <w:r>
              <w:rPr>
                <w:szCs w:val="22"/>
              </w:rPr>
              <w:t xml:space="preserve">REFINE: </w:t>
            </w:r>
            <w:r w:rsidRPr="00A76056">
              <w:rPr>
                <w:szCs w:val="22"/>
              </w:rPr>
              <w:t>The term ‘maximises’ in this objective should be replaced with the term ‘optimises’, in order to recognise that the risk preferences, service preferences (both quality and breadth) and the time horizons of individual members preclude the system being solely focused on maximising long-term returns.</w:t>
            </w:r>
          </w:p>
          <w:p w:rsidR="00703227" w:rsidRPr="00A76056" w:rsidRDefault="00703227" w:rsidP="00A76056">
            <w:pPr>
              <w:autoSpaceDE w:val="0"/>
              <w:autoSpaceDN w:val="0"/>
              <w:adjustRightInd w:val="0"/>
              <w:rPr>
                <w:szCs w:val="22"/>
              </w:rPr>
            </w:pPr>
          </w:p>
        </w:tc>
      </w:tr>
      <w:tr w:rsidR="00703227" w:rsidRPr="00674A1C" w:rsidTr="001E5D3B">
        <w:trPr>
          <w:jc w:val="center"/>
        </w:trPr>
        <w:tc>
          <w:tcPr>
            <w:tcW w:w="563" w:type="dxa"/>
          </w:tcPr>
          <w:p w:rsidR="00703227" w:rsidRPr="00A76056" w:rsidRDefault="00703227" w:rsidP="00A76056">
            <w:pPr>
              <w:autoSpaceDE w:val="0"/>
              <w:autoSpaceDN w:val="0"/>
              <w:adjustRightInd w:val="0"/>
              <w:rPr>
                <w:szCs w:val="22"/>
              </w:rPr>
            </w:pPr>
            <w:r w:rsidRPr="00A76056">
              <w:rPr>
                <w:szCs w:val="22"/>
              </w:rPr>
              <w:t>4.3</w:t>
            </w:r>
          </w:p>
        </w:tc>
        <w:tc>
          <w:tcPr>
            <w:tcW w:w="4229" w:type="dxa"/>
          </w:tcPr>
          <w:p w:rsidR="00703227" w:rsidRPr="00A76056" w:rsidRDefault="00703227" w:rsidP="00A76056">
            <w:pPr>
              <w:autoSpaceDE w:val="0"/>
              <w:autoSpaceDN w:val="0"/>
              <w:adjustRightInd w:val="0"/>
              <w:rPr>
                <w:szCs w:val="22"/>
              </w:rPr>
            </w:pPr>
            <w:r w:rsidRPr="00A76056">
              <w:rPr>
                <w:szCs w:val="22"/>
              </w:rPr>
              <w:t>The superannuation system meets member preferences and needs, in relation to information, products and risk management, over the member’s lifetime.</w:t>
            </w:r>
          </w:p>
        </w:tc>
        <w:tc>
          <w:tcPr>
            <w:tcW w:w="4438" w:type="dxa"/>
          </w:tcPr>
          <w:p w:rsidR="00703227" w:rsidRPr="00A76056" w:rsidRDefault="00703227" w:rsidP="00D76F64">
            <w:pPr>
              <w:autoSpaceDE w:val="0"/>
              <w:autoSpaceDN w:val="0"/>
              <w:adjustRightInd w:val="0"/>
              <w:rPr>
                <w:szCs w:val="22"/>
              </w:rPr>
            </w:pPr>
            <w:r>
              <w:rPr>
                <w:szCs w:val="22"/>
              </w:rPr>
              <w:t xml:space="preserve">CONDITIONAL SUPPORT: </w:t>
            </w:r>
            <w:r w:rsidRPr="00A76056">
              <w:rPr>
                <w:szCs w:val="22"/>
              </w:rPr>
              <w:t>We support this proposed objective.</w:t>
            </w:r>
            <w:r w:rsidR="00D76F64">
              <w:rPr>
                <w:szCs w:val="22"/>
              </w:rPr>
              <w:t xml:space="preserve"> </w:t>
            </w:r>
            <w:r w:rsidRPr="00A76056">
              <w:rPr>
                <w:szCs w:val="22"/>
              </w:rPr>
              <w:t xml:space="preserve">However we wonder whether it may be preferable to combine </w:t>
            </w:r>
            <w:r w:rsidR="00D76F64">
              <w:rPr>
                <w:szCs w:val="22"/>
              </w:rPr>
              <w:t xml:space="preserve">objectives </w:t>
            </w:r>
            <w:r w:rsidRPr="00A76056">
              <w:rPr>
                <w:szCs w:val="22"/>
              </w:rPr>
              <w:t xml:space="preserve">4.2 and 4.3 as the optimal outcome for members should depend on their preferences and needs.  </w:t>
            </w:r>
            <w:r w:rsidR="00D76F64">
              <w:rPr>
                <w:szCs w:val="22"/>
              </w:rPr>
              <w:t>We do not believe t</w:t>
            </w:r>
            <w:r w:rsidRPr="00A76056">
              <w:rPr>
                <w:szCs w:val="22"/>
              </w:rPr>
              <w:t>hey should be considered in isolation.</w:t>
            </w:r>
            <w:r w:rsidR="00D76F64">
              <w:rPr>
                <w:szCs w:val="22"/>
              </w:rPr>
              <w:br/>
            </w:r>
          </w:p>
        </w:tc>
      </w:tr>
      <w:tr w:rsidR="00703227" w:rsidRPr="00674A1C" w:rsidTr="001E5D3B">
        <w:trPr>
          <w:jc w:val="center"/>
        </w:trPr>
        <w:tc>
          <w:tcPr>
            <w:tcW w:w="563" w:type="dxa"/>
          </w:tcPr>
          <w:p w:rsidR="00703227" w:rsidRPr="00A76056" w:rsidRDefault="00703227" w:rsidP="00A76056">
            <w:pPr>
              <w:autoSpaceDE w:val="0"/>
              <w:autoSpaceDN w:val="0"/>
              <w:adjustRightInd w:val="0"/>
              <w:rPr>
                <w:szCs w:val="22"/>
              </w:rPr>
            </w:pPr>
            <w:r w:rsidRPr="00A76056">
              <w:rPr>
                <w:szCs w:val="22"/>
              </w:rPr>
              <w:t>4.4</w:t>
            </w:r>
          </w:p>
        </w:tc>
        <w:tc>
          <w:tcPr>
            <w:tcW w:w="4229" w:type="dxa"/>
          </w:tcPr>
          <w:p w:rsidR="00703227" w:rsidRPr="00A76056" w:rsidRDefault="00703227" w:rsidP="00A76056">
            <w:pPr>
              <w:autoSpaceDE w:val="0"/>
              <w:autoSpaceDN w:val="0"/>
              <w:adjustRightInd w:val="0"/>
              <w:rPr>
                <w:szCs w:val="22"/>
              </w:rPr>
            </w:pPr>
            <w:r w:rsidRPr="00A76056">
              <w:rPr>
                <w:szCs w:val="22"/>
              </w:rPr>
              <w:t>The superannuation system provides insurance that meets members’ needs at least cost.</w:t>
            </w:r>
          </w:p>
        </w:tc>
        <w:tc>
          <w:tcPr>
            <w:tcW w:w="4438" w:type="dxa"/>
          </w:tcPr>
          <w:p w:rsidR="00D76F64" w:rsidRDefault="00703227" w:rsidP="00A76056">
            <w:pPr>
              <w:autoSpaceDE w:val="0"/>
              <w:autoSpaceDN w:val="0"/>
              <w:adjustRightInd w:val="0"/>
              <w:rPr>
                <w:szCs w:val="22"/>
              </w:rPr>
            </w:pPr>
            <w:r>
              <w:rPr>
                <w:szCs w:val="22"/>
              </w:rPr>
              <w:t xml:space="preserve">MODIFY: </w:t>
            </w:r>
            <w:r w:rsidRPr="00A76056">
              <w:rPr>
                <w:szCs w:val="22"/>
              </w:rPr>
              <w:t>We consider this objective is problematic as currently framed</w:t>
            </w:r>
            <w:r w:rsidR="00D76F64">
              <w:rPr>
                <w:szCs w:val="22"/>
              </w:rPr>
              <w:t xml:space="preserve"> for two key reasons</w:t>
            </w:r>
            <w:r w:rsidRPr="00A76056">
              <w:rPr>
                <w:szCs w:val="22"/>
              </w:rPr>
              <w:t xml:space="preserve">.  </w:t>
            </w:r>
          </w:p>
          <w:p w:rsidR="00D76F64" w:rsidRDefault="00D76F64" w:rsidP="00A76056">
            <w:pPr>
              <w:autoSpaceDE w:val="0"/>
              <w:autoSpaceDN w:val="0"/>
              <w:adjustRightInd w:val="0"/>
              <w:rPr>
                <w:szCs w:val="22"/>
              </w:rPr>
            </w:pPr>
          </w:p>
          <w:p w:rsidR="00703227" w:rsidRPr="00A76056" w:rsidRDefault="00703227" w:rsidP="00A76056">
            <w:pPr>
              <w:autoSpaceDE w:val="0"/>
              <w:autoSpaceDN w:val="0"/>
              <w:adjustRightInd w:val="0"/>
              <w:rPr>
                <w:szCs w:val="22"/>
              </w:rPr>
            </w:pPr>
            <w:r w:rsidRPr="00A76056">
              <w:rPr>
                <w:szCs w:val="22"/>
              </w:rPr>
              <w:t>F</w:t>
            </w:r>
            <w:r>
              <w:rPr>
                <w:szCs w:val="22"/>
              </w:rPr>
              <w:t>irst</w:t>
            </w:r>
            <w:r w:rsidRPr="00A76056">
              <w:rPr>
                <w:szCs w:val="22"/>
              </w:rPr>
              <w:t>, default cover cannot inappropriately erode member balances</w:t>
            </w:r>
            <w:r>
              <w:rPr>
                <w:szCs w:val="22"/>
              </w:rPr>
              <w:t xml:space="preserve"> and this constraint generally means it cannot be targeted at a level expected to fully meet most members’ insurance needs. Whilst o</w:t>
            </w:r>
            <w:r w:rsidRPr="00A76056">
              <w:rPr>
                <w:szCs w:val="22"/>
              </w:rPr>
              <w:t xml:space="preserve">ptional cover arrangements may enable many members to meet their death and disability insurance needs through superannuation, funds’ offerings will be constrained by what is affordable (for sufficient numbers of members) and efficient for them to provide. </w:t>
            </w:r>
          </w:p>
          <w:p w:rsidR="00703227" w:rsidRPr="00A76056" w:rsidRDefault="00703227" w:rsidP="00A76056">
            <w:pPr>
              <w:autoSpaceDE w:val="0"/>
              <w:autoSpaceDN w:val="0"/>
              <w:adjustRightInd w:val="0"/>
              <w:rPr>
                <w:szCs w:val="22"/>
              </w:rPr>
            </w:pPr>
          </w:p>
          <w:p w:rsidR="00703227" w:rsidRPr="00CA010C" w:rsidRDefault="00703227" w:rsidP="00EA021D">
            <w:pPr>
              <w:autoSpaceDE w:val="0"/>
              <w:autoSpaceDN w:val="0"/>
              <w:adjustRightInd w:val="0"/>
            </w:pPr>
            <w:r>
              <w:t>Second</w:t>
            </w:r>
            <w:r w:rsidR="00D76F64">
              <w:t xml:space="preserve">, </w:t>
            </w:r>
            <w:r>
              <w:t xml:space="preserve">we are concerned that ‘least cost’ does not recognise the variety of issues that need to be considered in assessing whether insurance represents good value for members, including terms and </w:t>
            </w:r>
            <w:r>
              <w:lastRenderedPageBreak/>
              <w:t xml:space="preserve">conditions and sustainable pricing. </w:t>
            </w:r>
            <w:r w:rsidRPr="0008584A">
              <w:t>We suggest</w:t>
            </w:r>
            <w:r>
              <w:t xml:space="preserve"> </w:t>
            </w:r>
            <w:r w:rsidRPr="0008584A">
              <w:t>‘</w:t>
            </w:r>
            <w:r>
              <w:t>fairly</w:t>
            </w:r>
            <w:r w:rsidRPr="0008584A">
              <w:t xml:space="preserve"> priced’ rather than ‘least cost’ as we consider this better caters for considerations such as the</w:t>
            </w:r>
            <w:r>
              <w:t xml:space="preserve"> terms of cover (including disability definitions), the financial strength and stability of the insurer, the services offered by the insurer including </w:t>
            </w:r>
            <w:r w:rsidRPr="00CA010C">
              <w:t>claims and data management, underwriting and reporting</w:t>
            </w:r>
            <w:r>
              <w:t xml:space="preserve">. This philosophy is embedded in APRA’s </w:t>
            </w:r>
            <w:r w:rsidR="00D76F64">
              <w:t>Prudential Standard (</w:t>
            </w:r>
            <w:r>
              <w:t>SPS</w:t>
            </w:r>
            <w:r w:rsidR="00D76F64">
              <w:t xml:space="preserve"> </w:t>
            </w:r>
            <w:r>
              <w:t>250</w:t>
            </w:r>
            <w:r w:rsidR="00D76F64">
              <w:t>) Insurance in Superannuation</w:t>
            </w:r>
            <w:r>
              <w:t xml:space="preserve"> and </w:t>
            </w:r>
            <w:r w:rsidR="00D76F64">
              <w:t>Prudential Practice Guide (</w:t>
            </w:r>
            <w:r>
              <w:t>SPG</w:t>
            </w:r>
            <w:r w:rsidR="00D76F64">
              <w:t xml:space="preserve"> </w:t>
            </w:r>
            <w:r>
              <w:t>250</w:t>
            </w:r>
            <w:r w:rsidR="00D76F64">
              <w:t>) Insurance in Superannuation</w:t>
            </w:r>
            <w:r>
              <w:t>. We suggest that ‘fairly priced’ suitably conveys that premiums do not include unreasonable profit margins or cross-subsidies, whereas “at l</w:t>
            </w:r>
            <w:r w:rsidRPr="005D2982">
              <w:t>east cost</w:t>
            </w:r>
            <w:r>
              <w:t>”</w:t>
            </w:r>
            <w:r w:rsidRPr="005D2982">
              <w:t xml:space="preserve"> is </w:t>
            </w:r>
            <w:r>
              <w:t xml:space="preserve">an </w:t>
            </w:r>
            <w:r w:rsidRPr="005D2982">
              <w:t xml:space="preserve">absolute </w:t>
            </w:r>
            <w:r>
              <w:t xml:space="preserve">statement and implies testing by competitive tender or similar. </w:t>
            </w:r>
          </w:p>
          <w:p w:rsidR="00703227" w:rsidRDefault="00703227" w:rsidP="00A76056">
            <w:pPr>
              <w:autoSpaceDE w:val="0"/>
              <w:autoSpaceDN w:val="0"/>
              <w:adjustRightInd w:val="0"/>
              <w:rPr>
                <w:szCs w:val="22"/>
              </w:rPr>
            </w:pPr>
          </w:p>
          <w:p w:rsidR="00703227" w:rsidRPr="00A76056" w:rsidRDefault="00703227" w:rsidP="00A76056">
            <w:pPr>
              <w:autoSpaceDE w:val="0"/>
              <w:autoSpaceDN w:val="0"/>
              <w:adjustRightInd w:val="0"/>
              <w:rPr>
                <w:szCs w:val="22"/>
              </w:rPr>
            </w:pPr>
            <w:r w:rsidRPr="00A76056">
              <w:rPr>
                <w:szCs w:val="22"/>
              </w:rPr>
              <w:t>We suggest this objective be replaced by an objective along the following lines:</w:t>
            </w:r>
          </w:p>
          <w:p w:rsidR="00703227" w:rsidRPr="00A76056" w:rsidRDefault="00703227" w:rsidP="00A76056">
            <w:pPr>
              <w:autoSpaceDE w:val="0"/>
              <w:autoSpaceDN w:val="0"/>
              <w:adjustRightInd w:val="0"/>
              <w:rPr>
                <w:szCs w:val="22"/>
              </w:rPr>
            </w:pPr>
          </w:p>
          <w:p w:rsidR="00703227" w:rsidRPr="00A76056" w:rsidRDefault="00703227" w:rsidP="00A76056">
            <w:pPr>
              <w:autoSpaceDE w:val="0"/>
              <w:autoSpaceDN w:val="0"/>
              <w:adjustRightInd w:val="0"/>
              <w:rPr>
                <w:b/>
                <w:i/>
              </w:rPr>
            </w:pPr>
            <w:r w:rsidRPr="00A76056">
              <w:rPr>
                <w:b/>
                <w:i/>
              </w:rPr>
              <w:t xml:space="preserve">The superannuation system provides access to </w:t>
            </w:r>
            <w:r>
              <w:rPr>
                <w:b/>
                <w:i/>
              </w:rPr>
              <w:t xml:space="preserve">fairly </w:t>
            </w:r>
            <w:r w:rsidRPr="00A76056">
              <w:rPr>
                <w:b/>
                <w:i/>
              </w:rPr>
              <w:t>priced near universal death and disability insurance cover via a level of default cover suitable to the membership (offered on an automatic acceptance basis where appropriate), with the ability for individuals to tailor cover to better meet their insurance needs.</w:t>
            </w:r>
          </w:p>
          <w:p w:rsidR="00703227" w:rsidRPr="00A76056" w:rsidRDefault="00703227" w:rsidP="00A76056">
            <w:pPr>
              <w:autoSpaceDE w:val="0"/>
              <w:autoSpaceDN w:val="0"/>
              <w:adjustRightInd w:val="0"/>
              <w:rPr>
                <w:b/>
                <w:i/>
              </w:rPr>
            </w:pPr>
          </w:p>
          <w:p w:rsidR="00703227" w:rsidRPr="00A76056" w:rsidRDefault="00703227" w:rsidP="00EA021D">
            <w:pPr>
              <w:autoSpaceDE w:val="0"/>
              <w:autoSpaceDN w:val="0"/>
              <w:adjustRightInd w:val="0"/>
              <w:rPr>
                <w:szCs w:val="22"/>
              </w:rPr>
            </w:pPr>
          </w:p>
        </w:tc>
      </w:tr>
      <w:tr w:rsidR="00703227" w:rsidRPr="00674A1C" w:rsidTr="001E5D3B">
        <w:trPr>
          <w:jc w:val="center"/>
        </w:trPr>
        <w:tc>
          <w:tcPr>
            <w:tcW w:w="563" w:type="dxa"/>
          </w:tcPr>
          <w:p w:rsidR="00703227" w:rsidRPr="00A76056" w:rsidRDefault="00703227" w:rsidP="00A76056">
            <w:pPr>
              <w:autoSpaceDE w:val="0"/>
              <w:autoSpaceDN w:val="0"/>
              <w:adjustRightInd w:val="0"/>
              <w:rPr>
                <w:szCs w:val="22"/>
              </w:rPr>
            </w:pPr>
            <w:r w:rsidRPr="00A76056">
              <w:rPr>
                <w:szCs w:val="22"/>
              </w:rPr>
              <w:lastRenderedPageBreak/>
              <w:t>4.5</w:t>
            </w:r>
          </w:p>
        </w:tc>
        <w:tc>
          <w:tcPr>
            <w:tcW w:w="4229" w:type="dxa"/>
          </w:tcPr>
          <w:p w:rsidR="00703227" w:rsidRPr="00A76056" w:rsidRDefault="00703227" w:rsidP="00A76056">
            <w:pPr>
              <w:autoSpaceDE w:val="0"/>
              <w:autoSpaceDN w:val="0"/>
              <w:adjustRightInd w:val="0"/>
              <w:rPr>
                <w:szCs w:val="22"/>
              </w:rPr>
            </w:pPr>
            <w:r w:rsidRPr="00A76056">
              <w:rPr>
                <w:szCs w:val="22"/>
              </w:rPr>
              <w:t>The superannuation system complements a stable financial system and does not impede long-term improvements in efficiency.</w:t>
            </w:r>
          </w:p>
        </w:tc>
        <w:tc>
          <w:tcPr>
            <w:tcW w:w="4438" w:type="dxa"/>
          </w:tcPr>
          <w:p w:rsidR="00703227" w:rsidRPr="00A76056" w:rsidRDefault="00703227" w:rsidP="00A76056">
            <w:pPr>
              <w:autoSpaceDE w:val="0"/>
              <w:autoSpaceDN w:val="0"/>
              <w:adjustRightInd w:val="0"/>
              <w:rPr>
                <w:szCs w:val="22"/>
              </w:rPr>
            </w:pPr>
            <w:r>
              <w:rPr>
                <w:szCs w:val="22"/>
              </w:rPr>
              <w:t xml:space="preserve">REFINE: </w:t>
            </w:r>
            <w:r w:rsidRPr="00A76056">
              <w:rPr>
                <w:szCs w:val="22"/>
              </w:rPr>
              <w:t>We support the direction of this proposed objective although suggest that sustainable may be a better word than stable, as it has a longer term perspective.</w:t>
            </w:r>
          </w:p>
          <w:p w:rsidR="00703227" w:rsidRPr="00A76056" w:rsidRDefault="00703227" w:rsidP="00A76056">
            <w:pPr>
              <w:autoSpaceDE w:val="0"/>
              <w:autoSpaceDN w:val="0"/>
              <w:adjustRightInd w:val="0"/>
              <w:rPr>
                <w:szCs w:val="22"/>
              </w:rPr>
            </w:pPr>
          </w:p>
        </w:tc>
      </w:tr>
    </w:tbl>
    <w:p w:rsidR="00703227" w:rsidRDefault="00703227">
      <w:pPr>
        <w:spacing w:line="240" w:lineRule="auto"/>
        <w:sectPr w:rsidR="00703227" w:rsidSect="003641B3">
          <w:headerReference w:type="default" r:id="rId15"/>
          <w:footerReference w:type="default" r:id="rId16"/>
          <w:headerReference w:type="first" r:id="rId17"/>
          <w:footerReference w:type="first" r:id="rId18"/>
          <w:pgSz w:w="11906" w:h="16838" w:code="9"/>
          <w:pgMar w:top="4474" w:right="1077" w:bottom="1985" w:left="1259" w:header="624" w:footer="449" w:gutter="0"/>
          <w:cols w:space="720"/>
          <w:titlePg/>
          <w:docGrid w:linePitch="299"/>
        </w:sectPr>
      </w:pPr>
    </w:p>
    <w:p w:rsidR="00703227" w:rsidRDefault="00703227" w:rsidP="00111B79">
      <w:pPr>
        <w:jc w:val="center"/>
        <w:rPr>
          <w:b/>
          <w:sz w:val="24"/>
          <w:szCs w:val="24"/>
        </w:rPr>
      </w:pPr>
      <w:r w:rsidRPr="00BA683D">
        <w:rPr>
          <w:b/>
          <w:sz w:val="24"/>
          <w:szCs w:val="24"/>
        </w:rPr>
        <w:lastRenderedPageBreak/>
        <w:t>Attach</w:t>
      </w:r>
      <w:r>
        <w:rPr>
          <w:b/>
          <w:sz w:val="24"/>
          <w:szCs w:val="24"/>
        </w:rPr>
        <w:t>ment 2</w:t>
      </w:r>
      <w:r w:rsidRPr="00BA683D">
        <w:rPr>
          <w:b/>
          <w:sz w:val="24"/>
          <w:szCs w:val="24"/>
        </w:rPr>
        <w:t xml:space="preserve">: </w:t>
      </w:r>
      <w:r w:rsidRPr="0024411A">
        <w:rPr>
          <w:b/>
          <w:sz w:val="24"/>
          <w:szCs w:val="24"/>
        </w:rPr>
        <w:t>Assess</w:t>
      </w:r>
      <w:r>
        <w:rPr>
          <w:b/>
          <w:sz w:val="24"/>
          <w:szCs w:val="24"/>
        </w:rPr>
        <w:t>ment criteria</w:t>
      </w:r>
    </w:p>
    <w:p w:rsidR="00703227" w:rsidRDefault="00AC3371" w:rsidP="006456BA">
      <w:pPr>
        <w:rPr>
          <w:b/>
          <w:sz w:val="24"/>
          <w:szCs w:val="24"/>
        </w:rPr>
      </w:pPr>
      <w:r>
        <w:rPr>
          <w:b/>
          <w:sz w:val="24"/>
          <w:szCs w:val="24"/>
        </w:rPr>
        <w:t>General observations</w:t>
      </w:r>
    </w:p>
    <w:p w:rsidR="00AC3371" w:rsidRDefault="00AC3371" w:rsidP="006456BA">
      <w:pPr>
        <w:rPr>
          <w:b/>
          <w:sz w:val="24"/>
          <w:szCs w:val="24"/>
        </w:rPr>
      </w:pP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9"/>
        <w:gridCol w:w="777"/>
        <w:gridCol w:w="10206"/>
      </w:tblGrid>
      <w:tr w:rsidR="00703227" w:rsidTr="00AC3371">
        <w:trPr>
          <w:jc w:val="center"/>
        </w:trPr>
        <w:tc>
          <w:tcPr>
            <w:tcW w:w="14142" w:type="dxa"/>
            <w:gridSpan w:val="3"/>
            <w:shd w:val="clear" w:color="auto" w:fill="F2F2F2"/>
          </w:tcPr>
          <w:p w:rsidR="00703227" w:rsidRPr="00A76056" w:rsidRDefault="00703227" w:rsidP="00D423B0">
            <w:pPr>
              <w:rPr>
                <w:szCs w:val="22"/>
              </w:rPr>
            </w:pPr>
          </w:p>
          <w:p w:rsidR="00703227" w:rsidRPr="0049778A" w:rsidRDefault="00703227" w:rsidP="00D423B0">
            <w:pPr>
              <w:rPr>
                <w:sz w:val="24"/>
                <w:szCs w:val="24"/>
              </w:rPr>
            </w:pPr>
            <w:r w:rsidRPr="0049778A">
              <w:rPr>
                <w:b/>
                <w:sz w:val="24"/>
                <w:szCs w:val="24"/>
              </w:rPr>
              <w:t>Objective</w:t>
            </w:r>
            <w:r w:rsidRPr="0049778A">
              <w:rPr>
                <w:sz w:val="24"/>
                <w:szCs w:val="24"/>
              </w:rPr>
              <w:t xml:space="preserve"> Competition in the superannuation system that drives efficient outcomes for members through:</w:t>
            </w:r>
          </w:p>
          <w:p w:rsidR="00703227" w:rsidRPr="0049778A" w:rsidRDefault="00703227" w:rsidP="00A76056">
            <w:pPr>
              <w:pStyle w:val="ListParagraph"/>
              <w:numPr>
                <w:ilvl w:val="0"/>
                <w:numId w:val="33"/>
              </w:numPr>
              <w:rPr>
                <w:rFonts w:ascii="Arial" w:hAnsi="Arial" w:cs="Arial"/>
                <w:sz w:val="24"/>
                <w:szCs w:val="24"/>
              </w:rPr>
            </w:pPr>
            <w:r w:rsidRPr="0049778A">
              <w:rPr>
                <w:rFonts w:ascii="Arial" w:hAnsi="Arial" w:cs="Arial"/>
                <w:sz w:val="24"/>
                <w:szCs w:val="24"/>
              </w:rPr>
              <w:t>a market structure and other supply and demand side conditions that facilitate rivalry and contestability</w:t>
            </w:r>
          </w:p>
          <w:p w:rsidR="00703227" w:rsidRPr="0049778A" w:rsidRDefault="00703227" w:rsidP="00A76056">
            <w:pPr>
              <w:pStyle w:val="ListParagraph"/>
              <w:numPr>
                <w:ilvl w:val="0"/>
                <w:numId w:val="33"/>
              </w:numPr>
              <w:rPr>
                <w:rFonts w:ascii="Arial" w:hAnsi="Arial" w:cs="Arial"/>
                <w:sz w:val="24"/>
                <w:szCs w:val="24"/>
              </w:rPr>
            </w:pPr>
            <w:r w:rsidRPr="0049778A">
              <w:rPr>
                <w:rFonts w:ascii="Arial" w:hAnsi="Arial" w:cs="Arial"/>
                <w:sz w:val="24"/>
                <w:szCs w:val="24"/>
              </w:rPr>
              <w:t>suppliers competing on aspects of value to members across the accumulation, transition and retirement phases</w:t>
            </w:r>
          </w:p>
          <w:p w:rsidR="00703227" w:rsidRDefault="0049778A" w:rsidP="0049778A">
            <w:pPr>
              <w:pStyle w:val="ListParagraph"/>
              <w:rPr>
                <w:rFonts w:ascii="Arial" w:hAnsi="Arial" w:cs="Arial"/>
                <w:i/>
              </w:rPr>
            </w:pPr>
            <w:r>
              <w:rPr>
                <w:rFonts w:ascii="Arial" w:hAnsi="Arial" w:cs="Arial"/>
                <w:i/>
              </w:rPr>
              <w:t xml:space="preserve">         Note: The headings used for each objective do not include the suggested Mercer changes outlined in Attachment 1</w:t>
            </w:r>
          </w:p>
          <w:p w:rsidR="0049778A" w:rsidRPr="0049778A" w:rsidRDefault="0049778A" w:rsidP="0049778A">
            <w:pPr>
              <w:pStyle w:val="ListParagraph"/>
              <w:rPr>
                <w:rFonts w:ascii="Arial" w:hAnsi="Arial" w:cs="Arial"/>
                <w:i/>
              </w:rPr>
            </w:pPr>
          </w:p>
        </w:tc>
      </w:tr>
      <w:tr w:rsidR="00703227" w:rsidRPr="00137D38" w:rsidTr="00AC3371">
        <w:trPr>
          <w:jc w:val="center"/>
        </w:trPr>
        <w:tc>
          <w:tcPr>
            <w:tcW w:w="3159" w:type="dxa"/>
          </w:tcPr>
          <w:p w:rsidR="00703227" w:rsidRPr="00A76056" w:rsidRDefault="00703227" w:rsidP="00674A1C">
            <w:pPr>
              <w:rPr>
                <w:b/>
              </w:rPr>
            </w:pPr>
            <w:r w:rsidRPr="00A76056">
              <w:rPr>
                <w:b/>
              </w:rPr>
              <w:t>Assessment Criteria</w:t>
            </w:r>
          </w:p>
        </w:tc>
        <w:tc>
          <w:tcPr>
            <w:tcW w:w="777" w:type="dxa"/>
          </w:tcPr>
          <w:p w:rsidR="00703227" w:rsidRPr="00A76056" w:rsidRDefault="00703227" w:rsidP="00D423B0">
            <w:pPr>
              <w:rPr>
                <w:b/>
              </w:rPr>
            </w:pPr>
            <w:r w:rsidRPr="00A76056">
              <w:rPr>
                <w:b/>
              </w:rPr>
              <w:t>Sign</w:t>
            </w:r>
          </w:p>
        </w:tc>
        <w:tc>
          <w:tcPr>
            <w:tcW w:w="10206" w:type="dxa"/>
          </w:tcPr>
          <w:p w:rsidR="00703227" w:rsidRPr="00A76056" w:rsidRDefault="00703227" w:rsidP="00D423B0">
            <w:pPr>
              <w:rPr>
                <w:b/>
              </w:rPr>
            </w:pPr>
            <w:r w:rsidRPr="00A76056">
              <w:rPr>
                <w:b/>
              </w:rPr>
              <w:t>Explanation</w:t>
            </w: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1. Is there sufficient member engagement to exert competitive pressure?</w:t>
            </w:r>
          </w:p>
        </w:tc>
        <w:tc>
          <w:tcPr>
            <w:tcW w:w="777" w:type="dxa"/>
          </w:tcPr>
          <w:p w:rsidR="00703227" w:rsidRPr="00A76056" w:rsidRDefault="00703227" w:rsidP="00A76056">
            <w:pPr>
              <w:jc w:val="center"/>
              <w:rPr>
                <w:sz w:val="44"/>
                <w:szCs w:val="44"/>
              </w:rPr>
            </w:pPr>
            <w:r w:rsidRPr="00A76056">
              <w:rPr>
                <w:sz w:val="44"/>
                <w:szCs w:val="44"/>
              </w:rPr>
              <w:sym w:font="Wingdings" w:char="F0FC"/>
            </w:r>
          </w:p>
        </w:tc>
        <w:tc>
          <w:tcPr>
            <w:tcW w:w="10206" w:type="dxa"/>
          </w:tcPr>
          <w:p w:rsidR="00B91219" w:rsidRDefault="00703227" w:rsidP="004732C8">
            <w:pPr>
              <w:rPr>
                <w:sz w:val="24"/>
                <w:szCs w:val="24"/>
              </w:rPr>
            </w:pPr>
            <w:r w:rsidRPr="00A76056">
              <w:rPr>
                <w:sz w:val="24"/>
                <w:szCs w:val="24"/>
              </w:rPr>
              <w:t>S</w:t>
            </w:r>
            <w:r>
              <w:rPr>
                <w:sz w:val="24"/>
                <w:szCs w:val="24"/>
              </w:rPr>
              <w:t>UPPORT</w:t>
            </w:r>
            <w:r w:rsidR="00B91219">
              <w:rPr>
                <w:sz w:val="24"/>
                <w:szCs w:val="24"/>
              </w:rPr>
              <w:t xml:space="preserve"> (delete 2 indicators, add 1</w:t>
            </w:r>
            <w:r w:rsidR="00F17F46">
              <w:rPr>
                <w:sz w:val="24"/>
                <w:szCs w:val="24"/>
              </w:rPr>
              <w:t xml:space="preserve"> Mercer suggestion</w:t>
            </w:r>
            <w:r w:rsidR="00B91219">
              <w:rPr>
                <w:sz w:val="24"/>
                <w:szCs w:val="24"/>
              </w:rPr>
              <w:t>)</w:t>
            </w:r>
            <w:r w:rsidRPr="00A76056">
              <w:rPr>
                <w:sz w:val="24"/>
                <w:szCs w:val="24"/>
              </w:rPr>
              <w:t xml:space="preserve"> </w:t>
            </w:r>
          </w:p>
          <w:p w:rsidR="00B91219" w:rsidRDefault="00B91219" w:rsidP="004732C8">
            <w:pPr>
              <w:rPr>
                <w:sz w:val="24"/>
                <w:szCs w:val="24"/>
              </w:rPr>
            </w:pPr>
          </w:p>
          <w:p w:rsidR="00703227" w:rsidRDefault="00B91219" w:rsidP="004732C8">
            <w:pPr>
              <w:rPr>
                <w:sz w:val="24"/>
                <w:szCs w:val="24"/>
              </w:rPr>
            </w:pPr>
            <w:r>
              <w:rPr>
                <w:sz w:val="24"/>
                <w:szCs w:val="24"/>
              </w:rPr>
              <w:t>Importantly, i</w:t>
            </w:r>
            <w:r w:rsidR="00703227" w:rsidRPr="00A76056">
              <w:rPr>
                <w:sz w:val="24"/>
                <w:szCs w:val="24"/>
              </w:rPr>
              <w:t>t must be recognised that member engagement varies greatly between different market segments. In addition, successful default products may lead to a reduction in observable member engagement. H</w:t>
            </w:r>
            <w:r w:rsidR="00703227">
              <w:rPr>
                <w:sz w:val="24"/>
                <w:szCs w:val="24"/>
              </w:rPr>
              <w:t xml:space="preserve">ence </w:t>
            </w:r>
            <w:r w:rsidR="003F403D">
              <w:rPr>
                <w:sz w:val="24"/>
                <w:szCs w:val="24"/>
              </w:rPr>
              <w:t xml:space="preserve">we caution </w:t>
            </w:r>
            <w:r w:rsidR="00703227" w:rsidRPr="00A76056">
              <w:rPr>
                <w:sz w:val="24"/>
                <w:szCs w:val="24"/>
              </w:rPr>
              <w:t xml:space="preserve">the Commission </w:t>
            </w:r>
            <w:r w:rsidR="003F403D">
              <w:rPr>
                <w:sz w:val="24"/>
                <w:szCs w:val="24"/>
              </w:rPr>
              <w:t xml:space="preserve">against giving </w:t>
            </w:r>
            <w:r w:rsidR="00703227">
              <w:rPr>
                <w:sz w:val="24"/>
                <w:szCs w:val="24"/>
              </w:rPr>
              <w:t>too much weight to</w:t>
            </w:r>
            <w:r w:rsidR="00703227" w:rsidRPr="00A76056">
              <w:rPr>
                <w:sz w:val="24"/>
                <w:szCs w:val="24"/>
              </w:rPr>
              <w:t xml:space="preserve"> member engagement as a driver of competition given uncontrollable factors such as age, financial literacy and general interest in personal finance.</w:t>
            </w:r>
          </w:p>
          <w:p w:rsidR="00703227" w:rsidRPr="00A76056" w:rsidRDefault="00703227" w:rsidP="004732C8">
            <w:pPr>
              <w:rPr>
                <w:b/>
                <w:sz w:val="24"/>
                <w:szCs w:val="24"/>
              </w:rPr>
            </w:pPr>
            <w:r w:rsidRPr="00A76056">
              <w:rPr>
                <w:sz w:val="24"/>
                <w:szCs w:val="24"/>
              </w:rPr>
              <w:t xml:space="preserve">  </w:t>
            </w: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2.  Are members and member intermediaries able to make informed decisions?</w:t>
            </w:r>
          </w:p>
        </w:tc>
        <w:tc>
          <w:tcPr>
            <w:tcW w:w="777" w:type="dxa"/>
          </w:tcPr>
          <w:p w:rsidR="00703227" w:rsidRDefault="00703227" w:rsidP="00A76056">
            <w:pPr>
              <w:jc w:val="center"/>
              <w:rPr>
                <w:sz w:val="52"/>
                <w:szCs w:val="52"/>
              </w:rPr>
            </w:pPr>
            <w:r w:rsidRPr="00A76056">
              <w:rPr>
                <w:sz w:val="52"/>
                <w:szCs w:val="52"/>
              </w:rPr>
              <w:sym w:font="Wingdings" w:char="F0FB"/>
            </w:r>
          </w:p>
          <w:p w:rsidR="00703227" w:rsidRPr="00A76056" w:rsidRDefault="00703227" w:rsidP="00A76056">
            <w:pPr>
              <w:jc w:val="center"/>
              <w:rPr>
                <w:sz w:val="52"/>
                <w:szCs w:val="52"/>
              </w:rPr>
            </w:pPr>
            <w:r w:rsidRPr="00A76056">
              <w:rPr>
                <w:sz w:val="44"/>
                <w:szCs w:val="44"/>
              </w:rPr>
              <w:sym w:font="Wingdings" w:char="F0FC"/>
            </w:r>
          </w:p>
        </w:tc>
        <w:tc>
          <w:tcPr>
            <w:tcW w:w="10206" w:type="dxa"/>
          </w:tcPr>
          <w:p w:rsidR="00B91219" w:rsidRDefault="00703227" w:rsidP="007776B2">
            <w:pPr>
              <w:rPr>
                <w:sz w:val="24"/>
                <w:szCs w:val="24"/>
              </w:rPr>
            </w:pPr>
            <w:r>
              <w:rPr>
                <w:sz w:val="24"/>
                <w:szCs w:val="24"/>
              </w:rPr>
              <w:t>A</w:t>
            </w:r>
            <w:r w:rsidR="0089640C">
              <w:rPr>
                <w:sz w:val="24"/>
                <w:szCs w:val="24"/>
              </w:rPr>
              <w:t>MALGAMATE</w:t>
            </w:r>
            <w:r>
              <w:rPr>
                <w:sz w:val="24"/>
                <w:szCs w:val="24"/>
              </w:rPr>
              <w:t xml:space="preserve"> INTO CRITERION </w:t>
            </w:r>
            <w:r w:rsidR="000D4B65">
              <w:rPr>
                <w:sz w:val="24"/>
                <w:szCs w:val="24"/>
              </w:rPr>
              <w:t>#</w:t>
            </w:r>
            <w:r>
              <w:rPr>
                <w:sz w:val="24"/>
                <w:szCs w:val="24"/>
              </w:rPr>
              <w:t>4</w:t>
            </w:r>
            <w:r w:rsidR="00B91219">
              <w:rPr>
                <w:sz w:val="24"/>
                <w:szCs w:val="24"/>
              </w:rPr>
              <w:t xml:space="preserve"> (delete 1 indicator, move 3)</w:t>
            </w:r>
            <w:r>
              <w:rPr>
                <w:sz w:val="24"/>
                <w:szCs w:val="24"/>
              </w:rPr>
              <w:t xml:space="preserve"> </w:t>
            </w:r>
          </w:p>
          <w:p w:rsidR="00B91219" w:rsidRDefault="00B91219" w:rsidP="007776B2">
            <w:pPr>
              <w:rPr>
                <w:sz w:val="24"/>
                <w:szCs w:val="24"/>
              </w:rPr>
            </w:pPr>
          </w:p>
          <w:p w:rsidR="00703227" w:rsidRPr="00A76056" w:rsidRDefault="00703227" w:rsidP="007776B2">
            <w:pPr>
              <w:rPr>
                <w:sz w:val="24"/>
                <w:szCs w:val="24"/>
              </w:rPr>
            </w:pPr>
            <w:r w:rsidRPr="00A76056">
              <w:rPr>
                <w:sz w:val="24"/>
                <w:szCs w:val="24"/>
              </w:rPr>
              <w:t xml:space="preserve">We believe this criterion </w:t>
            </w:r>
            <w:r>
              <w:rPr>
                <w:sz w:val="24"/>
                <w:szCs w:val="24"/>
              </w:rPr>
              <w:t xml:space="preserve">should be </w:t>
            </w:r>
            <w:r w:rsidR="003F403D">
              <w:rPr>
                <w:sz w:val="24"/>
                <w:szCs w:val="24"/>
              </w:rPr>
              <w:t xml:space="preserve">deleted and its indicators </w:t>
            </w:r>
            <w:r>
              <w:rPr>
                <w:sz w:val="24"/>
                <w:szCs w:val="24"/>
              </w:rPr>
              <w:t xml:space="preserve">assessed </w:t>
            </w:r>
            <w:r w:rsidR="000400BF">
              <w:rPr>
                <w:sz w:val="24"/>
                <w:szCs w:val="24"/>
              </w:rPr>
              <w:t>for</w:t>
            </w:r>
            <w:r>
              <w:rPr>
                <w:sz w:val="24"/>
                <w:szCs w:val="24"/>
              </w:rPr>
              <w:t xml:space="preserve"> </w:t>
            </w:r>
            <w:r w:rsidR="000400BF">
              <w:rPr>
                <w:sz w:val="24"/>
                <w:szCs w:val="24"/>
              </w:rPr>
              <w:t>c</w:t>
            </w:r>
            <w:r>
              <w:rPr>
                <w:sz w:val="24"/>
                <w:szCs w:val="24"/>
              </w:rPr>
              <w:t xml:space="preserve">riterion </w:t>
            </w:r>
            <w:r w:rsidR="003F403D">
              <w:rPr>
                <w:sz w:val="24"/>
                <w:szCs w:val="24"/>
              </w:rPr>
              <w:t>#</w:t>
            </w:r>
            <w:r>
              <w:rPr>
                <w:sz w:val="24"/>
                <w:szCs w:val="24"/>
              </w:rPr>
              <w:t>4</w:t>
            </w:r>
            <w:r w:rsidR="003F403D">
              <w:rPr>
                <w:sz w:val="24"/>
                <w:szCs w:val="24"/>
              </w:rPr>
              <w:t xml:space="preserve"> </w:t>
            </w:r>
            <w:r w:rsidR="00255BA8">
              <w:rPr>
                <w:sz w:val="24"/>
                <w:szCs w:val="24"/>
              </w:rPr>
              <w:t>(see</w:t>
            </w:r>
            <w:r w:rsidR="000400BF">
              <w:rPr>
                <w:sz w:val="24"/>
                <w:szCs w:val="24"/>
              </w:rPr>
              <w:t xml:space="preserve"> </w:t>
            </w:r>
            <w:r w:rsidR="003F403D">
              <w:rPr>
                <w:sz w:val="24"/>
                <w:szCs w:val="24"/>
              </w:rPr>
              <w:t>Attachment 3</w:t>
            </w:r>
            <w:r w:rsidR="00255BA8">
              <w:rPr>
                <w:sz w:val="24"/>
                <w:szCs w:val="24"/>
              </w:rPr>
              <w:t>)</w:t>
            </w:r>
            <w:r w:rsidR="003F403D">
              <w:rPr>
                <w:sz w:val="24"/>
                <w:szCs w:val="24"/>
              </w:rPr>
              <w:t>. This is because b</w:t>
            </w:r>
            <w:r>
              <w:rPr>
                <w:sz w:val="24"/>
                <w:szCs w:val="24"/>
              </w:rPr>
              <w:t>eing able to make informed decisions is a critical element of having sufficient countervailing power</w:t>
            </w:r>
            <w:r w:rsidR="00B91219">
              <w:rPr>
                <w:sz w:val="24"/>
                <w:szCs w:val="24"/>
              </w:rPr>
              <w:t>, which is the focus of criterion #4</w:t>
            </w:r>
            <w:r>
              <w:rPr>
                <w:sz w:val="24"/>
                <w:szCs w:val="24"/>
              </w:rPr>
              <w:t xml:space="preserve">. </w:t>
            </w:r>
          </w:p>
          <w:p w:rsidR="00703227" w:rsidRPr="00A76056" w:rsidRDefault="00703227" w:rsidP="007776B2">
            <w:pPr>
              <w:rPr>
                <w:sz w:val="24"/>
                <w:szCs w:val="24"/>
              </w:rPr>
            </w:pP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3. Is there low market segmentation along member engagement lines?</w:t>
            </w:r>
          </w:p>
        </w:tc>
        <w:tc>
          <w:tcPr>
            <w:tcW w:w="777" w:type="dxa"/>
          </w:tcPr>
          <w:p w:rsidR="00703227" w:rsidRPr="00A76056" w:rsidRDefault="00703227" w:rsidP="00A76056">
            <w:pPr>
              <w:jc w:val="center"/>
              <w:rPr>
                <w:sz w:val="24"/>
                <w:szCs w:val="24"/>
              </w:rPr>
            </w:pPr>
            <w:r w:rsidRPr="00A76056">
              <w:rPr>
                <w:sz w:val="52"/>
                <w:szCs w:val="52"/>
              </w:rPr>
              <w:sym w:font="Wingdings" w:char="F0FB"/>
            </w:r>
          </w:p>
        </w:tc>
        <w:tc>
          <w:tcPr>
            <w:tcW w:w="10206" w:type="dxa"/>
          </w:tcPr>
          <w:p w:rsidR="00B91219" w:rsidRDefault="00703227" w:rsidP="00511105">
            <w:pPr>
              <w:rPr>
                <w:sz w:val="24"/>
                <w:szCs w:val="24"/>
              </w:rPr>
            </w:pPr>
            <w:r>
              <w:rPr>
                <w:sz w:val="24"/>
                <w:szCs w:val="24"/>
              </w:rPr>
              <w:t>DELETE</w:t>
            </w:r>
            <w:r w:rsidR="00B91219">
              <w:rPr>
                <w:sz w:val="24"/>
                <w:szCs w:val="24"/>
              </w:rPr>
              <w:t xml:space="preserve"> (delete 2 indicators)</w:t>
            </w:r>
            <w:r>
              <w:rPr>
                <w:sz w:val="24"/>
                <w:szCs w:val="24"/>
              </w:rPr>
              <w:t xml:space="preserve"> </w:t>
            </w:r>
          </w:p>
          <w:p w:rsidR="00B91219" w:rsidRDefault="00B91219" w:rsidP="00511105">
            <w:pPr>
              <w:rPr>
                <w:sz w:val="24"/>
                <w:szCs w:val="24"/>
              </w:rPr>
            </w:pPr>
          </w:p>
          <w:p w:rsidR="00703227" w:rsidRPr="00A76056" w:rsidRDefault="00703227" w:rsidP="00511105">
            <w:pPr>
              <w:rPr>
                <w:sz w:val="24"/>
                <w:szCs w:val="24"/>
              </w:rPr>
            </w:pPr>
            <w:r w:rsidRPr="00A76056">
              <w:rPr>
                <w:sz w:val="24"/>
                <w:szCs w:val="24"/>
              </w:rPr>
              <w:t xml:space="preserve">We do not consider that this criterion </w:t>
            </w:r>
            <w:r w:rsidR="00255BA8">
              <w:rPr>
                <w:sz w:val="24"/>
                <w:szCs w:val="24"/>
              </w:rPr>
              <w:t xml:space="preserve">and its associated indicators </w:t>
            </w:r>
            <w:r w:rsidRPr="00A76056">
              <w:rPr>
                <w:sz w:val="24"/>
                <w:szCs w:val="24"/>
              </w:rPr>
              <w:t xml:space="preserve">will provide any insights that are not </w:t>
            </w:r>
            <w:r w:rsidR="003F403D">
              <w:rPr>
                <w:sz w:val="24"/>
                <w:szCs w:val="24"/>
              </w:rPr>
              <w:t>obtainable</w:t>
            </w:r>
            <w:r w:rsidRPr="00A76056">
              <w:rPr>
                <w:sz w:val="24"/>
                <w:szCs w:val="24"/>
              </w:rPr>
              <w:t xml:space="preserve"> from answers to other criteria. As such, we feel that it should be removed. In particular, we do not feel that the proposed ‘indicators’ address the criteria. Fund expenditure on member retention as a proportion of overall marketing expenditure is a poor </w:t>
            </w:r>
            <w:r w:rsidRPr="00A76056">
              <w:rPr>
                <w:sz w:val="24"/>
                <w:szCs w:val="24"/>
              </w:rPr>
              <w:lastRenderedPageBreak/>
              <w:t>measure of market segmentation, for example.</w:t>
            </w:r>
          </w:p>
          <w:p w:rsidR="00703227" w:rsidRPr="00A76056" w:rsidRDefault="00703227" w:rsidP="00511105">
            <w:pPr>
              <w:rPr>
                <w:sz w:val="24"/>
                <w:szCs w:val="24"/>
              </w:rPr>
            </w:pPr>
            <w:r w:rsidRPr="00A76056">
              <w:rPr>
                <w:sz w:val="24"/>
                <w:szCs w:val="24"/>
              </w:rPr>
              <w:t xml:space="preserve">  </w:t>
            </w: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lastRenderedPageBreak/>
              <w:t>4. Do active members and member intermediaries have sufficient countervailing power?</w:t>
            </w:r>
          </w:p>
          <w:p w:rsidR="00703227" w:rsidRPr="00A76056" w:rsidRDefault="00703227" w:rsidP="00A76056">
            <w:pPr>
              <w:ind w:left="284" w:hanging="284"/>
              <w:rPr>
                <w:szCs w:val="22"/>
              </w:rPr>
            </w:pPr>
          </w:p>
        </w:tc>
        <w:tc>
          <w:tcPr>
            <w:tcW w:w="777" w:type="dxa"/>
          </w:tcPr>
          <w:p w:rsidR="00703227" w:rsidRPr="00A76056" w:rsidRDefault="00703227" w:rsidP="00A76056">
            <w:pPr>
              <w:jc w:val="center"/>
              <w:rPr>
                <w:sz w:val="44"/>
                <w:szCs w:val="44"/>
              </w:rPr>
            </w:pPr>
            <w:r w:rsidRPr="00A76056">
              <w:rPr>
                <w:sz w:val="44"/>
                <w:szCs w:val="44"/>
              </w:rPr>
              <w:sym w:font="Wingdings" w:char="F0FC"/>
            </w:r>
          </w:p>
        </w:tc>
        <w:tc>
          <w:tcPr>
            <w:tcW w:w="10206" w:type="dxa"/>
          </w:tcPr>
          <w:p w:rsidR="00B91219" w:rsidRDefault="00703227" w:rsidP="000400BF">
            <w:pPr>
              <w:rPr>
                <w:sz w:val="24"/>
                <w:szCs w:val="24"/>
              </w:rPr>
            </w:pPr>
            <w:r w:rsidRPr="00A76056">
              <w:rPr>
                <w:sz w:val="24"/>
                <w:szCs w:val="24"/>
              </w:rPr>
              <w:t>S</w:t>
            </w:r>
            <w:r>
              <w:rPr>
                <w:sz w:val="24"/>
                <w:szCs w:val="24"/>
              </w:rPr>
              <w:t>UPPORT</w:t>
            </w:r>
            <w:r w:rsidR="00B645E3">
              <w:rPr>
                <w:sz w:val="24"/>
                <w:szCs w:val="24"/>
              </w:rPr>
              <w:t xml:space="preserve"> BUT AMALGAMATE WITH CRITERION #2</w:t>
            </w:r>
            <w:r w:rsidR="005372A0">
              <w:rPr>
                <w:sz w:val="24"/>
                <w:szCs w:val="24"/>
              </w:rPr>
              <w:t xml:space="preserve"> </w:t>
            </w:r>
            <w:r w:rsidR="0049778A">
              <w:rPr>
                <w:sz w:val="24"/>
                <w:szCs w:val="24"/>
              </w:rPr>
              <w:t xml:space="preserve"> </w:t>
            </w:r>
            <w:r w:rsidR="00B91219">
              <w:rPr>
                <w:sz w:val="24"/>
                <w:szCs w:val="24"/>
              </w:rPr>
              <w:t>(delete 1 indicator, add 3 from criterion #2)</w:t>
            </w:r>
          </w:p>
          <w:p w:rsidR="00B91219" w:rsidRDefault="00B91219" w:rsidP="000400BF">
            <w:pPr>
              <w:rPr>
                <w:sz w:val="24"/>
                <w:szCs w:val="24"/>
              </w:rPr>
            </w:pPr>
          </w:p>
          <w:p w:rsidR="00703227" w:rsidRDefault="00B91219" w:rsidP="00B91219">
            <w:pPr>
              <w:rPr>
                <w:sz w:val="24"/>
                <w:szCs w:val="24"/>
              </w:rPr>
            </w:pPr>
            <w:r>
              <w:rPr>
                <w:sz w:val="24"/>
                <w:szCs w:val="24"/>
              </w:rPr>
              <w:t>We consider t</w:t>
            </w:r>
            <w:r w:rsidR="00703227" w:rsidRPr="00A76056">
              <w:rPr>
                <w:sz w:val="24"/>
                <w:szCs w:val="24"/>
              </w:rPr>
              <w:t>he term ‘countervailing power’ unhelpful</w:t>
            </w:r>
            <w:r>
              <w:rPr>
                <w:sz w:val="24"/>
                <w:szCs w:val="24"/>
              </w:rPr>
              <w:t xml:space="preserve"> and recommend the Commission adopt another label in its place</w:t>
            </w:r>
            <w:r w:rsidR="00703227" w:rsidRPr="00A76056">
              <w:rPr>
                <w:sz w:val="24"/>
                <w:szCs w:val="24"/>
              </w:rPr>
              <w:t xml:space="preserve">. </w:t>
            </w:r>
            <w:r>
              <w:rPr>
                <w:sz w:val="24"/>
                <w:szCs w:val="24"/>
              </w:rPr>
              <w:t>We support this criterion but, i</w:t>
            </w:r>
            <w:r w:rsidR="00703227">
              <w:rPr>
                <w:sz w:val="24"/>
                <w:szCs w:val="24"/>
              </w:rPr>
              <w:t>n</w:t>
            </w:r>
            <w:r w:rsidR="00703227" w:rsidRPr="00A76056">
              <w:rPr>
                <w:sz w:val="24"/>
                <w:szCs w:val="24"/>
              </w:rPr>
              <w:t xml:space="preserve"> the interests of efficiency, </w:t>
            </w:r>
            <w:r w:rsidR="003F403D">
              <w:rPr>
                <w:sz w:val="24"/>
                <w:szCs w:val="24"/>
              </w:rPr>
              <w:t xml:space="preserve">we </w:t>
            </w:r>
            <w:r w:rsidR="00255BA8">
              <w:rPr>
                <w:sz w:val="24"/>
                <w:szCs w:val="24"/>
              </w:rPr>
              <w:t xml:space="preserve">suggest </w:t>
            </w:r>
            <w:r w:rsidR="00703227">
              <w:rPr>
                <w:sz w:val="24"/>
                <w:szCs w:val="24"/>
              </w:rPr>
              <w:t xml:space="preserve">consideration </w:t>
            </w:r>
            <w:r w:rsidR="004D7966">
              <w:rPr>
                <w:sz w:val="24"/>
                <w:szCs w:val="24"/>
              </w:rPr>
              <w:t>be</w:t>
            </w:r>
            <w:r w:rsidR="00703227">
              <w:rPr>
                <w:sz w:val="24"/>
                <w:szCs w:val="24"/>
              </w:rPr>
              <w:t xml:space="preserve"> given to </w:t>
            </w:r>
            <w:r>
              <w:rPr>
                <w:sz w:val="24"/>
                <w:szCs w:val="24"/>
              </w:rPr>
              <w:t xml:space="preserve">amalgamating </w:t>
            </w:r>
            <w:r w:rsidR="00703227" w:rsidRPr="00A76056">
              <w:rPr>
                <w:sz w:val="24"/>
                <w:szCs w:val="24"/>
              </w:rPr>
              <w:t xml:space="preserve">this criterion </w:t>
            </w:r>
            <w:r>
              <w:rPr>
                <w:sz w:val="24"/>
                <w:szCs w:val="24"/>
              </w:rPr>
              <w:t xml:space="preserve">and its indicators </w:t>
            </w:r>
            <w:r w:rsidR="00703227" w:rsidRPr="00A76056">
              <w:rPr>
                <w:sz w:val="24"/>
                <w:szCs w:val="24"/>
              </w:rPr>
              <w:t xml:space="preserve">with </w:t>
            </w:r>
            <w:r w:rsidR="0049778A">
              <w:rPr>
                <w:sz w:val="24"/>
                <w:szCs w:val="24"/>
              </w:rPr>
              <w:br/>
            </w:r>
            <w:r w:rsidR="000400BF">
              <w:rPr>
                <w:sz w:val="24"/>
                <w:szCs w:val="24"/>
              </w:rPr>
              <w:t>c</w:t>
            </w:r>
            <w:r w:rsidR="00703227" w:rsidRPr="00A76056">
              <w:rPr>
                <w:sz w:val="24"/>
                <w:szCs w:val="24"/>
              </w:rPr>
              <w:t xml:space="preserve">riterion </w:t>
            </w:r>
            <w:r w:rsidR="0049778A">
              <w:rPr>
                <w:sz w:val="24"/>
                <w:szCs w:val="24"/>
              </w:rPr>
              <w:t>#</w:t>
            </w:r>
            <w:r w:rsidR="00703227" w:rsidRPr="00A76056">
              <w:rPr>
                <w:sz w:val="24"/>
                <w:szCs w:val="24"/>
              </w:rPr>
              <w:t>1.</w:t>
            </w:r>
          </w:p>
          <w:p w:rsidR="00B91219" w:rsidRPr="00A76056" w:rsidRDefault="00B91219" w:rsidP="00B91219">
            <w:pPr>
              <w:rPr>
                <w:sz w:val="24"/>
                <w:szCs w:val="24"/>
              </w:rPr>
            </w:pP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5. Are principal–agent problems being minimised?</w:t>
            </w:r>
          </w:p>
        </w:tc>
        <w:tc>
          <w:tcPr>
            <w:tcW w:w="777" w:type="dxa"/>
          </w:tcPr>
          <w:p w:rsidR="00703227" w:rsidRDefault="00703227" w:rsidP="00A76056">
            <w:pPr>
              <w:jc w:val="center"/>
              <w:rPr>
                <w:sz w:val="52"/>
                <w:szCs w:val="52"/>
              </w:rPr>
            </w:pPr>
            <w:r w:rsidRPr="00A76056">
              <w:rPr>
                <w:sz w:val="52"/>
                <w:szCs w:val="52"/>
              </w:rPr>
              <w:sym w:font="Wingdings" w:char="F0FB"/>
            </w:r>
          </w:p>
          <w:p w:rsidR="00703227" w:rsidRPr="00A76056" w:rsidRDefault="00703227" w:rsidP="00A76056">
            <w:pPr>
              <w:jc w:val="center"/>
              <w:rPr>
                <w:sz w:val="24"/>
                <w:szCs w:val="24"/>
              </w:rPr>
            </w:pPr>
            <w:r w:rsidRPr="00A76056">
              <w:rPr>
                <w:sz w:val="44"/>
                <w:szCs w:val="44"/>
              </w:rPr>
              <w:sym w:font="Wingdings" w:char="F0FC"/>
            </w:r>
          </w:p>
        </w:tc>
        <w:tc>
          <w:tcPr>
            <w:tcW w:w="10206" w:type="dxa"/>
          </w:tcPr>
          <w:p w:rsidR="00B91219" w:rsidRDefault="00703227" w:rsidP="004B6F39">
            <w:pPr>
              <w:rPr>
                <w:sz w:val="24"/>
                <w:szCs w:val="24"/>
              </w:rPr>
            </w:pPr>
            <w:r>
              <w:rPr>
                <w:sz w:val="24"/>
                <w:szCs w:val="24"/>
              </w:rPr>
              <w:t>DELET</w:t>
            </w:r>
            <w:r w:rsidR="003B55E4">
              <w:rPr>
                <w:sz w:val="24"/>
                <w:szCs w:val="24"/>
              </w:rPr>
              <w:t>E</w:t>
            </w:r>
            <w:r w:rsidR="004B6F39">
              <w:rPr>
                <w:sz w:val="24"/>
                <w:szCs w:val="24"/>
              </w:rPr>
              <w:t>/ REFINE</w:t>
            </w:r>
            <w:r>
              <w:rPr>
                <w:sz w:val="24"/>
                <w:szCs w:val="24"/>
              </w:rPr>
              <w:t xml:space="preserve"> </w:t>
            </w:r>
            <w:r w:rsidR="005372A0">
              <w:rPr>
                <w:sz w:val="24"/>
                <w:szCs w:val="24"/>
              </w:rPr>
              <w:t>(delete 5 indicators)</w:t>
            </w:r>
          </w:p>
          <w:p w:rsidR="00B91219" w:rsidRDefault="00B91219" w:rsidP="004B6F39">
            <w:pPr>
              <w:rPr>
                <w:sz w:val="24"/>
                <w:szCs w:val="24"/>
              </w:rPr>
            </w:pPr>
          </w:p>
          <w:p w:rsidR="00703227" w:rsidRPr="00A76056" w:rsidRDefault="00703227" w:rsidP="005372A0">
            <w:pPr>
              <w:rPr>
                <w:sz w:val="24"/>
                <w:szCs w:val="24"/>
              </w:rPr>
            </w:pPr>
            <w:r w:rsidRPr="00A76056">
              <w:rPr>
                <w:sz w:val="24"/>
                <w:szCs w:val="24"/>
              </w:rPr>
              <w:t xml:space="preserve">This is an important issue but is not necessarily related to competition. It is also unclear which particular problems are being addressed as there are many principal-agent relationships within the industry. We do not consider this criterion instructive on its own in determining whether the superannuation system meets the competition objective as described. We therefore recommend that this criterion </w:t>
            </w:r>
            <w:r w:rsidR="005372A0">
              <w:rPr>
                <w:sz w:val="24"/>
                <w:szCs w:val="24"/>
              </w:rPr>
              <w:t xml:space="preserve">and its indicators </w:t>
            </w:r>
            <w:r w:rsidRPr="00A76056">
              <w:rPr>
                <w:sz w:val="24"/>
                <w:szCs w:val="24"/>
              </w:rPr>
              <w:t>be removed</w:t>
            </w:r>
            <w:r w:rsidR="005372A0">
              <w:rPr>
                <w:sz w:val="24"/>
                <w:szCs w:val="24"/>
              </w:rPr>
              <w:t xml:space="preserve"> Alternatively, the Commission may wish to be more explicit about the specific relationships of concern in a revised criterion and indicators</w:t>
            </w:r>
            <w:r w:rsidRPr="00A76056">
              <w:rPr>
                <w:sz w:val="24"/>
                <w:szCs w:val="24"/>
              </w:rPr>
              <w:t xml:space="preserve"> </w:t>
            </w:r>
            <w:r w:rsidR="000D4B65">
              <w:rPr>
                <w:sz w:val="24"/>
                <w:szCs w:val="24"/>
              </w:rPr>
              <w:br/>
            </w: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6. Is there rivalry among incumbent providers?</w:t>
            </w:r>
          </w:p>
        </w:tc>
        <w:tc>
          <w:tcPr>
            <w:tcW w:w="777" w:type="dxa"/>
          </w:tcPr>
          <w:p w:rsidR="00703227" w:rsidRPr="00A76056" w:rsidRDefault="00703227" w:rsidP="00A76056">
            <w:pPr>
              <w:jc w:val="center"/>
              <w:rPr>
                <w:sz w:val="44"/>
                <w:szCs w:val="44"/>
              </w:rPr>
            </w:pPr>
            <w:r w:rsidRPr="00A76056">
              <w:rPr>
                <w:sz w:val="44"/>
                <w:szCs w:val="44"/>
              </w:rPr>
              <w:sym w:font="Wingdings" w:char="F0FC"/>
            </w:r>
          </w:p>
        </w:tc>
        <w:tc>
          <w:tcPr>
            <w:tcW w:w="10206" w:type="dxa"/>
          </w:tcPr>
          <w:p w:rsidR="005372A0" w:rsidRDefault="00255BA8" w:rsidP="00D423B0">
            <w:pPr>
              <w:rPr>
                <w:sz w:val="24"/>
                <w:szCs w:val="24"/>
              </w:rPr>
            </w:pPr>
            <w:r>
              <w:rPr>
                <w:sz w:val="24"/>
                <w:szCs w:val="24"/>
              </w:rPr>
              <w:t xml:space="preserve">REFINE AND </w:t>
            </w:r>
            <w:r w:rsidR="00BF42D1">
              <w:rPr>
                <w:sz w:val="24"/>
                <w:szCs w:val="24"/>
              </w:rPr>
              <w:t>EXPAND INDICATORS</w:t>
            </w:r>
            <w:r w:rsidR="00703227">
              <w:rPr>
                <w:sz w:val="24"/>
                <w:szCs w:val="24"/>
              </w:rPr>
              <w:t>:</w:t>
            </w:r>
            <w:r w:rsidR="00703227" w:rsidRPr="00A76056">
              <w:rPr>
                <w:sz w:val="24"/>
                <w:szCs w:val="24"/>
              </w:rPr>
              <w:t xml:space="preserve"> </w:t>
            </w:r>
            <w:r w:rsidR="005372A0">
              <w:rPr>
                <w:sz w:val="24"/>
                <w:szCs w:val="24"/>
              </w:rPr>
              <w:t xml:space="preserve"> (delete 1 indicator, add 1 from criterion #12 and add 2 Mercer suggestions)</w:t>
            </w:r>
          </w:p>
          <w:p w:rsidR="005372A0" w:rsidRDefault="005372A0" w:rsidP="00D423B0">
            <w:pPr>
              <w:rPr>
                <w:sz w:val="24"/>
                <w:szCs w:val="24"/>
              </w:rPr>
            </w:pPr>
          </w:p>
          <w:p w:rsidR="00703227" w:rsidRPr="00A76056" w:rsidRDefault="00703227" w:rsidP="00AC3371">
            <w:pPr>
              <w:rPr>
                <w:sz w:val="24"/>
                <w:szCs w:val="24"/>
              </w:rPr>
            </w:pPr>
            <w:r w:rsidRPr="00A76056">
              <w:rPr>
                <w:sz w:val="24"/>
                <w:szCs w:val="24"/>
              </w:rPr>
              <w:t xml:space="preserve">As mentioned </w:t>
            </w:r>
            <w:r w:rsidR="005372A0">
              <w:rPr>
                <w:sz w:val="24"/>
                <w:szCs w:val="24"/>
              </w:rPr>
              <w:t>in our comments on the system-level objectives</w:t>
            </w:r>
            <w:r w:rsidRPr="00A76056">
              <w:rPr>
                <w:sz w:val="24"/>
                <w:szCs w:val="24"/>
              </w:rPr>
              <w:t>, we suggest that rivalry is an emotive and unhelpful term and suggest it be replaced by contestability.</w:t>
            </w:r>
            <w:r w:rsidR="00255BA8">
              <w:rPr>
                <w:sz w:val="24"/>
                <w:szCs w:val="24"/>
              </w:rPr>
              <w:t xml:space="preserve"> We also suggest that indicators for criterion #12 be assessed under this criterion and criterion #12 be deleted. Innovation is an important indicator of rivalry and competition. </w:t>
            </w: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lastRenderedPageBreak/>
              <w:t>7. Is the market contestable?</w:t>
            </w:r>
          </w:p>
        </w:tc>
        <w:tc>
          <w:tcPr>
            <w:tcW w:w="777" w:type="dxa"/>
          </w:tcPr>
          <w:p w:rsidR="00703227" w:rsidRPr="00A76056" w:rsidRDefault="00703227" w:rsidP="00A76056">
            <w:pPr>
              <w:jc w:val="center"/>
              <w:rPr>
                <w:sz w:val="24"/>
                <w:szCs w:val="24"/>
              </w:rPr>
            </w:pPr>
            <w:r w:rsidRPr="00A76056">
              <w:rPr>
                <w:sz w:val="44"/>
                <w:szCs w:val="44"/>
              </w:rPr>
              <w:sym w:font="Wingdings" w:char="F0FC"/>
            </w:r>
          </w:p>
        </w:tc>
        <w:tc>
          <w:tcPr>
            <w:tcW w:w="10206" w:type="dxa"/>
          </w:tcPr>
          <w:p w:rsidR="005372A0" w:rsidRDefault="00703227" w:rsidP="008D2D50">
            <w:pPr>
              <w:rPr>
                <w:sz w:val="24"/>
                <w:szCs w:val="24"/>
              </w:rPr>
            </w:pPr>
            <w:r w:rsidRPr="00A76056">
              <w:rPr>
                <w:sz w:val="24"/>
                <w:szCs w:val="24"/>
              </w:rPr>
              <w:t>S</w:t>
            </w:r>
            <w:r>
              <w:rPr>
                <w:sz w:val="24"/>
                <w:szCs w:val="24"/>
              </w:rPr>
              <w:t>UPPORT</w:t>
            </w:r>
            <w:r w:rsidR="005372A0">
              <w:rPr>
                <w:sz w:val="24"/>
                <w:szCs w:val="24"/>
              </w:rPr>
              <w:t xml:space="preserve"> (delete 1 indicator)</w:t>
            </w:r>
            <w:r>
              <w:rPr>
                <w:sz w:val="24"/>
                <w:szCs w:val="24"/>
              </w:rPr>
              <w:t xml:space="preserve"> </w:t>
            </w:r>
          </w:p>
          <w:p w:rsidR="005372A0" w:rsidRDefault="005372A0" w:rsidP="008D2D50">
            <w:pPr>
              <w:rPr>
                <w:sz w:val="24"/>
                <w:szCs w:val="24"/>
              </w:rPr>
            </w:pPr>
          </w:p>
          <w:p w:rsidR="00703227" w:rsidRPr="00A76056" w:rsidRDefault="005372A0" w:rsidP="008D2D50">
            <w:pPr>
              <w:rPr>
                <w:sz w:val="24"/>
                <w:szCs w:val="24"/>
              </w:rPr>
            </w:pPr>
            <w:r>
              <w:rPr>
                <w:sz w:val="24"/>
                <w:szCs w:val="24"/>
              </w:rPr>
              <w:t>I</w:t>
            </w:r>
            <w:r w:rsidR="00703227" w:rsidRPr="00A76056">
              <w:rPr>
                <w:sz w:val="24"/>
                <w:szCs w:val="24"/>
              </w:rPr>
              <w:t>t must be recognised there are many sub-markets within the super industry.</w:t>
            </w:r>
          </w:p>
          <w:p w:rsidR="00703227" w:rsidRPr="00A76056" w:rsidRDefault="00703227" w:rsidP="00D423B0">
            <w:pPr>
              <w:rPr>
                <w:sz w:val="24"/>
                <w:szCs w:val="24"/>
              </w:rPr>
            </w:pP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8. Are there material anticompetitive effects of vertical and horizontal integration?</w:t>
            </w:r>
            <w:r w:rsidR="0089640C">
              <w:rPr>
                <w:szCs w:val="22"/>
              </w:rPr>
              <w:br/>
            </w:r>
          </w:p>
        </w:tc>
        <w:tc>
          <w:tcPr>
            <w:tcW w:w="777" w:type="dxa"/>
          </w:tcPr>
          <w:p w:rsidR="00703227" w:rsidRPr="00A76056" w:rsidRDefault="00703227" w:rsidP="00A76056">
            <w:pPr>
              <w:jc w:val="center"/>
              <w:rPr>
                <w:sz w:val="24"/>
                <w:szCs w:val="24"/>
              </w:rPr>
            </w:pPr>
            <w:r w:rsidRPr="00A76056">
              <w:rPr>
                <w:sz w:val="44"/>
                <w:szCs w:val="44"/>
              </w:rPr>
              <w:sym w:font="Wingdings" w:char="F0FC"/>
            </w:r>
          </w:p>
        </w:tc>
        <w:tc>
          <w:tcPr>
            <w:tcW w:w="10206" w:type="dxa"/>
          </w:tcPr>
          <w:p w:rsidR="005372A0" w:rsidRDefault="00703227" w:rsidP="005372A0">
            <w:pPr>
              <w:rPr>
                <w:sz w:val="24"/>
                <w:szCs w:val="24"/>
              </w:rPr>
            </w:pPr>
            <w:r w:rsidRPr="00A76056">
              <w:rPr>
                <w:sz w:val="24"/>
                <w:szCs w:val="24"/>
              </w:rPr>
              <w:t>S</w:t>
            </w:r>
            <w:r>
              <w:rPr>
                <w:sz w:val="24"/>
                <w:szCs w:val="24"/>
              </w:rPr>
              <w:t xml:space="preserve">UPPORT </w:t>
            </w:r>
            <w:r w:rsidR="005372A0">
              <w:rPr>
                <w:sz w:val="24"/>
                <w:szCs w:val="24"/>
              </w:rPr>
              <w:t>(delete 1 indicator)</w:t>
            </w:r>
          </w:p>
          <w:p w:rsidR="005372A0" w:rsidRDefault="005372A0" w:rsidP="005372A0">
            <w:pPr>
              <w:rPr>
                <w:sz w:val="24"/>
                <w:szCs w:val="24"/>
              </w:rPr>
            </w:pPr>
          </w:p>
          <w:p w:rsidR="00703227" w:rsidRDefault="005372A0" w:rsidP="005372A0">
            <w:pPr>
              <w:rPr>
                <w:sz w:val="24"/>
                <w:szCs w:val="24"/>
              </w:rPr>
            </w:pPr>
            <w:r>
              <w:rPr>
                <w:sz w:val="24"/>
                <w:szCs w:val="24"/>
              </w:rPr>
              <w:t>I</w:t>
            </w:r>
            <w:r w:rsidR="00703227" w:rsidRPr="00A76056">
              <w:rPr>
                <w:sz w:val="24"/>
                <w:szCs w:val="24"/>
              </w:rPr>
              <w:t xml:space="preserve">t is critical that the Commission take into account the different vertical and horizontal integration models utilised across market segments to appreciate the extent and impact of integration across the entire superannuation system.  </w:t>
            </w:r>
          </w:p>
          <w:p w:rsidR="005372A0" w:rsidRPr="00A76056" w:rsidRDefault="005372A0" w:rsidP="005372A0">
            <w:pPr>
              <w:rPr>
                <w:sz w:val="24"/>
                <w:szCs w:val="24"/>
              </w:rPr>
            </w:pP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9. Do funds compete on costs?</w:t>
            </w:r>
          </w:p>
        </w:tc>
        <w:tc>
          <w:tcPr>
            <w:tcW w:w="777" w:type="dxa"/>
          </w:tcPr>
          <w:p w:rsidR="00703227" w:rsidRPr="00A76056" w:rsidRDefault="00703227" w:rsidP="00A76056">
            <w:pPr>
              <w:jc w:val="center"/>
              <w:rPr>
                <w:sz w:val="24"/>
                <w:szCs w:val="24"/>
              </w:rPr>
            </w:pPr>
            <w:r w:rsidRPr="00A76056">
              <w:rPr>
                <w:sz w:val="44"/>
                <w:szCs w:val="44"/>
              </w:rPr>
              <w:sym w:font="Wingdings" w:char="F0FC"/>
            </w:r>
          </w:p>
        </w:tc>
        <w:tc>
          <w:tcPr>
            <w:tcW w:w="10206" w:type="dxa"/>
          </w:tcPr>
          <w:p w:rsidR="005372A0" w:rsidRDefault="00703227" w:rsidP="0032327A">
            <w:pPr>
              <w:rPr>
                <w:sz w:val="24"/>
                <w:szCs w:val="24"/>
              </w:rPr>
            </w:pPr>
            <w:r w:rsidRPr="00A76056">
              <w:rPr>
                <w:sz w:val="24"/>
                <w:szCs w:val="24"/>
              </w:rPr>
              <w:t>S</w:t>
            </w:r>
            <w:r>
              <w:rPr>
                <w:sz w:val="24"/>
                <w:szCs w:val="24"/>
              </w:rPr>
              <w:t>UPPORT</w:t>
            </w:r>
            <w:r w:rsidR="00B645E3">
              <w:rPr>
                <w:sz w:val="24"/>
                <w:szCs w:val="24"/>
              </w:rPr>
              <w:t>BUT AMALGAMATE WITH CRITERION #11</w:t>
            </w:r>
            <w:r w:rsidRPr="00A76056">
              <w:rPr>
                <w:sz w:val="24"/>
                <w:szCs w:val="24"/>
              </w:rPr>
              <w:t xml:space="preserve"> </w:t>
            </w:r>
            <w:r w:rsidR="005372A0">
              <w:rPr>
                <w:sz w:val="24"/>
                <w:szCs w:val="24"/>
              </w:rPr>
              <w:t xml:space="preserve">(delete 1 indicator, add </w:t>
            </w:r>
            <w:r w:rsidR="00D84459">
              <w:rPr>
                <w:sz w:val="24"/>
                <w:szCs w:val="24"/>
              </w:rPr>
              <w:t>3</w:t>
            </w:r>
            <w:r w:rsidR="005372A0">
              <w:rPr>
                <w:sz w:val="24"/>
                <w:szCs w:val="24"/>
              </w:rPr>
              <w:t xml:space="preserve"> from criteria #11 and #12, add 2 Mercer suggestions)</w:t>
            </w:r>
          </w:p>
          <w:p w:rsidR="005372A0" w:rsidRDefault="005372A0" w:rsidP="0032327A">
            <w:pPr>
              <w:rPr>
                <w:sz w:val="24"/>
                <w:szCs w:val="24"/>
              </w:rPr>
            </w:pPr>
          </w:p>
          <w:p w:rsidR="005372A0" w:rsidRDefault="00703227" w:rsidP="0032327A">
            <w:pPr>
              <w:rPr>
                <w:sz w:val="24"/>
                <w:szCs w:val="24"/>
              </w:rPr>
            </w:pPr>
            <w:r>
              <w:rPr>
                <w:sz w:val="24"/>
                <w:szCs w:val="24"/>
              </w:rPr>
              <w:t>W</w:t>
            </w:r>
            <w:r w:rsidRPr="00A76056">
              <w:rPr>
                <w:sz w:val="24"/>
                <w:szCs w:val="24"/>
              </w:rPr>
              <w:t xml:space="preserve">e consider this criterion and criterion </w:t>
            </w:r>
            <w:r w:rsidR="000D4B65">
              <w:rPr>
                <w:sz w:val="24"/>
                <w:szCs w:val="24"/>
              </w:rPr>
              <w:t>#</w:t>
            </w:r>
            <w:r w:rsidRPr="00A76056">
              <w:rPr>
                <w:sz w:val="24"/>
                <w:szCs w:val="24"/>
              </w:rPr>
              <w:t xml:space="preserve">11 should be </w:t>
            </w:r>
            <w:r w:rsidR="00FD7F2F">
              <w:rPr>
                <w:sz w:val="24"/>
                <w:szCs w:val="24"/>
              </w:rPr>
              <w:t>amalgamated</w:t>
            </w:r>
            <w:r w:rsidRPr="00A76056">
              <w:rPr>
                <w:sz w:val="24"/>
                <w:szCs w:val="24"/>
              </w:rPr>
              <w:t xml:space="preserve"> into one criterion entitled: ‘Do funds compete on costs and relevant non-price dimensions?</w:t>
            </w:r>
            <w:r w:rsidR="00FD7F2F">
              <w:rPr>
                <w:sz w:val="24"/>
                <w:szCs w:val="24"/>
              </w:rPr>
              <w:t xml:space="preserve"> This criterion would use most indicators </w:t>
            </w:r>
            <w:r w:rsidR="00255BA8">
              <w:rPr>
                <w:sz w:val="24"/>
                <w:szCs w:val="24"/>
              </w:rPr>
              <w:t>from criteri</w:t>
            </w:r>
            <w:r w:rsidR="004B6F39">
              <w:rPr>
                <w:sz w:val="24"/>
                <w:szCs w:val="24"/>
              </w:rPr>
              <w:t xml:space="preserve">a #9 and </w:t>
            </w:r>
            <w:r w:rsidR="00255BA8">
              <w:rPr>
                <w:sz w:val="24"/>
                <w:szCs w:val="24"/>
              </w:rPr>
              <w:t>#11</w:t>
            </w:r>
            <w:r w:rsidR="004B6F39">
              <w:rPr>
                <w:sz w:val="24"/>
                <w:szCs w:val="24"/>
              </w:rPr>
              <w:t>,</w:t>
            </w:r>
            <w:r w:rsidR="00FD7F2F">
              <w:rPr>
                <w:sz w:val="24"/>
                <w:szCs w:val="24"/>
              </w:rPr>
              <w:t xml:space="preserve"> an indicator concerning the introduction of new products </w:t>
            </w:r>
            <w:r w:rsidR="00B0643C">
              <w:rPr>
                <w:sz w:val="24"/>
                <w:szCs w:val="24"/>
              </w:rPr>
              <w:t>from criterion #12</w:t>
            </w:r>
            <w:r w:rsidR="00FD7F2F">
              <w:rPr>
                <w:sz w:val="24"/>
                <w:szCs w:val="24"/>
              </w:rPr>
              <w:t xml:space="preserve"> and some further indicators that we suggest</w:t>
            </w:r>
            <w:r w:rsidR="00255BA8">
              <w:rPr>
                <w:sz w:val="24"/>
                <w:szCs w:val="24"/>
              </w:rPr>
              <w:t xml:space="preserve"> </w:t>
            </w:r>
            <w:r w:rsidRPr="00A76056">
              <w:rPr>
                <w:sz w:val="24"/>
                <w:szCs w:val="24"/>
              </w:rPr>
              <w:t>(see Attachment 3 for more details).</w:t>
            </w:r>
          </w:p>
          <w:p w:rsidR="005372A0" w:rsidRDefault="005372A0" w:rsidP="0032327A">
            <w:pPr>
              <w:rPr>
                <w:sz w:val="24"/>
                <w:szCs w:val="24"/>
              </w:rPr>
            </w:pPr>
          </w:p>
          <w:p w:rsidR="00703227" w:rsidRPr="00A76056" w:rsidRDefault="00B0643C" w:rsidP="0032327A">
            <w:pPr>
              <w:rPr>
                <w:sz w:val="24"/>
                <w:szCs w:val="24"/>
              </w:rPr>
            </w:pPr>
            <w:r>
              <w:rPr>
                <w:sz w:val="24"/>
                <w:szCs w:val="24"/>
              </w:rPr>
              <w:t>We submit c</w:t>
            </w:r>
            <w:r w:rsidR="00703227">
              <w:rPr>
                <w:sz w:val="24"/>
                <w:szCs w:val="24"/>
              </w:rPr>
              <w:t xml:space="preserve">osts cannot be assessed independently of the services provided so comparisons must </w:t>
            </w:r>
            <w:r w:rsidR="000D4B65">
              <w:rPr>
                <w:sz w:val="24"/>
                <w:szCs w:val="24"/>
              </w:rPr>
              <w:t xml:space="preserve">strictly </w:t>
            </w:r>
            <w:r w:rsidR="00703227">
              <w:rPr>
                <w:sz w:val="24"/>
                <w:szCs w:val="24"/>
              </w:rPr>
              <w:t>be on a like for like basis</w:t>
            </w:r>
            <w:r w:rsidR="004D7966">
              <w:rPr>
                <w:sz w:val="24"/>
                <w:szCs w:val="24"/>
              </w:rPr>
              <w:t xml:space="preserve"> to be valid</w:t>
            </w:r>
            <w:r w:rsidR="00703227">
              <w:rPr>
                <w:sz w:val="24"/>
                <w:szCs w:val="24"/>
              </w:rPr>
              <w:t>.  The focus need</w:t>
            </w:r>
            <w:r w:rsidR="000D4B65">
              <w:rPr>
                <w:sz w:val="24"/>
                <w:szCs w:val="24"/>
              </w:rPr>
              <w:t>s</w:t>
            </w:r>
            <w:r w:rsidR="00703227">
              <w:rPr>
                <w:sz w:val="24"/>
                <w:szCs w:val="24"/>
              </w:rPr>
              <w:t xml:space="preserve"> to be on whether the price of the services/benefits offered represents a competitive value proposition.  </w:t>
            </w:r>
            <w:r w:rsidR="00703227" w:rsidRPr="00A76056">
              <w:rPr>
                <w:sz w:val="24"/>
                <w:szCs w:val="24"/>
              </w:rPr>
              <w:t xml:space="preserve">. </w:t>
            </w:r>
          </w:p>
          <w:p w:rsidR="00703227" w:rsidRPr="00A76056" w:rsidRDefault="00703227" w:rsidP="0032327A">
            <w:pPr>
              <w:rPr>
                <w:sz w:val="24"/>
                <w:szCs w:val="24"/>
              </w:rPr>
            </w:pPr>
            <w:r w:rsidRPr="00A76056">
              <w:rPr>
                <w:sz w:val="24"/>
                <w:szCs w:val="24"/>
              </w:rPr>
              <w:t xml:space="preserve"> </w:t>
            </w:r>
          </w:p>
        </w:tc>
      </w:tr>
      <w:tr w:rsidR="00703227" w:rsidTr="00AC3371">
        <w:trPr>
          <w:jc w:val="center"/>
        </w:trPr>
        <w:tc>
          <w:tcPr>
            <w:tcW w:w="3159" w:type="dxa"/>
          </w:tcPr>
          <w:p w:rsidR="00703227" w:rsidRPr="00A76056" w:rsidRDefault="00703227" w:rsidP="00A76056">
            <w:pPr>
              <w:ind w:left="426" w:hanging="426"/>
              <w:rPr>
                <w:szCs w:val="22"/>
              </w:rPr>
            </w:pPr>
            <w:r w:rsidRPr="00A76056">
              <w:rPr>
                <w:szCs w:val="22"/>
              </w:rPr>
              <w:t>10. Are economies of scale utilised and the benefits passed through to members?</w:t>
            </w:r>
            <w:r w:rsidR="0089640C">
              <w:rPr>
                <w:szCs w:val="22"/>
              </w:rPr>
              <w:br/>
            </w:r>
          </w:p>
        </w:tc>
        <w:tc>
          <w:tcPr>
            <w:tcW w:w="777" w:type="dxa"/>
          </w:tcPr>
          <w:p w:rsidR="00703227" w:rsidRPr="00A76056" w:rsidRDefault="00703227" w:rsidP="00A76056">
            <w:pPr>
              <w:jc w:val="center"/>
              <w:rPr>
                <w:sz w:val="24"/>
                <w:szCs w:val="24"/>
              </w:rPr>
            </w:pPr>
            <w:r w:rsidRPr="00A76056">
              <w:rPr>
                <w:sz w:val="44"/>
                <w:szCs w:val="44"/>
              </w:rPr>
              <w:sym w:font="Wingdings" w:char="F0FC"/>
            </w:r>
          </w:p>
        </w:tc>
        <w:tc>
          <w:tcPr>
            <w:tcW w:w="10206" w:type="dxa"/>
          </w:tcPr>
          <w:p w:rsidR="00703227" w:rsidRPr="00A76056" w:rsidRDefault="00703227" w:rsidP="00D423B0">
            <w:pPr>
              <w:rPr>
                <w:sz w:val="24"/>
                <w:szCs w:val="24"/>
              </w:rPr>
            </w:pPr>
            <w:r w:rsidRPr="00A76056">
              <w:rPr>
                <w:sz w:val="24"/>
                <w:szCs w:val="24"/>
              </w:rPr>
              <w:t>S</w:t>
            </w:r>
            <w:r>
              <w:rPr>
                <w:sz w:val="24"/>
                <w:szCs w:val="24"/>
              </w:rPr>
              <w:t>UPPORT</w:t>
            </w:r>
            <w:r w:rsidR="005372A0">
              <w:rPr>
                <w:sz w:val="24"/>
                <w:szCs w:val="24"/>
              </w:rPr>
              <w:t xml:space="preserve"> (delete 3 indicators)</w:t>
            </w:r>
          </w:p>
        </w:tc>
      </w:tr>
      <w:tr w:rsidR="00703227" w:rsidTr="00AC3371">
        <w:trPr>
          <w:jc w:val="center"/>
        </w:trPr>
        <w:tc>
          <w:tcPr>
            <w:tcW w:w="3159" w:type="dxa"/>
          </w:tcPr>
          <w:p w:rsidR="00703227" w:rsidRPr="00A76056" w:rsidRDefault="00703227" w:rsidP="00A76056">
            <w:pPr>
              <w:ind w:left="426" w:hanging="426"/>
              <w:rPr>
                <w:szCs w:val="22"/>
              </w:rPr>
            </w:pPr>
            <w:r w:rsidRPr="00A76056">
              <w:rPr>
                <w:szCs w:val="22"/>
              </w:rPr>
              <w:lastRenderedPageBreak/>
              <w:t>11. Do funds compete on relevant non-price dimensions?</w:t>
            </w:r>
          </w:p>
        </w:tc>
        <w:tc>
          <w:tcPr>
            <w:tcW w:w="777" w:type="dxa"/>
          </w:tcPr>
          <w:p w:rsidR="00703227" w:rsidRDefault="00703227" w:rsidP="00A76056">
            <w:pPr>
              <w:jc w:val="center"/>
              <w:rPr>
                <w:sz w:val="52"/>
                <w:szCs w:val="52"/>
              </w:rPr>
            </w:pPr>
            <w:r w:rsidRPr="00A76056">
              <w:rPr>
                <w:sz w:val="52"/>
                <w:szCs w:val="52"/>
              </w:rPr>
              <w:sym w:font="Wingdings" w:char="F0FB"/>
            </w:r>
          </w:p>
          <w:p w:rsidR="00703227" w:rsidRPr="00A76056" w:rsidRDefault="00703227" w:rsidP="00A76056">
            <w:pPr>
              <w:jc w:val="center"/>
              <w:rPr>
                <w:sz w:val="24"/>
                <w:szCs w:val="24"/>
              </w:rPr>
            </w:pPr>
            <w:r w:rsidRPr="00A76056">
              <w:rPr>
                <w:sz w:val="44"/>
                <w:szCs w:val="44"/>
              </w:rPr>
              <w:sym w:font="Wingdings" w:char="F0FC"/>
            </w:r>
          </w:p>
        </w:tc>
        <w:tc>
          <w:tcPr>
            <w:tcW w:w="10206" w:type="dxa"/>
          </w:tcPr>
          <w:p w:rsidR="00B645E3" w:rsidRDefault="00703227" w:rsidP="00FD7F2F">
            <w:pPr>
              <w:rPr>
                <w:sz w:val="24"/>
                <w:szCs w:val="24"/>
              </w:rPr>
            </w:pPr>
            <w:r w:rsidRPr="00A76056">
              <w:rPr>
                <w:sz w:val="24"/>
                <w:szCs w:val="24"/>
              </w:rPr>
              <w:t>S</w:t>
            </w:r>
            <w:r>
              <w:rPr>
                <w:sz w:val="24"/>
                <w:szCs w:val="24"/>
              </w:rPr>
              <w:t>UPPORT BUT AMALGAMATE</w:t>
            </w:r>
            <w:r w:rsidR="004B6F39">
              <w:rPr>
                <w:sz w:val="24"/>
                <w:szCs w:val="24"/>
              </w:rPr>
              <w:t xml:space="preserve"> </w:t>
            </w:r>
            <w:r w:rsidR="00FD7F2F">
              <w:rPr>
                <w:sz w:val="24"/>
                <w:szCs w:val="24"/>
              </w:rPr>
              <w:t>WIT</w:t>
            </w:r>
            <w:r w:rsidR="004B6F39">
              <w:rPr>
                <w:sz w:val="24"/>
                <w:szCs w:val="24"/>
              </w:rPr>
              <w:t>H CRITERION #</w:t>
            </w:r>
            <w:r w:rsidR="00FD7F2F">
              <w:rPr>
                <w:sz w:val="24"/>
                <w:szCs w:val="24"/>
              </w:rPr>
              <w:t>9</w:t>
            </w:r>
            <w:r w:rsidR="005372A0">
              <w:rPr>
                <w:sz w:val="24"/>
                <w:szCs w:val="24"/>
              </w:rPr>
              <w:t xml:space="preserve"> (delete </w:t>
            </w:r>
            <w:r w:rsidR="00D84459">
              <w:rPr>
                <w:sz w:val="24"/>
                <w:szCs w:val="24"/>
              </w:rPr>
              <w:t>3</w:t>
            </w:r>
            <w:r w:rsidR="005372A0">
              <w:rPr>
                <w:sz w:val="24"/>
                <w:szCs w:val="24"/>
              </w:rPr>
              <w:t xml:space="preserve"> indicators, move </w:t>
            </w:r>
            <w:r w:rsidR="00D84459">
              <w:rPr>
                <w:sz w:val="24"/>
                <w:szCs w:val="24"/>
              </w:rPr>
              <w:t>2</w:t>
            </w:r>
            <w:r w:rsidR="005372A0">
              <w:rPr>
                <w:sz w:val="24"/>
                <w:szCs w:val="24"/>
              </w:rPr>
              <w:t>)</w:t>
            </w:r>
          </w:p>
          <w:p w:rsidR="00B645E3" w:rsidRDefault="00B645E3" w:rsidP="00FD7F2F">
            <w:pPr>
              <w:rPr>
                <w:sz w:val="24"/>
                <w:szCs w:val="24"/>
              </w:rPr>
            </w:pPr>
          </w:p>
          <w:p w:rsidR="00206F78" w:rsidRDefault="00703227" w:rsidP="00184D6C">
            <w:pPr>
              <w:rPr>
                <w:sz w:val="24"/>
                <w:szCs w:val="24"/>
              </w:rPr>
            </w:pPr>
            <w:r w:rsidRPr="00A76056">
              <w:rPr>
                <w:sz w:val="24"/>
                <w:szCs w:val="24"/>
              </w:rPr>
              <w:t>Competition in most industries has a range of features and characteristics. Therefore we recommend that criteri</w:t>
            </w:r>
            <w:r w:rsidR="00FD7F2F">
              <w:rPr>
                <w:sz w:val="24"/>
                <w:szCs w:val="24"/>
              </w:rPr>
              <w:t>on</w:t>
            </w:r>
            <w:r w:rsidRPr="00A76056">
              <w:rPr>
                <w:sz w:val="24"/>
                <w:szCs w:val="24"/>
              </w:rPr>
              <w:t xml:space="preserve"> </w:t>
            </w:r>
            <w:r w:rsidR="000D4B65">
              <w:rPr>
                <w:sz w:val="24"/>
                <w:szCs w:val="24"/>
              </w:rPr>
              <w:t>#</w:t>
            </w:r>
            <w:r w:rsidRPr="00A76056">
              <w:rPr>
                <w:sz w:val="24"/>
                <w:szCs w:val="24"/>
              </w:rPr>
              <w:t xml:space="preserve">11 </w:t>
            </w:r>
            <w:r w:rsidR="00FD7F2F">
              <w:rPr>
                <w:sz w:val="24"/>
                <w:szCs w:val="24"/>
              </w:rPr>
              <w:t xml:space="preserve">should </w:t>
            </w:r>
            <w:r w:rsidRPr="00A76056">
              <w:rPr>
                <w:sz w:val="24"/>
                <w:szCs w:val="24"/>
              </w:rPr>
              <w:t xml:space="preserve">be </w:t>
            </w:r>
            <w:r w:rsidR="000D4B65">
              <w:rPr>
                <w:sz w:val="24"/>
                <w:szCs w:val="24"/>
              </w:rPr>
              <w:t>amalgamated</w:t>
            </w:r>
            <w:r w:rsidR="00FD7F2F">
              <w:rPr>
                <w:sz w:val="24"/>
                <w:szCs w:val="24"/>
              </w:rPr>
              <w:t xml:space="preserve"> with criterion #9. This will ensure </w:t>
            </w:r>
            <w:r w:rsidRPr="00A76056">
              <w:rPr>
                <w:sz w:val="24"/>
                <w:szCs w:val="24"/>
              </w:rPr>
              <w:t xml:space="preserve">a more holistic assessment is made rather than concentrating on costs </w:t>
            </w:r>
            <w:r>
              <w:rPr>
                <w:sz w:val="24"/>
                <w:szCs w:val="24"/>
              </w:rPr>
              <w:t>and</w:t>
            </w:r>
            <w:r w:rsidRPr="00A76056">
              <w:rPr>
                <w:sz w:val="24"/>
                <w:szCs w:val="24"/>
              </w:rPr>
              <w:t xml:space="preserve"> non-price dimensions </w:t>
            </w:r>
            <w:r>
              <w:rPr>
                <w:sz w:val="24"/>
                <w:szCs w:val="24"/>
              </w:rPr>
              <w:t>separately</w:t>
            </w:r>
            <w:r w:rsidRPr="00A76056">
              <w:rPr>
                <w:sz w:val="24"/>
                <w:szCs w:val="24"/>
              </w:rPr>
              <w:t>.</w:t>
            </w:r>
            <w:r>
              <w:rPr>
                <w:sz w:val="24"/>
                <w:szCs w:val="24"/>
              </w:rPr>
              <w:t xml:space="preserve"> </w:t>
            </w:r>
            <w:r w:rsidR="00B0643C">
              <w:rPr>
                <w:sz w:val="24"/>
                <w:szCs w:val="24"/>
              </w:rPr>
              <w:t>A</w:t>
            </w:r>
            <w:r w:rsidR="00FD7F2F">
              <w:rPr>
                <w:sz w:val="24"/>
                <w:szCs w:val="24"/>
              </w:rPr>
              <w:t xml:space="preserve">s mentioned in respect of </w:t>
            </w:r>
            <w:r w:rsidR="00B0643C">
              <w:rPr>
                <w:sz w:val="24"/>
                <w:szCs w:val="24"/>
              </w:rPr>
              <w:t>criterion #9, w</w:t>
            </w:r>
            <w:r w:rsidR="000D4B65">
              <w:rPr>
                <w:sz w:val="24"/>
                <w:szCs w:val="24"/>
              </w:rPr>
              <w:t>e consider</w:t>
            </w:r>
            <w:r w:rsidR="00FD7F2F">
              <w:rPr>
                <w:sz w:val="24"/>
                <w:szCs w:val="24"/>
              </w:rPr>
              <w:t xml:space="preserve"> that an </w:t>
            </w:r>
            <w:r>
              <w:rPr>
                <w:sz w:val="24"/>
                <w:szCs w:val="24"/>
              </w:rPr>
              <w:t xml:space="preserve">indicator for criterion </w:t>
            </w:r>
            <w:r w:rsidR="000D4B65">
              <w:rPr>
                <w:sz w:val="24"/>
                <w:szCs w:val="24"/>
              </w:rPr>
              <w:t>#</w:t>
            </w:r>
            <w:r>
              <w:rPr>
                <w:sz w:val="24"/>
                <w:szCs w:val="24"/>
              </w:rPr>
              <w:t>12</w:t>
            </w:r>
            <w:r w:rsidR="00FD7F2F">
              <w:rPr>
                <w:sz w:val="24"/>
                <w:szCs w:val="24"/>
              </w:rPr>
              <w:t xml:space="preserve"> is </w:t>
            </w:r>
            <w:r>
              <w:rPr>
                <w:sz w:val="24"/>
                <w:szCs w:val="24"/>
              </w:rPr>
              <w:t xml:space="preserve">also relevant </w:t>
            </w:r>
            <w:r w:rsidR="000D4B65">
              <w:rPr>
                <w:sz w:val="24"/>
                <w:szCs w:val="24"/>
              </w:rPr>
              <w:t xml:space="preserve">to an assessment of </w:t>
            </w:r>
            <w:r w:rsidR="00B0643C">
              <w:rPr>
                <w:sz w:val="24"/>
                <w:szCs w:val="24"/>
              </w:rPr>
              <w:t>criterion</w:t>
            </w:r>
            <w:r w:rsidR="00FD7F2F">
              <w:rPr>
                <w:sz w:val="24"/>
                <w:szCs w:val="24"/>
              </w:rPr>
              <w:t xml:space="preserve"> #11</w:t>
            </w:r>
            <w:r w:rsidR="00B645E3">
              <w:rPr>
                <w:sz w:val="24"/>
                <w:szCs w:val="24"/>
              </w:rPr>
              <w:t xml:space="preserve"> and most indicators for criterion #9 and #11 should be retained</w:t>
            </w:r>
            <w:r w:rsidR="00B0643C">
              <w:rPr>
                <w:sz w:val="24"/>
                <w:szCs w:val="24"/>
              </w:rPr>
              <w:t xml:space="preserve"> (see Attachment 3</w:t>
            </w:r>
            <w:r w:rsidR="00FD7F2F">
              <w:rPr>
                <w:sz w:val="24"/>
                <w:szCs w:val="24"/>
              </w:rPr>
              <w:t xml:space="preserve"> for more information</w:t>
            </w:r>
            <w:r w:rsidR="00B0643C">
              <w:rPr>
                <w:sz w:val="24"/>
                <w:szCs w:val="24"/>
              </w:rPr>
              <w:t xml:space="preserve">). </w:t>
            </w:r>
          </w:p>
          <w:p w:rsidR="00703227" w:rsidRPr="00A76056" w:rsidRDefault="00703227" w:rsidP="00184D6C">
            <w:pPr>
              <w:rPr>
                <w:sz w:val="24"/>
                <w:szCs w:val="24"/>
              </w:rPr>
            </w:pPr>
          </w:p>
        </w:tc>
      </w:tr>
      <w:tr w:rsidR="00703227" w:rsidTr="00AC3371">
        <w:trPr>
          <w:jc w:val="center"/>
        </w:trPr>
        <w:tc>
          <w:tcPr>
            <w:tcW w:w="3159" w:type="dxa"/>
          </w:tcPr>
          <w:p w:rsidR="00703227" w:rsidRPr="00A76056" w:rsidRDefault="00703227" w:rsidP="00A76056">
            <w:pPr>
              <w:ind w:left="426" w:hanging="426"/>
              <w:rPr>
                <w:szCs w:val="22"/>
              </w:rPr>
            </w:pPr>
            <w:r w:rsidRPr="00A76056">
              <w:rPr>
                <w:szCs w:val="22"/>
              </w:rPr>
              <w:t>12. Is there innovation and quality improvement in the system?</w:t>
            </w:r>
          </w:p>
        </w:tc>
        <w:tc>
          <w:tcPr>
            <w:tcW w:w="777" w:type="dxa"/>
          </w:tcPr>
          <w:p w:rsidR="00703227" w:rsidRDefault="00703227" w:rsidP="00A76056">
            <w:pPr>
              <w:jc w:val="center"/>
              <w:rPr>
                <w:sz w:val="44"/>
                <w:szCs w:val="44"/>
              </w:rPr>
            </w:pPr>
            <w:r w:rsidRPr="00A76056">
              <w:rPr>
                <w:sz w:val="44"/>
                <w:szCs w:val="44"/>
              </w:rPr>
              <w:sym w:font="Wingdings" w:char="F0FC"/>
            </w:r>
          </w:p>
          <w:p w:rsidR="00703227" w:rsidRDefault="00703227" w:rsidP="005E480B">
            <w:pPr>
              <w:jc w:val="center"/>
              <w:rPr>
                <w:sz w:val="52"/>
                <w:szCs w:val="52"/>
              </w:rPr>
            </w:pPr>
            <w:r w:rsidRPr="00A76056">
              <w:rPr>
                <w:sz w:val="52"/>
                <w:szCs w:val="52"/>
              </w:rPr>
              <w:sym w:font="Wingdings" w:char="F0FB"/>
            </w:r>
          </w:p>
          <w:p w:rsidR="00703227" w:rsidRPr="00A76056" w:rsidRDefault="00703227" w:rsidP="00A76056">
            <w:pPr>
              <w:jc w:val="center"/>
              <w:rPr>
                <w:sz w:val="24"/>
                <w:szCs w:val="24"/>
              </w:rPr>
            </w:pPr>
          </w:p>
        </w:tc>
        <w:tc>
          <w:tcPr>
            <w:tcW w:w="10206" w:type="dxa"/>
          </w:tcPr>
          <w:p w:rsidR="00B645E3" w:rsidRDefault="00C33129" w:rsidP="000F235C">
            <w:pPr>
              <w:rPr>
                <w:sz w:val="24"/>
                <w:szCs w:val="24"/>
              </w:rPr>
            </w:pPr>
            <w:r>
              <w:rPr>
                <w:sz w:val="24"/>
                <w:szCs w:val="24"/>
              </w:rPr>
              <w:t xml:space="preserve">DELETE </w:t>
            </w:r>
            <w:r w:rsidR="00B645E3">
              <w:rPr>
                <w:sz w:val="24"/>
                <w:szCs w:val="24"/>
              </w:rPr>
              <w:t>(delete 1 indicator, move 1)</w:t>
            </w:r>
          </w:p>
          <w:p w:rsidR="00B645E3" w:rsidRDefault="00B645E3" w:rsidP="000F235C">
            <w:pPr>
              <w:rPr>
                <w:sz w:val="24"/>
                <w:szCs w:val="24"/>
              </w:rPr>
            </w:pPr>
          </w:p>
          <w:p w:rsidR="00206F78" w:rsidRDefault="00703227" w:rsidP="00184D6C">
            <w:pPr>
              <w:rPr>
                <w:sz w:val="24"/>
                <w:szCs w:val="24"/>
              </w:rPr>
            </w:pPr>
            <w:r>
              <w:rPr>
                <w:sz w:val="24"/>
                <w:szCs w:val="24"/>
              </w:rPr>
              <w:t>We agree</w:t>
            </w:r>
            <w:r w:rsidRPr="00A76056">
              <w:rPr>
                <w:sz w:val="24"/>
                <w:szCs w:val="24"/>
              </w:rPr>
              <w:t xml:space="preserve"> that innovation and quality improvement </w:t>
            </w:r>
            <w:r>
              <w:rPr>
                <w:sz w:val="24"/>
                <w:szCs w:val="24"/>
              </w:rPr>
              <w:t xml:space="preserve">are important </w:t>
            </w:r>
            <w:r w:rsidR="003B55E4">
              <w:rPr>
                <w:sz w:val="24"/>
                <w:szCs w:val="24"/>
              </w:rPr>
              <w:t>considerations when assessing the competitiveness of the superannuation system. However, we consider their i</w:t>
            </w:r>
            <w:r w:rsidR="00B645E3">
              <w:rPr>
                <w:sz w:val="24"/>
                <w:szCs w:val="24"/>
              </w:rPr>
              <w:t xml:space="preserve">nfluence </w:t>
            </w:r>
            <w:r>
              <w:rPr>
                <w:sz w:val="24"/>
                <w:szCs w:val="24"/>
              </w:rPr>
              <w:t xml:space="preserve">would best be assessed </w:t>
            </w:r>
            <w:r w:rsidR="003B55E4">
              <w:rPr>
                <w:sz w:val="24"/>
                <w:szCs w:val="24"/>
              </w:rPr>
              <w:t>as part of the assessment for</w:t>
            </w:r>
            <w:r>
              <w:rPr>
                <w:sz w:val="24"/>
                <w:szCs w:val="24"/>
              </w:rPr>
              <w:t xml:space="preserve"> criteri</w:t>
            </w:r>
            <w:r w:rsidR="000F235C">
              <w:rPr>
                <w:sz w:val="24"/>
                <w:szCs w:val="24"/>
              </w:rPr>
              <w:t>a #6,</w:t>
            </w:r>
            <w:r w:rsidR="003B55E4">
              <w:rPr>
                <w:sz w:val="24"/>
                <w:szCs w:val="24"/>
              </w:rPr>
              <w:t xml:space="preserve"> #</w:t>
            </w:r>
            <w:r w:rsidR="000F235C">
              <w:rPr>
                <w:sz w:val="24"/>
                <w:szCs w:val="24"/>
              </w:rPr>
              <w:t xml:space="preserve">9 (as amended) and #13. </w:t>
            </w:r>
          </w:p>
          <w:p w:rsidR="004D7966" w:rsidRPr="00A76056" w:rsidRDefault="004D7966" w:rsidP="00184D6C">
            <w:pPr>
              <w:rPr>
                <w:sz w:val="24"/>
                <w:szCs w:val="24"/>
              </w:rPr>
            </w:pPr>
          </w:p>
        </w:tc>
      </w:tr>
      <w:tr w:rsidR="00703227" w:rsidTr="00AC3371">
        <w:trPr>
          <w:jc w:val="center"/>
        </w:trPr>
        <w:tc>
          <w:tcPr>
            <w:tcW w:w="3159" w:type="dxa"/>
          </w:tcPr>
          <w:p w:rsidR="00703227" w:rsidRPr="00A76056" w:rsidRDefault="00703227" w:rsidP="00A76056">
            <w:pPr>
              <w:ind w:left="284" w:hanging="284"/>
              <w:rPr>
                <w:szCs w:val="22"/>
              </w:rPr>
            </w:pPr>
            <w:r w:rsidRPr="00A76056">
              <w:rPr>
                <w:szCs w:val="22"/>
              </w:rPr>
              <w:t>13. Are outcomes improving at the system level?</w:t>
            </w:r>
          </w:p>
        </w:tc>
        <w:tc>
          <w:tcPr>
            <w:tcW w:w="777" w:type="dxa"/>
          </w:tcPr>
          <w:p w:rsidR="00703227" w:rsidRDefault="00703227" w:rsidP="003D44DE">
            <w:pPr>
              <w:jc w:val="center"/>
              <w:rPr>
                <w:sz w:val="44"/>
                <w:szCs w:val="44"/>
              </w:rPr>
            </w:pPr>
            <w:r w:rsidRPr="00A76056">
              <w:rPr>
                <w:sz w:val="44"/>
                <w:szCs w:val="44"/>
              </w:rPr>
              <w:sym w:font="Wingdings" w:char="F0FC"/>
            </w:r>
          </w:p>
          <w:p w:rsidR="00703227" w:rsidRPr="00A76056" w:rsidRDefault="00703227" w:rsidP="00A76056">
            <w:pPr>
              <w:jc w:val="center"/>
              <w:rPr>
                <w:sz w:val="24"/>
                <w:szCs w:val="24"/>
              </w:rPr>
            </w:pPr>
          </w:p>
        </w:tc>
        <w:tc>
          <w:tcPr>
            <w:tcW w:w="10206" w:type="dxa"/>
          </w:tcPr>
          <w:p w:rsidR="00B645E3" w:rsidRDefault="00703227" w:rsidP="00CD5E85">
            <w:pPr>
              <w:rPr>
                <w:sz w:val="24"/>
                <w:szCs w:val="24"/>
              </w:rPr>
            </w:pPr>
            <w:r>
              <w:rPr>
                <w:sz w:val="24"/>
                <w:szCs w:val="24"/>
              </w:rPr>
              <w:t xml:space="preserve">QUALIFIED </w:t>
            </w:r>
            <w:r w:rsidRPr="00A76056">
              <w:rPr>
                <w:sz w:val="24"/>
                <w:szCs w:val="24"/>
              </w:rPr>
              <w:t>S</w:t>
            </w:r>
            <w:r>
              <w:rPr>
                <w:sz w:val="24"/>
                <w:szCs w:val="24"/>
              </w:rPr>
              <w:t xml:space="preserve">UPPORT </w:t>
            </w:r>
            <w:r w:rsidR="00B645E3">
              <w:rPr>
                <w:sz w:val="24"/>
                <w:szCs w:val="24"/>
              </w:rPr>
              <w:t>(delete 1 indicator, add 1 from criterion #11, add 2 Mercer suggestions)</w:t>
            </w:r>
          </w:p>
          <w:p w:rsidR="00B645E3" w:rsidRDefault="00B645E3" w:rsidP="00CD5E85">
            <w:pPr>
              <w:rPr>
                <w:sz w:val="24"/>
                <w:szCs w:val="24"/>
              </w:rPr>
            </w:pPr>
          </w:p>
          <w:p w:rsidR="00703227" w:rsidRPr="00A76056" w:rsidRDefault="00703227" w:rsidP="00D423B0">
            <w:pPr>
              <w:rPr>
                <w:sz w:val="24"/>
                <w:szCs w:val="24"/>
              </w:rPr>
            </w:pPr>
            <w:r>
              <w:rPr>
                <w:sz w:val="24"/>
                <w:szCs w:val="24"/>
              </w:rPr>
              <w:t xml:space="preserve">We agree this is an important </w:t>
            </w:r>
            <w:r w:rsidR="000F235C">
              <w:rPr>
                <w:sz w:val="24"/>
                <w:szCs w:val="24"/>
              </w:rPr>
              <w:t>criterion to assess</w:t>
            </w:r>
            <w:r>
              <w:rPr>
                <w:sz w:val="24"/>
                <w:szCs w:val="24"/>
              </w:rPr>
              <w:t xml:space="preserve"> but we are concerned that the proposed indicators are unsatisfactory</w:t>
            </w:r>
            <w:r w:rsidR="00C33129">
              <w:rPr>
                <w:sz w:val="24"/>
                <w:szCs w:val="24"/>
              </w:rPr>
              <w:t xml:space="preserve">. We suggest improvements in Attachment 3, which include </w:t>
            </w:r>
            <w:r w:rsidR="00B645E3">
              <w:rPr>
                <w:sz w:val="24"/>
                <w:szCs w:val="24"/>
              </w:rPr>
              <w:t xml:space="preserve">two further indicators and </w:t>
            </w:r>
            <w:r w:rsidR="00C33129">
              <w:rPr>
                <w:sz w:val="24"/>
                <w:szCs w:val="24"/>
              </w:rPr>
              <w:t>assess</w:t>
            </w:r>
            <w:r w:rsidR="00B645E3">
              <w:rPr>
                <w:sz w:val="24"/>
                <w:szCs w:val="24"/>
              </w:rPr>
              <w:t xml:space="preserve">ment of </w:t>
            </w:r>
            <w:r w:rsidR="00C33129">
              <w:rPr>
                <w:sz w:val="24"/>
                <w:szCs w:val="24"/>
              </w:rPr>
              <w:t xml:space="preserve">the introduction of new retirement income products which is an indicator for </w:t>
            </w:r>
            <w:r w:rsidR="00FD7F2F">
              <w:rPr>
                <w:sz w:val="24"/>
                <w:szCs w:val="24"/>
              </w:rPr>
              <w:t xml:space="preserve">current </w:t>
            </w:r>
            <w:r w:rsidR="00C33129">
              <w:rPr>
                <w:sz w:val="24"/>
                <w:szCs w:val="24"/>
              </w:rPr>
              <w:t xml:space="preserve">criterion #11. </w:t>
            </w:r>
            <w:r w:rsidRPr="00A76056">
              <w:rPr>
                <w:sz w:val="24"/>
                <w:szCs w:val="24"/>
              </w:rPr>
              <w:t xml:space="preserve"> </w:t>
            </w:r>
          </w:p>
        </w:tc>
      </w:tr>
      <w:tr w:rsidR="00703227" w:rsidRPr="00674A1C" w:rsidTr="00AC3371">
        <w:trPr>
          <w:jc w:val="center"/>
        </w:trPr>
        <w:tc>
          <w:tcPr>
            <w:tcW w:w="14142" w:type="dxa"/>
            <w:gridSpan w:val="3"/>
            <w:shd w:val="clear" w:color="auto" w:fill="F2F2F2"/>
          </w:tcPr>
          <w:p w:rsidR="00703227" w:rsidRDefault="00703227" w:rsidP="00137D38"/>
          <w:p w:rsidR="00703227" w:rsidRPr="00AC3371" w:rsidRDefault="00703227" w:rsidP="00137D38">
            <w:pPr>
              <w:rPr>
                <w:sz w:val="24"/>
                <w:szCs w:val="24"/>
              </w:rPr>
            </w:pPr>
            <w:r w:rsidRPr="00AC3371">
              <w:rPr>
                <w:b/>
                <w:sz w:val="24"/>
                <w:szCs w:val="24"/>
              </w:rPr>
              <w:t>Objective</w:t>
            </w:r>
            <w:r w:rsidRPr="00AC3371">
              <w:rPr>
                <w:sz w:val="24"/>
                <w:szCs w:val="24"/>
              </w:rPr>
              <w:t xml:space="preserve"> The superannuation system optimises net returns on member contributions and balances over the long term </w:t>
            </w:r>
          </w:p>
          <w:p w:rsidR="00703227" w:rsidRPr="00A76056" w:rsidRDefault="00703227" w:rsidP="00137D38">
            <w:pPr>
              <w:rPr>
                <w:szCs w:val="22"/>
              </w:rPr>
            </w:pPr>
          </w:p>
        </w:tc>
      </w:tr>
    </w:tbl>
    <w:p w:rsidR="00AC3371" w:rsidRDefault="00AC3371">
      <w:r>
        <w:br w:type="page"/>
      </w:r>
    </w:p>
    <w:tbl>
      <w:tblPr>
        <w:tblW w:w="14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59"/>
        <w:gridCol w:w="777"/>
        <w:gridCol w:w="10206"/>
      </w:tblGrid>
      <w:tr w:rsidR="00703227" w:rsidRPr="00137D38" w:rsidTr="00AC3371">
        <w:trPr>
          <w:jc w:val="center"/>
        </w:trPr>
        <w:tc>
          <w:tcPr>
            <w:tcW w:w="3159" w:type="dxa"/>
          </w:tcPr>
          <w:p w:rsidR="00703227" w:rsidRPr="00A76056" w:rsidRDefault="00703227" w:rsidP="00D423B0">
            <w:pPr>
              <w:rPr>
                <w:b/>
              </w:rPr>
            </w:pPr>
            <w:r w:rsidRPr="00A76056">
              <w:rPr>
                <w:b/>
              </w:rPr>
              <w:lastRenderedPageBreak/>
              <w:t>Proposed Assessment Criteria</w:t>
            </w:r>
          </w:p>
        </w:tc>
        <w:tc>
          <w:tcPr>
            <w:tcW w:w="777" w:type="dxa"/>
          </w:tcPr>
          <w:p w:rsidR="00703227" w:rsidRPr="00A76056" w:rsidRDefault="00703227" w:rsidP="00D423B0">
            <w:pPr>
              <w:rPr>
                <w:b/>
              </w:rPr>
            </w:pPr>
            <w:r w:rsidRPr="00A76056">
              <w:rPr>
                <w:b/>
              </w:rPr>
              <w:t>Sign</w:t>
            </w:r>
          </w:p>
        </w:tc>
        <w:tc>
          <w:tcPr>
            <w:tcW w:w="10206" w:type="dxa"/>
          </w:tcPr>
          <w:p w:rsidR="00703227" w:rsidRPr="00A76056" w:rsidRDefault="00703227" w:rsidP="00D423B0">
            <w:pPr>
              <w:rPr>
                <w:b/>
              </w:rPr>
            </w:pPr>
            <w:r w:rsidRPr="00A76056">
              <w:rPr>
                <w:b/>
              </w:rPr>
              <w:t>Mercer comment</w:t>
            </w:r>
          </w:p>
        </w:tc>
      </w:tr>
      <w:tr w:rsidR="00703227" w:rsidTr="00AC3371">
        <w:trPr>
          <w:jc w:val="center"/>
        </w:trPr>
        <w:tc>
          <w:tcPr>
            <w:tcW w:w="3159" w:type="dxa"/>
          </w:tcPr>
          <w:p w:rsidR="00703227" w:rsidRPr="00A76056" w:rsidRDefault="00703227" w:rsidP="00A76056">
            <w:pPr>
              <w:ind w:left="426" w:hanging="426"/>
              <w:rPr>
                <w:szCs w:val="22"/>
              </w:rPr>
            </w:pPr>
            <w:r w:rsidRPr="00A76056">
              <w:rPr>
                <w:szCs w:val="22"/>
              </w:rPr>
              <w:t>14.  Are net investment returns being maximised over the long term, taking account of service features provided to members?</w:t>
            </w:r>
            <w:r w:rsidR="0089640C">
              <w:rPr>
                <w:szCs w:val="22"/>
              </w:rPr>
              <w:br/>
            </w:r>
          </w:p>
        </w:tc>
        <w:tc>
          <w:tcPr>
            <w:tcW w:w="777" w:type="dxa"/>
          </w:tcPr>
          <w:p w:rsidR="00703227" w:rsidRPr="00A76056" w:rsidRDefault="00703227" w:rsidP="00A76056">
            <w:pPr>
              <w:jc w:val="center"/>
              <w:rPr>
                <w:b/>
                <w:sz w:val="24"/>
                <w:szCs w:val="24"/>
              </w:rPr>
            </w:pPr>
            <w:r w:rsidRPr="00A76056">
              <w:rPr>
                <w:sz w:val="44"/>
                <w:szCs w:val="44"/>
              </w:rPr>
              <w:sym w:font="Wingdings" w:char="F0FC"/>
            </w:r>
          </w:p>
        </w:tc>
        <w:tc>
          <w:tcPr>
            <w:tcW w:w="10206" w:type="dxa"/>
          </w:tcPr>
          <w:p w:rsidR="00703227" w:rsidRPr="00A76056" w:rsidRDefault="00703227" w:rsidP="00B645E3">
            <w:pPr>
              <w:rPr>
                <w:b/>
                <w:sz w:val="24"/>
                <w:szCs w:val="24"/>
              </w:rPr>
            </w:pPr>
            <w:r w:rsidRPr="00A76056">
              <w:rPr>
                <w:sz w:val="24"/>
                <w:szCs w:val="24"/>
              </w:rPr>
              <w:t>S</w:t>
            </w:r>
            <w:r>
              <w:rPr>
                <w:sz w:val="24"/>
                <w:szCs w:val="24"/>
              </w:rPr>
              <w:t>UPPORT/REFINE:</w:t>
            </w:r>
            <w:r w:rsidR="00B645E3">
              <w:rPr>
                <w:sz w:val="24"/>
                <w:szCs w:val="24"/>
              </w:rPr>
              <w:t xml:space="preserve"> (delete 1 indicator)</w:t>
            </w:r>
            <w:r>
              <w:rPr>
                <w:sz w:val="24"/>
                <w:szCs w:val="24"/>
              </w:rPr>
              <w:t xml:space="preserve"> </w:t>
            </w:r>
            <w:r w:rsidR="00B645E3">
              <w:rPr>
                <w:sz w:val="24"/>
                <w:szCs w:val="24"/>
              </w:rPr>
              <w:br/>
            </w:r>
            <w:r w:rsidR="00B645E3">
              <w:rPr>
                <w:sz w:val="24"/>
                <w:szCs w:val="24"/>
              </w:rPr>
              <w:br/>
            </w:r>
            <w:r w:rsidR="000F235C">
              <w:rPr>
                <w:sz w:val="24"/>
                <w:szCs w:val="24"/>
              </w:rPr>
              <w:t>We consider t</w:t>
            </w:r>
            <w:r>
              <w:rPr>
                <w:sz w:val="24"/>
                <w:szCs w:val="24"/>
              </w:rPr>
              <w:t xml:space="preserve">he word ‘maximised’ </w:t>
            </w:r>
            <w:r w:rsidR="000F235C">
              <w:rPr>
                <w:sz w:val="24"/>
                <w:szCs w:val="24"/>
              </w:rPr>
              <w:t xml:space="preserve">in this criterion </w:t>
            </w:r>
            <w:r>
              <w:rPr>
                <w:sz w:val="24"/>
                <w:szCs w:val="24"/>
              </w:rPr>
              <w:t xml:space="preserve">should be replaced with ‘optimised’, for the same reasons </w:t>
            </w:r>
            <w:r w:rsidR="000F235C">
              <w:rPr>
                <w:sz w:val="24"/>
                <w:szCs w:val="24"/>
              </w:rPr>
              <w:t xml:space="preserve">that we </w:t>
            </w:r>
            <w:r w:rsidR="00B645E3">
              <w:rPr>
                <w:sz w:val="24"/>
                <w:szCs w:val="24"/>
              </w:rPr>
              <w:t xml:space="preserve">seek revision of the word ‘maximised’ in the </w:t>
            </w:r>
            <w:r w:rsidR="000F235C">
              <w:rPr>
                <w:sz w:val="24"/>
                <w:szCs w:val="24"/>
              </w:rPr>
              <w:t xml:space="preserve">proposed system-level objectives </w:t>
            </w:r>
            <w:r w:rsidR="004D7966">
              <w:rPr>
                <w:sz w:val="24"/>
                <w:szCs w:val="24"/>
              </w:rPr>
              <w:t xml:space="preserve"> (</w:t>
            </w:r>
            <w:r w:rsidR="000F235C">
              <w:rPr>
                <w:sz w:val="24"/>
                <w:szCs w:val="24"/>
              </w:rPr>
              <w:t>see</w:t>
            </w:r>
            <w:r w:rsidR="004D7966">
              <w:rPr>
                <w:sz w:val="24"/>
                <w:szCs w:val="24"/>
              </w:rPr>
              <w:t xml:space="preserve"> Attachment 1)</w:t>
            </w:r>
            <w:r>
              <w:rPr>
                <w:sz w:val="24"/>
                <w:szCs w:val="24"/>
              </w:rPr>
              <w:t xml:space="preserve">. </w:t>
            </w:r>
          </w:p>
        </w:tc>
      </w:tr>
      <w:tr w:rsidR="00703227" w:rsidTr="00AC3371">
        <w:trPr>
          <w:jc w:val="center"/>
        </w:trPr>
        <w:tc>
          <w:tcPr>
            <w:tcW w:w="3159" w:type="dxa"/>
          </w:tcPr>
          <w:p w:rsidR="00703227" w:rsidRPr="00A76056" w:rsidRDefault="00703227" w:rsidP="00A76056">
            <w:pPr>
              <w:ind w:left="426" w:hanging="426"/>
              <w:rPr>
                <w:szCs w:val="22"/>
              </w:rPr>
            </w:pPr>
            <w:r w:rsidRPr="00A76056">
              <w:rPr>
                <w:szCs w:val="22"/>
              </w:rPr>
              <w:t>15.  Are costs incurred by funds and fees charged to members being minimised, taking account of service features provided to members?</w:t>
            </w:r>
          </w:p>
        </w:tc>
        <w:tc>
          <w:tcPr>
            <w:tcW w:w="777" w:type="dxa"/>
          </w:tcPr>
          <w:p w:rsidR="00703227" w:rsidRPr="00A76056" w:rsidRDefault="00703227" w:rsidP="00A76056">
            <w:pPr>
              <w:jc w:val="center"/>
              <w:rPr>
                <w:b/>
                <w:sz w:val="24"/>
                <w:szCs w:val="24"/>
              </w:rPr>
            </w:pPr>
            <w:r w:rsidRPr="00A76056">
              <w:rPr>
                <w:sz w:val="44"/>
                <w:szCs w:val="44"/>
              </w:rPr>
              <w:sym w:font="Wingdings" w:char="F0FC"/>
            </w:r>
          </w:p>
        </w:tc>
        <w:tc>
          <w:tcPr>
            <w:tcW w:w="10206" w:type="dxa"/>
          </w:tcPr>
          <w:p w:rsidR="00B645E3" w:rsidRDefault="00703227" w:rsidP="00CD5E85">
            <w:pPr>
              <w:rPr>
                <w:sz w:val="24"/>
                <w:szCs w:val="24"/>
              </w:rPr>
            </w:pPr>
            <w:r>
              <w:rPr>
                <w:sz w:val="24"/>
                <w:szCs w:val="24"/>
              </w:rPr>
              <w:t xml:space="preserve">QUALIFIED </w:t>
            </w:r>
            <w:r w:rsidRPr="00A76056">
              <w:rPr>
                <w:sz w:val="24"/>
                <w:szCs w:val="24"/>
              </w:rPr>
              <w:t>S</w:t>
            </w:r>
            <w:r>
              <w:rPr>
                <w:sz w:val="24"/>
                <w:szCs w:val="24"/>
              </w:rPr>
              <w:t>UPPORT</w:t>
            </w:r>
            <w:r w:rsidR="00B645E3">
              <w:rPr>
                <w:sz w:val="24"/>
                <w:szCs w:val="24"/>
              </w:rPr>
              <w:t xml:space="preserve"> (</w:t>
            </w:r>
            <w:r w:rsidR="00917288">
              <w:rPr>
                <w:sz w:val="24"/>
                <w:szCs w:val="24"/>
              </w:rPr>
              <w:t>delete 2 indicators)</w:t>
            </w:r>
          </w:p>
          <w:p w:rsidR="00B645E3" w:rsidRDefault="00B645E3" w:rsidP="00CD5E85">
            <w:pPr>
              <w:rPr>
                <w:sz w:val="24"/>
                <w:szCs w:val="24"/>
              </w:rPr>
            </w:pPr>
          </w:p>
          <w:p w:rsidR="00703227" w:rsidRPr="00A76056" w:rsidRDefault="00703227" w:rsidP="00CD5E85">
            <w:pPr>
              <w:rPr>
                <w:sz w:val="24"/>
                <w:szCs w:val="24"/>
              </w:rPr>
            </w:pPr>
            <w:r>
              <w:rPr>
                <w:sz w:val="24"/>
                <w:szCs w:val="24"/>
              </w:rPr>
              <w:t>W</w:t>
            </w:r>
            <w:r w:rsidRPr="00A76056">
              <w:rPr>
                <w:sz w:val="24"/>
                <w:szCs w:val="24"/>
              </w:rPr>
              <w:t>e note that services offered to fund members are being enhanced over time, both to respond to member needs and preferences and to meet regulatory requirements. This is also relevant to increased utilisation of different investment asset classes (such as direct infrastructure) that are more expensive but offer diversification and enhanced risk/return characteristics. The costs associated with these service</w:t>
            </w:r>
            <w:r w:rsidR="000F235C">
              <w:rPr>
                <w:sz w:val="24"/>
                <w:szCs w:val="24"/>
              </w:rPr>
              <w:t>s</w:t>
            </w:r>
            <w:r w:rsidRPr="00A76056">
              <w:rPr>
                <w:sz w:val="24"/>
                <w:szCs w:val="24"/>
              </w:rPr>
              <w:t xml:space="preserve"> and investment enhancements may be offsetting any cost efficiencies achieved by providers (which would otherwise be passed on to members). Accordingly, </w:t>
            </w:r>
            <w:r w:rsidR="000F235C">
              <w:rPr>
                <w:sz w:val="24"/>
                <w:szCs w:val="24"/>
              </w:rPr>
              <w:t xml:space="preserve">we do not consider </w:t>
            </w:r>
            <w:r w:rsidRPr="00A76056">
              <w:rPr>
                <w:sz w:val="24"/>
                <w:szCs w:val="24"/>
              </w:rPr>
              <w:t>it would be appropriate for the Commission to presume that because fees charged to members are not reducing over time, the superannuation system is not competitive and efficient.</w:t>
            </w:r>
            <w:r w:rsidR="000F235C">
              <w:rPr>
                <w:sz w:val="24"/>
                <w:szCs w:val="24"/>
              </w:rPr>
              <w:t xml:space="preserve"> We also note that, </w:t>
            </w:r>
            <w:r>
              <w:rPr>
                <w:sz w:val="24"/>
                <w:szCs w:val="24"/>
              </w:rPr>
              <w:t>in assessing this criterion</w:t>
            </w:r>
            <w:r w:rsidR="000F235C">
              <w:rPr>
                <w:sz w:val="24"/>
                <w:szCs w:val="24"/>
              </w:rPr>
              <w:t>,</w:t>
            </w:r>
            <w:r>
              <w:rPr>
                <w:sz w:val="24"/>
                <w:szCs w:val="24"/>
              </w:rPr>
              <w:t xml:space="preserve"> the Commission needs to recognise that a healthy system generates sufficient profit to support investment in product improvement and for future innovation. A minimum profit system is unhealthy and will </w:t>
            </w:r>
            <w:r w:rsidR="00276665">
              <w:rPr>
                <w:sz w:val="24"/>
                <w:szCs w:val="24"/>
              </w:rPr>
              <w:t xml:space="preserve">mean that the industry </w:t>
            </w:r>
            <w:r>
              <w:rPr>
                <w:sz w:val="24"/>
                <w:szCs w:val="24"/>
              </w:rPr>
              <w:t>stagnate</w:t>
            </w:r>
            <w:r w:rsidR="00276665">
              <w:rPr>
                <w:sz w:val="24"/>
                <w:szCs w:val="24"/>
              </w:rPr>
              <w:t>s</w:t>
            </w:r>
            <w:r>
              <w:rPr>
                <w:sz w:val="24"/>
                <w:szCs w:val="24"/>
              </w:rPr>
              <w:t xml:space="preserve"> over time. </w:t>
            </w:r>
          </w:p>
          <w:p w:rsidR="00703227" w:rsidRPr="00A76056" w:rsidRDefault="00703227" w:rsidP="00CD5E85">
            <w:pPr>
              <w:rPr>
                <w:b/>
                <w:sz w:val="24"/>
                <w:szCs w:val="24"/>
              </w:rPr>
            </w:pPr>
          </w:p>
        </w:tc>
      </w:tr>
      <w:tr w:rsidR="00703227" w:rsidRPr="00674A1C" w:rsidTr="00AC3371">
        <w:trPr>
          <w:jc w:val="center"/>
        </w:trPr>
        <w:tc>
          <w:tcPr>
            <w:tcW w:w="3159" w:type="dxa"/>
          </w:tcPr>
          <w:p w:rsidR="00703227" w:rsidRPr="00A76056" w:rsidRDefault="00703227" w:rsidP="00AC3371">
            <w:pPr>
              <w:ind w:left="426" w:hanging="426"/>
              <w:rPr>
                <w:szCs w:val="22"/>
              </w:rPr>
            </w:pPr>
            <w:r w:rsidRPr="00A76056">
              <w:rPr>
                <w:szCs w:val="22"/>
              </w:rPr>
              <w:t>16. Do all types of funds have opportunities to invest efficiently in upstream capital markets?</w:t>
            </w:r>
          </w:p>
        </w:tc>
        <w:tc>
          <w:tcPr>
            <w:tcW w:w="777" w:type="dxa"/>
          </w:tcPr>
          <w:p w:rsidR="00703227" w:rsidRPr="00A76056" w:rsidRDefault="00703227" w:rsidP="00A76056">
            <w:pPr>
              <w:jc w:val="center"/>
              <w:rPr>
                <w:sz w:val="24"/>
                <w:szCs w:val="24"/>
              </w:rPr>
            </w:pPr>
            <w:r w:rsidRPr="00A76056">
              <w:rPr>
                <w:sz w:val="44"/>
                <w:szCs w:val="44"/>
              </w:rPr>
              <w:sym w:font="Wingdings" w:char="F0FC"/>
            </w:r>
          </w:p>
        </w:tc>
        <w:tc>
          <w:tcPr>
            <w:tcW w:w="10206" w:type="dxa"/>
          </w:tcPr>
          <w:p w:rsidR="00703227" w:rsidRPr="00A76056" w:rsidRDefault="00703227" w:rsidP="00D423B0">
            <w:pPr>
              <w:rPr>
                <w:sz w:val="24"/>
                <w:szCs w:val="24"/>
              </w:rPr>
            </w:pPr>
            <w:r w:rsidRPr="00A76056">
              <w:rPr>
                <w:sz w:val="24"/>
                <w:szCs w:val="24"/>
              </w:rPr>
              <w:t>SUPPORT</w:t>
            </w:r>
            <w:r w:rsidR="00917288">
              <w:rPr>
                <w:sz w:val="24"/>
                <w:szCs w:val="24"/>
              </w:rPr>
              <w:t xml:space="preserve"> </w:t>
            </w:r>
          </w:p>
        </w:tc>
      </w:tr>
      <w:tr w:rsidR="00703227" w:rsidRPr="00674A1C" w:rsidTr="00AC3371">
        <w:trPr>
          <w:jc w:val="center"/>
        </w:trPr>
        <w:tc>
          <w:tcPr>
            <w:tcW w:w="3159" w:type="dxa"/>
          </w:tcPr>
          <w:p w:rsidR="00703227" w:rsidRPr="00A76056" w:rsidRDefault="00703227" w:rsidP="00A76056">
            <w:pPr>
              <w:ind w:left="426" w:hanging="426"/>
              <w:rPr>
                <w:szCs w:val="22"/>
              </w:rPr>
            </w:pPr>
            <w:r w:rsidRPr="00A76056">
              <w:rPr>
                <w:szCs w:val="22"/>
              </w:rPr>
              <w:lastRenderedPageBreak/>
              <w:t>17.</w:t>
            </w:r>
            <w:r w:rsidRPr="00A76056">
              <w:rPr>
                <w:szCs w:val="22"/>
              </w:rPr>
              <w:tab/>
              <w:t>Is the system effectively managing tax for members, including in transition?</w:t>
            </w:r>
          </w:p>
        </w:tc>
        <w:tc>
          <w:tcPr>
            <w:tcW w:w="777" w:type="dxa"/>
          </w:tcPr>
          <w:p w:rsidR="00703227" w:rsidRDefault="00703227" w:rsidP="00A76056">
            <w:pPr>
              <w:jc w:val="center"/>
              <w:rPr>
                <w:sz w:val="52"/>
                <w:szCs w:val="52"/>
              </w:rPr>
            </w:pPr>
            <w:r w:rsidRPr="00A76056">
              <w:rPr>
                <w:sz w:val="52"/>
                <w:szCs w:val="52"/>
              </w:rPr>
              <w:sym w:font="Wingdings" w:char="F0FB"/>
            </w:r>
          </w:p>
          <w:p w:rsidR="00703227" w:rsidRPr="00A76056" w:rsidRDefault="00703227" w:rsidP="00A76056">
            <w:pPr>
              <w:jc w:val="center"/>
              <w:rPr>
                <w:sz w:val="24"/>
                <w:szCs w:val="24"/>
              </w:rPr>
            </w:pPr>
            <w:r w:rsidRPr="00A76056">
              <w:rPr>
                <w:sz w:val="44"/>
                <w:szCs w:val="44"/>
              </w:rPr>
              <w:sym w:font="Wingdings" w:char="F0FC"/>
            </w:r>
          </w:p>
        </w:tc>
        <w:tc>
          <w:tcPr>
            <w:tcW w:w="10206" w:type="dxa"/>
          </w:tcPr>
          <w:p w:rsidR="00917288" w:rsidRDefault="000F235C" w:rsidP="009A3136">
            <w:pPr>
              <w:rPr>
                <w:sz w:val="24"/>
                <w:szCs w:val="24"/>
              </w:rPr>
            </w:pPr>
            <w:r>
              <w:rPr>
                <w:sz w:val="24"/>
                <w:szCs w:val="24"/>
              </w:rPr>
              <w:t>POSSIBLE DELETE</w:t>
            </w:r>
            <w:r w:rsidR="00917288">
              <w:rPr>
                <w:sz w:val="24"/>
                <w:szCs w:val="24"/>
              </w:rPr>
              <w:t xml:space="preserve"> (delete 3 indicators)</w:t>
            </w:r>
            <w:r w:rsidR="00703227">
              <w:rPr>
                <w:sz w:val="24"/>
                <w:szCs w:val="24"/>
              </w:rPr>
              <w:t xml:space="preserve"> </w:t>
            </w:r>
          </w:p>
          <w:p w:rsidR="00917288" w:rsidRDefault="00917288" w:rsidP="009A3136">
            <w:pPr>
              <w:rPr>
                <w:sz w:val="24"/>
                <w:szCs w:val="24"/>
              </w:rPr>
            </w:pPr>
          </w:p>
          <w:p w:rsidR="00703227" w:rsidRPr="00A76056" w:rsidRDefault="00703227" w:rsidP="009A3136">
            <w:pPr>
              <w:rPr>
                <w:sz w:val="24"/>
                <w:szCs w:val="24"/>
              </w:rPr>
            </w:pPr>
            <w:r w:rsidRPr="00A76056">
              <w:rPr>
                <w:sz w:val="24"/>
                <w:szCs w:val="24"/>
              </w:rPr>
              <w:t xml:space="preserve">We </w:t>
            </w:r>
            <w:r>
              <w:rPr>
                <w:sz w:val="24"/>
                <w:szCs w:val="24"/>
              </w:rPr>
              <w:t xml:space="preserve">query </w:t>
            </w:r>
            <w:r w:rsidRPr="00A76056">
              <w:rPr>
                <w:sz w:val="24"/>
                <w:szCs w:val="24"/>
              </w:rPr>
              <w:t xml:space="preserve">whether </w:t>
            </w:r>
            <w:r>
              <w:rPr>
                <w:sz w:val="24"/>
                <w:szCs w:val="24"/>
              </w:rPr>
              <w:t xml:space="preserve">how </w:t>
            </w:r>
            <w:r w:rsidRPr="00A76056">
              <w:rPr>
                <w:sz w:val="24"/>
                <w:szCs w:val="24"/>
              </w:rPr>
              <w:t>effectively the superannuation system manages members’ tax is an aspect of the system that warrants a specific criterion for this review.</w:t>
            </w:r>
            <w:r>
              <w:rPr>
                <w:sz w:val="24"/>
                <w:szCs w:val="24"/>
              </w:rPr>
              <w:t xml:space="preserve"> </w:t>
            </w:r>
            <w:r w:rsidR="004D7966">
              <w:rPr>
                <w:sz w:val="24"/>
                <w:szCs w:val="24"/>
              </w:rPr>
              <w:t xml:space="preserve">Effective tax management is one of the factors affecting </w:t>
            </w:r>
            <w:r>
              <w:rPr>
                <w:sz w:val="24"/>
                <w:szCs w:val="24"/>
              </w:rPr>
              <w:t xml:space="preserve">whether net returns are being optimised and therefore in our view </w:t>
            </w:r>
            <w:r w:rsidR="000F235C">
              <w:rPr>
                <w:sz w:val="24"/>
                <w:szCs w:val="24"/>
              </w:rPr>
              <w:t xml:space="preserve">is assessed for the purposes </w:t>
            </w:r>
            <w:r>
              <w:rPr>
                <w:sz w:val="24"/>
                <w:szCs w:val="24"/>
              </w:rPr>
              <w:t xml:space="preserve">of criterion </w:t>
            </w:r>
            <w:r w:rsidR="000F235C">
              <w:rPr>
                <w:sz w:val="24"/>
                <w:szCs w:val="24"/>
              </w:rPr>
              <w:t>#</w:t>
            </w:r>
            <w:r>
              <w:rPr>
                <w:sz w:val="24"/>
                <w:szCs w:val="24"/>
              </w:rPr>
              <w:t xml:space="preserve">14. </w:t>
            </w:r>
            <w:r w:rsidRPr="00A76056">
              <w:rPr>
                <w:sz w:val="24"/>
                <w:szCs w:val="24"/>
              </w:rPr>
              <w:t>An alternative</w:t>
            </w:r>
            <w:r w:rsidR="00917288">
              <w:rPr>
                <w:sz w:val="24"/>
                <w:szCs w:val="24"/>
              </w:rPr>
              <w:t xml:space="preserve">, </w:t>
            </w:r>
            <w:r w:rsidR="00184D6C">
              <w:rPr>
                <w:sz w:val="24"/>
                <w:szCs w:val="24"/>
              </w:rPr>
              <w:t>more appropriate</w:t>
            </w:r>
            <w:r w:rsidR="00917288">
              <w:rPr>
                <w:sz w:val="24"/>
                <w:szCs w:val="24"/>
              </w:rPr>
              <w:t>,</w:t>
            </w:r>
            <w:r w:rsidRPr="00A76056">
              <w:rPr>
                <w:sz w:val="24"/>
                <w:szCs w:val="24"/>
              </w:rPr>
              <w:t xml:space="preserve"> criterion </w:t>
            </w:r>
            <w:r w:rsidR="00184D6C">
              <w:rPr>
                <w:sz w:val="24"/>
                <w:szCs w:val="24"/>
              </w:rPr>
              <w:t xml:space="preserve">could assess </w:t>
            </w:r>
            <w:r w:rsidRPr="00A76056">
              <w:rPr>
                <w:sz w:val="24"/>
                <w:szCs w:val="24"/>
              </w:rPr>
              <w:t xml:space="preserve">whether the current tax system leads to </w:t>
            </w:r>
            <w:r>
              <w:rPr>
                <w:sz w:val="24"/>
                <w:szCs w:val="24"/>
              </w:rPr>
              <w:t>inefficiency within the system</w:t>
            </w:r>
            <w:r w:rsidR="00184D6C">
              <w:rPr>
                <w:sz w:val="24"/>
                <w:szCs w:val="24"/>
              </w:rPr>
              <w:t xml:space="preserve">, </w:t>
            </w:r>
            <w:r w:rsidRPr="00A76056">
              <w:rPr>
                <w:sz w:val="24"/>
                <w:szCs w:val="24"/>
              </w:rPr>
              <w:t>inefficient outcomes in respect of the pre or post retirement phases</w:t>
            </w:r>
            <w:r>
              <w:rPr>
                <w:sz w:val="24"/>
                <w:szCs w:val="24"/>
              </w:rPr>
              <w:t>,</w:t>
            </w:r>
            <w:r w:rsidRPr="00A76056">
              <w:rPr>
                <w:sz w:val="24"/>
                <w:szCs w:val="24"/>
              </w:rPr>
              <w:t xml:space="preserve"> or produces competitive biases.</w:t>
            </w:r>
          </w:p>
          <w:p w:rsidR="00703227" w:rsidRPr="00A76056" w:rsidRDefault="00703227" w:rsidP="009A3136">
            <w:pPr>
              <w:rPr>
                <w:sz w:val="24"/>
                <w:szCs w:val="24"/>
              </w:rPr>
            </w:pPr>
          </w:p>
        </w:tc>
      </w:tr>
      <w:tr w:rsidR="00703227" w:rsidRPr="00674A1C" w:rsidTr="00AC3371">
        <w:trPr>
          <w:jc w:val="center"/>
        </w:trPr>
        <w:tc>
          <w:tcPr>
            <w:tcW w:w="14142" w:type="dxa"/>
            <w:gridSpan w:val="3"/>
            <w:shd w:val="clear" w:color="auto" w:fill="F2F2F2"/>
          </w:tcPr>
          <w:p w:rsidR="00703227" w:rsidRDefault="00703227" w:rsidP="00D423B0"/>
          <w:p w:rsidR="00703227" w:rsidRPr="00AC3371" w:rsidRDefault="00703227" w:rsidP="00D423B0">
            <w:pPr>
              <w:rPr>
                <w:sz w:val="24"/>
                <w:szCs w:val="24"/>
              </w:rPr>
            </w:pPr>
            <w:r w:rsidRPr="00AC3371">
              <w:rPr>
                <w:b/>
                <w:sz w:val="24"/>
                <w:szCs w:val="24"/>
              </w:rPr>
              <w:t>Objective</w:t>
            </w:r>
            <w:r w:rsidRPr="00AC3371">
              <w:rPr>
                <w:sz w:val="24"/>
                <w:szCs w:val="24"/>
              </w:rPr>
              <w:t xml:space="preserve"> The superannuation system meets member preferences and needs, in relation to information, products and risk management, over the member’s lifetime </w:t>
            </w:r>
          </w:p>
          <w:p w:rsidR="00703227" w:rsidRPr="00A76056" w:rsidRDefault="00703227" w:rsidP="00D423B0">
            <w:pPr>
              <w:rPr>
                <w:sz w:val="24"/>
                <w:szCs w:val="24"/>
              </w:rPr>
            </w:pPr>
          </w:p>
        </w:tc>
      </w:tr>
      <w:tr w:rsidR="00703227" w:rsidRPr="00674A1C" w:rsidTr="00AC3371">
        <w:trPr>
          <w:jc w:val="center"/>
        </w:trPr>
        <w:tc>
          <w:tcPr>
            <w:tcW w:w="3159" w:type="dxa"/>
          </w:tcPr>
          <w:p w:rsidR="00703227" w:rsidRPr="00A76056" w:rsidRDefault="00703227" w:rsidP="00D423B0">
            <w:pPr>
              <w:rPr>
                <w:b/>
              </w:rPr>
            </w:pPr>
            <w:r w:rsidRPr="00A76056">
              <w:rPr>
                <w:b/>
              </w:rPr>
              <w:t>Assessment Criteria</w:t>
            </w:r>
          </w:p>
        </w:tc>
        <w:tc>
          <w:tcPr>
            <w:tcW w:w="777" w:type="dxa"/>
          </w:tcPr>
          <w:p w:rsidR="00703227" w:rsidRPr="00A76056" w:rsidRDefault="00703227" w:rsidP="00D423B0">
            <w:pPr>
              <w:rPr>
                <w:b/>
              </w:rPr>
            </w:pPr>
            <w:r w:rsidRPr="00A76056">
              <w:rPr>
                <w:b/>
              </w:rPr>
              <w:t>Sign</w:t>
            </w:r>
          </w:p>
        </w:tc>
        <w:tc>
          <w:tcPr>
            <w:tcW w:w="10206" w:type="dxa"/>
          </w:tcPr>
          <w:p w:rsidR="00703227" w:rsidRPr="00A76056" w:rsidRDefault="00703227" w:rsidP="00D423B0">
            <w:pPr>
              <w:rPr>
                <w:b/>
              </w:rPr>
            </w:pPr>
            <w:r w:rsidRPr="00A76056">
              <w:rPr>
                <w:b/>
              </w:rPr>
              <w:t>Explanation</w:t>
            </w:r>
          </w:p>
        </w:tc>
      </w:tr>
      <w:tr w:rsidR="00703227" w:rsidRPr="00674A1C" w:rsidTr="00AC3371">
        <w:trPr>
          <w:jc w:val="center"/>
        </w:trPr>
        <w:tc>
          <w:tcPr>
            <w:tcW w:w="3159" w:type="dxa"/>
          </w:tcPr>
          <w:p w:rsidR="00703227" w:rsidRPr="00674A1C" w:rsidRDefault="00703227" w:rsidP="00A76056">
            <w:pPr>
              <w:ind w:left="426" w:hanging="426"/>
            </w:pPr>
            <w:r>
              <w:t xml:space="preserve">18.1 </w:t>
            </w:r>
            <w:r w:rsidRPr="003D62BC">
              <w:t>Are member preferences and needs being met by minimising unpaid contributions and lost accounts?</w:t>
            </w:r>
            <w:r w:rsidR="0089640C">
              <w:br/>
            </w:r>
          </w:p>
        </w:tc>
        <w:tc>
          <w:tcPr>
            <w:tcW w:w="777" w:type="dxa"/>
          </w:tcPr>
          <w:p w:rsidR="00703227" w:rsidRPr="00A76056" w:rsidRDefault="00703227" w:rsidP="00A76056">
            <w:pPr>
              <w:jc w:val="center"/>
              <w:rPr>
                <w:b/>
                <w:sz w:val="24"/>
                <w:szCs w:val="24"/>
              </w:rPr>
            </w:pPr>
            <w:r w:rsidRPr="00A76056">
              <w:rPr>
                <w:sz w:val="44"/>
                <w:szCs w:val="44"/>
              </w:rPr>
              <w:sym w:font="Wingdings" w:char="F0FC"/>
            </w:r>
          </w:p>
        </w:tc>
        <w:tc>
          <w:tcPr>
            <w:tcW w:w="10206" w:type="dxa"/>
          </w:tcPr>
          <w:p w:rsidR="00703227" w:rsidRPr="00A76056" w:rsidRDefault="00703227" w:rsidP="00D423B0">
            <w:pPr>
              <w:rPr>
                <w:sz w:val="24"/>
                <w:szCs w:val="24"/>
              </w:rPr>
            </w:pPr>
            <w:r w:rsidRPr="00A76056">
              <w:rPr>
                <w:sz w:val="24"/>
                <w:szCs w:val="24"/>
              </w:rPr>
              <w:t>SUPPORT</w:t>
            </w:r>
          </w:p>
        </w:tc>
      </w:tr>
      <w:tr w:rsidR="00703227" w:rsidRPr="00674A1C" w:rsidTr="00AC3371">
        <w:trPr>
          <w:jc w:val="center"/>
        </w:trPr>
        <w:tc>
          <w:tcPr>
            <w:tcW w:w="3159" w:type="dxa"/>
          </w:tcPr>
          <w:p w:rsidR="00703227" w:rsidRDefault="00703227" w:rsidP="00A76056">
            <w:pPr>
              <w:ind w:left="426" w:hanging="426"/>
            </w:pPr>
            <w:r>
              <w:t xml:space="preserve">18.2 </w:t>
            </w:r>
            <w:r w:rsidRPr="003D62BC">
              <w:t>Are member preferences and needs being met by funds collecting relevant information to ensure their product offerings are suitable for their diverse member bases?</w:t>
            </w:r>
          </w:p>
        </w:tc>
        <w:tc>
          <w:tcPr>
            <w:tcW w:w="777" w:type="dxa"/>
          </w:tcPr>
          <w:p w:rsidR="00703227" w:rsidRDefault="00703227" w:rsidP="00DB262A">
            <w:pPr>
              <w:jc w:val="center"/>
              <w:rPr>
                <w:sz w:val="52"/>
                <w:szCs w:val="52"/>
              </w:rPr>
            </w:pPr>
            <w:r w:rsidRPr="00A76056">
              <w:rPr>
                <w:sz w:val="52"/>
                <w:szCs w:val="52"/>
              </w:rPr>
              <w:sym w:font="Wingdings" w:char="F0FB"/>
            </w:r>
          </w:p>
          <w:p w:rsidR="00703227" w:rsidRPr="00A76056" w:rsidRDefault="00703227" w:rsidP="00D423B0">
            <w:pPr>
              <w:rPr>
                <w:b/>
                <w:sz w:val="24"/>
                <w:szCs w:val="24"/>
              </w:rPr>
            </w:pPr>
          </w:p>
        </w:tc>
        <w:tc>
          <w:tcPr>
            <w:tcW w:w="10206" w:type="dxa"/>
          </w:tcPr>
          <w:p w:rsidR="00917288" w:rsidRDefault="00703227" w:rsidP="00EE005D">
            <w:pPr>
              <w:rPr>
                <w:sz w:val="24"/>
                <w:szCs w:val="24"/>
              </w:rPr>
            </w:pPr>
            <w:r>
              <w:rPr>
                <w:sz w:val="24"/>
                <w:szCs w:val="24"/>
              </w:rPr>
              <w:t>D</w:t>
            </w:r>
            <w:r w:rsidR="00184D6C">
              <w:rPr>
                <w:sz w:val="24"/>
                <w:szCs w:val="24"/>
              </w:rPr>
              <w:t>ELETE</w:t>
            </w:r>
            <w:r w:rsidR="00917288">
              <w:rPr>
                <w:sz w:val="24"/>
                <w:szCs w:val="24"/>
              </w:rPr>
              <w:t xml:space="preserve"> (delete 2 indicators)</w:t>
            </w:r>
          </w:p>
          <w:p w:rsidR="00917288" w:rsidRDefault="00917288" w:rsidP="00EE005D">
            <w:pPr>
              <w:rPr>
                <w:sz w:val="24"/>
                <w:szCs w:val="24"/>
              </w:rPr>
            </w:pPr>
          </w:p>
          <w:p w:rsidR="00703227" w:rsidRDefault="00703227" w:rsidP="00EE005D">
            <w:pPr>
              <w:rPr>
                <w:sz w:val="24"/>
                <w:szCs w:val="24"/>
              </w:rPr>
            </w:pPr>
            <w:r w:rsidRPr="00A76056">
              <w:rPr>
                <w:sz w:val="24"/>
                <w:szCs w:val="24"/>
              </w:rPr>
              <w:t xml:space="preserve">Although it is important for funds to offer a range of products to their diverse member bases, it should be recognised that it is inefficient for a fund to develop a product that </w:t>
            </w:r>
            <w:r w:rsidR="00184D6C">
              <w:rPr>
                <w:sz w:val="24"/>
                <w:szCs w:val="24"/>
              </w:rPr>
              <w:t xml:space="preserve">only </w:t>
            </w:r>
            <w:r w:rsidRPr="00A76056">
              <w:rPr>
                <w:sz w:val="24"/>
                <w:szCs w:val="24"/>
              </w:rPr>
              <w:t xml:space="preserve">a small number of members would utilise. Such developments can lead to increased costs </w:t>
            </w:r>
            <w:r w:rsidR="00184D6C">
              <w:rPr>
                <w:sz w:val="24"/>
                <w:szCs w:val="24"/>
              </w:rPr>
              <w:t xml:space="preserve">at the expense of all members </w:t>
            </w:r>
            <w:r w:rsidRPr="00A76056">
              <w:rPr>
                <w:sz w:val="24"/>
                <w:szCs w:val="24"/>
              </w:rPr>
              <w:t>for the benefit of a few</w:t>
            </w:r>
            <w:r w:rsidR="00184D6C">
              <w:rPr>
                <w:sz w:val="24"/>
                <w:szCs w:val="24"/>
              </w:rPr>
              <w:t xml:space="preserve">. We </w:t>
            </w:r>
            <w:r w:rsidR="00917288">
              <w:rPr>
                <w:sz w:val="24"/>
                <w:szCs w:val="24"/>
              </w:rPr>
              <w:t>consider</w:t>
            </w:r>
            <w:r w:rsidR="00184D6C">
              <w:rPr>
                <w:sz w:val="24"/>
                <w:szCs w:val="24"/>
              </w:rPr>
              <w:t xml:space="preserve"> this criterion </w:t>
            </w:r>
            <w:r>
              <w:rPr>
                <w:sz w:val="24"/>
                <w:szCs w:val="24"/>
              </w:rPr>
              <w:t xml:space="preserve">could generate inefficiency by implying a need for funds to solicit </w:t>
            </w:r>
            <w:r w:rsidR="000400BF">
              <w:rPr>
                <w:sz w:val="24"/>
                <w:szCs w:val="24"/>
              </w:rPr>
              <w:t xml:space="preserve">increasing amounts of </w:t>
            </w:r>
            <w:r>
              <w:rPr>
                <w:sz w:val="24"/>
                <w:szCs w:val="24"/>
              </w:rPr>
              <w:t xml:space="preserve">personal information </w:t>
            </w:r>
            <w:r>
              <w:rPr>
                <w:sz w:val="24"/>
                <w:szCs w:val="24"/>
              </w:rPr>
              <w:lastRenderedPageBreak/>
              <w:t xml:space="preserve">from members in an effort to better tailor their offerings and even lead to an implied obligation for providers to ensure that a product (even if selected by the member) was suitable for the member given the information the fund holds about them. </w:t>
            </w:r>
            <w:r w:rsidR="00184D6C">
              <w:rPr>
                <w:sz w:val="24"/>
                <w:szCs w:val="24"/>
              </w:rPr>
              <w:t xml:space="preserve"> We </w:t>
            </w:r>
            <w:r>
              <w:rPr>
                <w:sz w:val="24"/>
                <w:szCs w:val="24"/>
              </w:rPr>
              <w:t>recommend deletion of this criterion</w:t>
            </w:r>
            <w:r w:rsidR="00917288">
              <w:rPr>
                <w:sz w:val="24"/>
                <w:szCs w:val="24"/>
              </w:rPr>
              <w:t xml:space="preserve"> and its indicators</w:t>
            </w:r>
            <w:r>
              <w:rPr>
                <w:sz w:val="24"/>
                <w:szCs w:val="24"/>
              </w:rPr>
              <w:t>.</w:t>
            </w:r>
          </w:p>
          <w:p w:rsidR="00703227" w:rsidRPr="00A76056" w:rsidRDefault="00703227" w:rsidP="00EE005D">
            <w:pPr>
              <w:rPr>
                <w:sz w:val="24"/>
                <w:szCs w:val="24"/>
              </w:rPr>
            </w:pPr>
          </w:p>
        </w:tc>
      </w:tr>
      <w:tr w:rsidR="00703227" w:rsidRPr="00674A1C" w:rsidTr="00AC3371">
        <w:trPr>
          <w:jc w:val="center"/>
        </w:trPr>
        <w:tc>
          <w:tcPr>
            <w:tcW w:w="3159" w:type="dxa"/>
          </w:tcPr>
          <w:p w:rsidR="00703227" w:rsidRDefault="00703227" w:rsidP="00A76056">
            <w:pPr>
              <w:ind w:left="426" w:hanging="426"/>
            </w:pPr>
            <w:r>
              <w:lastRenderedPageBreak/>
              <w:t xml:space="preserve">18.3. </w:t>
            </w:r>
            <w:r w:rsidRPr="003D62BC">
              <w:t>Are member preferences and needs being met by the system providing high quality information and financial advice to members to help them make decisions?</w:t>
            </w:r>
            <w:r w:rsidR="0089640C">
              <w:br/>
            </w:r>
          </w:p>
        </w:tc>
        <w:tc>
          <w:tcPr>
            <w:tcW w:w="777" w:type="dxa"/>
          </w:tcPr>
          <w:p w:rsidR="00703227" w:rsidRPr="00A76056" w:rsidRDefault="00703227" w:rsidP="00D423B0">
            <w:pPr>
              <w:rPr>
                <w:b/>
                <w:sz w:val="24"/>
                <w:szCs w:val="24"/>
              </w:rPr>
            </w:pPr>
            <w:r w:rsidRPr="00A76056">
              <w:rPr>
                <w:sz w:val="44"/>
                <w:szCs w:val="44"/>
              </w:rPr>
              <w:sym w:font="Wingdings" w:char="F0FC"/>
            </w:r>
          </w:p>
        </w:tc>
        <w:tc>
          <w:tcPr>
            <w:tcW w:w="10206" w:type="dxa"/>
          </w:tcPr>
          <w:p w:rsidR="00917288" w:rsidRDefault="00703227" w:rsidP="00917288">
            <w:pPr>
              <w:rPr>
                <w:sz w:val="24"/>
                <w:szCs w:val="24"/>
              </w:rPr>
            </w:pPr>
            <w:r w:rsidRPr="00A76056">
              <w:rPr>
                <w:sz w:val="24"/>
                <w:szCs w:val="24"/>
              </w:rPr>
              <w:t xml:space="preserve">SUPPORT </w:t>
            </w:r>
            <w:r w:rsidR="00917288">
              <w:rPr>
                <w:sz w:val="24"/>
                <w:szCs w:val="24"/>
              </w:rPr>
              <w:t>(delete 2 indicators)</w:t>
            </w:r>
          </w:p>
          <w:p w:rsidR="00917288" w:rsidRDefault="00917288" w:rsidP="00917288">
            <w:pPr>
              <w:rPr>
                <w:sz w:val="24"/>
                <w:szCs w:val="24"/>
              </w:rPr>
            </w:pPr>
          </w:p>
          <w:p w:rsidR="00703227" w:rsidRPr="00A76056" w:rsidRDefault="00703227" w:rsidP="00917288">
            <w:pPr>
              <w:rPr>
                <w:sz w:val="24"/>
                <w:szCs w:val="24"/>
              </w:rPr>
            </w:pPr>
            <w:r w:rsidRPr="00A76056">
              <w:rPr>
                <w:sz w:val="24"/>
                <w:szCs w:val="24"/>
              </w:rPr>
              <w:t xml:space="preserve">The provision of financial advice is important but </w:t>
            </w:r>
            <w:r>
              <w:rPr>
                <w:sz w:val="24"/>
                <w:szCs w:val="24"/>
              </w:rPr>
              <w:t xml:space="preserve">it </w:t>
            </w:r>
            <w:r w:rsidRPr="00A76056">
              <w:rPr>
                <w:sz w:val="24"/>
                <w:szCs w:val="24"/>
              </w:rPr>
              <w:t>can be expensive to provide. It should be recognised that not all members wish to receive advice from their superannuation fund. Therefore there is a balance needed between the fees charged (if any) and the provision of information and financial advice to members.</w:t>
            </w:r>
          </w:p>
        </w:tc>
      </w:tr>
      <w:tr w:rsidR="00703227" w:rsidRPr="00674A1C" w:rsidTr="00AC3371">
        <w:trPr>
          <w:jc w:val="center"/>
        </w:trPr>
        <w:tc>
          <w:tcPr>
            <w:tcW w:w="3159" w:type="dxa"/>
          </w:tcPr>
          <w:p w:rsidR="00703227" w:rsidRDefault="00703227" w:rsidP="00A76056">
            <w:pPr>
              <w:ind w:left="426" w:hanging="426"/>
            </w:pPr>
            <w:r>
              <w:t xml:space="preserve">18.4 </w:t>
            </w:r>
            <w:r w:rsidRPr="003D62BC">
              <w:t>Are member preferences and needs being met by the system providing products and information to help members optimally consume their retirement incomes?</w:t>
            </w:r>
            <w:r w:rsidR="0089640C">
              <w:br/>
            </w:r>
          </w:p>
        </w:tc>
        <w:tc>
          <w:tcPr>
            <w:tcW w:w="777" w:type="dxa"/>
          </w:tcPr>
          <w:p w:rsidR="00703227" w:rsidRPr="00A76056" w:rsidRDefault="00703227" w:rsidP="00D423B0">
            <w:pPr>
              <w:rPr>
                <w:b/>
                <w:sz w:val="24"/>
                <w:szCs w:val="24"/>
              </w:rPr>
            </w:pPr>
            <w:r w:rsidRPr="00A76056">
              <w:rPr>
                <w:sz w:val="44"/>
                <w:szCs w:val="44"/>
              </w:rPr>
              <w:sym w:font="Wingdings" w:char="F0FC"/>
            </w:r>
          </w:p>
        </w:tc>
        <w:tc>
          <w:tcPr>
            <w:tcW w:w="10206" w:type="dxa"/>
          </w:tcPr>
          <w:p w:rsidR="00917288" w:rsidRDefault="00703227" w:rsidP="00917288">
            <w:pPr>
              <w:rPr>
                <w:sz w:val="24"/>
                <w:szCs w:val="24"/>
              </w:rPr>
            </w:pPr>
            <w:r w:rsidRPr="00A76056">
              <w:rPr>
                <w:sz w:val="24"/>
                <w:szCs w:val="24"/>
              </w:rPr>
              <w:t xml:space="preserve">SUPPORT </w:t>
            </w:r>
          </w:p>
          <w:p w:rsidR="00917288" w:rsidRDefault="00917288" w:rsidP="00917288">
            <w:pPr>
              <w:rPr>
                <w:sz w:val="24"/>
                <w:szCs w:val="24"/>
              </w:rPr>
            </w:pPr>
          </w:p>
          <w:p w:rsidR="00703227" w:rsidRDefault="00703227" w:rsidP="00917288">
            <w:pPr>
              <w:rPr>
                <w:sz w:val="24"/>
                <w:szCs w:val="24"/>
              </w:rPr>
            </w:pPr>
            <w:r w:rsidRPr="00A76056">
              <w:rPr>
                <w:sz w:val="24"/>
                <w:szCs w:val="24"/>
              </w:rPr>
              <w:t xml:space="preserve">However, consistent with our earlier remarks, we note that a major impediment to members receiving appropriate information is the complex and constantly changing superannuation and social security systems. </w:t>
            </w:r>
            <w:r w:rsidR="000400BF">
              <w:rPr>
                <w:sz w:val="24"/>
                <w:szCs w:val="24"/>
              </w:rPr>
              <w:t>We consider t</w:t>
            </w:r>
            <w:r w:rsidRPr="00A76056">
              <w:rPr>
                <w:sz w:val="24"/>
                <w:szCs w:val="24"/>
              </w:rPr>
              <w:t xml:space="preserve">he Commission should assess the barriers to members being properly informed from regulatory change and complexity as part of </w:t>
            </w:r>
            <w:r w:rsidR="000400BF">
              <w:rPr>
                <w:sz w:val="24"/>
                <w:szCs w:val="24"/>
              </w:rPr>
              <w:t xml:space="preserve">their assessment of </w:t>
            </w:r>
            <w:r w:rsidRPr="00A76056">
              <w:rPr>
                <w:sz w:val="24"/>
                <w:szCs w:val="24"/>
              </w:rPr>
              <w:t xml:space="preserve">this </w:t>
            </w:r>
            <w:r w:rsidR="000400BF">
              <w:rPr>
                <w:sz w:val="24"/>
                <w:szCs w:val="24"/>
              </w:rPr>
              <w:t xml:space="preserve">criterion </w:t>
            </w:r>
            <w:r w:rsidRPr="00A76056">
              <w:rPr>
                <w:sz w:val="24"/>
                <w:szCs w:val="24"/>
              </w:rPr>
              <w:t xml:space="preserve">and criterion </w:t>
            </w:r>
            <w:r w:rsidR="000400BF">
              <w:rPr>
                <w:sz w:val="24"/>
                <w:szCs w:val="24"/>
              </w:rPr>
              <w:t>#</w:t>
            </w:r>
            <w:r w:rsidRPr="00A76056">
              <w:rPr>
                <w:sz w:val="24"/>
                <w:szCs w:val="24"/>
              </w:rPr>
              <w:t>20</w:t>
            </w:r>
            <w:r w:rsidR="000400BF">
              <w:rPr>
                <w:sz w:val="24"/>
                <w:szCs w:val="24"/>
              </w:rPr>
              <w:t>, and have suggested some indicators for this purpose (see Attachment 3)</w:t>
            </w:r>
            <w:r w:rsidRPr="00A76056">
              <w:rPr>
                <w:sz w:val="24"/>
                <w:szCs w:val="24"/>
              </w:rPr>
              <w:t xml:space="preserve">.   </w:t>
            </w:r>
          </w:p>
          <w:p w:rsidR="00206F78" w:rsidRPr="00A76056" w:rsidRDefault="00206F78" w:rsidP="00917288">
            <w:pPr>
              <w:rPr>
                <w:sz w:val="24"/>
                <w:szCs w:val="24"/>
              </w:rPr>
            </w:pPr>
          </w:p>
        </w:tc>
      </w:tr>
      <w:tr w:rsidR="00703227" w:rsidRPr="00674A1C" w:rsidTr="00AC3371">
        <w:trPr>
          <w:jc w:val="center"/>
        </w:trPr>
        <w:tc>
          <w:tcPr>
            <w:tcW w:w="3159" w:type="dxa"/>
          </w:tcPr>
          <w:p w:rsidR="00703227" w:rsidRDefault="00703227" w:rsidP="00A76056">
            <w:pPr>
              <w:ind w:left="426" w:hanging="426"/>
            </w:pPr>
            <w:r>
              <w:t xml:space="preserve">18.5. </w:t>
            </w:r>
            <w:r w:rsidRPr="003D62BC">
              <w:t>Are member preferences and needs being met by member balances being allocated in line with their risk preferences and needs?</w:t>
            </w:r>
          </w:p>
        </w:tc>
        <w:tc>
          <w:tcPr>
            <w:tcW w:w="777" w:type="dxa"/>
          </w:tcPr>
          <w:p w:rsidR="00703227" w:rsidRPr="00A76056" w:rsidRDefault="00703227" w:rsidP="00A76056">
            <w:pPr>
              <w:jc w:val="center"/>
              <w:rPr>
                <w:b/>
                <w:sz w:val="24"/>
                <w:szCs w:val="24"/>
              </w:rPr>
            </w:pPr>
            <w:r w:rsidRPr="00A76056">
              <w:rPr>
                <w:sz w:val="44"/>
                <w:szCs w:val="44"/>
              </w:rPr>
              <w:sym w:font="Wingdings" w:char="F0FC"/>
            </w:r>
          </w:p>
        </w:tc>
        <w:tc>
          <w:tcPr>
            <w:tcW w:w="10206" w:type="dxa"/>
          </w:tcPr>
          <w:p w:rsidR="00917288" w:rsidRDefault="00703227" w:rsidP="002609F4">
            <w:pPr>
              <w:rPr>
                <w:sz w:val="24"/>
                <w:szCs w:val="24"/>
              </w:rPr>
            </w:pPr>
            <w:r>
              <w:rPr>
                <w:sz w:val="24"/>
                <w:szCs w:val="24"/>
              </w:rPr>
              <w:t xml:space="preserve">QUALIFIED </w:t>
            </w:r>
            <w:r w:rsidRPr="00A76056">
              <w:rPr>
                <w:sz w:val="24"/>
                <w:szCs w:val="24"/>
              </w:rPr>
              <w:t>SUPPORT</w:t>
            </w:r>
          </w:p>
          <w:p w:rsidR="00917288" w:rsidRDefault="00917288" w:rsidP="002609F4">
            <w:pPr>
              <w:rPr>
                <w:sz w:val="24"/>
                <w:szCs w:val="24"/>
              </w:rPr>
            </w:pPr>
          </w:p>
          <w:p w:rsidR="00703227" w:rsidRDefault="00703227" w:rsidP="002609F4">
            <w:pPr>
              <w:rPr>
                <w:sz w:val="24"/>
                <w:szCs w:val="24"/>
              </w:rPr>
            </w:pPr>
            <w:r w:rsidRPr="00A76056">
              <w:rPr>
                <w:sz w:val="24"/>
                <w:szCs w:val="24"/>
              </w:rPr>
              <w:t xml:space="preserve">As mentioned above, </w:t>
            </w:r>
            <w:r w:rsidR="006D71BB">
              <w:rPr>
                <w:sz w:val="24"/>
                <w:szCs w:val="24"/>
              </w:rPr>
              <w:t xml:space="preserve">we do not consider </w:t>
            </w:r>
            <w:r w:rsidRPr="00A76056">
              <w:rPr>
                <w:sz w:val="24"/>
                <w:szCs w:val="24"/>
              </w:rPr>
              <w:t>it efficient for every fund to offer every available investment option</w:t>
            </w:r>
            <w:r w:rsidR="006D71BB">
              <w:rPr>
                <w:sz w:val="24"/>
                <w:szCs w:val="24"/>
              </w:rPr>
              <w:t xml:space="preserve"> to members</w:t>
            </w:r>
            <w:r w:rsidRPr="00A76056">
              <w:rPr>
                <w:sz w:val="24"/>
                <w:szCs w:val="24"/>
              </w:rPr>
              <w:t>. It is therefore inevitable some member preferences will not be available in some funds.  Such an outcome does not make the industry uncompetitive or inefficient.</w:t>
            </w:r>
            <w:r w:rsidR="00917288" w:rsidDel="00917288">
              <w:rPr>
                <w:sz w:val="24"/>
                <w:szCs w:val="24"/>
              </w:rPr>
              <w:t xml:space="preserve"> </w:t>
            </w:r>
            <w:r w:rsidR="006D71BB">
              <w:rPr>
                <w:sz w:val="24"/>
                <w:szCs w:val="24"/>
              </w:rPr>
              <w:t>We consider t</w:t>
            </w:r>
            <w:r>
              <w:rPr>
                <w:sz w:val="24"/>
                <w:szCs w:val="24"/>
              </w:rPr>
              <w:t xml:space="preserve">here should be no obligation for providers to collect information and </w:t>
            </w:r>
            <w:r>
              <w:rPr>
                <w:sz w:val="24"/>
                <w:szCs w:val="24"/>
              </w:rPr>
              <w:lastRenderedPageBreak/>
              <w:t>objectively assess individual member needs and preferences</w:t>
            </w:r>
            <w:r w:rsidR="006D71BB">
              <w:rPr>
                <w:sz w:val="24"/>
                <w:szCs w:val="24"/>
              </w:rPr>
              <w:t xml:space="preserve">. </w:t>
            </w:r>
            <w:r>
              <w:rPr>
                <w:sz w:val="24"/>
                <w:szCs w:val="24"/>
              </w:rPr>
              <w:t xml:space="preserve"> It should be sufficient for trustees to provide members with information on options available (and defaults) and to comply with member instructions (or to apply defaults in the absence of valid instructions).  </w:t>
            </w:r>
          </w:p>
          <w:p w:rsidR="00703227" w:rsidRPr="00A76056" w:rsidRDefault="00703227" w:rsidP="002609F4">
            <w:pPr>
              <w:rPr>
                <w:sz w:val="24"/>
                <w:szCs w:val="24"/>
              </w:rPr>
            </w:pPr>
          </w:p>
        </w:tc>
      </w:tr>
      <w:tr w:rsidR="00703227" w:rsidRPr="00674A1C" w:rsidTr="00AC3371">
        <w:trPr>
          <w:jc w:val="center"/>
        </w:trPr>
        <w:tc>
          <w:tcPr>
            <w:tcW w:w="3159" w:type="dxa"/>
          </w:tcPr>
          <w:p w:rsidR="00703227" w:rsidRDefault="00703227" w:rsidP="00A76056">
            <w:pPr>
              <w:ind w:left="426" w:hanging="426"/>
            </w:pPr>
            <w:r>
              <w:lastRenderedPageBreak/>
              <w:t xml:space="preserve">19. </w:t>
            </w:r>
            <w:r w:rsidRPr="003D62BC">
              <w:t xml:space="preserve">Is the system using lessons from behavioural finance to design products and ‘lean’ against </w:t>
            </w:r>
            <w:r w:rsidR="004A2E15" w:rsidRPr="003D62BC">
              <w:t>well-known</w:t>
            </w:r>
            <w:r w:rsidRPr="003D62BC">
              <w:t xml:space="preserve"> biases in how people make decisions?</w:t>
            </w:r>
            <w:r w:rsidR="0089640C">
              <w:br/>
            </w:r>
          </w:p>
        </w:tc>
        <w:tc>
          <w:tcPr>
            <w:tcW w:w="777" w:type="dxa"/>
          </w:tcPr>
          <w:p w:rsidR="00703227" w:rsidRPr="00A76056" w:rsidRDefault="00703227" w:rsidP="00D423B0">
            <w:pPr>
              <w:rPr>
                <w:b/>
                <w:sz w:val="24"/>
                <w:szCs w:val="24"/>
              </w:rPr>
            </w:pPr>
            <w:r w:rsidRPr="00A76056">
              <w:rPr>
                <w:sz w:val="52"/>
                <w:szCs w:val="52"/>
              </w:rPr>
              <w:sym w:font="Wingdings" w:char="F0FB"/>
            </w:r>
          </w:p>
        </w:tc>
        <w:tc>
          <w:tcPr>
            <w:tcW w:w="10206" w:type="dxa"/>
          </w:tcPr>
          <w:p w:rsidR="00917288" w:rsidRDefault="00703227" w:rsidP="00917288">
            <w:pPr>
              <w:rPr>
                <w:sz w:val="24"/>
                <w:szCs w:val="24"/>
              </w:rPr>
            </w:pPr>
            <w:r>
              <w:rPr>
                <w:sz w:val="24"/>
                <w:szCs w:val="24"/>
              </w:rPr>
              <w:t>D</w:t>
            </w:r>
            <w:r w:rsidR="000400BF">
              <w:rPr>
                <w:sz w:val="24"/>
                <w:szCs w:val="24"/>
              </w:rPr>
              <w:t xml:space="preserve">ELETE </w:t>
            </w:r>
            <w:r w:rsidR="00917288">
              <w:rPr>
                <w:sz w:val="24"/>
                <w:szCs w:val="24"/>
              </w:rPr>
              <w:t>(delete 1 indicator)</w:t>
            </w:r>
          </w:p>
          <w:p w:rsidR="00917288" w:rsidRDefault="00917288" w:rsidP="00917288">
            <w:pPr>
              <w:rPr>
                <w:sz w:val="24"/>
                <w:szCs w:val="24"/>
              </w:rPr>
            </w:pPr>
          </w:p>
          <w:p w:rsidR="00703227" w:rsidRDefault="00703227" w:rsidP="00917288">
            <w:pPr>
              <w:rPr>
                <w:sz w:val="24"/>
                <w:szCs w:val="24"/>
              </w:rPr>
            </w:pPr>
            <w:r w:rsidRPr="00A76056">
              <w:rPr>
                <w:sz w:val="24"/>
                <w:szCs w:val="24"/>
              </w:rPr>
              <w:t>This criterion and its indicator are problematic. Behavioural finance is a perspective from one academic discipline on human behaviour. There are potentially also lessons from psychology, marketing, law, history and human geography. Further, funds may draw lessons from their own experiences and member feedback. We consider that insights from this criterion would be available from responses to other criteria</w:t>
            </w:r>
            <w:r w:rsidR="006D71BB">
              <w:rPr>
                <w:sz w:val="24"/>
                <w:szCs w:val="24"/>
              </w:rPr>
              <w:t>. W</w:t>
            </w:r>
            <w:r w:rsidRPr="00A76056">
              <w:rPr>
                <w:sz w:val="24"/>
                <w:szCs w:val="24"/>
              </w:rPr>
              <w:t xml:space="preserve">e recommend this criterion be omitted.   </w:t>
            </w:r>
          </w:p>
          <w:p w:rsidR="00917288" w:rsidRPr="00A76056" w:rsidRDefault="00917288" w:rsidP="00917288">
            <w:pPr>
              <w:rPr>
                <w:b/>
                <w:sz w:val="24"/>
                <w:szCs w:val="24"/>
              </w:rPr>
            </w:pPr>
          </w:p>
        </w:tc>
      </w:tr>
      <w:tr w:rsidR="00703227" w:rsidRPr="00674A1C" w:rsidTr="00AC3371">
        <w:trPr>
          <w:jc w:val="center"/>
        </w:trPr>
        <w:tc>
          <w:tcPr>
            <w:tcW w:w="3159" w:type="dxa"/>
          </w:tcPr>
          <w:p w:rsidR="00703227" w:rsidRDefault="00703227" w:rsidP="00A76056">
            <w:pPr>
              <w:ind w:left="426" w:hanging="426"/>
            </w:pPr>
            <w:r>
              <w:t xml:space="preserve">20. </w:t>
            </w:r>
            <w:r w:rsidRPr="003D62BC">
              <w:t>Are trustees acting in the best interests of members?</w:t>
            </w:r>
          </w:p>
        </w:tc>
        <w:tc>
          <w:tcPr>
            <w:tcW w:w="777" w:type="dxa"/>
          </w:tcPr>
          <w:p w:rsidR="00703227" w:rsidRPr="00A76056" w:rsidRDefault="00703227" w:rsidP="00D423B0">
            <w:pPr>
              <w:rPr>
                <w:b/>
                <w:sz w:val="24"/>
                <w:szCs w:val="24"/>
              </w:rPr>
            </w:pPr>
            <w:r w:rsidRPr="00A76056">
              <w:rPr>
                <w:sz w:val="52"/>
                <w:szCs w:val="52"/>
              </w:rPr>
              <w:sym w:font="Wingdings" w:char="F0FB"/>
            </w:r>
          </w:p>
        </w:tc>
        <w:tc>
          <w:tcPr>
            <w:tcW w:w="10206" w:type="dxa"/>
          </w:tcPr>
          <w:p w:rsidR="00917288" w:rsidRDefault="00703227" w:rsidP="00CD5E85">
            <w:pPr>
              <w:rPr>
                <w:sz w:val="24"/>
                <w:szCs w:val="24"/>
              </w:rPr>
            </w:pPr>
            <w:r>
              <w:rPr>
                <w:sz w:val="24"/>
                <w:szCs w:val="24"/>
              </w:rPr>
              <w:t>D</w:t>
            </w:r>
            <w:r w:rsidR="000400BF">
              <w:rPr>
                <w:sz w:val="24"/>
                <w:szCs w:val="24"/>
              </w:rPr>
              <w:t xml:space="preserve">ELETE </w:t>
            </w:r>
            <w:r w:rsidR="00917288">
              <w:rPr>
                <w:sz w:val="24"/>
                <w:szCs w:val="24"/>
              </w:rPr>
              <w:t>(delete 5 indicators)</w:t>
            </w:r>
          </w:p>
          <w:p w:rsidR="00917288" w:rsidRDefault="00917288" w:rsidP="00CD5E85">
            <w:pPr>
              <w:rPr>
                <w:sz w:val="24"/>
                <w:szCs w:val="24"/>
              </w:rPr>
            </w:pPr>
          </w:p>
          <w:p w:rsidR="00703227" w:rsidRPr="00A76056" w:rsidRDefault="00703227" w:rsidP="00CD5E85">
            <w:pPr>
              <w:rPr>
                <w:sz w:val="24"/>
                <w:szCs w:val="24"/>
              </w:rPr>
            </w:pPr>
            <w:r w:rsidRPr="00A76056">
              <w:rPr>
                <w:sz w:val="24"/>
                <w:szCs w:val="24"/>
              </w:rPr>
              <w:t>This criterion is a governance issue related to trustees following the requirements in the legislation.  It is currently overseen by APRA and therefore we do not believe there is a need for this criterion</w:t>
            </w:r>
            <w:r w:rsidR="00917288">
              <w:rPr>
                <w:sz w:val="24"/>
                <w:szCs w:val="24"/>
              </w:rPr>
              <w:t xml:space="preserve"> and its indicators</w:t>
            </w:r>
            <w:r w:rsidRPr="00A76056">
              <w:rPr>
                <w:sz w:val="24"/>
                <w:szCs w:val="24"/>
              </w:rPr>
              <w:t xml:space="preserve">, </w:t>
            </w:r>
            <w:r w:rsidR="006D71BB">
              <w:rPr>
                <w:sz w:val="24"/>
                <w:szCs w:val="24"/>
              </w:rPr>
              <w:t>particularly in the context of other criterion</w:t>
            </w:r>
            <w:r w:rsidR="00917288">
              <w:rPr>
                <w:sz w:val="24"/>
                <w:szCs w:val="24"/>
              </w:rPr>
              <w:t xml:space="preserve"> and indicators that the Commission identifies</w:t>
            </w:r>
            <w:r w:rsidRPr="00A76056">
              <w:rPr>
                <w:sz w:val="24"/>
                <w:szCs w:val="24"/>
              </w:rPr>
              <w:t>.</w:t>
            </w:r>
          </w:p>
          <w:p w:rsidR="00703227" w:rsidRPr="00A76056" w:rsidRDefault="00703227" w:rsidP="00D423B0">
            <w:pPr>
              <w:rPr>
                <w:b/>
                <w:sz w:val="24"/>
                <w:szCs w:val="24"/>
              </w:rPr>
            </w:pPr>
          </w:p>
        </w:tc>
      </w:tr>
      <w:tr w:rsidR="00703227" w:rsidRPr="00674A1C" w:rsidTr="00AC3371">
        <w:trPr>
          <w:jc w:val="center"/>
        </w:trPr>
        <w:tc>
          <w:tcPr>
            <w:tcW w:w="14142" w:type="dxa"/>
            <w:gridSpan w:val="3"/>
            <w:shd w:val="clear" w:color="auto" w:fill="F2F2F2"/>
          </w:tcPr>
          <w:p w:rsidR="00703227" w:rsidRPr="00AC3371" w:rsidRDefault="00703227" w:rsidP="00D423B0">
            <w:pPr>
              <w:rPr>
                <w:sz w:val="24"/>
                <w:szCs w:val="24"/>
              </w:rPr>
            </w:pPr>
          </w:p>
          <w:p w:rsidR="00703227" w:rsidRPr="00AC3371" w:rsidRDefault="00703227" w:rsidP="00D423B0">
            <w:pPr>
              <w:rPr>
                <w:sz w:val="24"/>
                <w:szCs w:val="24"/>
              </w:rPr>
            </w:pPr>
            <w:r w:rsidRPr="00AC3371">
              <w:rPr>
                <w:b/>
                <w:sz w:val="24"/>
                <w:szCs w:val="24"/>
              </w:rPr>
              <w:t>Objective</w:t>
            </w:r>
            <w:r w:rsidRPr="00AC3371">
              <w:rPr>
                <w:sz w:val="24"/>
                <w:szCs w:val="24"/>
              </w:rPr>
              <w:t xml:space="preserve"> The superannuation system complements a stable financial system and does not impede long term improvements in efficiency </w:t>
            </w:r>
          </w:p>
          <w:p w:rsidR="00703227" w:rsidRPr="00A76056" w:rsidRDefault="00703227" w:rsidP="00D423B0">
            <w:pPr>
              <w:rPr>
                <w:b/>
                <w:sz w:val="24"/>
                <w:szCs w:val="24"/>
              </w:rPr>
            </w:pPr>
          </w:p>
        </w:tc>
      </w:tr>
      <w:tr w:rsidR="00703227" w:rsidRPr="00674A1C" w:rsidTr="00AC3371">
        <w:trPr>
          <w:jc w:val="center"/>
        </w:trPr>
        <w:tc>
          <w:tcPr>
            <w:tcW w:w="3159" w:type="dxa"/>
          </w:tcPr>
          <w:p w:rsidR="00703227" w:rsidRPr="00A76056" w:rsidRDefault="00703227" w:rsidP="00D423B0">
            <w:pPr>
              <w:rPr>
                <w:b/>
              </w:rPr>
            </w:pPr>
            <w:r w:rsidRPr="00A76056">
              <w:rPr>
                <w:b/>
              </w:rPr>
              <w:t>Assessment Criteria</w:t>
            </w:r>
          </w:p>
        </w:tc>
        <w:tc>
          <w:tcPr>
            <w:tcW w:w="777" w:type="dxa"/>
          </w:tcPr>
          <w:p w:rsidR="00703227" w:rsidRPr="00A76056" w:rsidRDefault="00703227" w:rsidP="00D423B0">
            <w:pPr>
              <w:rPr>
                <w:b/>
              </w:rPr>
            </w:pPr>
            <w:r w:rsidRPr="00A76056">
              <w:rPr>
                <w:b/>
              </w:rPr>
              <w:t>Sign</w:t>
            </w:r>
          </w:p>
        </w:tc>
        <w:tc>
          <w:tcPr>
            <w:tcW w:w="10206" w:type="dxa"/>
          </w:tcPr>
          <w:p w:rsidR="00703227" w:rsidRPr="00A76056" w:rsidRDefault="00703227" w:rsidP="00D423B0">
            <w:pPr>
              <w:rPr>
                <w:b/>
              </w:rPr>
            </w:pPr>
            <w:r w:rsidRPr="00A76056">
              <w:rPr>
                <w:b/>
              </w:rPr>
              <w:t>Explanation</w:t>
            </w:r>
          </w:p>
        </w:tc>
      </w:tr>
      <w:tr w:rsidR="00703227" w:rsidRPr="00674A1C" w:rsidTr="00AC3371">
        <w:trPr>
          <w:jc w:val="center"/>
        </w:trPr>
        <w:tc>
          <w:tcPr>
            <w:tcW w:w="3159" w:type="dxa"/>
          </w:tcPr>
          <w:p w:rsidR="00703227" w:rsidRPr="00674A1C" w:rsidRDefault="00703227" w:rsidP="00A76056">
            <w:pPr>
              <w:ind w:left="426" w:hanging="426"/>
            </w:pPr>
            <w:r>
              <w:t xml:space="preserve">21. </w:t>
            </w:r>
            <w:r w:rsidRPr="003D62BC">
              <w:t>Are there material systemic risks in the superannuation system?</w:t>
            </w:r>
            <w:r w:rsidR="0089640C">
              <w:br/>
            </w:r>
          </w:p>
        </w:tc>
        <w:tc>
          <w:tcPr>
            <w:tcW w:w="777" w:type="dxa"/>
          </w:tcPr>
          <w:p w:rsidR="00703227" w:rsidRPr="00A76056" w:rsidRDefault="00703227" w:rsidP="00A76056">
            <w:pPr>
              <w:jc w:val="center"/>
              <w:rPr>
                <w:b/>
                <w:sz w:val="24"/>
                <w:szCs w:val="24"/>
              </w:rPr>
            </w:pPr>
            <w:r w:rsidRPr="00A76056">
              <w:rPr>
                <w:sz w:val="44"/>
                <w:szCs w:val="44"/>
              </w:rPr>
              <w:sym w:font="Wingdings" w:char="F0FC"/>
            </w:r>
          </w:p>
        </w:tc>
        <w:tc>
          <w:tcPr>
            <w:tcW w:w="10206" w:type="dxa"/>
          </w:tcPr>
          <w:p w:rsidR="00703227" w:rsidRPr="00A76056" w:rsidRDefault="00703227" w:rsidP="00D423B0">
            <w:pPr>
              <w:rPr>
                <w:b/>
                <w:sz w:val="24"/>
                <w:szCs w:val="24"/>
              </w:rPr>
            </w:pPr>
            <w:r w:rsidRPr="00A76056">
              <w:rPr>
                <w:sz w:val="24"/>
                <w:szCs w:val="24"/>
              </w:rPr>
              <w:t>SUPPORT</w:t>
            </w:r>
            <w:r w:rsidR="00917288">
              <w:rPr>
                <w:sz w:val="24"/>
                <w:szCs w:val="24"/>
              </w:rPr>
              <w:t xml:space="preserve"> </w:t>
            </w:r>
          </w:p>
        </w:tc>
      </w:tr>
      <w:tr w:rsidR="00703227" w:rsidRPr="00674A1C" w:rsidTr="00AC3371">
        <w:trPr>
          <w:jc w:val="center"/>
        </w:trPr>
        <w:tc>
          <w:tcPr>
            <w:tcW w:w="14142" w:type="dxa"/>
            <w:gridSpan w:val="3"/>
            <w:shd w:val="clear" w:color="auto" w:fill="F2F2F2"/>
          </w:tcPr>
          <w:p w:rsidR="00703227" w:rsidRPr="00AC3371" w:rsidRDefault="00703227" w:rsidP="00D423B0">
            <w:pPr>
              <w:rPr>
                <w:sz w:val="24"/>
                <w:szCs w:val="24"/>
              </w:rPr>
            </w:pPr>
          </w:p>
          <w:p w:rsidR="00703227" w:rsidRPr="00AC3371" w:rsidRDefault="00703227" w:rsidP="00D423B0">
            <w:pPr>
              <w:rPr>
                <w:b/>
                <w:sz w:val="24"/>
                <w:szCs w:val="24"/>
              </w:rPr>
            </w:pPr>
            <w:r w:rsidRPr="00AC3371">
              <w:rPr>
                <w:b/>
                <w:sz w:val="24"/>
                <w:szCs w:val="24"/>
              </w:rPr>
              <w:t>Objective</w:t>
            </w:r>
            <w:r w:rsidRPr="00AC3371">
              <w:rPr>
                <w:sz w:val="24"/>
                <w:szCs w:val="24"/>
              </w:rPr>
              <w:t xml:space="preserve"> The superannuation system provides insurance that meets members’ needs at least cost</w:t>
            </w:r>
            <w:r w:rsidRPr="00AC3371">
              <w:rPr>
                <w:b/>
                <w:sz w:val="24"/>
                <w:szCs w:val="24"/>
              </w:rPr>
              <w:t xml:space="preserve"> </w:t>
            </w:r>
          </w:p>
          <w:p w:rsidR="00703227" w:rsidRPr="00A76056" w:rsidRDefault="00703227" w:rsidP="00D423B0">
            <w:pPr>
              <w:rPr>
                <w:b/>
                <w:sz w:val="24"/>
                <w:szCs w:val="24"/>
              </w:rPr>
            </w:pPr>
          </w:p>
        </w:tc>
      </w:tr>
      <w:tr w:rsidR="00703227" w:rsidRPr="00674A1C" w:rsidTr="00AC3371">
        <w:trPr>
          <w:jc w:val="center"/>
        </w:trPr>
        <w:tc>
          <w:tcPr>
            <w:tcW w:w="3159" w:type="dxa"/>
          </w:tcPr>
          <w:p w:rsidR="00703227" w:rsidRPr="00A76056" w:rsidRDefault="00703227" w:rsidP="00D423B0">
            <w:pPr>
              <w:rPr>
                <w:b/>
              </w:rPr>
            </w:pPr>
            <w:r w:rsidRPr="00A76056">
              <w:rPr>
                <w:b/>
              </w:rPr>
              <w:t>Assessment Criteria</w:t>
            </w:r>
          </w:p>
        </w:tc>
        <w:tc>
          <w:tcPr>
            <w:tcW w:w="777" w:type="dxa"/>
          </w:tcPr>
          <w:p w:rsidR="00703227" w:rsidRPr="00A76056" w:rsidRDefault="00703227" w:rsidP="00D423B0">
            <w:pPr>
              <w:rPr>
                <w:b/>
              </w:rPr>
            </w:pPr>
            <w:r w:rsidRPr="00A76056">
              <w:rPr>
                <w:b/>
              </w:rPr>
              <w:t>Sign</w:t>
            </w:r>
          </w:p>
        </w:tc>
        <w:tc>
          <w:tcPr>
            <w:tcW w:w="10206" w:type="dxa"/>
          </w:tcPr>
          <w:p w:rsidR="00703227" w:rsidRPr="00A76056" w:rsidRDefault="00703227" w:rsidP="00D423B0">
            <w:pPr>
              <w:rPr>
                <w:b/>
              </w:rPr>
            </w:pPr>
            <w:r w:rsidRPr="00A76056">
              <w:rPr>
                <w:b/>
              </w:rPr>
              <w:t>Explanation</w:t>
            </w:r>
          </w:p>
        </w:tc>
      </w:tr>
      <w:tr w:rsidR="00703227" w:rsidRPr="00674A1C" w:rsidTr="00AC3371">
        <w:trPr>
          <w:jc w:val="center"/>
        </w:trPr>
        <w:tc>
          <w:tcPr>
            <w:tcW w:w="3159" w:type="dxa"/>
            <w:tcBorders>
              <w:bottom w:val="single" w:sz="4" w:space="0" w:color="auto"/>
            </w:tcBorders>
          </w:tcPr>
          <w:p w:rsidR="00703227" w:rsidRPr="00674A1C" w:rsidRDefault="00703227" w:rsidP="00A76056">
            <w:pPr>
              <w:ind w:left="426" w:hanging="426"/>
            </w:pPr>
            <w:r>
              <w:t>22. Do funds offer insurance products that meet members’ needs?</w:t>
            </w:r>
          </w:p>
        </w:tc>
        <w:tc>
          <w:tcPr>
            <w:tcW w:w="777" w:type="dxa"/>
            <w:tcBorders>
              <w:bottom w:val="single" w:sz="4" w:space="0" w:color="auto"/>
            </w:tcBorders>
          </w:tcPr>
          <w:p w:rsidR="00703227" w:rsidRPr="00A76056" w:rsidRDefault="00703227" w:rsidP="00A76056">
            <w:pPr>
              <w:jc w:val="center"/>
              <w:rPr>
                <w:b/>
                <w:sz w:val="24"/>
                <w:szCs w:val="24"/>
              </w:rPr>
            </w:pPr>
            <w:r w:rsidRPr="00A76056">
              <w:rPr>
                <w:sz w:val="44"/>
                <w:szCs w:val="44"/>
              </w:rPr>
              <w:sym w:font="Wingdings" w:char="F0FC"/>
            </w:r>
          </w:p>
        </w:tc>
        <w:tc>
          <w:tcPr>
            <w:tcW w:w="10206" w:type="dxa"/>
            <w:tcBorders>
              <w:bottom w:val="single" w:sz="4" w:space="0" w:color="auto"/>
            </w:tcBorders>
          </w:tcPr>
          <w:p w:rsidR="00CD1183" w:rsidRDefault="00703227" w:rsidP="00CD1183">
            <w:pPr>
              <w:spacing w:after="120"/>
              <w:rPr>
                <w:sz w:val="24"/>
                <w:szCs w:val="24"/>
              </w:rPr>
            </w:pPr>
            <w:r>
              <w:rPr>
                <w:sz w:val="24"/>
                <w:szCs w:val="24"/>
              </w:rPr>
              <w:t xml:space="preserve">QUALIFIED </w:t>
            </w:r>
            <w:r w:rsidRPr="00A76056">
              <w:rPr>
                <w:sz w:val="24"/>
                <w:szCs w:val="24"/>
              </w:rPr>
              <w:t>S</w:t>
            </w:r>
            <w:r>
              <w:rPr>
                <w:sz w:val="24"/>
                <w:szCs w:val="24"/>
              </w:rPr>
              <w:t xml:space="preserve">UPPORT </w:t>
            </w:r>
            <w:r w:rsidR="00CD1183">
              <w:rPr>
                <w:sz w:val="24"/>
                <w:szCs w:val="24"/>
              </w:rPr>
              <w:t>(delete 2 indicators)</w:t>
            </w:r>
            <w:r w:rsidR="00B23B0B">
              <w:rPr>
                <w:sz w:val="24"/>
                <w:szCs w:val="24"/>
              </w:rPr>
              <w:t xml:space="preserve"> </w:t>
            </w:r>
          </w:p>
          <w:p w:rsidR="00703227" w:rsidRPr="00A76056" w:rsidRDefault="00B23B0B" w:rsidP="00CD1183">
            <w:pPr>
              <w:spacing w:after="120"/>
              <w:rPr>
                <w:sz w:val="24"/>
                <w:szCs w:val="24"/>
              </w:rPr>
            </w:pPr>
            <w:r>
              <w:rPr>
                <w:sz w:val="24"/>
                <w:szCs w:val="24"/>
              </w:rPr>
              <w:t xml:space="preserve">We consider this criterion should be amended to – ‘Do funds offer insurance products that reasonably respond to members’ needs’. </w:t>
            </w:r>
            <w:r w:rsidR="00703227" w:rsidRPr="00A76056">
              <w:rPr>
                <w:sz w:val="24"/>
                <w:szCs w:val="24"/>
              </w:rPr>
              <w:t xml:space="preserve">Provision of insurance which (fully) “meets members’ needs” is likely to be prohibitively expensive even if that insurance cover is provided at “least cost”. The primary purpose of superannuation is to fund retirement, and default levels of insurance should be set such that insurance premiums do not inappropriately erode members’ retirement incomes. Whether or not these levels of insurance (fully) meet members’ needs is an important but secondary consideration. This philosophy is embedded within subsection 52(7) of the </w:t>
            </w:r>
            <w:r w:rsidR="00703227" w:rsidRPr="00A76056">
              <w:rPr>
                <w:i/>
                <w:sz w:val="24"/>
                <w:szCs w:val="24"/>
              </w:rPr>
              <w:t xml:space="preserve">Superannuation Industry (Supervision) Act </w:t>
            </w:r>
            <w:r w:rsidR="00703227" w:rsidRPr="00A76056">
              <w:rPr>
                <w:sz w:val="24"/>
                <w:szCs w:val="24"/>
              </w:rPr>
              <w:t>1993</w:t>
            </w:r>
            <w:r w:rsidR="00703227" w:rsidRPr="00A76056">
              <w:rPr>
                <w:i/>
                <w:sz w:val="24"/>
                <w:szCs w:val="24"/>
              </w:rPr>
              <w:t xml:space="preserve"> </w:t>
            </w:r>
            <w:r w:rsidR="00703227" w:rsidRPr="00A76056">
              <w:rPr>
                <w:sz w:val="24"/>
                <w:szCs w:val="24"/>
              </w:rPr>
              <w:t>(SIS Act).</w:t>
            </w:r>
            <w:r>
              <w:rPr>
                <w:sz w:val="24"/>
                <w:szCs w:val="24"/>
              </w:rPr>
              <w:t xml:space="preserve"> Also see </w:t>
            </w:r>
            <w:r w:rsidRPr="00A76056">
              <w:rPr>
                <w:sz w:val="24"/>
                <w:szCs w:val="24"/>
              </w:rPr>
              <w:t>our comments on the Commission’s proposed superannuation objective</w:t>
            </w:r>
            <w:r>
              <w:rPr>
                <w:sz w:val="24"/>
                <w:szCs w:val="24"/>
              </w:rPr>
              <w:t xml:space="preserve"> concerning insurance</w:t>
            </w:r>
            <w:r w:rsidRPr="00A76056">
              <w:rPr>
                <w:sz w:val="24"/>
                <w:szCs w:val="24"/>
              </w:rPr>
              <w:t xml:space="preserve"> (</w:t>
            </w:r>
            <w:r>
              <w:rPr>
                <w:sz w:val="24"/>
                <w:szCs w:val="24"/>
              </w:rPr>
              <w:t>Attachment 1</w:t>
            </w:r>
            <w:r w:rsidRPr="00A76056">
              <w:rPr>
                <w:sz w:val="24"/>
                <w:szCs w:val="24"/>
              </w:rPr>
              <w:t>).</w:t>
            </w:r>
            <w:r w:rsidR="00703227" w:rsidRPr="00A76056">
              <w:rPr>
                <w:sz w:val="24"/>
                <w:szCs w:val="24"/>
              </w:rPr>
              <w:br/>
            </w:r>
          </w:p>
        </w:tc>
      </w:tr>
      <w:tr w:rsidR="00703227" w:rsidRPr="00674A1C" w:rsidTr="00AC3371">
        <w:trPr>
          <w:jc w:val="center"/>
        </w:trPr>
        <w:tc>
          <w:tcPr>
            <w:tcW w:w="3159" w:type="dxa"/>
            <w:tcBorders>
              <w:bottom w:val="single" w:sz="4" w:space="0" w:color="auto"/>
            </w:tcBorders>
          </w:tcPr>
          <w:p w:rsidR="00703227" w:rsidRDefault="00703227" w:rsidP="00A76056">
            <w:pPr>
              <w:ind w:left="426" w:hanging="426"/>
            </w:pPr>
            <w:r>
              <w:t>23. Are the costs of insurance being minimised given the type and level of cover?</w:t>
            </w:r>
          </w:p>
          <w:p w:rsidR="007030D5" w:rsidRDefault="007030D5" w:rsidP="00A76056">
            <w:pPr>
              <w:ind w:left="426" w:hanging="426"/>
            </w:pPr>
          </w:p>
        </w:tc>
        <w:tc>
          <w:tcPr>
            <w:tcW w:w="777" w:type="dxa"/>
            <w:tcBorders>
              <w:bottom w:val="single" w:sz="4" w:space="0" w:color="auto"/>
            </w:tcBorders>
          </w:tcPr>
          <w:p w:rsidR="00703227" w:rsidRPr="00A76056" w:rsidRDefault="00703227" w:rsidP="00D423B0">
            <w:pPr>
              <w:rPr>
                <w:b/>
                <w:sz w:val="24"/>
                <w:szCs w:val="24"/>
              </w:rPr>
            </w:pPr>
            <w:r w:rsidRPr="00A76056">
              <w:rPr>
                <w:sz w:val="44"/>
                <w:szCs w:val="44"/>
              </w:rPr>
              <w:sym w:font="Wingdings" w:char="F0FC"/>
            </w:r>
          </w:p>
        </w:tc>
        <w:tc>
          <w:tcPr>
            <w:tcW w:w="10206" w:type="dxa"/>
            <w:tcBorders>
              <w:bottom w:val="single" w:sz="4" w:space="0" w:color="auto"/>
            </w:tcBorders>
          </w:tcPr>
          <w:p w:rsidR="00CD1183" w:rsidRDefault="00B23B0B" w:rsidP="00CD1183">
            <w:pPr>
              <w:rPr>
                <w:sz w:val="24"/>
                <w:szCs w:val="24"/>
              </w:rPr>
            </w:pPr>
            <w:r>
              <w:rPr>
                <w:sz w:val="24"/>
                <w:szCs w:val="24"/>
              </w:rPr>
              <w:t>SUPPORT/ REFINE</w:t>
            </w:r>
            <w:r w:rsidR="00CD1183">
              <w:rPr>
                <w:sz w:val="24"/>
                <w:szCs w:val="24"/>
              </w:rPr>
              <w:t xml:space="preserve"> (delete 2 indicators)</w:t>
            </w:r>
          </w:p>
          <w:p w:rsidR="00CD1183" w:rsidRDefault="00CD1183" w:rsidP="00CD1183">
            <w:pPr>
              <w:rPr>
                <w:sz w:val="24"/>
                <w:szCs w:val="24"/>
              </w:rPr>
            </w:pPr>
          </w:p>
          <w:p w:rsidR="00703227" w:rsidRPr="00A76056" w:rsidRDefault="00703227" w:rsidP="00CD1183">
            <w:pPr>
              <w:rPr>
                <w:b/>
                <w:sz w:val="24"/>
                <w:szCs w:val="24"/>
              </w:rPr>
            </w:pPr>
            <w:r w:rsidRPr="00A76056">
              <w:rPr>
                <w:sz w:val="24"/>
                <w:szCs w:val="24"/>
              </w:rPr>
              <w:t>Refer to our comments on the Commission’s proposed superannuation objectives (above). We support this criterion provided that ‘minimised’ is to be assessed consistently with our ‘fairly priced</w:t>
            </w:r>
            <w:r>
              <w:rPr>
                <w:sz w:val="24"/>
                <w:szCs w:val="24"/>
              </w:rPr>
              <w:t>’</w:t>
            </w:r>
            <w:r w:rsidRPr="00A76056">
              <w:rPr>
                <w:sz w:val="24"/>
                <w:szCs w:val="24"/>
              </w:rPr>
              <w:t xml:space="preserve"> concept.</w:t>
            </w:r>
          </w:p>
        </w:tc>
      </w:tr>
      <w:tr w:rsidR="007030D5" w:rsidRPr="00674A1C" w:rsidTr="00AC3371">
        <w:trPr>
          <w:jc w:val="center"/>
        </w:trPr>
        <w:tc>
          <w:tcPr>
            <w:tcW w:w="3159" w:type="dxa"/>
            <w:tcBorders>
              <w:left w:val="nil"/>
              <w:bottom w:val="nil"/>
              <w:right w:val="nil"/>
            </w:tcBorders>
          </w:tcPr>
          <w:p w:rsidR="007030D5" w:rsidRDefault="007030D5" w:rsidP="00A76056">
            <w:pPr>
              <w:ind w:left="426" w:hanging="426"/>
            </w:pPr>
          </w:p>
        </w:tc>
        <w:tc>
          <w:tcPr>
            <w:tcW w:w="777" w:type="dxa"/>
            <w:tcBorders>
              <w:left w:val="nil"/>
              <w:bottom w:val="nil"/>
              <w:right w:val="nil"/>
            </w:tcBorders>
          </w:tcPr>
          <w:p w:rsidR="007030D5" w:rsidRPr="00A76056" w:rsidRDefault="007030D5" w:rsidP="00D423B0">
            <w:pPr>
              <w:rPr>
                <w:sz w:val="44"/>
                <w:szCs w:val="44"/>
              </w:rPr>
            </w:pPr>
          </w:p>
        </w:tc>
        <w:tc>
          <w:tcPr>
            <w:tcW w:w="10206" w:type="dxa"/>
            <w:tcBorders>
              <w:left w:val="nil"/>
              <w:bottom w:val="nil"/>
              <w:right w:val="nil"/>
            </w:tcBorders>
          </w:tcPr>
          <w:p w:rsidR="007030D5" w:rsidRDefault="007030D5" w:rsidP="00B23B0B">
            <w:pPr>
              <w:rPr>
                <w:sz w:val="24"/>
                <w:szCs w:val="24"/>
              </w:rPr>
            </w:pPr>
          </w:p>
        </w:tc>
      </w:tr>
    </w:tbl>
    <w:p w:rsidR="007030D5" w:rsidRDefault="007030D5"/>
    <w:p w:rsidR="00FA3402" w:rsidRDefault="00FA3402"/>
    <w:p w:rsidR="00FA3402" w:rsidRDefault="00FA3402"/>
    <w:p w:rsidR="00FA3402" w:rsidRDefault="00FA3402"/>
    <w:p w:rsidR="007030D5" w:rsidRDefault="007030D5"/>
    <w:p w:rsidR="003623B2" w:rsidRPr="003623B2" w:rsidRDefault="003623B2" w:rsidP="003623B2">
      <w:pPr>
        <w:jc w:val="center"/>
        <w:rPr>
          <w:b/>
          <w:sz w:val="24"/>
          <w:szCs w:val="24"/>
        </w:rPr>
      </w:pPr>
      <w:r w:rsidRPr="003623B2">
        <w:rPr>
          <w:b/>
          <w:sz w:val="24"/>
          <w:szCs w:val="24"/>
        </w:rPr>
        <w:lastRenderedPageBreak/>
        <w:t>Attachment 3: Indicators</w:t>
      </w:r>
    </w:p>
    <w:p w:rsidR="003623B2" w:rsidRDefault="003623B2"/>
    <w:tbl>
      <w:tblPr>
        <w:tblW w:w="13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gridCol w:w="1596"/>
        <w:gridCol w:w="1381"/>
        <w:gridCol w:w="2286"/>
        <w:gridCol w:w="3668"/>
      </w:tblGrid>
      <w:tr w:rsidR="002D3EE4" w:rsidRPr="006C0BF7" w:rsidTr="006C0BF7">
        <w:trPr>
          <w:jc w:val="center"/>
        </w:trPr>
        <w:tc>
          <w:tcPr>
            <w:tcW w:w="1951" w:type="dxa"/>
            <w:tcBorders>
              <w:bottom w:val="single" w:sz="4" w:space="0" w:color="auto"/>
            </w:tcBorders>
            <w:shd w:val="clear" w:color="auto" w:fill="auto"/>
          </w:tcPr>
          <w:p w:rsidR="00FA3402" w:rsidRPr="006C0BF7" w:rsidRDefault="00FA3402">
            <w:pPr>
              <w:rPr>
                <w:b/>
                <w:sz w:val="24"/>
                <w:szCs w:val="24"/>
              </w:rPr>
            </w:pPr>
            <w:r w:rsidRPr="006C0BF7">
              <w:rPr>
                <w:b/>
                <w:sz w:val="24"/>
                <w:szCs w:val="24"/>
              </w:rPr>
              <w:t>Criteria</w:t>
            </w:r>
          </w:p>
        </w:tc>
        <w:tc>
          <w:tcPr>
            <w:tcW w:w="2977" w:type="dxa"/>
            <w:tcBorders>
              <w:bottom w:val="single" w:sz="4" w:space="0" w:color="auto"/>
            </w:tcBorders>
            <w:shd w:val="clear" w:color="auto" w:fill="auto"/>
          </w:tcPr>
          <w:p w:rsidR="00FA3402" w:rsidRPr="006C0BF7" w:rsidRDefault="00FA3402">
            <w:pPr>
              <w:rPr>
                <w:b/>
                <w:sz w:val="24"/>
                <w:szCs w:val="24"/>
              </w:rPr>
            </w:pPr>
            <w:r w:rsidRPr="006C0BF7">
              <w:rPr>
                <w:b/>
                <w:sz w:val="24"/>
                <w:szCs w:val="24"/>
              </w:rPr>
              <w:t>Indicators</w:t>
            </w:r>
          </w:p>
        </w:tc>
        <w:tc>
          <w:tcPr>
            <w:tcW w:w="1596" w:type="dxa"/>
            <w:tcBorders>
              <w:bottom w:val="single" w:sz="4" w:space="0" w:color="auto"/>
            </w:tcBorders>
            <w:shd w:val="clear" w:color="auto" w:fill="auto"/>
          </w:tcPr>
          <w:p w:rsidR="00FA3402" w:rsidRPr="006C0BF7" w:rsidRDefault="00FA3402" w:rsidP="006C0BF7">
            <w:pPr>
              <w:jc w:val="center"/>
              <w:rPr>
                <w:sz w:val="20"/>
              </w:rPr>
            </w:pPr>
            <w:r w:rsidRPr="006C0BF7">
              <w:rPr>
                <w:sz w:val="20"/>
              </w:rPr>
              <w:t>Method</w:t>
            </w:r>
          </w:p>
        </w:tc>
        <w:tc>
          <w:tcPr>
            <w:tcW w:w="1381" w:type="dxa"/>
            <w:tcBorders>
              <w:bottom w:val="single" w:sz="4" w:space="0" w:color="auto"/>
            </w:tcBorders>
            <w:shd w:val="clear" w:color="auto" w:fill="auto"/>
          </w:tcPr>
          <w:p w:rsidR="00FA3402" w:rsidRPr="006C0BF7" w:rsidRDefault="00FA3402" w:rsidP="006C0BF7">
            <w:pPr>
              <w:jc w:val="center"/>
              <w:rPr>
                <w:sz w:val="20"/>
              </w:rPr>
            </w:pPr>
            <w:r w:rsidRPr="006C0BF7">
              <w:rPr>
                <w:sz w:val="20"/>
              </w:rPr>
              <w:t>Evidence</w:t>
            </w:r>
          </w:p>
        </w:tc>
        <w:tc>
          <w:tcPr>
            <w:tcW w:w="5954" w:type="dxa"/>
            <w:gridSpan w:val="2"/>
            <w:shd w:val="clear" w:color="auto" w:fill="auto"/>
          </w:tcPr>
          <w:p w:rsidR="00FA3402" w:rsidRPr="006C0BF7" w:rsidRDefault="00FA3402">
            <w:pPr>
              <w:rPr>
                <w:b/>
                <w:sz w:val="24"/>
                <w:szCs w:val="24"/>
              </w:rPr>
            </w:pPr>
            <w:r w:rsidRPr="006C0BF7">
              <w:rPr>
                <w:b/>
                <w:sz w:val="24"/>
                <w:szCs w:val="24"/>
              </w:rPr>
              <w:t>Mercer comment</w:t>
            </w:r>
            <w:r w:rsidR="003623B2" w:rsidRPr="006C0BF7">
              <w:rPr>
                <w:b/>
                <w:sz w:val="24"/>
                <w:szCs w:val="24"/>
              </w:rPr>
              <w:t>s</w:t>
            </w:r>
          </w:p>
        </w:tc>
      </w:tr>
      <w:tr w:rsidR="002D3EE4" w:rsidRPr="006C0BF7" w:rsidTr="006C0BF7">
        <w:trPr>
          <w:jc w:val="center"/>
        </w:trPr>
        <w:tc>
          <w:tcPr>
            <w:tcW w:w="1951" w:type="dxa"/>
            <w:tcBorders>
              <w:bottom w:val="single" w:sz="4" w:space="0" w:color="auto"/>
              <w:right w:val="nil"/>
            </w:tcBorders>
            <w:shd w:val="clear" w:color="auto" w:fill="auto"/>
          </w:tcPr>
          <w:p w:rsidR="00FA3402" w:rsidRPr="006C0BF7" w:rsidRDefault="00FA3402" w:rsidP="003623B2">
            <w:pPr>
              <w:rPr>
                <w:b/>
                <w:sz w:val="24"/>
                <w:szCs w:val="24"/>
              </w:rPr>
            </w:pPr>
            <w:r w:rsidRPr="006C0BF7">
              <w:rPr>
                <w:b/>
                <w:sz w:val="24"/>
                <w:szCs w:val="24"/>
              </w:rPr>
              <w:t>C</w:t>
            </w:r>
            <w:r w:rsidR="003623B2" w:rsidRPr="006C0BF7">
              <w:rPr>
                <w:b/>
                <w:sz w:val="24"/>
                <w:szCs w:val="24"/>
              </w:rPr>
              <w:t>OMPETITION</w:t>
            </w:r>
          </w:p>
        </w:tc>
        <w:tc>
          <w:tcPr>
            <w:tcW w:w="2977" w:type="dxa"/>
            <w:tcBorders>
              <w:left w:val="nil"/>
              <w:bottom w:val="single" w:sz="4" w:space="0" w:color="auto"/>
              <w:right w:val="nil"/>
            </w:tcBorders>
            <w:shd w:val="clear" w:color="auto" w:fill="auto"/>
          </w:tcPr>
          <w:p w:rsidR="00FA3402" w:rsidRPr="006C0BF7" w:rsidRDefault="00FA3402">
            <w:pPr>
              <w:rPr>
                <w:b/>
                <w:sz w:val="24"/>
                <w:szCs w:val="24"/>
              </w:rPr>
            </w:pPr>
          </w:p>
        </w:tc>
        <w:tc>
          <w:tcPr>
            <w:tcW w:w="1596" w:type="dxa"/>
            <w:tcBorders>
              <w:left w:val="nil"/>
              <w:bottom w:val="single" w:sz="4" w:space="0" w:color="auto"/>
              <w:right w:val="nil"/>
            </w:tcBorders>
            <w:shd w:val="clear" w:color="auto" w:fill="auto"/>
          </w:tcPr>
          <w:p w:rsidR="00FA3402" w:rsidRPr="006C0BF7" w:rsidRDefault="00FA3402">
            <w:pPr>
              <w:rPr>
                <w:b/>
                <w:sz w:val="24"/>
                <w:szCs w:val="24"/>
              </w:rPr>
            </w:pPr>
          </w:p>
        </w:tc>
        <w:tc>
          <w:tcPr>
            <w:tcW w:w="1381" w:type="dxa"/>
            <w:tcBorders>
              <w:left w:val="nil"/>
              <w:bottom w:val="single" w:sz="4" w:space="0" w:color="auto"/>
              <w:right w:val="nil"/>
            </w:tcBorders>
            <w:shd w:val="clear" w:color="auto" w:fill="auto"/>
          </w:tcPr>
          <w:p w:rsidR="00FA3402" w:rsidRPr="006C0BF7" w:rsidRDefault="00FA3402">
            <w:pPr>
              <w:rPr>
                <w:b/>
                <w:sz w:val="20"/>
              </w:rPr>
            </w:pPr>
          </w:p>
        </w:tc>
        <w:tc>
          <w:tcPr>
            <w:tcW w:w="5954" w:type="dxa"/>
            <w:gridSpan w:val="2"/>
            <w:tcBorders>
              <w:left w:val="nil"/>
            </w:tcBorders>
            <w:shd w:val="clear" w:color="auto" w:fill="auto"/>
          </w:tcPr>
          <w:p w:rsidR="00FA3402" w:rsidRPr="006C0BF7" w:rsidRDefault="00FA3402">
            <w:pPr>
              <w:rPr>
                <w:sz w:val="24"/>
                <w:szCs w:val="24"/>
              </w:rPr>
            </w:pPr>
          </w:p>
        </w:tc>
      </w:tr>
      <w:tr w:rsidR="002D3EE4" w:rsidRPr="006C0BF7" w:rsidTr="00402DE3">
        <w:trPr>
          <w:jc w:val="center"/>
        </w:trPr>
        <w:tc>
          <w:tcPr>
            <w:tcW w:w="10191" w:type="dxa"/>
            <w:gridSpan w:val="5"/>
            <w:tcBorders>
              <w:right w:val="nil"/>
            </w:tcBorders>
            <w:shd w:val="clear" w:color="auto" w:fill="auto"/>
          </w:tcPr>
          <w:p w:rsidR="003623B2" w:rsidRPr="006C0BF7" w:rsidRDefault="003623B2">
            <w:pPr>
              <w:rPr>
                <w:b/>
                <w:sz w:val="20"/>
              </w:rPr>
            </w:pPr>
            <w:r w:rsidRPr="006C0BF7">
              <w:rPr>
                <w:b/>
                <w:sz w:val="24"/>
                <w:szCs w:val="24"/>
              </w:rPr>
              <w:t>1. Is there sufficient member engagement to exert competitive pressure</w:t>
            </w:r>
          </w:p>
        </w:tc>
        <w:tc>
          <w:tcPr>
            <w:tcW w:w="3668" w:type="dxa"/>
            <w:tcBorders>
              <w:left w:val="nil"/>
            </w:tcBorders>
            <w:shd w:val="clear" w:color="auto" w:fill="auto"/>
          </w:tcPr>
          <w:p w:rsidR="003623B2" w:rsidRPr="006C0BF7" w:rsidRDefault="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402DE3">
            <w:pPr>
              <w:rPr>
                <w:sz w:val="24"/>
                <w:szCs w:val="24"/>
              </w:rPr>
            </w:pPr>
            <w:r>
              <w:rPr>
                <w:sz w:val="24"/>
                <w:szCs w:val="24"/>
              </w:rPr>
              <w:t>1</w:t>
            </w:r>
            <w:r w:rsidR="003623B2" w:rsidRPr="006C0BF7">
              <w:rPr>
                <w:sz w:val="24"/>
                <w:szCs w:val="24"/>
              </w:rPr>
              <w:t>.1 Member account monitoring activity (use of websites, call centre enquiries)* (input, behaviour)</w:t>
            </w:r>
          </w:p>
        </w:tc>
        <w:tc>
          <w:tcPr>
            <w:tcW w:w="1596" w:type="dxa"/>
            <w:shd w:val="clear" w:color="auto" w:fill="auto"/>
          </w:tcPr>
          <w:p w:rsidR="003623B2" w:rsidRPr="006C0BF7" w:rsidRDefault="003623B2">
            <w:pPr>
              <w:rPr>
                <w:sz w:val="20"/>
              </w:rPr>
            </w:pPr>
            <w:r w:rsidRPr="006C0BF7">
              <w:rPr>
                <w:sz w:val="20"/>
              </w:rPr>
              <w:t>Trend analysis</w:t>
            </w:r>
          </w:p>
        </w:tc>
        <w:tc>
          <w:tcPr>
            <w:tcW w:w="1381" w:type="dxa"/>
            <w:shd w:val="clear" w:color="auto" w:fill="auto"/>
          </w:tcPr>
          <w:p w:rsidR="003623B2" w:rsidRPr="006C0BF7" w:rsidRDefault="003623B2">
            <w:pPr>
              <w:rPr>
                <w:sz w:val="20"/>
              </w:rPr>
            </w:pPr>
            <w:r w:rsidRPr="006C0BF7">
              <w:rPr>
                <w:sz w:val="20"/>
              </w:rPr>
              <w:t>Surveys, industry data</w:t>
            </w:r>
          </w:p>
        </w:tc>
        <w:tc>
          <w:tcPr>
            <w:tcW w:w="5954" w:type="dxa"/>
            <w:gridSpan w:val="2"/>
            <w:shd w:val="clear" w:color="auto" w:fill="auto"/>
          </w:tcPr>
          <w:p w:rsidR="003623B2" w:rsidRPr="006C0BF7" w:rsidRDefault="003623B2">
            <w:pPr>
              <w:rPr>
                <w:sz w:val="24"/>
                <w:szCs w:val="24"/>
              </w:rPr>
            </w:pPr>
            <w:r w:rsidRPr="006C0BF7">
              <w:rPr>
                <w:sz w:val="24"/>
                <w:szCs w:val="24"/>
              </w:rPr>
              <w:t>SUPPORT: As a general comment, for each indicator against this criteria, we recommend the Commission examine all of the metrics by age and balance – in our experience, participation rates for many of these engagement activities vary considerably by age</w:t>
            </w:r>
          </w:p>
          <w:p w:rsidR="003623B2" w:rsidRPr="006C0BF7" w:rsidRDefault="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3623B2">
            <w:pPr>
              <w:rPr>
                <w:sz w:val="24"/>
                <w:szCs w:val="24"/>
              </w:rPr>
            </w:pPr>
            <w:r w:rsidRPr="006C0BF7">
              <w:rPr>
                <w:sz w:val="24"/>
                <w:szCs w:val="24"/>
              </w:rPr>
              <w:t>1.2 Member awareness of key features of their superannuation, including insurance* (input)</w:t>
            </w:r>
          </w:p>
        </w:tc>
        <w:tc>
          <w:tcPr>
            <w:tcW w:w="1596" w:type="dxa"/>
            <w:shd w:val="clear" w:color="auto" w:fill="auto"/>
          </w:tcPr>
          <w:p w:rsidR="003623B2" w:rsidRPr="006C0BF7" w:rsidRDefault="003623B2">
            <w:pPr>
              <w:rPr>
                <w:sz w:val="20"/>
              </w:rPr>
            </w:pPr>
            <w:r w:rsidRPr="006C0BF7">
              <w:rPr>
                <w:sz w:val="20"/>
              </w:rPr>
              <w:t>Trend analysis, Quantitative</w:t>
            </w:r>
          </w:p>
        </w:tc>
        <w:tc>
          <w:tcPr>
            <w:tcW w:w="1381" w:type="dxa"/>
            <w:shd w:val="clear" w:color="auto" w:fill="auto"/>
          </w:tcPr>
          <w:p w:rsidR="003623B2" w:rsidRPr="006C0BF7" w:rsidRDefault="003623B2">
            <w:pPr>
              <w:rPr>
                <w:sz w:val="20"/>
              </w:rPr>
            </w:pPr>
            <w:r w:rsidRPr="006C0BF7">
              <w:rPr>
                <w:sz w:val="20"/>
              </w:rPr>
              <w:t>Surveys</w:t>
            </w:r>
          </w:p>
        </w:tc>
        <w:tc>
          <w:tcPr>
            <w:tcW w:w="5954" w:type="dxa"/>
            <w:gridSpan w:val="2"/>
            <w:shd w:val="clear" w:color="auto" w:fill="auto"/>
          </w:tcPr>
          <w:p w:rsidR="003623B2" w:rsidRPr="006C0BF7" w:rsidRDefault="003623B2">
            <w:pPr>
              <w:rPr>
                <w:sz w:val="24"/>
                <w:szCs w:val="24"/>
              </w:rPr>
            </w:pPr>
            <w:r w:rsidRPr="006C0BF7">
              <w:rPr>
                <w:sz w:val="24"/>
                <w:szCs w:val="24"/>
              </w:rPr>
              <w:t>SUPPORT: We recommend that any survey of members’ awareness include inquiry whether members understand their ability to choose their own super fund and member perceptions of the ease of making any change. We have found that things being ‘all too hard’ can often contribute to a lack of member engagement.</w:t>
            </w:r>
          </w:p>
          <w:p w:rsidR="003623B2" w:rsidRPr="006C0BF7" w:rsidRDefault="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3623B2">
            <w:pPr>
              <w:rPr>
                <w:sz w:val="24"/>
                <w:szCs w:val="24"/>
              </w:rPr>
            </w:pPr>
            <w:r w:rsidRPr="006C0BF7">
              <w:rPr>
                <w:sz w:val="24"/>
                <w:szCs w:val="24"/>
              </w:rPr>
              <w:t>1.3 Active member ratio (input)</w:t>
            </w:r>
          </w:p>
        </w:tc>
        <w:tc>
          <w:tcPr>
            <w:tcW w:w="1596" w:type="dxa"/>
            <w:shd w:val="clear" w:color="auto" w:fill="auto"/>
          </w:tcPr>
          <w:p w:rsidR="003623B2" w:rsidRPr="006C0BF7" w:rsidRDefault="003623B2">
            <w:pPr>
              <w:rPr>
                <w:sz w:val="20"/>
              </w:rPr>
            </w:pPr>
            <w:r w:rsidRPr="006C0BF7">
              <w:rPr>
                <w:sz w:val="20"/>
              </w:rPr>
              <w:t>Trend analysis</w:t>
            </w:r>
          </w:p>
        </w:tc>
        <w:tc>
          <w:tcPr>
            <w:tcW w:w="1381" w:type="dxa"/>
            <w:shd w:val="clear" w:color="auto" w:fill="auto"/>
          </w:tcPr>
          <w:p w:rsidR="003623B2" w:rsidRPr="006C0BF7" w:rsidRDefault="003623B2">
            <w:pPr>
              <w:rPr>
                <w:sz w:val="20"/>
              </w:rPr>
            </w:pPr>
            <w:r w:rsidRPr="006C0BF7">
              <w:rPr>
                <w:sz w:val="20"/>
              </w:rPr>
              <w:t>Surveys, industry data</w:t>
            </w:r>
          </w:p>
        </w:tc>
        <w:tc>
          <w:tcPr>
            <w:tcW w:w="5954" w:type="dxa"/>
            <w:gridSpan w:val="2"/>
            <w:shd w:val="clear" w:color="auto" w:fill="auto"/>
          </w:tcPr>
          <w:p w:rsidR="003623B2" w:rsidRPr="006C0BF7" w:rsidRDefault="003623B2" w:rsidP="003623B2">
            <w:pPr>
              <w:rPr>
                <w:sz w:val="24"/>
                <w:szCs w:val="24"/>
              </w:rPr>
            </w:pPr>
            <w:r w:rsidRPr="006C0BF7">
              <w:rPr>
                <w:sz w:val="24"/>
                <w:szCs w:val="24"/>
              </w:rPr>
              <w:t xml:space="preserve">DELETE: It is unclear what should be regarded as ‘active ’ – is it only members who have exercised choice of fund, choice of investment or choice of insurance or do broader engagements also count (such as contacting the helpline, checking balance online, using a fund’s retirement calculator, making voluntary contributions </w:t>
            </w:r>
            <w:r w:rsidR="004A2E15" w:rsidRPr="006C0BF7">
              <w:rPr>
                <w:sz w:val="24"/>
                <w:szCs w:val="24"/>
              </w:rPr>
              <w:t>etc.</w:t>
            </w:r>
            <w:r w:rsidRPr="006C0BF7">
              <w:rPr>
                <w:sz w:val="24"/>
                <w:szCs w:val="24"/>
              </w:rPr>
              <w:t xml:space="preserve">)? Are all pensioner members active since a pension is not a default product (other than some DB pensions)? Furthermore </w:t>
            </w:r>
            <w:r w:rsidRPr="006C0BF7">
              <w:rPr>
                <w:sz w:val="24"/>
                <w:szCs w:val="24"/>
              </w:rPr>
              <w:lastRenderedPageBreak/>
              <w:t>a lack of measurable activity does not necessarily imply a lack of engagement. Activity is also prompted by media reports, market volatility, legislative change and government announcements, so trends in member activity must be treated with great caution.</w:t>
            </w:r>
          </w:p>
          <w:p w:rsidR="003623B2" w:rsidRPr="006C0BF7" w:rsidRDefault="003623B2" w:rsidP="003623B2">
            <w:pPr>
              <w:rPr>
                <w:sz w:val="24"/>
                <w:szCs w:val="24"/>
              </w:rPr>
            </w:pPr>
            <w:r w:rsidRPr="006C0BF7">
              <w:rPr>
                <w:sz w:val="24"/>
                <w:szCs w:val="24"/>
              </w:rPr>
              <w:t xml:space="preserve">Given the subjectivity involved in determining who is ‘active’ and interpreting the meaning of this measure, we consider this indicator should be deleted.  </w:t>
            </w:r>
          </w:p>
          <w:p w:rsidR="003623B2" w:rsidRPr="006C0BF7" w:rsidRDefault="003623B2" w:rsidP="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3623B2">
            <w:pPr>
              <w:rPr>
                <w:sz w:val="24"/>
                <w:szCs w:val="24"/>
              </w:rPr>
            </w:pPr>
            <w:r w:rsidRPr="006C0BF7">
              <w:rPr>
                <w:sz w:val="24"/>
                <w:szCs w:val="24"/>
              </w:rPr>
              <w:lastRenderedPageBreak/>
              <w:t>1.4 Switching rate between and within default and choice funds and between institutional funds and SMSFs, by age and wealth (behaviour)</w:t>
            </w:r>
          </w:p>
          <w:p w:rsidR="003623B2" w:rsidRPr="006C0BF7" w:rsidRDefault="003623B2">
            <w:pPr>
              <w:rPr>
                <w:sz w:val="24"/>
                <w:szCs w:val="24"/>
              </w:rPr>
            </w:pPr>
          </w:p>
        </w:tc>
        <w:tc>
          <w:tcPr>
            <w:tcW w:w="1596" w:type="dxa"/>
            <w:shd w:val="clear" w:color="auto" w:fill="auto"/>
          </w:tcPr>
          <w:p w:rsidR="003623B2" w:rsidRPr="006C0BF7" w:rsidRDefault="003623B2">
            <w:pPr>
              <w:rPr>
                <w:sz w:val="20"/>
              </w:rPr>
            </w:pPr>
            <w:r w:rsidRPr="006C0BF7">
              <w:rPr>
                <w:sz w:val="20"/>
              </w:rPr>
              <w:t>Trend analysis</w:t>
            </w:r>
          </w:p>
        </w:tc>
        <w:tc>
          <w:tcPr>
            <w:tcW w:w="1381" w:type="dxa"/>
            <w:shd w:val="clear" w:color="auto" w:fill="auto"/>
          </w:tcPr>
          <w:p w:rsidR="003623B2" w:rsidRPr="006C0BF7" w:rsidRDefault="003623B2">
            <w:pPr>
              <w:rPr>
                <w:sz w:val="20"/>
              </w:rPr>
            </w:pPr>
            <w:r w:rsidRPr="006C0BF7">
              <w:rPr>
                <w:sz w:val="20"/>
              </w:rPr>
              <w:t>Surveys, regulator data</w:t>
            </w:r>
          </w:p>
        </w:tc>
        <w:tc>
          <w:tcPr>
            <w:tcW w:w="5954" w:type="dxa"/>
            <w:gridSpan w:val="2"/>
            <w:shd w:val="clear" w:color="auto" w:fill="auto"/>
          </w:tcPr>
          <w:p w:rsidR="003623B2" w:rsidRPr="006C0BF7" w:rsidRDefault="003623B2" w:rsidP="003623B2">
            <w:pPr>
              <w:rPr>
                <w:sz w:val="24"/>
                <w:szCs w:val="24"/>
              </w:rPr>
            </w:pPr>
            <w:r w:rsidRPr="006C0BF7">
              <w:rPr>
                <w:sz w:val="24"/>
                <w:szCs w:val="24"/>
              </w:rPr>
              <w:t xml:space="preserve">SUPPORT: However we note care will need to be taken in interpreting this indicator. As the draft report notes, passive member behaviour does not necessarily indicate member disengagement. </w:t>
            </w:r>
          </w:p>
          <w:p w:rsidR="003623B2" w:rsidRPr="006C0BF7" w:rsidRDefault="003623B2" w:rsidP="003623B2">
            <w:pPr>
              <w:rPr>
                <w:sz w:val="24"/>
                <w:szCs w:val="24"/>
              </w:rPr>
            </w:pPr>
            <w:r w:rsidRPr="006C0BF7">
              <w:rPr>
                <w:sz w:val="24"/>
                <w:szCs w:val="24"/>
              </w:rPr>
              <w:t>Switching behaviour is also influenced by external factors including the market volatility, media stories and government decisions.</w:t>
            </w:r>
          </w:p>
          <w:p w:rsidR="003623B2" w:rsidRPr="006C0BF7" w:rsidRDefault="003623B2" w:rsidP="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3623B2">
            <w:pPr>
              <w:rPr>
                <w:sz w:val="24"/>
                <w:szCs w:val="24"/>
              </w:rPr>
            </w:pPr>
            <w:r w:rsidRPr="006C0BF7">
              <w:rPr>
                <w:sz w:val="24"/>
                <w:szCs w:val="24"/>
              </w:rPr>
              <w:t>1.5 Default rates for funds, investment and retirement income products, and insurance (behaviour)</w:t>
            </w:r>
          </w:p>
          <w:p w:rsidR="003623B2" w:rsidRPr="006C0BF7" w:rsidRDefault="003623B2">
            <w:pPr>
              <w:rPr>
                <w:sz w:val="24"/>
                <w:szCs w:val="24"/>
              </w:rPr>
            </w:pPr>
          </w:p>
        </w:tc>
        <w:tc>
          <w:tcPr>
            <w:tcW w:w="1596" w:type="dxa"/>
            <w:shd w:val="clear" w:color="auto" w:fill="auto"/>
          </w:tcPr>
          <w:p w:rsidR="003623B2" w:rsidRPr="006C0BF7" w:rsidRDefault="003623B2">
            <w:pPr>
              <w:rPr>
                <w:sz w:val="20"/>
              </w:rPr>
            </w:pPr>
            <w:r w:rsidRPr="006C0BF7">
              <w:rPr>
                <w:sz w:val="20"/>
              </w:rPr>
              <w:t>Trend analysis</w:t>
            </w:r>
          </w:p>
        </w:tc>
        <w:tc>
          <w:tcPr>
            <w:tcW w:w="1381" w:type="dxa"/>
            <w:shd w:val="clear" w:color="auto" w:fill="auto"/>
          </w:tcPr>
          <w:p w:rsidR="003623B2" w:rsidRPr="006C0BF7" w:rsidRDefault="003623B2">
            <w:pPr>
              <w:rPr>
                <w:sz w:val="20"/>
              </w:rPr>
            </w:pPr>
            <w:r w:rsidRPr="006C0BF7">
              <w:rPr>
                <w:sz w:val="20"/>
              </w:rPr>
              <w:t>Surveys</w:t>
            </w:r>
          </w:p>
        </w:tc>
        <w:tc>
          <w:tcPr>
            <w:tcW w:w="5954" w:type="dxa"/>
            <w:gridSpan w:val="2"/>
            <w:shd w:val="clear" w:color="auto" w:fill="auto"/>
          </w:tcPr>
          <w:p w:rsidR="003623B2" w:rsidRPr="006C0BF7" w:rsidRDefault="003623B2">
            <w:pPr>
              <w:rPr>
                <w:sz w:val="24"/>
                <w:szCs w:val="24"/>
              </w:rPr>
            </w:pPr>
            <w:r w:rsidRPr="006C0BF7">
              <w:rPr>
                <w:sz w:val="24"/>
                <w:szCs w:val="24"/>
              </w:rPr>
              <w:t>SUPPORT:  However, we note there are no default retirement income products - members must agree to join. Default rates vary greatly between funds and by age so the conclusion that may be drawn from this analysis is not clear.</w:t>
            </w:r>
          </w:p>
          <w:p w:rsidR="003623B2" w:rsidRPr="006C0BF7" w:rsidRDefault="003623B2">
            <w:pPr>
              <w:rPr>
                <w:sz w:val="24"/>
                <w:szCs w:val="24"/>
              </w:rPr>
            </w:pPr>
          </w:p>
        </w:tc>
      </w:tr>
      <w:tr w:rsidR="002D3EE4" w:rsidRPr="006C0BF7" w:rsidTr="006C0BF7">
        <w:trPr>
          <w:jc w:val="center"/>
        </w:trPr>
        <w:tc>
          <w:tcPr>
            <w:tcW w:w="4928" w:type="dxa"/>
            <w:gridSpan w:val="2"/>
            <w:shd w:val="clear" w:color="auto" w:fill="auto"/>
          </w:tcPr>
          <w:p w:rsidR="003623B2" w:rsidRPr="006C0BF7" w:rsidRDefault="00872B81">
            <w:pPr>
              <w:rPr>
                <w:sz w:val="24"/>
                <w:szCs w:val="24"/>
              </w:rPr>
            </w:pPr>
            <w:r w:rsidRPr="006C0BF7">
              <w:rPr>
                <w:sz w:val="24"/>
                <w:szCs w:val="24"/>
              </w:rPr>
              <w:t>1.6 Duplicate accumulation accounts and insurance policies (output)</w:t>
            </w:r>
          </w:p>
        </w:tc>
        <w:tc>
          <w:tcPr>
            <w:tcW w:w="1596" w:type="dxa"/>
            <w:shd w:val="clear" w:color="auto" w:fill="auto"/>
          </w:tcPr>
          <w:p w:rsidR="003623B2" w:rsidRPr="006C0BF7" w:rsidRDefault="00872B81">
            <w:pPr>
              <w:rPr>
                <w:sz w:val="20"/>
              </w:rPr>
            </w:pPr>
            <w:r w:rsidRPr="006C0BF7">
              <w:rPr>
                <w:sz w:val="20"/>
              </w:rPr>
              <w:t>Trend analysis</w:t>
            </w:r>
          </w:p>
        </w:tc>
        <w:tc>
          <w:tcPr>
            <w:tcW w:w="1381" w:type="dxa"/>
            <w:shd w:val="clear" w:color="auto" w:fill="auto"/>
          </w:tcPr>
          <w:p w:rsidR="003623B2" w:rsidRPr="006C0BF7" w:rsidRDefault="00872B81">
            <w:pPr>
              <w:rPr>
                <w:sz w:val="20"/>
              </w:rPr>
            </w:pPr>
            <w:r w:rsidRPr="006C0BF7">
              <w:rPr>
                <w:sz w:val="20"/>
              </w:rPr>
              <w:t>Surveys</w:t>
            </w:r>
          </w:p>
        </w:tc>
        <w:tc>
          <w:tcPr>
            <w:tcW w:w="5954" w:type="dxa"/>
            <w:gridSpan w:val="2"/>
            <w:shd w:val="clear" w:color="auto" w:fill="auto"/>
          </w:tcPr>
          <w:p w:rsidR="003623B2" w:rsidRPr="006C0BF7" w:rsidRDefault="00872B81">
            <w:pPr>
              <w:rPr>
                <w:sz w:val="24"/>
                <w:szCs w:val="24"/>
              </w:rPr>
            </w:pPr>
            <w:r w:rsidRPr="006C0BF7">
              <w:rPr>
                <w:sz w:val="24"/>
                <w:szCs w:val="24"/>
              </w:rPr>
              <w:t xml:space="preserve">SUPPORT:  However we note survey results will be affected by member awareness It may also be worth considering a comparison of the total number of accounts with insurance cover (based on regulator data) with an estimate of the number of individuals </w:t>
            </w:r>
            <w:r w:rsidRPr="006C0BF7">
              <w:rPr>
                <w:sz w:val="24"/>
                <w:szCs w:val="24"/>
              </w:rPr>
              <w:lastRenderedPageBreak/>
              <w:t xml:space="preserve">under age 65 (say) with superannuation as a very broad measure of duplication of insurance (though cover in more than one fund will be intentional in a limited number of cases).  </w:t>
            </w:r>
          </w:p>
          <w:p w:rsidR="00872B81" w:rsidRPr="006C0BF7" w:rsidRDefault="00872B81">
            <w:pPr>
              <w:rPr>
                <w:sz w:val="24"/>
                <w:szCs w:val="24"/>
              </w:rPr>
            </w:pPr>
          </w:p>
        </w:tc>
      </w:tr>
      <w:tr w:rsidR="002D3EE4" w:rsidRPr="006C0BF7" w:rsidTr="006C0BF7">
        <w:trPr>
          <w:jc w:val="center"/>
        </w:trPr>
        <w:tc>
          <w:tcPr>
            <w:tcW w:w="4928" w:type="dxa"/>
            <w:gridSpan w:val="2"/>
            <w:shd w:val="clear" w:color="auto" w:fill="auto"/>
          </w:tcPr>
          <w:p w:rsidR="003623B2" w:rsidRPr="006C0BF7" w:rsidRDefault="00872B81">
            <w:pPr>
              <w:rPr>
                <w:sz w:val="24"/>
                <w:szCs w:val="24"/>
              </w:rPr>
            </w:pPr>
            <w:r w:rsidRPr="006C0BF7">
              <w:rPr>
                <w:sz w:val="24"/>
                <w:szCs w:val="24"/>
              </w:rPr>
              <w:lastRenderedPageBreak/>
              <w:t>1.7 Information collection by funds on key member characteristics* (input)</w:t>
            </w:r>
          </w:p>
          <w:p w:rsidR="00872B81" w:rsidRPr="006C0BF7" w:rsidRDefault="00872B81">
            <w:pPr>
              <w:rPr>
                <w:sz w:val="24"/>
                <w:szCs w:val="24"/>
              </w:rPr>
            </w:pPr>
          </w:p>
        </w:tc>
        <w:tc>
          <w:tcPr>
            <w:tcW w:w="1596" w:type="dxa"/>
            <w:shd w:val="clear" w:color="auto" w:fill="auto"/>
          </w:tcPr>
          <w:p w:rsidR="003623B2" w:rsidRPr="006C0BF7" w:rsidRDefault="00872B81">
            <w:pPr>
              <w:rPr>
                <w:sz w:val="20"/>
              </w:rPr>
            </w:pPr>
            <w:r w:rsidRPr="006C0BF7">
              <w:rPr>
                <w:sz w:val="20"/>
              </w:rPr>
              <w:t>Quantitative</w:t>
            </w:r>
          </w:p>
        </w:tc>
        <w:tc>
          <w:tcPr>
            <w:tcW w:w="1381" w:type="dxa"/>
            <w:shd w:val="clear" w:color="auto" w:fill="auto"/>
          </w:tcPr>
          <w:p w:rsidR="003623B2" w:rsidRPr="006C0BF7" w:rsidRDefault="00872B81">
            <w:pPr>
              <w:rPr>
                <w:sz w:val="20"/>
              </w:rPr>
            </w:pPr>
            <w:r w:rsidRPr="006C0BF7">
              <w:rPr>
                <w:sz w:val="20"/>
              </w:rPr>
              <w:t>Surveys, case studies</w:t>
            </w:r>
          </w:p>
        </w:tc>
        <w:tc>
          <w:tcPr>
            <w:tcW w:w="5954" w:type="dxa"/>
            <w:gridSpan w:val="2"/>
            <w:shd w:val="clear" w:color="auto" w:fill="auto"/>
          </w:tcPr>
          <w:p w:rsidR="003623B2" w:rsidRPr="006C0BF7" w:rsidRDefault="00872B81">
            <w:pPr>
              <w:rPr>
                <w:sz w:val="24"/>
                <w:szCs w:val="24"/>
              </w:rPr>
            </w:pPr>
            <w:r w:rsidRPr="006C0BF7">
              <w:rPr>
                <w:sz w:val="24"/>
                <w:szCs w:val="24"/>
              </w:rPr>
              <w:t xml:space="preserve">DELETE:  The definition of ‘key’ member characteristics is subjective. What characteristics are ‘key’ will vary between individuals depending on a variety of characteristics including their age, wealth, balance and investment options. We do not consider that the Commission can adequately survey the appropriateness of key member characteristics collected by funds and their contribution to system efficiency and/ or competitiveness. Hence, we recommend deletion of this indicator from the review wherever the Commission proposed to rely upon it.  </w:t>
            </w:r>
          </w:p>
          <w:p w:rsidR="00872B81" w:rsidRPr="006C0BF7" w:rsidRDefault="00872B81">
            <w:pPr>
              <w:rPr>
                <w:sz w:val="24"/>
                <w:szCs w:val="24"/>
              </w:rPr>
            </w:pPr>
          </w:p>
        </w:tc>
      </w:tr>
      <w:tr w:rsidR="002D3EE4" w:rsidRPr="006C0BF7" w:rsidTr="006C0BF7">
        <w:trPr>
          <w:jc w:val="center"/>
        </w:trPr>
        <w:tc>
          <w:tcPr>
            <w:tcW w:w="4928" w:type="dxa"/>
            <w:gridSpan w:val="2"/>
            <w:shd w:val="clear" w:color="auto" w:fill="auto"/>
          </w:tcPr>
          <w:p w:rsidR="00872B81" w:rsidRPr="006C0BF7" w:rsidRDefault="00872B81">
            <w:pPr>
              <w:rPr>
                <w:sz w:val="24"/>
                <w:szCs w:val="24"/>
              </w:rPr>
            </w:pPr>
            <w:r w:rsidRPr="006C0BF7">
              <w:rPr>
                <w:sz w:val="24"/>
                <w:szCs w:val="24"/>
              </w:rPr>
              <w:t>1.8 MERCER ADDED INDICATOR: Clarity and simplicity of relevant legal/ regulatory law and guidance</w:t>
            </w:r>
          </w:p>
          <w:p w:rsidR="00872B81" w:rsidRPr="006C0BF7" w:rsidRDefault="00872B81">
            <w:pPr>
              <w:rPr>
                <w:sz w:val="24"/>
                <w:szCs w:val="24"/>
              </w:rPr>
            </w:pPr>
          </w:p>
        </w:tc>
        <w:tc>
          <w:tcPr>
            <w:tcW w:w="1596" w:type="dxa"/>
            <w:shd w:val="clear" w:color="auto" w:fill="auto"/>
          </w:tcPr>
          <w:p w:rsidR="00872B81" w:rsidRPr="006C0BF7" w:rsidRDefault="00872B81">
            <w:pPr>
              <w:rPr>
                <w:sz w:val="20"/>
              </w:rPr>
            </w:pPr>
            <w:r w:rsidRPr="006C0BF7">
              <w:rPr>
                <w:sz w:val="20"/>
              </w:rPr>
              <w:t>Qualitative</w:t>
            </w:r>
          </w:p>
        </w:tc>
        <w:tc>
          <w:tcPr>
            <w:tcW w:w="1381" w:type="dxa"/>
            <w:shd w:val="clear" w:color="auto" w:fill="auto"/>
          </w:tcPr>
          <w:p w:rsidR="00872B81" w:rsidRPr="006C0BF7" w:rsidRDefault="00872B81">
            <w:pPr>
              <w:rPr>
                <w:sz w:val="20"/>
              </w:rPr>
            </w:pPr>
            <w:r w:rsidRPr="006C0BF7">
              <w:rPr>
                <w:sz w:val="20"/>
              </w:rPr>
              <w:t>Surveys, reports by others</w:t>
            </w:r>
          </w:p>
        </w:tc>
        <w:tc>
          <w:tcPr>
            <w:tcW w:w="5954" w:type="dxa"/>
            <w:gridSpan w:val="2"/>
            <w:shd w:val="clear" w:color="auto" w:fill="auto"/>
          </w:tcPr>
          <w:p w:rsidR="00872B81" w:rsidRPr="006C0BF7" w:rsidRDefault="00872B81">
            <w:pPr>
              <w:rPr>
                <w:sz w:val="24"/>
                <w:szCs w:val="24"/>
              </w:rPr>
            </w:pPr>
            <w:r w:rsidRPr="006C0BF7">
              <w:rPr>
                <w:sz w:val="24"/>
                <w:szCs w:val="24"/>
              </w:rPr>
              <w:t>A critical aspect of member engagement is accessible, concise, clear and adequately explained regulatory and legal arrangements. We believe an indicator like this is needed to acknowledge that the sheer complexity of the superannuation, tax and age pension systems is a major barrier to truly simple, easily understandable communications that promote member engagement.</w:t>
            </w:r>
          </w:p>
          <w:p w:rsidR="00872B81" w:rsidRPr="006C0BF7" w:rsidRDefault="00872B81">
            <w:pPr>
              <w:rPr>
                <w:sz w:val="24"/>
                <w:szCs w:val="24"/>
              </w:rPr>
            </w:pPr>
          </w:p>
        </w:tc>
      </w:tr>
    </w:tbl>
    <w:p w:rsidR="00872B81" w:rsidRDefault="00872B8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5103"/>
        <w:gridCol w:w="816"/>
      </w:tblGrid>
      <w:tr w:rsidR="00ED74A0" w:rsidTr="006C0BF7">
        <w:tc>
          <w:tcPr>
            <w:tcW w:w="13008" w:type="dxa"/>
            <w:gridSpan w:val="4"/>
            <w:tcBorders>
              <w:right w:val="nil"/>
            </w:tcBorders>
            <w:shd w:val="clear" w:color="auto" w:fill="auto"/>
          </w:tcPr>
          <w:p w:rsidR="00872B81" w:rsidRPr="006C0BF7" w:rsidRDefault="00872B81" w:rsidP="00872B81">
            <w:pPr>
              <w:rPr>
                <w:b/>
                <w:sz w:val="24"/>
                <w:szCs w:val="24"/>
              </w:rPr>
            </w:pPr>
            <w:r w:rsidRPr="006C0BF7">
              <w:rPr>
                <w:b/>
                <w:sz w:val="24"/>
                <w:szCs w:val="24"/>
              </w:rPr>
              <w:lastRenderedPageBreak/>
              <w:t xml:space="preserve">2. Are members and member intermediaries able to make informed decisions? </w:t>
            </w:r>
          </w:p>
          <w:p w:rsidR="00872B81" w:rsidRPr="006C0BF7" w:rsidRDefault="00872B81" w:rsidP="00872B81">
            <w:pPr>
              <w:rPr>
                <w:szCs w:val="22"/>
              </w:rPr>
            </w:pPr>
            <w:r w:rsidRPr="006C0BF7">
              <w:rPr>
                <w:sz w:val="24"/>
                <w:szCs w:val="24"/>
              </w:rPr>
              <w:t xml:space="preserve">          </w:t>
            </w:r>
            <w:r w:rsidRPr="006C0BF7">
              <w:rPr>
                <w:szCs w:val="22"/>
              </w:rPr>
              <w:t xml:space="preserve">Note: </w:t>
            </w:r>
            <w:r w:rsidRPr="006C0BF7">
              <w:rPr>
                <w:i/>
                <w:szCs w:val="22"/>
              </w:rPr>
              <w:t>Mercer recommends deletion of this criterion with specified indicators moved to criterion #4 – refer Attachment 2.</w:t>
            </w:r>
          </w:p>
        </w:tc>
        <w:tc>
          <w:tcPr>
            <w:tcW w:w="816" w:type="dxa"/>
            <w:tcBorders>
              <w:left w:val="nil"/>
            </w:tcBorders>
            <w:shd w:val="clear" w:color="auto" w:fill="auto"/>
          </w:tcPr>
          <w:p w:rsidR="00872B81" w:rsidRPr="006C0BF7" w:rsidRDefault="00872B81">
            <w:pPr>
              <w:rPr>
                <w:sz w:val="20"/>
              </w:rPr>
            </w:pPr>
          </w:p>
        </w:tc>
      </w:tr>
      <w:tr w:rsidR="002D3EE4" w:rsidTr="006C0BF7">
        <w:tc>
          <w:tcPr>
            <w:tcW w:w="4928" w:type="dxa"/>
            <w:shd w:val="clear" w:color="auto" w:fill="auto"/>
          </w:tcPr>
          <w:p w:rsidR="00872B81" w:rsidRPr="00402DE3" w:rsidRDefault="00872B81" w:rsidP="006C0BF7">
            <w:pPr>
              <w:pStyle w:val="TableBullet"/>
              <w:numPr>
                <w:ilvl w:val="0"/>
                <w:numId w:val="0"/>
              </w:numPr>
              <w:ind w:right="0"/>
              <w:rPr>
                <w:sz w:val="24"/>
                <w:szCs w:val="24"/>
              </w:rPr>
            </w:pPr>
            <w:r w:rsidRPr="00402DE3">
              <w:rPr>
                <w:sz w:val="24"/>
                <w:szCs w:val="24"/>
              </w:rPr>
              <w:t>2.1 Availability, cost and quality of information on fees and investment risks at product level* (input)</w:t>
            </w:r>
          </w:p>
          <w:p w:rsidR="00872B81" w:rsidRPr="00402DE3" w:rsidRDefault="00872B81" w:rsidP="006C0BF7">
            <w:pPr>
              <w:pStyle w:val="TableBullet"/>
              <w:numPr>
                <w:ilvl w:val="0"/>
                <w:numId w:val="0"/>
              </w:numPr>
              <w:ind w:right="0"/>
              <w:rPr>
                <w:sz w:val="24"/>
                <w:szCs w:val="24"/>
              </w:rPr>
            </w:pPr>
          </w:p>
        </w:tc>
        <w:tc>
          <w:tcPr>
            <w:tcW w:w="1559" w:type="dxa"/>
            <w:shd w:val="clear" w:color="auto" w:fill="auto"/>
          </w:tcPr>
          <w:p w:rsidR="00872B81" w:rsidRPr="006C0BF7" w:rsidRDefault="00872B81" w:rsidP="006C0BF7">
            <w:pPr>
              <w:pStyle w:val="TableBullet"/>
              <w:numPr>
                <w:ilvl w:val="0"/>
                <w:numId w:val="0"/>
              </w:numPr>
              <w:rPr>
                <w:sz w:val="20"/>
              </w:rPr>
            </w:pPr>
            <w:r w:rsidRPr="006C0BF7">
              <w:rPr>
                <w:sz w:val="20"/>
              </w:rPr>
              <w:t>Trend analysis; qualitative</w:t>
            </w:r>
          </w:p>
        </w:tc>
        <w:tc>
          <w:tcPr>
            <w:tcW w:w="1418" w:type="dxa"/>
            <w:shd w:val="clear" w:color="auto" w:fill="auto"/>
          </w:tcPr>
          <w:p w:rsidR="00872B81" w:rsidRPr="006C0BF7" w:rsidRDefault="00872B81" w:rsidP="006C0BF7">
            <w:pPr>
              <w:pStyle w:val="TableBullet"/>
              <w:numPr>
                <w:ilvl w:val="0"/>
                <w:numId w:val="0"/>
              </w:numPr>
              <w:rPr>
                <w:sz w:val="20"/>
              </w:rPr>
            </w:pPr>
            <w:r w:rsidRPr="006C0BF7">
              <w:rPr>
                <w:sz w:val="20"/>
              </w:rPr>
              <w:t>Surveys, industry data</w:t>
            </w:r>
          </w:p>
        </w:tc>
        <w:tc>
          <w:tcPr>
            <w:tcW w:w="5919" w:type="dxa"/>
            <w:gridSpan w:val="2"/>
            <w:shd w:val="clear" w:color="auto" w:fill="auto"/>
          </w:tcPr>
          <w:p w:rsidR="00872B81" w:rsidRPr="006C0BF7" w:rsidRDefault="00872B81" w:rsidP="006720DC">
            <w:pPr>
              <w:rPr>
                <w:sz w:val="24"/>
                <w:szCs w:val="24"/>
              </w:rPr>
            </w:pPr>
            <w:r w:rsidRPr="006C0BF7">
              <w:rPr>
                <w:sz w:val="24"/>
                <w:szCs w:val="24"/>
              </w:rPr>
              <w:t xml:space="preserve">Moved to criterion #4 assessment: </w:t>
            </w:r>
          </w:p>
          <w:p w:rsidR="00872B81" w:rsidRPr="006C0BF7" w:rsidRDefault="00872B81" w:rsidP="006720DC">
            <w:pPr>
              <w:rPr>
                <w:sz w:val="24"/>
                <w:szCs w:val="24"/>
              </w:rPr>
            </w:pPr>
            <w:r w:rsidRPr="006C0BF7">
              <w:rPr>
                <w:sz w:val="24"/>
                <w:szCs w:val="24"/>
              </w:rPr>
              <w:t xml:space="preserve"> </w:t>
            </w:r>
          </w:p>
        </w:tc>
      </w:tr>
      <w:tr w:rsidR="002D3EE4" w:rsidTr="006C0BF7">
        <w:tc>
          <w:tcPr>
            <w:tcW w:w="4928" w:type="dxa"/>
            <w:shd w:val="clear" w:color="auto" w:fill="auto"/>
          </w:tcPr>
          <w:p w:rsidR="00872B81" w:rsidRPr="00402DE3" w:rsidRDefault="00872B81" w:rsidP="006C0BF7">
            <w:pPr>
              <w:pStyle w:val="TableBullet"/>
              <w:numPr>
                <w:ilvl w:val="0"/>
                <w:numId w:val="0"/>
              </w:numPr>
              <w:rPr>
                <w:sz w:val="24"/>
                <w:szCs w:val="24"/>
              </w:rPr>
            </w:pPr>
            <w:r w:rsidRPr="00402DE3">
              <w:rPr>
                <w:sz w:val="24"/>
                <w:szCs w:val="24"/>
              </w:rPr>
              <w:t>2.2 Financial literacy and numeracy compared to an 'adequate' standard (input)</w:t>
            </w:r>
          </w:p>
          <w:p w:rsidR="00872B81" w:rsidRPr="00402DE3" w:rsidRDefault="00872B81" w:rsidP="006C0BF7">
            <w:pPr>
              <w:pStyle w:val="TableBullet"/>
              <w:numPr>
                <w:ilvl w:val="0"/>
                <w:numId w:val="0"/>
              </w:numPr>
              <w:rPr>
                <w:sz w:val="24"/>
                <w:szCs w:val="24"/>
              </w:rPr>
            </w:pPr>
          </w:p>
        </w:tc>
        <w:tc>
          <w:tcPr>
            <w:tcW w:w="1559" w:type="dxa"/>
            <w:shd w:val="clear" w:color="auto" w:fill="auto"/>
          </w:tcPr>
          <w:p w:rsidR="00872B81" w:rsidRPr="006C0BF7" w:rsidRDefault="00872B81" w:rsidP="006C0BF7">
            <w:pPr>
              <w:pStyle w:val="TableBullet"/>
              <w:numPr>
                <w:ilvl w:val="0"/>
                <w:numId w:val="0"/>
              </w:numPr>
              <w:rPr>
                <w:sz w:val="20"/>
              </w:rPr>
            </w:pPr>
            <w:r w:rsidRPr="006C0BF7">
              <w:rPr>
                <w:sz w:val="20"/>
              </w:rPr>
              <w:t>Trend analysis</w:t>
            </w:r>
          </w:p>
        </w:tc>
        <w:tc>
          <w:tcPr>
            <w:tcW w:w="1418" w:type="dxa"/>
            <w:shd w:val="clear" w:color="auto" w:fill="auto"/>
          </w:tcPr>
          <w:p w:rsidR="00872B81" w:rsidRPr="006C0BF7" w:rsidRDefault="00872B81" w:rsidP="006C0BF7">
            <w:pPr>
              <w:pStyle w:val="TableBullet"/>
              <w:numPr>
                <w:ilvl w:val="0"/>
                <w:numId w:val="0"/>
              </w:numPr>
              <w:rPr>
                <w:sz w:val="20"/>
              </w:rPr>
            </w:pPr>
            <w:r w:rsidRPr="006C0BF7">
              <w:rPr>
                <w:sz w:val="20"/>
              </w:rPr>
              <w:t>Surveys</w:t>
            </w:r>
          </w:p>
        </w:tc>
        <w:tc>
          <w:tcPr>
            <w:tcW w:w="5919" w:type="dxa"/>
            <w:gridSpan w:val="2"/>
            <w:shd w:val="clear" w:color="auto" w:fill="auto"/>
          </w:tcPr>
          <w:p w:rsidR="00872B81" w:rsidRPr="006C0BF7" w:rsidRDefault="00872B81" w:rsidP="006720DC">
            <w:pPr>
              <w:rPr>
                <w:sz w:val="24"/>
                <w:szCs w:val="24"/>
              </w:rPr>
            </w:pPr>
            <w:r w:rsidRPr="006C0BF7">
              <w:rPr>
                <w:sz w:val="24"/>
                <w:szCs w:val="24"/>
              </w:rPr>
              <w:t xml:space="preserve">Moved to criterion #4 assessment: </w:t>
            </w:r>
          </w:p>
          <w:p w:rsidR="00872B81" w:rsidRPr="006C0BF7" w:rsidRDefault="00872B81" w:rsidP="006720DC">
            <w:pPr>
              <w:rPr>
                <w:sz w:val="24"/>
                <w:szCs w:val="24"/>
              </w:rPr>
            </w:pPr>
          </w:p>
        </w:tc>
      </w:tr>
      <w:tr w:rsidR="002D3EE4" w:rsidTr="006C0BF7">
        <w:tc>
          <w:tcPr>
            <w:tcW w:w="4928" w:type="dxa"/>
            <w:shd w:val="clear" w:color="auto" w:fill="auto"/>
          </w:tcPr>
          <w:p w:rsidR="00872B81" w:rsidRPr="00402DE3" w:rsidRDefault="00872B81">
            <w:pPr>
              <w:rPr>
                <w:sz w:val="24"/>
                <w:szCs w:val="24"/>
              </w:rPr>
            </w:pPr>
            <w:r w:rsidRPr="00402DE3">
              <w:rPr>
                <w:sz w:val="24"/>
                <w:szCs w:val="24"/>
              </w:rPr>
              <w:t>2.3 Use of advisers by members and/or member intermediaries (input)</w:t>
            </w:r>
          </w:p>
        </w:tc>
        <w:tc>
          <w:tcPr>
            <w:tcW w:w="1559" w:type="dxa"/>
            <w:shd w:val="clear" w:color="auto" w:fill="auto"/>
          </w:tcPr>
          <w:p w:rsidR="00872B81" w:rsidRPr="006C0BF7" w:rsidRDefault="00872B81">
            <w:pPr>
              <w:rPr>
                <w:sz w:val="20"/>
              </w:rPr>
            </w:pPr>
            <w:r w:rsidRPr="006C0BF7">
              <w:rPr>
                <w:sz w:val="20"/>
              </w:rPr>
              <w:t>Trend analysis</w:t>
            </w:r>
          </w:p>
        </w:tc>
        <w:tc>
          <w:tcPr>
            <w:tcW w:w="1418" w:type="dxa"/>
            <w:shd w:val="clear" w:color="auto" w:fill="auto"/>
          </w:tcPr>
          <w:p w:rsidR="00872B81" w:rsidRPr="006C0BF7" w:rsidRDefault="00872B81">
            <w:pPr>
              <w:rPr>
                <w:sz w:val="20"/>
              </w:rPr>
            </w:pPr>
          </w:p>
        </w:tc>
        <w:tc>
          <w:tcPr>
            <w:tcW w:w="5919" w:type="dxa"/>
            <w:gridSpan w:val="2"/>
            <w:shd w:val="clear" w:color="auto" w:fill="auto"/>
          </w:tcPr>
          <w:p w:rsidR="00872B81" w:rsidRPr="006C0BF7" w:rsidRDefault="00872B81" w:rsidP="00872B81">
            <w:pPr>
              <w:rPr>
                <w:sz w:val="24"/>
                <w:szCs w:val="24"/>
              </w:rPr>
            </w:pPr>
            <w:r w:rsidRPr="006C0BF7">
              <w:rPr>
                <w:sz w:val="24"/>
                <w:szCs w:val="24"/>
              </w:rPr>
              <w:t>DELETE: We note that members’ use of a paid adviser is not necessarily indicative of the member being better informed so caution the Commission about placing undue emphasis on results from this indicator. There is great variety in the use of advisers within the industry and it will be difficult to obtain objective data and consequential results. We therefore recommend this indicator be deleted.</w:t>
            </w:r>
          </w:p>
          <w:p w:rsidR="00872B81" w:rsidRPr="006C0BF7" w:rsidRDefault="00872B81" w:rsidP="00872B81">
            <w:pPr>
              <w:rPr>
                <w:sz w:val="24"/>
                <w:szCs w:val="24"/>
              </w:rPr>
            </w:pPr>
          </w:p>
        </w:tc>
      </w:tr>
      <w:tr w:rsidR="002D3EE4" w:rsidTr="006C0BF7">
        <w:tc>
          <w:tcPr>
            <w:tcW w:w="4928" w:type="dxa"/>
            <w:shd w:val="clear" w:color="auto" w:fill="auto"/>
          </w:tcPr>
          <w:p w:rsidR="00872B81" w:rsidRPr="00402DE3" w:rsidRDefault="00872B81" w:rsidP="006C0BF7">
            <w:pPr>
              <w:pStyle w:val="TableBullet"/>
              <w:numPr>
                <w:ilvl w:val="0"/>
                <w:numId w:val="0"/>
              </w:numPr>
              <w:rPr>
                <w:sz w:val="24"/>
                <w:szCs w:val="24"/>
              </w:rPr>
            </w:pPr>
            <w:r w:rsidRPr="00402DE3">
              <w:rPr>
                <w:sz w:val="24"/>
                <w:szCs w:val="24"/>
              </w:rPr>
              <w:t>2.4 Capacity and willingness of employers to select a default fund (input)</w:t>
            </w:r>
          </w:p>
        </w:tc>
        <w:tc>
          <w:tcPr>
            <w:tcW w:w="1559" w:type="dxa"/>
            <w:shd w:val="clear" w:color="auto" w:fill="auto"/>
          </w:tcPr>
          <w:p w:rsidR="00872B81" w:rsidRPr="006C0BF7" w:rsidRDefault="00872B81">
            <w:pPr>
              <w:rPr>
                <w:sz w:val="20"/>
              </w:rPr>
            </w:pPr>
            <w:r w:rsidRPr="006C0BF7">
              <w:rPr>
                <w:sz w:val="20"/>
              </w:rPr>
              <w:t>Qualitative</w:t>
            </w:r>
          </w:p>
        </w:tc>
        <w:tc>
          <w:tcPr>
            <w:tcW w:w="1418" w:type="dxa"/>
            <w:shd w:val="clear" w:color="auto" w:fill="auto"/>
          </w:tcPr>
          <w:p w:rsidR="00872B81" w:rsidRPr="006C0BF7" w:rsidRDefault="00872B81">
            <w:pPr>
              <w:rPr>
                <w:sz w:val="20"/>
              </w:rPr>
            </w:pPr>
            <w:r w:rsidRPr="006C0BF7">
              <w:rPr>
                <w:sz w:val="20"/>
              </w:rPr>
              <w:t>Reviews by others</w:t>
            </w:r>
          </w:p>
        </w:tc>
        <w:tc>
          <w:tcPr>
            <w:tcW w:w="5919" w:type="dxa"/>
            <w:gridSpan w:val="2"/>
            <w:shd w:val="clear" w:color="auto" w:fill="auto"/>
          </w:tcPr>
          <w:p w:rsidR="00872B81" w:rsidRPr="006C0BF7" w:rsidRDefault="00872B81" w:rsidP="00872B81">
            <w:pPr>
              <w:rPr>
                <w:sz w:val="24"/>
                <w:szCs w:val="24"/>
              </w:rPr>
            </w:pPr>
            <w:r w:rsidRPr="006C0BF7">
              <w:rPr>
                <w:sz w:val="24"/>
                <w:szCs w:val="24"/>
              </w:rPr>
              <w:t xml:space="preserve">Moved to criterion #4 assessment. </w:t>
            </w:r>
          </w:p>
          <w:p w:rsidR="00872B81" w:rsidRPr="006C0BF7" w:rsidRDefault="00872B81">
            <w:pPr>
              <w:rPr>
                <w:sz w:val="24"/>
                <w:szCs w:val="24"/>
              </w:rPr>
            </w:pPr>
          </w:p>
        </w:tc>
      </w:tr>
    </w:tbl>
    <w:p w:rsidR="00C74119" w:rsidRDefault="00C7411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4961"/>
        <w:gridCol w:w="958"/>
      </w:tblGrid>
      <w:tr w:rsidR="00ED74A0" w:rsidTr="006C0BF7">
        <w:tc>
          <w:tcPr>
            <w:tcW w:w="12866" w:type="dxa"/>
            <w:gridSpan w:val="4"/>
            <w:tcBorders>
              <w:right w:val="nil"/>
            </w:tcBorders>
            <w:shd w:val="clear" w:color="auto" w:fill="auto"/>
          </w:tcPr>
          <w:p w:rsidR="006A4FD1" w:rsidRPr="006C0BF7" w:rsidRDefault="006A4FD1" w:rsidP="006C0BF7">
            <w:pPr>
              <w:pStyle w:val="TableBullet"/>
              <w:numPr>
                <w:ilvl w:val="0"/>
                <w:numId w:val="0"/>
              </w:numPr>
              <w:rPr>
                <w:b/>
                <w:sz w:val="24"/>
                <w:szCs w:val="24"/>
              </w:rPr>
            </w:pPr>
            <w:r w:rsidRPr="006C0BF7">
              <w:rPr>
                <w:b/>
                <w:sz w:val="24"/>
                <w:szCs w:val="24"/>
              </w:rPr>
              <w:lastRenderedPageBreak/>
              <w:t xml:space="preserve">3. Is there low market segmentation along member engagement lines? </w:t>
            </w:r>
          </w:p>
          <w:p w:rsidR="006A4FD1" w:rsidRPr="006C0BF7" w:rsidRDefault="006A4FD1" w:rsidP="006A4FD1">
            <w:pPr>
              <w:rPr>
                <w:sz w:val="20"/>
              </w:rPr>
            </w:pPr>
            <w:r w:rsidRPr="006C0BF7">
              <w:rPr>
                <w:szCs w:val="22"/>
              </w:rPr>
              <w:t xml:space="preserve">          Note:</w:t>
            </w:r>
            <w:r w:rsidRPr="006C0BF7">
              <w:rPr>
                <w:i/>
                <w:szCs w:val="22"/>
              </w:rPr>
              <w:t xml:space="preserve"> Mercer recommends deletion of this criterion and its indicators– refer Attachment 2.</w:t>
            </w:r>
          </w:p>
        </w:tc>
        <w:tc>
          <w:tcPr>
            <w:tcW w:w="958" w:type="dxa"/>
            <w:tcBorders>
              <w:left w:val="nil"/>
            </w:tcBorders>
            <w:shd w:val="clear" w:color="auto" w:fill="auto"/>
          </w:tcPr>
          <w:p w:rsidR="006A4FD1" w:rsidRPr="006C0BF7" w:rsidRDefault="006A4FD1">
            <w:pPr>
              <w:rPr>
                <w:sz w:val="24"/>
                <w:szCs w:val="24"/>
              </w:rPr>
            </w:pPr>
          </w:p>
        </w:tc>
      </w:tr>
      <w:tr w:rsidR="00C74119" w:rsidTr="006C0BF7">
        <w:tc>
          <w:tcPr>
            <w:tcW w:w="4928" w:type="dxa"/>
            <w:shd w:val="clear" w:color="auto" w:fill="auto"/>
          </w:tcPr>
          <w:p w:rsidR="00872B81" w:rsidRPr="006C0BF7" w:rsidRDefault="006A4FD1">
            <w:pPr>
              <w:rPr>
                <w:sz w:val="24"/>
                <w:szCs w:val="24"/>
              </w:rPr>
            </w:pPr>
            <w:r w:rsidRPr="006C0BF7">
              <w:rPr>
                <w:sz w:val="24"/>
                <w:szCs w:val="24"/>
              </w:rPr>
              <w:t>3.1 Fund expenditure on member retention relative to overall marketing expenditure (input)</w:t>
            </w:r>
          </w:p>
          <w:p w:rsidR="006A4FD1" w:rsidRPr="006C0BF7" w:rsidRDefault="006A4FD1">
            <w:pPr>
              <w:rPr>
                <w:sz w:val="24"/>
                <w:szCs w:val="24"/>
              </w:rPr>
            </w:pPr>
          </w:p>
        </w:tc>
        <w:tc>
          <w:tcPr>
            <w:tcW w:w="1559" w:type="dxa"/>
            <w:shd w:val="clear" w:color="auto" w:fill="auto"/>
          </w:tcPr>
          <w:p w:rsidR="00872B81" w:rsidRPr="006C0BF7" w:rsidRDefault="006A4FD1">
            <w:pPr>
              <w:rPr>
                <w:sz w:val="20"/>
              </w:rPr>
            </w:pPr>
            <w:r w:rsidRPr="006C0BF7">
              <w:rPr>
                <w:sz w:val="20"/>
              </w:rPr>
              <w:t>Trend analysis</w:t>
            </w:r>
          </w:p>
        </w:tc>
        <w:tc>
          <w:tcPr>
            <w:tcW w:w="1418" w:type="dxa"/>
            <w:shd w:val="clear" w:color="auto" w:fill="auto"/>
          </w:tcPr>
          <w:p w:rsidR="00872B81" w:rsidRPr="006C0BF7" w:rsidRDefault="006A4FD1">
            <w:pPr>
              <w:rPr>
                <w:sz w:val="20"/>
              </w:rPr>
            </w:pPr>
            <w:r w:rsidRPr="006C0BF7">
              <w:rPr>
                <w:sz w:val="20"/>
              </w:rPr>
              <w:t>Surveys</w:t>
            </w:r>
          </w:p>
        </w:tc>
        <w:tc>
          <w:tcPr>
            <w:tcW w:w="5919" w:type="dxa"/>
            <w:gridSpan w:val="2"/>
            <w:shd w:val="clear" w:color="auto" w:fill="auto"/>
          </w:tcPr>
          <w:p w:rsidR="00872B81" w:rsidRPr="006C0BF7" w:rsidRDefault="006A4FD1">
            <w:pPr>
              <w:rPr>
                <w:sz w:val="24"/>
                <w:szCs w:val="24"/>
              </w:rPr>
            </w:pPr>
            <w:r w:rsidRPr="006C0BF7">
              <w:rPr>
                <w:sz w:val="24"/>
                <w:szCs w:val="24"/>
              </w:rPr>
              <w:t>DELETE</w:t>
            </w:r>
          </w:p>
        </w:tc>
      </w:tr>
      <w:tr w:rsidR="00C74119" w:rsidTr="006C0BF7">
        <w:tc>
          <w:tcPr>
            <w:tcW w:w="4928" w:type="dxa"/>
            <w:shd w:val="clear" w:color="auto" w:fill="auto"/>
          </w:tcPr>
          <w:p w:rsidR="00872B81" w:rsidRPr="006C0BF7" w:rsidRDefault="006A4FD1">
            <w:pPr>
              <w:rPr>
                <w:sz w:val="24"/>
                <w:szCs w:val="24"/>
              </w:rPr>
            </w:pPr>
            <w:r w:rsidRPr="006C0BF7">
              <w:rPr>
                <w:sz w:val="24"/>
                <w:szCs w:val="24"/>
              </w:rPr>
              <w:t>3.2 Fee dispersion (between default and choice products, comparable products within a fund, and within products) (output)</w:t>
            </w:r>
          </w:p>
        </w:tc>
        <w:tc>
          <w:tcPr>
            <w:tcW w:w="1559" w:type="dxa"/>
            <w:shd w:val="clear" w:color="auto" w:fill="auto"/>
          </w:tcPr>
          <w:p w:rsidR="00872B81" w:rsidRPr="006C0BF7" w:rsidRDefault="006A4FD1">
            <w:pPr>
              <w:rPr>
                <w:sz w:val="20"/>
              </w:rPr>
            </w:pPr>
            <w:r w:rsidRPr="006C0BF7">
              <w:rPr>
                <w:sz w:val="20"/>
              </w:rPr>
              <w:t>Trend analysis</w:t>
            </w:r>
          </w:p>
        </w:tc>
        <w:tc>
          <w:tcPr>
            <w:tcW w:w="1418" w:type="dxa"/>
            <w:shd w:val="clear" w:color="auto" w:fill="auto"/>
          </w:tcPr>
          <w:p w:rsidR="00872B81" w:rsidRPr="006C0BF7" w:rsidRDefault="006A4FD1">
            <w:pPr>
              <w:rPr>
                <w:sz w:val="20"/>
              </w:rPr>
            </w:pPr>
            <w:r w:rsidRPr="006C0BF7">
              <w:rPr>
                <w:sz w:val="20"/>
              </w:rPr>
              <w:t>Surveys</w:t>
            </w:r>
          </w:p>
        </w:tc>
        <w:tc>
          <w:tcPr>
            <w:tcW w:w="5919" w:type="dxa"/>
            <w:gridSpan w:val="2"/>
            <w:shd w:val="clear" w:color="auto" w:fill="auto"/>
          </w:tcPr>
          <w:p w:rsidR="00872B81" w:rsidRPr="006C0BF7" w:rsidRDefault="006A4FD1">
            <w:pPr>
              <w:rPr>
                <w:sz w:val="24"/>
                <w:szCs w:val="24"/>
              </w:rPr>
            </w:pPr>
            <w:r w:rsidRPr="006C0BF7">
              <w:rPr>
                <w:sz w:val="24"/>
                <w:szCs w:val="24"/>
              </w:rPr>
              <w:t>DELETE</w:t>
            </w:r>
          </w:p>
        </w:tc>
      </w:tr>
    </w:tbl>
    <w:p w:rsidR="00C74119" w:rsidRDefault="00C74119">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559"/>
        <w:gridCol w:w="1418"/>
        <w:gridCol w:w="4110"/>
        <w:gridCol w:w="1809"/>
      </w:tblGrid>
      <w:tr w:rsidR="00ED74A0" w:rsidTr="006C0BF7">
        <w:tc>
          <w:tcPr>
            <w:tcW w:w="12015" w:type="dxa"/>
            <w:gridSpan w:val="4"/>
            <w:tcBorders>
              <w:right w:val="nil"/>
            </w:tcBorders>
            <w:shd w:val="clear" w:color="auto" w:fill="auto"/>
          </w:tcPr>
          <w:p w:rsidR="006A4FD1" w:rsidRPr="006C0BF7" w:rsidRDefault="006A4FD1">
            <w:pPr>
              <w:rPr>
                <w:b/>
                <w:sz w:val="24"/>
                <w:szCs w:val="24"/>
              </w:rPr>
            </w:pPr>
            <w:r w:rsidRPr="006C0BF7">
              <w:rPr>
                <w:b/>
                <w:sz w:val="24"/>
                <w:szCs w:val="24"/>
              </w:rPr>
              <w:lastRenderedPageBreak/>
              <w:t>4. Do active members and member intermediaries have sufficient countervailing power?</w:t>
            </w:r>
          </w:p>
        </w:tc>
        <w:tc>
          <w:tcPr>
            <w:tcW w:w="1809" w:type="dxa"/>
            <w:tcBorders>
              <w:left w:val="nil"/>
            </w:tcBorders>
            <w:shd w:val="clear" w:color="auto" w:fill="auto"/>
          </w:tcPr>
          <w:p w:rsidR="006A4FD1" w:rsidRPr="006C0BF7" w:rsidRDefault="006A4FD1">
            <w:pPr>
              <w:rPr>
                <w:sz w:val="24"/>
                <w:szCs w:val="24"/>
              </w:rPr>
            </w:pPr>
          </w:p>
        </w:tc>
      </w:tr>
      <w:tr w:rsidR="00C74119" w:rsidTr="006C0BF7">
        <w:tc>
          <w:tcPr>
            <w:tcW w:w="4928" w:type="dxa"/>
            <w:shd w:val="clear" w:color="auto" w:fill="auto"/>
          </w:tcPr>
          <w:p w:rsidR="006A4FD1" w:rsidRPr="00402DE3" w:rsidRDefault="006A4FD1" w:rsidP="006C0BF7">
            <w:pPr>
              <w:pStyle w:val="TableBullet"/>
              <w:numPr>
                <w:ilvl w:val="0"/>
                <w:numId w:val="0"/>
              </w:numPr>
              <w:ind w:right="0"/>
              <w:rPr>
                <w:sz w:val="24"/>
                <w:szCs w:val="24"/>
              </w:rPr>
            </w:pPr>
            <w:r w:rsidRPr="00402DE3">
              <w:rPr>
                <w:sz w:val="24"/>
                <w:szCs w:val="24"/>
              </w:rPr>
              <w:t>4.1 Fund and product switching costs (administrative, search and learning costs) (input)</w:t>
            </w:r>
          </w:p>
          <w:p w:rsidR="006A4FD1" w:rsidRPr="00402DE3" w:rsidRDefault="006A4FD1">
            <w:pPr>
              <w:rPr>
                <w:sz w:val="24"/>
                <w:szCs w:val="24"/>
              </w:rPr>
            </w:pPr>
          </w:p>
        </w:tc>
        <w:tc>
          <w:tcPr>
            <w:tcW w:w="1559" w:type="dxa"/>
            <w:shd w:val="clear" w:color="auto" w:fill="auto"/>
          </w:tcPr>
          <w:p w:rsidR="006A4FD1" w:rsidRPr="006C0BF7" w:rsidRDefault="006A4FD1">
            <w:pPr>
              <w:rPr>
                <w:sz w:val="20"/>
              </w:rPr>
            </w:pPr>
            <w:r w:rsidRPr="006C0BF7">
              <w:rPr>
                <w:sz w:val="20"/>
              </w:rPr>
              <w:t>Trend analysis</w:t>
            </w:r>
          </w:p>
        </w:tc>
        <w:tc>
          <w:tcPr>
            <w:tcW w:w="1418" w:type="dxa"/>
            <w:shd w:val="clear" w:color="auto" w:fill="auto"/>
          </w:tcPr>
          <w:p w:rsidR="006A4FD1" w:rsidRPr="006C0BF7" w:rsidRDefault="006A4FD1">
            <w:pPr>
              <w:rPr>
                <w:sz w:val="20"/>
              </w:rPr>
            </w:pPr>
            <w:r w:rsidRPr="006C0BF7">
              <w:rPr>
                <w:sz w:val="20"/>
              </w:rPr>
              <w:t>Surveys, industry data</w:t>
            </w:r>
          </w:p>
        </w:tc>
        <w:tc>
          <w:tcPr>
            <w:tcW w:w="5919" w:type="dxa"/>
            <w:gridSpan w:val="2"/>
            <w:shd w:val="clear" w:color="auto" w:fill="auto"/>
          </w:tcPr>
          <w:p w:rsidR="006A4FD1" w:rsidRPr="006C0BF7" w:rsidRDefault="006A4FD1">
            <w:pPr>
              <w:rPr>
                <w:sz w:val="24"/>
                <w:szCs w:val="24"/>
              </w:rPr>
            </w:pPr>
            <w:r w:rsidRPr="006C0BF7">
              <w:rPr>
                <w:sz w:val="24"/>
                <w:szCs w:val="24"/>
              </w:rPr>
              <w:t>SUPPORT</w:t>
            </w:r>
          </w:p>
        </w:tc>
      </w:tr>
      <w:tr w:rsidR="00C74119" w:rsidTr="006C0BF7">
        <w:tc>
          <w:tcPr>
            <w:tcW w:w="4928" w:type="dxa"/>
            <w:shd w:val="clear" w:color="auto" w:fill="auto"/>
          </w:tcPr>
          <w:p w:rsidR="006A4FD1" w:rsidRPr="00402DE3" w:rsidRDefault="006A4FD1">
            <w:pPr>
              <w:rPr>
                <w:sz w:val="24"/>
                <w:szCs w:val="24"/>
              </w:rPr>
            </w:pPr>
            <w:r w:rsidRPr="00402DE3">
              <w:rPr>
                <w:sz w:val="24"/>
                <w:szCs w:val="24"/>
              </w:rPr>
              <w:t>4.2 Size of the SMSF sector (funds and members) relative to institutional sector (output)</w:t>
            </w:r>
          </w:p>
          <w:p w:rsidR="006A4FD1" w:rsidRPr="00402DE3" w:rsidRDefault="006A4FD1">
            <w:pPr>
              <w:rPr>
                <w:sz w:val="24"/>
                <w:szCs w:val="24"/>
              </w:rPr>
            </w:pPr>
          </w:p>
        </w:tc>
        <w:tc>
          <w:tcPr>
            <w:tcW w:w="1559" w:type="dxa"/>
            <w:shd w:val="clear" w:color="auto" w:fill="auto"/>
          </w:tcPr>
          <w:p w:rsidR="006A4FD1" w:rsidRPr="006C0BF7" w:rsidRDefault="006A4FD1">
            <w:pPr>
              <w:rPr>
                <w:sz w:val="20"/>
              </w:rPr>
            </w:pPr>
            <w:r w:rsidRPr="006C0BF7">
              <w:rPr>
                <w:sz w:val="20"/>
              </w:rPr>
              <w:t>Trend analysis</w:t>
            </w:r>
          </w:p>
        </w:tc>
        <w:tc>
          <w:tcPr>
            <w:tcW w:w="1418" w:type="dxa"/>
            <w:shd w:val="clear" w:color="auto" w:fill="auto"/>
          </w:tcPr>
          <w:p w:rsidR="006A4FD1" w:rsidRPr="006C0BF7" w:rsidRDefault="006A4FD1">
            <w:pPr>
              <w:rPr>
                <w:sz w:val="20"/>
              </w:rPr>
            </w:pPr>
            <w:r w:rsidRPr="006C0BF7">
              <w:rPr>
                <w:sz w:val="20"/>
              </w:rPr>
              <w:t>Regulator data</w:t>
            </w:r>
          </w:p>
        </w:tc>
        <w:tc>
          <w:tcPr>
            <w:tcW w:w="5919" w:type="dxa"/>
            <w:gridSpan w:val="2"/>
            <w:shd w:val="clear" w:color="auto" w:fill="auto"/>
          </w:tcPr>
          <w:p w:rsidR="006A4FD1" w:rsidRPr="006C0BF7" w:rsidRDefault="006A4FD1">
            <w:pPr>
              <w:rPr>
                <w:sz w:val="24"/>
                <w:szCs w:val="24"/>
              </w:rPr>
            </w:pPr>
            <w:r w:rsidRPr="006C0BF7">
              <w:rPr>
                <w:sz w:val="24"/>
                <w:szCs w:val="24"/>
              </w:rPr>
              <w:t>DELETE: We consider this indicator is unnecessary given the Commission proposes to gather information on market shares as part of a separate indicator for this criterion.</w:t>
            </w:r>
          </w:p>
          <w:p w:rsidR="006A4FD1" w:rsidRPr="006C0BF7" w:rsidRDefault="006A4FD1">
            <w:pPr>
              <w:rPr>
                <w:sz w:val="24"/>
                <w:szCs w:val="24"/>
              </w:rPr>
            </w:pPr>
          </w:p>
        </w:tc>
      </w:tr>
      <w:tr w:rsidR="00C74119" w:rsidTr="006C0BF7">
        <w:tc>
          <w:tcPr>
            <w:tcW w:w="4928" w:type="dxa"/>
            <w:shd w:val="clear" w:color="auto" w:fill="auto"/>
          </w:tcPr>
          <w:p w:rsidR="006A4FD1" w:rsidRPr="00402DE3" w:rsidRDefault="006A4FD1">
            <w:pPr>
              <w:rPr>
                <w:sz w:val="24"/>
                <w:szCs w:val="24"/>
              </w:rPr>
            </w:pPr>
            <w:r w:rsidRPr="00402DE3">
              <w:rPr>
                <w:sz w:val="24"/>
                <w:szCs w:val="24"/>
              </w:rPr>
              <w:t>4.3 Switching rate from institutional funds to SMSFs (behaviour)</w:t>
            </w:r>
          </w:p>
          <w:p w:rsidR="006A4FD1" w:rsidRPr="00402DE3" w:rsidRDefault="006A4FD1">
            <w:pPr>
              <w:rPr>
                <w:sz w:val="24"/>
                <w:szCs w:val="24"/>
              </w:rPr>
            </w:pPr>
          </w:p>
        </w:tc>
        <w:tc>
          <w:tcPr>
            <w:tcW w:w="1559" w:type="dxa"/>
            <w:shd w:val="clear" w:color="auto" w:fill="auto"/>
          </w:tcPr>
          <w:p w:rsidR="006A4FD1" w:rsidRPr="006C0BF7" w:rsidRDefault="006A4FD1">
            <w:pPr>
              <w:rPr>
                <w:sz w:val="20"/>
              </w:rPr>
            </w:pPr>
            <w:r w:rsidRPr="006C0BF7">
              <w:rPr>
                <w:sz w:val="20"/>
              </w:rPr>
              <w:t>Trend analysis</w:t>
            </w:r>
          </w:p>
        </w:tc>
        <w:tc>
          <w:tcPr>
            <w:tcW w:w="1418" w:type="dxa"/>
            <w:shd w:val="clear" w:color="auto" w:fill="auto"/>
          </w:tcPr>
          <w:p w:rsidR="006A4FD1" w:rsidRPr="006C0BF7" w:rsidRDefault="006A4FD1">
            <w:pPr>
              <w:rPr>
                <w:sz w:val="20"/>
              </w:rPr>
            </w:pPr>
            <w:r w:rsidRPr="006C0BF7">
              <w:rPr>
                <w:sz w:val="20"/>
              </w:rPr>
              <w:t>Surveys, regulator data</w:t>
            </w:r>
          </w:p>
        </w:tc>
        <w:tc>
          <w:tcPr>
            <w:tcW w:w="5919" w:type="dxa"/>
            <w:gridSpan w:val="2"/>
            <w:shd w:val="clear" w:color="auto" w:fill="auto"/>
          </w:tcPr>
          <w:p w:rsidR="006A4FD1" w:rsidRPr="006C0BF7" w:rsidRDefault="006A4FD1">
            <w:pPr>
              <w:rPr>
                <w:sz w:val="24"/>
                <w:szCs w:val="24"/>
              </w:rPr>
            </w:pPr>
            <w:r w:rsidRPr="006C0BF7">
              <w:rPr>
                <w:sz w:val="24"/>
                <w:szCs w:val="24"/>
              </w:rPr>
              <w:t>SUPPORT: However, we note that multiple factors may result in switching to SMSFs that do not necessarily that do not necessarily translate as greater countervailing power so the findings from the indicator will have to be approached with care.</w:t>
            </w:r>
          </w:p>
          <w:p w:rsidR="006A4FD1" w:rsidRPr="006C0BF7" w:rsidRDefault="006A4FD1">
            <w:pPr>
              <w:rPr>
                <w:sz w:val="24"/>
                <w:szCs w:val="24"/>
              </w:rPr>
            </w:pPr>
          </w:p>
        </w:tc>
      </w:tr>
      <w:tr w:rsidR="00C74119" w:rsidTr="006C0BF7">
        <w:tc>
          <w:tcPr>
            <w:tcW w:w="4928" w:type="dxa"/>
            <w:shd w:val="clear" w:color="auto" w:fill="auto"/>
          </w:tcPr>
          <w:p w:rsidR="006A4FD1" w:rsidRPr="00402DE3" w:rsidRDefault="006A4FD1">
            <w:pPr>
              <w:rPr>
                <w:sz w:val="24"/>
                <w:szCs w:val="24"/>
              </w:rPr>
            </w:pPr>
            <w:r w:rsidRPr="00402DE3">
              <w:rPr>
                <w:sz w:val="24"/>
                <w:szCs w:val="24"/>
              </w:rPr>
              <w:t>4.4 Changes in market shares of funds (output)</w:t>
            </w:r>
          </w:p>
          <w:p w:rsidR="006A4FD1" w:rsidRPr="00402DE3" w:rsidRDefault="006A4FD1">
            <w:pPr>
              <w:rPr>
                <w:sz w:val="24"/>
                <w:szCs w:val="24"/>
              </w:rPr>
            </w:pPr>
          </w:p>
        </w:tc>
        <w:tc>
          <w:tcPr>
            <w:tcW w:w="1559" w:type="dxa"/>
            <w:shd w:val="clear" w:color="auto" w:fill="auto"/>
          </w:tcPr>
          <w:p w:rsidR="006A4FD1" w:rsidRPr="006C0BF7" w:rsidRDefault="006A4FD1">
            <w:pPr>
              <w:rPr>
                <w:sz w:val="20"/>
              </w:rPr>
            </w:pPr>
            <w:r w:rsidRPr="006C0BF7">
              <w:rPr>
                <w:sz w:val="20"/>
              </w:rPr>
              <w:t>Trend analysis</w:t>
            </w:r>
          </w:p>
        </w:tc>
        <w:tc>
          <w:tcPr>
            <w:tcW w:w="1418" w:type="dxa"/>
            <w:shd w:val="clear" w:color="auto" w:fill="auto"/>
          </w:tcPr>
          <w:p w:rsidR="006A4FD1" w:rsidRPr="006C0BF7" w:rsidRDefault="006A4FD1">
            <w:pPr>
              <w:rPr>
                <w:sz w:val="20"/>
              </w:rPr>
            </w:pPr>
            <w:r w:rsidRPr="006C0BF7">
              <w:rPr>
                <w:sz w:val="20"/>
              </w:rPr>
              <w:t>Regulator data</w:t>
            </w:r>
          </w:p>
        </w:tc>
        <w:tc>
          <w:tcPr>
            <w:tcW w:w="5919" w:type="dxa"/>
            <w:gridSpan w:val="2"/>
            <w:shd w:val="clear" w:color="auto" w:fill="auto"/>
          </w:tcPr>
          <w:p w:rsidR="006A4FD1" w:rsidRPr="006C0BF7" w:rsidRDefault="006A4FD1">
            <w:pPr>
              <w:rPr>
                <w:sz w:val="24"/>
                <w:szCs w:val="24"/>
              </w:rPr>
            </w:pPr>
            <w:r w:rsidRPr="006C0BF7">
              <w:rPr>
                <w:sz w:val="24"/>
                <w:szCs w:val="24"/>
              </w:rPr>
              <w:t>SUPPORT</w:t>
            </w:r>
          </w:p>
        </w:tc>
      </w:tr>
      <w:tr w:rsidR="00C74119" w:rsidTr="006C0BF7">
        <w:tc>
          <w:tcPr>
            <w:tcW w:w="4928" w:type="dxa"/>
            <w:shd w:val="clear" w:color="auto" w:fill="auto"/>
          </w:tcPr>
          <w:p w:rsidR="006A4FD1" w:rsidRPr="00402DE3" w:rsidRDefault="006A4FD1">
            <w:pPr>
              <w:rPr>
                <w:sz w:val="24"/>
                <w:szCs w:val="24"/>
              </w:rPr>
            </w:pPr>
            <w:r w:rsidRPr="00402DE3">
              <w:rPr>
                <w:sz w:val="24"/>
                <w:szCs w:val="24"/>
              </w:rPr>
              <w:t>4.5 Corporate fee discounts (output)</w:t>
            </w:r>
          </w:p>
        </w:tc>
        <w:tc>
          <w:tcPr>
            <w:tcW w:w="1559" w:type="dxa"/>
            <w:shd w:val="clear" w:color="auto" w:fill="auto"/>
          </w:tcPr>
          <w:p w:rsidR="006A4FD1" w:rsidRPr="006C0BF7" w:rsidRDefault="006A4FD1">
            <w:pPr>
              <w:rPr>
                <w:sz w:val="20"/>
              </w:rPr>
            </w:pPr>
            <w:r w:rsidRPr="006C0BF7">
              <w:rPr>
                <w:sz w:val="20"/>
              </w:rPr>
              <w:t>Trend analysis</w:t>
            </w:r>
          </w:p>
        </w:tc>
        <w:tc>
          <w:tcPr>
            <w:tcW w:w="1418" w:type="dxa"/>
            <w:shd w:val="clear" w:color="auto" w:fill="auto"/>
          </w:tcPr>
          <w:p w:rsidR="006A4FD1" w:rsidRPr="006C0BF7" w:rsidRDefault="006A4FD1">
            <w:pPr>
              <w:rPr>
                <w:sz w:val="20"/>
              </w:rPr>
            </w:pPr>
            <w:r w:rsidRPr="006C0BF7">
              <w:rPr>
                <w:sz w:val="20"/>
              </w:rPr>
              <w:t>Regulator data, industry data</w:t>
            </w:r>
          </w:p>
        </w:tc>
        <w:tc>
          <w:tcPr>
            <w:tcW w:w="5919" w:type="dxa"/>
            <w:gridSpan w:val="2"/>
            <w:shd w:val="clear" w:color="auto" w:fill="auto"/>
          </w:tcPr>
          <w:p w:rsidR="006A4FD1" w:rsidRPr="006C0BF7" w:rsidRDefault="006A4FD1">
            <w:pPr>
              <w:rPr>
                <w:sz w:val="24"/>
                <w:szCs w:val="24"/>
              </w:rPr>
            </w:pPr>
            <w:r w:rsidRPr="006C0BF7">
              <w:rPr>
                <w:sz w:val="24"/>
                <w:szCs w:val="24"/>
              </w:rPr>
              <w:t>SUPPORT</w:t>
            </w:r>
          </w:p>
        </w:tc>
      </w:tr>
    </w:tbl>
    <w:p w:rsidR="006C0BF7" w:rsidRPr="006C0BF7" w:rsidRDefault="006C0BF7" w:rsidP="006C0BF7">
      <w:pPr>
        <w:rPr>
          <w:vanish/>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142"/>
        <w:gridCol w:w="1417"/>
        <w:gridCol w:w="142"/>
        <w:gridCol w:w="1417"/>
        <w:gridCol w:w="142"/>
        <w:gridCol w:w="2410"/>
        <w:gridCol w:w="567"/>
        <w:gridCol w:w="1701"/>
        <w:gridCol w:w="425"/>
        <w:gridCol w:w="851"/>
      </w:tblGrid>
      <w:tr w:rsidR="00703227" w:rsidTr="00F95256">
        <w:tc>
          <w:tcPr>
            <w:tcW w:w="4928" w:type="dxa"/>
          </w:tcPr>
          <w:p w:rsidR="00703227" w:rsidRPr="00402DE3" w:rsidRDefault="00703227" w:rsidP="0079759C">
            <w:pPr>
              <w:pStyle w:val="TableBullet"/>
              <w:numPr>
                <w:ilvl w:val="0"/>
                <w:numId w:val="0"/>
              </w:numPr>
              <w:ind w:right="0"/>
              <w:rPr>
                <w:sz w:val="24"/>
                <w:szCs w:val="24"/>
              </w:rPr>
            </w:pPr>
            <w:r w:rsidRPr="00402DE3">
              <w:rPr>
                <w:sz w:val="24"/>
                <w:szCs w:val="24"/>
              </w:rPr>
              <w:lastRenderedPageBreak/>
              <w:t>4.</w:t>
            </w:r>
            <w:r w:rsidR="0079759C" w:rsidRPr="00402DE3">
              <w:rPr>
                <w:sz w:val="24"/>
                <w:szCs w:val="24"/>
              </w:rPr>
              <w:t>6</w:t>
            </w:r>
            <w:r w:rsidRPr="00402DE3">
              <w:rPr>
                <w:sz w:val="24"/>
                <w:szCs w:val="24"/>
              </w:rPr>
              <w:t xml:space="preserve"> MOVED CRITERION: Availability, cost and quality of information on fees and investment risks at product level* (input)</w:t>
            </w:r>
          </w:p>
        </w:tc>
        <w:tc>
          <w:tcPr>
            <w:tcW w:w="1559" w:type="dxa"/>
            <w:gridSpan w:val="2"/>
          </w:tcPr>
          <w:p w:rsidR="00703227" w:rsidRPr="00402DE3" w:rsidRDefault="00703227" w:rsidP="006B404D">
            <w:pPr>
              <w:pStyle w:val="TableBullet"/>
              <w:numPr>
                <w:ilvl w:val="0"/>
                <w:numId w:val="0"/>
              </w:numPr>
              <w:rPr>
                <w:sz w:val="20"/>
              </w:rPr>
            </w:pPr>
            <w:r w:rsidRPr="00402DE3">
              <w:rPr>
                <w:sz w:val="20"/>
              </w:rPr>
              <w:t>Trend analysis; qualitative</w:t>
            </w:r>
          </w:p>
        </w:tc>
        <w:tc>
          <w:tcPr>
            <w:tcW w:w="1559" w:type="dxa"/>
            <w:gridSpan w:val="2"/>
          </w:tcPr>
          <w:p w:rsidR="00703227" w:rsidRPr="00402DE3" w:rsidRDefault="00703227" w:rsidP="006B404D">
            <w:pPr>
              <w:pStyle w:val="TableBullet"/>
              <w:numPr>
                <w:ilvl w:val="0"/>
                <w:numId w:val="0"/>
              </w:numPr>
              <w:rPr>
                <w:sz w:val="20"/>
              </w:rPr>
            </w:pPr>
            <w:r w:rsidRPr="00402DE3">
              <w:rPr>
                <w:sz w:val="20"/>
              </w:rPr>
              <w:t>Surveys, industry data</w:t>
            </w:r>
          </w:p>
        </w:tc>
        <w:tc>
          <w:tcPr>
            <w:tcW w:w="6096" w:type="dxa"/>
            <w:gridSpan w:val="6"/>
          </w:tcPr>
          <w:p w:rsidR="00703227" w:rsidRPr="00402DE3" w:rsidRDefault="00703227" w:rsidP="006B404D">
            <w:pPr>
              <w:rPr>
                <w:sz w:val="24"/>
                <w:szCs w:val="24"/>
              </w:rPr>
            </w:pPr>
            <w:r w:rsidRPr="00402DE3">
              <w:rPr>
                <w:sz w:val="24"/>
                <w:szCs w:val="24"/>
              </w:rPr>
              <w:t xml:space="preserve">MOVED FROM CRITERION </w:t>
            </w:r>
            <w:r w:rsidR="00056983" w:rsidRPr="00402DE3">
              <w:rPr>
                <w:sz w:val="24"/>
                <w:szCs w:val="24"/>
              </w:rPr>
              <w:t>#</w:t>
            </w:r>
            <w:r w:rsidRPr="00402DE3">
              <w:rPr>
                <w:sz w:val="24"/>
                <w:szCs w:val="24"/>
              </w:rPr>
              <w:t>2</w:t>
            </w:r>
            <w:r w:rsidR="00056983" w:rsidRPr="00402DE3">
              <w:rPr>
                <w:sz w:val="24"/>
                <w:szCs w:val="24"/>
              </w:rPr>
              <w:t xml:space="preserve">: </w:t>
            </w:r>
            <w:r w:rsidRPr="00402DE3">
              <w:rPr>
                <w:sz w:val="24"/>
                <w:szCs w:val="24"/>
              </w:rPr>
              <w:t xml:space="preserve">We </w:t>
            </w:r>
            <w:r w:rsidR="009D2D14" w:rsidRPr="00402DE3">
              <w:rPr>
                <w:sz w:val="24"/>
                <w:szCs w:val="24"/>
              </w:rPr>
              <w:t xml:space="preserve">support this indicator in its current form but recommend that it be expanded to assess the availability of information </w:t>
            </w:r>
            <w:r w:rsidRPr="00402DE3">
              <w:rPr>
                <w:sz w:val="24"/>
                <w:szCs w:val="24"/>
              </w:rPr>
              <w:t>on investment returns as well as risks</w:t>
            </w:r>
            <w:r w:rsidR="009D2D14" w:rsidRPr="00402DE3">
              <w:rPr>
                <w:sz w:val="24"/>
                <w:szCs w:val="24"/>
              </w:rPr>
              <w:t>.</w:t>
            </w:r>
            <w:r w:rsidRPr="00402DE3">
              <w:rPr>
                <w:sz w:val="24"/>
                <w:szCs w:val="24"/>
              </w:rPr>
              <w:t xml:space="preserve"> </w:t>
            </w:r>
            <w:r w:rsidR="00492888" w:rsidRPr="00402DE3">
              <w:rPr>
                <w:sz w:val="24"/>
                <w:szCs w:val="24"/>
              </w:rPr>
              <w:t>Also, w</w:t>
            </w:r>
            <w:r w:rsidRPr="00402DE3">
              <w:rPr>
                <w:sz w:val="24"/>
                <w:szCs w:val="24"/>
              </w:rPr>
              <w:t>hy are insurance arrangements not relevant</w:t>
            </w:r>
            <w:r w:rsidR="009D2D14" w:rsidRPr="00402DE3">
              <w:rPr>
                <w:sz w:val="24"/>
                <w:szCs w:val="24"/>
              </w:rPr>
              <w:t xml:space="preserve"> for the purposes of this indicator </w:t>
            </w:r>
            <w:r w:rsidRPr="00402DE3">
              <w:rPr>
                <w:sz w:val="24"/>
                <w:szCs w:val="24"/>
              </w:rPr>
              <w:t>(admittedly these are more complex and not included in product dashboards)?</w:t>
            </w:r>
            <w:r w:rsidR="009D2D14" w:rsidRPr="00402DE3">
              <w:rPr>
                <w:sz w:val="24"/>
                <w:szCs w:val="24"/>
              </w:rPr>
              <w:t>.</w:t>
            </w:r>
          </w:p>
          <w:p w:rsidR="00703227" w:rsidRPr="00402DE3" w:rsidRDefault="009D2D14" w:rsidP="006B404D">
            <w:pPr>
              <w:rPr>
                <w:sz w:val="24"/>
                <w:szCs w:val="24"/>
              </w:rPr>
            </w:pPr>
            <w:r w:rsidRPr="00402DE3">
              <w:rPr>
                <w:sz w:val="24"/>
                <w:szCs w:val="24"/>
              </w:rPr>
              <w:t>To be effective, we note that t</w:t>
            </w:r>
            <w:r w:rsidR="00703227" w:rsidRPr="00402DE3">
              <w:rPr>
                <w:sz w:val="24"/>
                <w:szCs w:val="24"/>
              </w:rPr>
              <w:t>his indicator will need to be subdivided by product and by industry segment.</w:t>
            </w:r>
          </w:p>
          <w:p w:rsidR="00703227" w:rsidRPr="00402DE3" w:rsidRDefault="00703227" w:rsidP="006B404D">
            <w:pPr>
              <w:rPr>
                <w:sz w:val="24"/>
                <w:szCs w:val="24"/>
              </w:rPr>
            </w:pPr>
            <w:r w:rsidRPr="00402DE3">
              <w:rPr>
                <w:sz w:val="24"/>
                <w:szCs w:val="24"/>
              </w:rPr>
              <w:t xml:space="preserve"> </w:t>
            </w:r>
          </w:p>
        </w:tc>
      </w:tr>
      <w:tr w:rsidR="00703227" w:rsidTr="00F95256">
        <w:tc>
          <w:tcPr>
            <w:tcW w:w="4928" w:type="dxa"/>
          </w:tcPr>
          <w:p w:rsidR="00703227" w:rsidRPr="00402DE3" w:rsidRDefault="00703227" w:rsidP="0079759C">
            <w:pPr>
              <w:pStyle w:val="TableBullet"/>
              <w:numPr>
                <w:ilvl w:val="0"/>
                <w:numId w:val="0"/>
              </w:numPr>
              <w:rPr>
                <w:sz w:val="24"/>
                <w:szCs w:val="24"/>
              </w:rPr>
            </w:pPr>
            <w:r w:rsidRPr="00402DE3">
              <w:rPr>
                <w:sz w:val="24"/>
                <w:szCs w:val="24"/>
              </w:rPr>
              <w:t>4.</w:t>
            </w:r>
            <w:r w:rsidR="0079759C" w:rsidRPr="00402DE3">
              <w:rPr>
                <w:sz w:val="24"/>
                <w:szCs w:val="24"/>
              </w:rPr>
              <w:t>7</w:t>
            </w:r>
            <w:r w:rsidRPr="00402DE3">
              <w:rPr>
                <w:sz w:val="24"/>
                <w:szCs w:val="24"/>
              </w:rPr>
              <w:t xml:space="preserve"> MOVED CRITERION: Financial literacy and numeracy compared to an 'adequate' standard (input)</w:t>
            </w:r>
          </w:p>
        </w:tc>
        <w:tc>
          <w:tcPr>
            <w:tcW w:w="1559" w:type="dxa"/>
            <w:gridSpan w:val="2"/>
          </w:tcPr>
          <w:p w:rsidR="00703227" w:rsidRPr="00402DE3" w:rsidRDefault="00703227" w:rsidP="006B404D">
            <w:pPr>
              <w:pStyle w:val="TableBullet"/>
              <w:numPr>
                <w:ilvl w:val="0"/>
                <w:numId w:val="0"/>
              </w:numPr>
              <w:rPr>
                <w:sz w:val="20"/>
              </w:rPr>
            </w:pPr>
            <w:r w:rsidRPr="00402DE3">
              <w:rPr>
                <w:sz w:val="20"/>
              </w:rPr>
              <w:t>Trend analysis</w:t>
            </w:r>
          </w:p>
        </w:tc>
        <w:tc>
          <w:tcPr>
            <w:tcW w:w="1559" w:type="dxa"/>
            <w:gridSpan w:val="2"/>
          </w:tcPr>
          <w:p w:rsidR="00703227" w:rsidRPr="00402DE3" w:rsidRDefault="00703227" w:rsidP="006B404D">
            <w:pPr>
              <w:pStyle w:val="TableBullet"/>
              <w:numPr>
                <w:ilvl w:val="0"/>
                <w:numId w:val="0"/>
              </w:numPr>
              <w:rPr>
                <w:sz w:val="20"/>
              </w:rPr>
            </w:pPr>
            <w:r w:rsidRPr="00402DE3">
              <w:rPr>
                <w:sz w:val="20"/>
              </w:rPr>
              <w:t xml:space="preserve">Surveys; </w:t>
            </w:r>
            <w:r w:rsidRPr="00402DE3">
              <w:rPr>
                <w:sz w:val="20"/>
              </w:rPr>
              <w:br/>
              <w:t>ABS statistics</w:t>
            </w:r>
          </w:p>
        </w:tc>
        <w:tc>
          <w:tcPr>
            <w:tcW w:w="6096" w:type="dxa"/>
            <w:gridSpan w:val="6"/>
          </w:tcPr>
          <w:p w:rsidR="00703227" w:rsidRPr="00402DE3" w:rsidRDefault="00703227" w:rsidP="006B404D">
            <w:pPr>
              <w:rPr>
                <w:sz w:val="24"/>
                <w:szCs w:val="24"/>
              </w:rPr>
            </w:pPr>
            <w:r w:rsidRPr="00402DE3">
              <w:rPr>
                <w:sz w:val="24"/>
                <w:szCs w:val="24"/>
              </w:rPr>
              <w:t xml:space="preserve">MOVED FROM CRITERION </w:t>
            </w:r>
            <w:r w:rsidR="00056983" w:rsidRPr="00402DE3">
              <w:rPr>
                <w:sz w:val="24"/>
                <w:szCs w:val="24"/>
              </w:rPr>
              <w:t>#</w:t>
            </w:r>
            <w:r w:rsidRPr="00402DE3">
              <w:rPr>
                <w:sz w:val="24"/>
                <w:szCs w:val="24"/>
              </w:rPr>
              <w:t>2</w:t>
            </w:r>
            <w:r w:rsidR="009D2D14" w:rsidRPr="00402DE3">
              <w:rPr>
                <w:sz w:val="24"/>
                <w:szCs w:val="24"/>
              </w:rPr>
              <w:t xml:space="preserve">: </w:t>
            </w:r>
            <w:r w:rsidRPr="00402DE3">
              <w:rPr>
                <w:sz w:val="24"/>
                <w:szCs w:val="24"/>
              </w:rPr>
              <w:t>We agree this is a relevant indicator however the ‘adequate standard’ for this Indicator is subjective (and arguably varies depending on the product choices confronting the member). Clearly it cannot be an international benchmark given disparities in national education systems. The report should be clear that the primary responsibility for improving financial literacy and numeracy rests with Government.</w:t>
            </w:r>
          </w:p>
          <w:p w:rsidR="00703227" w:rsidRPr="00402DE3" w:rsidRDefault="00703227" w:rsidP="006B404D">
            <w:pPr>
              <w:rPr>
                <w:sz w:val="24"/>
                <w:szCs w:val="24"/>
              </w:rPr>
            </w:pPr>
          </w:p>
        </w:tc>
      </w:tr>
      <w:tr w:rsidR="00703227" w:rsidTr="00FA3402">
        <w:tc>
          <w:tcPr>
            <w:tcW w:w="4928" w:type="dxa"/>
            <w:tcBorders>
              <w:bottom w:val="single" w:sz="4" w:space="0" w:color="auto"/>
            </w:tcBorders>
          </w:tcPr>
          <w:p w:rsidR="00703227" w:rsidRPr="00402DE3" w:rsidRDefault="00703227" w:rsidP="0079759C">
            <w:pPr>
              <w:pStyle w:val="TableBullet"/>
              <w:numPr>
                <w:ilvl w:val="0"/>
                <w:numId w:val="0"/>
              </w:numPr>
              <w:rPr>
                <w:sz w:val="24"/>
                <w:szCs w:val="24"/>
              </w:rPr>
            </w:pPr>
            <w:r w:rsidRPr="00402DE3">
              <w:rPr>
                <w:sz w:val="24"/>
                <w:szCs w:val="24"/>
              </w:rPr>
              <w:t>4.</w:t>
            </w:r>
            <w:r w:rsidR="0079759C" w:rsidRPr="00402DE3">
              <w:rPr>
                <w:sz w:val="24"/>
                <w:szCs w:val="24"/>
              </w:rPr>
              <w:t>8</w:t>
            </w:r>
            <w:r w:rsidRPr="00402DE3">
              <w:rPr>
                <w:sz w:val="24"/>
                <w:szCs w:val="24"/>
              </w:rPr>
              <w:t xml:space="preserve"> MOVED CRITERION: Capacity and willingness of employers to select a default fund (input)</w:t>
            </w:r>
          </w:p>
        </w:tc>
        <w:tc>
          <w:tcPr>
            <w:tcW w:w="1559" w:type="dxa"/>
            <w:gridSpan w:val="2"/>
            <w:tcBorders>
              <w:bottom w:val="single" w:sz="4" w:space="0" w:color="auto"/>
            </w:tcBorders>
          </w:tcPr>
          <w:p w:rsidR="00703227" w:rsidRPr="00402DE3" w:rsidRDefault="00703227" w:rsidP="00A76056">
            <w:pPr>
              <w:pStyle w:val="TableBullet"/>
              <w:numPr>
                <w:ilvl w:val="0"/>
                <w:numId w:val="0"/>
              </w:numPr>
              <w:rPr>
                <w:sz w:val="20"/>
              </w:rPr>
            </w:pPr>
            <w:r w:rsidRPr="00402DE3">
              <w:rPr>
                <w:sz w:val="20"/>
              </w:rPr>
              <w:t>Qualitative</w:t>
            </w:r>
          </w:p>
        </w:tc>
        <w:tc>
          <w:tcPr>
            <w:tcW w:w="1559" w:type="dxa"/>
            <w:gridSpan w:val="2"/>
            <w:tcBorders>
              <w:bottom w:val="single" w:sz="4" w:space="0" w:color="auto"/>
            </w:tcBorders>
          </w:tcPr>
          <w:p w:rsidR="00703227" w:rsidRPr="00402DE3" w:rsidRDefault="00703227" w:rsidP="00A76056">
            <w:pPr>
              <w:pStyle w:val="TableBullet"/>
              <w:numPr>
                <w:ilvl w:val="0"/>
                <w:numId w:val="0"/>
              </w:numPr>
              <w:ind w:left="34" w:hanging="34"/>
              <w:rPr>
                <w:sz w:val="20"/>
              </w:rPr>
            </w:pPr>
            <w:r w:rsidRPr="00402DE3">
              <w:rPr>
                <w:sz w:val="20"/>
              </w:rPr>
              <w:t>Reviews by others</w:t>
            </w:r>
          </w:p>
        </w:tc>
        <w:tc>
          <w:tcPr>
            <w:tcW w:w="6096" w:type="dxa"/>
            <w:gridSpan w:val="6"/>
            <w:tcBorders>
              <w:bottom w:val="single" w:sz="4" w:space="0" w:color="auto"/>
            </w:tcBorders>
          </w:tcPr>
          <w:p w:rsidR="00703227" w:rsidRPr="00402DE3" w:rsidRDefault="00703227" w:rsidP="00CC3DDC">
            <w:pPr>
              <w:rPr>
                <w:sz w:val="24"/>
                <w:szCs w:val="24"/>
              </w:rPr>
            </w:pPr>
            <w:r w:rsidRPr="00402DE3">
              <w:rPr>
                <w:sz w:val="24"/>
                <w:szCs w:val="24"/>
              </w:rPr>
              <w:t xml:space="preserve">MOVED FROM CRITERION </w:t>
            </w:r>
            <w:r w:rsidR="009D2D14" w:rsidRPr="00402DE3">
              <w:rPr>
                <w:sz w:val="24"/>
                <w:szCs w:val="24"/>
              </w:rPr>
              <w:t>#</w:t>
            </w:r>
            <w:r w:rsidRPr="00402DE3">
              <w:rPr>
                <w:sz w:val="24"/>
                <w:szCs w:val="24"/>
              </w:rPr>
              <w:t>2</w:t>
            </w:r>
            <w:r w:rsidR="009D2D14" w:rsidRPr="00402DE3">
              <w:rPr>
                <w:sz w:val="24"/>
                <w:szCs w:val="24"/>
              </w:rPr>
              <w:t>:</w:t>
            </w:r>
            <w:r w:rsidRPr="00402DE3">
              <w:rPr>
                <w:sz w:val="24"/>
                <w:szCs w:val="24"/>
              </w:rPr>
              <w:t xml:space="preserve"> </w:t>
            </w:r>
            <w:r w:rsidRPr="00402DE3">
              <w:rPr>
                <w:b/>
                <w:sz w:val="24"/>
                <w:szCs w:val="24"/>
              </w:rPr>
              <w:t xml:space="preserve"> </w:t>
            </w:r>
            <w:r w:rsidRPr="00402DE3">
              <w:rPr>
                <w:sz w:val="24"/>
                <w:szCs w:val="24"/>
              </w:rPr>
              <w:t xml:space="preserve">Our experience is that many medium and large employers are willing to seek expert advice to help them select a high quality default fund suited to the needs of their employees, provided that their industrial agreements allow them the freedom to do so. </w:t>
            </w:r>
          </w:p>
          <w:p w:rsidR="00703227" w:rsidRPr="00402DE3" w:rsidRDefault="00703227" w:rsidP="00E4684B">
            <w:pPr>
              <w:rPr>
                <w:b/>
                <w:sz w:val="24"/>
                <w:szCs w:val="24"/>
              </w:rPr>
            </w:pPr>
          </w:p>
        </w:tc>
      </w:tr>
      <w:tr w:rsidR="00FA3402" w:rsidTr="00FA3402">
        <w:tc>
          <w:tcPr>
            <w:tcW w:w="4928" w:type="dxa"/>
            <w:tcBorders>
              <w:left w:val="nil"/>
              <w:bottom w:val="nil"/>
              <w:right w:val="nil"/>
            </w:tcBorders>
          </w:tcPr>
          <w:p w:rsidR="00FA3402" w:rsidRDefault="00FA3402" w:rsidP="0079759C">
            <w:pPr>
              <w:pStyle w:val="TableBullet"/>
              <w:numPr>
                <w:ilvl w:val="0"/>
                <w:numId w:val="0"/>
              </w:numPr>
              <w:rPr>
                <w:sz w:val="22"/>
                <w:szCs w:val="22"/>
              </w:rPr>
            </w:pPr>
          </w:p>
        </w:tc>
        <w:tc>
          <w:tcPr>
            <w:tcW w:w="1559" w:type="dxa"/>
            <w:gridSpan w:val="2"/>
            <w:tcBorders>
              <w:left w:val="nil"/>
              <w:bottom w:val="nil"/>
              <w:right w:val="nil"/>
            </w:tcBorders>
          </w:tcPr>
          <w:p w:rsidR="00FA3402" w:rsidRPr="00A76056" w:rsidRDefault="00FA3402" w:rsidP="00A76056">
            <w:pPr>
              <w:pStyle w:val="TableBullet"/>
              <w:numPr>
                <w:ilvl w:val="0"/>
                <w:numId w:val="0"/>
              </w:numPr>
              <w:rPr>
                <w:szCs w:val="18"/>
              </w:rPr>
            </w:pPr>
          </w:p>
        </w:tc>
        <w:tc>
          <w:tcPr>
            <w:tcW w:w="1559" w:type="dxa"/>
            <w:gridSpan w:val="2"/>
            <w:tcBorders>
              <w:left w:val="nil"/>
              <w:bottom w:val="nil"/>
              <w:right w:val="nil"/>
            </w:tcBorders>
          </w:tcPr>
          <w:p w:rsidR="00FA3402" w:rsidRPr="00A76056" w:rsidRDefault="00FA3402" w:rsidP="00A76056">
            <w:pPr>
              <w:pStyle w:val="TableBullet"/>
              <w:numPr>
                <w:ilvl w:val="0"/>
                <w:numId w:val="0"/>
              </w:numPr>
              <w:ind w:left="34" w:hanging="34"/>
              <w:rPr>
                <w:szCs w:val="18"/>
              </w:rPr>
            </w:pPr>
          </w:p>
        </w:tc>
        <w:tc>
          <w:tcPr>
            <w:tcW w:w="6096" w:type="dxa"/>
            <w:gridSpan w:val="6"/>
            <w:tcBorders>
              <w:left w:val="nil"/>
              <w:bottom w:val="nil"/>
              <w:right w:val="nil"/>
            </w:tcBorders>
          </w:tcPr>
          <w:p w:rsidR="00FA3402" w:rsidRPr="0079759C" w:rsidRDefault="00FA3402" w:rsidP="00CC3DDC">
            <w:pPr>
              <w:rPr>
                <w:szCs w:val="22"/>
              </w:rPr>
            </w:pPr>
          </w:p>
        </w:tc>
      </w:tr>
      <w:tr w:rsidR="00FA3402" w:rsidTr="00FA3402">
        <w:tc>
          <w:tcPr>
            <w:tcW w:w="12866" w:type="dxa"/>
            <w:gridSpan w:val="9"/>
            <w:tcBorders>
              <w:top w:val="single" w:sz="4" w:space="0" w:color="auto"/>
              <w:right w:val="nil"/>
            </w:tcBorders>
          </w:tcPr>
          <w:p w:rsidR="00FA3402" w:rsidRPr="00FA3402" w:rsidRDefault="00FA3402" w:rsidP="00A76056">
            <w:pPr>
              <w:pStyle w:val="TableBullet"/>
              <w:numPr>
                <w:ilvl w:val="0"/>
                <w:numId w:val="0"/>
              </w:numPr>
              <w:rPr>
                <w:b/>
                <w:sz w:val="24"/>
                <w:szCs w:val="24"/>
              </w:rPr>
            </w:pPr>
            <w:r w:rsidRPr="00FA3402">
              <w:rPr>
                <w:b/>
                <w:sz w:val="24"/>
                <w:szCs w:val="24"/>
              </w:rPr>
              <w:lastRenderedPageBreak/>
              <w:t>5. Are principal-agent problems being minimised?</w:t>
            </w:r>
          </w:p>
          <w:p w:rsidR="00FA3402" w:rsidRPr="00FA3402" w:rsidRDefault="00FA3402" w:rsidP="00A76056">
            <w:pPr>
              <w:pStyle w:val="TableBullet"/>
              <w:numPr>
                <w:ilvl w:val="0"/>
                <w:numId w:val="0"/>
              </w:numPr>
              <w:rPr>
                <w:sz w:val="22"/>
                <w:szCs w:val="22"/>
              </w:rPr>
            </w:pPr>
            <w:r>
              <w:rPr>
                <w:sz w:val="22"/>
                <w:szCs w:val="22"/>
              </w:rPr>
              <w:t xml:space="preserve">         </w:t>
            </w:r>
            <w:r w:rsidRPr="00FA3402">
              <w:rPr>
                <w:sz w:val="22"/>
                <w:szCs w:val="22"/>
              </w:rPr>
              <w:t xml:space="preserve">Note: </w:t>
            </w:r>
            <w:r w:rsidRPr="00FA3402">
              <w:rPr>
                <w:i/>
                <w:sz w:val="22"/>
                <w:szCs w:val="22"/>
              </w:rPr>
              <w:t>Mercer recommends deletion of this criterion and its indicators or suggests the criterion become more focused.</w:t>
            </w:r>
          </w:p>
        </w:tc>
        <w:tc>
          <w:tcPr>
            <w:tcW w:w="1276" w:type="dxa"/>
            <w:gridSpan w:val="2"/>
            <w:tcBorders>
              <w:top w:val="single" w:sz="4" w:space="0" w:color="auto"/>
              <w:left w:val="nil"/>
            </w:tcBorders>
          </w:tcPr>
          <w:p w:rsidR="00FA3402" w:rsidRDefault="00FA3402" w:rsidP="009D2D14">
            <w:pPr>
              <w:rPr>
                <w:sz w:val="24"/>
                <w:szCs w:val="24"/>
              </w:rPr>
            </w:pPr>
          </w:p>
        </w:tc>
      </w:tr>
      <w:tr w:rsidR="00703227" w:rsidTr="00F95256">
        <w:tc>
          <w:tcPr>
            <w:tcW w:w="5070" w:type="dxa"/>
            <w:gridSpan w:val="2"/>
          </w:tcPr>
          <w:p w:rsidR="00703227" w:rsidRPr="00402DE3" w:rsidRDefault="001973B9" w:rsidP="00A76056">
            <w:pPr>
              <w:pStyle w:val="TableBullet"/>
              <w:numPr>
                <w:ilvl w:val="0"/>
                <w:numId w:val="0"/>
              </w:numPr>
              <w:ind w:right="0"/>
              <w:rPr>
                <w:sz w:val="24"/>
                <w:szCs w:val="24"/>
              </w:rPr>
            </w:pPr>
            <w:r w:rsidRPr="00402DE3">
              <w:rPr>
                <w:sz w:val="24"/>
                <w:szCs w:val="24"/>
              </w:rPr>
              <w:t xml:space="preserve">5.1 </w:t>
            </w:r>
            <w:r w:rsidR="00703227" w:rsidRPr="00402DE3">
              <w:rPr>
                <w:sz w:val="24"/>
                <w:szCs w:val="24"/>
              </w:rPr>
              <w:t>Existing ratings of system wide quality of governance* (input)</w:t>
            </w:r>
          </w:p>
        </w:tc>
        <w:tc>
          <w:tcPr>
            <w:tcW w:w="1559" w:type="dxa"/>
            <w:gridSpan w:val="2"/>
          </w:tcPr>
          <w:p w:rsidR="00703227" w:rsidRPr="00A76056" w:rsidRDefault="00703227" w:rsidP="00A76056">
            <w:pPr>
              <w:pStyle w:val="TableBullet"/>
              <w:numPr>
                <w:ilvl w:val="0"/>
                <w:numId w:val="0"/>
              </w:numPr>
              <w:rPr>
                <w:sz w:val="20"/>
              </w:rPr>
            </w:pPr>
            <w:r w:rsidRPr="00A76056">
              <w:rPr>
                <w:sz w:val="20"/>
              </w:rPr>
              <w:t>Qualitative</w:t>
            </w:r>
          </w:p>
        </w:tc>
        <w:tc>
          <w:tcPr>
            <w:tcW w:w="1559" w:type="dxa"/>
            <w:gridSpan w:val="2"/>
          </w:tcPr>
          <w:p w:rsidR="00703227" w:rsidRPr="00A76056" w:rsidRDefault="00703227" w:rsidP="00A76056">
            <w:pPr>
              <w:pStyle w:val="TableBullet"/>
              <w:numPr>
                <w:ilvl w:val="0"/>
                <w:numId w:val="0"/>
              </w:numPr>
              <w:rPr>
                <w:sz w:val="20"/>
              </w:rPr>
            </w:pPr>
            <w:r w:rsidRPr="00A76056">
              <w:rPr>
                <w:sz w:val="20"/>
              </w:rPr>
              <w:t>Reviews by others</w:t>
            </w:r>
          </w:p>
        </w:tc>
        <w:tc>
          <w:tcPr>
            <w:tcW w:w="5954" w:type="dxa"/>
            <w:gridSpan w:val="5"/>
          </w:tcPr>
          <w:p w:rsidR="00056983" w:rsidRDefault="00AE52F9" w:rsidP="009D2D14">
            <w:pPr>
              <w:rPr>
                <w:sz w:val="24"/>
                <w:szCs w:val="24"/>
              </w:rPr>
            </w:pPr>
            <w:r>
              <w:rPr>
                <w:sz w:val="24"/>
                <w:szCs w:val="24"/>
              </w:rPr>
              <w:t xml:space="preserve">DELETE: </w:t>
            </w:r>
            <w:r w:rsidR="00056983">
              <w:rPr>
                <w:sz w:val="24"/>
                <w:szCs w:val="24"/>
              </w:rPr>
              <w:t>We do not consider an assessment of ratings of governance quality will assist an assessment of superannuation system</w:t>
            </w:r>
            <w:r w:rsidR="009D2D14">
              <w:rPr>
                <w:sz w:val="24"/>
                <w:szCs w:val="24"/>
              </w:rPr>
              <w:t xml:space="preserve"> competitiveness in this context</w:t>
            </w:r>
            <w:r w:rsidR="00056983">
              <w:rPr>
                <w:sz w:val="24"/>
                <w:szCs w:val="24"/>
              </w:rPr>
              <w:t xml:space="preserve">. </w:t>
            </w:r>
          </w:p>
          <w:p w:rsidR="009D2D14" w:rsidRPr="00AE52F9" w:rsidRDefault="009D2D14" w:rsidP="009D2D14">
            <w:pPr>
              <w:rPr>
                <w:sz w:val="24"/>
                <w:szCs w:val="24"/>
              </w:rPr>
            </w:pPr>
          </w:p>
        </w:tc>
      </w:tr>
      <w:tr w:rsidR="00703227" w:rsidTr="00F95256">
        <w:tc>
          <w:tcPr>
            <w:tcW w:w="5070" w:type="dxa"/>
            <w:gridSpan w:val="2"/>
          </w:tcPr>
          <w:p w:rsidR="00703227" w:rsidRPr="00402DE3" w:rsidRDefault="001973B9" w:rsidP="00A76056">
            <w:pPr>
              <w:pStyle w:val="TableBullet"/>
              <w:numPr>
                <w:ilvl w:val="0"/>
                <w:numId w:val="0"/>
              </w:numPr>
              <w:rPr>
                <w:sz w:val="24"/>
                <w:szCs w:val="24"/>
              </w:rPr>
            </w:pPr>
            <w:r w:rsidRPr="00402DE3">
              <w:rPr>
                <w:sz w:val="24"/>
                <w:szCs w:val="24"/>
              </w:rPr>
              <w:t xml:space="preserve">5.2 </w:t>
            </w:r>
            <w:r w:rsidR="00703227" w:rsidRPr="00402DE3">
              <w:rPr>
                <w:sz w:val="24"/>
                <w:szCs w:val="24"/>
              </w:rPr>
              <w:t>Accurate disclosure of trustee directors' and investment committee members' qualifications and relevant skills/experience, remuneration structures, and potential conflicts of interest due to related party dealings and competing duties* (behaviour)</w:t>
            </w:r>
          </w:p>
          <w:p w:rsidR="009D2D14" w:rsidRPr="00402DE3" w:rsidRDefault="009D2D14" w:rsidP="00A76056">
            <w:pPr>
              <w:pStyle w:val="TableBullet"/>
              <w:numPr>
                <w:ilvl w:val="0"/>
                <w:numId w:val="0"/>
              </w:numPr>
              <w:rPr>
                <w:sz w:val="24"/>
                <w:szCs w:val="24"/>
              </w:rPr>
            </w:pPr>
          </w:p>
        </w:tc>
        <w:tc>
          <w:tcPr>
            <w:tcW w:w="1559" w:type="dxa"/>
            <w:gridSpan w:val="2"/>
          </w:tcPr>
          <w:p w:rsidR="00703227" w:rsidRPr="00A76056" w:rsidRDefault="00703227" w:rsidP="00A76056">
            <w:pPr>
              <w:pStyle w:val="TableBullet"/>
              <w:numPr>
                <w:ilvl w:val="0"/>
                <w:numId w:val="0"/>
              </w:numPr>
              <w:rPr>
                <w:sz w:val="20"/>
              </w:rPr>
            </w:pPr>
            <w:r w:rsidRPr="00A76056">
              <w:rPr>
                <w:sz w:val="20"/>
              </w:rPr>
              <w:t>Qualitative</w:t>
            </w:r>
          </w:p>
        </w:tc>
        <w:tc>
          <w:tcPr>
            <w:tcW w:w="1559" w:type="dxa"/>
            <w:gridSpan w:val="2"/>
          </w:tcPr>
          <w:p w:rsidR="00703227" w:rsidRPr="00A76056" w:rsidRDefault="00703227" w:rsidP="00A76056">
            <w:pPr>
              <w:pStyle w:val="TableBullet"/>
              <w:numPr>
                <w:ilvl w:val="0"/>
                <w:numId w:val="0"/>
              </w:numPr>
              <w:rPr>
                <w:sz w:val="20"/>
              </w:rPr>
            </w:pPr>
            <w:r w:rsidRPr="00A76056">
              <w:rPr>
                <w:sz w:val="20"/>
              </w:rPr>
              <w:t>Review by others</w:t>
            </w:r>
          </w:p>
        </w:tc>
        <w:tc>
          <w:tcPr>
            <w:tcW w:w="5954" w:type="dxa"/>
            <w:gridSpan w:val="5"/>
          </w:tcPr>
          <w:p w:rsidR="00703227" w:rsidRPr="00A76056" w:rsidRDefault="00056983" w:rsidP="009D2D14">
            <w:pPr>
              <w:rPr>
                <w:sz w:val="24"/>
                <w:szCs w:val="24"/>
              </w:rPr>
            </w:pPr>
            <w:r>
              <w:rPr>
                <w:sz w:val="24"/>
                <w:szCs w:val="24"/>
              </w:rPr>
              <w:t xml:space="preserve">DELETE: </w:t>
            </w:r>
            <w:r w:rsidR="00703227" w:rsidRPr="00A76056">
              <w:rPr>
                <w:sz w:val="24"/>
                <w:szCs w:val="24"/>
              </w:rPr>
              <w:t>It is unclear what this indicator is intended to show.</w:t>
            </w:r>
            <w:r w:rsidR="00703227">
              <w:rPr>
                <w:sz w:val="24"/>
                <w:szCs w:val="24"/>
              </w:rPr>
              <w:t xml:space="preserve"> </w:t>
            </w:r>
            <w:r w:rsidR="009D2D14">
              <w:rPr>
                <w:sz w:val="24"/>
                <w:szCs w:val="24"/>
              </w:rPr>
              <w:t>If the Commission elects to proceed with this indicator, w</w:t>
            </w:r>
            <w:r w:rsidR="00703227">
              <w:rPr>
                <w:sz w:val="24"/>
                <w:szCs w:val="24"/>
              </w:rPr>
              <w:t xml:space="preserve">e would oppose </w:t>
            </w:r>
            <w:r w:rsidR="009D2D14">
              <w:rPr>
                <w:sz w:val="24"/>
                <w:szCs w:val="24"/>
              </w:rPr>
              <w:t xml:space="preserve">it </w:t>
            </w:r>
            <w:r w:rsidR="00703227">
              <w:rPr>
                <w:sz w:val="24"/>
                <w:szCs w:val="24"/>
              </w:rPr>
              <w:t>being tested against any ‘standard’ that exceeds legislated requirements.</w:t>
            </w:r>
          </w:p>
        </w:tc>
      </w:tr>
      <w:tr w:rsidR="00703227" w:rsidTr="00F95256">
        <w:tc>
          <w:tcPr>
            <w:tcW w:w="5070" w:type="dxa"/>
            <w:gridSpan w:val="2"/>
          </w:tcPr>
          <w:p w:rsidR="00703227" w:rsidRPr="00402DE3" w:rsidRDefault="001973B9" w:rsidP="00FA3402">
            <w:pPr>
              <w:pStyle w:val="TableBullet"/>
              <w:numPr>
                <w:ilvl w:val="0"/>
                <w:numId w:val="0"/>
              </w:numPr>
              <w:spacing w:after="0" w:line="240" w:lineRule="auto"/>
              <w:rPr>
                <w:sz w:val="24"/>
                <w:szCs w:val="24"/>
              </w:rPr>
            </w:pPr>
            <w:r w:rsidRPr="00402DE3">
              <w:rPr>
                <w:sz w:val="24"/>
                <w:szCs w:val="24"/>
              </w:rPr>
              <w:t xml:space="preserve">5.3 </w:t>
            </w:r>
            <w:r w:rsidR="00703227" w:rsidRPr="00402DE3">
              <w:rPr>
                <w:sz w:val="24"/>
                <w:szCs w:val="24"/>
              </w:rPr>
              <w:t>Contraventions of regulator governance standards by trustees, employers, service providers and financial advisers* (behaviour)</w:t>
            </w: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Trend analysis</w:t>
            </w: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Regulator data</w:t>
            </w:r>
          </w:p>
        </w:tc>
        <w:tc>
          <w:tcPr>
            <w:tcW w:w="5954" w:type="dxa"/>
            <w:gridSpan w:val="5"/>
          </w:tcPr>
          <w:p w:rsidR="00703227" w:rsidRDefault="00056983" w:rsidP="00FA3402">
            <w:pPr>
              <w:spacing w:line="240" w:lineRule="auto"/>
              <w:rPr>
                <w:sz w:val="24"/>
                <w:szCs w:val="24"/>
              </w:rPr>
            </w:pPr>
            <w:r>
              <w:rPr>
                <w:sz w:val="24"/>
                <w:szCs w:val="24"/>
              </w:rPr>
              <w:t xml:space="preserve">DELETE: </w:t>
            </w:r>
            <w:r w:rsidR="00703227" w:rsidRPr="00A76056">
              <w:rPr>
                <w:sz w:val="24"/>
                <w:szCs w:val="24"/>
              </w:rPr>
              <w:t xml:space="preserve">The contraventions </w:t>
            </w:r>
            <w:r w:rsidR="009D2D14">
              <w:rPr>
                <w:sz w:val="24"/>
                <w:szCs w:val="24"/>
              </w:rPr>
              <w:t xml:space="preserve">described in this indicator </w:t>
            </w:r>
            <w:r w:rsidR="00703227" w:rsidRPr="00A76056">
              <w:rPr>
                <w:sz w:val="24"/>
                <w:szCs w:val="24"/>
              </w:rPr>
              <w:t xml:space="preserve">(many of which are minor) very </w:t>
            </w:r>
            <w:r w:rsidR="00703227">
              <w:rPr>
                <w:sz w:val="24"/>
                <w:szCs w:val="24"/>
              </w:rPr>
              <w:t xml:space="preserve">rarely have anything </w:t>
            </w:r>
            <w:r w:rsidR="00703227" w:rsidRPr="00A76056">
              <w:rPr>
                <w:sz w:val="24"/>
                <w:szCs w:val="24"/>
              </w:rPr>
              <w:t xml:space="preserve">to do with principal-agent issues.  Rather they are </w:t>
            </w:r>
            <w:r w:rsidR="00703227">
              <w:rPr>
                <w:sz w:val="24"/>
                <w:szCs w:val="24"/>
              </w:rPr>
              <w:t xml:space="preserve">generally technical infringements </w:t>
            </w:r>
            <w:r w:rsidR="00703227" w:rsidRPr="00A76056">
              <w:rPr>
                <w:sz w:val="24"/>
                <w:szCs w:val="24"/>
              </w:rPr>
              <w:t>driven by the detailed require</w:t>
            </w:r>
            <w:r w:rsidR="00703227">
              <w:rPr>
                <w:sz w:val="24"/>
                <w:szCs w:val="24"/>
              </w:rPr>
              <w:t>ments</w:t>
            </w:r>
            <w:r w:rsidR="00703227" w:rsidRPr="00A76056">
              <w:rPr>
                <w:sz w:val="24"/>
                <w:szCs w:val="24"/>
              </w:rPr>
              <w:t xml:space="preserve"> of legislation.</w:t>
            </w:r>
          </w:p>
          <w:p w:rsidR="009D2D14" w:rsidRPr="00A76056" w:rsidRDefault="009D2D14" w:rsidP="00FA3402">
            <w:pPr>
              <w:spacing w:line="240" w:lineRule="auto"/>
              <w:rPr>
                <w:sz w:val="24"/>
                <w:szCs w:val="24"/>
              </w:rPr>
            </w:pPr>
          </w:p>
        </w:tc>
      </w:tr>
      <w:tr w:rsidR="00703227" w:rsidTr="00F95256">
        <w:tc>
          <w:tcPr>
            <w:tcW w:w="5070" w:type="dxa"/>
            <w:gridSpan w:val="2"/>
          </w:tcPr>
          <w:p w:rsidR="00703227" w:rsidRPr="00402DE3" w:rsidRDefault="001973B9" w:rsidP="00FA3402">
            <w:pPr>
              <w:pStyle w:val="TableBullet"/>
              <w:numPr>
                <w:ilvl w:val="0"/>
                <w:numId w:val="0"/>
              </w:numPr>
              <w:spacing w:after="0" w:line="240" w:lineRule="auto"/>
              <w:rPr>
                <w:sz w:val="24"/>
                <w:szCs w:val="24"/>
              </w:rPr>
            </w:pPr>
            <w:r w:rsidRPr="00402DE3">
              <w:rPr>
                <w:sz w:val="24"/>
                <w:szCs w:val="24"/>
              </w:rPr>
              <w:t xml:space="preserve">5.4 </w:t>
            </w:r>
            <w:r w:rsidR="00703227" w:rsidRPr="00402DE3">
              <w:rPr>
                <w:sz w:val="24"/>
                <w:szCs w:val="24"/>
              </w:rPr>
              <w:t>Level of skills and standard of performance for trustee boards and investment committees, including review processes* (input)</w:t>
            </w:r>
          </w:p>
          <w:p w:rsidR="0079759C" w:rsidRPr="00402DE3" w:rsidRDefault="0079759C" w:rsidP="00FA3402">
            <w:pPr>
              <w:pStyle w:val="TableBullet"/>
              <w:numPr>
                <w:ilvl w:val="0"/>
                <w:numId w:val="0"/>
              </w:numPr>
              <w:spacing w:after="0" w:line="240" w:lineRule="auto"/>
              <w:rPr>
                <w:sz w:val="24"/>
                <w:szCs w:val="24"/>
              </w:rPr>
            </w:pP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Qualitative</w:t>
            </w: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Surveys; reviews by others</w:t>
            </w:r>
          </w:p>
        </w:tc>
        <w:tc>
          <w:tcPr>
            <w:tcW w:w="5954" w:type="dxa"/>
            <w:gridSpan w:val="5"/>
          </w:tcPr>
          <w:p w:rsidR="00703227" w:rsidRPr="00A76056" w:rsidRDefault="00056983" w:rsidP="00FA3402">
            <w:pPr>
              <w:spacing w:line="240" w:lineRule="auto"/>
              <w:rPr>
                <w:sz w:val="24"/>
                <w:szCs w:val="24"/>
              </w:rPr>
            </w:pPr>
            <w:r>
              <w:rPr>
                <w:sz w:val="24"/>
                <w:szCs w:val="24"/>
              </w:rPr>
              <w:t xml:space="preserve">DELETE: </w:t>
            </w:r>
            <w:r w:rsidR="00703227" w:rsidRPr="00A76056">
              <w:rPr>
                <w:sz w:val="24"/>
                <w:szCs w:val="24"/>
              </w:rPr>
              <w:t>It is unclear how the evidence will illustrate the level of skills within the trustee board.</w:t>
            </w:r>
          </w:p>
        </w:tc>
      </w:tr>
      <w:tr w:rsidR="00703227" w:rsidTr="0079759C">
        <w:trPr>
          <w:trHeight w:val="838"/>
        </w:trPr>
        <w:tc>
          <w:tcPr>
            <w:tcW w:w="5070" w:type="dxa"/>
            <w:gridSpan w:val="2"/>
          </w:tcPr>
          <w:p w:rsidR="00703227" w:rsidRPr="00402DE3" w:rsidRDefault="001973B9" w:rsidP="00FA3402">
            <w:pPr>
              <w:pStyle w:val="TableBullet"/>
              <w:numPr>
                <w:ilvl w:val="0"/>
                <w:numId w:val="0"/>
              </w:numPr>
              <w:spacing w:after="0" w:line="240" w:lineRule="auto"/>
              <w:rPr>
                <w:sz w:val="24"/>
                <w:szCs w:val="24"/>
              </w:rPr>
            </w:pPr>
            <w:r w:rsidRPr="00402DE3">
              <w:rPr>
                <w:sz w:val="24"/>
                <w:szCs w:val="24"/>
              </w:rPr>
              <w:lastRenderedPageBreak/>
              <w:t xml:space="preserve">5.5 </w:t>
            </w:r>
            <w:r w:rsidR="00703227" w:rsidRPr="00402DE3">
              <w:rPr>
                <w:sz w:val="24"/>
                <w:szCs w:val="24"/>
              </w:rPr>
              <w:t>Member satisfaction and trust* (outcome)</w:t>
            </w: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Trend analysis</w:t>
            </w:r>
          </w:p>
        </w:tc>
        <w:tc>
          <w:tcPr>
            <w:tcW w:w="1559" w:type="dxa"/>
            <w:gridSpan w:val="2"/>
          </w:tcPr>
          <w:p w:rsidR="00703227" w:rsidRPr="00A76056" w:rsidRDefault="00703227" w:rsidP="00FA3402">
            <w:pPr>
              <w:pStyle w:val="TableBullet"/>
              <w:numPr>
                <w:ilvl w:val="0"/>
                <w:numId w:val="0"/>
              </w:numPr>
              <w:spacing w:after="0" w:line="240" w:lineRule="auto"/>
              <w:rPr>
                <w:sz w:val="20"/>
              </w:rPr>
            </w:pPr>
            <w:r w:rsidRPr="00A76056">
              <w:rPr>
                <w:sz w:val="20"/>
              </w:rPr>
              <w:t>Surveys</w:t>
            </w:r>
          </w:p>
        </w:tc>
        <w:tc>
          <w:tcPr>
            <w:tcW w:w="5954" w:type="dxa"/>
            <w:gridSpan w:val="5"/>
          </w:tcPr>
          <w:p w:rsidR="00703227" w:rsidRDefault="00056983" w:rsidP="00FA3402">
            <w:pPr>
              <w:spacing w:line="240" w:lineRule="auto"/>
              <w:rPr>
                <w:sz w:val="24"/>
                <w:szCs w:val="24"/>
              </w:rPr>
            </w:pPr>
            <w:r>
              <w:rPr>
                <w:sz w:val="24"/>
                <w:szCs w:val="24"/>
              </w:rPr>
              <w:t xml:space="preserve">DELETE: </w:t>
            </w:r>
            <w:r w:rsidR="00703227">
              <w:rPr>
                <w:sz w:val="24"/>
                <w:szCs w:val="24"/>
              </w:rPr>
              <w:t xml:space="preserve">Experience indicates that member satisfaction and trust at any time are greatly influenced by recent investment performance. Regulatory changes also have a significant impact on member trust. </w:t>
            </w:r>
            <w:r w:rsidR="009D2D14">
              <w:rPr>
                <w:sz w:val="24"/>
                <w:szCs w:val="24"/>
              </w:rPr>
              <w:t>We consider i</w:t>
            </w:r>
            <w:r w:rsidR="00703227">
              <w:rPr>
                <w:sz w:val="24"/>
                <w:szCs w:val="24"/>
              </w:rPr>
              <w:t xml:space="preserve">t will be challenging </w:t>
            </w:r>
            <w:r w:rsidR="009D2D14">
              <w:rPr>
                <w:sz w:val="24"/>
                <w:szCs w:val="24"/>
              </w:rPr>
              <w:t xml:space="preserve">and almost impossible for the Commission </w:t>
            </w:r>
            <w:r w:rsidR="00703227">
              <w:rPr>
                <w:sz w:val="24"/>
                <w:szCs w:val="24"/>
              </w:rPr>
              <w:t>to separate out these influences and obtain an objective assessment of a trustee’s performance across the range of matters under a trustee’s control.</w:t>
            </w:r>
          </w:p>
          <w:p w:rsidR="00056983" w:rsidRPr="00A76056" w:rsidRDefault="00056983" w:rsidP="00FA3402">
            <w:pPr>
              <w:spacing w:line="240" w:lineRule="auto"/>
              <w:rPr>
                <w:sz w:val="24"/>
                <w:szCs w:val="24"/>
              </w:rPr>
            </w:pPr>
          </w:p>
        </w:tc>
      </w:tr>
      <w:tr w:rsidR="00A7099E" w:rsidTr="00A7099E">
        <w:tc>
          <w:tcPr>
            <w:tcW w:w="10598" w:type="dxa"/>
            <w:gridSpan w:val="7"/>
            <w:tcBorders>
              <w:right w:val="nil"/>
            </w:tcBorders>
          </w:tcPr>
          <w:p w:rsidR="00A7099E" w:rsidRPr="00A7099E" w:rsidRDefault="00A7099E" w:rsidP="00A7099E">
            <w:pPr>
              <w:pStyle w:val="TableBullet"/>
              <w:numPr>
                <w:ilvl w:val="0"/>
                <w:numId w:val="0"/>
              </w:numPr>
              <w:ind w:right="0"/>
              <w:rPr>
                <w:sz w:val="22"/>
                <w:szCs w:val="22"/>
              </w:rPr>
            </w:pPr>
            <w:r w:rsidRPr="00A7099E">
              <w:rPr>
                <w:b/>
                <w:sz w:val="24"/>
                <w:szCs w:val="24"/>
              </w:rPr>
              <w:t>6. Is there rivalry among incumbent providers?</w:t>
            </w:r>
            <w:r>
              <w:rPr>
                <w:b/>
                <w:sz w:val="24"/>
                <w:szCs w:val="24"/>
              </w:rPr>
              <w:br/>
            </w:r>
            <w:r>
              <w:rPr>
                <w:sz w:val="22"/>
                <w:szCs w:val="22"/>
              </w:rPr>
              <w:t xml:space="preserve">           Note: </w:t>
            </w:r>
            <w:r w:rsidRPr="00A7099E">
              <w:rPr>
                <w:i/>
                <w:sz w:val="22"/>
                <w:szCs w:val="22"/>
              </w:rPr>
              <w:t>Mercer recommends this criterion be refined</w:t>
            </w:r>
          </w:p>
        </w:tc>
        <w:tc>
          <w:tcPr>
            <w:tcW w:w="567" w:type="dxa"/>
            <w:tcBorders>
              <w:left w:val="nil"/>
              <w:right w:val="nil"/>
            </w:tcBorders>
          </w:tcPr>
          <w:p w:rsidR="00A7099E" w:rsidRPr="00A76056" w:rsidRDefault="00A7099E" w:rsidP="00A76056">
            <w:pPr>
              <w:pStyle w:val="TableBullet"/>
              <w:numPr>
                <w:ilvl w:val="0"/>
                <w:numId w:val="0"/>
              </w:numPr>
              <w:ind w:left="170" w:hanging="170"/>
              <w:rPr>
                <w:szCs w:val="18"/>
              </w:rPr>
            </w:pPr>
          </w:p>
        </w:tc>
        <w:tc>
          <w:tcPr>
            <w:tcW w:w="2126" w:type="dxa"/>
            <w:gridSpan w:val="2"/>
            <w:tcBorders>
              <w:left w:val="nil"/>
              <w:right w:val="nil"/>
            </w:tcBorders>
          </w:tcPr>
          <w:p w:rsidR="00A7099E" w:rsidRPr="00A76056" w:rsidRDefault="00A7099E" w:rsidP="00A76056">
            <w:pPr>
              <w:pStyle w:val="TableBullet"/>
              <w:numPr>
                <w:ilvl w:val="0"/>
                <w:numId w:val="0"/>
              </w:numPr>
              <w:ind w:left="170" w:hanging="170"/>
              <w:rPr>
                <w:szCs w:val="18"/>
              </w:rPr>
            </w:pPr>
          </w:p>
        </w:tc>
        <w:tc>
          <w:tcPr>
            <w:tcW w:w="851" w:type="dxa"/>
            <w:tcBorders>
              <w:left w:val="nil"/>
            </w:tcBorders>
          </w:tcPr>
          <w:p w:rsidR="00A7099E" w:rsidRPr="00BF42D1" w:rsidRDefault="00A7099E" w:rsidP="00E4684B">
            <w:pPr>
              <w:rPr>
                <w:sz w:val="24"/>
                <w:szCs w:val="24"/>
              </w:rPr>
            </w:pPr>
          </w:p>
        </w:tc>
      </w:tr>
      <w:tr w:rsidR="00703227" w:rsidTr="00F95256">
        <w:tc>
          <w:tcPr>
            <w:tcW w:w="5070" w:type="dxa"/>
            <w:gridSpan w:val="2"/>
          </w:tcPr>
          <w:p w:rsidR="00703227" w:rsidRPr="00402DE3" w:rsidRDefault="00703227" w:rsidP="00A76056">
            <w:pPr>
              <w:pStyle w:val="TableBullet"/>
              <w:numPr>
                <w:ilvl w:val="0"/>
                <w:numId w:val="0"/>
              </w:numPr>
              <w:ind w:right="0"/>
              <w:rPr>
                <w:sz w:val="24"/>
                <w:szCs w:val="24"/>
              </w:rPr>
            </w:pPr>
            <w:r w:rsidRPr="00402DE3">
              <w:rPr>
                <w:sz w:val="24"/>
                <w:szCs w:val="24"/>
              </w:rPr>
              <w:t>6.1 Market concentration (Herfindahl Hirschman Index and market shares of largest providers) (output)</w:t>
            </w:r>
          </w:p>
        </w:tc>
        <w:tc>
          <w:tcPr>
            <w:tcW w:w="1559" w:type="dxa"/>
            <w:gridSpan w:val="2"/>
          </w:tcPr>
          <w:p w:rsidR="00703227" w:rsidRPr="00402DE3" w:rsidRDefault="00703227" w:rsidP="00402DE3">
            <w:pPr>
              <w:pStyle w:val="TableBullet"/>
              <w:numPr>
                <w:ilvl w:val="0"/>
                <w:numId w:val="0"/>
              </w:numPr>
              <w:rPr>
                <w:sz w:val="20"/>
              </w:rPr>
            </w:pPr>
            <w:r w:rsidRPr="00402DE3">
              <w:rPr>
                <w:sz w:val="20"/>
              </w:rPr>
              <w:t>Trend analysis</w:t>
            </w:r>
          </w:p>
        </w:tc>
        <w:tc>
          <w:tcPr>
            <w:tcW w:w="1559" w:type="dxa"/>
            <w:gridSpan w:val="2"/>
          </w:tcPr>
          <w:p w:rsidR="00703227" w:rsidRPr="00402DE3" w:rsidRDefault="00703227" w:rsidP="00402DE3">
            <w:pPr>
              <w:pStyle w:val="TableBullet"/>
              <w:numPr>
                <w:ilvl w:val="0"/>
                <w:numId w:val="0"/>
              </w:numPr>
              <w:rPr>
                <w:sz w:val="20"/>
              </w:rPr>
            </w:pPr>
            <w:r w:rsidRPr="00402DE3">
              <w:rPr>
                <w:sz w:val="20"/>
              </w:rPr>
              <w:t>Regulator data</w:t>
            </w:r>
          </w:p>
        </w:tc>
        <w:tc>
          <w:tcPr>
            <w:tcW w:w="5954" w:type="dxa"/>
            <w:gridSpan w:val="5"/>
          </w:tcPr>
          <w:p w:rsidR="00703227" w:rsidRPr="00BF42D1" w:rsidRDefault="00703227" w:rsidP="00E4684B">
            <w:pPr>
              <w:rPr>
                <w:sz w:val="24"/>
                <w:szCs w:val="24"/>
              </w:rPr>
            </w:pPr>
            <w:r w:rsidRPr="00BF42D1">
              <w:rPr>
                <w:sz w:val="24"/>
                <w:szCs w:val="24"/>
              </w:rPr>
              <w:t>SUPPORT</w:t>
            </w:r>
          </w:p>
        </w:tc>
      </w:tr>
      <w:tr w:rsidR="00703227" w:rsidTr="00F95256">
        <w:tc>
          <w:tcPr>
            <w:tcW w:w="5070" w:type="dxa"/>
            <w:gridSpan w:val="2"/>
          </w:tcPr>
          <w:p w:rsidR="00703227" w:rsidRPr="00402DE3" w:rsidRDefault="00703227" w:rsidP="00A76056">
            <w:pPr>
              <w:pStyle w:val="TableBullet"/>
              <w:numPr>
                <w:ilvl w:val="0"/>
                <w:numId w:val="0"/>
              </w:numPr>
              <w:rPr>
                <w:sz w:val="24"/>
                <w:szCs w:val="24"/>
              </w:rPr>
            </w:pPr>
            <w:r w:rsidRPr="00402DE3">
              <w:rPr>
                <w:sz w:val="24"/>
                <w:szCs w:val="24"/>
              </w:rPr>
              <w:t>6.2 Number of institutional funds (input)</w:t>
            </w:r>
          </w:p>
        </w:tc>
        <w:tc>
          <w:tcPr>
            <w:tcW w:w="1559" w:type="dxa"/>
            <w:gridSpan w:val="2"/>
          </w:tcPr>
          <w:p w:rsidR="00703227" w:rsidRPr="00402DE3" w:rsidRDefault="00703227" w:rsidP="00402DE3">
            <w:pPr>
              <w:pStyle w:val="TableBullet"/>
              <w:numPr>
                <w:ilvl w:val="0"/>
                <w:numId w:val="0"/>
              </w:numPr>
              <w:rPr>
                <w:sz w:val="20"/>
              </w:rPr>
            </w:pPr>
            <w:r w:rsidRPr="00402DE3">
              <w:rPr>
                <w:sz w:val="20"/>
              </w:rPr>
              <w:t>Trend analysis</w:t>
            </w:r>
          </w:p>
        </w:tc>
        <w:tc>
          <w:tcPr>
            <w:tcW w:w="1559" w:type="dxa"/>
            <w:gridSpan w:val="2"/>
          </w:tcPr>
          <w:p w:rsidR="00703227" w:rsidRPr="00402DE3" w:rsidRDefault="00703227" w:rsidP="00402DE3">
            <w:pPr>
              <w:pStyle w:val="TableBullet"/>
              <w:numPr>
                <w:ilvl w:val="0"/>
                <w:numId w:val="0"/>
              </w:numPr>
              <w:rPr>
                <w:sz w:val="20"/>
              </w:rPr>
            </w:pPr>
            <w:r w:rsidRPr="00402DE3">
              <w:rPr>
                <w:sz w:val="20"/>
              </w:rPr>
              <w:t>Regulator data</w:t>
            </w:r>
          </w:p>
        </w:tc>
        <w:tc>
          <w:tcPr>
            <w:tcW w:w="5954" w:type="dxa"/>
            <w:gridSpan w:val="5"/>
          </w:tcPr>
          <w:p w:rsidR="00703227" w:rsidRDefault="00703227" w:rsidP="008C3402">
            <w:pPr>
              <w:rPr>
                <w:sz w:val="24"/>
                <w:szCs w:val="24"/>
              </w:rPr>
            </w:pPr>
            <w:r>
              <w:rPr>
                <w:sz w:val="24"/>
                <w:szCs w:val="24"/>
              </w:rPr>
              <w:t xml:space="preserve">DELETE: </w:t>
            </w:r>
            <w:r w:rsidRPr="00A76056">
              <w:rPr>
                <w:sz w:val="24"/>
                <w:szCs w:val="24"/>
              </w:rPr>
              <w:t xml:space="preserve">It should be noted that </w:t>
            </w:r>
            <w:r>
              <w:rPr>
                <w:sz w:val="24"/>
                <w:szCs w:val="24"/>
              </w:rPr>
              <w:t xml:space="preserve">reductions in </w:t>
            </w:r>
            <w:r w:rsidRPr="00A76056">
              <w:rPr>
                <w:sz w:val="24"/>
                <w:szCs w:val="24"/>
              </w:rPr>
              <w:t xml:space="preserve">the number of funds have been primarily driven by legislative changes, not contestability.  </w:t>
            </w:r>
            <w:r>
              <w:rPr>
                <w:sz w:val="24"/>
                <w:szCs w:val="24"/>
              </w:rPr>
              <w:t xml:space="preserve">We do not think this indicator adds much to the market concentration indicator for funds. </w:t>
            </w:r>
            <w:r w:rsidRPr="00A76056">
              <w:rPr>
                <w:sz w:val="24"/>
                <w:szCs w:val="24"/>
              </w:rPr>
              <w:t>We therefore recommend this indicator be deleted.</w:t>
            </w:r>
          </w:p>
          <w:p w:rsidR="001973B9" w:rsidRPr="00A76056" w:rsidRDefault="001973B9" w:rsidP="008C3402">
            <w:pPr>
              <w:rPr>
                <w:sz w:val="24"/>
                <w:szCs w:val="24"/>
              </w:rPr>
            </w:pPr>
          </w:p>
        </w:tc>
      </w:tr>
      <w:tr w:rsidR="00703227" w:rsidTr="00F95256">
        <w:tc>
          <w:tcPr>
            <w:tcW w:w="5070" w:type="dxa"/>
            <w:gridSpan w:val="2"/>
          </w:tcPr>
          <w:p w:rsidR="00703227" w:rsidRPr="00402DE3" w:rsidRDefault="00703227" w:rsidP="00FA3402">
            <w:pPr>
              <w:pStyle w:val="TableBullet"/>
              <w:numPr>
                <w:ilvl w:val="0"/>
                <w:numId w:val="0"/>
              </w:numPr>
              <w:spacing w:after="0"/>
              <w:rPr>
                <w:sz w:val="24"/>
                <w:szCs w:val="24"/>
              </w:rPr>
            </w:pPr>
            <w:r w:rsidRPr="00402DE3">
              <w:rPr>
                <w:sz w:val="24"/>
                <w:szCs w:val="24"/>
              </w:rPr>
              <w:t xml:space="preserve">6.3 MOVED </w:t>
            </w:r>
            <w:r w:rsidR="00BF42D1" w:rsidRPr="00402DE3">
              <w:rPr>
                <w:sz w:val="24"/>
                <w:szCs w:val="24"/>
              </w:rPr>
              <w:t>INDICATOR</w:t>
            </w:r>
            <w:r w:rsidRPr="00402DE3">
              <w:rPr>
                <w:sz w:val="24"/>
                <w:szCs w:val="24"/>
              </w:rPr>
              <w:t>: Introduction of new retirement products and development of more tailored default products* (output)</w:t>
            </w:r>
          </w:p>
        </w:tc>
        <w:tc>
          <w:tcPr>
            <w:tcW w:w="1559" w:type="dxa"/>
            <w:gridSpan w:val="2"/>
          </w:tcPr>
          <w:p w:rsidR="00703227" w:rsidRPr="00402DE3" w:rsidRDefault="00703227" w:rsidP="00402DE3">
            <w:pPr>
              <w:pStyle w:val="TableBullet"/>
              <w:numPr>
                <w:ilvl w:val="0"/>
                <w:numId w:val="0"/>
              </w:numPr>
              <w:spacing w:after="0"/>
              <w:rPr>
                <w:sz w:val="20"/>
              </w:rPr>
            </w:pPr>
            <w:r w:rsidRPr="00402DE3">
              <w:rPr>
                <w:sz w:val="20"/>
              </w:rPr>
              <w:t>Trend analysis Qualitative</w:t>
            </w:r>
          </w:p>
        </w:tc>
        <w:tc>
          <w:tcPr>
            <w:tcW w:w="1559" w:type="dxa"/>
            <w:gridSpan w:val="2"/>
          </w:tcPr>
          <w:p w:rsidR="00703227" w:rsidRPr="00402DE3" w:rsidRDefault="00703227" w:rsidP="00402DE3">
            <w:pPr>
              <w:pStyle w:val="TableBullet"/>
              <w:numPr>
                <w:ilvl w:val="0"/>
                <w:numId w:val="0"/>
              </w:numPr>
              <w:spacing w:after="0"/>
              <w:rPr>
                <w:sz w:val="20"/>
              </w:rPr>
            </w:pPr>
            <w:r w:rsidRPr="00402DE3">
              <w:rPr>
                <w:sz w:val="20"/>
              </w:rPr>
              <w:t>Surveys</w:t>
            </w:r>
            <w:r w:rsidRPr="00402DE3">
              <w:rPr>
                <w:sz w:val="20"/>
              </w:rPr>
              <w:br/>
              <w:t>Industry data</w:t>
            </w:r>
          </w:p>
        </w:tc>
        <w:tc>
          <w:tcPr>
            <w:tcW w:w="5954" w:type="dxa"/>
            <w:gridSpan w:val="5"/>
          </w:tcPr>
          <w:p w:rsidR="001973B9" w:rsidRDefault="00703227" w:rsidP="00FA3402">
            <w:pPr>
              <w:rPr>
                <w:sz w:val="24"/>
                <w:szCs w:val="24"/>
              </w:rPr>
            </w:pPr>
            <w:r w:rsidRPr="00384987">
              <w:rPr>
                <w:szCs w:val="22"/>
              </w:rPr>
              <w:t xml:space="preserve">MOVED FROM CRITERION </w:t>
            </w:r>
            <w:r w:rsidR="00BF42D1">
              <w:rPr>
                <w:szCs w:val="22"/>
              </w:rPr>
              <w:t>#</w:t>
            </w:r>
            <w:r w:rsidRPr="00384987">
              <w:rPr>
                <w:szCs w:val="22"/>
              </w:rPr>
              <w:t>12:</w:t>
            </w:r>
            <w:r>
              <w:rPr>
                <w:b/>
                <w:szCs w:val="22"/>
              </w:rPr>
              <w:t xml:space="preserve"> </w:t>
            </w:r>
            <w:r w:rsidRPr="00A76056">
              <w:rPr>
                <w:sz w:val="24"/>
                <w:szCs w:val="24"/>
              </w:rPr>
              <w:t>Whilst we encourage the introduction of new retirement products, as evidenced by Mercer Lifetime</w:t>
            </w:r>
            <w:r w:rsidR="004A2E15">
              <w:rPr>
                <w:sz w:val="24"/>
                <w:szCs w:val="24"/>
              </w:rPr>
              <w:t xml:space="preserve"> </w:t>
            </w:r>
            <w:r w:rsidRPr="00A76056">
              <w:rPr>
                <w:sz w:val="24"/>
                <w:szCs w:val="24"/>
              </w:rPr>
              <w:t>Plus, the limitations of the current taxation and legislative requirements must be recognised</w:t>
            </w:r>
            <w:r>
              <w:rPr>
                <w:sz w:val="24"/>
                <w:szCs w:val="24"/>
              </w:rPr>
              <w:t xml:space="preserve"> – hence Indicator 6.5 proposed.</w:t>
            </w:r>
          </w:p>
          <w:p w:rsidR="00703227" w:rsidRPr="00A76056" w:rsidRDefault="00703227" w:rsidP="00FA3402">
            <w:pPr>
              <w:rPr>
                <w:sz w:val="24"/>
                <w:szCs w:val="24"/>
              </w:rPr>
            </w:pPr>
            <w:r w:rsidRPr="00A76056">
              <w:rPr>
                <w:sz w:val="24"/>
                <w:szCs w:val="24"/>
              </w:rPr>
              <w:t>.</w:t>
            </w:r>
          </w:p>
        </w:tc>
      </w:tr>
      <w:tr w:rsidR="00703227" w:rsidTr="00F95256">
        <w:tc>
          <w:tcPr>
            <w:tcW w:w="5070" w:type="dxa"/>
            <w:gridSpan w:val="2"/>
          </w:tcPr>
          <w:p w:rsidR="00703227" w:rsidRPr="00402DE3" w:rsidRDefault="00703227" w:rsidP="00FA3402">
            <w:pPr>
              <w:pStyle w:val="TableBullet"/>
              <w:numPr>
                <w:ilvl w:val="0"/>
                <w:numId w:val="0"/>
              </w:numPr>
              <w:spacing w:after="0"/>
              <w:rPr>
                <w:sz w:val="24"/>
                <w:szCs w:val="24"/>
              </w:rPr>
            </w:pPr>
            <w:r w:rsidRPr="00402DE3">
              <w:rPr>
                <w:sz w:val="24"/>
                <w:szCs w:val="24"/>
              </w:rPr>
              <w:lastRenderedPageBreak/>
              <w:t>6.4 MERCER ADDED INDICATOR: Introduction of new services and improvement in quality of existing services (output)</w:t>
            </w:r>
          </w:p>
        </w:tc>
        <w:tc>
          <w:tcPr>
            <w:tcW w:w="1559" w:type="dxa"/>
            <w:gridSpan w:val="2"/>
          </w:tcPr>
          <w:p w:rsidR="00703227" w:rsidRPr="00EF52AE" w:rsidRDefault="00703227" w:rsidP="00FA3402">
            <w:pPr>
              <w:pStyle w:val="TableBullet"/>
              <w:numPr>
                <w:ilvl w:val="0"/>
                <w:numId w:val="0"/>
              </w:numPr>
              <w:spacing w:after="0"/>
              <w:rPr>
                <w:sz w:val="20"/>
              </w:rPr>
            </w:pPr>
            <w:r w:rsidRPr="00EF52AE">
              <w:rPr>
                <w:sz w:val="20"/>
              </w:rPr>
              <w:t>Trend analysis Qualitative</w:t>
            </w:r>
          </w:p>
        </w:tc>
        <w:tc>
          <w:tcPr>
            <w:tcW w:w="1559" w:type="dxa"/>
            <w:gridSpan w:val="2"/>
          </w:tcPr>
          <w:p w:rsidR="00703227" w:rsidRPr="00EF52AE" w:rsidRDefault="00703227" w:rsidP="00FA3402">
            <w:pPr>
              <w:pStyle w:val="TableBullet"/>
              <w:numPr>
                <w:ilvl w:val="0"/>
                <w:numId w:val="0"/>
              </w:numPr>
              <w:spacing w:after="0"/>
              <w:rPr>
                <w:sz w:val="20"/>
              </w:rPr>
            </w:pPr>
            <w:r w:rsidRPr="00EF52AE">
              <w:rPr>
                <w:sz w:val="20"/>
              </w:rPr>
              <w:t>Surveys</w:t>
            </w:r>
            <w:r w:rsidRPr="00EF52AE">
              <w:rPr>
                <w:sz w:val="20"/>
              </w:rPr>
              <w:br/>
              <w:t>Industry data</w:t>
            </w:r>
          </w:p>
        </w:tc>
        <w:tc>
          <w:tcPr>
            <w:tcW w:w="5954" w:type="dxa"/>
            <w:gridSpan w:val="5"/>
          </w:tcPr>
          <w:p w:rsidR="00703227" w:rsidRPr="00BF42D1" w:rsidRDefault="00703227" w:rsidP="00FA3402">
            <w:pPr>
              <w:rPr>
                <w:sz w:val="24"/>
                <w:szCs w:val="24"/>
              </w:rPr>
            </w:pPr>
            <w:r w:rsidRPr="00BF42D1">
              <w:rPr>
                <w:sz w:val="24"/>
                <w:szCs w:val="24"/>
              </w:rPr>
              <w:t xml:space="preserve">Innovations in service offerings as well as products are a good indicator of competition between providers. </w:t>
            </w:r>
          </w:p>
          <w:p w:rsidR="00703227" w:rsidRPr="00A76056" w:rsidRDefault="00703227" w:rsidP="00FA3402">
            <w:pPr>
              <w:rPr>
                <w:sz w:val="24"/>
                <w:szCs w:val="24"/>
              </w:rPr>
            </w:pPr>
          </w:p>
        </w:tc>
      </w:tr>
      <w:tr w:rsidR="00703227" w:rsidTr="00F95256">
        <w:tc>
          <w:tcPr>
            <w:tcW w:w="5070" w:type="dxa"/>
            <w:gridSpan w:val="2"/>
          </w:tcPr>
          <w:p w:rsidR="00703227" w:rsidRPr="00402DE3" w:rsidRDefault="00703227" w:rsidP="00FA3402">
            <w:pPr>
              <w:pStyle w:val="TableBullet"/>
              <w:numPr>
                <w:ilvl w:val="0"/>
                <w:numId w:val="0"/>
              </w:numPr>
              <w:spacing w:after="0"/>
              <w:rPr>
                <w:sz w:val="24"/>
                <w:szCs w:val="24"/>
              </w:rPr>
            </w:pPr>
            <w:r w:rsidRPr="00402DE3">
              <w:rPr>
                <w:sz w:val="24"/>
                <w:szCs w:val="24"/>
              </w:rPr>
              <w:t>6.5 MERCER ADDED INDICATOR: Constraints on innovation presented by administrative and legal restraints</w:t>
            </w:r>
          </w:p>
        </w:tc>
        <w:tc>
          <w:tcPr>
            <w:tcW w:w="1559" w:type="dxa"/>
            <w:gridSpan w:val="2"/>
          </w:tcPr>
          <w:p w:rsidR="00703227" w:rsidRPr="00EF52AE" w:rsidRDefault="00703227" w:rsidP="00FA3402">
            <w:pPr>
              <w:pStyle w:val="TableBullet"/>
              <w:numPr>
                <w:ilvl w:val="0"/>
                <w:numId w:val="0"/>
              </w:numPr>
              <w:spacing w:after="0"/>
              <w:rPr>
                <w:sz w:val="20"/>
              </w:rPr>
            </w:pPr>
            <w:r w:rsidRPr="00EF52AE">
              <w:rPr>
                <w:sz w:val="20"/>
              </w:rPr>
              <w:t>Qualitative</w:t>
            </w:r>
          </w:p>
        </w:tc>
        <w:tc>
          <w:tcPr>
            <w:tcW w:w="1559" w:type="dxa"/>
            <w:gridSpan w:val="2"/>
          </w:tcPr>
          <w:p w:rsidR="00703227" w:rsidRPr="00EF52AE" w:rsidRDefault="00703227" w:rsidP="00FA3402">
            <w:pPr>
              <w:pStyle w:val="TableBullet"/>
              <w:numPr>
                <w:ilvl w:val="0"/>
                <w:numId w:val="0"/>
              </w:numPr>
              <w:spacing w:after="0"/>
              <w:rPr>
                <w:sz w:val="20"/>
              </w:rPr>
            </w:pPr>
            <w:r w:rsidRPr="00EF52AE">
              <w:rPr>
                <w:sz w:val="20"/>
              </w:rPr>
              <w:t>Surveys</w:t>
            </w:r>
          </w:p>
        </w:tc>
        <w:tc>
          <w:tcPr>
            <w:tcW w:w="5954" w:type="dxa"/>
            <w:gridSpan w:val="5"/>
          </w:tcPr>
          <w:p w:rsidR="00703227" w:rsidRPr="00A76056" w:rsidRDefault="00703227" w:rsidP="00FA3402">
            <w:pPr>
              <w:rPr>
                <w:sz w:val="24"/>
                <w:szCs w:val="24"/>
              </w:rPr>
            </w:pPr>
            <w:r w:rsidRPr="00A76056">
              <w:rPr>
                <w:sz w:val="24"/>
                <w:szCs w:val="24"/>
              </w:rPr>
              <w:t>This indicator would assess industry perceptions on the ease/ efficiency of pursuing reforms. How responsive is Gov</w:t>
            </w:r>
            <w:r w:rsidR="00F95256">
              <w:rPr>
                <w:sz w:val="24"/>
                <w:szCs w:val="24"/>
              </w:rPr>
              <w:t>ernmen</w:t>
            </w:r>
            <w:r w:rsidRPr="00A76056">
              <w:rPr>
                <w:sz w:val="24"/>
                <w:szCs w:val="24"/>
              </w:rPr>
              <w:t>t to industry demands</w:t>
            </w:r>
            <w:r w:rsidR="00F95256">
              <w:rPr>
                <w:sz w:val="24"/>
                <w:szCs w:val="24"/>
              </w:rPr>
              <w:t xml:space="preserve"> for example</w:t>
            </w:r>
            <w:r w:rsidRPr="00A76056">
              <w:rPr>
                <w:sz w:val="24"/>
                <w:szCs w:val="24"/>
              </w:rPr>
              <w:t xml:space="preserve">? How flexible are regulatory settings to accommodate innovation? </w:t>
            </w:r>
          </w:p>
          <w:p w:rsidR="00056983" w:rsidRPr="00A76056" w:rsidRDefault="00056983" w:rsidP="00FA3402">
            <w:pPr>
              <w:rPr>
                <w:sz w:val="24"/>
                <w:szCs w:val="24"/>
              </w:rPr>
            </w:pPr>
          </w:p>
        </w:tc>
      </w:tr>
      <w:tr w:rsidR="00056983" w:rsidTr="00F95256">
        <w:tc>
          <w:tcPr>
            <w:tcW w:w="12866" w:type="dxa"/>
            <w:gridSpan w:val="9"/>
            <w:tcBorders>
              <w:right w:val="nil"/>
            </w:tcBorders>
          </w:tcPr>
          <w:p w:rsidR="00056983" w:rsidRPr="00A76056" w:rsidRDefault="00056983" w:rsidP="00A76056">
            <w:pPr>
              <w:pStyle w:val="TableBullet"/>
              <w:numPr>
                <w:ilvl w:val="0"/>
                <w:numId w:val="0"/>
              </w:numPr>
              <w:ind w:left="33" w:hanging="33"/>
              <w:rPr>
                <w:szCs w:val="18"/>
              </w:rPr>
            </w:pPr>
            <w:r w:rsidRPr="00A76056">
              <w:rPr>
                <w:b/>
                <w:sz w:val="24"/>
                <w:szCs w:val="24"/>
              </w:rPr>
              <w:t>7. Is the market contestable?</w:t>
            </w:r>
          </w:p>
        </w:tc>
        <w:tc>
          <w:tcPr>
            <w:tcW w:w="1276" w:type="dxa"/>
            <w:gridSpan w:val="2"/>
            <w:tcBorders>
              <w:left w:val="nil"/>
            </w:tcBorders>
          </w:tcPr>
          <w:p w:rsidR="00056983" w:rsidRDefault="00056983" w:rsidP="00661858">
            <w:pPr>
              <w:rPr>
                <w:sz w:val="24"/>
                <w:szCs w:val="24"/>
              </w:rPr>
            </w:pP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t xml:space="preserve">7.1 </w:t>
            </w:r>
            <w:r w:rsidR="00703227" w:rsidRPr="00EF52AE">
              <w:rPr>
                <w:sz w:val="24"/>
                <w:szCs w:val="24"/>
              </w:rPr>
              <w:t>Height of barriers to entry - effect of default rules on market entry (input)</w:t>
            </w:r>
          </w:p>
          <w:p w:rsidR="00703227" w:rsidRPr="00EF52AE" w:rsidRDefault="00703227" w:rsidP="00A76056">
            <w:pPr>
              <w:pStyle w:val="TableBullet"/>
              <w:numPr>
                <w:ilvl w:val="0"/>
                <w:numId w:val="0"/>
              </w:numPr>
              <w:rPr>
                <w:sz w:val="24"/>
                <w:szCs w:val="24"/>
              </w:rPr>
            </w:pP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Qualitative</w:t>
            </w:r>
          </w:p>
          <w:p w:rsidR="00703227" w:rsidRPr="00EF52AE" w:rsidRDefault="00703227" w:rsidP="00A76056">
            <w:pPr>
              <w:pStyle w:val="TableBullet"/>
              <w:numPr>
                <w:ilvl w:val="0"/>
                <w:numId w:val="0"/>
              </w:numPr>
              <w:ind w:left="33" w:hanging="33"/>
              <w:rPr>
                <w:sz w:val="20"/>
              </w:rPr>
            </w:pPr>
          </w:p>
        </w:tc>
        <w:tc>
          <w:tcPr>
            <w:tcW w:w="1559" w:type="dxa"/>
            <w:gridSpan w:val="2"/>
          </w:tcPr>
          <w:p w:rsidR="00703227" w:rsidRPr="00EF52AE" w:rsidRDefault="00703227" w:rsidP="00384987">
            <w:pPr>
              <w:pStyle w:val="TableBullet"/>
              <w:numPr>
                <w:ilvl w:val="0"/>
                <w:numId w:val="0"/>
              </w:numPr>
              <w:ind w:left="33" w:hanging="33"/>
              <w:rPr>
                <w:sz w:val="20"/>
              </w:rPr>
            </w:pPr>
            <w:r w:rsidRPr="00ED74A0">
              <w:rPr>
                <w:strike/>
                <w:sz w:val="20"/>
              </w:rPr>
              <w:t>Surveys</w:t>
            </w:r>
            <w:r w:rsidRPr="00EF52AE">
              <w:rPr>
                <w:sz w:val="20"/>
              </w:rPr>
              <w:t>; case studies</w:t>
            </w:r>
          </w:p>
        </w:tc>
        <w:tc>
          <w:tcPr>
            <w:tcW w:w="5954" w:type="dxa"/>
            <w:gridSpan w:val="5"/>
          </w:tcPr>
          <w:p w:rsidR="00703227" w:rsidRPr="00A76056" w:rsidRDefault="00703227" w:rsidP="00661858">
            <w:pPr>
              <w:rPr>
                <w:sz w:val="24"/>
                <w:szCs w:val="24"/>
              </w:rPr>
            </w:pPr>
            <w:r>
              <w:rPr>
                <w:sz w:val="24"/>
                <w:szCs w:val="24"/>
              </w:rPr>
              <w:t xml:space="preserve">SUPPORT: </w:t>
            </w:r>
            <w:r w:rsidRPr="00A76056">
              <w:rPr>
                <w:sz w:val="24"/>
                <w:szCs w:val="24"/>
              </w:rPr>
              <w:t>Entry to the industry varies significantly by segment.  We recommend that the Commission consider particular case studies for new APRA regulated funds and the barriers that have restricted additional entrants</w:t>
            </w:r>
            <w:r w:rsidR="00F95256">
              <w:rPr>
                <w:sz w:val="24"/>
                <w:szCs w:val="24"/>
              </w:rPr>
              <w:t xml:space="preserve"> rather than undertaking surveys</w:t>
            </w:r>
            <w:r w:rsidRPr="00A76056">
              <w:rPr>
                <w:sz w:val="24"/>
                <w:szCs w:val="24"/>
              </w:rPr>
              <w:t>.</w:t>
            </w:r>
            <w:r w:rsidR="00F95256">
              <w:rPr>
                <w:sz w:val="24"/>
                <w:szCs w:val="24"/>
              </w:rPr>
              <w:t xml:space="preserve"> We do not consider surveys are an effective evidential source for this indicator</w:t>
            </w:r>
          </w:p>
          <w:p w:rsidR="00F95256" w:rsidRPr="00A76056" w:rsidRDefault="00F95256" w:rsidP="00661858">
            <w:pPr>
              <w:rPr>
                <w:sz w:val="24"/>
                <w:szCs w:val="24"/>
              </w:rPr>
            </w:pP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t xml:space="preserve">7.2 </w:t>
            </w:r>
            <w:r w:rsidR="00703227" w:rsidRPr="00EF52AE">
              <w:rPr>
                <w:sz w:val="24"/>
                <w:szCs w:val="24"/>
              </w:rPr>
              <w:t>Height of barriers to entry - market impediments to funds accessin</w:t>
            </w:r>
            <w:r w:rsidR="00A7099E" w:rsidRPr="00EF52AE">
              <w:rPr>
                <w:sz w:val="24"/>
                <w:szCs w:val="24"/>
              </w:rPr>
              <w:t>g distribution channels (input)</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Qualitative</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Surveys; case studies</w:t>
            </w:r>
          </w:p>
        </w:tc>
        <w:tc>
          <w:tcPr>
            <w:tcW w:w="5954" w:type="dxa"/>
            <w:gridSpan w:val="5"/>
          </w:tcPr>
          <w:p w:rsidR="00703227" w:rsidRPr="00A76056" w:rsidRDefault="00703227" w:rsidP="00E4684B">
            <w:pPr>
              <w:rPr>
                <w:sz w:val="24"/>
                <w:szCs w:val="24"/>
              </w:rPr>
            </w:pPr>
            <w:r>
              <w:rPr>
                <w:sz w:val="24"/>
                <w:szCs w:val="24"/>
              </w:rPr>
              <w:t>SUPPORT</w:t>
            </w: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t xml:space="preserve">7.3 </w:t>
            </w:r>
            <w:r w:rsidR="00703227" w:rsidRPr="00EF52AE">
              <w:rPr>
                <w:sz w:val="24"/>
                <w:szCs w:val="24"/>
              </w:rPr>
              <w:t>Mergers prevented by bulk transfer rules (behaviour)</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Trend analysis; qualitative</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Surveys; case studies</w:t>
            </w:r>
          </w:p>
        </w:tc>
        <w:tc>
          <w:tcPr>
            <w:tcW w:w="5954" w:type="dxa"/>
            <w:gridSpan w:val="5"/>
          </w:tcPr>
          <w:p w:rsidR="00DF2F16" w:rsidRDefault="00703227" w:rsidP="004F11F3">
            <w:pPr>
              <w:rPr>
                <w:sz w:val="24"/>
                <w:szCs w:val="24"/>
              </w:rPr>
            </w:pPr>
            <w:r>
              <w:rPr>
                <w:sz w:val="24"/>
                <w:szCs w:val="24"/>
              </w:rPr>
              <w:t xml:space="preserve">SUPPORT: </w:t>
            </w:r>
            <w:r w:rsidR="00F95256">
              <w:rPr>
                <w:sz w:val="24"/>
                <w:szCs w:val="24"/>
              </w:rPr>
              <w:t>However, we note that p</w:t>
            </w:r>
            <w:r>
              <w:rPr>
                <w:sz w:val="24"/>
                <w:szCs w:val="24"/>
              </w:rPr>
              <w:t xml:space="preserve">roblem areas </w:t>
            </w:r>
            <w:r w:rsidR="00F95256">
              <w:rPr>
                <w:sz w:val="24"/>
                <w:szCs w:val="24"/>
              </w:rPr>
              <w:t xml:space="preserve">with the bulk transfer rules </w:t>
            </w:r>
            <w:r>
              <w:rPr>
                <w:sz w:val="24"/>
                <w:szCs w:val="24"/>
              </w:rPr>
              <w:t xml:space="preserve">are under consideration by APRA. If these </w:t>
            </w:r>
            <w:r w:rsidR="00F95256">
              <w:rPr>
                <w:sz w:val="24"/>
                <w:szCs w:val="24"/>
              </w:rPr>
              <w:t xml:space="preserve">areas </w:t>
            </w:r>
            <w:r>
              <w:rPr>
                <w:sz w:val="24"/>
                <w:szCs w:val="24"/>
              </w:rPr>
              <w:t>are suitably addressed this indicator could be removed. Capital gains rollover rules should also be considered.</w:t>
            </w:r>
          </w:p>
          <w:p w:rsidR="00703227" w:rsidRPr="00A76056" w:rsidRDefault="00703227" w:rsidP="004F11F3">
            <w:pPr>
              <w:rPr>
                <w:sz w:val="24"/>
                <w:szCs w:val="24"/>
              </w:rPr>
            </w:pP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lastRenderedPageBreak/>
              <w:t xml:space="preserve">7.4 </w:t>
            </w:r>
            <w:r w:rsidR="00703227" w:rsidRPr="00EF52AE">
              <w:rPr>
                <w:sz w:val="24"/>
                <w:szCs w:val="24"/>
              </w:rPr>
              <w:t>New entries into and exits from the market (behaviour)</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Trend analysis</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Regulator data</w:t>
            </w:r>
          </w:p>
        </w:tc>
        <w:tc>
          <w:tcPr>
            <w:tcW w:w="5954" w:type="dxa"/>
            <w:gridSpan w:val="5"/>
          </w:tcPr>
          <w:p w:rsidR="00703227" w:rsidRPr="00A76056" w:rsidRDefault="00703227" w:rsidP="00E4684B">
            <w:pPr>
              <w:rPr>
                <w:sz w:val="24"/>
                <w:szCs w:val="24"/>
              </w:rPr>
            </w:pPr>
            <w:r>
              <w:rPr>
                <w:sz w:val="24"/>
                <w:szCs w:val="24"/>
              </w:rPr>
              <w:t>SUPPORT</w:t>
            </w: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t xml:space="preserve">7.5 </w:t>
            </w:r>
            <w:r w:rsidR="00703227" w:rsidRPr="00EF52AE">
              <w:rPr>
                <w:sz w:val="24"/>
                <w:szCs w:val="24"/>
              </w:rPr>
              <w:t>Capacity and willingness of employers to select a default fund (input)</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Qualitative</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Reviews by others</w:t>
            </w:r>
          </w:p>
          <w:p w:rsidR="00703227" w:rsidRPr="00ED74A0" w:rsidRDefault="00703227" w:rsidP="00A76056">
            <w:pPr>
              <w:pStyle w:val="TableBullet"/>
              <w:numPr>
                <w:ilvl w:val="0"/>
                <w:numId w:val="0"/>
              </w:numPr>
              <w:ind w:left="33" w:hanging="33"/>
              <w:rPr>
                <w:color w:val="FF0000"/>
                <w:sz w:val="20"/>
              </w:rPr>
            </w:pPr>
            <w:r w:rsidRPr="00ED74A0">
              <w:rPr>
                <w:color w:val="FF0000"/>
                <w:sz w:val="20"/>
              </w:rPr>
              <w:t>Surveys</w:t>
            </w:r>
          </w:p>
        </w:tc>
        <w:tc>
          <w:tcPr>
            <w:tcW w:w="5954" w:type="dxa"/>
            <w:gridSpan w:val="5"/>
          </w:tcPr>
          <w:p w:rsidR="00703227" w:rsidRDefault="00703227" w:rsidP="00A7099E">
            <w:pPr>
              <w:rPr>
                <w:sz w:val="24"/>
                <w:szCs w:val="24"/>
              </w:rPr>
            </w:pPr>
            <w:r>
              <w:rPr>
                <w:sz w:val="24"/>
                <w:szCs w:val="24"/>
              </w:rPr>
              <w:t>SUPPORT:</w:t>
            </w:r>
            <w:r w:rsidRPr="00A76056">
              <w:rPr>
                <w:sz w:val="24"/>
                <w:szCs w:val="24"/>
              </w:rPr>
              <w:t xml:space="preserve"> Our experience is that many medium and large employers </w:t>
            </w:r>
            <w:r>
              <w:rPr>
                <w:sz w:val="24"/>
                <w:szCs w:val="24"/>
              </w:rPr>
              <w:t xml:space="preserve">(and some smaller employers) </w:t>
            </w:r>
            <w:r w:rsidRPr="00A76056">
              <w:rPr>
                <w:sz w:val="24"/>
                <w:szCs w:val="24"/>
              </w:rPr>
              <w:t>are willing to seek expert advice to help them select a high quality default fund suited to the needs of their employees, provided that their industrial agreements allow them the freedom to do so.</w:t>
            </w:r>
            <w:r>
              <w:rPr>
                <w:sz w:val="24"/>
                <w:szCs w:val="24"/>
              </w:rPr>
              <w:t xml:space="preserve"> Care should be taken that ‘reviews by others’ are unbiased. We recommend the Commission survey employers.</w:t>
            </w:r>
            <w:r w:rsidRPr="00A76056">
              <w:rPr>
                <w:sz w:val="24"/>
                <w:szCs w:val="24"/>
              </w:rPr>
              <w:t xml:space="preserve"> </w:t>
            </w:r>
          </w:p>
          <w:p w:rsidR="00EF52AE" w:rsidRPr="00A76056" w:rsidRDefault="00EF52AE" w:rsidP="00A7099E">
            <w:pPr>
              <w:rPr>
                <w:sz w:val="24"/>
                <w:szCs w:val="24"/>
              </w:rPr>
            </w:pPr>
          </w:p>
        </w:tc>
      </w:tr>
      <w:tr w:rsidR="00703227" w:rsidTr="00F95256">
        <w:tc>
          <w:tcPr>
            <w:tcW w:w="5070" w:type="dxa"/>
            <w:gridSpan w:val="2"/>
          </w:tcPr>
          <w:p w:rsidR="00703227" w:rsidRPr="00EF52AE" w:rsidRDefault="00DF2F16" w:rsidP="00A76056">
            <w:pPr>
              <w:pStyle w:val="TableBullet"/>
              <w:numPr>
                <w:ilvl w:val="0"/>
                <w:numId w:val="0"/>
              </w:numPr>
              <w:rPr>
                <w:sz w:val="24"/>
                <w:szCs w:val="24"/>
              </w:rPr>
            </w:pPr>
            <w:r w:rsidRPr="00EF52AE">
              <w:rPr>
                <w:sz w:val="24"/>
                <w:szCs w:val="24"/>
              </w:rPr>
              <w:t xml:space="preserve">7.6 </w:t>
            </w:r>
            <w:r w:rsidR="00703227" w:rsidRPr="00EF52AE">
              <w:rPr>
                <w:sz w:val="24"/>
                <w:szCs w:val="24"/>
              </w:rPr>
              <w:t>Prosecutions of fund trustees for contraventions of SIS Act on inducements (output)</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Trend analysis; qualitative</w:t>
            </w:r>
          </w:p>
        </w:tc>
        <w:tc>
          <w:tcPr>
            <w:tcW w:w="1559" w:type="dxa"/>
            <w:gridSpan w:val="2"/>
          </w:tcPr>
          <w:p w:rsidR="00703227" w:rsidRPr="00EF52AE" w:rsidRDefault="00703227" w:rsidP="00A76056">
            <w:pPr>
              <w:pStyle w:val="TableBullet"/>
              <w:numPr>
                <w:ilvl w:val="0"/>
                <w:numId w:val="0"/>
              </w:numPr>
              <w:ind w:left="33" w:hanging="33"/>
              <w:rPr>
                <w:sz w:val="20"/>
              </w:rPr>
            </w:pPr>
            <w:r w:rsidRPr="00EF52AE">
              <w:rPr>
                <w:sz w:val="20"/>
              </w:rPr>
              <w:t>Regulator data</w:t>
            </w:r>
          </w:p>
        </w:tc>
        <w:tc>
          <w:tcPr>
            <w:tcW w:w="5954" w:type="dxa"/>
            <w:gridSpan w:val="5"/>
          </w:tcPr>
          <w:p w:rsidR="00703227" w:rsidRDefault="00703227" w:rsidP="00F95256">
            <w:pPr>
              <w:rPr>
                <w:sz w:val="24"/>
                <w:szCs w:val="24"/>
              </w:rPr>
            </w:pPr>
            <w:r>
              <w:rPr>
                <w:sz w:val="24"/>
                <w:szCs w:val="24"/>
              </w:rPr>
              <w:t xml:space="preserve">DELETE: </w:t>
            </w:r>
            <w:r w:rsidRPr="00A76056">
              <w:rPr>
                <w:sz w:val="24"/>
                <w:szCs w:val="24"/>
              </w:rPr>
              <w:t xml:space="preserve">We recommend this indicator be deleted as it </w:t>
            </w:r>
            <w:r w:rsidR="00F95256">
              <w:rPr>
                <w:sz w:val="24"/>
                <w:szCs w:val="24"/>
              </w:rPr>
              <w:t xml:space="preserve">is unlikely to </w:t>
            </w:r>
            <w:r w:rsidRPr="00A76056">
              <w:rPr>
                <w:sz w:val="24"/>
                <w:szCs w:val="24"/>
              </w:rPr>
              <w:t>add value due to the very small number of prosecutions</w:t>
            </w:r>
            <w:r>
              <w:rPr>
                <w:sz w:val="24"/>
                <w:szCs w:val="24"/>
              </w:rPr>
              <w:t xml:space="preserve"> (we are not aware of any)</w:t>
            </w:r>
            <w:r w:rsidRPr="00A76056">
              <w:rPr>
                <w:sz w:val="24"/>
                <w:szCs w:val="24"/>
              </w:rPr>
              <w:t>.</w:t>
            </w:r>
          </w:p>
          <w:p w:rsidR="00F95256" w:rsidRPr="00A76056" w:rsidRDefault="00F95256" w:rsidP="00F95256">
            <w:pPr>
              <w:rPr>
                <w:sz w:val="24"/>
                <w:szCs w:val="24"/>
              </w:rPr>
            </w:pPr>
          </w:p>
        </w:tc>
      </w:tr>
    </w:tbl>
    <w:p w:rsidR="002D3EE4" w:rsidRDefault="002D3EE4"/>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559"/>
        <w:gridCol w:w="4678"/>
        <w:gridCol w:w="1276"/>
      </w:tblGrid>
      <w:tr w:rsidR="00AC2FFA" w:rsidTr="00384987">
        <w:trPr>
          <w:trHeight w:val="305"/>
        </w:trPr>
        <w:tc>
          <w:tcPr>
            <w:tcW w:w="12866" w:type="dxa"/>
            <w:gridSpan w:val="4"/>
            <w:tcBorders>
              <w:right w:val="nil"/>
            </w:tcBorders>
          </w:tcPr>
          <w:p w:rsidR="00A7099E" w:rsidRPr="00A7099E" w:rsidRDefault="002D3EE4" w:rsidP="00A7099E">
            <w:pPr>
              <w:pStyle w:val="TableBullet"/>
              <w:numPr>
                <w:ilvl w:val="0"/>
                <w:numId w:val="0"/>
              </w:numPr>
              <w:ind w:left="33" w:hanging="33"/>
              <w:rPr>
                <w:b/>
                <w:sz w:val="24"/>
                <w:szCs w:val="24"/>
              </w:rPr>
            </w:pPr>
            <w:r>
              <w:rPr>
                <w:rFonts w:cs="Arial"/>
                <w:sz w:val="22"/>
                <w:lang w:eastAsia="en-US"/>
              </w:rPr>
              <w:lastRenderedPageBreak/>
              <w:br w:type="page"/>
            </w:r>
            <w:r w:rsidR="00AC2FFA" w:rsidRPr="00A76056">
              <w:rPr>
                <w:b/>
                <w:sz w:val="24"/>
                <w:szCs w:val="24"/>
              </w:rPr>
              <w:t>8. Are there material anticompetitive effects of vertical and horizontal integration?</w:t>
            </w:r>
          </w:p>
        </w:tc>
        <w:tc>
          <w:tcPr>
            <w:tcW w:w="1276" w:type="dxa"/>
            <w:tcBorders>
              <w:left w:val="nil"/>
            </w:tcBorders>
          </w:tcPr>
          <w:p w:rsidR="00AC2FFA" w:rsidRDefault="00AC2FFA" w:rsidP="008C3402">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8.1 Alignment in the structure of member fees and underlying costs (output)</w:t>
            </w:r>
          </w:p>
        </w:tc>
        <w:tc>
          <w:tcPr>
            <w:tcW w:w="1559" w:type="dxa"/>
          </w:tcPr>
          <w:p w:rsidR="00703227" w:rsidRPr="00EF52AE" w:rsidRDefault="00703227" w:rsidP="00A76056">
            <w:pPr>
              <w:pStyle w:val="TableBullet"/>
              <w:numPr>
                <w:ilvl w:val="0"/>
                <w:numId w:val="0"/>
              </w:numPr>
              <w:ind w:left="170" w:hanging="170"/>
              <w:rPr>
                <w:sz w:val="20"/>
              </w:rPr>
            </w:pPr>
            <w:r w:rsidRPr="00EF52AE">
              <w:rPr>
                <w:sz w:val="20"/>
              </w:rPr>
              <w:t>Econometrics</w:t>
            </w:r>
          </w:p>
        </w:tc>
        <w:tc>
          <w:tcPr>
            <w:tcW w:w="1559" w:type="dxa"/>
          </w:tcPr>
          <w:p w:rsidR="00703227" w:rsidRPr="00EF52AE" w:rsidRDefault="00703227" w:rsidP="00A76056">
            <w:pPr>
              <w:pStyle w:val="TableBullet"/>
              <w:numPr>
                <w:ilvl w:val="0"/>
                <w:numId w:val="0"/>
              </w:numPr>
              <w:rPr>
                <w:sz w:val="20"/>
              </w:rPr>
            </w:pPr>
            <w:r w:rsidRPr="00EF52AE">
              <w:rPr>
                <w:sz w:val="20"/>
              </w:rPr>
              <w:t>Regulator data; industry data</w:t>
            </w:r>
          </w:p>
        </w:tc>
        <w:tc>
          <w:tcPr>
            <w:tcW w:w="5954" w:type="dxa"/>
            <w:gridSpan w:val="2"/>
          </w:tcPr>
          <w:p w:rsidR="00703227" w:rsidRDefault="00703227" w:rsidP="00E4684B">
            <w:pPr>
              <w:rPr>
                <w:sz w:val="24"/>
                <w:szCs w:val="24"/>
              </w:rPr>
            </w:pPr>
            <w:r w:rsidRPr="00D90823">
              <w:rPr>
                <w:sz w:val="24"/>
                <w:szCs w:val="24"/>
              </w:rPr>
              <w:t xml:space="preserve">SUPPORT: However a balance is needed between complexity and </w:t>
            </w:r>
            <w:r w:rsidRPr="00E7381E">
              <w:rPr>
                <w:sz w:val="24"/>
                <w:szCs w:val="24"/>
              </w:rPr>
              <w:t>‘</w:t>
            </w:r>
            <w:r w:rsidRPr="00D90823">
              <w:rPr>
                <w:sz w:val="24"/>
                <w:szCs w:val="24"/>
              </w:rPr>
              <w:t>user pays</w:t>
            </w:r>
            <w:r w:rsidRPr="00E7381E">
              <w:rPr>
                <w:sz w:val="24"/>
                <w:szCs w:val="24"/>
              </w:rPr>
              <w:t>’</w:t>
            </w:r>
            <w:r>
              <w:rPr>
                <w:sz w:val="24"/>
                <w:szCs w:val="24"/>
              </w:rPr>
              <w:t>. Also</w:t>
            </w:r>
            <w:r w:rsidRPr="00E7381E">
              <w:rPr>
                <w:sz w:val="24"/>
                <w:szCs w:val="24"/>
              </w:rPr>
              <w:t xml:space="preserve">, </w:t>
            </w:r>
            <w:r>
              <w:rPr>
                <w:sz w:val="24"/>
                <w:szCs w:val="24"/>
              </w:rPr>
              <w:t xml:space="preserve">designing offerings to efficiently provide services </w:t>
            </w:r>
            <w:r w:rsidRPr="00E7381E">
              <w:rPr>
                <w:sz w:val="24"/>
                <w:szCs w:val="24"/>
              </w:rPr>
              <w:t>taking into account the overall best interests of members may mean that some members contribute to the cost of services they do not utilise</w:t>
            </w:r>
            <w:r w:rsidRPr="00D90823">
              <w:rPr>
                <w:sz w:val="24"/>
                <w:szCs w:val="24"/>
              </w:rPr>
              <w:t>.</w:t>
            </w:r>
          </w:p>
          <w:p w:rsidR="00222137" w:rsidRPr="00D90823" w:rsidRDefault="00222137" w:rsidP="00E4684B">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8.2 Proportion of funds required (by trust deed) to outsource to related party providers (input)</w:t>
            </w:r>
          </w:p>
        </w:tc>
        <w:tc>
          <w:tcPr>
            <w:tcW w:w="1559" w:type="dxa"/>
          </w:tcPr>
          <w:p w:rsidR="00703227" w:rsidRPr="00EF52AE" w:rsidRDefault="00703227" w:rsidP="00A76056">
            <w:pPr>
              <w:pStyle w:val="TableBullet"/>
              <w:numPr>
                <w:ilvl w:val="0"/>
                <w:numId w:val="0"/>
              </w:numPr>
              <w:ind w:left="170" w:hanging="170"/>
              <w:rPr>
                <w:sz w:val="20"/>
              </w:rPr>
            </w:pPr>
            <w:r w:rsidRPr="00EF52AE">
              <w:rPr>
                <w:sz w:val="20"/>
              </w:rPr>
              <w:t>Trend analysis</w:t>
            </w:r>
            <w:r w:rsidRPr="00EF52AE">
              <w:rPr>
                <w:sz w:val="20"/>
              </w:rPr>
              <w:br/>
            </w:r>
          </w:p>
        </w:tc>
        <w:tc>
          <w:tcPr>
            <w:tcW w:w="1559" w:type="dxa"/>
          </w:tcPr>
          <w:p w:rsidR="00703227" w:rsidRPr="00EF52AE" w:rsidRDefault="00703227" w:rsidP="00A76056">
            <w:pPr>
              <w:pStyle w:val="TableBullet"/>
              <w:numPr>
                <w:ilvl w:val="0"/>
                <w:numId w:val="0"/>
              </w:numPr>
              <w:rPr>
                <w:sz w:val="20"/>
              </w:rPr>
            </w:pPr>
            <w:r w:rsidRPr="00EF52AE">
              <w:rPr>
                <w:sz w:val="20"/>
              </w:rPr>
              <w:t>Surveys</w:t>
            </w:r>
            <w:r w:rsidRPr="00EF52AE">
              <w:rPr>
                <w:sz w:val="20"/>
              </w:rPr>
              <w:br/>
            </w:r>
          </w:p>
        </w:tc>
        <w:tc>
          <w:tcPr>
            <w:tcW w:w="5954" w:type="dxa"/>
            <w:gridSpan w:val="2"/>
          </w:tcPr>
          <w:p w:rsidR="00D90823" w:rsidRDefault="00D90823" w:rsidP="00560C78">
            <w:pPr>
              <w:rPr>
                <w:sz w:val="24"/>
                <w:szCs w:val="24"/>
              </w:rPr>
            </w:pPr>
            <w:r>
              <w:rPr>
                <w:sz w:val="24"/>
                <w:szCs w:val="24"/>
              </w:rPr>
              <w:t>DELETE</w:t>
            </w:r>
            <w:r w:rsidR="00F95256">
              <w:rPr>
                <w:sz w:val="24"/>
                <w:szCs w:val="24"/>
              </w:rPr>
              <w:t>/ REFINE</w:t>
            </w:r>
            <w:r>
              <w:rPr>
                <w:sz w:val="24"/>
                <w:szCs w:val="24"/>
              </w:rPr>
              <w:t xml:space="preserve">: Section 58A of the SIS Act voids rules that require a specified provider to be used for particular services (with very limited exceptions). Hence, </w:t>
            </w:r>
            <w:r w:rsidR="00F95256">
              <w:rPr>
                <w:sz w:val="24"/>
                <w:szCs w:val="24"/>
              </w:rPr>
              <w:t>this indicator would appear redundant.</w:t>
            </w:r>
          </w:p>
          <w:p w:rsidR="00D90823" w:rsidRDefault="00D90823" w:rsidP="00560C78">
            <w:pPr>
              <w:rPr>
                <w:sz w:val="24"/>
                <w:szCs w:val="24"/>
              </w:rPr>
            </w:pPr>
          </w:p>
          <w:p w:rsidR="00222137" w:rsidRDefault="00D90823" w:rsidP="00F95256">
            <w:pPr>
              <w:rPr>
                <w:sz w:val="24"/>
                <w:szCs w:val="24"/>
              </w:rPr>
            </w:pPr>
            <w:r>
              <w:rPr>
                <w:sz w:val="24"/>
                <w:szCs w:val="24"/>
              </w:rPr>
              <w:t>A potential alternat</w:t>
            </w:r>
            <w:r w:rsidR="00F95256">
              <w:rPr>
                <w:sz w:val="24"/>
                <w:szCs w:val="24"/>
              </w:rPr>
              <w:t>i</w:t>
            </w:r>
            <w:r>
              <w:rPr>
                <w:sz w:val="24"/>
                <w:szCs w:val="24"/>
              </w:rPr>
              <w:t>ve indicator would be the proportion of overall fees paid to related parties, however industry wide data may be difficult to obtain. We also note that the requirements for selecting service providers in members’ best interests are supported by APRA prudential standards covering a range of topics including conflicts of interest and outsourcing.</w:t>
            </w:r>
          </w:p>
          <w:p w:rsidR="00F95256" w:rsidRDefault="00F95256" w:rsidP="00F95256">
            <w:pPr>
              <w:rPr>
                <w:sz w:val="24"/>
                <w:szCs w:val="24"/>
                <w:lang w:val="en-GB"/>
              </w:rPr>
            </w:pPr>
          </w:p>
          <w:p w:rsidR="00A7099E" w:rsidRPr="00AC2FFA" w:rsidRDefault="00A7099E" w:rsidP="00F95256">
            <w:pPr>
              <w:rPr>
                <w:sz w:val="24"/>
                <w:szCs w:val="24"/>
                <w:lang w:val="en-GB"/>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8.3 Process used by funds to make outsourcing decisions (input)</w:t>
            </w:r>
          </w:p>
        </w:tc>
        <w:tc>
          <w:tcPr>
            <w:tcW w:w="1559" w:type="dxa"/>
          </w:tcPr>
          <w:p w:rsidR="00703227" w:rsidRPr="00EF52AE" w:rsidRDefault="00703227" w:rsidP="00A76056">
            <w:pPr>
              <w:pStyle w:val="TableBullet"/>
              <w:numPr>
                <w:ilvl w:val="0"/>
                <w:numId w:val="0"/>
              </w:numPr>
              <w:ind w:left="170" w:hanging="170"/>
              <w:rPr>
                <w:sz w:val="20"/>
              </w:rPr>
            </w:pPr>
            <w:r w:rsidRPr="00EF52AE">
              <w:rPr>
                <w:sz w:val="20"/>
              </w:rPr>
              <w:t>Qualitative</w:t>
            </w:r>
          </w:p>
          <w:p w:rsidR="00703227" w:rsidRPr="00EF52AE" w:rsidRDefault="00703227" w:rsidP="00A76056">
            <w:pPr>
              <w:pStyle w:val="TableBullet"/>
              <w:numPr>
                <w:ilvl w:val="0"/>
                <w:numId w:val="0"/>
              </w:numPr>
              <w:ind w:left="170"/>
              <w:rPr>
                <w:sz w:val="20"/>
              </w:rPr>
            </w:pPr>
          </w:p>
        </w:tc>
        <w:tc>
          <w:tcPr>
            <w:tcW w:w="1559" w:type="dxa"/>
          </w:tcPr>
          <w:p w:rsidR="00703227" w:rsidRPr="00EF52AE" w:rsidRDefault="00703227" w:rsidP="00A76056">
            <w:pPr>
              <w:pStyle w:val="TableBullet"/>
              <w:numPr>
                <w:ilvl w:val="0"/>
                <w:numId w:val="0"/>
              </w:numPr>
              <w:rPr>
                <w:sz w:val="20"/>
              </w:rPr>
            </w:pPr>
            <w:r w:rsidRPr="00EF52AE">
              <w:rPr>
                <w:sz w:val="20"/>
              </w:rPr>
              <w:t>Surveys; case studies</w:t>
            </w:r>
          </w:p>
        </w:tc>
        <w:tc>
          <w:tcPr>
            <w:tcW w:w="5954" w:type="dxa"/>
            <w:gridSpan w:val="2"/>
          </w:tcPr>
          <w:p w:rsidR="00703227" w:rsidRDefault="00703227" w:rsidP="00E4684B">
            <w:pPr>
              <w:rPr>
                <w:sz w:val="24"/>
                <w:szCs w:val="24"/>
              </w:rPr>
            </w:pPr>
            <w:r w:rsidRPr="00E7381E">
              <w:rPr>
                <w:sz w:val="24"/>
                <w:szCs w:val="24"/>
              </w:rPr>
              <w:t xml:space="preserve">SUPPORT: </w:t>
            </w:r>
            <w:r>
              <w:rPr>
                <w:sz w:val="24"/>
                <w:szCs w:val="24"/>
              </w:rPr>
              <w:t>However we note t</w:t>
            </w:r>
            <w:r w:rsidRPr="00A76056">
              <w:rPr>
                <w:sz w:val="24"/>
                <w:szCs w:val="24"/>
              </w:rPr>
              <w:t>his is very difficult to assess and will vary greatly by the service that is outsourced.  For example, different processes are normal</w:t>
            </w:r>
            <w:r w:rsidR="00384987">
              <w:rPr>
                <w:sz w:val="24"/>
                <w:szCs w:val="24"/>
              </w:rPr>
              <w:t>ly</w:t>
            </w:r>
            <w:r w:rsidRPr="00A76056">
              <w:rPr>
                <w:sz w:val="24"/>
                <w:szCs w:val="24"/>
              </w:rPr>
              <w:t xml:space="preserve"> used for fund managers, administration, </w:t>
            </w:r>
            <w:r w:rsidRPr="00A76056">
              <w:rPr>
                <w:sz w:val="24"/>
                <w:szCs w:val="24"/>
              </w:rPr>
              <w:lastRenderedPageBreak/>
              <w:t>custodian, actuarial work etc.</w:t>
            </w:r>
          </w:p>
          <w:p w:rsidR="00222137" w:rsidRPr="00A76056" w:rsidRDefault="00222137" w:rsidP="00E4684B">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lastRenderedPageBreak/>
              <w:t>8.4 Cost and member fee differences from outsourcing administrative and insurance services to related versus unrelated parties (output)</w:t>
            </w:r>
          </w:p>
        </w:tc>
        <w:tc>
          <w:tcPr>
            <w:tcW w:w="1559" w:type="dxa"/>
          </w:tcPr>
          <w:p w:rsidR="00703227" w:rsidRPr="00A76056" w:rsidRDefault="00703227" w:rsidP="00A76056">
            <w:pPr>
              <w:pStyle w:val="TableBullet"/>
              <w:numPr>
                <w:ilvl w:val="0"/>
                <w:numId w:val="0"/>
              </w:numPr>
              <w:ind w:left="170" w:hanging="170"/>
              <w:rPr>
                <w:szCs w:val="18"/>
              </w:rPr>
            </w:pPr>
            <w:r w:rsidRPr="00A76056">
              <w:rPr>
                <w:szCs w:val="18"/>
              </w:rPr>
              <w:t>Trend analysis</w:t>
            </w:r>
          </w:p>
        </w:tc>
        <w:tc>
          <w:tcPr>
            <w:tcW w:w="1559" w:type="dxa"/>
          </w:tcPr>
          <w:p w:rsidR="005D326D" w:rsidRDefault="00703227" w:rsidP="00A76056">
            <w:pPr>
              <w:pStyle w:val="TableBullet"/>
              <w:numPr>
                <w:ilvl w:val="0"/>
                <w:numId w:val="0"/>
              </w:numPr>
              <w:rPr>
                <w:szCs w:val="18"/>
              </w:rPr>
            </w:pPr>
            <w:r w:rsidRPr="00A76056">
              <w:rPr>
                <w:szCs w:val="18"/>
              </w:rPr>
              <w:t xml:space="preserve">Surveys; </w:t>
            </w:r>
          </w:p>
          <w:p w:rsidR="00703227" w:rsidRPr="00A76056" w:rsidRDefault="005D326D" w:rsidP="00A76056">
            <w:pPr>
              <w:pStyle w:val="TableBullet"/>
              <w:numPr>
                <w:ilvl w:val="0"/>
                <w:numId w:val="0"/>
              </w:numPr>
              <w:rPr>
                <w:szCs w:val="18"/>
              </w:rPr>
            </w:pPr>
            <w:r>
              <w:rPr>
                <w:color w:val="FF0000"/>
                <w:szCs w:val="18"/>
              </w:rPr>
              <w:t>C</w:t>
            </w:r>
            <w:r w:rsidR="00703227" w:rsidRPr="00ED74A0">
              <w:rPr>
                <w:color w:val="FF0000"/>
                <w:szCs w:val="18"/>
              </w:rPr>
              <w:t>ase studies</w:t>
            </w:r>
            <w:r w:rsidR="00703227" w:rsidRPr="00A76056">
              <w:rPr>
                <w:szCs w:val="18"/>
              </w:rPr>
              <w:t xml:space="preserve"> </w:t>
            </w:r>
          </w:p>
        </w:tc>
        <w:tc>
          <w:tcPr>
            <w:tcW w:w="5954" w:type="dxa"/>
            <w:gridSpan w:val="2"/>
          </w:tcPr>
          <w:p w:rsidR="00703227" w:rsidRDefault="00703227" w:rsidP="005F729F">
            <w:pPr>
              <w:rPr>
                <w:sz w:val="24"/>
                <w:szCs w:val="24"/>
              </w:rPr>
            </w:pPr>
            <w:r w:rsidRPr="00E7381E">
              <w:rPr>
                <w:sz w:val="24"/>
                <w:szCs w:val="24"/>
              </w:rPr>
              <w:t xml:space="preserve">SUPPORT: </w:t>
            </w:r>
            <w:r w:rsidR="00F95256">
              <w:rPr>
                <w:sz w:val="24"/>
                <w:szCs w:val="24"/>
              </w:rPr>
              <w:t>We note that, i</w:t>
            </w:r>
            <w:r w:rsidRPr="00A76056">
              <w:rPr>
                <w:sz w:val="24"/>
                <w:szCs w:val="24"/>
              </w:rPr>
              <w:t xml:space="preserve">n respect of insurance, valid comparisons will be difficult due to the difference in premiums which relates to the impact of different occupational risk profiles </w:t>
            </w:r>
            <w:r>
              <w:rPr>
                <w:sz w:val="24"/>
                <w:szCs w:val="24"/>
              </w:rPr>
              <w:t xml:space="preserve">(and claims history) </w:t>
            </w:r>
            <w:r w:rsidRPr="00A76056">
              <w:rPr>
                <w:sz w:val="24"/>
                <w:szCs w:val="24"/>
              </w:rPr>
              <w:t xml:space="preserve">of the insured members. </w:t>
            </w:r>
            <w:r>
              <w:rPr>
                <w:sz w:val="24"/>
                <w:szCs w:val="24"/>
              </w:rPr>
              <w:t xml:space="preserve">Case studies may be needed </w:t>
            </w:r>
            <w:r w:rsidR="00F95256">
              <w:rPr>
                <w:sz w:val="24"/>
                <w:szCs w:val="24"/>
              </w:rPr>
              <w:t xml:space="preserve">as an evidential source </w:t>
            </w:r>
            <w:r>
              <w:rPr>
                <w:sz w:val="24"/>
                <w:szCs w:val="24"/>
              </w:rPr>
              <w:t>in addition to surveys.</w:t>
            </w:r>
          </w:p>
          <w:p w:rsidR="00222137" w:rsidRPr="00A76056" w:rsidRDefault="00222137" w:rsidP="005F729F">
            <w:pPr>
              <w:rPr>
                <w:sz w:val="24"/>
                <w:szCs w:val="24"/>
              </w:rPr>
            </w:pPr>
          </w:p>
        </w:tc>
      </w:tr>
      <w:tr w:rsidR="00703227" w:rsidTr="00FA3402">
        <w:tc>
          <w:tcPr>
            <w:tcW w:w="5070" w:type="dxa"/>
            <w:tcBorders>
              <w:bottom w:val="single" w:sz="4" w:space="0" w:color="auto"/>
            </w:tcBorders>
          </w:tcPr>
          <w:p w:rsidR="00703227" w:rsidRPr="00EF52AE" w:rsidRDefault="00703227" w:rsidP="00A76056">
            <w:pPr>
              <w:pStyle w:val="TableBullet"/>
              <w:numPr>
                <w:ilvl w:val="0"/>
                <w:numId w:val="0"/>
              </w:numPr>
              <w:rPr>
                <w:sz w:val="24"/>
                <w:szCs w:val="24"/>
              </w:rPr>
            </w:pPr>
            <w:r w:rsidRPr="00EF52AE">
              <w:rPr>
                <w:sz w:val="24"/>
                <w:szCs w:val="24"/>
              </w:rPr>
              <w:t>8.5 Transparency and efficacy of fee disclosure by funds, including for distinct services (behaviour)</w:t>
            </w:r>
          </w:p>
        </w:tc>
        <w:tc>
          <w:tcPr>
            <w:tcW w:w="1559" w:type="dxa"/>
            <w:tcBorders>
              <w:bottom w:val="single" w:sz="4" w:space="0" w:color="auto"/>
            </w:tcBorders>
          </w:tcPr>
          <w:p w:rsidR="00703227" w:rsidRPr="00A76056" w:rsidRDefault="00703227" w:rsidP="00A76056">
            <w:pPr>
              <w:pStyle w:val="TableBullet"/>
              <w:numPr>
                <w:ilvl w:val="0"/>
                <w:numId w:val="0"/>
              </w:numPr>
              <w:ind w:left="170" w:hanging="170"/>
              <w:rPr>
                <w:szCs w:val="18"/>
              </w:rPr>
            </w:pPr>
            <w:r w:rsidRPr="00A76056">
              <w:rPr>
                <w:szCs w:val="18"/>
              </w:rPr>
              <w:t>Qualitative</w:t>
            </w:r>
          </w:p>
        </w:tc>
        <w:tc>
          <w:tcPr>
            <w:tcW w:w="1559" w:type="dxa"/>
            <w:tcBorders>
              <w:bottom w:val="single" w:sz="4" w:space="0" w:color="auto"/>
            </w:tcBorders>
          </w:tcPr>
          <w:p w:rsidR="00703227" w:rsidRPr="00A76056" w:rsidRDefault="00703227" w:rsidP="00A76056">
            <w:pPr>
              <w:pStyle w:val="TableBullet"/>
              <w:numPr>
                <w:ilvl w:val="0"/>
                <w:numId w:val="0"/>
              </w:numPr>
              <w:rPr>
                <w:szCs w:val="18"/>
              </w:rPr>
            </w:pPr>
            <w:r w:rsidRPr="00A76056">
              <w:rPr>
                <w:szCs w:val="18"/>
              </w:rPr>
              <w:t>Surveys, reviews by others</w:t>
            </w:r>
          </w:p>
        </w:tc>
        <w:tc>
          <w:tcPr>
            <w:tcW w:w="5954" w:type="dxa"/>
            <w:gridSpan w:val="2"/>
            <w:tcBorders>
              <w:bottom w:val="single" w:sz="4" w:space="0" w:color="auto"/>
            </w:tcBorders>
          </w:tcPr>
          <w:p w:rsidR="00FC526E" w:rsidRPr="00A76056" w:rsidRDefault="00703227" w:rsidP="00FC526E">
            <w:pPr>
              <w:rPr>
                <w:sz w:val="24"/>
                <w:szCs w:val="24"/>
              </w:rPr>
            </w:pPr>
            <w:r w:rsidRPr="00E7381E">
              <w:rPr>
                <w:sz w:val="24"/>
                <w:szCs w:val="24"/>
              </w:rPr>
              <w:t>SUPPORT:</w:t>
            </w:r>
            <w:r w:rsidRPr="00A76056">
              <w:rPr>
                <w:sz w:val="24"/>
                <w:szCs w:val="24"/>
              </w:rPr>
              <w:t xml:space="preserve"> </w:t>
            </w:r>
            <w:r w:rsidR="00384987">
              <w:rPr>
                <w:sz w:val="24"/>
                <w:szCs w:val="24"/>
              </w:rPr>
              <w:t>However, i</w:t>
            </w:r>
            <w:r w:rsidRPr="00A76056">
              <w:rPr>
                <w:sz w:val="24"/>
                <w:szCs w:val="24"/>
              </w:rPr>
              <w:t xml:space="preserve">t is unclear what ‘distinct services’ </w:t>
            </w:r>
            <w:r w:rsidR="00384987">
              <w:rPr>
                <w:sz w:val="24"/>
                <w:szCs w:val="24"/>
              </w:rPr>
              <w:t>will be considered he</w:t>
            </w:r>
            <w:r w:rsidRPr="00A76056">
              <w:rPr>
                <w:sz w:val="24"/>
                <w:szCs w:val="24"/>
              </w:rPr>
              <w:t>re.</w:t>
            </w:r>
            <w:r>
              <w:rPr>
                <w:sz w:val="24"/>
                <w:szCs w:val="24"/>
              </w:rPr>
              <w:t xml:space="preserve"> Also see </w:t>
            </w:r>
            <w:r w:rsidR="00384987">
              <w:rPr>
                <w:sz w:val="24"/>
                <w:szCs w:val="24"/>
              </w:rPr>
              <w:t xml:space="preserve">our </w:t>
            </w:r>
            <w:r>
              <w:rPr>
                <w:sz w:val="24"/>
                <w:szCs w:val="24"/>
              </w:rPr>
              <w:t xml:space="preserve">comments at first indicator for this criterion and </w:t>
            </w:r>
            <w:r w:rsidR="00222137">
              <w:rPr>
                <w:sz w:val="24"/>
                <w:szCs w:val="24"/>
              </w:rPr>
              <w:t>A</w:t>
            </w:r>
            <w:r>
              <w:rPr>
                <w:sz w:val="24"/>
                <w:szCs w:val="24"/>
              </w:rPr>
              <w:t>ttachment</w:t>
            </w:r>
            <w:r w:rsidR="00FC526E">
              <w:rPr>
                <w:sz w:val="24"/>
                <w:szCs w:val="24"/>
              </w:rPr>
              <w:t> </w:t>
            </w:r>
            <w:r>
              <w:rPr>
                <w:sz w:val="24"/>
                <w:szCs w:val="24"/>
              </w:rPr>
              <w:t>5</w:t>
            </w:r>
            <w:r w:rsidR="00DE2418">
              <w:rPr>
                <w:sz w:val="24"/>
                <w:szCs w:val="24"/>
              </w:rPr>
              <w:t xml:space="preserve"> section C</w:t>
            </w:r>
            <w:r w:rsidR="00C74119">
              <w:rPr>
                <w:sz w:val="24"/>
                <w:szCs w:val="24"/>
              </w:rPr>
              <w:t xml:space="preserve">. </w:t>
            </w:r>
          </w:p>
        </w:tc>
      </w:tr>
    </w:tbl>
    <w:p w:rsidR="002D3EE4" w:rsidRDefault="002D3EE4"/>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701"/>
        <w:gridCol w:w="4394"/>
        <w:gridCol w:w="425"/>
        <w:gridCol w:w="426"/>
        <w:gridCol w:w="567"/>
      </w:tblGrid>
      <w:tr w:rsidR="00ED74A0" w:rsidTr="00FA3402">
        <w:tc>
          <w:tcPr>
            <w:tcW w:w="12724" w:type="dxa"/>
            <w:gridSpan w:val="4"/>
            <w:tcBorders>
              <w:top w:val="single" w:sz="4" w:space="0" w:color="auto"/>
              <w:right w:val="nil"/>
            </w:tcBorders>
          </w:tcPr>
          <w:p w:rsidR="00A7099E" w:rsidRDefault="00A7099E" w:rsidP="00A76056">
            <w:pPr>
              <w:pStyle w:val="TableBullet"/>
              <w:numPr>
                <w:ilvl w:val="0"/>
                <w:numId w:val="0"/>
              </w:numPr>
              <w:rPr>
                <w:b/>
                <w:sz w:val="24"/>
                <w:szCs w:val="24"/>
              </w:rPr>
            </w:pPr>
            <w:r w:rsidRPr="00A7099E">
              <w:rPr>
                <w:b/>
                <w:sz w:val="24"/>
                <w:szCs w:val="24"/>
              </w:rPr>
              <w:lastRenderedPageBreak/>
              <w:t>9. Do funds compete on costs?</w:t>
            </w:r>
          </w:p>
          <w:p w:rsidR="00A7099E" w:rsidRPr="00A7099E" w:rsidRDefault="00A7099E" w:rsidP="00FA3402">
            <w:pPr>
              <w:pStyle w:val="TableBullet"/>
              <w:numPr>
                <w:ilvl w:val="0"/>
                <w:numId w:val="0"/>
              </w:numPr>
              <w:rPr>
                <w:sz w:val="22"/>
                <w:szCs w:val="22"/>
              </w:rPr>
            </w:pPr>
            <w:r>
              <w:rPr>
                <w:sz w:val="22"/>
                <w:szCs w:val="22"/>
              </w:rPr>
              <w:t xml:space="preserve">        Note: </w:t>
            </w:r>
            <w:r w:rsidRPr="00FA3402">
              <w:rPr>
                <w:i/>
                <w:sz w:val="22"/>
                <w:szCs w:val="22"/>
              </w:rPr>
              <w:t xml:space="preserve">Mercer recommends this criterion be amalgamated with criterion #11 – refer Attachment 2. </w:t>
            </w:r>
            <w:r w:rsidR="00FA3402">
              <w:rPr>
                <w:i/>
                <w:sz w:val="22"/>
                <w:szCs w:val="22"/>
              </w:rPr>
              <w:br/>
              <w:t xml:space="preserve">                 </w:t>
            </w:r>
            <w:r w:rsidRPr="00FA3402">
              <w:rPr>
                <w:i/>
                <w:sz w:val="22"/>
                <w:szCs w:val="22"/>
              </w:rPr>
              <w:t>We have therefore</w:t>
            </w:r>
            <w:r w:rsidR="00FA3402">
              <w:rPr>
                <w:i/>
                <w:sz w:val="22"/>
                <w:szCs w:val="22"/>
              </w:rPr>
              <w:t xml:space="preserve"> </w:t>
            </w:r>
            <w:r w:rsidRPr="00FA3402">
              <w:rPr>
                <w:i/>
                <w:sz w:val="22"/>
                <w:szCs w:val="22"/>
              </w:rPr>
              <w:t>recommended specified</w:t>
            </w:r>
            <w:r w:rsidR="00FA3402">
              <w:rPr>
                <w:i/>
                <w:sz w:val="22"/>
                <w:szCs w:val="22"/>
              </w:rPr>
              <w:t xml:space="preserve"> indicators be moved from criterion #11 to here.</w:t>
            </w:r>
          </w:p>
        </w:tc>
        <w:tc>
          <w:tcPr>
            <w:tcW w:w="425" w:type="dxa"/>
            <w:tcBorders>
              <w:top w:val="single" w:sz="4" w:space="0" w:color="auto"/>
              <w:left w:val="nil"/>
              <w:right w:val="nil"/>
            </w:tcBorders>
          </w:tcPr>
          <w:p w:rsidR="00A7099E" w:rsidRPr="00A76056" w:rsidRDefault="00A7099E" w:rsidP="00A76056">
            <w:pPr>
              <w:pStyle w:val="TableBullet"/>
              <w:numPr>
                <w:ilvl w:val="0"/>
                <w:numId w:val="0"/>
              </w:numPr>
              <w:rPr>
                <w:szCs w:val="18"/>
              </w:rPr>
            </w:pPr>
          </w:p>
        </w:tc>
        <w:tc>
          <w:tcPr>
            <w:tcW w:w="426" w:type="dxa"/>
            <w:tcBorders>
              <w:top w:val="single" w:sz="4" w:space="0" w:color="auto"/>
              <w:left w:val="nil"/>
              <w:right w:val="nil"/>
            </w:tcBorders>
          </w:tcPr>
          <w:p w:rsidR="00A7099E" w:rsidRPr="00A76056" w:rsidRDefault="00A7099E" w:rsidP="00A76056">
            <w:pPr>
              <w:pStyle w:val="TableBullet"/>
              <w:numPr>
                <w:ilvl w:val="0"/>
                <w:numId w:val="0"/>
              </w:numPr>
              <w:ind w:left="34" w:hanging="34"/>
              <w:rPr>
                <w:szCs w:val="18"/>
              </w:rPr>
            </w:pPr>
          </w:p>
        </w:tc>
        <w:tc>
          <w:tcPr>
            <w:tcW w:w="567" w:type="dxa"/>
            <w:tcBorders>
              <w:top w:val="single" w:sz="4" w:space="0" w:color="auto"/>
              <w:left w:val="nil"/>
            </w:tcBorders>
          </w:tcPr>
          <w:p w:rsidR="00A7099E" w:rsidRDefault="00A7099E" w:rsidP="00762D1D">
            <w:pPr>
              <w:rPr>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9.1 Costs relative to assets and member base: wholesale (by service) and retail (by segment)* (input)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Trend analysis</w:t>
            </w:r>
          </w:p>
        </w:tc>
        <w:tc>
          <w:tcPr>
            <w:tcW w:w="1701" w:type="dxa"/>
          </w:tcPr>
          <w:p w:rsidR="00703227" w:rsidRPr="00EF52AE" w:rsidRDefault="00703227" w:rsidP="00FA3402">
            <w:pPr>
              <w:pStyle w:val="TableBullet"/>
              <w:numPr>
                <w:ilvl w:val="0"/>
                <w:numId w:val="0"/>
              </w:numPr>
              <w:spacing w:after="0" w:line="240" w:lineRule="auto"/>
              <w:ind w:left="34" w:hanging="34"/>
              <w:rPr>
                <w:sz w:val="20"/>
              </w:rPr>
            </w:pPr>
            <w:r w:rsidRPr="00EF52AE">
              <w:rPr>
                <w:sz w:val="20"/>
              </w:rPr>
              <w:t>Regulator data, industry data</w:t>
            </w:r>
          </w:p>
        </w:tc>
        <w:tc>
          <w:tcPr>
            <w:tcW w:w="5812" w:type="dxa"/>
            <w:gridSpan w:val="4"/>
          </w:tcPr>
          <w:p w:rsidR="00703227" w:rsidRPr="00A76056" w:rsidRDefault="00703227" w:rsidP="00FA3402">
            <w:pPr>
              <w:spacing w:line="240" w:lineRule="auto"/>
              <w:rPr>
                <w:sz w:val="24"/>
                <w:szCs w:val="24"/>
              </w:rPr>
            </w:pPr>
            <w:r>
              <w:rPr>
                <w:sz w:val="24"/>
                <w:szCs w:val="24"/>
              </w:rPr>
              <w:t xml:space="preserve">SUPPORT: </w:t>
            </w:r>
            <w:r w:rsidRPr="00A76056">
              <w:rPr>
                <w:sz w:val="24"/>
                <w:szCs w:val="24"/>
              </w:rPr>
              <w:t>Ideally</w:t>
            </w:r>
            <w:r w:rsidR="00F95256">
              <w:rPr>
                <w:sz w:val="24"/>
                <w:szCs w:val="24"/>
              </w:rPr>
              <w:t>,</w:t>
            </w:r>
            <w:r w:rsidRPr="00A76056">
              <w:rPr>
                <w:sz w:val="24"/>
                <w:szCs w:val="24"/>
              </w:rPr>
              <w:t xml:space="preserve"> investment related costs and operational (administration) costs should be examined separately as the Commission has noted (p</w:t>
            </w:r>
            <w:r w:rsidR="00F95256">
              <w:rPr>
                <w:sz w:val="24"/>
                <w:szCs w:val="24"/>
              </w:rPr>
              <w:t xml:space="preserve">age </w:t>
            </w:r>
            <w:r w:rsidRPr="00A76056">
              <w:rPr>
                <w:sz w:val="24"/>
                <w:szCs w:val="24"/>
              </w:rPr>
              <w:t xml:space="preserve">95) </w:t>
            </w:r>
            <w:r w:rsidR="00F95256">
              <w:rPr>
                <w:sz w:val="24"/>
                <w:szCs w:val="24"/>
              </w:rPr>
              <w:t xml:space="preserve">as </w:t>
            </w:r>
            <w:r w:rsidRPr="00A76056">
              <w:rPr>
                <w:sz w:val="24"/>
                <w:szCs w:val="24"/>
              </w:rPr>
              <w:t>there are significant limitations with regulator fund-level expense data – see comments in Attachment 5</w:t>
            </w:r>
            <w:r>
              <w:rPr>
                <w:sz w:val="24"/>
                <w:szCs w:val="24"/>
              </w:rPr>
              <w:t xml:space="preserve"> </w:t>
            </w:r>
            <w:r w:rsidR="00DE2418">
              <w:rPr>
                <w:sz w:val="24"/>
                <w:szCs w:val="24"/>
              </w:rPr>
              <w:t>s</w:t>
            </w:r>
            <w:r>
              <w:rPr>
                <w:sz w:val="24"/>
                <w:szCs w:val="24"/>
              </w:rPr>
              <w:t>ection C.</w:t>
            </w:r>
          </w:p>
          <w:p w:rsidR="00703227" w:rsidRPr="00A76056" w:rsidRDefault="00703227" w:rsidP="00FA3402">
            <w:pPr>
              <w:spacing w:line="240" w:lineRule="auto"/>
              <w:rPr>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9.2 Margins: wholesale (by service) and retail (by segment)* (output)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Trend analysis</w:t>
            </w:r>
          </w:p>
        </w:tc>
        <w:tc>
          <w:tcPr>
            <w:tcW w:w="1701" w:type="dxa"/>
          </w:tcPr>
          <w:p w:rsidR="00703227" w:rsidRPr="00EF52AE" w:rsidRDefault="00703227" w:rsidP="00FA3402">
            <w:pPr>
              <w:pStyle w:val="TableBullet"/>
              <w:numPr>
                <w:ilvl w:val="0"/>
                <w:numId w:val="0"/>
              </w:numPr>
              <w:spacing w:after="0" w:line="240" w:lineRule="auto"/>
              <w:ind w:left="34" w:hanging="34"/>
              <w:rPr>
                <w:sz w:val="20"/>
              </w:rPr>
            </w:pPr>
            <w:r w:rsidRPr="00EF52AE">
              <w:rPr>
                <w:sz w:val="20"/>
              </w:rPr>
              <w:t>Regulator data, industry data</w:t>
            </w:r>
          </w:p>
        </w:tc>
        <w:tc>
          <w:tcPr>
            <w:tcW w:w="5812" w:type="dxa"/>
            <w:gridSpan w:val="4"/>
          </w:tcPr>
          <w:p w:rsidR="00703227" w:rsidRDefault="004B6F39" w:rsidP="00FA3402">
            <w:pPr>
              <w:spacing w:line="240" w:lineRule="auto"/>
              <w:rPr>
                <w:sz w:val="24"/>
                <w:szCs w:val="24"/>
              </w:rPr>
            </w:pPr>
            <w:r>
              <w:rPr>
                <w:sz w:val="24"/>
                <w:szCs w:val="24"/>
              </w:rPr>
              <w:t>DELETE:</w:t>
            </w:r>
            <w:r w:rsidR="00703227">
              <w:rPr>
                <w:sz w:val="24"/>
                <w:szCs w:val="24"/>
              </w:rPr>
              <w:t xml:space="preserve"> I</w:t>
            </w:r>
            <w:r w:rsidR="00703227" w:rsidRPr="00A76056">
              <w:rPr>
                <w:sz w:val="24"/>
                <w:szCs w:val="24"/>
              </w:rPr>
              <w:t>t seems highly unlikely the</w:t>
            </w:r>
            <w:r w:rsidR="00703227">
              <w:rPr>
                <w:sz w:val="24"/>
                <w:szCs w:val="24"/>
              </w:rPr>
              <w:t xml:space="preserve"> Commission</w:t>
            </w:r>
            <w:r w:rsidR="00703227" w:rsidRPr="00A76056">
              <w:rPr>
                <w:sz w:val="24"/>
                <w:szCs w:val="24"/>
              </w:rPr>
              <w:t xml:space="preserve"> will be able to obtain this data</w:t>
            </w:r>
            <w:r w:rsidR="00703227">
              <w:rPr>
                <w:sz w:val="24"/>
                <w:szCs w:val="24"/>
              </w:rPr>
              <w:t>. Also, as noted earlier, a reasonable level of profit is necessary for a healthy and sustainable industry.</w:t>
            </w:r>
            <w:r>
              <w:rPr>
                <w:sz w:val="24"/>
                <w:szCs w:val="24"/>
              </w:rPr>
              <w:t xml:space="preserve"> Therefore, we recommend deletion of this indicator.</w:t>
            </w:r>
          </w:p>
          <w:p w:rsidR="00703227" w:rsidRPr="00A76056" w:rsidRDefault="00703227" w:rsidP="00FA3402">
            <w:pPr>
              <w:spacing w:line="240" w:lineRule="auto"/>
              <w:rPr>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9.3 Investment management fees by asset class compared to other countries* (output)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Trend analysis</w:t>
            </w:r>
          </w:p>
        </w:tc>
        <w:tc>
          <w:tcPr>
            <w:tcW w:w="1701" w:type="dxa"/>
          </w:tcPr>
          <w:p w:rsidR="00703227" w:rsidRPr="00EF52AE" w:rsidRDefault="00703227" w:rsidP="00FA3402">
            <w:pPr>
              <w:pStyle w:val="TableBullet"/>
              <w:numPr>
                <w:ilvl w:val="0"/>
                <w:numId w:val="0"/>
              </w:numPr>
              <w:spacing w:after="0" w:line="240" w:lineRule="auto"/>
              <w:ind w:left="34" w:hanging="34"/>
              <w:rPr>
                <w:sz w:val="20"/>
              </w:rPr>
            </w:pPr>
            <w:r w:rsidRPr="00EF52AE">
              <w:rPr>
                <w:sz w:val="20"/>
              </w:rPr>
              <w:t>Industry data</w:t>
            </w:r>
          </w:p>
        </w:tc>
        <w:tc>
          <w:tcPr>
            <w:tcW w:w="5812" w:type="dxa"/>
            <w:gridSpan w:val="4"/>
          </w:tcPr>
          <w:p w:rsidR="00703227" w:rsidRDefault="00703227" w:rsidP="00FA3402">
            <w:pPr>
              <w:spacing w:line="240" w:lineRule="auto"/>
              <w:rPr>
                <w:sz w:val="24"/>
                <w:szCs w:val="24"/>
              </w:rPr>
            </w:pPr>
            <w:r>
              <w:rPr>
                <w:sz w:val="24"/>
                <w:szCs w:val="24"/>
              </w:rPr>
              <w:t>SUPPORT: However care will be required to understand what fees/costs are included and not included in international data vs Australian data. Tax considerations also add an extra dimension in Australia that is absent in most other countries.</w:t>
            </w:r>
          </w:p>
          <w:p w:rsidR="00703227" w:rsidRPr="00A76056" w:rsidRDefault="00703227" w:rsidP="00FA3402">
            <w:pPr>
              <w:spacing w:line="240" w:lineRule="auto"/>
              <w:rPr>
                <w:b/>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9.4 Alignment of the structure of member fees and underlying costs (output)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Econometrics</w:t>
            </w:r>
          </w:p>
        </w:tc>
        <w:tc>
          <w:tcPr>
            <w:tcW w:w="1701" w:type="dxa"/>
          </w:tcPr>
          <w:p w:rsidR="00703227" w:rsidRPr="00EF52AE" w:rsidRDefault="00703227" w:rsidP="00FA3402">
            <w:pPr>
              <w:pStyle w:val="TableBullet"/>
              <w:numPr>
                <w:ilvl w:val="0"/>
                <w:numId w:val="0"/>
              </w:numPr>
              <w:spacing w:after="0" w:line="240" w:lineRule="auto"/>
              <w:ind w:left="34" w:hanging="34"/>
              <w:rPr>
                <w:sz w:val="20"/>
              </w:rPr>
            </w:pPr>
            <w:r w:rsidRPr="00EF52AE">
              <w:rPr>
                <w:sz w:val="20"/>
              </w:rPr>
              <w:t>Regulator data, industry data</w:t>
            </w:r>
          </w:p>
        </w:tc>
        <w:tc>
          <w:tcPr>
            <w:tcW w:w="5812" w:type="dxa"/>
            <w:gridSpan w:val="4"/>
          </w:tcPr>
          <w:p w:rsidR="00BC5B7D" w:rsidRPr="00A76056" w:rsidRDefault="00703227" w:rsidP="00C74119">
            <w:pPr>
              <w:spacing w:line="240" w:lineRule="auto"/>
              <w:rPr>
                <w:b/>
                <w:sz w:val="24"/>
                <w:szCs w:val="24"/>
              </w:rPr>
            </w:pPr>
            <w:r w:rsidRPr="00E7381E">
              <w:rPr>
                <w:sz w:val="24"/>
                <w:szCs w:val="24"/>
              </w:rPr>
              <w:t xml:space="preserve">SUPPORT: However </w:t>
            </w:r>
            <w:r>
              <w:rPr>
                <w:sz w:val="24"/>
                <w:szCs w:val="24"/>
              </w:rPr>
              <w:t xml:space="preserve">as noted earlier </w:t>
            </w:r>
            <w:r w:rsidRPr="00E7381E">
              <w:rPr>
                <w:sz w:val="24"/>
                <w:szCs w:val="24"/>
              </w:rPr>
              <w:t>a balance is needed between complexity and ‘user pays’</w:t>
            </w:r>
            <w:r>
              <w:rPr>
                <w:sz w:val="24"/>
                <w:szCs w:val="24"/>
              </w:rPr>
              <w:t>. Also</w:t>
            </w:r>
            <w:r w:rsidRPr="00E7381E">
              <w:rPr>
                <w:sz w:val="24"/>
                <w:szCs w:val="24"/>
              </w:rPr>
              <w:t xml:space="preserve">, </w:t>
            </w:r>
            <w:r>
              <w:rPr>
                <w:sz w:val="24"/>
                <w:szCs w:val="24"/>
              </w:rPr>
              <w:t xml:space="preserve">designing offerings to efficiently provide services </w:t>
            </w:r>
            <w:r w:rsidRPr="00E7381E">
              <w:rPr>
                <w:sz w:val="24"/>
                <w:szCs w:val="24"/>
              </w:rPr>
              <w:t>taking into account the overall best interests of members may mean that some members contribute to the cost of services they do not utilise.</w:t>
            </w: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lastRenderedPageBreak/>
              <w:t>9.5 Transparency and efficacy of fee disclosure by funds, including for distinct services (behaviour)</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Qualitative</w:t>
            </w:r>
          </w:p>
        </w:tc>
        <w:tc>
          <w:tcPr>
            <w:tcW w:w="1701" w:type="dxa"/>
          </w:tcPr>
          <w:p w:rsidR="00703227" w:rsidRPr="00EF52AE" w:rsidRDefault="00703227" w:rsidP="00FA3402">
            <w:pPr>
              <w:pStyle w:val="TableBullet"/>
              <w:numPr>
                <w:ilvl w:val="0"/>
                <w:numId w:val="0"/>
              </w:numPr>
              <w:spacing w:after="0" w:line="240" w:lineRule="auto"/>
              <w:ind w:left="34" w:hanging="34"/>
              <w:rPr>
                <w:sz w:val="20"/>
              </w:rPr>
            </w:pPr>
            <w:r w:rsidRPr="00EF52AE">
              <w:rPr>
                <w:sz w:val="20"/>
              </w:rPr>
              <w:t>Surveys, reviews by others</w:t>
            </w:r>
          </w:p>
        </w:tc>
        <w:tc>
          <w:tcPr>
            <w:tcW w:w="5812" w:type="dxa"/>
            <w:gridSpan w:val="4"/>
          </w:tcPr>
          <w:p w:rsidR="00703227" w:rsidRPr="00EF52AE" w:rsidRDefault="00703227" w:rsidP="00FA3402">
            <w:pPr>
              <w:spacing w:line="240" w:lineRule="auto"/>
              <w:rPr>
                <w:sz w:val="24"/>
                <w:szCs w:val="24"/>
              </w:rPr>
            </w:pPr>
            <w:r w:rsidRPr="00EF52AE">
              <w:rPr>
                <w:sz w:val="24"/>
                <w:szCs w:val="24"/>
              </w:rPr>
              <w:t xml:space="preserve">SUPPORT: </w:t>
            </w:r>
            <w:r w:rsidR="00D84459" w:rsidRPr="00EF52AE">
              <w:rPr>
                <w:sz w:val="24"/>
                <w:szCs w:val="24"/>
              </w:rPr>
              <w:t>However, as mentioned previously, i</w:t>
            </w:r>
            <w:r w:rsidRPr="00EF52AE">
              <w:rPr>
                <w:sz w:val="24"/>
                <w:szCs w:val="24"/>
              </w:rPr>
              <w:t xml:space="preserve">t is unclear what ‘distinct services’ </w:t>
            </w:r>
            <w:r w:rsidR="00D84459" w:rsidRPr="00EF52AE">
              <w:rPr>
                <w:sz w:val="24"/>
                <w:szCs w:val="24"/>
              </w:rPr>
              <w:t>will be considered for this indicator</w:t>
            </w:r>
            <w:r w:rsidRPr="00EF52AE">
              <w:rPr>
                <w:sz w:val="24"/>
                <w:szCs w:val="24"/>
              </w:rPr>
              <w:t xml:space="preserve">. Also see comments at first indicator for this criterion and </w:t>
            </w:r>
            <w:r w:rsidR="00DE2418" w:rsidRPr="00EF52AE">
              <w:rPr>
                <w:sz w:val="24"/>
                <w:szCs w:val="24"/>
              </w:rPr>
              <w:t>A</w:t>
            </w:r>
            <w:r w:rsidRPr="00EF52AE">
              <w:rPr>
                <w:sz w:val="24"/>
                <w:szCs w:val="24"/>
              </w:rPr>
              <w:t>ttachment 5</w:t>
            </w:r>
            <w:r w:rsidR="00DE2418" w:rsidRPr="00EF52AE">
              <w:rPr>
                <w:sz w:val="24"/>
                <w:szCs w:val="24"/>
              </w:rPr>
              <w:t xml:space="preserve"> section C</w:t>
            </w:r>
            <w:r w:rsidRPr="00EF52AE">
              <w:rPr>
                <w:sz w:val="24"/>
                <w:szCs w:val="24"/>
              </w:rPr>
              <w:t xml:space="preserve">. </w:t>
            </w:r>
          </w:p>
          <w:p w:rsidR="00703227" w:rsidRPr="00EF52AE" w:rsidRDefault="00703227" w:rsidP="00FA3402">
            <w:pPr>
              <w:spacing w:line="240" w:lineRule="auto"/>
              <w:rPr>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w:t>
            </w:r>
            <w:r w:rsidR="00384987" w:rsidRPr="00EF52AE">
              <w:rPr>
                <w:sz w:val="24"/>
                <w:szCs w:val="24"/>
              </w:rPr>
              <w:t>6</w:t>
            </w:r>
            <w:r w:rsidRPr="00EF52AE">
              <w:rPr>
                <w:sz w:val="24"/>
                <w:szCs w:val="24"/>
              </w:rPr>
              <w:t xml:space="preserve"> MOVED </w:t>
            </w:r>
            <w:r w:rsidR="00DE2418" w:rsidRPr="00EF52AE">
              <w:rPr>
                <w:sz w:val="24"/>
                <w:szCs w:val="24"/>
              </w:rPr>
              <w:t>INDICATOR</w:t>
            </w:r>
            <w:r w:rsidRPr="00EF52AE">
              <w:rPr>
                <w:sz w:val="24"/>
                <w:szCs w:val="24"/>
              </w:rPr>
              <w:t>: Availability, cost and quality of information on fees and investment risks at product level* (input)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Trend analysis; qualitative</w:t>
            </w:r>
          </w:p>
        </w:tc>
        <w:tc>
          <w:tcPr>
            <w:tcW w:w="1701" w:type="dxa"/>
          </w:tcPr>
          <w:p w:rsidR="00703227" w:rsidRPr="00EF52AE" w:rsidRDefault="00703227" w:rsidP="00FA3402">
            <w:pPr>
              <w:pStyle w:val="TableBullet"/>
              <w:numPr>
                <w:ilvl w:val="0"/>
                <w:numId w:val="0"/>
              </w:numPr>
              <w:spacing w:after="0" w:line="240" w:lineRule="auto"/>
              <w:rPr>
                <w:sz w:val="20"/>
              </w:rPr>
            </w:pPr>
            <w:r w:rsidRPr="00EF52AE">
              <w:rPr>
                <w:sz w:val="20"/>
              </w:rPr>
              <w:t>Surveys’ industry data</w:t>
            </w:r>
          </w:p>
        </w:tc>
        <w:tc>
          <w:tcPr>
            <w:tcW w:w="5812" w:type="dxa"/>
            <w:gridSpan w:val="4"/>
          </w:tcPr>
          <w:p w:rsidR="00703227" w:rsidRPr="00EF52AE" w:rsidRDefault="00703227" w:rsidP="00FA3402">
            <w:pPr>
              <w:spacing w:line="240" w:lineRule="auto"/>
              <w:rPr>
                <w:sz w:val="24"/>
                <w:szCs w:val="24"/>
              </w:rPr>
            </w:pPr>
            <w:r w:rsidRPr="00EF52AE">
              <w:rPr>
                <w:sz w:val="24"/>
                <w:szCs w:val="24"/>
              </w:rPr>
              <w:t xml:space="preserve">MOVED FROM CRITERION </w:t>
            </w:r>
            <w:r w:rsidR="00FC526E" w:rsidRPr="00EF52AE">
              <w:rPr>
                <w:sz w:val="24"/>
                <w:szCs w:val="24"/>
              </w:rPr>
              <w:t>#</w:t>
            </w:r>
            <w:r w:rsidRPr="00EF52AE">
              <w:rPr>
                <w:sz w:val="24"/>
                <w:szCs w:val="24"/>
              </w:rPr>
              <w:t>11</w:t>
            </w:r>
            <w:r w:rsidRPr="00EF52AE">
              <w:rPr>
                <w:b/>
                <w:sz w:val="24"/>
                <w:szCs w:val="24"/>
              </w:rPr>
              <w:t>:</w:t>
            </w:r>
            <w:r w:rsidRPr="00EF52AE">
              <w:rPr>
                <w:sz w:val="24"/>
                <w:szCs w:val="24"/>
              </w:rPr>
              <w:t xml:space="preserve"> We a</w:t>
            </w:r>
            <w:r w:rsidR="00DE2418" w:rsidRPr="00EF52AE">
              <w:rPr>
                <w:sz w:val="24"/>
                <w:szCs w:val="24"/>
              </w:rPr>
              <w:t>ccept</w:t>
            </w:r>
            <w:r w:rsidRPr="00EF52AE">
              <w:rPr>
                <w:sz w:val="24"/>
                <w:szCs w:val="24"/>
              </w:rPr>
              <w:t xml:space="preserve"> this </w:t>
            </w:r>
            <w:r w:rsidR="00DE2418" w:rsidRPr="00EF52AE">
              <w:rPr>
                <w:sz w:val="24"/>
                <w:szCs w:val="24"/>
              </w:rPr>
              <w:t>indicator</w:t>
            </w:r>
            <w:r w:rsidRPr="00EF52AE">
              <w:rPr>
                <w:sz w:val="24"/>
                <w:szCs w:val="24"/>
              </w:rPr>
              <w:t xml:space="preserve"> is relevant </w:t>
            </w:r>
            <w:r w:rsidR="00DE2418" w:rsidRPr="00EF52AE">
              <w:rPr>
                <w:sz w:val="24"/>
                <w:szCs w:val="24"/>
              </w:rPr>
              <w:t xml:space="preserve">to addressing an amended criterion #9 </w:t>
            </w:r>
            <w:r w:rsidRPr="00EF52AE">
              <w:rPr>
                <w:sz w:val="24"/>
                <w:szCs w:val="24"/>
              </w:rPr>
              <w:t xml:space="preserve">but </w:t>
            </w:r>
            <w:r w:rsidR="00DE2418" w:rsidRPr="00EF52AE">
              <w:rPr>
                <w:sz w:val="24"/>
                <w:szCs w:val="24"/>
              </w:rPr>
              <w:t xml:space="preserve">feel </w:t>
            </w:r>
            <w:r w:rsidRPr="00EF52AE">
              <w:rPr>
                <w:sz w:val="24"/>
                <w:szCs w:val="24"/>
              </w:rPr>
              <w:t>it should include information on investment returns as well as risks –these cannot be considered in isolation.</w:t>
            </w:r>
            <w:r w:rsidR="00DE2418" w:rsidRPr="00EF52AE">
              <w:rPr>
                <w:sz w:val="24"/>
                <w:szCs w:val="24"/>
              </w:rPr>
              <w:t xml:space="preserve"> As noted previously, t</w:t>
            </w:r>
            <w:r w:rsidRPr="00EF52AE">
              <w:rPr>
                <w:sz w:val="24"/>
                <w:szCs w:val="24"/>
              </w:rPr>
              <w:t xml:space="preserve">his indicator will </w:t>
            </w:r>
            <w:r w:rsidR="00DE2418" w:rsidRPr="00EF52AE">
              <w:rPr>
                <w:sz w:val="24"/>
                <w:szCs w:val="24"/>
              </w:rPr>
              <w:t xml:space="preserve">also </w:t>
            </w:r>
            <w:r w:rsidRPr="00EF52AE">
              <w:rPr>
                <w:sz w:val="24"/>
                <w:szCs w:val="24"/>
              </w:rPr>
              <w:t>need to be subdivided by product and by industry segment.</w:t>
            </w:r>
          </w:p>
          <w:p w:rsidR="00FC526E" w:rsidRPr="00EF52AE" w:rsidRDefault="00FC526E" w:rsidP="00FA3402">
            <w:pPr>
              <w:spacing w:line="240" w:lineRule="auto"/>
              <w:rPr>
                <w:sz w:val="24"/>
                <w:szCs w:val="24"/>
              </w:rPr>
            </w:pPr>
          </w:p>
          <w:p w:rsidR="00703227" w:rsidRPr="00EF52AE" w:rsidRDefault="00703227" w:rsidP="00FA3402">
            <w:pPr>
              <w:spacing w:line="240" w:lineRule="auto"/>
              <w:rPr>
                <w:sz w:val="24"/>
                <w:szCs w:val="24"/>
              </w:rPr>
            </w:pPr>
            <w:r w:rsidRPr="00EF52AE">
              <w:rPr>
                <w:sz w:val="24"/>
                <w:szCs w:val="24"/>
              </w:rPr>
              <w:t>We note there seems to be some duplication between this indicator and Indicator 9.5 ‘Transparency and efficacy of fee and product risk disclosure by funds, including for distinct services (behaviour)’ (as amended).</w:t>
            </w:r>
            <w:r w:rsidR="00BC5B7D" w:rsidRPr="00EF52AE">
              <w:rPr>
                <w:sz w:val="24"/>
                <w:szCs w:val="24"/>
              </w:rPr>
              <w:t xml:space="preserve"> Therefore, we would expect the Commission to address both indicators in the one survey or request for industry data. </w:t>
            </w:r>
          </w:p>
          <w:p w:rsidR="00703227" w:rsidRPr="00EF52AE" w:rsidRDefault="00703227" w:rsidP="00FA3402">
            <w:pPr>
              <w:spacing w:line="240" w:lineRule="auto"/>
              <w:rPr>
                <w:b/>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t>9.</w:t>
            </w:r>
            <w:r w:rsidR="00D84459" w:rsidRPr="00EF52AE">
              <w:rPr>
                <w:sz w:val="24"/>
                <w:szCs w:val="24"/>
              </w:rPr>
              <w:t>7</w:t>
            </w:r>
            <w:r w:rsidRPr="00EF52AE">
              <w:rPr>
                <w:sz w:val="24"/>
                <w:szCs w:val="24"/>
              </w:rPr>
              <w:t xml:space="preserve"> MOVED </w:t>
            </w:r>
            <w:r w:rsidR="00DE2418" w:rsidRPr="00EF52AE">
              <w:rPr>
                <w:sz w:val="24"/>
                <w:szCs w:val="24"/>
              </w:rPr>
              <w:t>INDICATOR</w:t>
            </w:r>
            <w:r w:rsidRPr="00EF52AE">
              <w:rPr>
                <w:sz w:val="24"/>
                <w:szCs w:val="24"/>
              </w:rPr>
              <w:t>:</w:t>
            </w:r>
            <w:r w:rsidRPr="00EF52AE">
              <w:rPr>
                <w:b/>
                <w:sz w:val="24"/>
                <w:szCs w:val="24"/>
              </w:rPr>
              <w:t xml:space="preserve"> </w:t>
            </w:r>
            <w:r w:rsidRPr="00EF52AE">
              <w:rPr>
                <w:sz w:val="24"/>
                <w:szCs w:val="24"/>
              </w:rPr>
              <w:t>Comparability of insurance product information disclosed by funds* (input)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Qualitative</w:t>
            </w:r>
          </w:p>
        </w:tc>
        <w:tc>
          <w:tcPr>
            <w:tcW w:w="1701" w:type="dxa"/>
          </w:tcPr>
          <w:p w:rsidR="00703227" w:rsidRPr="00EF52AE" w:rsidRDefault="00703227" w:rsidP="00FA3402">
            <w:pPr>
              <w:pStyle w:val="TableBullet"/>
              <w:numPr>
                <w:ilvl w:val="0"/>
                <w:numId w:val="0"/>
              </w:numPr>
              <w:spacing w:after="0" w:line="240" w:lineRule="auto"/>
              <w:rPr>
                <w:sz w:val="20"/>
              </w:rPr>
            </w:pPr>
            <w:r w:rsidRPr="00EF52AE">
              <w:rPr>
                <w:sz w:val="20"/>
              </w:rPr>
              <w:t>Surveys, case studies</w:t>
            </w:r>
          </w:p>
        </w:tc>
        <w:tc>
          <w:tcPr>
            <w:tcW w:w="5812" w:type="dxa"/>
            <w:gridSpan w:val="4"/>
          </w:tcPr>
          <w:p w:rsidR="00703227" w:rsidRPr="00EF52AE" w:rsidRDefault="00703227" w:rsidP="00FA3402">
            <w:pPr>
              <w:spacing w:line="240" w:lineRule="auto"/>
              <w:rPr>
                <w:sz w:val="24"/>
                <w:szCs w:val="24"/>
              </w:rPr>
            </w:pPr>
            <w:r w:rsidRPr="00EF52AE">
              <w:rPr>
                <w:sz w:val="24"/>
                <w:szCs w:val="24"/>
              </w:rPr>
              <w:t xml:space="preserve">MOVED FROM CRITERION </w:t>
            </w:r>
            <w:r w:rsidR="00FC526E" w:rsidRPr="00EF52AE">
              <w:rPr>
                <w:sz w:val="24"/>
                <w:szCs w:val="24"/>
              </w:rPr>
              <w:t>#</w:t>
            </w:r>
            <w:r w:rsidRPr="00EF52AE">
              <w:rPr>
                <w:sz w:val="24"/>
                <w:szCs w:val="24"/>
              </w:rPr>
              <w:t xml:space="preserve">11: However we note that disparity in insurance product disclosures may reflect the different types of insurance on offer and not the absence of competition on non-price dimensions. </w:t>
            </w:r>
          </w:p>
          <w:p w:rsidR="00703227" w:rsidRPr="00EF52AE" w:rsidRDefault="00703227" w:rsidP="00FA3402">
            <w:pPr>
              <w:spacing w:line="240" w:lineRule="auto"/>
              <w:rPr>
                <w:b/>
                <w:sz w:val="24"/>
                <w:szCs w:val="24"/>
              </w:rPr>
            </w:pPr>
          </w:p>
          <w:p w:rsidR="00C74119" w:rsidRPr="00EF52AE" w:rsidRDefault="00C74119" w:rsidP="00FA3402">
            <w:pPr>
              <w:spacing w:line="240" w:lineRule="auto"/>
              <w:rPr>
                <w:b/>
                <w:sz w:val="24"/>
                <w:szCs w:val="24"/>
              </w:rPr>
            </w:pPr>
          </w:p>
        </w:tc>
      </w:tr>
      <w:tr w:rsidR="00703227" w:rsidTr="00F95256">
        <w:tc>
          <w:tcPr>
            <w:tcW w:w="5070" w:type="dxa"/>
          </w:tcPr>
          <w:p w:rsidR="00703227" w:rsidRPr="00EF52AE" w:rsidRDefault="00703227" w:rsidP="00FA3402">
            <w:pPr>
              <w:pStyle w:val="TableBullet"/>
              <w:numPr>
                <w:ilvl w:val="0"/>
                <w:numId w:val="0"/>
              </w:numPr>
              <w:spacing w:after="0" w:line="240" w:lineRule="auto"/>
              <w:rPr>
                <w:sz w:val="24"/>
                <w:szCs w:val="24"/>
              </w:rPr>
            </w:pPr>
            <w:r w:rsidRPr="00EF52AE">
              <w:rPr>
                <w:sz w:val="24"/>
                <w:szCs w:val="24"/>
              </w:rPr>
              <w:lastRenderedPageBreak/>
              <w:t>9.</w:t>
            </w:r>
            <w:r w:rsidR="00D84459" w:rsidRPr="00EF52AE">
              <w:rPr>
                <w:sz w:val="24"/>
                <w:szCs w:val="24"/>
              </w:rPr>
              <w:t>8</w:t>
            </w:r>
            <w:r w:rsidRPr="00EF52AE">
              <w:rPr>
                <w:sz w:val="24"/>
                <w:szCs w:val="24"/>
              </w:rPr>
              <w:t xml:space="preserve"> MOVED </w:t>
            </w:r>
            <w:r w:rsidR="00492888" w:rsidRPr="00EF52AE">
              <w:rPr>
                <w:sz w:val="24"/>
                <w:szCs w:val="24"/>
              </w:rPr>
              <w:t>INDICATOR</w:t>
            </w:r>
            <w:r w:rsidRPr="00EF52AE">
              <w:rPr>
                <w:sz w:val="24"/>
                <w:szCs w:val="24"/>
              </w:rPr>
              <w:t>: Introduction of new retirement products and development of more tailored default products* (output)</w:t>
            </w:r>
          </w:p>
        </w:tc>
        <w:tc>
          <w:tcPr>
            <w:tcW w:w="1559" w:type="dxa"/>
          </w:tcPr>
          <w:p w:rsidR="00703227" w:rsidRPr="00EF52AE" w:rsidRDefault="00703227" w:rsidP="00FA3402">
            <w:pPr>
              <w:pStyle w:val="TableBullet"/>
              <w:numPr>
                <w:ilvl w:val="0"/>
                <w:numId w:val="0"/>
              </w:numPr>
              <w:spacing w:after="0" w:line="240" w:lineRule="auto"/>
              <w:rPr>
                <w:sz w:val="20"/>
              </w:rPr>
            </w:pPr>
            <w:r w:rsidRPr="00EF52AE">
              <w:rPr>
                <w:sz w:val="20"/>
              </w:rPr>
              <w:t>Trend analysis Qualitative</w:t>
            </w:r>
          </w:p>
        </w:tc>
        <w:tc>
          <w:tcPr>
            <w:tcW w:w="1701" w:type="dxa"/>
          </w:tcPr>
          <w:p w:rsidR="00703227" w:rsidRPr="00EF52AE" w:rsidRDefault="00703227" w:rsidP="00FA3402">
            <w:pPr>
              <w:pStyle w:val="TableBullet"/>
              <w:numPr>
                <w:ilvl w:val="0"/>
                <w:numId w:val="0"/>
              </w:numPr>
              <w:spacing w:after="0" w:line="240" w:lineRule="auto"/>
              <w:rPr>
                <w:sz w:val="20"/>
              </w:rPr>
            </w:pPr>
            <w:r w:rsidRPr="00EF52AE">
              <w:rPr>
                <w:sz w:val="20"/>
              </w:rPr>
              <w:t>Surveys</w:t>
            </w:r>
            <w:r w:rsidRPr="00EF52AE">
              <w:rPr>
                <w:sz w:val="20"/>
              </w:rPr>
              <w:br/>
              <w:t>Industry data</w:t>
            </w:r>
          </w:p>
        </w:tc>
        <w:tc>
          <w:tcPr>
            <w:tcW w:w="5812" w:type="dxa"/>
            <w:gridSpan w:val="4"/>
          </w:tcPr>
          <w:p w:rsidR="00703227" w:rsidRPr="00EF52AE" w:rsidRDefault="00703227" w:rsidP="00FA3402">
            <w:pPr>
              <w:spacing w:line="240" w:lineRule="auto"/>
              <w:rPr>
                <w:b/>
                <w:sz w:val="24"/>
                <w:szCs w:val="24"/>
              </w:rPr>
            </w:pPr>
            <w:r w:rsidRPr="00EF52AE">
              <w:rPr>
                <w:sz w:val="24"/>
                <w:szCs w:val="24"/>
              </w:rPr>
              <w:t xml:space="preserve">MOVED FROM CRITERION </w:t>
            </w:r>
            <w:r w:rsidR="00FC526E" w:rsidRPr="00EF52AE">
              <w:rPr>
                <w:sz w:val="24"/>
                <w:szCs w:val="24"/>
              </w:rPr>
              <w:t>#</w:t>
            </w:r>
            <w:r w:rsidRPr="00EF52AE">
              <w:rPr>
                <w:sz w:val="24"/>
                <w:szCs w:val="24"/>
              </w:rPr>
              <w:t>12</w:t>
            </w:r>
            <w:r w:rsidRPr="00EF52AE">
              <w:rPr>
                <w:b/>
                <w:sz w:val="24"/>
                <w:szCs w:val="24"/>
              </w:rPr>
              <w:t xml:space="preserve">: </w:t>
            </w:r>
            <w:r w:rsidRPr="00EF52AE">
              <w:rPr>
                <w:sz w:val="24"/>
                <w:szCs w:val="24"/>
              </w:rPr>
              <w:t>We agree innovation in product offerings is a good indicator of competition between providers. However we caution that too much tailoring of default products can lead to inefficiency through greater cost and complexity.</w:t>
            </w:r>
            <w:r w:rsidR="005260CF" w:rsidRPr="00EF52AE">
              <w:rPr>
                <w:sz w:val="24"/>
                <w:szCs w:val="24"/>
              </w:rPr>
              <w:t xml:space="preserve"> The introduction of new retirement products is also limited by legislation.</w:t>
            </w:r>
          </w:p>
          <w:p w:rsidR="00703227" w:rsidRPr="00EF52AE" w:rsidRDefault="00703227" w:rsidP="00FA3402">
            <w:pPr>
              <w:spacing w:line="240" w:lineRule="auto"/>
              <w:rPr>
                <w:b/>
                <w:sz w:val="24"/>
                <w:szCs w:val="24"/>
              </w:rPr>
            </w:pPr>
          </w:p>
        </w:tc>
      </w:tr>
      <w:tr w:rsidR="00703227" w:rsidTr="00F95256">
        <w:tc>
          <w:tcPr>
            <w:tcW w:w="5070" w:type="dxa"/>
          </w:tcPr>
          <w:p w:rsidR="00703227" w:rsidRPr="00EF52AE" w:rsidRDefault="00703227" w:rsidP="003645A4">
            <w:pPr>
              <w:pStyle w:val="TableBullet"/>
              <w:numPr>
                <w:ilvl w:val="0"/>
                <w:numId w:val="0"/>
              </w:numPr>
              <w:rPr>
                <w:sz w:val="24"/>
                <w:szCs w:val="24"/>
              </w:rPr>
            </w:pPr>
            <w:r w:rsidRPr="00EF52AE">
              <w:rPr>
                <w:sz w:val="24"/>
                <w:szCs w:val="24"/>
              </w:rPr>
              <w:t>9.</w:t>
            </w:r>
            <w:r w:rsidR="00D84459" w:rsidRPr="00EF52AE">
              <w:rPr>
                <w:sz w:val="24"/>
                <w:szCs w:val="24"/>
              </w:rPr>
              <w:t>9</w:t>
            </w:r>
            <w:r w:rsidRPr="00EF52AE">
              <w:rPr>
                <w:sz w:val="24"/>
                <w:szCs w:val="24"/>
              </w:rPr>
              <w:t xml:space="preserve"> MERCER ADDED INDICATOR: Introduction of new services and improvement in quality of existing services (output)</w:t>
            </w:r>
          </w:p>
          <w:p w:rsidR="00BC5B7D" w:rsidRPr="00EF52AE" w:rsidRDefault="00BC5B7D" w:rsidP="003645A4">
            <w:pPr>
              <w:pStyle w:val="TableBullet"/>
              <w:numPr>
                <w:ilvl w:val="0"/>
                <w:numId w:val="0"/>
              </w:numPr>
              <w:rPr>
                <w:sz w:val="24"/>
                <w:szCs w:val="24"/>
              </w:rPr>
            </w:pPr>
          </w:p>
        </w:tc>
        <w:tc>
          <w:tcPr>
            <w:tcW w:w="1559" w:type="dxa"/>
          </w:tcPr>
          <w:p w:rsidR="00703227" w:rsidRPr="00EF52AE" w:rsidRDefault="00703227" w:rsidP="00CA5701">
            <w:pPr>
              <w:pStyle w:val="TableBullet"/>
              <w:numPr>
                <w:ilvl w:val="0"/>
                <w:numId w:val="0"/>
              </w:numPr>
              <w:rPr>
                <w:sz w:val="20"/>
              </w:rPr>
            </w:pPr>
            <w:r w:rsidRPr="00EF52AE">
              <w:rPr>
                <w:sz w:val="20"/>
              </w:rPr>
              <w:t>Trend analysis Qualitative</w:t>
            </w:r>
          </w:p>
        </w:tc>
        <w:tc>
          <w:tcPr>
            <w:tcW w:w="1701" w:type="dxa"/>
          </w:tcPr>
          <w:p w:rsidR="00703227" w:rsidRPr="00EF52AE" w:rsidRDefault="00703227" w:rsidP="00FC526E">
            <w:pPr>
              <w:pStyle w:val="TableBullet"/>
              <w:numPr>
                <w:ilvl w:val="0"/>
                <w:numId w:val="0"/>
              </w:numPr>
              <w:rPr>
                <w:sz w:val="20"/>
              </w:rPr>
            </w:pPr>
            <w:r w:rsidRPr="00EF52AE">
              <w:rPr>
                <w:sz w:val="20"/>
              </w:rPr>
              <w:t>Surveys</w:t>
            </w:r>
            <w:r w:rsidRPr="00EF52AE">
              <w:rPr>
                <w:sz w:val="20"/>
              </w:rPr>
              <w:br/>
              <w:t>Industry data</w:t>
            </w:r>
          </w:p>
        </w:tc>
        <w:tc>
          <w:tcPr>
            <w:tcW w:w="5812" w:type="dxa"/>
            <w:gridSpan w:val="4"/>
          </w:tcPr>
          <w:p w:rsidR="00703227" w:rsidRPr="00EF52AE" w:rsidRDefault="00703227" w:rsidP="003645A4">
            <w:pPr>
              <w:rPr>
                <w:sz w:val="24"/>
                <w:szCs w:val="24"/>
              </w:rPr>
            </w:pPr>
            <w:r w:rsidRPr="00EF52AE">
              <w:rPr>
                <w:sz w:val="24"/>
                <w:szCs w:val="24"/>
              </w:rPr>
              <w:t xml:space="preserve">Innovation in service offerings as well as products is a good indicator of competition between providers. </w:t>
            </w:r>
          </w:p>
          <w:p w:rsidR="00703227" w:rsidRPr="00EF52AE" w:rsidRDefault="00703227" w:rsidP="003645A4">
            <w:pPr>
              <w:rPr>
                <w:b/>
                <w:sz w:val="24"/>
                <w:szCs w:val="24"/>
              </w:rPr>
            </w:pPr>
          </w:p>
        </w:tc>
      </w:tr>
      <w:tr w:rsidR="00703227" w:rsidTr="00F95256">
        <w:tc>
          <w:tcPr>
            <w:tcW w:w="5070" w:type="dxa"/>
          </w:tcPr>
          <w:p w:rsidR="00703227" w:rsidRPr="00EF52AE" w:rsidRDefault="00703227" w:rsidP="00D84459">
            <w:pPr>
              <w:pStyle w:val="TableBullet"/>
              <w:numPr>
                <w:ilvl w:val="0"/>
                <w:numId w:val="0"/>
              </w:numPr>
              <w:rPr>
                <w:sz w:val="24"/>
                <w:szCs w:val="24"/>
              </w:rPr>
            </w:pPr>
            <w:r w:rsidRPr="00EF52AE">
              <w:rPr>
                <w:sz w:val="24"/>
                <w:szCs w:val="24"/>
              </w:rPr>
              <w:t>9.1</w:t>
            </w:r>
            <w:r w:rsidR="00D84459" w:rsidRPr="00EF52AE">
              <w:rPr>
                <w:sz w:val="24"/>
                <w:szCs w:val="24"/>
              </w:rPr>
              <w:t>0</w:t>
            </w:r>
            <w:r w:rsidRPr="00EF52AE">
              <w:rPr>
                <w:sz w:val="24"/>
                <w:szCs w:val="24"/>
              </w:rPr>
              <w:t xml:space="preserve"> MERCER ADDED INDICATOR: Constraints on innovation presented by administrative and legal restraints</w:t>
            </w:r>
          </w:p>
        </w:tc>
        <w:tc>
          <w:tcPr>
            <w:tcW w:w="1559" w:type="dxa"/>
          </w:tcPr>
          <w:p w:rsidR="00703227" w:rsidRPr="00EF52AE" w:rsidRDefault="00703227" w:rsidP="00CA5701">
            <w:pPr>
              <w:pStyle w:val="TableBullet"/>
              <w:numPr>
                <w:ilvl w:val="0"/>
                <w:numId w:val="0"/>
              </w:numPr>
              <w:rPr>
                <w:sz w:val="20"/>
              </w:rPr>
            </w:pPr>
            <w:r w:rsidRPr="00EF52AE">
              <w:rPr>
                <w:sz w:val="20"/>
              </w:rPr>
              <w:t>Qualitative</w:t>
            </w:r>
          </w:p>
        </w:tc>
        <w:tc>
          <w:tcPr>
            <w:tcW w:w="1701" w:type="dxa"/>
          </w:tcPr>
          <w:p w:rsidR="00703227" w:rsidRPr="00EF52AE" w:rsidRDefault="00703227" w:rsidP="00FC526E">
            <w:pPr>
              <w:pStyle w:val="TableBullet"/>
              <w:numPr>
                <w:ilvl w:val="0"/>
                <w:numId w:val="0"/>
              </w:numPr>
              <w:rPr>
                <w:sz w:val="20"/>
              </w:rPr>
            </w:pPr>
            <w:r w:rsidRPr="00EF52AE">
              <w:rPr>
                <w:sz w:val="20"/>
              </w:rPr>
              <w:t>Surveys</w:t>
            </w:r>
          </w:p>
        </w:tc>
        <w:tc>
          <w:tcPr>
            <w:tcW w:w="5812" w:type="dxa"/>
            <w:gridSpan w:val="4"/>
          </w:tcPr>
          <w:p w:rsidR="00703227" w:rsidRPr="00EF52AE" w:rsidRDefault="00703227" w:rsidP="003645A4">
            <w:pPr>
              <w:rPr>
                <w:sz w:val="24"/>
                <w:szCs w:val="24"/>
              </w:rPr>
            </w:pPr>
            <w:r w:rsidRPr="00EF52AE">
              <w:rPr>
                <w:sz w:val="24"/>
                <w:szCs w:val="24"/>
              </w:rPr>
              <w:t>This indicator would assess industry perceptions o</w:t>
            </w:r>
            <w:r w:rsidR="00BC5B7D" w:rsidRPr="00EF52AE">
              <w:rPr>
                <w:sz w:val="24"/>
                <w:szCs w:val="24"/>
              </w:rPr>
              <w:t>f</w:t>
            </w:r>
            <w:r w:rsidRPr="00EF52AE">
              <w:rPr>
                <w:sz w:val="24"/>
                <w:szCs w:val="24"/>
              </w:rPr>
              <w:t xml:space="preserve"> the ease/ efficiency of pursuing </w:t>
            </w:r>
            <w:r w:rsidR="00BC5B7D" w:rsidRPr="00EF52AE">
              <w:rPr>
                <w:sz w:val="24"/>
                <w:szCs w:val="24"/>
              </w:rPr>
              <w:t>innovation</w:t>
            </w:r>
            <w:r w:rsidRPr="00EF52AE">
              <w:rPr>
                <w:sz w:val="24"/>
                <w:szCs w:val="24"/>
              </w:rPr>
              <w:t>. How responsive is Gov</w:t>
            </w:r>
            <w:r w:rsidR="00BC5B7D" w:rsidRPr="00EF52AE">
              <w:rPr>
                <w:sz w:val="24"/>
                <w:szCs w:val="24"/>
              </w:rPr>
              <w:t>ernment</w:t>
            </w:r>
            <w:r w:rsidRPr="00EF52AE">
              <w:rPr>
                <w:sz w:val="24"/>
                <w:szCs w:val="24"/>
              </w:rPr>
              <w:t xml:space="preserve"> to industry demands</w:t>
            </w:r>
            <w:r w:rsidR="00BC5B7D" w:rsidRPr="00EF52AE">
              <w:rPr>
                <w:sz w:val="24"/>
                <w:szCs w:val="24"/>
              </w:rPr>
              <w:t xml:space="preserve"> for example</w:t>
            </w:r>
            <w:r w:rsidRPr="00EF52AE">
              <w:rPr>
                <w:sz w:val="24"/>
                <w:szCs w:val="24"/>
              </w:rPr>
              <w:t xml:space="preserve">? How flexible are regulatory settings to accommodate innovation? </w:t>
            </w:r>
          </w:p>
          <w:p w:rsidR="00703227" w:rsidRPr="00EF52AE" w:rsidRDefault="00703227" w:rsidP="003645A4">
            <w:pPr>
              <w:rPr>
                <w:b/>
                <w:sz w:val="24"/>
                <w:szCs w:val="24"/>
              </w:rPr>
            </w:pPr>
          </w:p>
        </w:tc>
      </w:tr>
    </w:tbl>
    <w:p w:rsidR="00FA3402" w:rsidRDefault="00FA3402"/>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701"/>
        <w:gridCol w:w="2835"/>
        <w:gridCol w:w="2977"/>
      </w:tblGrid>
      <w:tr w:rsidR="00FC526E" w:rsidTr="00F95256">
        <w:tc>
          <w:tcPr>
            <w:tcW w:w="11165" w:type="dxa"/>
            <w:gridSpan w:val="4"/>
            <w:tcBorders>
              <w:right w:val="nil"/>
            </w:tcBorders>
          </w:tcPr>
          <w:p w:rsidR="00FC526E" w:rsidRPr="00A76056" w:rsidRDefault="00FC526E" w:rsidP="00FC526E">
            <w:pPr>
              <w:pStyle w:val="TableBullet"/>
              <w:numPr>
                <w:ilvl w:val="0"/>
                <w:numId w:val="0"/>
              </w:numPr>
              <w:rPr>
                <w:szCs w:val="18"/>
              </w:rPr>
            </w:pPr>
            <w:r w:rsidRPr="00A76056">
              <w:rPr>
                <w:b/>
                <w:sz w:val="24"/>
                <w:szCs w:val="24"/>
              </w:rPr>
              <w:lastRenderedPageBreak/>
              <w:t>10. Are economies of scale utilised and the benefits passed through to members?</w:t>
            </w:r>
          </w:p>
        </w:tc>
        <w:tc>
          <w:tcPr>
            <w:tcW w:w="2977" w:type="dxa"/>
            <w:tcBorders>
              <w:left w:val="nil"/>
            </w:tcBorders>
          </w:tcPr>
          <w:p w:rsidR="00FC526E" w:rsidRPr="00FC526E" w:rsidRDefault="00FC526E" w:rsidP="003645A4">
            <w:pPr>
              <w:rPr>
                <w:szCs w:val="22"/>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10.1 Unused scale economies at wholesale level (administration and investment management) and at retail level (output)</w:t>
            </w:r>
          </w:p>
        </w:tc>
        <w:tc>
          <w:tcPr>
            <w:tcW w:w="1559" w:type="dxa"/>
          </w:tcPr>
          <w:p w:rsidR="00703227" w:rsidRPr="00A76056" w:rsidRDefault="00703227" w:rsidP="00A76056">
            <w:pPr>
              <w:pStyle w:val="TableBullet"/>
              <w:numPr>
                <w:ilvl w:val="0"/>
                <w:numId w:val="0"/>
              </w:numPr>
              <w:rPr>
                <w:szCs w:val="18"/>
              </w:rPr>
            </w:pPr>
            <w:r w:rsidRPr="00A76056">
              <w:rPr>
                <w:szCs w:val="18"/>
              </w:rPr>
              <w:t>Econometrics</w:t>
            </w:r>
          </w:p>
        </w:tc>
        <w:tc>
          <w:tcPr>
            <w:tcW w:w="1701" w:type="dxa"/>
          </w:tcPr>
          <w:p w:rsidR="00703227" w:rsidRPr="00A76056" w:rsidRDefault="00703227" w:rsidP="00A76056">
            <w:pPr>
              <w:pStyle w:val="TableBullet"/>
              <w:numPr>
                <w:ilvl w:val="0"/>
                <w:numId w:val="0"/>
              </w:numPr>
              <w:rPr>
                <w:szCs w:val="18"/>
              </w:rPr>
            </w:pPr>
            <w:r w:rsidRPr="00A76056">
              <w:rPr>
                <w:szCs w:val="18"/>
              </w:rPr>
              <w:t>Regulatory data, industry data</w:t>
            </w:r>
          </w:p>
        </w:tc>
        <w:tc>
          <w:tcPr>
            <w:tcW w:w="5812" w:type="dxa"/>
            <w:gridSpan w:val="2"/>
          </w:tcPr>
          <w:p w:rsidR="00703227" w:rsidRPr="00EF52AE" w:rsidRDefault="00703227" w:rsidP="00E4684B">
            <w:pPr>
              <w:rPr>
                <w:sz w:val="24"/>
                <w:szCs w:val="24"/>
              </w:rPr>
            </w:pPr>
            <w:r w:rsidRPr="00EF52AE">
              <w:rPr>
                <w:sz w:val="24"/>
                <w:szCs w:val="24"/>
              </w:rPr>
              <w:t xml:space="preserve">DELETE: Unless this </w:t>
            </w:r>
            <w:r w:rsidR="00BC5B7D" w:rsidRPr="00EF52AE">
              <w:rPr>
                <w:sz w:val="24"/>
                <w:szCs w:val="24"/>
              </w:rPr>
              <w:t xml:space="preserve">indicator </w:t>
            </w:r>
            <w:r w:rsidRPr="00EF52AE">
              <w:rPr>
                <w:sz w:val="24"/>
                <w:szCs w:val="24"/>
              </w:rPr>
              <w:t xml:space="preserve">can be reliably measured, which seems doubtful, we recommend </w:t>
            </w:r>
            <w:r w:rsidR="00BC5B7D" w:rsidRPr="00EF52AE">
              <w:rPr>
                <w:sz w:val="24"/>
                <w:szCs w:val="24"/>
              </w:rPr>
              <w:t xml:space="preserve">it </w:t>
            </w:r>
            <w:r w:rsidRPr="00EF52AE">
              <w:rPr>
                <w:sz w:val="24"/>
                <w:szCs w:val="24"/>
              </w:rPr>
              <w:t xml:space="preserve">be deleted. </w:t>
            </w:r>
          </w:p>
          <w:p w:rsidR="00703227" w:rsidRPr="00EF52AE" w:rsidRDefault="00703227" w:rsidP="00E4684B">
            <w:pPr>
              <w:rPr>
                <w:b/>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10.2 Effectiveness of scale test (number of fund consolidations and magnitude of realised benefits) (output)</w:t>
            </w:r>
          </w:p>
        </w:tc>
        <w:tc>
          <w:tcPr>
            <w:tcW w:w="1559" w:type="dxa"/>
          </w:tcPr>
          <w:p w:rsidR="00703227" w:rsidRPr="00A76056" w:rsidRDefault="00703227" w:rsidP="00A76056">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A76056">
            <w:pPr>
              <w:pStyle w:val="TableBullet"/>
              <w:numPr>
                <w:ilvl w:val="0"/>
                <w:numId w:val="0"/>
              </w:numPr>
              <w:rPr>
                <w:szCs w:val="18"/>
              </w:rPr>
            </w:pPr>
            <w:r w:rsidRPr="00A76056">
              <w:rPr>
                <w:szCs w:val="18"/>
              </w:rPr>
              <w:t>Regulator data</w:t>
            </w:r>
          </w:p>
        </w:tc>
        <w:tc>
          <w:tcPr>
            <w:tcW w:w="5812" w:type="dxa"/>
            <w:gridSpan w:val="2"/>
          </w:tcPr>
          <w:p w:rsidR="00703227" w:rsidRPr="00EF52AE" w:rsidRDefault="00703227" w:rsidP="00E4684B">
            <w:pPr>
              <w:rPr>
                <w:b/>
                <w:sz w:val="24"/>
                <w:szCs w:val="24"/>
              </w:rPr>
            </w:pPr>
            <w:r w:rsidRPr="00EF52AE">
              <w:rPr>
                <w:sz w:val="24"/>
                <w:szCs w:val="24"/>
              </w:rPr>
              <w:t>DELETE</w:t>
            </w:r>
            <w:r w:rsidRPr="00EF52AE">
              <w:rPr>
                <w:b/>
                <w:sz w:val="24"/>
                <w:szCs w:val="24"/>
              </w:rPr>
              <w:t xml:space="preserve">: </w:t>
            </w:r>
            <w:r w:rsidRPr="00EF52AE">
              <w:rPr>
                <w:sz w:val="24"/>
                <w:szCs w:val="24"/>
              </w:rPr>
              <w:t>Consolidations may or may not be due to the scale test.</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10.3 Mergers prevented by bulk transfer rules (behaviour)</w:t>
            </w:r>
          </w:p>
        </w:tc>
        <w:tc>
          <w:tcPr>
            <w:tcW w:w="1559" w:type="dxa"/>
          </w:tcPr>
          <w:p w:rsidR="00703227" w:rsidRPr="00A76056" w:rsidRDefault="00703227" w:rsidP="00A76056">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A76056">
            <w:pPr>
              <w:pStyle w:val="TableBullet"/>
              <w:numPr>
                <w:ilvl w:val="0"/>
                <w:numId w:val="0"/>
              </w:numPr>
              <w:rPr>
                <w:szCs w:val="18"/>
              </w:rPr>
            </w:pPr>
            <w:r w:rsidRPr="00A76056">
              <w:rPr>
                <w:szCs w:val="18"/>
              </w:rPr>
              <w:t>Surveys; case studies</w:t>
            </w:r>
          </w:p>
        </w:tc>
        <w:tc>
          <w:tcPr>
            <w:tcW w:w="5812" w:type="dxa"/>
            <w:gridSpan w:val="2"/>
          </w:tcPr>
          <w:p w:rsidR="00703227" w:rsidRPr="00EF52AE" w:rsidRDefault="00703227" w:rsidP="00CE65C9">
            <w:pPr>
              <w:rPr>
                <w:sz w:val="24"/>
                <w:szCs w:val="24"/>
              </w:rPr>
            </w:pPr>
            <w:r w:rsidRPr="00EF52AE">
              <w:rPr>
                <w:sz w:val="24"/>
                <w:szCs w:val="24"/>
              </w:rPr>
              <w:t>SUPPORT: A</w:t>
            </w:r>
            <w:r w:rsidR="005260CF" w:rsidRPr="00EF52AE">
              <w:rPr>
                <w:sz w:val="24"/>
                <w:szCs w:val="24"/>
              </w:rPr>
              <w:t>s</w:t>
            </w:r>
            <w:r w:rsidRPr="00EF52AE">
              <w:rPr>
                <w:sz w:val="24"/>
                <w:szCs w:val="24"/>
              </w:rPr>
              <w:t xml:space="preserve"> noted above, problem areas are under consideration by APRA. If these are suitably addressed this indicator could be removed. Capital gains rollover rules should also be considered </w:t>
            </w:r>
          </w:p>
          <w:p w:rsidR="00703227" w:rsidRPr="00EF52AE" w:rsidRDefault="00703227" w:rsidP="00CE65C9">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10.4 Pass through of benefits from scale economies (wholesale and retail) to members* (output)</w:t>
            </w:r>
          </w:p>
        </w:tc>
        <w:tc>
          <w:tcPr>
            <w:tcW w:w="1559" w:type="dxa"/>
          </w:tcPr>
          <w:p w:rsidR="00703227" w:rsidRPr="00A76056" w:rsidRDefault="00703227" w:rsidP="00A76056">
            <w:pPr>
              <w:pStyle w:val="TableBullet"/>
              <w:numPr>
                <w:ilvl w:val="0"/>
                <w:numId w:val="0"/>
              </w:numPr>
              <w:rPr>
                <w:szCs w:val="18"/>
              </w:rPr>
            </w:pPr>
            <w:r w:rsidRPr="00A76056">
              <w:rPr>
                <w:szCs w:val="18"/>
              </w:rPr>
              <w:t>Econometrics</w:t>
            </w:r>
          </w:p>
        </w:tc>
        <w:tc>
          <w:tcPr>
            <w:tcW w:w="1701" w:type="dxa"/>
          </w:tcPr>
          <w:p w:rsidR="00703227" w:rsidRPr="00A76056" w:rsidRDefault="00703227" w:rsidP="00A76056">
            <w:pPr>
              <w:pStyle w:val="TableBullet"/>
              <w:numPr>
                <w:ilvl w:val="0"/>
                <w:numId w:val="0"/>
              </w:numPr>
              <w:rPr>
                <w:szCs w:val="18"/>
              </w:rPr>
            </w:pPr>
            <w:r w:rsidRPr="00A76056">
              <w:rPr>
                <w:szCs w:val="18"/>
              </w:rPr>
              <w:t>Industry data</w:t>
            </w:r>
          </w:p>
        </w:tc>
        <w:tc>
          <w:tcPr>
            <w:tcW w:w="5812" w:type="dxa"/>
            <w:gridSpan w:val="2"/>
          </w:tcPr>
          <w:p w:rsidR="00703227" w:rsidRPr="00EF52AE" w:rsidRDefault="00703227" w:rsidP="002D3EE4">
            <w:pPr>
              <w:rPr>
                <w:sz w:val="24"/>
                <w:szCs w:val="24"/>
              </w:rPr>
            </w:pPr>
            <w:r w:rsidRPr="00EF52AE">
              <w:rPr>
                <w:sz w:val="24"/>
                <w:szCs w:val="24"/>
              </w:rPr>
              <w:t xml:space="preserve">DELETE: The Commission will examine ‘improvements in service quality’, ‘diversification’ from growing scale and size of fees under separate indicators of this criterion. Given those separate assessments, and our concern at the imposts for industry </w:t>
            </w:r>
            <w:r w:rsidR="00BC5B7D" w:rsidRPr="00EF52AE">
              <w:rPr>
                <w:sz w:val="24"/>
                <w:szCs w:val="24"/>
              </w:rPr>
              <w:t xml:space="preserve">of excessive data requests and surveys, </w:t>
            </w:r>
            <w:r w:rsidRPr="00EF52AE">
              <w:rPr>
                <w:sz w:val="24"/>
                <w:szCs w:val="24"/>
              </w:rPr>
              <w:t>we do not consider it necessary to source this ‘industry data’ of whether benefits are passed through from scale economies.</w:t>
            </w:r>
            <w:r w:rsidR="00870C7A" w:rsidRPr="00EF52AE">
              <w:rPr>
                <w:sz w:val="24"/>
                <w:szCs w:val="24"/>
              </w:rPr>
              <w:t xml:space="preserve"> </w:t>
            </w:r>
            <w:r w:rsidRPr="00EF52AE">
              <w:rPr>
                <w:sz w:val="24"/>
                <w:szCs w:val="24"/>
              </w:rPr>
              <w:t>Furthermore, we believe that longitudinal data is unhelpful due to the many legislative and other change</w:t>
            </w:r>
            <w:r w:rsidR="00870C7A" w:rsidRPr="00EF52AE">
              <w:rPr>
                <w:sz w:val="24"/>
                <w:szCs w:val="24"/>
              </w:rPr>
              <w:t>s</w:t>
            </w:r>
            <w:r w:rsidRPr="00EF52AE">
              <w:rPr>
                <w:sz w:val="24"/>
                <w:szCs w:val="24"/>
              </w:rPr>
              <w:t xml:space="preserve"> imposed on the industry during the last </w:t>
            </w:r>
            <w:r w:rsidR="00870C7A" w:rsidRPr="00EF52AE">
              <w:rPr>
                <w:sz w:val="24"/>
                <w:szCs w:val="24"/>
              </w:rPr>
              <w:t>ten</w:t>
            </w:r>
            <w:r w:rsidRPr="00EF52AE">
              <w:rPr>
                <w:sz w:val="24"/>
                <w:szCs w:val="24"/>
              </w:rPr>
              <w:t xml:space="preserve"> years </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10.5 Improvements in service quality in administration due to growing scale (output)</w:t>
            </w:r>
          </w:p>
        </w:tc>
        <w:tc>
          <w:tcPr>
            <w:tcW w:w="1559" w:type="dxa"/>
          </w:tcPr>
          <w:p w:rsidR="00703227" w:rsidRPr="00A76056" w:rsidRDefault="00703227" w:rsidP="00A76056">
            <w:pPr>
              <w:pStyle w:val="TableBullet"/>
              <w:numPr>
                <w:ilvl w:val="0"/>
                <w:numId w:val="0"/>
              </w:numPr>
              <w:rPr>
                <w:szCs w:val="18"/>
              </w:rPr>
            </w:pPr>
            <w:r w:rsidRPr="00A76056">
              <w:rPr>
                <w:szCs w:val="18"/>
              </w:rPr>
              <w:t>Qualitative</w:t>
            </w:r>
          </w:p>
        </w:tc>
        <w:tc>
          <w:tcPr>
            <w:tcW w:w="1701" w:type="dxa"/>
          </w:tcPr>
          <w:p w:rsidR="00703227" w:rsidRPr="00A76056" w:rsidRDefault="00703227" w:rsidP="00A76056">
            <w:pPr>
              <w:pStyle w:val="TableBullet"/>
              <w:numPr>
                <w:ilvl w:val="0"/>
                <w:numId w:val="0"/>
              </w:numPr>
              <w:rPr>
                <w:szCs w:val="18"/>
              </w:rPr>
            </w:pPr>
            <w:r w:rsidRPr="00A76056">
              <w:rPr>
                <w:szCs w:val="18"/>
              </w:rPr>
              <w:t>Surveys</w:t>
            </w:r>
          </w:p>
        </w:tc>
        <w:tc>
          <w:tcPr>
            <w:tcW w:w="5812" w:type="dxa"/>
            <w:gridSpan w:val="2"/>
          </w:tcPr>
          <w:p w:rsidR="00854544" w:rsidRPr="00EF52AE" w:rsidRDefault="00703227" w:rsidP="00E4684B">
            <w:pPr>
              <w:rPr>
                <w:sz w:val="24"/>
                <w:szCs w:val="24"/>
              </w:rPr>
            </w:pPr>
            <w:r w:rsidRPr="00EF52AE">
              <w:rPr>
                <w:sz w:val="24"/>
                <w:szCs w:val="24"/>
              </w:rPr>
              <w:t>SUPPORT:</w:t>
            </w:r>
            <w:r w:rsidRPr="00EF52AE">
              <w:rPr>
                <w:b/>
                <w:sz w:val="24"/>
                <w:szCs w:val="24"/>
              </w:rPr>
              <w:t xml:space="preserve"> </w:t>
            </w:r>
            <w:r w:rsidRPr="00EF52AE">
              <w:rPr>
                <w:sz w:val="24"/>
                <w:szCs w:val="24"/>
              </w:rPr>
              <w:t>We believe there is strong evidence of fund administrators using scale to improve the quality</w:t>
            </w:r>
            <w:r w:rsidR="002D3EE4" w:rsidRPr="00EF52AE">
              <w:rPr>
                <w:sz w:val="24"/>
                <w:szCs w:val="24"/>
              </w:rPr>
              <w:t xml:space="preserve"> and scope of member services. </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lastRenderedPageBreak/>
              <w:t>10.6 Increased diversification due to growing scale (input)</w:t>
            </w:r>
          </w:p>
        </w:tc>
        <w:tc>
          <w:tcPr>
            <w:tcW w:w="1559" w:type="dxa"/>
          </w:tcPr>
          <w:p w:rsidR="00703227" w:rsidRPr="00A76056" w:rsidRDefault="00703227" w:rsidP="00A76056">
            <w:pPr>
              <w:pStyle w:val="TableBullet"/>
              <w:numPr>
                <w:ilvl w:val="0"/>
                <w:numId w:val="0"/>
              </w:numPr>
              <w:rPr>
                <w:szCs w:val="18"/>
              </w:rPr>
            </w:pPr>
            <w:r w:rsidRPr="00A76056">
              <w:rPr>
                <w:szCs w:val="18"/>
              </w:rPr>
              <w:t>Econometrics</w:t>
            </w:r>
          </w:p>
        </w:tc>
        <w:tc>
          <w:tcPr>
            <w:tcW w:w="1701" w:type="dxa"/>
          </w:tcPr>
          <w:p w:rsidR="00703227" w:rsidRPr="00A76056" w:rsidRDefault="00703227" w:rsidP="00A76056">
            <w:pPr>
              <w:pStyle w:val="TableBullet"/>
              <w:numPr>
                <w:ilvl w:val="0"/>
                <w:numId w:val="0"/>
              </w:numPr>
              <w:rPr>
                <w:szCs w:val="18"/>
              </w:rPr>
            </w:pPr>
            <w:r w:rsidRPr="00A76056">
              <w:rPr>
                <w:szCs w:val="18"/>
              </w:rPr>
              <w:t>Regulator data, industry data</w:t>
            </w:r>
          </w:p>
        </w:tc>
        <w:tc>
          <w:tcPr>
            <w:tcW w:w="5812" w:type="dxa"/>
            <w:gridSpan w:val="2"/>
          </w:tcPr>
          <w:p w:rsidR="00703227" w:rsidRDefault="00703227" w:rsidP="00F32A43">
            <w:pPr>
              <w:rPr>
                <w:sz w:val="24"/>
                <w:szCs w:val="24"/>
              </w:rPr>
            </w:pPr>
            <w:r>
              <w:rPr>
                <w:sz w:val="24"/>
                <w:szCs w:val="24"/>
              </w:rPr>
              <w:t>SUPPORT: We believe there is ample evidence of fund</w:t>
            </w:r>
            <w:r w:rsidR="00854544">
              <w:rPr>
                <w:sz w:val="24"/>
                <w:szCs w:val="24"/>
              </w:rPr>
              <w:t>s</w:t>
            </w:r>
            <w:r>
              <w:rPr>
                <w:sz w:val="24"/>
                <w:szCs w:val="24"/>
              </w:rPr>
              <w:t xml:space="preserve"> using scale to enable them to further diversify their investments where this risk/reward value proposition is strong</w:t>
            </w:r>
            <w:r w:rsidR="00D84459">
              <w:rPr>
                <w:sz w:val="24"/>
                <w:szCs w:val="24"/>
              </w:rPr>
              <w:t>.</w:t>
            </w:r>
          </w:p>
          <w:p w:rsidR="00854544" w:rsidRPr="00A76056" w:rsidRDefault="00854544" w:rsidP="00F32A43">
            <w:pPr>
              <w:rPr>
                <w:sz w:val="24"/>
                <w:szCs w:val="24"/>
              </w:rPr>
            </w:pPr>
          </w:p>
        </w:tc>
      </w:tr>
    </w:tbl>
    <w:p w:rsidR="002D3EE4" w:rsidRDefault="002D3EE4"/>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701"/>
        <w:gridCol w:w="4819"/>
        <w:gridCol w:w="993"/>
      </w:tblGrid>
      <w:tr w:rsidR="007853B8" w:rsidTr="00F95256">
        <w:tc>
          <w:tcPr>
            <w:tcW w:w="13149" w:type="dxa"/>
            <w:gridSpan w:val="4"/>
            <w:tcBorders>
              <w:right w:val="nil"/>
            </w:tcBorders>
          </w:tcPr>
          <w:p w:rsidR="00D84459" w:rsidRPr="00EF52AE" w:rsidRDefault="007853B8" w:rsidP="00D84459">
            <w:pPr>
              <w:pStyle w:val="TableBullet"/>
              <w:numPr>
                <w:ilvl w:val="0"/>
                <w:numId w:val="0"/>
              </w:numPr>
              <w:rPr>
                <w:i/>
                <w:sz w:val="22"/>
                <w:szCs w:val="22"/>
              </w:rPr>
            </w:pPr>
            <w:r w:rsidRPr="00596149">
              <w:rPr>
                <w:b/>
                <w:sz w:val="24"/>
                <w:szCs w:val="24"/>
              </w:rPr>
              <w:lastRenderedPageBreak/>
              <w:t xml:space="preserve">11. Do Funds compete on relevant non-price dimensions? </w:t>
            </w:r>
            <w:r w:rsidR="00596149" w:rsidRPr="00596149">
              <w:rPr>
                <w:b/>
                <w:sz w:val="24"/>
                <w:szCs w:val="24"/>
              </w:rPr>
              <w:br/>
            </w:r>
            <w:r w:rsidR="00D84459">
              <w:rPr>
                <w:sz w:val="22"/>
                <w:szCs w:val="22"/>
              </w:rPr>
              <w:t xml:space="preserve">           NOTE</w:t>
            </w:r>
            <w:r w:rsidRPr="00D84459">
              <w:rPr>
                <w:sz w:val="22"/>
                <w:szCs w:val="22"/>
              </w:rPr>
              <w:t xml:space="preserve">: </w:t>
            </w:r>
            <w:r w:rsidRPr="00EF52AE">
              <w:rPr>
                <w:i/>
                <w:sz w:val="22"/>
                <w:szCs w:val="22"/>
              </w:rPr>
              <w:t xml:space="preserve">Mercer recommends this criterion be amalgamated with </w:t>
            </w:r>
            <w:r w:rsidR="00E41F95" w:rsidRPr="00EF52AE">
              <w:rPr>
                <w:i/>
                <w:sz w:val="22"/>
                <w:szCs w:val="22"/>
              </w:rPr>
              <w:t>c</w:t>
            </w:r>
            <w:r w:rsidRPr="00EF52AE">
              <w:rPr>
                <w:i/>
                <w:sz w:val="22"/>
                <w:szCs w:val="22"/>
              </w:rPr>
              <w:t xml:space="preserve">riterion </w:t>
            </w:r>
            <w:r w:rsidR="00870C7A" w:rsidRPr="00EF52AE">
              <w:rPr>
                <w:i/>
                <w:sz w:val="22"/>
                <w:szCs w:val="22"/>
              </w:rPr>
              <w:t>#</w:t>
            </w:r>
            <w:r w:rsidRPr="00EF52AE">
              <w:rPr>
                <w:i/>
                <w:sz w:val="22"/>
                <w:szCs w:val="22"/>
              </w:rPr>
              <w:t>9</w:t>
            </w:r>
            <w:r w:rsidR="00E41F95" w:rsidRPr="00EF52AE">
              <w:rPr>
                <w:i/>
                <w:sz w:val="22"/>
                <w:szCs w:val="22"/>
              </w:rPr>
              <w:t xml:space="preserve"> – refer Attachment 2</w:t>
            </w:r>
            <w:r w:rsidRPr="00EF52AE">
              <w:rPr>
                <w:i/>
                <w:sz w:val="22"/>
                <w:szCs w:val="22"/>
              </w:rPr>
              <w:t xml:space="preserve">. We have therefore </w:t>
            </w:r>
            <w:r w:rsidR="00D84459" w:rsidRPr="00EF52AE">
              <w:rPr>
                <w:i/>
                <w:sz w:val="22"/>
                <w:szCs w:val="22"/>
              </w:rPr>
              <w:t xml:space="preserve">     </w:t>
            </w:r>
          </w:p>
          <w:p w:rsidR="007853B8" w:rsidRPr="007853B8" w:rsidRDefault="00D84459" w:rsidP="00D84459">
            <w:pPr>
              <w:pStyle w:val="TableBullet"/>
              <w:numPr>
                <w:ilvl w:val="0"/>
                <w:numId w:val="0"/>
              </w:numPr>
              <w:rPr>
                <w:sz w:val="22"/>
                <w:szCs w:val="22"/>
              </w:rPr>
            </w:pPr>
            <w:r w:rsidRPr="00EF52AE">
              <w:rPr>
                <w:i/>
                <w:sz w:val="22"/>
                <w:szCs w:val="22"/>
              </w:rPr>
              <w:t xml:space="preserve">                       </w:t>
            </w:r>
            <w:r w:rsidR="007853B8" w:rsidRPr="00EF52AE">
              <w:rPr>
                <w:i/>
                <w:sz w:val="22"/>
                <w:szCs w:val="22"/>
              </w:rPr>
              <w:t xml:space="preserve">recommended specified indicators be moved from here to </w:t>
            </w:r>
            <w:r w:rsidR="00870C7A" w:rsidRPr="00EF52AE">
              <w:rPr>
                <w:i/>
                <w:sz w:val="22"/>
                <w:szCs w:val="22"/>
              </w:rPr>
              <w:t>c</w:t>
            </w:r>
            <w:r w:rsidR="007853B8" w:rsidRPr="00EF52AE">
              <w:rPr>
                <w:i/>
                <w:sz w:val="22"/>
                <w:szCs w:val="22"/>
              </w:rPr>
              <w:t xml:space="preserve">riterion </w:t>
            </w:r>
            <w:r w:rsidR="00870C7A" w:rsidRPr="00EF52AE">
              <w:rPr>
                <w:i/>
                <w:sz w:val="22"/>
                <w:szCs w:val="22"/>
              </w:rPr>
              <w:t>#</w:t>
            </w:r>
            <w:r w:rsidR="007853B8" w:rsidRPr="00EF52AE">
              <w:rPr>
                <w:i/>
                <w:sz w:val="22"/>
                <w:szCs w:val="22"/>
              </w:rPr>
              <w:t>9</w:t>
            </w:r>
            <w:r w:rsidRPr="00EF52AE">
              <w:rPr>
                <w:i/>
                <w:sz w:val="22"/>
                <w:szCs w:val="22"/>
              </w:rPr>
              <w:t>.</w:t>
            </w:r>
          </w:p>
        </w:tc>
        <w:tc>
          <w:tcPr>
            <w:tcW w:w="993" w:type="dxa"/>
            <w:tcBorders>
              <w:left w:val="nil"/>
            </w:tcBorders>
          </w:tcPr>
          <w:p w:rsidR="007853B8" w:rsidRDefault="007853B8" w:rsidP="00F32A43">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11.1 Fund marketing expenditure (size, composition and share of operating expenses) (input)</w:t>
            </w:r>
          </w:p>
        </w:tc>
        <w:tc>
          <w:tcPr>
            <w:tcW w:w="1559" w:type="dxa"/>
          </w:tcPr>
          <w:p w:rsidR="00703227" w:rsidRPr="00A76056" w:rsidRDefault="00703227" w:rsidP="00A76056">
            <w:pPr>
              <w:pStyle w:val="TableBullet"/>
              <w:numPr>
                <w:ilvl w:val="0"/>
                <w:numId w:val="0"/>
              </w:numPr>
              <w:rPr>
                <w:szCs w:val="18"/>
              </w:rPr>
            </w:pPr>
            <w:r w:rsidRPr="00A76056">
              <w:rPr>
                <w:szCs w:val="18"/>
              </w:rPr>
              <w:t>Trend analysis</w:t>
            </w:r>
          </w:p>
        </w:tc>
        <w:tc>
          <w:tcPr>
            <w:tcW w:w="1701" w:type="dxa"/>
          </w:tcPr>
          <w:p w:rsidR="00703227" w:rsidRPr="00A76056" w:rsidRDefault="00703227" w:rsidP="00A76056">
            <w:pPr>
              <w:pStyle w:val="TableBullet"/>
              <w:numPr>
                <w:ilvl w:val="0"/>
                <w:numId w:val="0"/>
              </w:numPr>
              <w:rPr>
                <w:szCs w:val="18"/>
              </w:rPr>
            </w:pPr>
            <w:r w:rsidRPr="00A76056">
              <w:rPr>
                <w:szCs w:val="18"/>
              </w:rPr>
              <w:t>Surveys</w:t>
            </w:r>
          </w:p>
        </w:tc>
        <w:tc>
          <w:tcPr>
            <w:tcW w:w="5812" w:type="dxa"/>
            <w:gridSpan w:val="2"/>
          </w:tcPr>
          <w:p w:rsidR="00FC526E" w:rsidRPr="00EF52AE" w:rsidRDefault="00FC526E" w:rsidP="00FC526E">
            <w:pPr>
              <w:rPr>
                <w:sz w:val="24"/>
                <w:szCs w:val="24"/>
              </w:rPr>
            </w:pPr>
            <w:r w:rsidRPr="00EF52AE">
              <w:rPr>
                <w:sz w:val="24"/>
                <w:szCs w:val="24"/>
              </w:rPr>
              <w:t>DELETE: As mentioned earlier concerning the expenditure on member retention, marketing expenditure comes in many forms ranging from general brand recognition (say from a retail provider) to expenditure relating to a specific activity or promotion for a limited time period. Marketing expenditure can also be related to particular government announcements or an external event (such as the GFC).</w:t>
            </w:r>
            <w:r w:rsidR="00AC3C11" w:rsidRPr="00EF52AE">
              <w:rPr>
                <w:sz w:val="24"/>
                <w:szCs w:val="24"/>
              </w:rPr>
              <w:br/>
            </w:r>
          </w:p>
          <w:p w:rsidR="00703227" w:rsidRPr="00EF52AE" w:rsidRDefault="00FC526E" w:rsidP="00E4684B">
            <w:pPr>
              <w:rPr>
                <w:sz w:val="24"/>
                <w:szCs w:val="24"/>
              </w:rPr>
            </w:pPr>
            <w:r w:rsidRPr="00EF52AE">
              <w:rPr>
                <w:sz w:val="24"/>
                <w:szCs w:val="24"/>
              </w:rPr>
              <w:t xml:space="preserve">We consider this indicator </w:t>
            </w:r>
            <w:r w:rsidR="005260CF" w:rsidRPr="00EF52AE">
              <w:rPr>
                <w:sz w:val="24"/>
                <w:szCs w:val="24"/>
              </w:rPr>
              <w:t xml:space="preserve">is </w:t>
            </w:r>
            <w:r w:rsidRPr="00EF52AE">
              <w:rPr>
                <w:sz w:val="24"/>
                <w:szCs w:val="24"/>
              </w:rPr>
              <w:t>too broad to be relevant to th</w:t>
            </w:r>
            <w:r w:rsidR="005260CF" w:rsidRPr="00EF52AE">
              <w:rPr>
                <w:sz w:val="24"/>
                <w:szCs w:val="24"/>
              </w:rPr>
              <w:t>is</w:t>
            </w:r>
            <w:r w:rsidRPr="00EF52AE">
              <w:rPr>
                <w:sz w:val="24"/>
                <w:szCs w:val="24"/>
              </w:rPr>
              <w:t xml:space="preserve"> criteri</w:t>
            </w:r>
            <w:r w:rsidR="005260CF" w:rsidRPr="00EF52AE">
              <w:rPr>
                <w:sz w:val="24"/>
                <w:szCs w:val="24"/>
              </w:rPr>
              <w:t>on</w:t>
            </w:r>
            <w:r w:rsidRPr="00EF52AE">
              <w:rPr>
                <w:sz w:val="24"/>
                <w:szCs w:val="24"/>
              </w:rPr>
              <w:t>. The fact a fund spends comparatively more on marketing could reflect characteristics specific to it (i.e. more investment options, greater member numbers/need for education) rather than unnecessary expendi</w:t>
            </w:r>
            <w:r w:rsidR="00EF52AE">
              <w:rPr>
                <w:sz w:val="24"/>
                <w:szCs w:val="24"/>
              </w:rPr>
              <w:t xml:space="preserve">ture on non-price dimensions.  </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11.2 Information collection by funds on key member characteristics* (input)</w:t>
            </w:r>
          </w:p>
        </w:tc>
        <w:tc>
          <w:tcPr>
            <w:tcW w:w="1559" w:type="dxa"/>
          </w:tcPr>
          <w:p w:rsidR="00703227" w:rsidRPr="00A76056" w:rsidRDefault="00703227" w:rsidP="00A76056">
            <w:pPr>
              <w:pStyle w:val="TableBullet"/>
              <w:numPr>
                <w:ilvl w:val="0"/>
                <w:numId w:val="0"/>
              </w:numPr>
              <w:rPr>
                <w:szCs w:val="18"/>
              </w:rPr>
            </w:pPr>
            <w:r w:rsidRPr="00A76056">
              <w:rPr>
                <w:szCs w:val="18"/>
              </w:rPr>
              <w:t>Qualitative</w:t>
            </w:r>
          </w:p>
        </w:tc>
        <w:tc>
          <w:tcPr>
            <w:tcW w:w="1701" w:type="dxa"/>
          </w:tcPr>
          <w:p w:rsidR="00703227" w:rsidRPr="00916832" w:rsidRDefault="00703227" w:rsidP="00A76056">
            <w:pPr>
              <w:pStyle w:val="TableBullet"/>
              <w:numPr>
                <w:ilvl w:val="0"/>
                <w:numId w:val="0"/>
              </w:numPr>
              <w:rPr>
                <w:szCs w:val="18"/>
              </w:rPr>
            </w:pPr>
            <w:r w:rsidRPr="00916832">
              <w:rPr>
                <w:szCs w:val="18"/>
              </w:rPr>
              <w:t xml:space="preserve">Surveys </w:t>
            </w:r>
            <w:r w:rsidRPr="00916832">
              <w:rPr>
                <w:szCs w:val="18"/>
              </w:rPr>
              <w:br/>
              <w:t>Case studies</w:t>
            </w:r>
          </w:p>
        </w:tc>
        <w:tc>
          <w:tcPr>
            <w:tcW w:w="5812" w:type="dxa"/>
            <w:gridSpan w:val="2"/>
          </w:tcPr>
          <w:p w:rsidR="00703227" w:rsidRPr="00EF52AE" w:rsidRDefault="00F17F46" w:rsidP="00E4684B">
            <w:pPr>
              <w:rPr>
                <w:sz w:val="24"/>
                <w:szCs w:val="24"/>
              </w:rPr>
            </w:pPr>
            <w:r w:rsidRPr="00EF52AE">
              <w:rPr>
                <w:sz w:val="24"/>
                <w:szCs w:val="24"/>
              </w:rPr>
              <w:t>DELETE. See comments on indicator 1.7</w:t>
            </w:r>
          </w:p>
          <w:p w:rsidR="00703227" w:rsidRPr="00EF52AE" w:rsidRDefault="00703227" w:rsidP="00E4684B">
            <w:pPr>
              <w:rPr>
                <w:b/>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11.3 Availability, cost and quality of information on fees and investment risks at product level* (input)</w:t>
            </w:r>
          </w:p>
        </w:tc>
        <w:tc>
          <w:tcPr>
            <w:tcW w:w="1559" w:type="dxa"/>
          </w:tcPr>
          <w:p w:rsidR="00703227" w:rsidRPr="00A76056" w:rsidRDefault="00703227" w:rsidP="00A76056">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A76056">
            <w:pPr>
              <w:pStyle w:val="TableBullet"/>
              <w:numPr>
                <w:ilvl w:val="0"/>
                <w:numId w:val="0"/>
              </w:numPr>
              <w:rPr>
                <w:szCs w:val="18"/>
              </w:rPr>
            </w:pPr>
            <w:r w:rsidRPr="00A76056">
              <w:rPr>
                <w:szCs w:val="18"/>
              </w:rPr>
              <w:t xml:space="preserve">Surveys </w:t>
            </w:r>
            <w:r w:rsidRPr="00A76056">
              <w:rPr>
                <w:szCs w:val="18"/>
              </w:rPr>
              <w:br/>
              <w:t>Industry data</w:t>
            </w:r>
          </w:p>
        </w:tc>
        <w:tc>
          <w:tcPr>
            <w:tcW w:w="5812" w:type="dxa"/>
            <w:gridSpan w:val="2"/>
          </w:tcPr>
          <w:p w:rsidR="00703227" w:rsidRPr="00EF52AE" w:rsidRDefault="00703227" w:rsidP="00916832">
            <w:pPr>
              <w:rPr>
                <w:b/>
                <w:sz w:val="24"/>
                <w:szCs w:val="24"/>
                <w:highlight w:val="yellow"/>
              </w:rPr>
            </w:pPr>
            <w:r w:rsidRPr="00EF52AE">
              <w:rPr>
                <w:sz w:val="24"/>
                <w:szCs w:val="24"/>
              </w:rPr>
              <w:t>M</w:t>
            </w:r>
            <w:r w:rsidR="00870C7A" w:rsidRPr="00EF52AE">
              <w:rPr>
                <w:sz w:val="24"/>
                <w:szCs w:val="24"/>
              </w:rPr>
              <w:t>ove</w:t>
            </w:r>
            <w:r w:rsidR="00C11401" w:rsidRPr="00EF52AE">
              <w:rPr>
                <w:sz w:val="24"/>
                <w:szCs w:val="24"/>
              </w:rPr>
              <w:t>d</w:t>
            </w:r>
            <w:r w:rsidRPr="00EF52AE">
              <w:rPr>
                <w:sz w:val="24"/>
                <w:szCs w:val="24"/>
              </w:rPr>
              <w:t xml:space="preserve"> to revised </w:t>
            </w:r>
            <w:r w:rsidR="00870C7A" w:rsidRPr="00EF52AE">
              <w:rPr>
                <w:sz w:val="24"/>
                <w:szCs w:val="24"/>
              </w:rPr>
              <w:t>c</w:t>
            </w:r>
            <w:r w:rsidRPr="00EF52AE">
              <w:rPr>
                <w:sz w:val="24"/>
                <w:szCs w:val="24"/>
              </w:rPr>
              <w:t xml:space="preserve">riterion </w:t>
            </w:r>
            <w:r w:rsidR="00870C7A" w:rsidRPr="00EF52AE">
              <w:rPr>
                <w:sz w:val="24"/>
                <w:szCs w:val="24"/>
              </w:rPr>
              <w:t>#</w:t>
            </w:r>
            <w:r w:rsidRPr="00EF52AE">
              <w:rPr>
                <w:sz w:val="24"/>
                <w:szCs w:val="24"/>
              </w:rPr>
              <w:t>9</w:t>
            </w:r>
            <w:r w:rsidR="00916832" w:rsidRPr="00EF52AE">
              <w:rPr>
                <w:sz w:val="24"/>
                <w:szCs w:val="24"/>
              </w:rPr>
              <w:t xml:space="preserve"> assessment.</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11.4 Comparability of insurance product information disclosed by funds* (input)</w:t>
            </w:r>
          </w:p>
        </w:tc>
        <w:tc>
          <w:tcPr>
            <w:tcW w:w="1559" w:type="dxa"/>
          </w:tcPr>
          <w:p w:rsidR="00703227" w:rsidRPr="00A76056" w:rsidRDefault="00703227" w:rsidP="00A76056">
            <w:pPr>
              <w:pStyle w:val="TableBullet"/>
              <w:numPr>
                <w:ilvl w:val="0"/>
                <w:numId w:val="0"/>
              </w:numPr>
              <w:rPr>
                <w:szCs w:val="18"/>
              </w:rPr>
            </w:pPr>
            <w:r w:rsidRPr="00A76056">
              <w:rPr>
                <w:szCs w:val="18"/>
              </w:rPr>
              <w:t>Qualitative</w:t>
            </w:r>
          </w:p>
        </w:tc>
        <w:tc>
          <w:tcPr>
            <w:tcW w:w="1701" w:type="dxa"/>
          </w:tcPr>
          <w:p w:rsidR="00703227" w:rsidRPr="00A76056" w:rsidRDefault="00703227" w:rsidP="00A76056">
            <w:pPr>
              <w:pStyle w:val="TableBullet"/>
              <w:numPr>
                <w:ilvl w:val="0"/>
                <w:numId w:val="0"/>
              </w:numPr>
              <w:rPr>
                <w:szCs w:val="18"/>
              </w:rPr>
            </w:pPr>
            <w:r w:rsidRPr="00A76056">
              <w:rPr>
                <w:szCs w:val="18"/>
              </w:rPr>
              <w:t xml:space="preserve">Surveys </w:t>
            </w:r>
            <w:r w:rsidRPr="00A76056">
              <w:rPr>
                <w:szCs w:val="18"/>
              </w:rPr>
              <w:br/>
              <w:t>Case studies</w:t>
            </w:r>
          </w:p>
        </w:tc>
        <w:tc>
          <w:tcPr>
            <w:tcW w:w="5812" w:type="dxa"/>
            <w:gridSpan w:val="2"/>
          </w:tcPr>
          <w:p w:rsidR="00703227" w:rsidRPr="00EF52AE" w:rsidRDefault="00703227" w:rsidP="00C11401">
            <w:pPr>
              <w:rPr>
                <w:sz w:val="24"/>
                <w:szCs w:val="24"/>
                <w:highlight w:val="yellow"/>
              </w:rPr>
            </w:pPr>
            <w:r w:rsidRPr="00EF52AE">
              <w:rPr>
                <w:sz w:val="24"/>
                <w:szCs w:val="24"/>
              </w:rPr>
              <w:t>M</w:t>
            </w:r>
            <w:r w:rsidR="00870C7A" w:rsidRPr="00EF52AE">
              <w:rPr>
                <w:sz w:val="24"/>
                <w:szCs w:val="24"/>
              </w:rPr>
              <w:t>ove</w:t>
            </w:r>
            <w:r w:rsidR="00C11401" w:rsidRPr="00EF52AE">
              <w:rPr>
                <w:sz w:val="24"/>
                <w:szCs w:val="24"/>
              </w:rPr>
              <w:t>d</w:t>
            </w:r>
            <w:r w:rsidRPr="00EF52AE">
              <w:rPr>
                <w:sz w:val="24"/>
                <w:szCs w:val="24"/>
              </w:rPr>
              <w:t xml:space="preserve"> to revised </w:t>
            </w:r>
            <w:r w:rsidR="00870C7A" w:rsidRPr="00EF52AE">
              <w:rPr>
                <w:sz w:val="24"/>
                <w:szCs w:val="24"/>
              </w:rPr>
              <w:t>c</w:t>
            </w:r>
            <w:r w:rsidRPr="00EF52AE">
              <w:rPr>
                <w:sz w:val="24"/>
                <w:szCs w:val="24"/>
              </w:rPr>
              <w:t xml:space="preserve">riterion </w:t>
            </w:r>
            <w:r w:rsidR="00870C7A" w:rsidRPr="00EF52AE">
              <w:rPr>
                <w:sz w:val="24"/>
                <w:szCs w:val="24"/>
              </w:rPr>
              <w:t>#</w:t>
            </w:r>
            <w:r w:rsidR="00916832" w:rsidRPr="00EF52AE">
              <w:rPr>
                <w:sz w:val="24"/>
                <w:szCs w:val="24"/>
              </w:rPr>
              <w:t>9 assessment.</w:t>
            </w: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lastRenderedPageBreak/>
              <w:t>11.5 Member awareness of key features of their superannuation (including insurance* (input)</w:t>
            </w:r>
          </w:p>
        </w:tc>
        <w:tc>
          <w:tcPr>
            <w:tcW w:w="1559" w:type="dxa"/>
          </w:tcPr>
          <w:p w:rsidR="00703227" w:rsidRPr="00A76056" w:rsidRDefault="00703227" w:rsidP="00A76056">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A76056">
            <w:pPr>
              <w:pStyle w:val="TableBullet"/>
              <w:numPr>
                <w:ilvl w:val="0"/>
                <w:numId w:val="0"/>
              </w:numPr>
              <w:rPr>
                <w:szCs w:val="18"/>
              </w:rPr>
            </w:pPr>
            <w:r w:rsidRPr="00A76056">
              <w:rPr>
                <w:szCs w:val="18"/>
              </w:rPr>
              <w:t>Surveys</w:t>
            </w:r>
          </w:p>
        </w:tc>
        <w:tc>
          <w:tcPr>
            <w:tcW w:w="5812" w:type="dxa"/>
            <w:gridSpan w:val="2"/>
          </w:tcPr>
          <w:p w:rsidR="00703227" w:rsidRPr="00EF52AE" w:rsidRDefault="00703227" w:rsidP="00C11401">
            <w:pPr>
              <w:rPr>
                <w:sz w:val="24"/>
                <w:szCs w:val="24"/>
                <w:highlight w:val="yellow"/>
              </w:rPr>
            </w:pPr>
            <w:r w:rsidRPr="00EF52AE">
              <w:rPr>
                <w:sz w:val="24"/>
                <w:szCs w:val="24"/>
              </w:rPr>
              <w:t>M</w:t>
            </w:r>
            <w:r w:rsidR="00870C7A" w:rsidRPr="00EF52AE">
              <w:rPr>
                <w:sz w:val="24"/>
                <w:szCs w:val="24"/>
              </w:rPr>
              <w:t>ove</w:t>
            </w:r>
            <w:r w:rsidR="00C11401" w:rsidRPr="00EF52AE">
              <w:rPr>
                <w:sz w:val="24"/>
                <w:szCs w:val="24"/>
              </w:rPr>
              <w:t>d</w:t>
            </w:r>
            <w:r w:rsidRPr="00EF52AE">
              <w:rPr>
                <w:sz w:val="24"/>
                <w:szCs w:val="24"/>
              </w:rPr>
              <w:t xml:space="preserve"> to revised </w:t>
            </w:r>
            <w:r w:rsidR="00870C7A" w:rsidRPr="00EF52AE">
              <w:rPr>
                <w:sz w:val="24"/>
                <w:szCs w:val="24"/>
              </w:rPr>
              <w:t>c</w:t>
            </w:r>
            <w:r w:rsidRPr="00EF52AE">
              <w:rPr>
                <w:sz w:val="24"/>
                <w:szCs w:val="24"/>
              </w:rPr>
              <w:t xml:space="preserve">riterion </w:t>
            </w:r>
            <w:r w:rsidR="00870C7A" w:rsidRPr="00EF52AE">
              <w:rPr>
                <w:sz w:val="24"/>
                <w:szCs w:val="24"/>
              </w:rPr>
              <w:t>#</w:t>
            </w:r>
            <w:r w:rsidRPr="00EF52AE">
              <w:rPr>
                <w:sz w:val="24"/>
                <w:szCs w:val="24"/>
              </w:rPr>
              <w:t>9</w:t>
            </w:r>
            <w:r w:rsidR="00916832" w:rsidRPr="00EF52AE">
              <w:rPr>
                <w:sz w:val="24"/>
                <w:szCs w:val="24"/>
              </w:rPr>
              <w:t xml:space="preserve"> assessment</w:t>
            </w:r>
            <w:r w:rsidRPr="00EF52AE">
              <w:rPr>
                <w:sz w:val="24"/>
                <w:szCs w:val="24"/>
              </w:rPr>
              <w:t>.</w:t>
            </w:r>
          </w:p>
        </w:tc>
      </w:tr>
    </w:tbl>
    <w:p w:rsidR="002D3EE4" w:rsidRDefault="002D3EE4">
      <w:r>
        <w:br w:type="page"/>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701"/>
        <w:gridCol w:w="3685"/>
        <w:gridCol w:w="2127"/>
      </w:tblGrid>
      <w:tr w:rsidR="00C74119" w:rsidTr="00C74119">
        <w:tc>
          <w:tcPr>
            <w:tcW w:w="12015" w:type="dxa"/>
            <w:gridSpan w:val="4"/>
            <w:tcBorders>
              <w:right w:val="nil"/>
            </w:tcBorders>
          </w:tcPr>
          <w:p w:rsidR="00C74119" w:rsidRPr="00C74119" w:rsidRDefault="00C74119" w:rsidP="00A76056">
            <w:pPr>
              <w:pStyle w:val="TableBullet"/>
              <w:numPr>
                <w:ilvl w:val="0"/>
                <w:numId w:val="0"/>
              </w:numPr>
              <w:ind w:left="33" w:firstLine="1"/>
              <w:rPr>
                <w:b/>
                <w:sz w:val="24"/>
                <w:szCs w:val="24"/>
              </w:rPr>
            </w:pPr>
            <w:r w:rsidRPr="00C74119">
              <w:rPr>
                <w:b/>
                <w:sz w:val="24"/>
                <w:szCs w:val="24"/>
              </w:rPr>
              <w:lastRenderedPageBreak/>
              <w:t>12. Is there innovation and quality improvement in the system?</w:t>
            </w:r>
          </w:p>
          <w:p w:rsidR="00C74119" w:rsidRDefault="00C74119" w:rsidP="00A76056">
            <w:pPr>
              <w:pStyle w:val="TableBullet"/>
              <w:numPr>
                <w:ilvl w:val="0"/>
                <w:numId w:val="0"/>
              </w:numPr>
              <w:ind w:left="33" w:firstLine="1"/>
              <w:rPr>
                <w:i/>
                <w:sz w:val="22"/>
                <w:szCs w:val="22"/>
              </w:rPr>
            </w:pPr>
            <w:r>
              <w:rPr>
                <w:sz w:val="22"/>
                <w:szCs w:val="22"/>
              </w:rPr>
              <w:t xml:space="preserve">           </w:t>
            </w:r>
            <w:r w:rsidRPr="00C74119">
              <w:rPr>
                <w:sz w:val="22"/>
                <w:szCs w:val="22"/>
              </w:rPr>
              <w:t xml:space="preserve">Note: </w:t>
            </w:r>
            <w:r w:rsidRPr="00C74119">
              <w:rPr>
                <w:i/>
                <w:sz w:val="22"/>
                <w:szCs w:val="22"/>
              </w:rPr>
              <w:t xml:space="preserve">Mercer recommends </w:t>
            </w:r>
            <w:r w:rsidR="00EF52AE">
              <w:rPr>
                <w:i/>
                <w:sz w:val="22"/>
                <w:szCs w:val="22"/>
              </w:rPr>
              <w:t xml:space="preserve">deletion of </w:t>
            </w:r>
            <w:r w:rsidRPr="00C74119">
              <w:rPr>
                <w:i/>
                <w:sz w:val="22"/>
                <w:szCs w:val="22"/>
              </w:rPr>
              <w:t xml:space="preserve">this criterion and that innovation and quality improvement indicators be </w:t>
            </w:r>
          </w:p>
          <w:p w:rsidR="00C74119" w:rsidRPr="00C74119" w:rsidRDefault="00C74119" w:rsidP="00C74119">
            <w:pPr>
              <w:pStyle w:val="TableBullet"/>
              <w:numPr>
                <w:ilvl w:val="0"/>
                <w:numId w:val="0"/>
              </w:numPr>
              <w:rPr>
                <w:sz w:val="22"/>
                <w:szCs w:val="22"/>
              </w:rPr>
            </w:pPr>
            <w:r>
              <w:rPr>
                <w:i/>
                <w:sz w:val="22"/>
                <w:szCs w:val="22"/>
              </w:rPr>
              <w:t xml:space="preserve">                     </w:t>
            </w:r>
            <w:r w:rsidRPr="00C74119">
              <w:rPr>
                <w:i/>
                <w:sz w:val="22"/>
                <w:szCs w:val="22"/>
              </w:rPr>
              <w:t>included in criterion #6, #9 and #13 – refer Attachment 2</w:t>
            </w:r>
          </w:p>
        </w:tc>
        <w:tc>
          <w:tcPr>
            <w:tcW w:w="2127" w:type="dxa"/>
            <w:tcBorders>
              <w:left w:val="nil"/>
            </w:tcBorders>
          </w:tcPr>
          <w:p w:rsidR="00C74119" w:rsidRDefault="00C74119" w:rsidP="00CF0BA1">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12.1 Declining number of products over time (accumulation) (output)</w:t>
            </w: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701" w:type="dxa"/>
          </w:tcPr>
          <w:p w:rsidR="00703227" w:rsidRPr="00A76056" w:rsidRDefault="00703227" w:rsidP="00A76056">
            <w:pPr>
              <w:pStyle w:val="TableBullet"/>
              <w:numPr>
                <w:ilvl w:val="0"/>
                <w:numId w:val="0"/>
              </w:numPr>
              <w:ind w:left="33" w:firstLine="1"/>
              <w:rPr>
                <w:szCs w:val="18"/>
              </w:rPr>
            </w:pPr>
            <w:r w:rsidRPr="00A76056">
              <w:rPr>
                <w:szCs w:val="18"/>
              </w:rPr>
              <w:t>Regulator data</w:t>
            </w:r>
          </w:p>
        </w:tc>
        <w:tc>
          <w:tcPr>
            <w:tcW w:w="5812" w:type="dxa"/>
            <w:gridSpan w:val="2"/>
          </w:tcPr>
          <w:p w:rsidR="00703227" w:rsidRPr="00A76056" w:rsidRDefault="00703227" w:rsidP="00CF0BA1">
            <w:pPr>
              <w:rPr>
                <w:sz w:val="24"/>
                <w:szCs w:val="24"/>
              </w:rPr>
            </w:pPr>
            <w:r>
              <w:rPr>
                <w:sz w:val="24"/>
                <w:szCs w:val="24"/>
              </w:rPr>
              <w:t xml:space="preserve">DELETE: </w:t>
            </w:r>
            <w:r w:rsidRPr="00A76056">
              <w:rPr>
                <w:sz w:val="24"/>
                <w:szCs w:val="24"/>
              </w:rPr>
              <w:t xml:space="preserve">This seems to be a very poor indicator. For example, the introduction of life-cycle products would rate a negative on this measure, yet represent a major innovation and quality improvement.  </w:t>
            </w:r>
          </w:p>
          <w:p w:rsidR="00703227" w:rsidRPr="00A76056" w:rsidRDefault="00703227" w:rsidP="00CF0BA1">
            <w:pPr>
              <w:rPr>
                <w:sz w:val="24"/>
                <w:szCs w:val="24"/>
              </w:rPr>
            </w:pPr>
          </w:p>
        </w:tc>
      </w:tr>
      <w:tr w:rsidR="00703227" w:rsidTr="00F95256">
        <w:tc>
          <w:tcPr>
            <w:tcW w:w="5070" w:type="dxa"/>
          </w:tcPr>
          <w:p w:rsidR="00703227" w:rsidRPr="00EF52AE" w:rsidRDefault="00703227" w:rsidP="00A76056">
            <w:pPr>
              <w:pStyle w:val="TableBullet"/>
              <w:numPr>
                <w:ilvl w:val="0"/>
                <w:numId w:val="0"/>
              </w:numPr>
              <w:rPr>
                <w:sz w:val="24"/>
                <w:szCs w:val="24"/>
              </w:rPr>
            </w:pPr>
            <w:r w:rsidRPr="00EF52AE">
              <w:rPr>
                <w:sz w:val="24"/>
                <w:szCs w:val="24"/>
              </w:rPr>
              <w:t>12.2 Introduction of new retirement products and development of more tailored default products* (output)</w:t>
            </w: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 Qualitative</w:t>
            </w:r>
          </w:p>
        </w:tc>
        <w:tc>
          <w:tcPr>
            <w:tcW w:w="1701" w:type="dxa"/>
          </w:tcPr>
          <w:p w:rsidR="00703227" w:rsidRPr="00A76056" w:rsidRDefault="00703227" w:rsidP="00A76056">
            <w:pPr>
              <w:pStyle w:val="TableBullet"/>
              <w:numPr>
                <w:ilvl w:val="0"/>
                <w:numId w:val="0"/>
              </w:numPr>
              <w:ind w:left="33" w:firstLine="1"/>
              <w:rPr>
                <w:szCs w:val="18"/>
              </w:rPr>
            </w:pPr>
            <w:r w:rsidRPr="00A76056">
              <w:rPr>
                <w:szCs w:val="18"/>
              </w:rPr>
              <w:t>Surveys</w:t>
            </w:r>
            <w:r w:rsidRPr="00A76056">
              <w:rPr>
                <w:szCs w:val="18"/>
              </w:rPr>
              <w:br/>
              <w:t>Industry data</w:t>
            </w:r>
          </w:p>
        </w:tc>
        <w:tc>
          <w:tcPr>
            <w:tcW w:w="5812" w:type="dxa"/>
            <w:gridSpan w:val="2"/>
          </w:tcPr>
          <w:p w:rsidR="00703227" w:rsidRPr="00A76056" w:rsidRDefault="00703227" w:rsidP="00916832">
            <w:pPr>
              <w:rPr>
                <w:sz w:val="24"/>
                <w:szCs w:val="24"/>
              </w:rPr>
            </w:pPr>
            <w:r>
              <w:rPr>
                <w:sz w:val="24"/>
                <w:szCs w:val="24"/>
              </w:rPr>
              <w:t>M</w:t>
            </w:r>
            <w:r w:rsidR="00870C7A">
              <w:rPr>
                <w:sz w:val="24"/>
                <w:szCs w:val="24"/>
              </w:rPr>
              <w:t>oved to criteri</w:t>
            </w:r>
            <w:r w:rsidR="00916832">
              <w:rPr>
                <w:sz w:val="24"/>
                <w:szCs w:val="24"/>
              </w:rPr>
              <w:t>on</w:t>
            </w:r>
            <w:r w:rsidR="00870C7A">
              <w:rPr>
                <w:sz w:val="24"/>
                <w:szCs w:val="24"/>
              </w:rPr>
              <w:t xml:space="preserve"> #6, #</w:t>
            </w:r>
            <w:r>
              <w:rPr>
                <w:sz w:val="24"/>
                <w:szCs w:val="24"/>
              </w:rPr>
              <w:t xml:space="preserve">9 </w:t>
            </w:r>
            <w:r w:rsidR="00870C7A">
              <w:rPr>
                <w:sz w:val="24"/>
                <w:szCs w:val="24"/>
              </w:rPr>
              <w:t>and</w:t>
            </w:r>
            <w:r>
              <w:rPr>
                <w:sz w:val="24"/>
                <w:szCs w:val="24"/>
              </w:rPr>
              <w:t xml:space="preserve"> </w:t>
            </w:r>
            <w:r w:rsidR="00870C7A">
              <w:rPr>
                <w:sz w:val="24"/>
                <w:szCs w:val="24"/>
              </w:rPr>
              <w:t>#</w:t>
            </w:r>
            <w:r>
              <w:rPr>
                <w:sz w:val="24"/>
                <w:szCs w:val="24"/>
              </w:rPr>
              <w:t>13</w:t>
            </w:r>
            <w:r w:rsidR="00916832">
              <w:rPr>
                <w:sz w:val="24"/>
                <w:szCs w:val="24"/>
              </w:rPr>
              <w:t xml:space="preserve"> assessments</w:t>
            </w:r>
            <w:r>
              <w:rPr>
                <w:sz w:val="24"/>
                <w:szCs w:val="24"/>
              </w:rPr>
              <w:t xml:space="preserve">. </w:t>
            </w:r>
          </w:p>
        </w:tc>
      </w:tr>
    </w:tbl>
    <w:p w:rsidR="00C74119" w:rsidRDefault="00C74119"/>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70"/>
        <w:gridCol w:w="1559"/>
        <w:gridCol w:w="1701"/>
        <w:gridCol w:w="3118"/>
        <w:gridCol w:w="2694"/>
      </w:tblGrid>
      <w:tr w:rsidR="007853B8" w:rsidDel="0023287C" w:rsidTr="00F95256">
        <w:tc>
          <w:tcPr>
            <w:tcW w:w="11448" w:type="dxa"/>
            <w:gridSpan w:val="4"/>
            <w:tcBorders>
              <w:right w:val="nil"/>
            </w:tcBorders>
          </w:tcPr>
          <w:p w:rsidR="007853B8" w:rsidRPr="00A76056" w:rsidDel="0023287C" w:rsidRDefault="007853B8" w:rsidP="00A76056">
            <w:pPr>
              <w:pStyle w:val="TableBullet"/>
              <w:numPr>
                <w:ilvl w:val="0"/>
                <w:numId w:val="0"/>
              </w:numPr>
              <w:ind w:left="33" w:firstLine="1"/>
              <w:rPr>
                <w:szCs w:val="18"/>
              </w:rPr>
            </w:pPr>
            <w:r w:rsidRPr="00A76056">
              <w:rPr>
                <w:b/>
                <w:sz w:val="24"/>
                <w:szCs w:val="24"/>
              </w:rPr>
              <w:lastRenderedPageBreak/>
              <w:t>13. Are outcomes improving at the system level?</w:t>
            </w:r>
          </w:p>
        </w:tc>
        <w:tc>
          <w:tcPr>
            <w:tcW w:w="2694" w:type="dxa"/>
            <w:tcBorders>
              <w:left w:val="nil"/>
            </w:tcBorders>
          </w:tcPr>
          <w:p w:rsidR="007853B8" w:rsidRPr="00A76056" w:rsidDel="0023287C" w:rsidRDefault="007853B8" w:rsidP="00E4684B">
            <w:pPr>
              <w:rPr>
                <w:sz w:val="24"/>
                <w:szCs w:val="24"/>
              </w:rPr>
            </w:pPr>
          </w:p>
        </w:tc>
      </w:tr>
      <w:tr w:rsidR="00703227" w:rsidTr="00F95256">
        <w:tc>
          <w:tcPr>
            <w:tcW w:w="5070" w:type="dxa"/>
          </w:tcPr>
          <w:p w:rsidR="00703227" w:rsidRPr="00A76056" w:rsidRDefault="00703227" w:rsidP="00A76056">
            <w:pPr>
              <w:pStyle w:val="TableBullet"/>
              <w:numPr>
                <w:ilvl w:val="0"/>
                <w:numId w:val="0"/>
              </w:numPr>
              <w:rPr>
                <w:sz w:val="22"/>
                <w:szCs w:val="22"/>
              </w:rPr>
            </w:pPr>
            <w:r>
              <w:rPr>
                <w:sz w:val="22"/>
                <w:szCs w:val="22"/>
              </w:rPr>
              <w:t xml:space="preserve">13.1 </w:t>
            </w:r>
            <w:r w:rsidRPr="00A76056">
              <w:rPr>
                <w:sz w:val="22"/>
                <w:szCs w:val="22"/>
              </w:rPr>
              <w:t>Growing voluntary consumption of superannuation services (investment, retirement products, advice, insurance) (output)</w:t>
            </w:r>
          </w:p>
        </w:tc>
        <w:tc>
          <w:tcPr>
            <w:tcW w:w="1559" w:type="dxa"/>
          </w:tcPr>
          <w:p w:rsidR="00703227" w:rsidRPr="00A76056" w:rsidRDefault="00703227" w:rsidP="00A76056">
            <w:pPr>
              <w:pStyle w:val="TableBullet"/>
              <w:numPr>
                <w:ilvl w:val="0"/>
                <w:numId w:val="0"/>
              </w:numPr>
              <w:rPr>
                <w:szCs w:val="18"/>
              </w:rPr>
            </w:pPr>
            <w:r w:rsidRPr="00A76056">
              <w:rPr>
                <w:szCs w:val="18"/>
              </w:rPr>
              <w:t>Trend analysis</w:t>
            </w:r>
          </w:p>
        </w:tc>
        <w:tc>
          <w:tcPr>
            <w:tcW w:w="1701" w:type="dxa"/>
          </w:tcPr>
          <w:p w:rsidR="00703227" w:rsidRPr="00A76056" w:rsidRDefault="00703227" w:rsidP="00A76056">
            <w:pPr>
              <w:pStyle w:val="TableBullet"/>
              <w:numPr>
                <w:ilvl w:val="0"/>
                <w:numId w:val="0"/>
              </w:numPr>
              <w:ind w:left="170" w:hanging="170"/>
              <w:rPr>
                <w:szCs w:val="18"/>
              </w:rPr>
            </w:pPr>
            <w:r w:rsidRPr="00A76056">
              <w:rPr>
                <w:szCs w:val="18"/>
              </w:rPr>
              <w:t>Regulator data</w:t>
            </w:r>
          </w:p>
        </w:tc>
        <w:tc>
          <w:tcPr>
            <w:tcW w:w="5812" w:type="dxa"/>
            <w:gridSpan w:val="2"/>
          </w:tcPr>
          <w:p w:rsidR="00703227" w:rsidRPr="00EF52AE" w:rsidRDefault="00703227" w:rsidP="00E4684B">
            <w:pPr>
              <w:rPr>
                <w:sz w:val="24"/>
                <w:szCs w:val="24"/>
              </w:rPr>
            </w:pPr>
            <w:r w:rsidRPr="00EF52AE">
              <w:rPr>
                <w:sz w:val="24"/>
                <w:szCs w:val="24"/>
              </w:rPr>
              <w:t>DELETE:</w:t>
            </w:r>
            <w:r w:rsidRPr="00EF52AE">
              <w:rPr>
                <w:b/>
                <w:sz w:val="24"/>
                <w:szCs w:val="24"/>
              </w:rPr>
              <w:t xml:space="preserve"> </w:t>
            </w:r>
            <w:r w:rsidRPr="00EF52AE">
              <w:rPr>
                <w:sz w:val="24"/>
                <w:szCs w:val="24"/>
              </w:rPr>
              <w:t>We do not agree growing consumption of particular services is necessarily indicative of system improvement. For example:</w:t>
            </w:r>
          </w:p>
          <w:p w:rsidR="00870C7A" w:rsidRPr="00EF52AE" w:rsidRDefault="00703227" w:rsidP="0023287C">
            <w:pPr>
              <w:numPr>
                <w:ilvl w:val="0"/>
                <w:numId w:val="41"/>
              </w:numPr>
              <w:rPr>
                <w:b/>
                <w:sz w:val="24"/>
                <w:szCs w:val="24"/>
              </w:rPr>
            </w:pPr>
            <w:r w:rsidRPr="00EF52AE">
              <w:rPr>
                <w:sz w:val="24"/>
                <w:szCs w:val="24"/>
              </w:rPr>
              <w:t xml:space="preserve">as the </w:t>
            </w:r>
            <w:r w:rsidR="00870C7A" w:rsidRPr="00EF52AE">
              <w:rPr>
                <w:sz w:val="24"/>
                <w:szCs w:val="24"/>
              </w:rPr>
              <w:t xml:space="preserve">superannuation guarantee </w:t>
            </w:r>
            <w:r w:rsidR="00307B6A" w:rsidRPr="00EF52AE">
              <w:rPr>
                <w:sz w:val="24"/>
                <w:szCs w:val="24"/>
              </w:rPr>
              <w:t xml:space="preserve">(SG) </w:t>
            </w:r>
            <w:r w:rsidR="00870C7A" w:rsidRPr="00EF52AE">
              <w:rPr>
                <w:sz w:val="24"/>
                <w:szCs w:val="24"/>
              </w:rPr>
              <w:t>rate</w:t>
            </w:r>
            <w:r w:rsidRPr="00EF52AE">
              <w:rPr>
                <w:sz w:val="24"/>
                <w:szCs w:val="24"/>
              </w:rPr>
              <w:t xml:space="preserve"> increases, voluntary contributions would be expected to reduce; </w:t>
            </w:r>
            <w:r w:rsidR="00870C7A" w:rsidRPr="00EF52AE">
              <w:rPr>
                <w:sz w:val="24"/>
                <w:szCs w:val="24"/>
              </w:rPr>
              <w:t xml:space="preserve">which </w:t>
            </w:r>
            <w:r w:rsidRPr="00EF52AE">
              <w:rPr>
                <w:sz w:val="24"/>
                <w:szCs w:val="24"/>
              </w:rPr>
              <w:t xml:space="preserve">would not </w:t>
            </w:r>
            <w:r w:rsidR="00870C7A" w:rsidRPr="00EF52AE">
              <w:rPr>
                <w:sz w:val="24"/>
                <w:szCs w:val="24"/>
              </w:rPr>
              <w:t xml:space="preserve">necessarily </w:t>
            </w:r>
            <w:r w:rsidRPr="00EF52AE">
              <w:rPr>
                <w:sz w:val="24"/>
                <w:szCs w:val="24"/>
              </w:rPr>
              <w:t>indicate deterioration in the system;</w:t>
            </w:r>
          </w:p>
          <w:p w:rsidR="00703227" w:rsidRPr="00EF52AE" w:rsidRDefault="00703227" w:rsidP="0023287C">
            <w:pPr>
              <w:numPr>
                <w:ilvl w:val="0"/>
                <w:numId w:val="41"/>
              </w:numPr>
              <w:rPr>
                <w:b/>
                <w:sz w:val="24"/>
                <w:szCs w:val="24"/>
              </w:rPr>
            </w:pPr>
            <w:r w:rsidRPr="00EF52AE">
              <w:rPr>
                <w:sz w:val="24"/>
                <w:szCs w:val="24"/>
              </w:rPr>
              <w:t>voluntary contributions are also affected by changes in contribution caps or other tax changes</w:t>
            </w:r>
          </w:p>
          <w:p w:rsidR="00703227" w:rsidRPr="00EF52AE" w:rsidRDefault="00703227" w:rsidP="0023287C">
            <w:pPr>
              <w:numPr>
                <w:ilvl w:val="0"/>
                <w:numId w:val="41"/>
              </w:numPr>
              <w:rPr>
                <w:b/>
                <w:sz w:val="24"/>
                <w:szCs w:val="24"/>
              </w:rPr>
            </w:pPr>
            <w:r w:rsidRPr="00EF52AE">
              <w:rPr>
                <w:sz w:val="24"/>
                <w:szCs w:val="24"/>
              </w:rPr>
              <w:t>the introduction of robo-advice is likely to have a  significant impact on the rate of take-up of other forms of advice</w:t>
            </w:r>
          </w:p>
          <w:p w:rsidR="00854544" w:rsidRPr="00EF52AE" w:rsidRDefault="00703227" w:rsidP="00C74119">
            <w:pPr>
              <w:numPr>
                <w:ilvl w:val="0"/>
                <w:numId w:val="41"/>
              </w:numPr>
              <w:rPr>
                <w:b/>
                <w:sz w:val="24"/>
                <w:szCs w:val="24"/>
              </w:rPr>
            </w:pPr>
            <w:r w:rsidRPr="00EF52AE">
              <w:rPr>
                <w:sz w:val="24"/>
                <w:szCs w:val="24"/>
              </w:rPr>
              <w:t>lower take-up of investment choice may indicate greater satisfaction with default products (e.g. life-cycle option are expected to reduce the need for members to exercise choice as they age)</w:t>
            </w:r>
          </w:p>
        </w:tc>
      </w:tr>
      <w:tr w:rsidR="00703227" w:rsidTr="00F95256">
        <w:tc>
          <w:tcPr>
            <w:tcW w:w="5070" w:type="dxa"/>
          </w:tcPr>
          <w:p w:rsidR="00703227" w:rsidRPr="00A76056" w:rsidRDefault="00703227" w:rsidP="00A76056">
            <w:pPr>
              <w:pStyle w:val="TableBullet"/>
              <w:numPr>
                <w:ilvl w:val="0"/>
                <w:numId w:val="0"/>
              </w:numPr>
              <w:rPr>
                <w:sz w:val="22"/>
                <w:szCs w:val="22"/>
              </w:rPr>
            </w:pPr>
            <w:r>
              <w:rPr>
                <w:sz w:val="22"/>
                <w:szCs w:val="22"/>
              </w:rPr>
              <w:t xml:space="preserve">13.2 </w:t>
            </w:r>
            <w:r w:rsidRPr="00A76056">
              <w:rPr>
                <w:sz w:val="22"/>
                <w:szCs w:val="22"/>
              </w:rPr>
              <w:t>Member satisfaction and trust* (trust)</w:t>
            </w:r>
          </w:p>
        </w:tc>
        <w:tc>
          <w:tcPr>
            <w:tcW w:w="1559" w:type="dxa"/>
          </w:tcPr>
          <w:p w:rsidR="00703227" w:rsidRPr="00A76056" w:rsidRDefault="00703227" w:rsidP="00A76056">
            <w:pPr>
              <w:pStyle w:val="TableBullet"/>
              <w:numPr>
                <w:ilvl w:val="0"/>
                <w:numId w:val="0"/>
              </w:numPr>
              <w:rPr>
                <w:szCs w:val="18"/>
              </w:rPr>
            </w:pPr>
            <w:r w:rsidRPr="00A76056">
              <w:rPr>
                <w:szCs w:val="18"/>
              </w:rPr>
              <w:t>Trend analysis</w:t>
            </w:r>
          </w:p>
        </w:tc>
        <w:tc>
          <w:tcPr>
            <w:tcW w:w="1701" w:type="dxa"/>
          </w:tcPr>
          <w:p w:rsidR="00703227" w:rsidRPr="00A76056" w:rsidRDefault="00703227" w:rsidP="00A76056">
            <w:pPr>
              <w:pStyle w:val="TableBullet"/>
              <w:numPr>
                <w:ilvl w:val="0"/>
                <w:numId w:val="0"/>
              </w:numPr>
              <w:rPr>
                <w:szCs w:val="18"/>
              </w:rPr>
            </w:pPr>
            <w:r w:rsidRPr="00A76056">
              <w:rPr>
                <w:szCs w:val="18"/>
              </w:rPr>
              <w:t>Surveys</w:t>
            </w:r>
          </w:p>
        </w:tc>
        <w:tc>
          <w:tcPr>
            <w:tcW w:w="5812" w:type="dxa"/>
            <w:gridSpan w:val="2"/>
          </w:tcPr>
          <w:p w:rsidR="00C33129" w:rsidRPr="00EF52AE" w:rsidRDefault="00703227" w:rsidP="00E4684B">
            <w:pPr>
              <w:rPr>
                <w:sz w:val="24"/>
                <w:szCs w:val="24"/>
              </w:rPr>
            </w:pPr>
            <w:r w:rsidRPr="00EF52AE">
              <w:rPr>
                <w:sz w:val="24"/>
                <w:szCs w:val="24"/>
              </w:rPr>
              <w:t>QUALIFIED SUPPORT:  Whilst it seems reasonable that system improvement should result in improved member satisfaction and trust, as noted earlier</w:t>
            </w:r>
            <w:r w:rsidR="00870C7A" w:rsidRPr="00EF52AE">
              <w:rPr>
                <w:sz w:val="24"/>
                <w:szCs w:val="24"/>
              </w:rPr>
              <w:t>,</w:t>
            </w:r>
            <w:r w:rsidRPr="00EF52AE">
              <w:rPr>
                <w:sz w:val="24"/>
                <w:szCs w:val="24"/>
              </w:rPr>
              <w:t xml:space="preserve"> experience indicates that member satisfaction and trust at any time are greatly influenced by recent investment performance. Regulatory changes also have a significant impact on member trust. Furthermore member expectations tend to rise over </w:t>
            </w:r>
            <w:r w:rsidRPr="00EF52AE">
              <w:rPr>
                <w:sz w:val="24"/>
                <w:szCs w:val="24"/>
              </w:rPr>
              <w:lastRenderedPageBreak/>
              <w:t>time It will be challenging to separate out these influences and obtain an objective assessment of system improvement.</w:t>
            </w:r>
          </w:p>
        </w:tc>
      </w:tr>
      <w:tr w:rsidR="00703227" w:rsidTr="00F95256">
        <w:tc>
          <w:tcPr>
            <w:tcW w:w="5070" w:type="dxa"/>
          </w:tcPr>
          <w:p w:rsidR="00703227" w:rsidRPr="00A76056" w:rsidRDefault="00703227" w:rsidP="003645A4">
            <w:pPr>
              <w:pStyle w:val="TableBullet"/>
              <w:numPr>
                <w:ilvl w:val="0"/>
                <w:numId w:val="0"/>
              </w:numPr>
              <w:rPr>
                <w:sz w:val="22"/>
                <w:szCs w:val="22"/>
              </w:rPr>
            </w:pPr>
            <w:r>
              <w:rPr>
                <w:sz w:val="22"/>
                <w:szCs w:val="22"/>
              </w:rPr>
              <w:lastRenderedPageBreak/>
              <w:t xml:space="preserve">13.3 MOVED CRITERION: </w:t>
            </w:r>
            <w:r w:rsidRPr="00A76056">
              <w:rPr>
                <w:sz w:val="22"/>
                <w:szCs w:val="22"/>
              </w:rPr>
              <w:t>Introduction of new retirement products and development of more tailored default products* (output)</w:t>
            </w:r>
          </w:p>
        </w:tc>
        <w:tc>
          <w:tcPr>
            <w:tcW w:w="1559" w:type="dxa"/>
          </w:tcPr>
          <w:p w:rsidR="00703227" w:rsidRPr="00A76056" w:rsidRDefault="00703227" w:rsidP="003645A4">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C16675">
            <w:pPr>
              <w:pStyle w:val="TableBullet"/>
              <w:numPr>
                <w:ilvl w:val="0"/>
                <w:numId w:val="0"/>
              </w:numPr>
              <w:rPr>
                <w:szCs w:val="18"/>
              </w:rPr>
            </w:pPr>
            <w:r w:rsidRPr="00A76056">
              <w:rPr>
                <w:szCs w:val="18"/>
              </w:rPr>
              <w:t>Surveys</w:t>
            </w:r>
            <w:r w:rsidRPr="00A76056">
              <w:rPr>
                <w:szCs w:val="18"/>
              </w:rPr>
              <w:br/>
              <w:t>Industry data</w:t>
            </w:r>
          </w:p>
        </w:tc>
        <w:tc>
          <w:tcPr>
            <w:tcW w:w="5812" w:type="dxa"/>
            <w:gridSpan w:val="2"/>
          </w:tcPr>
          <w:p w:rsidR="00703227" w:rsidRPr="00EF52AE" w:rsidRDefault="00703227" w:rsidP="003645A4">
            <w:pPr>
              <w:rPr>
                <w:b/>
                <w:sz w:val="24"/>
                <w:szCs w:val="24"/>
              </w:rPr>
            </w:pPr>
            <w:r w:rsidRPr="00EF52AE">
              <w:rPr>
                <w:sz w:val="24"/>
                <w:szCs w:val="24"/>
              </w:rPr>
              <w:t xml:space="preserve">MOVED FROM CRITERION </w:t>
            </w:r>
            <w:r w:rsidR="00C16675" w:rsidRPr="00EF52AE">
              <w:rPr>
                <w:sz w:val="24"/>
                <w:szCs w:val="24"/>
              </w:rPr>
              <w:t>#</w:t>
            </w:r>
            <w:r w:rsidRPr="00EF52AE">
              <w:rPr>
                <w:sz w:val="24"/>
                <w:szCs w:val="24"/>
              </w:rPr>
              <w:t>12</w:t>
            </w:r>
            <w:r w:rsidRPr="00EF52AE">
              <w:rPr>
                <w:b/>
                <w:sz w:val="24"/>
                <w:szCs w:val="24"/>
              </w:rPr>
              <w:t xml:space="preserve"> </w:t>
            </w:r>
            <w:r w:rsidRPr="00EF52AE">
              <w:rPr>
                <w:sz w:val="24"/>
                <w:szCs w:val="24"/>
              </w:rPr>
              <w:t>We suggest innovation in product offerings is a good indicator of system improvement. However we caution that too much tailoring of default products can lead to inefficiency through greater cost and complexity.</w:t>
            </w:r>
          </w:p>
          <w:p w:rsidR="00703227" w:rsidRPr="00EF52AE" w:rsidRDefault="00703227" w:rsidP="003645A4">
            <w:pPr>
              <w:rPr>
                <w:b/>
                <w:sz w:val="24"/>
                <w:szCs w:val="24"/>
              </w:rPr>
            </w:pPr>
          </w:p>
        </w:tc>
      </w:tr>
      <w:tr w:rsidR="00703227" w:rsidTr="00F95256">
        <w:tc>
          <w:tcPr>
            <w:tcW w:w="5070" w:type="dxa"/>
          </w:tcPr>
          <w:p w:rsidR="00703227" w:rsidRDefault="00703227" w:rsidP="003645A4">
            <w:pPr>
              <w:pStyle w:val="TableBullet"/>
              <w:numPr>
                <w:ilvl w:val="0"/>
                <w:numId w:val="0"/>
              </w:numPr>
              <w:rPr>
                <w:sz w:val="22"/>
                <w:szCs w:val="22"/>
              </w:rPr>
            </w:pPr>
            <w:r>
              <w:rPr>
                <w:sz w:val="22"/>
                <w:szCs w:val="22"/>
              </w:rPr>
              <w:t xml:space="preserve">13.4 MERCER ADDED INDICATOR: </w:t>
            </w:r>
            <w:r w:rsidRPr="00A76056">
              <w:rPr>
                <w:sz w:val="22"/>
                <w:szCs w:val="22"/>
              </w:rPr>
              <w:t xml:space="preserve">Introduction of new </w:t>
            </w:r>
            <w:r>
              <w:rPr>
                <w:sz w:val="22"/>
                <w:szCs w:val="22"/>
              </w:rPr>
              <w:t>services and improvement in quality of existing services</w:t>
            </w:r>
            <w:r w:rsidRPr="00A76056">
              <w:rPr>
                <w:sz w:val="22"/>
                <w:szCs w:val="22"/>
              </w:rPr>
              <w:t xml:space="preserve"> (output)</w:t>
            </w:r>
          </w:p>
          <w:p w:rsidR="00703227" w:rsidRPr="00A76056" w:rsidRDefault="00703227" w:rsidP="003645A4">
            <w:pPr>
              <w:pStyle w:val="TableBullet"/>
              <w:numPr>
                <w:ilvl w:val="0"/>
                <w:numId w:val="0"/>
              </w:numPr>
              <w:rPr>
                <w:sz w:val="22"/>
                <w:szCs w:val="22"/>
              </w:rPr>
            </w:pPr>
          </w:p>
        </w:tc>
        <w:tc>
          <w:tcPr>
            <w:tcW w:w="1559" w:type="dxa"/>
          </w:tcPr>
          <w:p w:rsidR="00703227" w:rsidRPr="00A76056" w:rsidRDefault="00703227" w:rsidP="003645A4">
            <w:pPr>
              <w:pStyle w:val="TableBullet"/>
              <w:numPr>
                <w:ilvl w:val="0"/>
                <w:numId w:val="0"/>
              </w:numPr>
              <w:rPr>
                <w:szCs w:val="18"/>
              </w:rPr>
            </w:pPr>
            <w:r w:rsidRPr="00A76056">
              <w:rPr>
                <w:szCs w:val="18"/>
              </w:rPr>
              <w:t>Trend analysis Qualitative</w:t>
            </w:r>
          </w:p>
        </w:tc>
        <w:tc>
          <w:tcPr>
            <w:tcW w:w="1701" w:type="dxa"/>
          </w:tcPr>
          <w:p w:rsidR="00703227" w:rsidRPr="00A76056" w:rsidRDefault="00703227" w:rsidP="00C16675">
            <w:pPr>
              <w:pStyle w:val="TableBullet"/>
              <w:numPr>
                <w:ilvl w:val="0"/>
                <w:numId w:val="0"/>
              </w:numPr>
              <w:rPr>
                <w:szCs w:val="18"/>
              </w:rPr>
            </w:pPr>
            <w:r w:rsidRPr="00A76056">
              <w:rPr>
                <w:szCs w:val="18"/>
              </w:rPr>
              <w:t>Surveys</w:t>
            </w:r>
            <w:r w:rsidRPr="00A76056">
              <w:rPr>
                <w:szCs w:val="18"/>
              </w:rPr>
              <w:br/>
              <w:t>Industry data</w:t>
            </w:r>
          </w:p>
        </w:tc>
        <w:tc>
          <w:tcPr>
            <w:tcW w:w="5812" w:type="dxa"/>
            <w:gridSpan w:val="2"/>
          </w:tcPr>
          <w:p w:rsidR="00703227" w:rsidRPr="00EF52AE" w:rsidRDefault="00703227" w:rsidP="003645A4">
            <w:pPr>
              <w:rPr>
                <w:sz w:val="24"/>
                <w:szCs w:val="24"/>
              </w:rPr>
            </w:pPr>
            <w:r w:rsidRPr="00EF52AE">
              <w:rPr>
                <w:sz w:val="24"/>
                <w:szCs w:val="24"/>
              </w:rPr>
              <w:t>Innovation in service offerings as well as products is a good indicator of system improvement</w:t>
            </w:r>
            <w:r w:rsidR="004A2E15" w:rsidRPr="00EF52AE">
              <w:rPr>
                <w:sz w:val="24"/>
                <w:szCs w:val="24"/>
              </w:rPr>
              <w:t>.</w:t>
            </w:r>
            <w:r w:rsidRPr="00EF52AE">
              <w:rPr>
                <w:sz w:val="24"/>
                <w:szCs w:val="24"/>
              </w:rPr>
              <w:t xml:space="preserve"> </w:t>
            </w:r>
          </w:p>
          <w:p w:rsidR="00703227" w:rsidRPr="00EF52AE" w:rsidRDefault="00703227" w:rsidP="003645A4">
            <w:pPr>
              <w:rPr>
                <w:b/>
                <w:sz w:val="24"/>
                <w:szCs w:val="24"/>
              </w:rPr>
            </w:pPr>
          </w:p>
        </w:tc>
      </w:tr>
      <w:tr w:rsidR="00703227" w:rsidTr="00F95256">
        <w:tc>
          <w:tcPr>
            <w:tcW w:w="5070" w:type="dxa"/>
          </w:tcPr>
          <w:p w:rsidR="00703227" w:rsidRPr="00A76056" w:rsidRDefault="00703227" w:rsidP="003645A4">
            <w:pPr>
              <w:pStyle w:val="TableBullet"/>
              <w:numPr>
                <w:ilvl w:val="0"/>
                <w:numId w:val="0"/>
              </w:numPr>
              <w:rPr>
                <w:sz w:val="22"/>
                <w:szCs w:val="22"/>
              </w:rPr>
            </w:pPr>
            <w:r>
              <w:rPr>
                <w:sz w:val="22"/>
                <w:szCs w:val="22"/>
              </w:rPr>
              <w:t xml:space="preserve">13.5 MERCER ADDED INDICATOR: </w:t>
            </w:r>
            <w:r w:rsidRPr="00A76056">
              <w:rPr>
                <w:sz w:val="22"/>
                <w:szCs w:val="22"/>
              </w:rPr>
              <w:t>Constraints on innovation presented by administrative and legal restraints</w:t>
            </w:r>
          </w:p>
        </w:tc>
        <w:tc>
          <w:tcPr>
            <w:tcW w:w="1559" w:type="dxa"/>
          </w:tcPr>
          <w:p w:rsidR="00703227" w:rsidRPr="00A76056" w:rsidRDefault="00703227" w:rsidP="003645A4">
            <w:pPr>
              <w:pStyle w:val="TableBullet"/>
              <w:numPr>
                <w:ilvl w:val="0"/>
                <w:numId w:val="0"/>
              </w:numPr>
              <w:rPr>
                <w:szCs w:val="18"/>
              </w:rPr>
            </w:pPr>
            <w:r w:rsidRPr="00A76056">
              <w:rPr>
                <w:szCs w:val="18"/>
              </w:rPr>
              <w:t>Qualitative</w:t>
            </w:r>
          </w:p>
        </w:tc>
        <w:tc>
          <w:tcPr>
            <w:tcW w:w="1701" w:type="dxa"/>
          </w:tcPr>
          <w:p w:rsidR="00703227" w:rsidRPr="00A76056" w:rsidRDefault="00703227" w:rsidP="00C16675">
            <w:pPr>
              <w:pStyle w:val="TableBullet"/>
              <w:numPr>
                <w:ilvl w:val="0"/>
                <w:numId w:val="0"/>
              </w:numPr>
              <w:rPr>
                <w:szCs w:val="18"/>
              </w:rPr>
            </w:pPr>
            <w:r w:rsidRPr="00A76056">
              <w:rPr>
                <w:szCs w:val="18"/>
              </w:rPr>
              <w:t>Surveys</w:t>
            </w:r>
          </w:p>
        </w:tc>
        <w:tc>
          <w:tcPr>
            <w:tcW w:w="5812" w:type="dxa"/>
            <w:gridSpan w:val="2"/>
          </w:tcPr>
          <w:p w:rsidR="00703227" w:rsidRPr="00EF52AE" w:rsidRDefault="00703227" w:rsidP="003645A4">
            <w:pPr>
              <w:rPr>
                <w:sz w:val="24"/>
                <w:szCs w:val="24"/>
              </w:rPr>
            </w:pPr>
            <w:r w:rsidRPr="00EF52AE">
              <w:rPr>
                <w:sz w:val="24"/>
                <w:szCs w:val="24"/>
              </w:rPr>
              <w:t xml:space="preserve">This indicator would assess industry perceptions on the ease/ efficiency of pursuing reforms to improve the system. </w:t>
            </w:r>
            <w:r w:rsidR="00C16675" w:rsidRPr="00EF52AE">
              <w:rPr>
                <w:sz w:val="24"/>
                <w:szCs w:val="24"/>
              </w:rPr>
              <w:t>For example, h</w:t>
            </w:r>
            <w:r w:rsidRPr="00EF52AE">
              <w:rPr>
                <w:sz w:val="24"/>
                <w:szCs w:val="24"/>
              </w:rPr>
              <w:t>ow responsive is Gov</w:t>
            </w:r>
            <w:r w:rsidR="00C16675" w:rsidRPr="00EF52AE">
              <w:rPr>
                <w:sz w:val="24"/>
                <w:szCs w:val="24"/>
              </w:rPr>
              <w:t>ernment</w:t>
            </w:r>
            <w:r w:rsidRPr="00EF52AE">
              <w:rPr>
                <w:sz w:val="24"/>
                <w:szCs w:val="24"/>
              </w:rPr>
              <w:t xml:space="preserve"> to industry demands? How flexible are regulatory settings to accommodate innovation? </w:t>
            </w:r>
          </w:p>
          <w:p w:rsidR="00703227" w:rsidRPr="00EF52AE" w:rsidRDefault="00703227" w:rsidP="003645A4">
            <w:pPr>
              <w:rPr>
                <w:b/>
                <w:sz w:val="24"/>
                <w:szCs w:val="24"/>
              </w:rPr>
            </w:pPr>
          </w:p>
        </w:tc>
      </w:tr>
    </w:tbl>
    <w:p w:rsidR="00703227" w:rsidRDefault="00703227">
      <w:r>
        <w:br w:type="page"/>
      </w:r>
    </w:p>
    <w:tbl>
      <w:tblPr>
        <w:tblW w:w="14850"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
        <w:gridCol w:w="4544"/>
        <w:gridCol w:w="68"/>
        <w:gridCol w:w="1496"/>
        <w:gridCol w:w="64"/>
        <w:gridCol w:w="1495"/>
        <w:gridCol w:w="206"/>
        <w:gridCol w:w="3745"/>
        <w:gridCol w:w="861"/>
        <w:gridCol w:w="1280"/>
        <w:gridCol w:w="546"/>
      </w:tblGrid>
      <w:tr w:rsidR="00703227" w:rsidTr="00F15AC9">
        <w:trPr>
          <w:gridAfter w:val="1"/>
          <w:wAfter w:w="546" w:type="dxa"/>
          <w:jc w:val="center"/>
        </w:trPr>
        <w:tc>
          <w:tcPr>
            <w:tcW w:w="14304" w:type="dxa"/>
            <w:gridSpan w:val="10"/>
          </w:tcPr>
          <w:p w:rsidR="00703227" w:rsidRPr="00A76056" w:rsidRDefault="00703227" w:rsidP="00E4684B">
            <w:pPr>
              <w:rPr>
                <w:b/>
                <w:sz w:val="24"/>
                <w:szCs w:val="24"/>
              </w:rPr>
            </w:pPr>
            <w:r w:rsidRPr="00A76056">
              <w:rPr>
                <w:b/>
                <w:sz w:val="24"/>
                <w:szCs w:val="24"/>
              </w:rPr>
              <w:lastRenderedPageBreak/>
              <w:t>EFFICIENCY</w:t>
            </w:r>
          </w:p>
        </w:tc>
      </w:tr>
      <w:tr w:rsidR="00703227" w:rsidTr="00F15AC9">
        <w:trPr>
          <w:gridAfter w:val="1"/>
          <w:wAfter w:w="546" w:type="dxa"/>
          <w:jc w:val="center"/>
        </w:trPr>
        <w:tc>
          <w:tcPr>
            <w:tcW w:w="14304" w:type="dxa"/>
            <w:gridSpan w:val="10"/>
          </w:tcPr>
          <w:p w:rsidR="00703227" w:rsidRPr="00A76056" w:rsidRDefault="00703227" w:rsidP="00E4684B">
            <w:pPr>
              <w:rPr>
                <w:b/>
                <w:sz w:val="24"/>
                <w:szCs w:val="24"/>
              </w:rPr>
            </w:pPr>
            <w:r w:rsidRPr="00A76056">
              <w:rPr>
                <w:b/>
                <w:sz w:val="24"/>
                <w:szCs w:val="24"/>
              </w:rPr>
              <w:t>14. Are net investment returns being maximised over the long term, taking account of service features provided to members?</w:t>
            </w:r>
          </w:p>
        </w:tc>
      </w:tr>
      <w:tr w:rsidR="00703227" w:rsidTr="00F15AC9">
        <w:trPr>
          <w:gridAfter w:val="1"/>
          <w:wAfter w:w="546" w:type="dxa"/>
          <w:jc w:val="center"/>
        </w:trPr>
        <w:tc>
          <w:tcPr>
            <w:tcW w:w="5089" w:type="dxa"/>
            <w:gridSpan w:val="2"/>
          </w:tcPr>
          <w:p w:rsidR="00703227" w:rsidRPr="00A76056" w:rsidRDefault="00703227" w:rsidP="00A76056">
            <w:pPr>
              <w:pStyle w:val="TableBullet"/>
              <w:numPr>
                <w:ilvl w:val="0"/>
                <w:numId w:val="0"/>
              </w:numPr>
              <w:rPr>
                <w:sz w:val="22"/>
                <w:szCs w:val="22"/>
              </w:rPr>
            </w:pPr>
            <w:r>
              <w:rPr>
                <w:sz w:val="22"/>
                <w:szCs w:val="22"/>
              </w:rPr>
              <w:t xml:space="preserve">14.1 </w:t>
            </w:r>
            <w:r w:rsidRPr="00A76056">
              <w:rPr>
                <w:sz w:val="22"/>
                <w:szCs w:val="22"/>
              </w:rPr>
              <w:t>Long term (5, 10 and 20 year) historical net returns from the system and market segments compared to benchmarks (output)</w:t>
            </w:r>
          </w:p>
        </w:tc>
        <w:tc>
          <w:tcPr>
            <w:tcW w:w="1564" w:type="dxa"/>
            <w:gridSpan w:val="2"/>
          </w:tcPr>
          <w:p w:rsidR="00703227" w:rsidRPr="00A76056" w:rsidRDefault="00703227" w:rsidP="00A76056">
            <w:pPr>
              <w:pStyle w:val="TableBullet"/>
              <w:numPr>
                <w:ilvl w:val="0"/>
                <w:numId w:val="0"/>
              </w:numPr>
              <w:rPr>
                <w:szCs w:val="18"/>
              </w:rPr>
            </w:pPr>
            <w:r w:rsidRPr="00A76056">
              <w:rPr>
                <w:szCs w:val="18"/>
              </w:rPr>
              <w:t>Trend analysis</w:t>
            </w:r>
          </w:p>
        </w:tc>
        <w:tc>
          <w:tcPr>
            <w:tcW w:w="1559" w:type="dxa"/>
            <w:gridSpan w:val="2"/>
          </w:tcPr>
          <w:p w:rsidR="00703227" w:rsidRPr="00A76056" w:rsidRDefault="00703227" w:rsidP="00A76056">
            <w:pPr>
              <w:pStyle w:val="TableBullet"/>
              <w:numPr>
                <w:ilvl w:val="0"/>
                <w:numId w:val="0"/>
              </w:numPr>
              <w:ind w:left="34"/>
              <w:rPr>
                <w:szCs w:val="18"/>
              </w:rPr>
            </w:pPr>
            <w:r w:rsidRPr="00A76056">
              <w:rPr>
                <w:szCs w:val="18"/>
              </w:rPr>
              <w:t>Regulator data Industry data</w:t>
            </w:r>
          </w:p>
        </w:tc>
        <w:tc>
          <w:tcPr>
            <w:tcW w:w="6092" w:type="dxa"/>
            <w:gridSpan w:val="4"/>
          </w:tcPr>
          <w:p w:rsidR="00703227" w:rsidRPr="00A76056" w:rsidRDefault="00703227" w:rsidP="00C575CF">
            <w:pPr>
              <w:rPr>
                <w:sz w:val="24"/>
                <w:szCs w:val="24"/>
              </w:rPr>
            </w:pPr>
            <w:r>
              <w:rPr>
                <w:sz w:val="24"/>
                <w:szCs w:val="24"/>
              </w:rPr>
              <w:t xml:space="preserve">QUALIFIED SUPPORT: </w:t>
            </w:r>
            <w:r w:rsidRPr="00A76056">
              <w:rPr>
                <w:sz w:val="24"/>
                <w:szCs w:val="24"/>
              </w:rPr>
              <w:t>We note these indicators do not include anything reflecting service features, so do not assess this aspect of the criterion.</w:t>
            </w:r>
          </w:p>
          <w:p w:rsidR="00703227" w:rsidRDefault="00703227" w:rsidP="003641B3">
            <w:pPr>
              <w:rPr>
                <w:sz w:val="24"/>
                <w:szCs w:val="24"/>
              </w:rPr>
            </w:pPr>
            <w:r w:rsidRPr="00A76056">
              <w:rPr>
                <w:sz w:val="24"/>
                <w:szCs w:val="24"/>
              </w:rPr>
              <w:t>See comments in Attachment 5</w:t>
            </w:r>
            <w:r>
              <w:rPr>
                <w:sz w:val="24"/>
                <w:szCs w:val="24"/>
              </w:rPr>
              <w:t xml:space="preserve"> section A.</w:t>
            </w:r>
          </w:p>
          <w:p w:rsidR="00703227" w:rsidRPr="00A76056" w:rsidRDefault="00703227" w:rsidP="003641B3">
            <w:pPr>
              <w:rPr>
                <w:sz w:val="24"/>
                <w:szCs w:val="24"/>
              </w:rPr>
            </w:pPr>
          </w:p>
        </w:tc>
      </w:tr>
      <w:tr w:rsidR="00703227" w:rsidTr="00F15AC9">
        <w:trPr>
          <w:gridAfter w:val="1"/>
          <w:wAfter w:w="546" w:type="dxa"/>
          <w:jc w:val="center"/>
        </w:trPr>
        <w:tc>
          <w:tcPr>
            <w:tcW w:w="5089" w:type="dxa"/>
            <w:gridSpan w:val="2"/>
          </w:tcPr>
          <w:p w:rsidR="00703227" w:rsidRDefault="00703227" w:rsidP="00A76056">
            <w:pPr>
              <w:pStyle w:val="TableBullet"/>
              <w:numPr>
                <w:ilvl w:val="0"/>
                <w:numId w:val="0"/>
              </w:numPr>
              <w:rPr>
                <w:sz w:val="22"/>
                <w:szCs w:val="22"/>
              </w:rPr>
            </w:pPr>
            <w:r>
              <w:rPr>
                <w:sz w:val="22"/>
                <w:szCs w:val="22"/>
              </w:rPr>
              <w:t xml:space="preserve">14.2 </w:t>
            </w:r>
            <w:r w:rsidRPr="00A76056">
              <w:rPr>
                <w:sz w:val="22"/>
                <w:szCs w:val="22"/>
              </w:rPr>
              <w:t>Long term (5, 10 and 20 year) historical net returns to specific asset classes at system level compared to asset class benchmarks (output)</w:t>
            </w:r>
          </w:p>
          <w:p w:rsidR="00703227" w:rsidRPr="00A76056" w:rsidRDefault="00703227" w:rsidP="00A76056">
            <w:pPr>
              <w:pStyle w:val="TableBullet"/>
              <w:numPr>
                <w:ilvl w:val="0"/>
                <w:numId w:val="0"/>
              </w:numPr>
              <w:rPr>
                <w:sz w:val="22"/>
                <w:szCs w:val="22"/>
              </w:rPr>
            </w:pPr>
          </w:p>
        </w:tc>
        <w:tc>
          <w:tcPr>
            <w:tcW w:w="1564" w:type="dxa"/>
            <w:gridSpan w:val="2"/>
          </w:tcPr>
          <w:p w:rsidR="00703227" w:rsidRPr="00A76056" w:rsidRDefault="00703227" w:rsidP="00A76056">
            <w:pPr>
              <w:pStyle w:val="TableBullet"/>
              <w:numPr>
                <w:ilvl w:val="0"/>
                <w:numId w:val="0"/>
              </w:numPr>
              <w:rPr>
                <w:szCs w:val="18"/>
              </w:rPr>
            </w:pPr>
            <w:r w:rsidRPr="00A76056">
              <w:rPr>
                <w:szCs w:val="18"/>
              </w:rPr>
              <w:t>Trend analysis</w:t>
            </w:r>
          </w:p>
        </w:tc>
        <w:tc>
          <w:tcPr>
            <w:tcW w:w="1559" w:type="dxa"/>
            <w:gridSpan w:val="2"/>
          </w:tcPr>
          <w:p w:rsidR="00703227" w:rsidRPr="00A76056" w:rsidRDefault="00703227" w:rsidP="00A76056">
            <w:pPr>
              <w:pStyle w:val="TableBullet"/>
              <w:numPr>
                <w:ilvl w:val="0"/>
                <w:numId w:val="0"/>
              </w:numPr>
              <w:ind w:left="34"/>
              <w:rPr>
                <w:szCs w:val="18"/>
              </w:rPr>
            </w:pPr>
            <w:r w:rsidRPr="00A76056">
              <w:rPr>
                <w:szCs w:val="18"/>
              </w:rPr>
              <w:t>Industry data</w:t>
            </w:r>
          </w:p>
        </w:tc>
        <w:tc>
          <w:tcPr>
            <w:tcW w:w="6092" w:type="dxa"/>
            <w:gridSpan w:val="4"/>
          </w:tcPr>
          <w:p w:rsidR="00703227" w:rsidRPr="00A76056" w:rsidRDefault="00703227" w:rsidP="003641B3">
            <w:pPr>
              <w:rPr>
                <w:b/>
                <w:sz w:val="24"/>
                <w:szCs w:val="24"/>
              </w:rPr>
            </w:pPr>
            <w:r>
              <w:rPr>
                <w:sz w:val="24"/>
                <w:szCs w:val="24"/>
              </w:rPr>
              <w:t xml:space="preserve">QUALIFIED SUPPORT: Data limitations will make this task difficult. </w:t>
            </w:r>
            <w:r w:rsidRPr="00A76056">
              <w:rPr>
                <w:sz w:val="24"/>
                <w:szCs w:val="24"/>
              </w:rPr>
              <w:t>See comments in Attachment 5</w:t>
            </w:r>
            <w:r>
              <w:rPr>
                <w:sz w:val="24"/>
                <w:szCs w:val="24"/>
              </w:rPr>
              <w:t xml:space="preserve"> section A.</w:t>
            </w:r>
          </w:p>
        </w:tc>
      </w:tr>
      <w:tr w:rsidR="00703227" w:rsidTr="00F15AC9">
        <w:trPr>
          <w:gridAfter w:val="1"/>
          <w:wAfter w:w="546" w:type="dxa"/>
          <w:jc w:val="center"/>
        </w:trPr>
        <w:tc>
          <w:tcPr>
            <w:tcW w:w="5089" w:type="dxa"/>
            <w:gridSpan w:val="2"/>
          </w:tcPr>
          <w:p w:rsidR="00703227" w:rsidRPr="00A76056" w:rsidRDefault="00703227" w:rsidP="00A76056">
            <w:pPr>
              <w:pStyle w:val="TableBullet"/>
              <w:numPr>
                <w:ilvl w:val="0"/>
                <w:numId w:val="0"/>
              </w:numPr>
              <w:rPr>
                <w:sz w:val="22"/>
                <w:szCs w:val="22"/>
              </w:rPr>
            </w:pPr>
            <w:r>
              <w:rPr>
                <w:sz w:val="22"/>
                <w:szCs w:val="22"/>
              </w:rPr>
              <w:t xml:space="preserve">14.3 </w:t>
            </w:r>
            <w:r w:rsidRPr="00A76056">
              <w:rPr>
                <w:sz w:val="22"/>
                <w:szCs w:val="22"/>
              </w:rPr>
              <w:t>Dispersion of funds and products from a frontier of best</w:t>
            </w:r>
            <w:r w:rsidRPr="00A76056">
              <w:rPr>
                <w:sz w:val="22"/>
                <w:szCs w:val="22"/>
              </w:rPr>
              <w:noBreakHyphen/>
              <w:t>performing funds and products (based on historical long</w:t>
            </w:r>
            <w:r w:rsidRPr="00A76056">
              <w:rPr>
                <w:sz w:val="22"/>
                <w:szCs w:val="22"/>
              </w:rPr>
              <w:noBreakHyphen/>
              <w:t>term net returns) (output)</w:t>
            </w:r>
          </w:p>
        </w:tc>
        <w:tc>
          <w:tcPr>
            <w:tcW w:w="1564" w:type="dxa"/>
            <w:gridSpan w:val="2"/>
          </w:tcPr>
          <w:p w:rsidR="00703227" w:rsidRPr="00A76056" w:rsidRDefault="00703227" w:rsidP="00A76056">
            <w:pPr>
              <w:pStyle w:val="TableBullet"/>
              <w:numPr>
                <w:ilvl w:val="0"/>
                <w:numId w:val="0"/>
              </w:numPr>
              <w:rPr>
                <w:szCs w:val="18"/>
              </w:rPr>
            </w:pPr>
            <w:r w:rsidRPr="00A76056">
              <w:rPr>
                <w:szCs w:val="18"/>
              </w:rPr>
              <w:t>Econometrics</w:t>
            </w:r>
          </w:p>
        </w:tc>
        <w:tc>
          <w:tcPr>
            <w:tcW w:w="1559" w:type="dxa"/>
            <w:gridSpan w:val="2"/>
          </w:tcPr>
          <w:p w:rsidR="00703227" w:rsidRPr="00A76056" w:rsidRDefault="00703227" w:rsidP="00A76056">
            <w:pPr>
              <w:pStyle w:val="TableBullet"/>
              <w:numPr>
                <w:ilvl w:val="0"/>
                <w:numId w:val="0"/>
              </w:numPr>
              <w:ind w:left="34"/>
              <w:rPr>
                <w:szCs w:val="18"/>
              </w:rPr>
            </w:pPr>
            <w:r w:rsidRPr="00A76056">
              <w:rPr>
                <w:szCs w:val="18"/>
              </w:rPr>
              <w:t>Regulator data Industry data</w:t>
            </w:r>
          </w:p>
        </w:tc>
        <w:tc>
          <w:tcPr>
            <w:tcW w:w="6092" w:type="dxa"/>
            <w:gridSpan w:val="4"/>
          </w:tcPr>
          <w:p w:rsidR="00703227" w:rsidRDefault="00703227" w:rsidP="00BF1E61">
            <w:pPr>
              <w:rPr>
                <w:sz w:val="24"/>
                <w:szCs w:val="24"/>
              </w:rPr>
            </w:pPr>
            <w:r>
              <w:rPr>
                <w:sz w:val="24"/>
                <w:szCs w:val="24"/>
              </w:rPr>
              <w:t xml:space="preserve">DELETE: </w:t>
            </w:r>
            <w:r w:rsidRPr="00A76056">
              <w:rPr>
                <w:sz w:val="24"/>
                <w:szCs w:val="24"/>
              </w:rPr>
              <w:t>We recommend deletion of this indicator as we do not believe it will provide robust results over a sufficiently long period.</w:t>
            </w:r>
          </w:p>
          <w:p w:rsidR="00703227" w:rsidRPr="00A76056" w:rsidRDefault="00703227" w:rsidP="00BF1E61">
            <w:pPr>
              <w:rPr>
                <w:b/>
                <w:sz w:val="24"/>
                <w:szCs w:val="24"/>
              </w:rPr>
            </w:pPr>
          </w:p>
        </w:tc>
      </w:tr>
      <w:tr w:rsidR="007853B8" w:rsidTr="00F15AC9">
        <w:trPr>
          <w:gridAfter w:val="1"/>
          <w:wAfter w:w="546" w:type="dxa"/>
          <w:jc w:val="center"/>
        </w:trPr>
        <w:tc>
          <w:tcPr>
            <w:tcW w:w="12163" w:type="dxa"/>
            <w:gridSpan w:val="8"/>
            <w:tcBorders>
              <w:left w:val="nil"/>
              <w:bottom w:val="nil"/>
              <w:right w:val="nil"/>
            </w:tcBorders>
          </w:tcPr>
          <w:p w:rsidR="007853B8" w:rsidRDefault="007853B8" w:rsidP="00F17F46">
            <w:pPr>
              <w:rPr>
                <w:b/>
                <w:sz w:val="24"/>
                <w:szCs w:val="24"/>
              </w:rPr>
            </w:pPr>
          </w:p>
          <w:p w:rsidR="00402DE3" w:rsidRDefault="00402DE3" w:rsidP="00F17F46">
            <w:pPr>
              <w:rPr>
                <w:b/>
                <w:sz w:val="24"/>
                <w:szCs w:val="24"/>
              </w:rPr>
            </w:pPr>
          </w:p>
          <w:p w:rsidR="00402DE3" w:rsidRDefault="00402DE3" w:rsidP="00F17F46">
            <w:pPr>
              <w:rPr>
                <w:b/>
                <w:sz w:val="24"/>
                <w:szCs w:val="24"/>
              </w:rPr>
            </w:pPr>
          </w:p>
          <w:p w:rsidR="00402DE3" w:rsidRPr="00A76056" w:rsidRDefault="00402DE3" w:rsidP="00F17F46">
            <w:pPr>
              <w:rPr>
                <w:b/>
                <w:sz w:val="24"/>
                <w:szCs w:val="24"/>
              </w:rPr>
            </w:pPr>
          </w:p>
        </w:tc>
        <w:tc>
          <w:tcPr>
            <w:tcW w:w="2141" w:type="dxa"/>
            <w:gridSpan w:val="2"/>
            <w:tcBorders>
              <w:left w:val="nil"/>
              <w:bottom w:val="nil"/>
              <w:right w:val="nil"/>
            </w:tcBorders>
          </w:tcPr>
          <w:p w:rsidR="007853B8" w:rsidRDefault="007853B8" w:rsidP="003641B3">
            <w:pPr>
              <w:rPr>
                <w:sz w:val="24"/>
                <w:szCs w:val="24"/>
              </w:rPr>
            </w:pPr>
          </w:p>
        </w:tc>
      </w:tr>
      <w:tr w:rsidR="00C74119" w:rsidTr="00F15AC9">
        <w:trPr>
          <w:gridBefore w:val="1"/>
          <w:wBefore w:w="545" w:type="dxa"/>
          <w:jc w:val="center"/>
        </w:trPr>
        <w:tc>
          <w:tcPr>
            <w:tcW w:w="12479" w:type="dxa"/>
            <w:gridSpan w:val="8"/>
            <w:tcBorders>
              <w:right w:val="nil"/>
            </w:tcBorders>
          </w:tcPr>
          <w:p w:rsidR="00C74119" w:rsidRPr="00C74119" w:rsidRDefault="00C74119" w:rsidP="00A76056">
            <w:pPr>
              <w:pStyle w:val="TableBullet"/>
              <w:numPr>
                <w:ilvl w:val="0"/>
                <w:numId w:val="0"/>
              </w:numPr>
              <w:ind w:left="34" w:hanging="17"/>
              <w:rPr>
                <w:b/>
                <w:sz w:val="24"/>
                <w:szCs w:val="24"/>
              </w:rPr>
            </w:pPr>
            <w:r w:rsidRPr="00C74119">
              <w:rPr>
                <w:b/>
                <w:sz w:val="24"/>
                <w:szCs w:val="24"/>
              </w:rPr>
              <w:lastRenderedPageBreak/>
              <w:t>15. Are costs incurred by funds and fees charged to members being minimised, taking account of service features provided to members?</w:t>
            </w:r>
          </w:p>
        </w:tc>
        <w:tc>
          <w:tcPr>
            <w:tcW w:w="1826" w:type="dxa"/>
            <w:gridSpan w:val="2"/>
            <w:tcBorders>
              <w:left w:val="nil"/>
            </w:tcBorders>
          </w:tcPr>
          <w:p w:rsidR="00C74119" w:rsidRDefault="00C74119" w:rsidP="005239AE">
            <w:pPr>
              <w:rPr>
                <w:sz w:val="24"/>
                <w:szCs w:val="24"/>
              </w:rPr>
            </w:pP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15.1 </w:t>
            </w:r>
            <w:r w:rsidRPr="00A76056">
              <w:rPr>
                <w:sz w:val="22"/>
                <w:szCs w:val="22"/>
              </w:rPr>
              <w:t>Investment costs and fees across equivalent products and between market segments (input,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 industry data</w:t>
            </w:r>
          </w:p>
        </w:tc>
        <w:tc>
          <w:tcPr>
            <w:tcW w:w="6432" w:type="dxa"/>
            <w:gridSpan w:val="4"/>
          </w:tcPr>
          <w:p w:rsidR="007853B8" w:rsidRPr="00A76056" w:rsidRDefault="007853B8" w:rsidP="005239AE">
            <w:pPr>
              <w:rPr>
                <w:sz w:val="24"/>
                <w:szCs w:val="24"/>
              </w:rPr>
            </w:pPr>
            <w:r>
              <w:rPr>
                <w:sz w:val="24"/>
                <w:szCs w:val="24"/>
              </w:rPr>
              <w:t xml:space="preserve">QUALIFIED SUPPORT: </w:t>
            </w:r>
            <w:r w:rsidRPr="00A76056">
              <w:rPr>
                <w:sz w:val="24"/>
                <w:szCs w:val="24"/>
              </w:rPr>
              <w:t xml:space="preserve">As indicated earlier, we strongly believe that net outcomes to members are much more important than a focus </w:t>
            </w:r>
            <w:r>
              <w:rPr>
                <w:sz w:val="24"/>
                <w:szCs w:val="24"/>
              </w:rPr>
              <w:t xml:space="preserve">solely </w:t>
            </w:r>
            <w:r w:rsidRPr="00A76056">
              <w:rPr>
                <w:sz w:val="24"/>
                <w:szCs w:val="24"/>
              </w:rPr>
              <w:t xml:space="preserve">on costs and fees. See </w:t>
            </w:r>
            <w:r>
              <w:rPr>
                <w:sz w:val="24"/>
                <w:szCs w:val="24"/>
              </w:rPr>
              <w:t xml:space="preserve">further </w:t>
            </w:r>
            <w:r w:rsidRPr="00A76056">
              <w:rPr>
                <w:sz w:val="24"/>
                <w:szCs w:val="24"/>
              </w:rPr>
              <w:t>comments in Attachment 5</w:t>
            </w:r>
            <w:r w:rsidR="00402DE3">
              <w:rPr>
                <w:sz w:val="24"/>
                <w:szCs w:val="24"/>
              </w:rPr>
              <w:t xml:space="preserve"> section A.</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15.2 </w:t>
            </w:r>
            <w:r w:rsidRPr="00A76056">
              <w:rPr>
                <w:sz w:val="22"/>
                <w:szCs w:val="22"/>
              </w:rPr>
              <w:t>Investment management fees by asset class compared to other countries*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Industry data</w:t>
            </w:r>
          </w:p>
        </w:tc>
        <w:tc>
          <w:tcPr>
            <w:tcW w:w="6432" w:type="dxa"/>
            <w:gridSpan w:val="4"/>
          </w:tcPr>
          <w:p w:rsidR="007853B8" w:rsidRPr="00A76056" w:rsidRDefault="007853B8" w:rsidP="00547803">
            <w:pPr>
              <w:rPr>
                <w:sz w:val="24"/>
                <w:szCs w:val="24"/>
              </w:rPr>
            </w:pPr>
            <w:r>
              <w:rPr>
                <w:sz w:val="24"/>
                <w:szCs w:val="24"/>
              </w:rPr>
              <w:t>SUPPORT: However care will be required to understand what fees/costs are included and not included in international data vs Australian data. Tax considerations also add an extra dimension in Australia that is absent in most ot</w:t>
            </w:r>
            <w:r w:rsidR="00402DE3">
              <w:rPr>
                <w:sz w:val="24"/>
                <w:szCs w:val="24"/>
              </w:rPr>
              <w:t>her countries.</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15.3 </w:t>
            </w:r>
            <w:r w:rsidRPr="00A76056">
              <w:rPr>
                <w:sz w:val="22"/>
                <w:szCs w:val="22"/>
              </w:rPr>
              <w:t>Relationship between investment fees and returns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Econometrics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 industry data</w:t>
            </w:r>
          </w:p>
        </w:tc>
        <w:tc>
          <w:tcPr>
            <w:tcW w:w="6432" w:type="dxa"/>
            <w:gridSpan w:val="4"/>
          </w:tcPr>
          <w:p w:rsidR="007853B8" w:rsidRPr="00A76056" w:rsidRDefault="007853B8" w:rsidP="005239AE">
            <w:pPr>
              <w:rPr>
                <w:sz w:val="24"/>
                <w:szCs w:val="24"/>
              </w:rPr>
            </w:pPr>
            <w:r>
              <w:rPr>
                <w:sz w:val="24"/>
                <w:szCs w:val="24"/>
              </w:rPr>
              <w:t xml:space="preserve">SUPPORT: </w:t>
            </w:r>
            <w:r w:rsidRPr="00A76056">
              <w:rPr>
                <w:sz w:val="24"/>
                <w:szCs w:val="24"/>
              </w:rPr>
              <w:t>See comments in Attachment 5</w:t>
            </w:r>
            <w:r>
              <w:rPr>
                <w:sz w:val="24"/>
                <w:szCs w:val="24"/>
              </w:rPr>
              <w:t xml:space="preserve"> section A.</w:t>
            </w:r>
          </w:p>
        </w:tc>
      </w:tr>
      <w:tr w:rsidR="007853B8" w:rsidTr="00F15AC9">
        <w:trPr>
          <w:gridBefore w:val="1"/>
          <w:wBefore w:w="545" w:type="dxa"/>
          <w:trHeight w:val="271"/>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15.4 </w:t>
            </w:r>
            <w:r w:rsidRPr="00A76056">
              <w:rPr>
                <w:sz w:val="22"/>
                <w:szCs w:val="22"/>
              </w:rPr>
              <w:t>Use and disclosure of performance attribution by funds (behaviour)</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Qualitative</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Surveys,, case studies</w:t>
            </w:r>
          </w:p>
        </w:tc>
        <w:tc>
          <w:tcPr>
            <w:tcW w:w="6432" w:type="dxa"/>
            <w:gridSpan w:val="4"/>
          </w:tcPr>
          <w:p w:rsidR="007853B8" w:rsidRPr="007853B8" w:rsidRDefault="007853B8" w:rsidP="00E5658F">
            <w:pPr>
              <w:rPr>
                <w:sz w:val="24"/>
                <w:szCs w:val="24"/>
              </w:rPr>
            </w:pPr>
            <w:r>
              <w:rPr>
                <w:sz w:val="24"/>
                <w:szCs w:val="24"/>
              </w:rPr>
              <w:t xml:space="preserve">QUALIFIED SUPPORT: </w:t>
            </w:r>
            <w:r w:rsidRPr="007853B8">
              <w:rPr>
                <w:sz w:val="24"/>
                <w:szCs w:val="24"/>
              </w:rPr>
              <w:t>Reporting of attribution analysis at the institutional level is relatively standard in internal publications, but in our experience it is not routinely reported externally.   In part</w:t>
            </w:r>
            <w:r w:rsidR="00C16675">
              <w:rPr>
                <w:sz w:val="24"/>
                <w:szCs w:val="24"/>
              </w:rPr>
              <w:t>,</w:t>
            </w:r>
            <w:r w:rsidRPr="007853B8">
              <w:rPr>
                <w:sz w:val="24"/>
                <w:szCs w:val="24"/>
              </w:rPr>
              <w:t xml:space="preserve"> this reflects concerns that reporting of shorter term attribution analysis may be incorrectly interpreted, most particularly because of a lack of understanding of attribution analysis, and due to the risk of short termism in interpreting investment returns.  At the retail level there is very little reporting of attribution analysis, for the same reasons.</w:t>
            </w:r>
          </w:p>
          <w:p w:rsidR="007853B8" w:rsidRPr="007853B8" w:rsidRDefault="007853B8" w:rsidP="00E5658F">
            <w:pPr>
              <w:rPr>
                <w:sz w:val="24"/>
                <w:szCs w:val="24"/>
              </w:rPr>
            </w:pPr>
          </w:p>
          <w:p w:rsidR="007853B8" w:rsidRPr="00A76056" w:rsidRDefault="007853B8" w:rsidP="00547803">
            <w:pPr>
              <w:rPr>
                <w:sz w:val="24"/>
                <w:szCs w:val="24"/>
              </w:rPr>
            </w:pPr>
            <w:r w:rsidRPr="007853B8">
              <w:rPr>
                <w:sz w:val="24"/>
                <w:szCs w:val="24"/>
              </w:rPr>
              <w:t xml:space="preserve">As attribution analysis simply breaks down the total return into asset allocation and manager selection, it is not clear to us that attribution analysis adds much to the debate about system wide efficiency. </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lastRenderedPageBreak/>
              <w:t xml:space="preserve">15.5 </w:t>
            </w:r>
            <w:r w:rsidRPr="00A76056">
              <w:rPr>
                <w:sz w:val="22"/>
                <w:szCs w:val="22"/>
              </w:rPr>
              <w:t>Administrative costs and fees at system level and for market segments (input,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 industry data</w:t>
            </w:r>
          </w:p>
        </w:tc>
        <w:tc>
          <w:tcPr>
            <w:tcW w:w="6432" w:type="dxa"/>
            <w:gridSpan w:val="4"/>
          </w:tcPr>
          <w:p w:rsidR="007853B8" w:rsidRDefault="007853B8" w:rsidP="00547803">
            <w:pPr>
              <w:rPr>
                <w:sz w:val="24"/>
                <w:szCs w:val="24"/>
              </w:rPr>
            </w:pPr>
            <w:r>
              <w:rPr>
                <w:sz w:val="24"/>
                <w:szCs w:val="24"/>
              </w:rPr>
              <w:t xml:space="preserve">QUALIFIED SUPPORT: Comparisons need to take account of differences in the service offering. </w:t>
            </w:r>
          </w:p>
          <w:p w:rsidR="007853B8" w:rsidRPr="00A76056" w:rsidRDefault="007853B8" w:rsidP="00547803">
            <w:pPr>
              <w:rPr>
                <w:sz w:val="24"/>
                <w:szCs w:val="24"/>
              </w:rPr>
            </w:pP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15.6 </w:t>
            </w:r>
            <w:r w:rsidRPr="00A76056">
              <w:rPr>
                <w:sz w:val="22"/>
                <w:szCs w:val="22"/>
              </w:rPr>
              <w:t>Cost savings from SuperStream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w:t>
            </w:r>
          </w:p>
          <w:p w:rsidR="007853B8" w:rsidRPr="00ED74A0" w:rsidRDefault="007853B8" w:rsidP="00A76056">
            <w:pPr>
              <w:pStyle w:val="TableBullet"/>
              <w:numPr>
                <w:ilvl w:val="0"/>
                <w:numId w:val="0"/>
              </w:numPr>
              <w:ind w:left="34" w:hanging="17"/>
              <w:rPr>
                <w:color w:val="FF0000"/>
                <w:szCs w:val="18"/>
              </w:rPr>
            </w:pPr>
            <w:r w:rsidRPr="00ED74A0">
              <w:rPr>
                <w:color w:val="FF0000"/>
                <w:szCs w:val="18"/>
              </w:rPr>
              <w:t>Employer surveys</w:t>
            </w:r>
          </w:p>
        </w:tc>
        <w:tc>
          <w:tcPr>
            <w:tcW w:w="6432" w:type="dxa"/>
            <w:gridSpan w:val="4"/>
          </w:tcPr>
          <w:p w:rsidR="007853B8" w:rsidRDefault="007853B8" w:rsidP="00547803">
            <w:pPr>
              <w:rPr>
                <w:sz w:val="24"/>
                <w:szCs w:val="24"/>
              </w:rPr>
            </w:pPr>
            <w:r>
              <w:rPr>
                <w:sz w:val="24"/>
                <w:szCs w:val="24"/>
              </w:rPr>
              <w:t>QUALIFIED SUPPORT: We are not sure what will be gained by having this as a separate indicator, particularly given that SuperStream is still in transitional phase.  In our assessment</w:t>
            </w:r>
            <w:r w:rsidR="001C66B4">
              <w:rPr>
                <w:sz w:val="24"/>
                <w:szCs w:val="24"/>
              </w:rPr>
              <w:t>,</w:t>
            </w:r>
            <w:r>
              <w:rPr>
                <w:sz w:val="24"/>
                <w:szCs w:val="24"/>
              </w:rPr>
              <w:t xml:space="preserve"> the large investment by funds and administrators in SuperStream to date will have outweighed efficiency gains, with the payback expected to emerge in future years as various stages of SuperStream are implemented and depending on matters such as the speed and level of take up of SuperStream by small employers.</w:t>
            </w:r>
          </w:p>
          <w:p w:rsidR="007853B8" w:rsidRDefault="007853B8" w:rsidP="00547803">
            <w:pPr>
              <w:rPr>
                <w:sz w:val="24"/>
                <w:szCs w:val="24"/>
              </w:rPr>
            </w:pPr>
            <w:r>
              <w:rPr>
                <w:sz w:val="24"/>
                <w:szCs w:val="24"/>
              </w:rPr>
              <w:t>If the Commission intends to look at efficiency of the super system for employers, employer surveys could be added</w:t>
            </w:r>
            <w:r w:rsidR="001C66B4">
              <w:rPr>
                <w:sz w:val="24"/>
                <w:szCs w:val="24"/>
              </w:rPr>
              <w:t xml:space="preserve"> as an evidential source</w:t>
            </w:r>
            <w:r>
              <w:rPr>
                <w:sz w:val="24"/>
                <w:szCs w:val="24"/>
              </w:rPr>
              <w:t>.</w:t>
            </w:r>
          </w:p>
          <w:p w:rsidR="007853B8" w:rsidRPr="00A76056" w:rsidRDefault="007853B8" w:rsidP="00547803">
            <w:pPr>
              <w:rPr>
                <w:sz w:val="24"/>
                <w:szCs w:val="24"/>
              </w:rPr>
            </w:pPr>
            <w:r>
              <w:rPr>
                <w:sz w:val="24"/>
                <w:szCs w:val="24"/>
              </w:rPr>
              <w:t xml:space="preserve"> </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15.7 </w:t>
            </w:r>
            <w:r w:rsidRPr="00A76056">
              <w:rPr>
                <w:sz w:val="22"/>
                <w:szCs w:val="22"/>
              </w:rPr>
              <w:t>Relationship between level of administrative fees and quality of member services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Qualitative</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Surveys, case studies</w:t>
            </w:r>
          </w:p>
        </w:tc>
        <w:tc>
          <w:tcPr>
            <w:tcW w:w="6432" w:type="dxa"/>
            <w:gridSpan w:val="4"/>
          </w:tcPr>
          <w:p w:rsidR="007853B8" w:rsidRPr="00A76056" w:rsidRDefault="007853B8" w:rsidP="00547803">
            <w:pPr>
              <w:rPr>
                <w:sz w:val="24"/>
                <w:szCs w:val="24"/>
              </w:rPr>
            </w:pPr>
            <w:r>
              <w:rPr>
                <w:sz w:val="24"/>
                <w:szCs w:val="24"/>
              </w:rPr>
              <w:t>SUPPORT</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15.8 </w:t>
            </w:r>
            <w:r w:rsidRPr="00A76056">
              <w:rPr>
                <w:sz w:val="22"/>
                <w:szCs w:val="22"/>
              </w:rPr>
              <w:t>Costs relative to assets and member base wholesale (by service) and retail (by segment)* (input)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 industry data</w:t>
            </w:r>
          </w:p>
        </w:tc>
        <w:tc>
          <w:tcPr>
            <w:tcW w:w="6432" w:type="dxa"/>
            <w:gridSpan w:val="4"/>
          </w:tcPr>
          <w:p w:rsidR="007853B8" w:rsidRDefault="007853B8" w:rsidP="00DB1761">
            <w:pPr>
              <w:rPr>
                <w:sz w:val="24"/>
                <w:szCs w:val="24"/>
              </w:rPr>
            </w:pPr>
            <w:r>
              <w:rPr>
                <w:sz w:val="24"/>
                <w:szCs w:val="24"/>
              </w:rPr>
              <w:t xml:space="preserve">QUALIFIED SUPPORT: Comparisons need to take account of differences in the service offering (including investments). </w:t>
            </w:r>
          </w:p>
          <w:p w:rsidR="007853B8" w:rsidRPr="00A76056" w:rsidRDefault="007853B8" w:rsidP="00547803">
            <w:pPr>
              <w:rPr>
                <w:sz w:val="24"/>
                <w:szCs w:val="24"/>
              </w:rPr>
            </w:pP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t xml:space="preserve">15.9 </w:t>
            </w:r>
            <w:r w:rsidRPr="00A76056">
              <w:rPr>
                <w:sz w:val="22"/>
                <w:szCs w:val="22"/>
              </w:rPr>
              <w:t>Margins wholesale (by service) and retail (by segment)*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Regulator data; industry data</w:t>
            </w:r>
          </w:p>
        </w:tc>
        <w:tc>
          <w:tcPr>
            <w:tcW w:w="6432" w:type="dxa"/>
            <w:gridSpan w:val="4"/>
          </w:tcPr>
          <w:p w:rsidR="007853B8" w:rsidRPr="00A76056" w:rsidRDefault="00C706A6" w:rsidP="00EF52AE">
            <w:pPr>
              <w:rPr>
                <w:sz w:val="24"/>
                <w:szCs w:val="24"/>
              </w:rPr>
            </w:pPr>
            <w:r>
              <w:rPr>
                <w:sz w:val="24"/>
                <w:szCs w:val="24"/>
              </w:rPr>
              <w:t>DELETE</w:t>
            </w:r>
            <w:r w:rsidR="007853B8">
              <w:rPr>
                <w:sz w:val="24"/>
                <w:szCs w:val="24"/>
              </w:rPr>
              <w:t>: As noted earlier, i</w:t>
            </w:r>
            <w:r w:rsidR="007853B8" w:rsidRPr="00A76056">
              <w:rPr>
                <w:sz w:val="24"/>
                <w:szCs w:val="24"/>
              </w:rPr>
              <w:t>t seems highly unlikely the</w:t>
            </w:r>
            <w:r w:rsidR="007853B8">
              <w:rPr>
                <w:sz w:val="24"/>
                <w:szCs w:val="24"/>
              </w:rPr>
              <w:t xml:space="preserve"> Commission</w:t>
            </w:r>
            <w:r w:rsidR="007853B8" w:rsidRPr="00A76056">
              <w:rPr>
                <w:sz w:val="24"/>
                <w:szCs w:val="24"/>
              </w:rPr>
              <w:t xml:space="preserve"> will be able to obtain this data</w:t>
            </w:r>
            <w:r w:rsidR="007853B8">
              <w:rPr>
                <w:sz w:val="24"/>
                <w:szCs w:val="24"/>
              </w:rPr>
              <w:t xml:space="preserve"> and a reasonable level of profit is necessary for a healthy and sustainable industry.</w:t>
            </w:r>
          </w:p>
        </w:tc>
      </w:tr>
      <w:tr w:rsidR="007853B8" w:rsidTr="00F15AC9">
        <w:trPr>
          <w:gridBefore w:val="1"/>
          <w:wBefore w:w="545" w:type="dxa"/>
          <w:jc w:val="center"/>
        </w:trPr>
        <w:tc>
          <w:tcPr>
            <w:tcW w:w="4612" w:type="dxa"/>
            <w:gridSpan w:val="2"/>
          </w:tcPr>
          <w:p w:rsidR="007853B8" w:rsidRPr="00A76056" w:rsidRDefault="007853B8" w:rsidP="00A76056">
            <w:pPr>
              <w:pStyle w:val="TableBullet"/>
              <w:numPr>
                <w:ilvl w:val="0"/>
                <w:numId w:val="0"/>
              </w:numPr>
              <w:rPr>
                <w:sz w:val="22"/>
                <w:szCs w:val="22"/>
              </w:rPr>
            </w:pPr>
            <w:r>
              <w:rPr>
                <w:sz w:val="22"/>
                <w:szCs w:val="22"/>
              </w:rPr>
              <w:lastRenderedPageBreak/>
              <w:t xml:space="preserve">15.10 </w:t>
            </w:r>
            <w:r w:rsidRPr="00A76056">
              <w:rPr>
                <w:sz w:val="22"/>
                <w:szCs w:val="22"/>
              </w:rPr>
              <w:t>Pass through of benefits from scale economies (wholesale and retail) to members* (output)</w:t>
            </w:r>
          </w:p>
        </w:tc>
        <w:tc>
          <w:tcPr>
            <w:tcW w:w="1560" w:type="dxa"/>
            <w:gridSpan w:val="2"/>
          </w:tcPr>
          <w:p w:rsidR="007853B8" w:rsidRPr="00A76056" w:rsidRDefault="007853B8" w:rsidP="00A76056">
            <w:pPr>
              <w:pStyle w:val="TableBullet"/>
              <w:numPr>
                <w:ilvl w:val="0"/>
                <w:numId w:val="0"/>
              </w:numPr>
              <w:ind w:left="170" w:hanging="170"/>
              <w:rPr>
                <w:szCs w:val="18"/>
              </w:rPr>
            </w:pPr>
            <w:r w:rsidRPr="00A76056">
              <w:rPr>
                <w:szCs w:val="18"/>
              </w:rPr>
              <w:t>Econometrics</w:t>
            </w:r>
          </w:p>
        </w:tc>
        <w:tc>
          <w:tcPr>
            <w:tcW w:w="1701" w:type="dxa"/>
            <w:gridSpan w:val="2"/>
          </w:tcPr>
          <w:p w:rsidR="007853B8" w:rsidRPr="00A76056" w:rsidRDefault="007853B8" w:rsidP="00A76056">
            <w:pPr>
              <w:pStyle w:val="TableBullet"/>
              <w:numPr>
                <w:ilvl w:val="0"/>
                <w:numId w:val="0"/>
              </w:numPr>
              <w:ind w:left="34" w:hanging="17"/>
              <w:rPr>
                <w:szCs w:val="18"/>
              </w:rPr>
            </w:pPr>
            <w:r w:rsidRPr="00A76056">
              <w:rPr>
                <w:szCs w:val="18"/>
              </w:rPr>
              <w:t>Industry data</w:t>
            </w:r>
          </w:p>
        </w:tc>
        <w:tc>
          <w:tcPr>
            <w:tcW w:w="6432" w:type="dxa"/>
            <w:gridSpan w:val="4"/>
          </w:tcPr>
          <w:p w:rsidR="007853B8" w:rsidRPr="00A76056" w:rsidRDefault="007853B8" w:rsidP="00547803">
            <w:pPr>
              <w:rPr>
                <w:sz w:val="24"/>
                <w:szCs w:val="24"/>
              </w:rPr>
            </w:pPr>
            <w:r>
              <w:rPr>
                <w:sz w:val="24"/>
                <w:szCs w:val="24"/>
              </w:rPr>
              <w:t xml:space="preserve">DELETE: </w:t>
            </w:r>
            <w:r w:rsidRPr="00A76056">
              <w:rPr>
                <w:sz w:val="24"/>
                <w:szCs w:val="24"/>
              </w:rPr>
              <w:t xml:space="preserve">Having regard to the </w:t>
            </w:r>
            <w:r>
              <w:rPr>
                <w:sz w:val="24"/>
                <w:szCs w:val="24"/>
              </w:rPr>
              <w:t>limited</w:t>
            </w:r>
            <w:r w:rsidRPr="00A76056">
              <w:rPr>
                <w:sz w:val="24"/>
                <w:szCs w:val="24"/>
              </w:rPr>
              <w:t xml:space="preserve"> insights </w:t>
            </w:r>
            <w:r>
              <w:rPr>
                <w:sz w:val="24"/>
                <w:szCs w:val="24"/>
              </w:rPr>
              <w:t xml:space="preserve">likely to be derived </w:t>
            </w:r>
            <w:r w:rsidRPr="00A76056">
              <w:rPr>
                <w:sz w:val="24"/>
                <w:szCs w:val="24"/>
              </w:rPr>
              <w:t xml:space="preserve">from this Indicator </w:t>
            </w:r>
            <w:r>
              <w:rPr>
                <w:sz w:val="24"/>
                <w:szCs w:val="24"/>
              </w:rPr>
              <w:t>and the</w:t>
            </w:r>
            <w:r w:rsidRPr="00A76056">
              <w:rPr>
                <w:sz w:val="24"/>
                <w:szCs w:val="24"/>
              </w:rPr>
              <w:t xml:space="preserve"> significant costs for industry of compiling the data, we consider it should be omitted.</w:t>
            </w:r>
          </w:p>
          <w:p w:rsidR="007853B8" w:rsidRPr="00A76056" w:rsidRDefault="007853B8" w:rsidP="00547803">
            <w:pPr>
              <w:rPr>
                <w:sz w:val="24"/>
                <w:szCs w:val="24"/>
              </w:rPr>
            </w:pPr>
          </w:p>
        </w:tc>
      </w:tr>
    </w:tbl>
    <w:p w:rsidR="00402DE3" w:rsidRDefault="00402DE3"/>
    <w:p w:rsidR="00270C4F" w:rsidRDefault="00270C4F"/>
    <w:tbl>
      <w:tblPr>
        <w:tblW w:w="14305"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5"/>
        <w:gridCol w:w="1570"/>
        <w:gridCol w:w="1559"/>
        <w:gridCol w:w="6111"/>
      </w:tblGrid>
      <w:tr w:rsidR="007853B8" w:rsidTr="00270C4F">
        <w:trPr>
          <w:jc w:val="center"/>
        </w:trPr>
        <w:tc>
          <w:tcPr>
            <w:tcW w:w="14305" w:type="dxa"/>
            <w:gridSpan w:val="4"/>
          </w:tcPr>
          <w:p w:rsidR="007853B8" w:rsidRPr="00A76056" w:rsidRDefault="007853B8" w:rsidP="00547803">
            <w:pPr>
              <w:rPr>
                <w:b/>
                <w:sz w:val="24"/>
                <w:szCs w:val="24"/>
              </w:rPr>
            </w:pPr>
            <w:r w:rsidRPr="00A76056">
              <w:rPr>
                <w:b/>
                <w:sz w:val="24"/>
                <w:szCs w:val="24"/>
              </w:rPr>
              <w:t>16. Do all types of funds have opportunities to invest efficiently in upstream capital markets?</w:t>
            </w:r>
          </w:p>
        </w:tc>
      </w:tr>
      <w:tr w:rsidR="007853B8" w:rsidTr="00270C4F">
        <w:trPr>
          <w:jc w:val="center"/>
        </w:trPr>
        <w:tc>
          <w:tcPr>
            <w:tcW w:w="5065" w:type="dxa"/>
          </w:tcPr>
          <w:p w:rsidR="007853B8" w:rsidRPr="00A76056" w:rsidRDefault="007853B8" w:rsidP="00A76056">
            <w:pPr>
              <w:pStyle w:val="TableBullet"/>
              <w:numPr>
                <w:ilvl w:val="0"/>
                <w:numId w:val="0"/>
              </w:numPr>
              <w:rPr>
                <w:sz w:val="22"/>
                <w:szCs w:val="22"/>
              </w:rPr>
            </w:pPr>
            <w:r>
              <w:rPr>
                <w:sz w:val="22"/>
                <w:szCs w:val="22"/>
              </w:rPr>
              <w:t xml:space="preserve">16.1 </w:t>
            </w:r>
            <w:r w:rsidRPr="00A76056">
              <w:rPr>
                <w:sz w:val="22"/>
                <w:szCs w:val="22"/>
              </w:rPr>
              <w:t>Asset allocation in SMSFs compared to institutional funds (input)</w:t>
            </w:r>
          </w:p>
        </w:tc>
        <w:tc>
          <w:tcPr>
            <w:tcW w:w="1570" w:type="dxa"/>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559" w:type="dxa"/>
          </w:tcPr>
          <w:p w:rsidR="007853B8" w:rsidRPr="00A76056" w:rsidRDefault="007853B8" w:rsidP="00A76056">
            <w:pPr>
              <w:pStyle w:val="TableBullet"/>
              <w:numPr>
                <w:ilvl w:val="0"/>
                <w:numId w:val="0"/>
              </w:numPr>
              <w:ind w:left="170" w:hanging="170"/>
              <w:rPr>
                <w:szCs w:val="18"/>
              </w:rPr>
            </w:pPr>
            <w:r w:rsidRPr="00A76056">
              <w:rPr>
                <w:szCs w:val="18"/>
              </w:rPr>
              <w:t>Regulator data</w:t>
            </w:r>
          </w:p>
        </w:tc>
        <w:tc>
          <w:tcPr>
            <w:tcW w:w="6111" w:type="dxa"/>
          </w:tcPr>
          <w:p w:rsidR="007853B8" w:rsidRPr="00916832" w:rsidRDefault="007853B8" w:rsidP="00547803">
            <w:pPr>
              <w:rPr>
                <w:sz w:val="24"/>
                <w:szCs w:val="24"/>
              </w:rPr>
            </w:pPr>
            <w:r w:rsidRPr="00916832">
              <w:rPr>
                <w:sz w:val="24"/>
                <w:szCs w:val="24"/>
              </w:rPr>
              <w:t>SUPPORT</w:t>
            </w:r>
          </w:p>
        </w:tc>
      </w:tr>
      <w:tr w:rsidR="007853B8" w:rsidTr="00270C4F">
        <w:trPr>
          <w:jc w:val="center"/>
        </w:trPr>
        <w:tc>
          <w:tcPr>
            <w:tcW w:w="5065" w:type="dxa"/>
          </w:tcPr>
          <w:p w:rsidR="007853B8" w:rsidRPr="00A76056" w:rsidRDefault="007853B8" w:rsidP="00A76056">
            <w:pPr>
              <w:pStyle w:val="TableBullet"/>
              <w:numPr>
                <w:ilvl w:val="0"/>
                <w:numId w:val="0"/>
              </w:numPr>
              <w:rPr>
                <w:sz w:val="22"/>
                <w:szCs w:val="22"/>
              </w:rPr>
            </w:pPr>
            <w:r>
              <w:rPr>
                <w:sz w:val="22"/>
                <w:szCs w:val="22"/>
              </w:rPr>
              <w:t xml:space="preserve">16.2 </w:t>
            </w:r>
            <w:r w:rsidRPr="00A76056">
              <w:rPr>
                <w:sz w:val="22"/>
                <w:szCs w:val="22"/>
              </w:rPr>
              <w:t>Retail investment management costs compared to wholesale (input)</w:t>
            </w:r>
          </w:p>
        </w:tc>
        <w:tc>
          <w:tcPr>
            <w:tcW w:w="1570" w:type="dxa"/>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559" w:type="dxa"/>
          </w:tcPr>
          <w:p w:rsidR="007853B8" w:rsidRPr="00A76056" w:rsidRDefault="007853B8" w:rsidP="00A76056">
            <w:pPr>
              <w:pStyle w:val="TableBullet"/>
              <w:numPr>
                <w:ilvl w:val="0"/>
                <w:numId w:val="0"/>
              </w:numPr>
              <w:ind w:left="170" w:hanging="170"/>
              <w:rPr>
                <w:szCs w:val="18"/>
              </w:rPr>
            </w:pPr>
            <w:r w:rsidRPr="00A76056">
              <w:rPr>
                <w:szCs w:val="18"/>
              </w:rPr>
              <w:t>Industry data</w:t>
            </w:r>
          </w:p>
        </w:tc>
        <w:tc>
          <w:tcPr>
            <w:tcW w:w="6111" w:type="dxa"/>
          </w:tcPr>
          <w:p w:rsidR="007853B8" w:rsidRPr="00916832" w:rsidRDefault="007853B8" w:rsidP="00547803">
            <w:pPr>
              <w:rPr>
                <w:sz w:val="24"/>
                <w:szCs w:val="24"/>
              </w:rPr>
            </w:pPr>
            <w:r w:rsidRPr="00916832">
              <w:rPr>
                <w:sz w:val="24"/>
                <w:szCs w:val="24"/>
              </w:rPr>
              <w:t>SUPPORT</w:t>
            </w:r>
          </w:p>
        </w:tc>
      </w:tr>
      <w:tr w:rsidR="007853B8" w:rsidTr="00270C4F">
        <w:trPr>
          <w:jc w:val="center"/>
        </w:trPr>
        <w:tc>
          <w:tcPr>
            <w:tcW w:w="5065" w:type="dxa"/>
          </w:tcPr>
          <w:p w:rsidR="007853B8" w:rsidRPr="00A76056" w:rsidRDefault="007853B8" w:rsidP="00A76056">
            <w:pPr>
              <w:pStyle w:val="TableBullet"/>
              <w:numPr>
                <w:ilvl w:val="0"/>
                <w:numId w:val="0"/>
              </w:numPr>
              <w:rPr>
                <w:sz w:val="22"/>
                <w:szCs w:val="22"/>
              </w:rPr>
            </w:pPr>
            <w:r>
              <w:rPr>
                <w:sz w:val="22"/>
                <w:szCs w:val="22"/>
              </w:rPr>
              <w:t xml:space="preserve">16.3 </w:t>
            </w:r>
            <w:r w:rsidRPr="00A76056">
              <w:rPr>
                <w:sz w:val="22"/>
                <w:szCs w:val="22"/>
              </w:rPr>
              <w:t>Minimum transaction values (input)</w:t>
            </w:r>
          </w:p>
        </w:tc>
        <w:tc>
          <w:tcPr>
            <w:tcW w:w="1570" w:type="dxa"/>
          </w:tcPr>
          <w:p w:rsidR="007853B8" w:rsidRPr="00A76056" w:rsidRDefault="007853B8" w:rsidP="00A76056">
            <w:pPr>
              <w:pStyle w:val="TableBullet"/>
              <w:numPr>
                <w:ilvl w:val="0"/>
                <w:numId w:val="0"/>
              </w:numPr>
              <w:ind w:left="170" w:hanging="170"/>
              <w:rPr>
                <w:szCs w:val="18"/>
              </w:rPr>
            </w:pPr>
            <w:r w:rsidRPr="00A76056">
              <w:rPr>
                <w:szCs w:val="18"/>
              </w:rPr>
              <w:t>Trend analysis</w:t>
            </w:r>
          </w:p>
        </w:tc>
        <w:tc>
          <w:tcPr>
            <w:tcW w:w="1559" w:type="dxa"/>
          </w:tcPr>
          <w:p w:rsidR="007853B8" w:rsidRPr="00A76056" w:rsidRDefault="007853B8" w:rsidP="00A76056">
            <w:pPr>
              <w:pStyle w:val="TableBullet"/>
              <w:numPr>
                <w:ilvl w:val="0"/>
                <w:numId w:val="0"/>
              </w:numPr>
              <w:ind w:left="170" w:hanging="170"/>
              <w:rPr>
                <w:szCs w:val="18"/>
              </w:rPr>
            </w:pPr>
            <w:r w:rsidRPr="00A76056">
              <w:rPr>
                <w:szCs w:val="18"/>
              </w:rPr>
              <w:t>Industry data</w:t>
            </w:r>
          </w:p>
        </w:tc>
        <w:tc>
          <w:tcPr>
            <w:tcW w:w="6111" w:type="dxa"/>
          </w:tcPr>
          <w:p w:rsidR="007853B8" w:rsidRPr="00916832" w:rsidRDefault="007853B8" w:rsidP="00547803">
            <w:pPr>
              <w:rPr>
                <w:sz w:val="24"/>
                <w:szCs w:val="24"/>
              </w:rPr>
            </w:pPr>
            <w:r w:rsidRPr="00916832">
              <w:rPr>
                <w:sz w:val="24"/>
                <w:szCs w:val="24"/>
              </w:rPr>
              <w:t>SUPPORT</w:t>
            </w:r>
          </w:p>
        </w:tc>
      </w:tr>
    </w:tbl>
    <w:p w:rsidR="00270C4F" w:rsidRDefault="00270C4F">
      <w:r>
        <w:br w:type="page"/>
      </w:r>
    </w:p>
    <w:tbl>
      <w:tblPr>
        <w:tblW w:w="14397" w:type="dxa"/>
        <w:jc w:val="center"/>
        <w:tblInd w:w="5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5"/>
        <w:gridCol w:w="1559"/>
        <w:gridCol w:w="1195"/>
        <w:gridCol w:w="4660"/>
        <w:gridCol w:w="1918"/>
      </w:tblGrid>
      <w:tr w:rsidR="00270C4F" w:rsidTr="00270C4F">
        <w:trPr>
          <w:jc w:val="center"/>
        </w:trPr>
        <w:tc>
          <w:tcPr>
            <w:tcW w:w="12479" w:type="dxa"/>
            <w:gridSpan w:val="4"/>
            <w:tcBorders>
              <w:right w:val="nil"/>
            </w:tcBorders>
          </w:tcPr>
          <w:p w:rsidR="00270C4F" w:rsidRDefault="00270C4F" w:rsidP="00A76056">
            <w:pPr>
              <w:pStyle w:val="TableBullet"/>
              <w:numPr>
                <w:ilvl w:val="0"/>
                <w:numId w:val="0"/>
              </w:numPr>
              <w:ind w:left="34" w:hanging="34"/>
              <w:rPr>
                <w:b/>
                <w:sz w:val="24"/>
                <w:szCs w:val="24"/>
              </w:rPr>
            </w:pPr>
            <w:r w:rsidRPr="00270C4F">
              <w:rPr>
                <w:b/>
                <w:sz w:val="24"/>
                <w:szCs w:val="24"/>
              </w:rPr>
              <w:lastRenderedPageBreak/>
              <w:t>17. Is the system effectively managing tax for members, including in transition?</w:t>
            </w:r>
          </w:p>
          <w:p w:rsidR="00270C4F" w:rsidRPr="00270C4F" w:rsidRDefault="00270C4F" w:rsidP="00A76056">
            <w:pPr>
              <w:pStyle w:val="TableBullet"/>
              <w:numPr>
                <w:ilvl w:val="0"/>
                <w:numId w:val="0"/>
              </w:numPr>
              <w:ind w:left="34" w:hanging="34"/>
              <w:rPr>
                <w:i/>
                <w:sz w:val="22"/>
                <w:szCs w:val="22"/>
              </w:rPr>
            </w:pPr>
            <w:r>
              <w:rPr>
                <w:sz w:val="22"/>
                <w:szCs w:val="22"/>
              </w:rPr>
              <w:t xml:space="preserve">          </w:t>
            </w:r>
            <w:r w:rsidRPr="00270C4F">
              <w:rPr>
                <w:sz w:val="22"/>
                <w:szCs w:val="22"/>
              </w:rPr>
              <w:t xml:space="preserve">Note: </w:t>
            </w:r>
            <w:r w:rsidRPr="00270C4F">
              <w:rPr>
                <w:i/>
                <w:sz w:val="22"/>
                <w:szCs w:val="22"/>
              </w:rPr>
              <w:t xml:space="preserve">Mercer queries whether the effective management of members’ tax is an aspect of the system that warrants a </w:t>
            </w:r>
          </w:p>
          <w:p w:rsidR="00270C4F" w:rsidRPr="00270C4F" w:rsidRDefault="00270C4F" w:rsidP="00270C4F">
            <w:pPr>
              <w:pStyle w:val="TableBullet"/>
              <w:numPr>
                <w:ilvl w:val="0"/>
                <w:numId w:val="0"/>
              </w:numPr>
              <w:rPr>
                <w:sz w:val="22"/>
                <w:szCs w:val="22"/>
              </w:rPr>
            </w:pPr>
            <w:r w:rsidRPr="00270C4F">
              <w:rPr>
                <w:i/>
                <w:sz w:val="22"/>
                <w:szCs w:val="22"/>
              </w:rPr>
              <w:t xml:space="preserve">                   specific criterion for this review.</w:t>
            </w:r>
          </w:p>
        </w:tc>
        <w:tc>
          <w:tcPr>
            <w:tcW w:w="1918" w:type="dxa"/>
            <w:tcBorders>
              <w:left w:val="nil"/>
            </w:tcBorders>
          </w:tcPr>
          <w:p w:rsidR="00270C4F" w:rsidRDefault="00270C4F" w:rsidP="00BF1E61">
            <w:pPr>
              <w:rPr>
                <w:sz w:val="24"/>
                <w:szCs w:val="24"/>
              </w:rPr>
            </w:pPr>
          </w:p>
        </w:tc>
      </w:tr>
      <w:tr w:rsidR="00703227" w:rsidTr="00270C4F">
        <w:trPr>
          <w:jc w:val="center"/>
        </w:trPr>
        <w:tc>
          <w:tcPr>
            <w:tcW w:w="5065" w:type="dxa"/>
          </w:tcPr>
          <w:p w:rsidR="00703227" w:rsidRPr="00A76056" w:rsidRDefault="00703227" w:rsidP="00A76056">
            <w:pPr>
              <w:pStyle w:val="TableBullet"/>
              <w:numPr>
                <w:ilvl w:val="0"/>
                <w:numId w:val="0"/>
              </w:numPr>
              <w:ind w:left="170" w:hanging="170"/>
              <w:rPr>
                <w:sz w:val="22"/>
                <w:szCs w:val="22"/>
              </w:rPr>
            </w:pPr>
            <w:r>
              <w:rPr>
                <w:sz w:val="22"/>
                <w:szCs w:val="22"/>
              </w:rPr>
              <w:t xml:space="preserve">17.1 </w:t>
            </w:r>
            <w:r w:rsidRPr="00A76056">
              <w:rPr>
                <w:sz w:val="22"/>
                <w:szCs w:val="22"/>
              </w:rPr>
              <w:t>Use of tax strategies by funds for members in transition (input)</w:t>
            </w:r>
          </w:p>
        </w:tc>
        <w:tc>
          <w:tcPr>
            <w:tcW w:w="1559" w:type="dxa"/>
          </w:tcPr>
          <w:p w:rsidR="00703227" w:rsidRPr="00A76056" w:rsidRDefault="00703227" w:rsidP="00A76056">
            <w:pPr>
              <w:pStyle w:val="TableBullet"/>
              <w:numPr>
                <w:ilvl w:val="0"/>
                <w:numId w:val="0"/>
              </w:numPr>
              <w:ind w:left="33" w:firstLine="1"/>
              <w:rPr>
                <w:szCs w:val="18"/>
              </w:rPr>
            </w:pPr>
            <w:r w:rsidRPr="00A76056">
              <w:rPr>
                <w:szCs w:val="18"/>
              </w:rPr>
              <w:t>Qualitative</w:t>
            </w:r>
          </w:p>
        </w:tc>
        <w:tc>
          <w:tcPr>
            <w:tcW w:w="1195" w:type="dxa"/>
          </w:tcPr>
          <w:p w:rsidR="00703227" w:rsidRPr="00A76056" w:rsidRDefault="00703227" w:rsidP="00A76056">
            <w:pPr>
              <w:pStyle w:val="TableBullet"/>
              <w:numPr>
                <w:ilvl w:val="0"/>
                <w:numId w:val="0"/>
              </w:numPr>
              <w:ind w:left="34" w:hanging="34"/>
              <w:rPr>
                <w:szCs w:val="18"/>
              </w:rPr>
            </w:pPr>
            <w:r w:rsidRPr="00A76056">
              <w:rPr>
                <w:szCs w:val="18"/>
              </w:rPr>
              <w:t>Case studies</w:t>
            </w:r>
          </w:p>
        </w:tc>
        <w:tc>
          <w:tcPr>
            <w:tcW w:w="6578" w:type="dxa"/>
            <w:gridSpan w:val="2"/>
          </w:tcPr>
          <w:p w:rsidR="00703227" w:rsidRDefault="00C706A6" w:rsidP="00BF1E61">
            <w:pPr>
              <w:rPr>
                <w:sz w:val="24"/>
                <w:szCs w:val="24"/>
              </w:rPr>
            </w:pPr>
            <w:r>
              <w:rPr>
                <w:sz w:val="24"/>
                <w:szCs w:val="24"/>
              </w:rPr>
              <w:t>DELETE</w:t>
            </w:r>
            <w:r w:rsidR="00703227">
              <w:rPr>
                <w:sz w:val="24"/>
                <w:szCs w:val="24"/>
              </w:rPr>
              <w:t xml:space="preserve">: We query whether it is productive for the Commission to be examining the system at this level of detail. </w:t>
            </w:r>
          </w:p>
          <w:p w:rsidR="00703227" w:rsidRPr="00A76056" w:rsidRDefault="00703227" w:rsidP="00BF1E61">
            <w:pPr>
              <w:rPr>
                <w:sz w:val="24"/>
                <w:szCs w:val="24"/>
              </w:rPr>
            </w:pPr>
          </w:p>
        </w:tc>
      </w:tr>
      <w:tr w:rsidR="00703227" w:rsidTr="00270C4F">
        <w:trPr>
          <w:jc w:val="center"/>
        </w:trPr>
        <w:tc>
          <w:tcPr>
            <w:tcW w:w="5065" w:type="dxa"/>
          </w:tcPr>
          <w:p w:rsidR="00703227" w:rsidRPr="00A76056" w:rsidRDefault="00703227" w:rsidP="00A76056">
            <w:pPr>
              <w:pStyle w:val="TableBullet"/>
              <w:numPr>
                <w:ilvl w:val="0"/>
                <w:numId w:val="0"/>
              </w:numPr>
              <w:ind w:left="170" w:hanging="170"/>
              <w:rPr>
                <w:sz w:val="22"/>
                <w:szCs w:val="22"/>
              </w:rPr>
            </w:pPr>
            <w:r>
              <w:rPr>
                <w:sz w:val="22"/>
                <w:szCs w:val="22"/>
              </w:rPr>
              <w:t xml:space="preserve">17.2 </w:t>
            </w:r>
            <w:r w:rsidRPr="00A76056">
              <w:rPr>
                <w:sz w:val="22"/>
                <w:szCs w:val="22"/>
              </w:rPr>
              <w:t>Average effective tax rates across market segments (output)</w:t>
            </w:r>
          </w:p>
        </w:tc>
        <w:tc>
          <w:tcPr>
            <w:tcW w:w="1559" w:type="dxa"/>
          </w:tcPr>
          <w:p w:rsidR="00703227" w:rsidRPr="00A76056" w:rsidRDefault="00703227" w:rsidP="00A76056">
            <w:pPr>
              <w:pStyle w:val="TableBullet"/>
              <w:numPr>
                <w:ilvl w:val="0"/>
                <w:numId w:val="0"/>
              </w:numPr>
              <w:ind w:left="33" w:firstLine="1"/>
              <w:rPr>
                <w:szCs w:val="18"/>
              </w:rPr>
            </w:pPr>
            <w:r w:rsidRPr="00A76056">
              <w:rPr>
                <w:szCs w:val="18"/>
              </w:rPr>
              <w:t>Trend analysis</w:t>
            </w:r>
          </w:p>
        </w:tc>
        <w:tc>
          <w:tcPr>
            <w:tcW w:w="1195" w:type="dxa"/>
          </w:tcPr>
          <w:p w:rsidR="00703227" w:rsidRPr="00A76056" w:rsidRDefault="00703227" w:rsidP="00A76056">
            <w:pPr>
              <w:pStyle w:val="TableBullet"/>
              <w:numPr>
                <w:ilvl w:val="0"/>
                <w:numId w:val="0"/>
              </w:numPr>
              <w:ind w:left="34" w:hanging="34"/>
              <w:rPr>
                <w:szCs w:val="18"/>
              </w:rPr>
            </w:pPr>
            <w:r w:rsidRPr="00A76056">
              <w:rPr>
                <w:szCs w:val="18"/>
              </w:rPr>
              <w:t>Industry data</w:t>
            </w:r>
          </w:p>
        </w:tc>
        <w:tc>
          <w:tcPr>
            <w:tcW w:w="6578" w:type="dxa"/>
            <w:gridSpan w:val="2"/>
          </w:tcPr>
          <w:p w:rsidR="00703227" w:rsidRPr="00A76056" w:rsidRDefault="00703227" w:rsidP="00087CA9">
            <w:pPr>
              <w:rPr>
                <w:sz w:val="24"/>
                <w:szCs w:val="24"/>
              </w:rPr>
            </w:pPr>
            <w:r>
              <w:rPr>
                <w:sz w:val="24"/>
                <w:szCs w:val="24"/>
              </w:rPr>
              <w:t xml:space="preserve">DELETE: This is </w:t>
            </w:r>
            <w:r w:rsidR="00C706A6">
              <w:rPr>
                <w:sz w:val="24"/>
                <w:szCs w:val="24"/>
              </w:rPr>
              <w:t xml:space="preserve">a </w:t>
            </w:r>
            <w:r>
              <w:rPr>
                <w:sz w:val="24"/>
                <w:szCs w:val="24"/>
              </w:rPr>
              <w:t>very blunt and likely ambiguous comparison tool. Effective tax rates will depend on various features such as investment strategy (including asset allocation and active vs passive management style), the proportion of assets in pension phase, and the extent to which funds use tax-paid investment vehicles such as PSTs and life polic</w:t>
            </w:r>
            <w:r w:rsidR="00916832">
              <w:rPr>
                <w:sz w:val="24"/>
                <w:szCs w:val="24"/>
              </w:rPr>
              <w:t>i</w:t>
            </w:r>
            <w:r>
              <w:rPr>
                <w:sz w:val="24"/>
                <w:szCs w:val="24"/>
              </w:rPr>
              <w:t>es.</w:t>
            </w:r>
          </w:p>
          <w:p w:rsidR="00703227" w:rsidRPr="00A76056" w:rsidRDefault="00703227" w:rsidP="00547803">
            <w:pPr>
              <w:rPr>
                <w:b/>
                <w:sz w:val="24"/>
                <w:szCs w:val="24"/>
              </w:rPr>
            </w:pPr>
          </w:p>
        </w:tc>
      </w:tr>
      <w:tr w:rsidR="00703227" w:rsidTr="00270C4F">
        <w:trPr>
          <w:jc w:val="center"/>
        </w:trPr>
        <w:tc>
          <w:tcPr>
            <w:tcW w:w="5065" w:type="dxa"/>
          </w:tcPr>
          <w:p w:rsidR="00703227" w:rsidRPr="00A76056" w:rsidRDefault="00703227" w:rsidP="00A76056">
            <w:pPr>
              <w:pStyle w:val="TableBullet"/>
              <w:numPr>
                <w:ilvl w:val="0"/>
                <w:numId w:val="0"/>
              </w:numPr>
              <w:ind w:left="170" w:hanging="170"/>
              <w:rPr>
                <w:sz w:val="22"/>
                <w:szCs w:val="22"/>
              </w:rPr>
            </w:pPr>
            <w:r>
              <w:rPr>
                <w:sz w:val="22"/>
                <w:szCs w:val="22"/>
              </w:rPr>
              <w:t xml:space="preserve">17.3 </w:t>
            </w:r>
            <w:r w:rsidRPr="00A76056">
              <w:rPr>
                <w:sz w:val="22"/>
                <w:szCs w:val="22"/>
              </w:rPr>
              <w:t>Tax advantages as a motivation for setting up an SMSF (input)</w:t>
            </w:r>
          </w:p>
        </w:tc>
        <w:tc>
          <w:tcPr>
            <w:tcW w:w="1559" w:type="dxa"/>
          </w:tcPr>
          <w:p w:rsidR="00703227" w:rsidRPr="00A76056" w:rsidRDefault="00703227" w:rsidP="00A76056">
            <w:pPr>
              <w:pStyle w:val="TableBullet"/>
              <w:numPr>
                <w:ilvl w:val="0"/>
                <w:numId w:val="0"/>
              </w:numPr>
              <w:ind w:left="33" w:firstLine="1"/>
              <w:rPr>
                <w:szCs w:val="18"/>
              </w:rPr>
            </w:pPr>
            <w:r w:rsidRPr="00A76056">
              <w:rPr>
                <w:szCs w:val="18"/>
              </w:rPr>
              <w:t>Qualitative</w:t>
            </w:r>
          </w:p>
        </w:tc>
        <w:tc>
          <w:tcPr>
            <w:tcW w:w="1195" w:type="dxa"/>
          </w:tcPr>
          <w:p w:rsidR="00703227" w:rsidRPr="00A76056" w:rsidRDefault="00703227" w:rsidP="00A76056">
            <w:pPr>
              <w:pStyle w:val="TableBullet"/>
              <w:numPr>
                <w:ilvl w:val="0"/>
                <w:numId w:val="0"/>
              </w:numPr>
              <w:ind w:left="34" w:hanging="34"/>
              <w:rPr>
                <w:szCs w:val="18"/>
              </w:rPr>
            </w:pPr>
            <w:r w:rsidRPr="00A76056">
              <w:rPr>
                <w:szCs w:val="18"/>
              </w:rPr>
              <w:t>Surveys</w:t>
            </w:r>
          </w:p>
        </w:tc>
        <w:tc>
          <w:tcPr>
            <w:tcW w:w="6578" w:type="dxa"/>
            <w:gridSpan w:val="2"/>
          </w:tcPr>
          <w:p w:rsidR="00703227" w:rsidRDefault="00703227" w:rsidP="00547803">
            <w:pPr>
              <w:rPr>
                <w:sz w:val="24"/>
                <w:szCs w:val="24"/>
              </w:rPr>
            </w:pPr>
            <w:r w:rsidRPr="00916832">
              <w:rPr>
                <w:sz w:val="24"/>
                <w:szCs w:val="24"/>
              </w:rPr>
              <w:t xml:space="preserve">SUPPORT: </w:t>
            </w:r>
            <w:r>
              <w:rPr>
                <w:sz w:val="24"/>
                <w:szCs w:val="24"/>
              </w:rPr>
              <w:t xml:space="preserve">There is some value in considering this </w:t>
            </w:r>
            <w:r w:rsidR="0030685F">
              <w:rPr>
                <w:sz w:val="24"/>
                <w:szCs w:val="24"/>
              </w:rPr>
              <w:t xml:space="preserve">indicator and </w:t>
            </w:r>
            <w:r>
              <w:rPr>
                <w:sz w:val="24"/>
                <w:szCs w:val="24"/>
              </w:rPr>
              <w:t xml:space="preserve">it could be included </w:t>
            </w:r>
            <w:r w:rsidR="0030685F">
              <w:rPr>
                <w:sz w:val="24"/>
                <w:szCs w:val="24"/>
              </w:rPr>
              <w:t>for assessment as part of the refined</w:t>
            </w:r>
            <w:r>
              <w:rPr>
                <w:sz w:val="24"/>
                <w:szCs w:val="24"/>
              </w:rPr>
              <w:t xml:space="preserve"> criterion </w:t>
            </w:r>
            <w:r w:rsidR="0030685F">
              <w:rPr>
                <w:sz w:val="24"/>
                <w:szCs w:val="24"/>
              </w:rPr>
              <w:t>that is outlined in the discussion of this criterion in Attachment 2.</w:t>
            </w:r>
            <w:r w:rsidRPr="00A76056">
              <w:rPr>
                <w:sz w:val="24"/>
                <w:szCs w:val="24"/>
              </w:rPr>
              <w:t xml:space="preserve"> </w:t>
            </w:r>
          </w:p>
          <w:p w:rsidR="00703227" w:rsidRPr="00916832" w:rsidRDefault="00703227" w:rsidP="00547803">
            <w:pPr>
              <w:rPr>
                <w:sz w:val="24"/>
                <w:szCs w:val="24"/>
              </w:rPr>
            </w:pPr>
          </w:p>
        </w:tc>
      </w:tr>
      <w:tr w:rsidR="00703227" w:rsidTr="00270C4F">
        <w:trPr>
          <w:jc w:val="center"/>
        </w:trPr>
        <w:tc>
          <w:tcPr>
            <w:tcW w:w="5065" w:type="dxa"/>
          </w:tcPr>
          <w:p w:rsidR="00703227" w:rsidRPr="00A76056" w:rsidRDefault="00703227" w:rsidP="00A76056">
            <w:pPr>
              <w:pStyle w:val="TableBullet"/>
              <w:numPr>
                <w:ilvl w:val="0"/>
                <w:numId w:val="0"/>
              </w:numPr>
              <w:ind w:left="170" w:hanging="170"/>
              <w:rPr>
                <w:sz w:val="22"/>
                <w:szCs w:val="22"/>
              </w:rPr>
            </w:pPr>
            <w:r>
              <w:rPr>
                <w:sz w:val="22"/>
                <w:szCs w:val="22"/>
              </w:rPr>
              <w:t xml:space="preserve">17.4 </w:t>
            </w:r>
            <w:r w:rsidRPr="00A76056">
              <w:rPr>
                <w:sz w:val="22"/>
                <w:szCs w:val="22"/>
              </w:rPr>
              <w:t>Take-up rates of co-contributions and offsets (input)</w:t>
            </w:r>
          </w:p>
        </w:tc>
        <w:tc>
          <w:tcPr>
            <w:tcW w:w="1559" w:type="dxa"/>
          </w:tcPr>
          <w:p w:rsidR="00703227" w:rsidRPr="00A76056" w:rsidRDefault="00703227" w:rsidP="00A76056">
            <w:pPr>
              <w:pStyle w:val="TableBullet"/>
              <w:numPr>
                <w:ilvl w:val="0"/>
                <w:numId w:val="0"/>
              </w:numPr>
              <w:ind w:left="33" w:firstLine="1"/>
              <w:rPr>
                <w:szCs w:val="18"/>
              </w:rPr>
            </w:pPr>
            <w:r w:rsidRPr="00A76056">
              <w:rPr>
                <w:szCs w:val="18"/>
              </w:rPr>
              <w:t>Trend analysis</w:t>
            </w:r>
          </w:p>
        </w:tc>
        <w:tc>
          <w:tcPr>
            <w:tcW w:w="1195" w:type="dxa"/>
          </w:tcPr>
          <w:p w:rsidR="00703227" w:rsidRPr="00A76056" w:rsidRDefault="00703227" w:rsidP="00A76056">
            <w:pPr>
              <w:pStyle w:val="TableBullet"/>
              <w:numPr>
                <w:ilvl w:val="0"/>
                <w:numId w:val="0"/>
              </w:numPr>
              <w:ind w:left="34" w:hanging="34"/>
              <w:rPr>
                <w:szCs w:val="18"/>
              </w:rPr>
            </w:pPr>
            <w:r w:rsidRPr="00A76056">
              <w:rPr>
                <w:szCs w:val="18"/>
              </w:rPr>
              <w:t>Regulator data</w:t>
            </w:r>
          </w:p>
        </w:tc>
        <w:tc>
          <w:tcPr>
            <w:tcW w:w="6578" w:type="dxa"/>
            <w:gridSpan w:val="2"/>
          </w:tcPr>
          <w:p w:rsidR="00703227" w:rsidRDefault="00703227" w:rsidP="00547803">
            <w:pPr>
              <w:rPr>
                <w:sz w:val="24"/>
                <w:szCs w:val="24"/>
              </w:rPr>
            </w:pPr>
            <w:r w:rsidRPr="00916832">
              <w:rPr>
                <w:sz w:val="24"/>
                <w:szCs w:val="24"/>
              </w:rPr>
              <w:t xml:space="preserve">DELETE: </w:t>
            </w:r>
            <w:r>
              <w:rPr>
                <w:sz w:val="24"/>
                <w:szCs w:val="24"/>
              </w:rPr>
              <w:t>Take-up rates are influenced by so many factors we don’t see this as being a useful indicator.</w:t>
            </w:r>
          </w:p>
          <w:p w:rsidR="00703227" w:rsidRPr="00916832" w:rsidRDefault="00703227" w:rsidP="00547803">
            <w:pPr>
              <w:rPr>
                <w:sz w:val="24"/>
                <w:szCs w:val="24"/>
              </w:rPr>
            </w:pPr>
          </w:p>
        </w:tc>
      </w:tr>
    </w:tbl>
    <w:p w:rsidR="00270C4F" w:rsidRDefault="00270C4F">
      <w:r>
        <w:br w:type="page"/>
      </w:r>
    </w:p>
    <w:tbl>
      <w:tblPr>
        <w:tblW w:w="14942"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5"/>
        <w:gridCol w:w="4407"/>
        <w:gridCol w:w="1427"/>
        <w:gridCol w:w="1276"/>
        <w:gridCol w:w="6190"/>
        <w:gridCol w:w="614"/>
        <w:gridCol w:w="483"/>
      </w:tblGrid>
      <w:tr w:rsidR="005260CF" w:rsidTr="00270C4F">
        <w:trPr>
          <w:gridBefore w:val="1"/>
          <w:wBefore w:w="545" w:type="dxa"/>
          <w:jc w:val="center"/>
        </w:trPr>
        <w:tc>
          <w:tcPr>
            <w:tcW w:w="13300" w:type="dxa"/>
            <w:gridSpan w:val="4"/>
            <w:tcBorders>
              <w:right w:val="nil"/>
            </w:tcBorders>
          </w:tcPr>
          <w:p w:rsidR="005260CF" w:rsidRPr="00A76056" w:rsidRDefault="005260CF" w:rsidP="00A76056">
            <w:pPr>
              <w:pStyle w:val="TableBullet"/>
              <w:numPr>
                <w:ilvl w:val="0"/>
                <w:numId w:val="0"/>
              </w:numPr>
              <w:ind w:left="34" w:hanging="34"/>
              <w:rPr>
                <w:szCs w:val="18"/>
              </w:rPr>
            </w:pPr>
            <w:r w:rsidRPr="00A76056">
              <w:rPr>
                <w:b/>
                <w:sz w:val="24"/>
                <w:szCs w:val="24"/>
              </w:rPr>
              <w:lastRenderedPageBreak/>
              <w:t>18.</w:t>
            </w:r>
            <w:r>
              <w:rPr>
                <w:b/>
                <w:sz w:val="24"/>
                <w:szCs w:val="24"/>
              </w:rPr>
              <w:t>1</w:t>
            </w:r>
            <w:r w:rsidRPr="00A76056">
              <w:rPr>
                <w:b/>
                <w:sz w:val="24"/>
                <w:szCs w:val="24"/>
              </w:rPr>
              <w:t xml:space="preserve"> Are member preferences and needs being met by minimising unpaid contributions and lost accounts?</w:t>
            </w:r>
          </w:p>
        </w:tc>
        <w:tc>
          <w:tcPr>
            <w:tcW w:w="1097" w:type="dxa"/>
            <w:gridSpan w:val="2"/>
            <w:tcBorders>
              <w:left w:val="nil"/>
            </w:tcBorders>
          </w:tcPr>
          <w:p w:rsidR="005260CF" w:rsidRPr="00916832" w:rsidRDefault="005260CF" w:rsidP="00547803">
            <w:pPr>
              <w:rPr>
                <w:sz w:val="24"/>
                <w:szCs w:val="24"/>
              </w:rPr>
            </w:pPr>
          </w:p>
        </w:tc>
      </w:tr>
      <w:tr w:rsidR="00703227" w:rsidTr="00EF52AE">
        <w:tblPrEx>
          <w:jc w:val="left"/>
        </w:tblPrEx>
        <w:trPr>
          <w:gridAfter w:val="1"/>
          <w:wAfter w:w="483" w:type="dxa"/>
        </w:trPr>
        <w:tc>
          <w:tcPr>
            <w:tcW w:w="4952" w:type="dxa"/>
            <w:gridSpan w:val="2"/>
          </w:tcPr>
          <w:p w:rsidR="00703227" w:rsidRPr="00A76056" w:rsidRDefault="00703227" w:rsidP="00A76056">
            <w:pPr>
              <w:pStyle w:val="TableBullet"/>
              <w:numPr>
                <w:ilvl w:val="0"/>
                <w:numId w:val="0"/>
              </w:numPr>
              <w:ind w:left="170" w:hanging="170"/>
              <w:rPr>
                <w:sz w:val="22"/>
                <w:szCs w:val="22"/>
              </w:rPr>
            </w:pPr>
            <w:r>
              <w:rPr>
                <w:sz w:val="22"/>
                <w:szCs w:val="22"/>
              </w:rPr>
              <w:t xml:space="preserve">18.1.1 </w:t>
            </w:r>
            <w:r w:rsidRPr="00A76056">
              <w:rPr>
                <w:sz w:val="22"/>
                <w:szCs w:val="22"/>
              </w:rPr>
              <w:t>Unpaid Superannuation Guarantee contributions (input)</w:t>
            </w:r>
          </w:p>
        </w:tc>
        <w:tc>
          <w:tcPr>
            <w:tcW w:w="1427" w:type="dxa"/>
          </w:tcPr>
          <w:p w:rsidR="00703227" w:rsidRPr="00A76056" w:rsidRDefault="00703227" w:rsidP="00A76056">
            <w:pPr>
              <w:pStyle w:val="TableBullet"/>
              <w:numPr>
                <w:ilvl w:val="0"/>
                <w:numId w:val="0"/>
              </w:numPr>
              <w:ind w:left="33" w:hanging="33"/>
              <w:rPr>
                <w:sz w:val="20"/>
              </w:rPr>
            </w:pPr>
            <w:r w:rsidRPr="00A76056">
              <w:rPr>
                <w:sz w:val="20"/>
              </w:rPr>
              <w:t>Trend analysis</w:t>
            </w:r>
          </w:p>
        </w:tc>
        <w:tc>
          <w:tcPr>
            <w:tcW w:w="1276" w:type="dxa"/>
          </w:tcPr>
          <w:p w:rsidR="00703227" w:rsidRPr="00A76056" w:rsidRDefault="00703227" w:rsidP="00A76056">
            <w:pPr>
              <w:pStyle w:val="TableBullet"/>
              <w:numPr>
                <w:ilvl w:val="0"/>
                <w:numId w:val="0"/>
              </w:numPr>
              <w:ind w:left="34" w:hanging="34"/>
              <w:rPr>
                <w:sz w:val="20"/>
              </w:rPr>
            </w:pPr>
            <w:r w:rsidRPr="00A76056">
              <w:rPr>
                <w:sz w:val="20"/>
              </w:rPr>
              <w:t>Regulator data</w:t>
            </w:r>
          </w:p>
        </w:tc>
        <w:tc>
          <w:tcPr>
            <w:tcW w:w="6804" w:type="dxa"/>
            <w:gridSpan w:val="2"/>
          </w:tcPr>
          <w:p w:rsidR="00703227" w:rsidRPr="00A76056" w:rsidRDefault="00703227" w:rsidP="00E4684B">
            <w:pPr>
              <w:rPr>
                <w:b/>
                <w:sz w:val="24"/>
                <w:szCs w:val="24"/>
              </w:rPr>
            </w:pPr>
            <w:r w:rsidRPr="006E4B15">
              <w:rPr>
                <w:sz w:val="24"/>
                <w:szCs w:val="24"/>
              </w:rPr>
              <w:t>SUPPORT</w:t>
            </w:r>
          </w:p>
        </w:tc>
      </w:tr>
      <w:tr w:rsidR="00703227" w:rsidTr="00EF52AE">
        <w:tblPrEx>
          <w:jc w:val="left"/>
        </w:tblPrEx>
        <w:trPr>
          <w:gridAfter w:val="1"/>
          <w:wAfter w:w="483" w:type="dxa"/>
        </w:trPr>
        <w:tc>
          <w:tcPr>
            <w:tcW w:w="4952" w:type="dxa"/>
            <w:gridSpan w:val="2"/>
          </w:tcPr>
          <w:p w:rsidR="00703227" w:rsidRPr="00A76056" w:rsidRDefault="00703227" w:rsidP="00A76056">
            <w:pPr>
              <w:pStyle w:val="TableBullet"/>
              <w:numPr>
                <w:ilvl w:val="0"/>
                <w:numId w:val="0"/>
              </w:numPr>
              <w:ind w:left="170" w:hanging="170"/>
              <w:rPr>
                <w:sz w:val="22"/>
                <w:szCs w:val="22"/>
              </w:rPr>
            </w:pPr>
            <w:r>
              <w:rPr>
                <w:sz w:val="22"/>
                <w:szCs w:val="22"/>
              </w:rPr>
              <w:t xml:space="preserve">18.1.2 </w:t>
            </w:r>
            <w:r w:rsidRPr="00A76056">
              <w:rPr>
                <w:sz w:val="22"/>
                <w:szCs w:val="22"/>
              </w:rPr>
              <w:t>Delayed Superannuation Guarantee contributions (input)</w:t>
            </w:r>
          </w:p>
        </w:tc>
        <w:tc>
          <w:tcPr>
            <w:tcW w:w="1427" w:type="dxa"/>
          </w:tcPr>
          <w:p w:rsidR="00703227" w:rsidRPr="00A76056" w:rsidRDefault="00703227" w:rsidP="00A76056">
            <w:pPr>
              <w:pStyle w:val="TableBullet"/>
              <w:numPr>
                <w:ilvl w:val="0"/>
                <w:numId w:val="0"/>
              </w:numPr>
              <w:ind w:left="33" w:hanging="33"/>
              <w:rPr>
                <w:sz w:val="20"/>
              </w:rPr>
            </w:pPr>
            <w:r w:rsidRPr="00A76056">
              <w:rPr>
                <w:sz w:val="20"/>
              </w:rPr>
              <w:t>Trend analysis</w:t>
            </w:r>
          </w:p>
        </w:tc>
        <w:tc>
          <w:tcPr>
            <w:tcW w:w="1276" w:type="dxa"/>
          </w:tcPr>
          <w:p w:rsidR="00703227" w:rsidRPr="00A76056" w:rsidRDefault="00703227" w:rsidP="00A76056">
            <w:pPr>
              <w:pStyle w:val="TableBullet"/>
              <w:numPr>
                <w:ilvl w:val="0"/>
                <w:numId w:val="0"/>
              </w:numPr>
              <w:ind w:left="34" w:hanging="34"/>
              <w:rPr>
                <w:sz w:val="20"/>
              </w:rPr>
            </w:pPr>
            <w:r w:rsidRPr="00A76056">
              <w:rPr>
                <w:sz w:val="20"/>
              </w:rPr>
              <w:t>Regulator data</w:t>
            </w:r>
          </w:p>
        </w:tc>
        <w:tc>
          <w:tcPr>
            <w:tcW w:w="6804" w:type="dxa"/>
            <w:gridSpan w:val="2"/>
          </w:tcPr>
          <w:p w:rsidR="00703227" w:rsidRPr="00A76056" w:rsidRDefault="00703227" w:rsidP="00E4684B">
            <w:pPr>
              <w:rPr>
                <w:b/>
                <w:sz w:val="24"/>
                <w:szCs w:val="24"/>
              </w:rPr>
            </w:pPr>
            <w:r w:rsidRPr="006E4B15">
              <w:rPr>
                <w:sz w:val="24"/>
                <w:szCs w:val="24"/>
              </w:rPr>
              <w:t>SUPPORT</w:t>
            </w:r>
          </w:p>
        </w:tc>
      </w:tr>
      <w:tr w:rsidR="00703227" w:rsidTr="00EF52AE">
        <w:tblPrEx>
          <w:jc w:val="left"/>
        </w:tblPrEx>
        <w:trPr>
          <w:gridAfter w:val="1"/>
          <w:wAfter w:w="483" w:type="dxa"/>
        </w:trPr>
        <w:tc>
          <w:tcPr>
            <w:tcW w:w="4952" w:type="dxa"/>
            <w:gridSpan w:val="2"/>
          </w:tcPr>
          <w:p w:rsidR="00703227" w:rsidRPr="00A76056" w:rsidRDefault="00703227" w:rsidP="00A76056">
            <w:pPr>
              <w:pStyle w:val="TableBullet"/>
              <w:numPr>
                <w:ilvl w:val="0"/>
                <w:numId w:val="0"/>
              </w:numPr>
              <w:ind w:left="170" w:hanging="170"/>
              <w:rPr>
                <w:sz w:val="22"/>
                <w:szCs w:val="22"/>
              </w:rPr>
            </w:pPr>
            <w:r>
              <w:rPr>
                <w:sz w:val="22"/>
                <w:szCs w:val="22"/>
              </w:rPr>
              <w:t xml:space="preserve">18.1.3 </w:t>
            </w:r>
            <w:r w:rsidRPr="00A76056">
              <w:rPr>
                <w:sz w:val="22"/>
                <w:szCs w:val="22"/>
              </w:rPr>
              <w:t>Number and value of lost accounts (output)</w:t>
            </w:r>
          </w:p>
        </w:tc>
        <w:tc>
          <w:tcPr>
            <w:tcW w:w="1427" w:type="dxa"/>
          </w:tcPr>
          <w:p w:rsidR="00703227" w:rsidRPr="00A76056" w:rsidRDefault="00703227" w:rsidP="00A76056">
            <w:pPr>
              <w:pStyle w:val="TableBullet"/>
              <w:numPr>
                <w:ilvl w:val="0"/>
                <w:numId w:val="0"/>
              </w:numPr>
              <w:ind w:left="33" w:hanging="33"/>
              <w:rPr>
                <w:sz w:val="20"/>
              </w:rPr>
            </w:pPr>
            <w:r w:rsidRPr="00A76056">
              <w:rPr>
                <w:sz w:val="20"/>
              </w:rPr>
              <w:t>Trend analysis</w:t>
            </w:r>
          </w:p>
        </w:tc>
        <w:tc>
          <w:tcPr>
            <w:tcW w:w="1276" w:type="dxa"/>
          </w:tcPr>
          <w:p w:rsidR="00703227" w:rsidRPr="00A76056" w:rsidRDefault="00703227" w:rsidP="00A76056">
            <w:pPr>
              <w:pStyle w:val="TableBullet"/>
              <w:numPr>
                <w:ilvl w:val="0"/>
                <w:numId w:val="0"/>
              </w:numPr>
              <w:ind w:left="34" w:hanging="34"/>
              <w:rPr>
                <w:sz w:val="20"/>
              </w:rPr>
            </w:pPr>
            <w:r w:rsidRPr="00A76056">
              <w:rPr>
                <w:sz w:val="20"/>
              </w:rPr>
              <w:t>Regulator data</w:t>
            </w:r>
          </w:p>
        </w:tc>
        <w:tc>
          <w:tcPr>
            <w:tcW w:w="6804" w:type="dxa"/>
            <w:gridSpan w:val="2"/>
          </w:tcPr>
          <w:p w:rsidR="00703227" w:rsidRPr="00A76056" w:rsidRDefault="00703227" w:rsidP="00E4684B">
            <w:pPr>
              <w:rPr>
                <w:b/>
                <w:sz w:val="24"/>
                <w:szCs w:val="24"/>
              </w:rPr>
            </w:pPr>
            <w:r w:rsidRPr="006E4B15">
              <w:rPr>
                <w:sz w:val="24"/>
                <w:szCs w:val="24"/>
              </w:rPr>
              <w:t>SUPPORT</w:t>
            </w:r>
          </w:p>
        </w:tc>
      </w:tr>
    </w:tbl>
    <w:p w:rsidR="00270C4F" w:rsidRDefault="00270C4F"/>
    <w:p w:rsidR="00270C4F" w:rsidRDefault="00270C4F"/>
    <w:tbl>
      <w:tblPr>
        <w:tblW w:w="1445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89"/>
        <w:gridCol w:w="1564"/>
        <w:gridCol w:w="1429"/>
        <w:gridCol w:w="3826"/>
        <w:gridCol w:w="2551"/>
      </w:tblGrid>
      <w:tr w:rsidR="00270C4F" w:rsidTr="00F15AC9">
        <w:trPr>
          <w:jc w:val="center"/>
        </w:trPr>
        <w:tc>
          <w:tcPr>
            <w:tcW w:w="11908" w:type="dxa"/>
            <w:gridSpan w:val="4"/>
            <w:tcBorders>
              <w:right w:val="nil"/>
            </w:tcBorders>
          </w:tcPr>
          <w:p w:rsidR="00270C4F" w:rsidRPr="00270C4F" w:rsidRDefault="00270C4F" w:rsidP="00270C4F">
            <w:pPr>
              <w:pStyle w:val="TableBullet"/>
              <w:numPr>
                <w:ilvl w:val="0"/>
                <w:numId w:val="0"/>
              </w:numPr>
              <w:rPr>
                <w:b/>
                <w:sz w:val="24"/>
                <w:szCs w:val="24"/>
              </w:rPr>
            </w:pPr>
            <w:r w:rsidRPr="00270C4F">
              <w:rPr>
                <w:b/>
                <w:sz w:val="24"/>
                <w:szCs w:val="24"/>
              </w:rPr>
              <w:t xml:space="preserve">18.2. Are member preferences and needs being met by funds collecting relevant information to ensure their product offerings are suitable for their diverse member bases? </w:t>
            </w:r>
          </w:p>
          <w:p w:rsidR="00270C4F" w:rsidRPr="00270C4F" w:rsidRDefault="00270C4F" w:rsidP="00270C4F">
            <w:pPr>
              <w:pStyle w:val="TableBullet"/>
              <w:numPr>
                <w:ilvl w:val="0"/>
                <w:numId w:val="0"/>
              </w:numPr>
              <w:ind w:left="170" w:hanging="170"/>
              <w:rPr>
                <w:i/>
                <w:sz w:val="22"/>
                <w:szCs w:val="22"/>
              </w:rPr>
            </w:pPr>
            <w:r>
              <w:rPr>
                <w:sz w:val="20"/>
              </w:rPr>
              <w:t xml:space="preserve">            </w:t>
            </w:r>
            <w:r w:rsidRPr="00270C4F">
              <w:rPr>
                <w:sz w:val="20"/>
              </w:rPr>
              <w:t xml:space="preserve">Note: </w:t>
            </w:r>
            <w:r w:rsidRPr="00270C4F">
              <w:rPr>
                <w:i/>
                <w:sz w:val="22"/>
                <w:szCs w:val="22"/>
              </w:rPr>
              <w:t xml:space="preserve">Mercer recommends this criterion be deleted – refer Attachment 2. We do not think its proposed indicators </w:t>
            </w:r>
          </w:p>
          <w:p w:rsidR="00270C4F" w:rsidRPr="00A76056" w:rsidRDefault="00270C4F" w:rsidP="00270C4F">
            <w:pPr>
              <w:pStyle w:val="TableBullet"/>
              <w:numPr>
                <w:ilvl w:val="0"/>
                <w:numId w:val="0"/>
              </w:numPr>
              <w:rPr>
                <w:sz w:val="20"/>
              </w:rPr>
            </w:pPr>
            <w:r w:rsidRPr="00270C4F">
              <w:rPr>
                <w:i/>
                <w:sz w:val="22"/>
                <w:szCs w:val="22"/>
              </w:rPr>
              <w:t xml:space="preserve">                    merit assessment under another criterion.</w:t>
            </w:r>
          </w:p>
        </w:tc>
        <w:tc>
          <w:tcPr>
            <w:tcW w:w="2551" w:type="dxa"/>
            <w:tcBorders>
              <w:left w:val="nil"/>
            </w:tcBorders>
          </w:tcPr>
          <w:p w:rsidR="00270C4F" w:rsidRDefault="00270C4F">
            <w:pPr>
              <w:rPr>
                <w:sz w:val="24"/>
                <w:szCs w:val="24"/>
              </w:rPr>
            </w:pPr>
          </w:p>
        </w:tc>
      </w:tr>
      <w:tr w:rsidR="00703227" w:rsidTr="00F15AC9">
        <w:trPr>
          <w:jc w:val="center"/>
        </w:trPr>
        <w:tc>
          <w:tcPr>
            <w:tcW w:w="5089" w:type="dxa"/>
          </w:tcPr>
          <w:p w:rsidR="00703227" w:rsidRPr="00A76056" w:rsidRDefault="00703227" w:rsidP="00A76056">
            <w:pPr>
              <w:pStyle w:val="TableBullet"/>
              <w:numPr>
                <w:ilvl w:val="0"/>
                <w:numId w:val="0"/>
              </w:numPr>
              <w:rPr>
                <w:sz w:val="22"/>
                <w:szCs w:val="22"/>
              </w:rPr>
            </w:pPr>
            <w:r>
              <w:rPr>
                <w:sz w:val="22"/>
                <w:szCs w:val="22"/>
              </w:rPr>
              <w:t xml:space="preserve">18.2.1 </w:t>
            </w:r>
            <w:r w:rsidRPr="00A76056">
              <w:rPr>
                <w:sz w:val="22"/>
                <w:szCs w:val="22"/>
              </w:rPr>
              <w:t>Information collection by funds on key member characteristics* (input)</w:t>
            </w:r>
          </w:p>
        </w:tc>
        <w:tc>
          <w:tcPr>
            <w:tcW w:w="1564" w:type="dxa"/>
          </w:tcPr>
          <w:p w:rsidR="00703227" w:rsidRPr="00A76056" w:rsidRDefault="00703227" w:rsidP="00A76056">
            <w:pPr>
              <w:pStyle w:val="TableBullet"/>
              <w:numPr>
                <w:ilvl w:val="0"/>
                <w:numId w:val="0"/>
              </w:numPr>
              <w:rPr>
                <w:sz w:val="20"/>
              </w:rPr>
            </w:pPr>
            <w:r w:rsidRPr="00A76056">
              <w:rPr>
                <w:sz w:val="20"/>
              </w:rPr>
              <w:t>Qualitative</w:t>
            </w:r>
          </w:p>
        </w:tc>
        <w:tc>
          <w:tcPr>
            <w:tcW w:w="1429" w:type="dxa"/>
          </w:tcPr>
          <w:p w:rsidR="00703227" w:rsidRPr="00A76056" w:rsidRDefault="00703227" w:rsidP="00A76056">
            <w:pPr>
              <w:pStyle w:val="TableBullet"/>
              <w:numPr>
                <w:ilvl w:val="0"/>
                <w:numId w:val="0"/>
              </w:numPr>
              <w:rPr>
                <w:sz w:val="20"/>
              </w:rPr>
            </w:pPr>
            <w:r w:rsidRPr="00A76056">
              <w:rPr>
                <w:sz w:val="20"/>
              </w:rPr>
              <w:t>Surveys</w:t>
            </w:r>
            <w:r w:rsidRPr="00A76056">
              <w:rPr>
                <w:sz w:val="20"/>
              </w:rPr>
              <w:br/>
              <w:t>case studies</w:t>
            </w:r>
          </w:p>
        </w:tc>
        <w:tc>
          <w:tcPr>
            <w:tcW w:w="6377" w:type="dxa"/>
            <w:gridSpan w:val="2"/>
          </w:tcPr>
          <w:p w:rsidR="00703227" w:rsidRPr="00A76056" w:rsidRDefault="00703227">
            <w:pPr>
              <w:rPr>
                <w:sz w:val="24"/>
                <w:szCs w:val="24"/>
              </w:rPr>
            </w:pPr>
            <w:r>
              <w:rPr>
                <w:sz w:val="24"/>
                <w:szCs w:val="24"/>
              </w:rPr>
              <w:t xml:space="preserve">DELETE – </w:t>
            </w:r>
            <w:r w:rsidR="00F17F46">
              <w:rPr>
                <w:sz w:val="24"/>
                <w:szCs w:val="24"/>
              </w:rPr>
              <w:t>see comments on indicator 1.7.</w:t>
            </w:r>
          </w:p>
        </w:tc>
      </w:tr>
      <w:tr w:rsidR="00703227" w:rsidTr="00F15AC9">
        <w:trPr>
          <w:jc w:val="center"/>
        </w:trPr>
        <w:tc>
          <w:tcPr>
            <w:tcW w:w="5089" w:type="dxa"/>
          </w:tcPr>
          <w:p w:rsidR="00703227" w:rsidRPr="00A76056" w:rsidRDefault="00703227" w:rsidP="00A76056">
            <w:pPr>
              <w:pStyle w:val="TableBullet"/>
              <w:numPr>
                <w:ilvl w:val="0"/>
                <w:numId w:val="0"/>
              </w:numPr>
              <w:rPr>
                <w:sz w:val="22"/>
                <w:szCs w:val="22"/>
              </w:rPr>
            </w:pPr>
            <w:r>
              <w:rPr>
                <w:sz w:val="22"/>
                <w:szCs w:val="22"/>
              </w:rPr>
              <w:t xml:space="preserve">18.2.2 </w:t>
            </w:r>
            <w:r w:rsidRPr="00A76056">
              <w:rPr>
                <w:sz w:val="22"/>
                <w:szCs w:val="22"/>
              </w:rPr>
              <w:t>Response rates to funds’ member surveys (behaviour)</w:t>
            </w:r>
          </w:p>
        </w:tc>
        <w:tc>
          <w:tcPr>
            <w:tcW w:w="1564" w:type="dxa"/>
          </w:tcPr>
          <w:p w:rsidR="00703227" w:rsidRPr="00A76056" w:rsidRDefault="00703227" w:rsidP="00A76056">
            <w:pPr>
              <w:pStyle w:val="TableBullet"/>
              <w:numPr>
                <w:ilvl w:val="0"/>
                <w:numId w:val="0"/>
              </w:numPr>
              <w:rPr>
                <w:sz w:val="20"/>
              </w:rPr>
            </w:pPr>
            <w:r w:rsidRPr="00A76056">
              <w:rPr>
                <w:sz w:val="20"/>
              </w:rPr>
              <w:t>Trend analysis</w:t>
            </w:r>
          </w:p>
        </w:tc>
        <w:tc>
          <w:tcPr>
            <w:tcW w:w="1429" w:type="dxa"/>
          </w:tcPr>
          <w:p w:rsidR="00703227" w:rsidRPr="00A76056" w:rsidRDefault="00703227" w:rsidP="00A76056">
            <w:pPr>
              <w:pStyle w:val="TableBullet"/>
              <w:numPr>
                <w:ilvl w:val="0"/>
                <w:numId w:val="0"/>
              </w:numPr>
              <w:rPr>
                <w:sz w:val="20"/>
              </w:rPr>
            </w:pPr>
            <w:r w:rsidRPr="00A76056">
              <w:rPr>
                <w:sz w:val="20"/>
              </w:rPr>
              <w:t>Surveys; Industry data</w:t>
            </w:r>
          </w:p>
        </w:tc>
        <w:tc>
          <w:tcPr>
            <w:tcW w:w="6377" w:type="dxa"/>
            <w:gridSpan w:val="2"/>
          </w:tcPr>
          <w:p w:rsidR="0030685F" w:rsidRDefault="00703227" w:rsidP="0030685F">
            <w:r>
              <w:t xml:space="preserve">DELETE: </w:t>
            </w:r>
            <w:r w:rsidRPr="00CF0CE6">
              <w:t xml:space="preserve">Response rates to member surveys” is a problematic indicator for a criterion that </w:t>
            </w:r>
            <w:r w:rsidRPr="005260CF">
              <w:t xml:space="preserve">measures </w:t>
            </w:r>
            <w:r w:rsidR="0030685F" w:rsidRPr="005260CF">
              <w:t>funds’</w:t>
            </w:r>
            <w:r w:rsidR="0030685F">
              <w:rPr>
                <w:i/>
              </w:rPr>
              <w:t xml:space="preserve"> </w:t>
            </w:r>
            <w:r w:rsidRPr="00CF0CE6">
              <w:t xml:space="preserve">responsiveness. </w:t>
            </w:r>
            <w:r w:rsidR="0030685F">
              <w:t>Response rates may be affected by a range of factors outside the control of funds such as financial literacy, interest and private attitudes to surveys.</w:t>
            </w:r>
          </w:p>
          <w:p w:rsidR="00703227" w:rsidRPr="00A76056" w:rsidRDefault="00703227" w:rsidP="0030685F">
            <w:pPr>
              <w:rPr>
                <w:sz w:val="24"/>
                <w:szCs w:val="24"/>
              </w:rPr>
            </w:pPr>
            <w:r w:rsidRPr="00CF0CE6">
              <w:t xml:space="preserve"> </w:t>
            </w:r>
          </w:p>
        </w:tc>
      </w:tr>
    </w:tbl>
    <w:p w:rsidR="00270C4F" w:rsidRDefault="00270C4F"/>
    <w:tbl>
      <w:tblPr>
        <w:tblW w:w="1445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
        <w:gridCol w:w="5057"/>
        <w:gridCol w:w="1564"/>
        <w:gridCol w:w="1559"/>
        <w:gridCol w:w="4376"/>
        <w:gridCol w:w="1871"/>
      </w:tblGrid>
      <w:tr w:rsidR="007853B8" w:rsidTr="00F15AC9">
        <w:trPr>
          <w:jc w:val="center"/>
        </w:trPr>
        <w:tc>
          <w:tcPr>
            <w:tcW w:w="12588" w:type="dxa"/>
            <w:gridSpan w:val="5"/>
            <w:tcBorders>
              <w:right w:val="nil"/>
            </w:tcBorders>
          </w:tcPr>
          <w:p w:rsidR="007853B8" w:rsidRPr="00A76056" w:rsidRDefault="00270C4F" w:rsidP="00A76056">
            <w:pPr>
              <w:pStyle w:val="TableBullet"/>
              <w:numPr>
                <w:ilvl w:val="0"/>
                <w:numId w:val="0"/>
              </w:numPr>
              <w:rPr>
                <w:sz w:val="20"/>
              </w:rPr>
            </w:pPr>
            <w:r>
              <w:rPr>
                <w:rFonts w:cs="Arial"/>
                <w:sz w:val="22"/>
                <w:lang w:eastAsia="en-US"/>
              </w:rPr>
              <w:lastRenderedPageBreak/>
              <w:br w:type="page"/>
            </w:r>
            <w:r w:rsidR="007853B8">
              <w:rPr>
                <w:b/>
                <w:sz w:val="24"/>
                <w:szCs w:val="24"/>
              </w:rPr>
              <w:t>18.3</w:t>
            </w:r>
            <w:r w:rsidR="007853B8" w:rsidRPr="00A76056">
              <w:rPr>
                <w:b/>
                <w:sz w:val="24"/>
                <w:szCs w:val="24"/>
              </w:rPr>
              <w:t xml:space="preserve">. Are member preferences and needs being met by the system providing high-quality information and financial advice to members to help them make decisions? </w:t>
            </w:r>
          </w:p>
        </w:tc>
        <w:tc>
          <w:tcPr>
            <w:tcW w:w="1871" w:type="dxa"/>
            <w:tcBorders>
              <w:left w:val="nil"/>
            </w:tcBorders>
          </w:tcPr>
          <w:p w:rsidR="007853B8" w:rsidRDefault="007853B8" w:rsidP="00910940"/>
        </w:tc>
      </w:tr>
      <w:tr w:rsidR="00703227" w:rsidTr="00F15AC9">
        <w:trPr>
          <w:gridBefore w:val="1"/>
          <w:wBefore w:w="32" w:type="dxa"/>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18.3.1 </w:t>
            </w:r>
            <w:r w:rsidRPr="00A76056">
              <w:rPr>
                <w:sz w:val="22"/>
                <w:szCs w:val="22"/>
              </w:rPr>
              <w:t>Availability, cost and quality of information on fees and investment risks at product level* (input)</w:t>
            </w:r>
          </w:p>
        </w:tc>
        <w:tc>
          <w:tcPr>
            <w:tcW w:w="1564" w:type="dxa"/>
          </w:tcPr>
          <w:p w:rsidR="00703227" w:rsidRPr="00A76056" w:rsidRDefault="00703227" w:rsidP="00A76056">
            <w:pPr>
              <w:pStyle w:val="TableBullet"/>
              <w:numPr>
                <w:ilvl w:val="0"/>
                <w:numId w:val="0"/>
              </w:numPr>
              <w:rPr>
                <w:szCs w:val="18"/>
              </w:rPr>
            </w:pPr>
            <w:r w:rsidRPr="00A76056">
              <w:rPr>
                <w:szCs w:val="18"/>
              </w:rPr>
              <w:t>Trend analysis; qualitative</w:t>
            </w:r>
          </w:p>
        </w:tc>
        <w:tc>
          <w:tcPr>
            <w:tcW w:w="1559" w:type="dxa"/>
          </w:tcPr>
          <w:p w:rsidR="00703227" w:rsidRPr="00A76056" w:rsidRDefault="00703227" w:rsidP="00A76056">
            <w:pPr>
              <w:pStyle w:val="TableBullet"/>
              <w:numPr>
                <w:ilvl w:val="0"/>
                <w:numId w:val="0"/>
              </w:numPr>
              <w:rPr>
                <w:szCs w:val="18"/>
              </w:rPr>
            </w:pPr>
            <w:r w:rsidRPr="00A76056">
              <w:rPr>
                <w:szCs w:val="18"/>
              </w:rPr>
              <w:t>Surveys</w:t>
            </w:r>
            <w:r w:rsidRPr="00A76056">
              <w:rPr>
                <w:szCs w:val="18"/>
              </w:rPr>
              <w:br/>
              <w:t>Industry data</w:t>
            </w:r>
          </w:p>
        </w:tc>
        <w:tc>
          <w:tcPr>
            <w:tcW w:w="6247" w:type="dxa"/>
            <w:gridSpan w:val="2"/>
          </w:tcPr>
          <w:p w:rsidR="0030685F" w:rsidRPr="00A76056" w:rsidRDefault="00703227" w:rsidP="00AE32AE">
            <w:pPr>
              <w:rPr>
                <w:sz w:val="24"/>
                <w:szCs w:val="24"/>
              </w:rPr>
            </w:pPr>
            <w:r>
              <w:rPr>
                <w:sz w:val="24"/>
                <w:szCs w:val="24"/>
              </w:rPr>
              <w:t xml:space="preserve">QUALIFIED SUPPORT: </w:t>
            </w:r>
            <w:r w:rsidRPr="00A76056">
              <w:rPr>
                <w:sz w:val="24"/>
                <w:szCs w:val="24"/>
              </w:rPr>
              <w:t>W</w:t>
            </w:r>
            <w:r w:rsidR="0030685F">
              <w:rPr>
                <w:sz w:val="24"/>
                <w:szCs w:val="24"/>
              </w:rPr>
              <w:t xml:space="preserve">e feel </w:t>
            </w:r>
            <w:r w:rsidRPr="00A76056">
              <w:rPr>
                <w:sz w:val="24"/>
                <w:szCs w:val="24"/>
              </w:rPr>
              <w:t xml:space="preserve">this criterion </w:t>
            </w:r>
            <w:r w:rsidR="0030685F">
              <w:rPr>
                <w:sz w:val="24"/>
                <w:szCs w:val="24"/>
              </w:rPr>
              <w:t>should assess</w:t>
            </w:r>
            <w:r w:rsidRPr="00A76056">
              <w:rPr>
                <w:sz w:val="24"/>
                <w:szCs w:val="24"/>
              </w:rPr>
              <w:t xml:space="preserve"> information on investment returns as well as risks</w:t>
            </w:r>
            <w:r w:rsidR="00C11401">
              <w:rPr>
                <w:sz w:val="24"/>
                <w:szCs w:val="24"/>
              </w:rPr>
              <w:t>. Also, w</w:t>
            </w:r>
            <w:r w:rsidRPr="00A76056">
              <w:rPr>
                <w:sz w:val="24"/>
                <w:szCs w:val="24"/>
              </w:rPr>
              <w:t>hy are insurance arrangements not relevant (admittedly these are more complex and not included in product dashboards)? We presume the Commission will source this data from publicly available information, such as fund websites</w:t>
            </w:r>
            <w:r w:rsidR="0030685F">
              <w:rPr>
                <w:sz w:val="24"/>
                <w:szCs w:val="24"/>
              </w:rPr>
              <w:t>.</w:t>
            </w:r>
          </w:p>
        </w:tc>
      </w:tr>
      <w:tr w:rsidR="00703227" w:rsidTr="00F15AC9">
        <w:trPr>
          <w:gridBefore w:val="1"/>
          <w:wBefore w:w="32" w:type="dxa"/>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18.3.2 </w:t>
            </w:r>
            <w:r w:rsidRPr="00A76056">
              <w:rPr>
                <w:sz w:val="22"/>
                <w:szCs w:val="22"/>
              </w:rPr>
              <w:t>Members acting on intrafund financial advice (behaviour)</w:t>
            </w:r>
          </w:p>
        </w:tc>
        <w:tc>
          <w:tcPr>
            <w:tcW w:w="1564"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rPr>
                <w:szCs w:val="18"/>
              </w:rPr>
            </w:pPr>
            <w:r w:rsidRPr="00A76056">
              <w:rPr>
                <w:szCs w:val="18"/>
              </w:rPr>
              <w:t>Surveys</w:t>
            </w:r>
          </w:p>
        </w:tc>
        <w:tc>
          <w:tcPr>
            <w:tcW w:w="6247" w:type="dxa"/>
            <w:gridSpan w:val="2"/>
          </w:tcPr>
          <w:p w:rsidR="00703227" w:rsidRDefault="00703227" w:rsidP="00BF1E61">
            <w:pPr>
              <w:rPr>
                <w:sz w:val="24"/>
                <w:szCs w:val="24"/>
              </w:rPr>
            </w:pPr>
            <w:r>
              <w:rPr>
                <w:sz w:val="24"/>
                <w:szCs w:val="24"/>
              </w:rPr>
              <w:t xml:space="preserve">QUALIFIED SUPPORT: </w:t>
            </w:r>
            <w:r w:rsidR="003D2D7A">
              <w:rPr>
                <w:sz w:val="24"/>
                <w:szCs w:val="24"/>
              </w:rPr>
              <w:t>We note that m</w:t>
            </w:r>
            <w:r>
              <w:rPr>
                <w:sz w:val="24"/>
                <w:szCs w:val="24"/>
              </w:rPr>
              <w:t xml:space="preserve">embers may be satisfied with their current arrangements </w:t>
            </w:r>
            <w:r w:rsidR="003D2D7A">
              <w:rPr>
                <w:sz w:val="24"/>
                <w:szCs w:val="24"/>
              </w:rPr>
              <w:t xml:space="preserve">after </w:t>
            </w:r>
            <w:r>
              <w:rPr>
                <w:sz w:val="24"/>
                <w:szCs w:val="24"/>
              </w:rPr>
              <w:t>receiving intra-fund advice</w:t>
            </w:r>
            <w:r w:rsidR="003D2D7A">
              <w:rPr>
                <w:sz w:val="24"/>
                <w:szCs w:val="24"/>
              </w:rPr>
              <w:t xml:space="preserve">, which would </w:t>
            </w:r>
            <w:r>
              <w:rPr>
                <w:sz w:val="24"/>
                <w:szCs w:val="24"/>
              </w:rPr>
              <w:t xml:space="preserve">not </w:t>
            </w:r>
            <w:r w:rsidR="003D2D7A">
              <w:rPr>
                <w:sz w:val="24"/>
                <w:szCs w:val="24"/>
              </w:rPr>
              <w:t xml:space="preserve">be </w:t>
            </w:r>
            <w:r>
              <w:rPr>
                <w:sz w:val="24"/>
                <w:szCs w:val="24"/>
              </w:rPr>
              <w:t>account</w:t>
            </w:r>
            <w:r w:rsidR="003D2D7A">
              <w:rPr>
                <w:sz w:val="24"/>
                <w:szCs w:val="24"/>
              </w:rPr>
              <w:t>ed</w:t>
            </w:r>
            <w:r>
              <w:rPr>
                <w:sz w:val="24"/>
                <w:szCs w:val="24"/>
              </w:rPr>
              <w:t xml:space="preserve"> for </w:t>
            </w:r>
            <w:r w:rsidR="003D2D7A">
              <w:rPr>
                <w:sz w:val="24"/>
                <w:szCs w:val="24"/>
              </w:rPr>
              <w:t xml:space="preserve">by this indicator. </w:t>
            </w:r>
            <w:r>
              <w:rPr>
                <w:sz w:val="24"/>
                <w:szCs w:val="24"/>
              </w:rPr>
              <w:t>Also i</w:t>
            </w:r>
            <w:r w:rsidRPr="00A76056">
              <w:rPr>
                <w:sz w:val="24"/>
                <w:szCs w:val="24"/>
              </w:rPr>
              <w:t>t must be recognised that the behaviour of members will be influenced by many factors including their age, balance</w:t>
            </w:r>
            <w:r w:rsidR="003D2D7A">
              <w:rPr>
                <w:sz w:val="24"/>
                <w:szCs w:val="24"/>
              </w:rPr>
              <w:t xml:space="preserve"> and</w:t>
            </w:r>
            <w:r w:rsidRPr="00A76056">
              <w:rPr>
                <w:sz w:val="24"/>
                <w:szCs w:val="24"/>
              </w:rPr>
              <w:t xml:space="preserve"> education as well as external</w:t>
            </w:r>
            <w:r w:rsidR="003D2D7A">
              <w:rPr>
                <w:sz w:val="24"/>
                <w:szCs w:val="24"/>
              </w:rPr>
              <w:t xml:space="preserve"> economic</w:t>
            </w:r>
            <w:r w:rsidRPr="00A76056">
              <w:rPr>
                <w:sz w:val="24"/>
                <w:szCs w:val="24"/>
              </w:rPr>
              <w:t xml:space="preserve"> events. Hence comparisons between funds or over time are problematic.</w:t>
            </w:r>
          </w:p>
          <w:p w:rsidR="00703227" w:rsidRDefault="00703227" w:rsidP="00BF1E61">
            <w:pPr>
              <w:rPr>
                <w:sz w:val="24"/>
                <w:szCs w:val="24"/>
              </w:rPr>
            </w:pPr>
          </w:p>
          <w:p w:rsidR="00703227" w:rsidRDefault="00703227" w:rsidP="00BF1E61">
            <w:pPr>
              <w:rPr>
                <w:sz w:val="24"/>
                <w:szCs w:val="24"/>
              </w:rPr>
            </w:pPr>
            <w:r>
              <w:rPr>
                <w:sz w:val="24"/>
                <w:szCs w:val="24"/>
              </w:rPr>
              <w:t xml:space="preserve">Furthermore </w:t>
            </w:r>
            <w:r w:rsidRPr="00326FF3">
              <w:rPr>
                <w:sz w:val="24"/>
                <w:szCs w:val="24"/>
              </w:rPr>
              <w:t xml:space="preserve">members want to access a range of financial advice of different levels of scope and complexity at different times. </w:t>
            </w:r>
            <w:r>
              <w:rPr>
                <w:sz w:val="24"/>
                <w:szCs w:val="24"/>
              </w:rPr>
              <w:t>Consideration should be given to adding an indicato</w:t>
            </w:r>
            <w:r w:rsidRPr="00326FF3">
              <w:rPr>
                <w:sz w:val="24"/>
                <w:szCs w:val="24"/>
              </w:rPr>
              <w:t>r</w:t>
            </w:r>
            <w:r>
              <w:rPr>
                <w:sz w:val="24"/>
                <w:szCs w:val="24"/>
              </w:rPr>
              <w:t xml:space="preserve"> </w:t>
            </w:r>
            <w:r w:rsidRPr="00326FF3">
              <w:rPr>
                <w:sz w:val="24"/>
                <w:szCs w:val="24"/>
              </w:rPr>
              <w:t>to assess whether a fund member can efficiently access the level of advice they need each time they need something different.</w:t>
            </w:r>
          </w:p>
          <w:p w:rsidR="00703227" w:rsidRPr="00A76056" w:rsidRDefault="00703227" w:rsidP="00BF1E61">
            <w:pPr>
              <w:rPr>
                <w:sz w:val="24"/>
                <w:szCs w:val="24"/>
              </w:rPr>
            </w:pPr>
          </w:p>
        </w:tc>
      </w:tr>
      <w:tr w:rsidR="00703227" w:rsidTr="00F15AC9">
        <w:trPr>
          <w:gridBefore w:val="1"/>
          <w:wBefore w:w="32" w:type="dxa"/>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18.3.3 </w:t>
            </w:r>
            <w:r w:rsidRPr="00A76056">
              <w:rPr>
                <w:sz w:val="22"/>
                <w:szCs w:val="22"/>
              </w:rPr>
              <w:t>Member account monitoring activity (use of websites, call centre enquiries)* (input behaviour)</w:t>
            </w:r>
          </w:p>
        </w:tc>
        <w:tc>
          <w:tcPr>
            <w:tcW w:w="1564"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rPr>
                <w:szCs w:val="18"/>
              </w:rPr>
            </w:pPr>
            <w:r w:rsidRPr="00A76056">
              <w:rPr>
                <w:szCs w:val="18"/>
              </w:rPr>
              <w:t>Surveys</w:t>
            </w:r>
            <w:r w:rsidRPr="00A76056">
              <w:rPr>
                <w:szCs w:val="18"/>
              </w:rPr>
              <w:br/>
              <w:t>Industry data</w:t>
            </w:r>
          </w:p>
        </w:tc>
        <w:tc>
          <w:tcPr>
            <w:tcW w:w="6247" w:type="dxa"/>
            <w:gridSpan w:val="2"/>
          </w:tcPr>
          <w:p w:rsidR="00703227" w:rsidRPr="00A76056" w:rsidRDefault="00703227" w:rsidP="00E4684B">
            <w:pPr>
              <w:rPr>
                <w:sz w:val="24"/>
                <w:szCs w:val="24"/>
              </w:rPr>
            </w:pPr>
            <w:r>
              <w:rPr>
                <w:sz w:val="24"/>
                <w:szCs w:val="24"/>
              </w:rPr>
              <w:t>SUPPORT</w:t>
            </w:r>
          </w:p>
        </w:tc>
      </w:tr>
      <w:tr w:rsidR="00703227" w:rsidTr="00F15AC9">
        <w:trPr>
          <w:gridBefore w:val="1"/>
          <w:wBefore w:w="32" w:type="dxa"/>
          <w:jc w:val="center"/>
        </w:trPr>
        <w:tc>
          <w:tcPr>
            <w:tcW w:w="5057" w:type="dxa"/>
          </w:tcPr>
          <w:p w:rsidR="00703227" w:rsidRPr="00A76056" w:rsidRDefault="00854544" w:rsidP="00A76056">
            <w:pPr>
              <w:pStyle w:val="TableBullet"/>
              <w:numPr>
                <w:ilvl w:val="0"/>
                <w:numId w:val="0"/>
              </w:numPr>
              <w:rPr>
                <w:sz w:val="22"/>
                <w:szCs w:val="22"/>
              </w:rPr>
            </w:pPr>
            <w:r>
              <w:rPr>
                <w:sz w:val="22"/>
                <w:szCs w:val="22"/>
              </w:rPr>
              <w:lastRenderedPageBreak/>
              <w:t xml:space="preserve">18.3.4 </w:t>
            </w:r>
            <w:r w:rsidR="00703227" w:rsidRPr="00A76056">
              <w:rPr>
                <w:sz w:val="22"/>
                <w:szCs w:val="22"/>
              </w:rPr>
              <w:t>Cost of funds’ member engagement activities (input)</w:t>
            </w:r>
          </w:p>
        </w:tc>
        <w:tc>
          <w:tcPr>
            <w:tcW w:w="1564"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rPr>
                <w:szCs w:val="18"/>
              </w:rPr>
            </w:pPr>
            <w:r w:rsidRPr="00A76056">
              <w:rPr>
                <w:szCs w:val="18"/>
              </w:rPr>
              <w:t>Surveys</w:t>
            </w:r>
          </w:p>
        </w:tc>
        <w:tc>
          <w:tcPr>
            <w:tcW w:w="6247" w:type="dxa"/>
            <w:gridSpan w:val="2"/>
          </w:tcPr>
          <w:p w:rsidR="00703227" w:rsidRPr="00A76056" w:rsidRDefault="00703227" w:rsidP="00716F93">
            <w:pPr>
              <w:rPr>
                <w:sz w:val="24"/>
                <w:szCs w:val="24"/>
              </w:rPr>
            </w:pPr>
            <w:r>
              <w:rPr>
                <w:sz w:val="24"/>
                <w:szCs w:val="24"/>
              </w:rPr>
              <w:t xml:space="preserve">DELETE: </w:t>
            </w:r>
            <w:r w:rsidRPr="00A76056">
              <w:rPr>
                <w:sz w:val="24"/>
                <w:szCs w:val="24"/>
              </w:rPr>
              <w:t xml:space="preserve">The merits of this indicator for this criterion are not obvious. High expenditure on member engagement activities does not necessarily translate as “high quality information and financial advice”. Survey responses on the quality of information about fees </w:t>
            </w:r>
            <w:r w:rsidR="004A2E15" w:rsidRPr="00A76056">
              <w:rPr>
                <w:sz w:val="24"/>
                <w:szCs w:val="24"/>
              </w:rPr>
              <w:t>etc.</w:t>
            </w:r>
            <w:r w:rsidRPr="00A76056">
              <w:rPr>
                <w:sz w:val="24"/>
                <w:szCs w:val="24"/>
              </w:rPr>
              <w:t xml:space="preserve"> (i.e. the first indicator) would seem a better indicator for this criterion rather than raw expenditure. We therefore recommend deleting this Indicator.</w:t>
            </w:r>
          </w:p>
          <w:p w:rsidR="00703227" w:rsidRPr="00A76056" w:rsidRDefault="00703227" w:rsidP="003D2D7A">
            <w:pPr>
              <w:rPr>
                <w:sz w:val="24"/>
                <w:szCs w:val="24"/>
              </w:rPr>
            </w:pPr>
          </w:p>
        </w:tc>
      </w:tr>
      <w:tr w:rsidR="00703227" w:rsidTr="00F15AC9">
        <w:trPr>
          <w:gridBefore w:val="1"/>
          <w:wBefore w:w="32" w:type="dxa"/>
          <w:jc w:val="center"/>
        </w:trPr>
        <w:tc>
          <w:tcPr>
            <w:tcW w:w="5057" w:type="dxa"/>
          </w:tcPr>
          <w:p w:rsidR="00703227" w:rsidRPr="00A76056" w:rsidRDefault="00703227" w:rsidP="00A76056">
            <w:pPr>
              <w:pStyle w:val="TableBullet"/>
              <w:numPr>
                <w:ilvl w:val="0"/>
                <w:numId w:val="0"/>
              </w:numPr>
              <w:rPr>
                <w:sz w:val="22"/>
                <w:szCs w:val="22"/>
              </w:rPr>
            </w:pPr>
            <w:r>
              <w:rPr>
                <w:sz w:val="22"/>
                <w:szCs w:val="22"/>
              </w:rPr>
              <w:t>18.3.</w:t>
            </w:r>
            <w:r w:rsidR="00854544">
              <w:rPr>
                <w:sz w:val="22"/>
                <w:szCs w:val="22"/>
              </w:rPr>
              <w:t>5</w:t>
            </w:r>
            <w:r>
              <w:rPr>
                <w:sz w:val="22"/>
                <w:szCs w:val="22"/>
              </w:rPr>
              <w:t xml:space="preserve"> </w:t>
            </w:r>
            <w:r w:rsidRPr="00A76056">
              <w:rPr>
                <w:sz w:val="22"/>
                <w:szCs w:val="22"/>
              </w:rPr>
              <w:t>Take-up rates of co-contributions and offsets (input)</w:t>
            </w:r>
          </w:p>
        </w:tc>
        <w:tc>
          <w:tcPr>
            <w:tcW w:w="1564"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rPr>
                <w:szCs w:val="18"/>
              </w:rPr>
            </w:pPr>
            <w:r w:rsidRPr="00A76056">
              <w:rPr>
                <w:szCs w:val="18"/>
              </w:rPr>
              <w:t>Regulator data</w:t>
            </w:r>
          </w:p>
        </w:tc>
        <w:tc>
          <w:tcPr>
            <w:tcW w:w="6247" w:type="dxa"/>
            <w:gridSpan w:val="2"/>
          </w:tcPr>
          <w:p w:rsidR="00703227" w:rsidRDefault="00703227" w:rsidP="00BF1E61">
            <w:pPr>
              <w:rPr>
                <w:sz w:val="24"/>
                <w:szCs w:val="24"/>
              </w:rPr>
            </w:pPr>
            <w:r>
              <w:rPr>
                <w:sz w:val="24"/>
                <w:szCs w:val="24"/>
              </w:rPr>
              <w:t xml:space="preserve">DELETE: </w:t>
            </w:r>
            <w:r w:rsidRPr="00A76056">
              <w:rPr>
                <w:sz w:val="24"/>
                <w:szCs w:val="24"/>
              </w:rPr>
              <w:t>We recommend deletion of this indicator as the level of voluntary contributions is influenced by many factors, including those external to the industry.</w:t>
            </w:r>
          </w:p>
          <w:p w:rsidR="003D2D7A" w:rsidRPr="00A76056" w:rsidRDefault="003D2D7A" w:rsidP="00BF1E61">
            <w:pPr>
              <w:rPr>
                <w:sz w:val="24"/>
                <w:szCs w:val="24"/>
              </w:rPr>
            </w:pPr>
          </w:p>
        </w:tc>
      </w:tr>
    </w:tbl>
    <w:p w:rsidR="00270C4F" w:rsidRDefault="00270C4F"/>
    <w:tbl>
      <w:tblPr>
        <w:tblW w:w="1452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5187"/>
        <w:gridCol w:w="1559"/>
        <w:gridCol w:w="1559"/>
        <w:gridCol w:w="3585"/>
        <w:gridCol w:w="1863"/>
        <w:gridCol w:w="379"/>
      </w:tblGrid>
      <w:tr w:rsidR="007853B8" w:rsidTr="00402DE3">
        <w:trPr>
          <w:gridAfter w:val="1"/>
          <w:wAfter w:w="379" w:type="dxa"/>
        </w:trPr>
        <w:tc>
          <w:tcPr>
            <w:tcW w:w="12281" w:type="dxa"/>
            <w:gridSpan w:val="5"/>
            <w:tcBorders>
              <w:right w:val="nil"/>
            </w:tcBorders>
          </w:tcPr>
          <w:p w:rsidR="007853B8" w:rsidRPr="00A76056" w:rsidRDefault="00270C4F" w:rsidP="00A76056">
            <w:pPr>
              <w:pStyle w:val="TableBullet"/>
              <w:numPr>
                <w:ilvl w:val="0"/>
                <w:numId w:val="0"/>
              </w:numPr>
              <w:rPr>
                <w:szCs w:val="18"/>
              </w:rPr>
            </w:pPr>
            <w:r>
              <w:rPr>
                <w:rFonts w:cs="Arial"/>
                <w:sz w:val="22"/>
                <w:lang w:eastAsia="en-US"/>
              </w:rPr>
              <w:lastRenderedPageBreak/>
              <w:br w:type="page"/>
            </w:r>
            <w:r w:rsidR="007853B8">
              <w:rPr>
                <w:b/>
                <w:sz w:val="24"/>
                <w:szCs w:val="24"/>
              </w:rPr>
              <w:t>18.4</w:t>
            </w:r>
            <w:r w:rsidR="007853B8" w:rsidRPr="00A76056">
              <w:rPr>
                <w:b/>
                <w:sz w:val="24"/>
                <w:szCs w:val="24"/>
              </w:rPr>
              <w:t>. Are member preferences and needs being met by the system providing products and information to help members optimally consume their retirement incomes?</w:t>
            </w:r>
          </w:p>
        </w:tc>
        <w:tc>
          <w:tcPr>
            <w:tcW w:w="1863" w:type="dxa"/>
            <w:tcBorders>
              <w:left w:val="nil"/>
            </w:tcBorders>
          </w:tcPr>
          <w:p w:rsidR="007853B8" w:rsidRDefault="007853B8" w:rsidP="00BF1E61">
            <w:pPr>
              <w:rPr>
                <w:sz w:val="24"/>
                <w:szCs w:val="24"/>
              </w:rPr>
            </w:pPr>
          </w:p>
        </w:tc>
      </w:tr>
      <w:tr w:rsidR="00703227" w:rsidTr="00402DE3">
        <w:tblPrEx>
          <w:jc w:val="center"/>
        </w:tblPrEx>
        <w:trPr>
          <w:gridBefore w:val="1"/>
          <w:wBefore w:w="391" w:type="dxa"/>
          <w:jc w:val="center"/>
        </w:trPr>
        <w:tc>
          <w:tcPr>
            <w:tcW w:w="5187" w:type="dxa"/>
          </w:tcPr>
          <w:p w:rsidR="00703227" w:rsidRPr="00A76056" w:rsidRDefault="00703227" w:rsidP="00A76056">
            <w:pPr>
              <w:pStyle w:val="TableBullet"/>
              <w:numPr>
                <w:ilvl w:val="0"/>
                <w:numId w:val="0"/>
              </w:numPr>
              <w:rPr>
                <w:sz w:val="22"/>
                <w:szCs w:val="22"/>
              </w:rPr>
            </w:pPr>
            <w:r>
              <w:rPr>
                <w:sz w:val="22"/>
                <w:szCs w:val="22"/>
              </w:rPr>
              <w:t xml:space="preserve">18.4.1 </w:t>
            </w:r>
            <w:r w:rsidRPr="00A76056">
              <w:rPr>
                <w:sz w:val="22"/>
                <w:szCs w:val="22"/>
              </w:rPr>
              <w:t>Introduction of new retirement income products and development of more tailored default products* (output)</w:t>
            </w: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 Qualitative</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 xml:space="preserve">Surveys </w:t>
            </w:r>
            <w:r w:rsidRPr="00A76056">
              <w:rPr>
                <w:szCs w:val="18"/>
              </w:rPr>
              <w:br/>
              <w:t>Industry data</w:t>
            </w:r>
          </w:p>
        </w:tc>
        <w:tc>
          <w:tcPr>
            <w:tcW w:w="5827" w:type="dxa"/>
            <w:gridSpan w:val="3"/>
          </w:tcPr>
          <w:p w:rsidR="00703227" w:rsidRDefault="00703227" w:rsidP="00547803">
            <w:pPr>
              <w:rPr>
                <w:sz w:val="24"/>
                <w:szCs w:val="24"/>
              </w:rPr>
            </w:pPr>
            <w:r>
              <w:rPr>
                <w:sz w:val="24"/>
                <w:szCs w:val="24"/>
              </w:rPr>
              <w:t>QUALIFIED SUPPORT:  I</w:t>
            </w:r>
            <w:r w:rsidRPr="00A76056">
              <w:rPr>
                <w:sz w:val="24"/>
                <w:szCs w:val="24"/>
              </w:rPr>
              <w:t>t should be recognised that under current legislation there is not a default retirement income product</w:t>
            </w:r>
            <w:r>
              <w:rPr>
                <w:sz w:val="24"/>
                <w:szCs w:val="24"/>
              </w:rPr>
              <w:t>, not is it proposed that there will be in future (CIPRs are expected to be opt-in products).</w:t>
            </w:r>
          </w:p>
          <w:p w:rsidR="00703227" w:rsidRPr="00A76056" w:rsidRDefault="00703227" w:rsidP="00547803">
            <w:pPr>
              <w:rPr>
                <w:b/>
                <w:sz w:val="24"/>
                <w:szCs w:val="24"/>
              </w:rPr>
            </w:pPr>
          </w:p>
        </w:tc>
      </w:tr>
      <w:tr w:rsidR="00703227" w:rsidTr="00402DE3">
        <w:tblPrEx>
          <w:jc w:val="center"/>
        </w:tblPrEx>
        <w:trPr>
          <w:gridBefore w:val="1"/>
          <w:wBefore w:w="391" w:type="dxa"/>
          <w:jc w:val="center"/>
        </w:trPr>
        <w:tc>
          <w:tcPr>
            <w:tcW w:w="5187" w:type="dxa"/>
          </w:tcPr>
          <w:p w:rsidR="00703227" w:rsidRPr="00A76056" w:rsidRDefault="00703227" w:rsidP="00A76056">
            <w:pPr>
              <w:pStyle w:val="TableBullet"/>
              <w:numPr>
                <w:ilvl w:val="0"/>
                <w:numId w:val="0"/>
              </w:numPr>
              <w:rPr>
                <w:sz w:val="22"/>
                <w:szCs w:val="22"/>
              </w:rPr>
            </w:pPr>
            <w:r>
              <w:rPr>
                <w:sz w:val="22"/>
                <w:szCs w:val="22"/>
              </w:rPr>
              <w:t xml:space="preserve">18.4.2 </w:t>
            </w:r>
            <w:r w:rsidRPr="00A76056">
              <w:rPr>
                <w:sz w:val="22"/>
                <w:szCs w:val="22"/>
              </w:rPr>
              <w:t>Take up of different retirement income products (output)</w:t>
            </w: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 xml:space="preserve">Surveys </w:t>
            </w:r>
            <w:r w:rsidRPr="00A76056">
              <w:rPr>
                <w:szCs w:val="18"/>
              </w:rPr>
              <w:br/>
              <w:t>Regulator data</w:t>
            </w:r>
          </w:p>
        </w:tc>
        <w:tc>
          <w:tcPr>
            <w:tcW w:w="5827" w:type="dxa"/>
            <w:gridSpan w:val="3"/>
          </w:tcPr>
          <w:p w:rsidR="00703227" w:rsidRDefault="00703227" w:rsidP="00BF1E61">
            <w:pPr>
              <w:rPr>
                <w:sz w:val="24"/>
                <w:szCs w:val="24"/>
              </w:rPr>
            </w:pPr>
            <w:r>
              <w:rPr>
                <w:sz w:val="24"/>
                <w:szCs w:val="24"/>
              </w:rPr>
              <w:t>SUPPORT: We suggest th</w:t>
            </w:r>
            <w:r w:rsidR="003D2D7A">
              <w:rPr>
                <w:sz w:val="24"/>
                <w:szCs w:val="24"/>
              </w:rPr>
              <w:t>at the assessment for this indicator</w:t>
            </w:r>
            <w:r>
              <w:rPr>
                <w:sz w:val="24"/>
                <w:szCs w:val="24"/>
              </w:rPr>
              <w:t xml:space="preserve"> should </w:t>
            </w:r>
            <w:r w:rsidR="003D2D7A">
              <w:rPr>
                <w:sz w:val="24"/>
                <w:szCs w:val="24"/>
              </w:rPr>
              <w:t>examine</w:t>
            </w:r>
            <w:r>
              <w:rPr>
                <w:sz w:val="24"/>
                <w:szCs w:val="24"/>
              </w:rPr>
              <w:t xml:space="preserve"> the extent to which retirees choose income products offered by their growth-phase fund, as this would seem to be more efficient than switching to another fund’s product.</w:t>
            </w:r>
          </w:p>
          <w:p w:rsidR="00703227" w:rsidRDefault="00703227" w:rsidP="00BF1E61">
            <w:pPr>
              <w:rPr>
                <w:sz w:val="24"/>
                <w:szCs w:val="24"/>
              </w:rPr>
            </w:pPr>
          </w:p>
          <w:p w:rsidR="00703227" w:rsidRDefault="00703227" w:rsidP="00BF1E61">
            <w:pPr>
              <w:rPr>
                <w:sz w:val="24"/>
                <w:szCs w:val="24"/>
              </w:rPr>
            </w:pPr>
            <w:r>
              <w:rPr>
                <w:sz w:val="24"/>
                <w:szCs w:val="24"/>
              </w:rPr>
              <w:t>Segmentation of retirement products for this indicator should include those offering (i) longevity guarantees or protection and (ii) investment return guarantees or protection.</w:t>
            </w:r>
          </w:p>
          <w:p w:rsidR="00703227" w:rsidRPr="00A76056" w:rsidRDefault="00703227" w:rsidP="00BF1E61">
            <w:pPr>
              <w:rPr>
                <w:sz w:val="24"/>
                <w:szCs w:val="24"/>
              </w:rPr>
            </w:pPr>
            <w:r w:rsidRPr="00A76056">
              <w:rPr>
                <w:sz w:val="24"/>
                <w:szCs w:val="24"/>
              </w:rPr>
              <w:t>.</w:t>
            </w:r>
          </w:p>
        </w:tc>
      </w:tr>
      <w:tr w:rsidR="00703227" w:rsidTr="00402DE3">
        <w:tblPrEx>
          <w:jc w:val="center"/>
        </w:tblPrEx>
        <w:trPr>
          <w:gridBefore w:val="1"/>
          <w:wBefore w:w="391" w:type="dxa"/>
          <w:jc w:val="center"/>
        </w:trPr>
        <w:tc>
          <w:tcPr>
            <w:tcW w:w="5187" w:type="dxa"/>
          </w:tcPr>
          <w:p w:rsidR="00703227" w:rsidRPr="00A76056" w:rsidRDefault="00854544" w:rsidP="00A76056">
            <w:pPr>
              <w:pStyle w:val="TableBullet"/>
              <w:numPr>
                <w:ilvl w:val="0"/>
                <w:numId w:val="0"/>
              </w:numPr>
              <w:rPr>
                <w:sz w:val="22"/>
                <w:szCs w:val="22"/>
              </w:rPr>
            </w:pPr>
            <w:r>
              <w:rPr>
                <w:sz w:val="22"/>
                <w:szCs w:val="22"/>
              </w:rPr>
              <w:t xml:space="preserve">18.4.3 </w:t>
            </w:r>
            <w:r w:rsidR="00703227" w:rsidRPr="00A76056">
              <w:rPr>
                <w:sz w:val="22"/>
                <w:szCs w:val="22"/>
              </w:rPr>
              <w:t>Drawdown rates in transition and retirement phases (output)</w:t>
            </w: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Regulator data</w:t>
            </w:r>
          </w:p>
        </w:tc>
        <w:tc>
          <w:tcPr>
            <w:tcW w:w="5827" w:type="dxa"/>
            <w:gridSpan w:val="3"/>
          </w:tcPr>
          <w:p w:rsidR="00703227" w:rsidRDefault="00703227" w:rsidP="00BF1E61">
            <w:pPr>
              <w:rPr>
                <w:sz w:val="24"/>
                <w:szCs w:val="24"/>
              </w:rPr>
            </w:pPr>
            <w:r>
              <w:rPr>
                <w:sz w:val="24"/>
                <w:szCs w:val="24"/>
              </w:rPr>
              <w:t xml:space="preserve">QUALIFIED SUPPORT: </w:t>
            </w:r>
            <w:r w:rsidRPr="00A76056">
              <w:rPr>
                <w:sz w:val="24"/>
                <w:szCs w:val="24"/>
              </w:rPr>
              <w:t xml:space="preserve">It should be recognised that the drawdown rates are influenced by many factors external to the industry such as tax rates, the age pension means tests, change to Government rules as occurred during the GFC, </w:t>
            </w:r>
            <w:r>
              <w:rPr>
                <w:sz w:val="24"/>
                <w:szCs w:val="24"/>
              </w:rPr>
              <w:t xml:space="preserve">fear of exhausting savings before death </w:t>
            </w:r>
            <w:r w:rsidRPr="00A76056">
              <w:rPr>
                <w:sz w:val="24"/>
                <w:szCs w:val="24"/>
              </w:rPr>
              <w:t>etc.</w:t>
            </w:r>
          </w:p>
          <w:p w:rsidR="00703227" w:rsidRDefault="00703227" w:rsidP="00BF1E61">
            <w:pPr>
              <w:rPr>
                <w:sz w:val="24"/>
                <w:szCs w:val="24"/>
              </w:rPr>
            </w:pPr>
          </w:p>
          <w:p w:rsidR="00703227" w:rsidRPr="00AC2FF8" w:rsidRDefault="00703227" w:rsidP="00BF1E61">
            <w:pPr>
              <w:rPr>
                <w:sz w:val="24"/>
                <w:szCs w:val="24"/>
              </w:rPr>
            </w:pPr>
            <w:r w:rsidRPr="00AC2FF8">
              <w:rPr>
                <w:sz w:val="24"/>
                <w:szCs w:val="24"/>
              </w:rPr>
              <w:t xml:space="preserve">We suggest the fact so many withdraw at minimum rates and live on more frugal </w:t>
            </w:r>
            <w:r w:rsidR="005260CF" w:rsidRPr="00AC2FF8">
              <w:rPr>
                <w:sz w:val="24"/>
                <w:szCs w:val="24"/>
              </w:rPr>
              <w:t xml:space="preserve">an income than may be </w:t>
            </w:r>
            <w:r w:rsidR="005260CF" w:rsidRPr="00AC2FF8">
              <w:rPr>
                <w:sz w:val="24"/>
                <w:szCs w:val="24"/>
              </w:rPr>
              <w:lastRenderedPageBreak/>
              <w:t>necessary is</w:t>
            </w:r>
            <w:r w:rsidRPr="00AC2FF8">
              <w:rPr>
                <w:sz w:val="24"/>
                <w:szCs w:val="24"/>
              </w:rPr>
              <w:t xml:space="preserve"> a measure of inefficiency. </w:t>
            </w:r>
          </w:p>
          <w:p w:rsidR="00703227" w:rsidRPr="00A76056" w:rsidRDefault="00703227" w:rsidP="00BF1E61">
            <w:pPr>
              <w:rPr>
                <w:sz w:val="24"/>
                <w:szCs w:val="24"/>
              </w:rPr>
            </w:pPr>
          </w:p>
        </w:tc>
      </w:tr>
      <w:tr w:rsidR="00703227" w:rsidTr="00402DE3">
        <w:tblPrEx>
          <w:jc w:val="center"/>
        </w:tblPrEx>
        <w:trPr>
          <w:gridBefore w:val="1"/>
          <w:wBefore w:w="391" w:type="dxa"/>
          <w:jc w:val="center"/>
        </w:trPr>
        <w:tc>
          <w:tcPr>
            <w:tcW w:w="5187" w:type="dxa"/>
          </w:tcPr>
          <w:p w:rsidR="00703227" w:rsidRDefault="00703227" w:rsidP="00854544">
            <w:pPr>
              <w:pStyle w:val="TableBullet"/>
              <w:numPr>
                <w:ilvl w:val="0"/>
                <w:numId w:val="0"/>
              </w:numPr>
              <w:rPr>
                <w:sz w:val="22"/>
                <w:szCs w:val="22"/>
              </w:rPr>
            </w:pPr>
            <w:r>
              <w:rPr>
                <w:sz w:val="22"/>
                <w:szCs w:val="22"/>
              </w:rPr>
              <w:lastRenderedPageBreak/>
              <w:t>18.4.</w:t>
            </w:r>
            <w:r w:rsidR="00854544">
              <w:rPr>
                <w:sz w:val="22"/>
                <w:szCs w:val="22"/>
              </w:rPr>
              <w:t>4</w:t>
            </w:r>
            <w:r>
              <w:rPr>
                <w:sz w:val="22"/>
                <w:szCs w:val="22"/>
              </w:rPr>
              <w:t xml:space="preserve"> </w:t>
            </w:r>
            <w:r w:rsidRPr="00A76056">
              <w:rPr>
                <w:sz w:val="22"/>
                <w:szCs w:val="22"/>
              </w:rPr>
              <w:t>Unclaimed superannuation (output)</w:t>
            </w:r>
          </w:p>
          <w:p w:rsidR="00C573E1" w:rsidRPr="00A76056" w:rsidRDefault="00C573E1" w:rsidP="00854544">
            <w:pPr>
              <w:pStyle w:val="TableBullet"/>
              <w:numPr>
                <w:ilvl w:val="0"/>
                <w:numId w:val="0"/>
              </w:numPr>
              <w:rPr>
                <w:sz w:val="22"/>
                <w:szCs w:val="22"/>
              </w:rPr>
            </w:pPr>
          </w:p>
        </w:tc>
        <w:tc>
          <w:tcPr>
            <w:tcW w:w="1559"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Regulator data</w:t>
            </w:r>
          </w:p>
        </w:tc>
        <w:tc>
          <w:tcPr>
            <w:tcW w:w="5827" w:type="dxa"/>
            <w:gridSpan w:val="3"/>
          </w:tcPr>
          <w:p w:rsidR="00703227" w:rsidRPr="005260CF" w:rsidRDefault="00703227" w:rsidP="00547803">
            <w:pPr>
              <w:rPr>
                <w:sz w:val="24"/>
                <w:szCs w:val="24"/>
              </w:rPr>
            </w:pPr>
            <w:r w:rsidRPr="005260CF">
              <w:rPr>
                <w:sz w:val="24"/>
                <w:szCs w:val="24"/>
              </w:rPr>
              <w:t xml:space="preserve">SUPPORT </w:t>
            </w:r>
          </w:p>
        </w:tc>
      </w:tr>
    </w:tbl>
    <w:p w:rsidR="00402DE3" w:rsidRDefault="00402DE3"/>
    <w:p w:rsidR="00270C4F" w:rsidRDefault="00270C4F"/>
    <w:tbl>
      <w:tblPr>
        <w:tblW w:w="14263" w:type="dxa"/>
        <w:jc w:val="center"/>
        <w:tblInd w:w="1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8"/>
        <w:gridCol w:w="1417"/>
        <w:gridCol w:w="1559"/>
        <w:gridCol w:w="6379"/>
      </w:tblGrid>
      <w:tr w:rsidR="00703227" w:rsidTr="00402DE3">
        <w:trPr>
          <w:jc w:val="center"/>
        </w:trPr>
        <w:tc>
          <w:tcPr>
            <w:tcW w:w="14263" w:type="dxa"/>
            <w:gridSpan w:val="4"/>
          </w:tcPr>
          <w:p w:rsidR="00703227" w:rsidRPr="00270C4F" w:rsidRDefault="00703227" w:rsidP="00910940">
            <w:pPr>
              <w:rPr>
                <w:b/>
                <w:sz w:val="24"/>
                <w:szCs w:val="24"/>
              </w:rPr>
            </w:pPr>
            <w:r>
              <w:br w:type="page"/>
            </w:r>
            <w:r w:rsidRPr="00270C4F">
              <w:rPr>
                <w:b/>
                <w:sz w:val="24"/>
                <w:szCs w:val="24"/>
              </w:rPr>
              <w:t>18.5 Are member preferences and needs being met by member balances being allocated in line with their risk preferences and needs?</w:t>
            </w:r>
          </w:p>
        </w:tc>
      </w:tr>
      <w:tr w:rsidR="00703227" w:rsidTr="00402DE3">
        <w:trPr>
          <w:jc w:val="center"/>
        </w:trPr>
        <w:tc>
          <w:tcPr>
            <w:tcW w:w="4908" w:type="dxa"/>
          </w:tcPr>
          <w:p w:rsidR="00703227" w:rsidRDefault="00703227" w:rsidP="00A76056">
            <w:pPr>
              <w:pStyle w:val="TableBullet"/>
              <w:numPr>
                <w:ilvl w:val="0"/>
                <w:numId w:val="0"/>
              </w:numPr>
              <w:rPr>
                <w:sz w:val="22"/>
                <w:szCs w:val="22"/>
              </w:rPr>
            </w:pPr>
            <w:r>
              <w:rPr>
                <w:sz w:val="22"/>
                <w:szCs w:val="22"/>
              </w:rPr>
              <w:t xml:space="preserve">18.5.1 </w:t>
            </w:r>
            <w:r w:rsidRPr="00A76056">
              <w:rPr>
                <w:sz w:val="22"/>
                <w:szCs w:val="22"/>
              </w:rPr>
              <w:t>Introduction of new retirement income products and development of more tailored default products* (output)</w:t>
            </w:r>
          </w:p>
          <w:p w:rsidR="00703227" w:rsidRPr="00A76056" w:rsidRDefault="00703227" w:rsidP="00A76056">
            <w:pPr>
              <w:pStyle w:val="TableBullet"/>
              <w:numPr>
                <w:ilvl w:val="0"/>
                <w:numId w:val="0"/>
              </w:numPr>
              <w:rPr>
                <w:sz w:val="22"/>
                <w:szCs w:val="22"/>
              </w:rPr>
            </w:pPr>
          </w:p>
        </w:tc>
        <w:tc>
          <w:tcPr>
            <w:tcW w:w="1417"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Surveys; regulator data</w:t>
            </w:r>
          </w:p>
        </w:tc>
        <w:tc>
          <w:tcPr>
            <w:tcW w:w="6379" w:type="dxa"/>
          </w:tcPr>
          <w:p w:rsidR="00703227" w:rsidRPr="00A76056" w:rsidRDefault="00703227" w:rsidP="00547803">
            <w:pPr>
              <w:rPr>
                <w:sz w:val="24"/>
                <w:szCs w:val="24"/>
              </w:rPr>
            </w:pPr>
            <w:r>
              <w:rPr>
                <w:sz w:val="24"/>
                <w:szCs w:val="24"/>
              </w:rPr>
              <w:t>SUPPORT</w:t>
            </w:r>
          </w:p>
        </w:tc>
      </w:tr>
      <w:tr w:rsidR="00703227" w:rsidTr="00402DE3">
        <w:trPr>
          <w:jc w:val="center"/>
        </w:trPr>
        <w:tc>
          <w:tcPr>
            <w:tcW w:w="4908" w:type="dxa"/>
          </w:tcPr>
          <w:p w:rsidR="00703227" w:rsidRPr="00A76056" w:rsidRDefault="00703227" w:rsidP="00A76056">
            <w:pPr>
              <w:pStyle w:val="TableBullet"/>
              <w:numPr>
                <w:ilvl w:val="0"/>
                <w:numId w:val="0"/>
              </w:numPr>
              <w:rPr>
                <w:sz w:val="22"/>
                <w:szCs w:val="22"/>
              </w:rPr>
            </w:pPr>
            <w:r>
              <w:rPr>
                <w:sz w:val="22"/>
                <w:szCs w:val="22"/>
              </w:rPr>
              <w:t xml:space="preserve">18.5.2 </w:t>
            </w:r>
            <w:r w:rsidRPr="00A76056">
              <w:rPr>
                <w:sz w:val="22"/>
                <w:szCs w:val="22"/>
              </w:rPr>
              <w:t>Asset allocations by age cohort (across different market segments and products) (output)</w:t>
            </w:r>
          </w:p>
        </w:tc>
        <w:tc>
          <w:tcPr>
            <w:tcW w:w="1417" w:type="dxa"/>
          </w:tcPr>
          <w:p w:rsidR="00703227" w:rsidRPr="00A76056" w:rsidRDefault="00703227" w:rsidP="00A76056">
            <w:pPr>
              <w:pStyle w:val="TableBullet"/>
              <w:numPr>
                <w:ilvl w:val="0"/>
                <w:numId w:val="0"/>
              </w:numPr>
              <w:rPr>
                <w:szCs w:val="18"/>
              </w:rPr>
            </w:pPr>
            <w:r w:rsidRPr="00A76056">
              <w:rPr>
                <w:szCs w:val="18"/>
              </w:rPr>
              <w:t>Trend analysis</w:t>
            </w:r>
          </w:p>
        </w:tc>
        <w:tc>
          <w:tcPr>
            <w:tcW w:w="1559" w:type="dxa"/>
          </w:tcPr>
          <w:p w:rsidR="00703227" w:rsidRPr="00A76056" w:rsidRDefault="00703227" w:rsidP="00A76056">
            <w:pPr>
              <w:pStyle w:val="TableBullet"/>
              <w:numPr>
                <w:ilvl w:val="0"/>
                <w:numId w:val="0"/>
              </w:numPr>
              <w:ind w:left="34"/>
              <w:rPr>
                <w:szCs w:val="18"/>
              </w:rPr>
            </w:pPr>
            <w:r w:rsidRPr="00A76056">
              <w:rPr>
                <w:szCs w:val="18"/>
              </w:rPr>
              <w:t>Industry data Regulator data</w:t>
            </w:r>
          </w:p>
        </w:tc>
        <w:tc>
          <w:tcPr>
            <w:tcW w:w="6379" w:type="dxa"/>
          </w:tcPr>
          <w:p w:rsidR="00703227" w:rsidRDefault="00703227" w:rsidP="00547803">
            <w:pPr>
              <w:rPr>
                <w:sz w:val="24"/>
                <w:szCs w:val="24"/>
              </w:rPr>
            </w:pPr>
            <w:r>
              <w:rPr>
                <w:sz w:val="24"/>
                <w:szCs w:val="24"/>
              </w:rPr>
              <w:t xml:space="preserve">QUALIFIED SUPPORT: We think this is only relevant to default investments as other balances are clearly allocated in line with member preferences. </w:t>
            </w:r>
          </w:p>
          <w:p w:rsidR="00703227" w:rsidRPr="00A76056" w:rsidRDefault="00703227" w:rsidP="00547803">
            <w:pPr>
              <w:rPr>
                <w:sz w:val="24"/>
                <w:szCs w:val="24"/>
              </w:rPr>
            </w:pPr>
          </w:p>
        </w:tc>
      </w:tr>
      <w:tr w:rsidR="00703227" w:rsidTr="00402DE3">
        <w:trPr>
          <w:jc w:val="center"/>
        </w:trPr>
        <w:tc>
          <w:tcPr>
            <w:tcW w:w="4908" w:type="dxa"/>
          </w:tcPr>
          <w:p w:rsidR="00703227" w:rsidRDefault="00703227" w:rsidP="00A76056">
            <w:pPr>
              <w:pStyle w:val="TableBullet"/>
              <w:numPr>
                <w:ilvl w:val="0"/>
                <w:numId w:val="0"/>
              </w:numPr>
              <w:rPr>
                <w:sz w:val="22"/>
                <w:szCs w:val="22"/>
              </w:rPr>
            </w:pPr>
            <w:r>
              <w:rPr>
                <w:sz w:val="22"/>
                <w:szCs w:val="22"/>
              </w:rPr>
              <w:t xml:space="preserve">18.5.3 </w:t>
            </w:r>
            <w:r w:rsidRPr="00A76056">
              <w:rPr>
                <w:sz w:val="22"/>
                <w:szCs w:val="22"/>
              </w:rPr>
              <w:t>Member awareness of investment sequencing and longevity risk (input)</w:t>
            </w:r>
          </w:p>
          <w:p w:rsidR="00703227" w:rsidRPr="00A76056" w:rsidRDefault="00703227" w:rsidP="00A76056">
            <w:pPr>
              <w:pStyle w:val="TableBullet"/>
              <w:numPr>
                <w:ilvl w:val="0"/>
                <w:numId w:val="0"/>
              </w:numPr>
              <w:rPr>
                <w:sz w:val="22"/>
                <w:szCs w:val="22"/>
              </w:rPr>
            </w:pPr>
          </w:p>
        </w:tc>
        <w:tc>
          <w:tcPr>
            <w:tcW w:w="1417" w:type="dxa"/>
          </w:tcPr>
          <w:p w:rsidR="00703227" w:rsidRPr="00A76056" w:rsidRDefault="00703227" w:rsidP="00A76056">
            <w:pPr>
              <w:pStyle w:val="TableBullet"/>
              <w:numPr>
                <w:ilvl w:val="0"/>
                <w:numId w:val="0"/>
              </w:numPr>
              <w:rPr>
                <w:szCs w:val="18"/>
              </w:rPr>
            </w:pPr>
            <w:r w:rsidRPr="00A76056">
              <w:rPr>
                <w:szCs w:val="18"/>
              </w:rPr>
              <w:t>Qualitative</w:t>
            </w:r>
          </w:p>
        </w:tc>
        <w:tc>
          <w:tcPr>
            <w:tcW w:w="1559" w:type="dxa"/>
          </w:tcPr>
          <w:p w:rsidR="00703227" w:rsidRPr="00A76056" w:rsidRDefault="00703227" w:rsidP="00A76056">
            <w:pPr>
              <w:pStyle w:val="TableBullet"/>
              <w:numPr>
                <w:ilvl w:val="0"/>
                <w:numId w:val="0"/>
              </w:numPr>
              <w:ind w:left="34" w:hanging="34"/>
              <w:rPr>
                <w:szCs w:val="18"/>
              </w:rPr>
            </w:pPr>
            <w:r w:rsidRPr="00A76056">
              <w:rPr>
                <w:szCs w:val="18"/>
              </w:rPr>
              <w:t>Surveys</w:t>
            </w:r>
          </w:p>
        </w:tc>
        <w:tc>
          <w:tcPr>
            <w:tcW w:w="6379" w:type="dxa"/>
          </w:tcPr>
          <w:p w:rsidR="00703227" w:rsidRPr="00A76056" w:rsidRDefault="00703227" w:rsidP="00547803">
            <w:pPr>
              <w:rPr>
                <w:sz w:val="24"/>
                <w:szCs w:val="24"/>
              </w:rPr>
            </w:pPr>
            <w:r>
              <w:rPr>
                <w:sz w:val="24"/>
                <w:szCs w:val="24"/>
              </w:rPr>
              <w:t>SUPPORT</w:t>
            </w:r>
          </w:p>
        </w:tc>
      </w:tr>
    </w:tbl>
    <w:p w:rsidR="00270C4F" w:rsidRDefault="00402DE3">
      <w:r>
        <w:br/>
      </w:r>
      <w:r>
        <w:br w:type="page"/>
      </w:r>
    </w:p>
    <w:tbl>
      <w:tblPr>
        <w:tblW w:w="14664"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
        <w:gridCol w:w="5271"/>
        <w:gridCol w:w="138"/>
        <w:gridCol w:w="1137"/>
        <w:gridCol w:w="422"/>
        <w:gridCol w:w="1003"/>
        <w:gridCol w:w="557"/>
        <w:gridCol w:w="4412"/>
        <w:gridCol w:w="851"/>
        <w:gridCol w:w="567"/>
        <w:gridCol w:w="204"/>
      </w:tblGrid>
      <w:tr w:rsidR="00703227" w:rsidTr="00402DE3">
        <w:trPr>
          <w:gridBefore w:val="1"/>
          <w:wBefore w:w="102" w:type="dxa"/>
          <w:jc w:val="center"/>
        </w:trPr>
        <w:tc>
          <w:tcPr>
            <w:tcW w:w="14562" w:type="dxa"/>
            <w:gridSpan w:val="10"/>
          </w:tcPr>
          <w:p w:rsidR="00E17501" w:rsidRDefault="00703227" w:rsidP="00547803">
            <w:pPr>
              <w:rPr>
                <w:b/>
                <w:sz w:val="24"/>
                <w:szCs w:val="24"/>
              </w:rPr>
            </w:pPr>
            <w:r>
              <w:rPr>
                <w:b/>
                <w:sz w:val="24"/>
                <w:szCs w:val="24"/>
              </w:rPr>
              <w:lastRenderedPageBreak/>
              <w:t>19</w:t>
            </w:r>
            <w:r w:rsidRPr="00A76056">
              <w:rPr>
                <w:b/>
                <w:sz w:val="24"/>
                <w:szCs w:val="24"/>
              </w:rPr>
              <w:t xml:space="preserve">. Is the system using lessons from behavioural finance to design products and ‘lean’ against </w:t>
            </w:r>
            <w:r w:rsidR="004A2E15" w:rsidRPr="00A76056">
              <w:rPr>
                <w:b/>
                <w:sz w:val="24"/>
                <w:szCs w:val="24"/>
              </w:rPr>
              <w:t>well-known</w:t>
            </w:r>
            <w:r w:rsidRPr="00A76056">
              <w:rPr>
                <w:b/>
                <w:sz w:val="24"/>
                <w:szCs w:val="24"/>
              </w:rPr>
              <w:t xml:space="preserve"> biases in how people make decisions?</w:t>
            </w:r>
            <w:r>
              <w:rPr>
                <w:b/>
                <w:sz w:val="24"/>
                <w:szCs w:val="24"/>
              </w:rPr>
              <w:t xml:space="preserve"> </w:t>
            </w:r>
          </w:p>
          <w:p w:rsidR="00703227" w:rsidRPr="00C573E1" w:rsidRDefault="00C573E1" w:rsidP="00EF52AE">
            <w:pPr>
              <w:rPr>
                <w:b/>
                <w:szCs w:val="22"/>
              </w:rPr>
            </w:pPr>
            <w:r>
              <w:rPr>
                <w:sz w:val="24"/>
                <w:szCs w:val="24"/>
              </w:rPr>
              <w:t xml:space="preserve">        </w:t>
            </w:r>
            <w:r w:rsidRPr="00C573E1">
              <w:rPr>
                <w:szCs w:val="22"/>
              </w:rPr>
              <w:t xml:space="preserve"> Note</w:t>
            </w:r>
            <w:r w:rsidR="00E17501" w:rsidRPr="00C573E1">
              <w:rPr>
                <w:szCs w:val="22"/>
              </w:rPr>
              <w:t xml:space="preserve">: </w:t>
            </w:r>
            <w:r w:rsidR="00EF52AE">
              <w:rPr>
                <w:i/>
                <w:szCs w:val="22"/>
              </w:rPr>
              <w:t>Mercer</w:t>
            </w:r>
            <w:r w:rsidR="00703227" w:rsidRPr="00C573E1">
              <w:rPr>
                <w:i/>
                <w:szCs w:val="22"/>
              </w:rPr>
              <w:t xml:space="preserve"> recommend</w:t>
            </w:r>
            <w:r w:rsidR="00EF52AE">
              <w:rPr>
                <w:i/>
                <w:szCs w:val="22"/>
              </w:rPr>
              <w:t>s</w:t>
            </w:r>
            <w:r w:rsidR="00703227" w:rsidRPr="00C573E1">
              <w:rPr>
                <w:i/>
                <w:szCs w:val="22"/>
              </w:rPr>
              <w:t xml:space="preserve"> </w:t>
            </w:r>
            <w:r w:rsidR="00EF52AE">
              <w:rPr>
                <w:i/>
                <w:szCs w:val="22"/>
              </w:rPr>
              <w:t xml:space="preserve">deletion of this criterion and </w:t>
            </w:r>
            <w:r w:rsidR="00703227" w:rsidRPr="00C573E1">
              <w:rPr>
                <w:i/>
                <w:szCs w:val="22"/>
              </w:rPr>
              <w:t xml:space="preserve">its indicator </w:t>
            </w:r>
            <w:r w:rsidR="00E41F95" w:rsidRPr="00C573E1">
              <w:rPr>
                <w:i/>
                <w:szCs w:val="22"/>
              </w:rPr>
              <w:t>– refer Attachment 2</w:t>
            </w:r>
            <w:r w:rsidR="00703227" w:rsidRPr="00C573E1">
              <w:rPr>
                <w:i/>
                <w:szCs w:val="22"/>
              </w:rPr>
              <w:t>.</w:t>
            </w:r>
            <w:r w:rsidR="00703227" w:rsidRPr="00C573E1">
              <w:rPr>
                <w:b/>
                <w:szCs w:val="22"/>
              </w:rPr>
              <w:t xml:space="preserve"> </w:t>
            </w:r>
          </w:p>
        </w:tc>
      </w:tr>
      <w:tr w:rsidR="00703227" w:rsidTr="00402DE3">
        <w:trPr>
          <w:gridBefore w:val="1"/>
          <w:wBefore w:w="102" w:type="dxa"/>
          <w:jc w:val="center"/>
        </w:trPr>
        <w:tc>
          <w:tcPr>
            <w:tcW w:w="5409" w:type="dxa"/>
            <w:gridSpan w:val="2"/>
          </w:tcPr>
          <w:p w:rsidR="00703227" w:rsidRPr="00A76056" w:rsidRDefault="00703227" w:rsidP="00A76056">
            <w:pPr>
              <w:pStyle w:val="TableBullet"/>
              <w:numPr>
                <w:ilvl w:val="0"/>
                <w:numId w:val="0"/>
              </w:numPr>
              <w:rPr>
                <w:sz w:val="22"/>
                <w:szCs w:val="22"/>
              </w:rPr>
            </w:pPr>
            <w:r>
              <w:rPr>
                <w:sz w:val="22"/>
                <w:szCs w:val="22"/>
              </w:rPr>
              <w:t xml:space="preserve">19.1 </w:t>
            </w:r>
            <w:r w:rsidRPr="00A76056">
              <w:rPr>
                <w:sz w:val="22"/>
                <w:szCs w:val="22"/>
              </w:rPr>
              <w:t>Funds’ application of the lessons from behavioural finance to design products, the effectiveness of fund strategies and whether lessons are being transmitted to other parts of the system (behaviour, output)</w:t>
            </w:r>
          </w:p>
        </w:tc>
        <w:tc>
          <w:tcPr>
            <w:tcW w:w="1559" w:type="dxa"/>
            <w:gridSpan w:val="2"/>
          </w:tcPr>
          <w:p w:rsidR="00703227" w:rsidRPr="00A76056" w:rsidRDefault="00703227" w:rsidP="00A76056">
            <w:pPr>
              <w:pStyle w:val="TableBullet"/>
              <w:numPr>
                <w:ilvl w:val="0"/>
                <w:numId w:val="0"/>
              </w:numPr>
              <w:ind w:left="170" w:hanging="170"/>
              <w:rPr>
                <w:sz w:val="20"/>
              </w:rPr>
            </w:pPr>
            <w:r w:rsidRPr="00A76056">
              <w:rPr>
                <w:sz w:val="20"/>
              </w:rPr>
              <w:t>Qualitative</w:t>
            </w:r>
          </w:p>
        </w:tc>
        <w:tc>
          <w:tcPr>
            <w:tcW w:w="1560" w:type="dxa"/>
            <w:gridSpan w:val="2"/>
          </w:tcPr>
          <w:p w:rsidR="00703227" w:rsidRPr="00A76056" w:rsidRDefault="00703227" w:rsidP="00A76056">
            <w:pPr>
              <w:pStyle w:val="TableBullet"/>
              <w:numPr>
                <w:ilvl w:val="0"/>
                <w:numId w:val="0"/>
              </w:numPr>
              <w:ind w:left="170" w:hanging="170"/>
              <w:rPr>
                <w:sz w:val="20"/>
              </w:rPr>
            </w:pPr>
            <w:r w:rsidRPr="00A76056">
              <w:rPr>
                <w:sz w:val="20"/>
              </w:rPr>
              <w:t>Case studies</w:t>
            </w:r>
          </w:p>
        </w:tc>
        <w:tc>
          <w:tcPr>
            <w:tcW w:w="6034" w:type="dxa"/>
            <w:gridSpan w:val="4"/>
          </w:tcPr>
          <w:p w:rsidR="00703227" w:rsidRPr="005260CF" w:rsidRDefault="00703227" w:rsidP="00547803">
            <w:pPr>
              <w:rPr>
                <w:sz w:val="24"/>
                <w:szCs w:val="24"/>
              </w:rPr>
            </w:pPr>
            <w:r w:rsidRPr="005260CF">
              <w:rPr>
                <w:sz w:val="24"/>
                <w:szCs w:val="24"/>
              </w:rPr>
              <w:t>DELETE</w:t>
            </w:r>
          </w:p>
        </w:tc>
      </w:tr>
      <w:tr w:rsidR="00C573E1" w:rsidTr="00402DE3">
        <w:tblPrEx>
          <w:jc w:val="left"/>
        </w:tblPrEx>
        <w:trPr>
          <w:gridAfter w:val="1"/>
          <w:wAfter w:w="204" w:type="dxa"/>
        </w:trPr>
        <w:tc>
          <w:tcPr>
            <w:tcW w:w="13893" w:type="dxa"/>
            <w:gridSpan w:val="9"/>
            <w:tcBorders>
              <w:left w:val="nil"/>
              <w:bottom w:val="nil"/>
              <w:right w:val="nil"/>
            </w:tcBorders>
          </w:tcPr>
          <w:p w:rsidR="00C573E1" w:rsidRDefault="00C573E1" w:rsidP="00C573E1">
            <w:pPr>
              <w:rPr>
                <w:b/>
                <w:sz w:val="24"/>
                <w:szCs w:val="24"/>
              </w:rPr>
            </w:pPr>
          </w:p>
          <w:p w:rsidR="00C573E1" w:rsidRPr="00A76056" w:rsidRDefault="00C573E1" w:rsidP="00402DE3">
            <w:pPr>
              <w:pStyle w:val="TableBullet"/>
              <w:numPr>
                <w:ilvl w:val="0"/>
                <w:numId w:val="0"/>
              </w:numPr>
              <w:ind w:left="34" w:hanging="34"/>
              <w:rPr>
                <w:szCs w:val="18"/>
              </w:rPr>
            </w:pPr>
            <w:r>
              <w:rPr>
                <w:sz w:val="24"/>
                <w:szCs w:val="24"/>
              </w:rPr>
              <w:t xml:space="preserve">      </w:t>
            </w:r>
          </w:p>
        </w:tc>
        <w:tc>
          <w:tcPr>
            <w:tcW w:w="567" w:type="dxa"/>
            <w:tcBorders>
              <w:left w:val="nil"/>
              <w:bottom w:val="nil"/>
              <w:right w:val="nil"/>
            </w:tcBorders>
          </w:tcPr>
          <w:p w:rsidR="00C573E1" w:rsidRDefault="00C573E1" w:rsidP="00547803">
            <w:pPr>
              <w:rPr>
                <w:sz w:val="24"/>
                <w:szCs w:val="24"/>
              </w:rPr>
            </w:pPr>
          </w:p>
        </w:tc>
      </w:tr>
      <w:tr w:rsidR="00270C4F" w:rsidTr="00402DE3">
        <w:tblPrEx>
          <w:jc w:val="left"/>
        </w:tblPrEx>
        <w:trPr>
          <w:gridAfter w:val="1"/>
          <w:wAfter w:w="204" w:type="dxa"/>
        </w:trPr>
        <w:tc>
          <w:tcPr>
            <w:tcW w:w="13042" w:type="dxa"/>
            <w:gridSpan w:val="8"/>
            <w:tcBorders>
              <w:right w:val="nil"/>
            </w:tcBorders>
          </w:tcPr>
          <w:p w:rsidR="00270C4F" w:rsidRPr="00270C4F" w:rsidRDefault="00270C4F" w:rsidP="00270C4F">
            <w:pPr>
              <w:pStyle w:val="TableBullet"/>
              <w:numPr>
                <w:ilvl w:val="0"/>
                <w:numId w:val="0"/>
              </w:numPr>
              <w:ind w:left="170" w:hanging="170"/>
              <w:rPr>
                <w:b/>
                <w:sz w:val="24"/>
                <w:szCs w:val="24"/>
              </w:rPr>
            </w:pPr>
            <w:r w:rsidRPr="00270C4F">
              <w:rPr>
                <w:b/>
                <w:sz w:val="24"/>
                <w:szCs w:val="24"/>
              </w:rPr>
              <w:lastRenderedPageBreak/>
              <w:t>20. Are trustees acting in the best interests of members?</w:t>
            </w:r>
          </w:p>
          <w:p w:rsidR="00270C4F" w:rsidRPr="00270C4F" w:rsidRDefault="00270C4F" w:rsidP="00EF52AE">
            <w:pPr>
              <w:pStyle w:val="TableBullet"/>
              <w:numPr>
                <w:ilvl w:val="0"/>
                <w:numId w:val="0"/>
              </w:numPr>
              <w:ind w:left="34" w:hanging="34"/>
              <w:rPr>
                <w:sz w:val="22"/>
                <w:szCs w:val="22"/>
              </w:rPr>
            </w:pPr>
            <w:r w:rsidRPr="00270C4F">
              <w:rPr>
                <w:sz w:val="22"/>
                <w:szCs w:val="22"/>
              </w:rPr>
              <w:t xml:space="preserve">        </w:t>
            </w:r>
            <w:r>
              <w:rPr>
                <w:sz w:val="22"/>
                <w:szCs w:val="22"/>
              </w:rPr>
              <w:t xml:space="preserve">    </w:t>
            </w:r>
            <w:r w:rsidRPr="00270C4F">
              <w:rPr>
                <w:sz w:val="22"/>
                <w:szCs w:val="22"/>
              </w:rPr>
              <w:t xml:space="preserve"> Note: </w:t>
            </w:r>
            <w:r w:rsidR="00EF52AE">
              <w:rPr>
                <w:i/>
                <w:sz w:val="22"/>
                <w:szCs w:val="22"/>
              </w:rPr>
              <w:t>Mercer</w:t>
            </w:r>
            <w:r w:rsidRPr="00270C4F">
              <w:rPr>
                <w:i/>
                <w:sz w:val="22"/>
                <w:szCs w:val="22"/>
              </w:rPr>
              <w:t xml:space="preserve"> recommend</w:t>
            </w:r>
            <w:r w:rsidR="00EF52AE">
              <w:rPr>
                <w:i/>
                <w:sz w:val="22"/>
                <w:szCs w:val="22"/>
              </w:rPr>
              <w:t>s</w:t>
            </w:r>
            <w:r w:rsidRPr="00270C4F">
              <w:rPr>
                <w:i/>
                <w:sz w:val="22"/>
                <w:szCs w:val="22"/>
              </w:rPr>
              <w:t xml:space="preserve"> </w:t>
            </w:r>
            <w:r w:rsidR="00EF52AE">
              <w:rPr>
                <w:i/>
                <w:sz w:val="22"/>
                <w:szCs w:val="22"/>
              </w:rPr>
              <w:t xml:space="preserve">deletion of </w:t>
            </w:r>
            <w:r w:rsidRPr="00270C4F">
              <w:rPr>
                <w:i/>
                <w:sz w:val="22"/>
                <w:szCs w:val="22"/>
              </w:rPr>
              <w:t>this criterion and its indicators – refer Attachment 2</w:t>
            </w:r>
          </w:p>
        </w:tc>
        <w:tc>
          <w:tcPr>
            <w:tcW w:w="1418" w:type="dxa"/>
            <w:gridSpan w:val="2"/>
            <w:tcBorders>
              <w:left w:val="nil"/>
            </w:tcBorders>
          </w:tcPr>
          <w:p w:rsidR="00270C4F" w:rsidRDefault="00270C4F" w:rsidP="00547803">
            <w:pPr>
              <w:rPr>
                <w:sz w:val="24"/>
                <w:szCs w:val="24"/>
              </w:rPr>
            </w:pPr>
          </w:p>
        </w:tc>
      </w:tr>
      <w:tr w:rsidR="00703227" w:rsidTr="00402DE3">
        <w:tblPrEx>
          <w:jc w:val="left"/>
        </w:tblPrEx>
        <w:trPr>
          <w:gridAfter w:val="1"/>
          <w:wAfter w:w="204" w:type="dxa"/>
        </w:trPr>
        <w:tc>
          <w:tcPr>
            <w:tcW w:w="5373" w:type="dxa"/>
            <w:gridSpan w:val="2"/>
          </w:tcPr>
          <w:p w:rsidR="00703227" w:rsidRDefault="00703227" w:rsidP="00A76056">
            <w:pPr>
              <w:pStyle w:val="TableBullet"/>
              <w:numPr>
                <w:ilvl w:val="0"/>
                <w:numId w:val="0"/>
              </w:numPr>
              <w:rPr>
                <w:sz w:val="22"/>
                <w:szCs w:val="22"/>
              </w:rPr>
            </w:pPr>
            <w:r>
              <w:rPr>
                <w:sz w:val="22"/>
                <w:szCs w:val="22"/>
              </w:rPr>
              <w:t xml:space="preserve">20.1 </w:t>
            </w:r>
            <w:r w:rsidRPr="00A76056">
              <w:rPr>
                <w:sz w:val="22"/>
                <w:szCs w:val="22"/>
              </w:rPr>
              <w:t>Existing ratings of system wide quality of governance* (input)</w:t>
            </w:r>
          </w:p>
          <w:p w:rsidR="00C573E1" w:rsidRPr="00A76056" w:rsidRDefault="00C573E1" w:rsidP="00A76056">
            <w:pPr>
              <w:pStyle w:val="TableBullet"/>
              <w:numPr>
                <w:ilvl w:val="0"/>
                <w:numId w:val="0"/>
              </w:numPr>
              <w:rPr>
                <w:sz w:val="22"/>
                <w:szCs w:val="22"/>
              </w:rPr>
            </w:pPr>
          </w:p>
        </w:tc>
        <w:tc>
          <w:tcPr>
            <w:tcW w:w="1275" w:type="dxa"/>
            <w:gridSpan w:val="2"/>
          </w:tcPr>
          <w:p w:rsidR="00703227" w:rsidRPr="00A76056" w:rsidRDefault="00703227" w:rsidP="00A76056">
            <w:pPr>
              <w:pStyle w:val="TableBullet"/>
              <w:numPr>
                <w:ilvl w:val="0"/>
                <w:numId w:val="0"/>
              </w:numPr>
              <w:ind w:left="170" w:hanging="170"/>
              <w:rPr>
                <w:szCs w:val="18"/>
              </w:rPr>
            </w:pPr>
            <w:r w:rsidRPr="00A76056">
              <w:rPr>
                <w:szCs w:val="18"/>
              </w:rPr>
              <w:t>Qualitative</w:t>
            </w:r>
          </w:p>
        </w:tc>
        <w:tc>
          <w:tcPr>
            <w:tcW w:w="1425" w:type="dxa"/>
            <w:gridSpan w:val="2"/>
          </w:tcPr>
          <w:p w:rsidR="00703227" w:rsidRPr="00A76056" w:rsidRDefault="00703227" w:rsidP="00A76056">
            <w:pPr>
              <w:pStyle w:val="TableBullet"/>
              <w:numPr>
                <w:ilvl w:val="0"/>
                <w:numId w:val="0"/>
              </w:numPr>
              <w:ind w:left="34" w:hanging="34"/>
              <w:rPr>
                <w:szCs w:val="18"/>
              </w:rPr>
            </w:pPr>
            <w:r w:rsidRPr="00A76056">
              <w:rPr>
                <w:szCs w:val="18"/>
              </w:rPr>
              <w:t>Reviews by others</w:t>
            </w:r>
          </w:p>
        </w:tc>
        <w:tc>
          <w:tcPr>
            <w:tcW w:w="6387" w:type="dxa"/>
            <w:gridSpan w:val="4"/>
          </w:tcPr>
          <w:p w:rsidR="00703227" w:rsidRPr="00A76056" w:rsidRDefault="00703227" w:rsidP="00547803">
            <w:pPr>
              <w:rPr>
                <w:sz w:val="24"/>
                <w:szCs w:val="24"/>
              </w:rPr>
            </w:pPr>
            <w:r>
              <w:rPr>
                <w:sz w:val="24"/>
                <w:szCs w:val="24"/>
              </w:rPr>
              <w:t>DELETE</w:t>
            </w:r>
          </w:p>
          <w:p w:rsidR="00703227" w:rsidRPr="00A76056" w:rsidRDefault="00703227" w:rsidP="00547803">
            <w:pPr>
              <w:rPr>
                <w:sz w:val="24"/>
                <w:szCs w:val="24"/>
              </w:rPr>
            </w:pPr>
          </w:p>
        </w:tc>
      </w:tr>
      <w:tr w:rsidR="00703227" w:rsidTr="00402DE3">
        <w:tblPrEx>
          <w:jc w:val="left"/>
        </w:tblPrEx>
        <w:trPr>
          <w:gridAfter w:val="1"/>
          <w:wAfter w:w="204" w:type="dxa"/>
        </w:trPr>
        <w:tc>
          <w:tcPr>
            <w:tcW w:w="5373" w:type="dxa"/>
            <w:gridSpan w:val="2"/>
          </w:tcPr>
          <w:p w:rsidR="00703227" w:rsidRDefault="00703227" w:rsidP="00A76056">
            <w:pPr>
              <w:pStyle w:val="TableBullet"/>
              <w:numPr>
                <w:ilvl w:val="0"/>
                <w:numId w:val="0"/>
              </w:numPr>
              <w:rPr>
                <w:sz w:val="22"/>
                <w:szCs w:val="22"/>
              </w:rPr>
            </w:pPr>
            <w:r>
              <w:rPr>
                <w:sz w:val="22"/>
                <w:szCs w:val="22"/>
              </w:rPr>
              <w:t xml:space="preserve">20.2 </w:t>
            </w:r>
            <w:r w:rsidRPr="00A76056">
              <w:rPr>
                <w:sz w:val="22"/>
                <w:szCs w:val="22"/>
              </w:rPr>
              <w:t>Accurate disclosure of trustee directors’ and investment committee members’ qualifications and relevant skills/experience, remuneration structures, and potential conflicts of interest due to related party dealings and competing duties* (behaviour)</w:t>
            </w:r>
          </w:p>
          <w:p w:rsidR="00C573E1" w:rsidRPr="00A76056" w:rsidRDefault="00C573E1" w:rsidP="00A76056">
            <w:pPr>
              <w:pStyle w:val="TableBullet"/>
              <w:numPr>
                <w:ilvl w:val="0"/>
                <w:numId w:val="0"/>
              </w:numPr>
              <w:rPr>
                <w:sz w:val="22"/>
                <w:szCs w:val="22"/>
              </w:rPr>
            </w:pPr>
          </w:p>
        </w:tc>
        <w:tc>
          <w:tcPr>
            <w:tcW w:w="1275" w:type="dxa"/>
            <w:gridSpan w:val="2"/>
          </w:tcPr>
          <w:p w:rsidR="00703227" w:rsidRPr="00A76056" w:rsidRDefault="00703227" w:rsidP="00A76056">
            <w:pPr>
              <w:pStyle w:val="TableBullet"/>
              <w:numPr>
                <w:ilvl w:val="0"/>
                <w:numId w:val="0"/>
              </w:numPr>
              <w:ind w:left="170" w:hanging="170"/>
              <w:rPr>
                <w:szCs w:val="18"/>
              </w:rPr>
            </w:pPr>
            <w:r w:rsidRPr="00A76056">
              <w:rPr>
                <w:szCs w:val="18"/>
              </w:rPr>
              <w:t>Qualitative</w:t>
            </w:r>
          </w:p>
        </w:tc>
        <w:tc>
          <w:tcPr>
            <w:tcW w:w="1425" w:type="dxa"/>
            <w:gridSpan w:val="2"/>
          </w:tcPr>
          <w:p w:rsidR="00703227" w:rsidRPr="00A76056" w:rsidRDefault="00703227" w:rsidP="00A76056">
            <w:pPr>
              <w:pStyle w:val="TableBullet"/>
              <w:numPr>
                <w:ilvl w:val="0"/>
                <w:numId w:val="0"/>
              </w:numPr>
              <w:ind w:left="34" w:hanging="34"/>
              <w:rPr>
                <w:szCs w:val="18"/>
              </w:rPr>
            </w:pPr>
            <w:r w:rsidRPr="00A76056">
              <w:rPr>
                <w:szCs w:val="18"/>
              </w:rPr>
              <w:t>Reviews by others</w:t>
            </w:r>
          </w:p>
        </w:tc>
        <w:tc>
          <w:tcPr>
            <w:tcW w:w="6387" w:type="dxa"/>
            <w:gridSpan w:val="4"/>
          </w:tcPr>
          <w:p w:rsidR="00703227" w:rsidRPr="00A76056" w:rsidRDefault="00703227" w:rsidP="002A10A7">
            <w:pPr>
              <w:rPr>
                <w:sz w:val="24"/>
                <w:szCs w:val="24"/>
              </w:rPr>
            </w:pPr>
            <w:r>
              <w:rPr>
                <w:sz w:val="24"/>
                <w:szCs w:val="24"/>
              </w:rPr>
              <w:t>DELETE</w:t>
            </w:r>
          </w:p>
          <w:p w:rsidR="00703227" w:rsidRPr="00A76056" w:rsidRDefault="00703227" w:rsidP="002326B3">
            <w:pPr>
              <w:rPr>
                <w:sz w:val="24"/>
                <w:szCs w:val="24"/>
              </w:rPr>
            </w:pPr>
          </w:p>
        </w:tc>
      </w:tr>
      <w:tr w:rsidR="00703227" w:rsidTr="00402DE3">
        <w:tblPrEx>
          <w:jc w:val="left"/>
        </w:tblPrEx>
        <w:trPr>
          <w:gridAfter w:val="1"/>
          <w:wAfter w:w="204" w:type="dxa"/>
        </w:trPr>
        <w:tc>
          <w:tcPr>
            <w:tcW w:w="5373" w:type="dxa"/>
            <w:gridSpan w:val="2"/>
          </w:tcPr>
          <w:p w:rsidR="00703227" w:rsidRDefault="00703227" w:rsidP="00A76056">
            <w:pPr>
              <w:pStyle w:val="TableBullet"/>
              <w:numPr>
                <w:ilvl w:val="0"/>
                <w:numId w:val="0"/>
              </w:numPr>
              <w:rPr>
                <w:sz w:val="22"/>
                <w:szCs w:val="22"/>
              </w:rPr>
            </w:pPr>
            <w:r>
              <w:rPr>
                <w:sz w:val="22"/>
                <w:szCs w:val="22"/>
              </w:rPr>
              <w:t xml:space="preserve">20.3 </w:t>
            </w:r>
            <w:r w:rsidRPr="00A76056">
              <w:rPr>
                <w:sz w:val="22"/>
                <w:szCs w:val="22"/>
              </w:rPr>
              <w:t>Contraventions of regulator governance standards by trustees, employers, service providers and financial advisers* (behaviour)</w:t>
            </w:r>
          </w:p>
          <w:p w:rsidR="00C573E1" w:rsidRPr="00A76056" w:rsidRDefault="00C573E1" w:rsidP="00A76056">
            <w:pPr>
              <w:pStyle w:val="TableBullet"/>
              <w:numPr>
                <w:ilvl w:val="0"/>
                <w:numId w:val="0"/>
              </w:numPr>
              <w:rPr>
                <w:sz w:val="22"/>
                <w:szCs w:val="22"/>
              </w:rPr>
            </w:pPr>
          </w:p>
        </w:tc>
        <w:tc>
          <w:tcPr>
            <w:tcW w:w="1275" w:type="dxa"/>
            <w:gridSpan w:val="2"/>
          </w:tcPr>
          <w:p w:rsidR="00703227" w:rsidRPr="00A76056" w:rsidRDefault="00703227" w:rsidP="00A76056">
            <w:pPr>
              <w:pStyle w:val="TableBullet"/>
              <w:numPr>
                <w:ilvl w:val="0"/>
                <w:numId w:val="0"/>
              </w:numPr>
              <w:ind w:left="170" w:hanging="170"/>
              <w:rPr>
                <w:szCs w:val="18"/>
              </w:rPr>
            </w:pPr>
            <w:r w:rsidRPr="00A76056">
              <w:rPr>
                <w:szCs w:val="18"/>
              </w:rPr>
              <w:t>Qualitative</w:t>
            </w:r>
          </w:p>
        </w:tc>
        <w:tc>
          <w:tcPr>
            <w:tcW w:w="1425" w:type="dxa"/>
            <w:gridSpan w:val="2"/>
          </w:tcPr>
          <w:p w:rsidR="00703227" w:rsidRPr="00A76056" w:rsidRDefault="00703227" w:rsidP="00A76056">
            <w:pPr>
              <w:pStyle w:val="TableBullet"/>
              <w:numPr>
                <w:ilvl w:val="0"/>
                <w:numId w:val="0"/>
              </w:numPr>
              <w:ind w:left="34" w:hanging="34"/>
              <w:rPr>
                <w:szCs w:val="18"/>
              </w:rPr>
            </w:pPr>
            <w:r w:rsidRPr="00A76056">
              <w:rPr>
                <w:szCs w:val="18"/>
              </w:rPr>
              <w:t>Regulator data</w:t>
            </w:r>
          </w:p>
        </w:tc>
        <w:tc>
          <w:tcPr>
            <w:tcW w:w="6387" w:type="dxa"/>
            <w:gridSpan w:val="4"/>
          </w:tcPr>
          <w:p w:rsidR="00703227" w:rsidRPr="00A76056" w:rsidRDefault="00703227" w:rsidP="002A10A7">
            <w:pPr>
              <w:rPr>
                <w:sz w:val="24"/>
                <w:szCs w:val="24"/>
              </w:rPr>
            </w:pPr>
            <w:r>
              <w:rPr>
                <w:sz w:val="24"/>
                <w:szCs w:val="24"/>
              </w:rPr>
              <w:t>DELETE</w:t>
            </w:r>
          </w:p>
          <w:p w:rsidR="00703227" w:rsidRPr="00A76056" w:rsidRDefault="00703227" w:rsidP="00547803">
            <w:pPr>
              <w:rPr>
                <w:sz w:val="24"/>
                <w:szCs w:val="24"/>
              </w:rPr>
            </w:pPr>
          </w:p>
        </w:tc>
      </w:tr>
      <w:tr w:rsidR="00703227" w:rsidTr="00402DE3">
        <w:tblPrEx>
          <w:jc w:val="left"/>
        </w:tblPrEx>
        <w:trPr>
          <w:gridAfter w:val="1"/>
          <w:wAfter w:w="204" w:type="dxa"/>
        </w:trPr>
        <w:tc>
          <w:tcPr>
            <w:tcW w:w="5373" w:type="dxa"/>
            <w:gridSpan w:val="2"/>
          </w:tcPr>
          <w:p w:rsidR="00703227" w:rsidRDefault="00703227" w:rsidP="00A76056">
            <w:pPr>
              <w:pStyle w:val="TableBullet"/>
              <w:numPr>
                <w:ilvl w:val="0"/>
                <w:numId w:val="0"/>
              </w:numPr>
              <w:rPr>
                <w:sz w:val="22"/>
                <w:szCs w:val="22"/>
              </w:rPr>
            </w:pPr>
            <w:r>
              <w:rPr>
                <w:sz w:val="22"/>
                <w:szCs w:val="22"/>
              </w:rPr>
              <w:t xml:space="preserve">20.4 </w:t>
            </w:r>
            <w:r w:rsidRPr="00A76056">
              <w:rPr>
                <w:sz w:val="22"/>
                <w:szCs w:val="22"/>
              </w:rPr>
              <w:t>Level of skills and standard of performance for trustee boards and investment committees, including review processes* (input)</w:t>
            </w:r>
          </w:p>
          <w:p w:rsidR="00C573E1" w:rsidRPr="00A76056" w:rsidRDefault="00C573E1" w:rsidP="00A76056">
            <w:pPr>
              <w:pStyle w:val="TableBullet"/>
              <w:numPr>
                <w:ilvl w:val="0"/>
                <w:numId w:val="0"/>
              </w:numPr>
              <w:rPr>
                <w:sz w:val="22"/>
                <w:szCs w:val="22"/>
              </w:rPr>
            </w:pPr>
          </w:p>
        </w:tc>
        <w:tc>
          <w:tcPr>
            <w:tcW w:w="1275" w:type="dxa"/>
            <w:gridSpan w:val="2"/>
          </w:tcPr>
          <w:p w:rsidR="00703227" w:rsidRPr="00A76056" w:rsidRDefault="00703227" w:rsidP="00A76056">
            <w:pPr>
              <w:pStyle w:val="TableBullet"/>
              <w:numPr>
                <w:ilvl w:val="0"/>
                <w:numId w:val="0"/>
              </w:numPr>
              <w:ind w:left="170" w:hanging="170"/>
              <w:rPr>
                <w:szCs w:val="18"/>
              </w:rPr>
            </w:pPr>
            <w:r w:rsidRPr="00A76056">
              <w:rPr>
                <w:szCs w:val="18"/>
              </w:rPr>
              <w:t>Qualitative</w:t>
            </w:r>
          </w:p>
        </w:tc>
        <w:tc>
          <w:tcPr>
            <w:tcW w:w="1425" w:type="dxa"/>
            <w:gridSpan w:val="2"/>
          </w:tcPr>
          <w:p w:rsidR="00703227" w:rsidRPr="00A76056" w:rsidRDefault="00703227" w:rsidP="00A76056">
            <w:pPr>
              <w:pStyle w:val="TableBullet"/>
              <w:numPr>
                <w:ilvl w:val="0"/>
                <w:numId w:val="0"/>
              </w:numPr>
              <w:ind w:left="34" w:hanging="34"/>
              <w:rPr>
                <w:szCs w:val="18"/>
              </w:rPr>
            </w:pPr>
            <w:r w:rsidRPr="00A76056">
              <w:rPr>
                <w:szCs w:val="18"/>
              </w:rPr>
              <w:t xml:space="preserve">Surveys, </w:t>
            </w:r>
            <w:r w:rsidRPr="00A76056">
              <w:rPr>
                <w:szCs w:val="18"/>
              </w:rPr>
              <w:br/>
              <w:t>Reviews by others</w:t>
            </w:r>
          </w:p>
        </w:tc>
        <w:tc>
          <w:tcPr>
            <w:tcW w:w="6387" w:type="dxa"/>
            <w:gridSpan w:val="4"/>
          </w:tcPr>
          <w:p w:rsidR="00703227" w:rsidRPr="00A76056" w:rsidRDefault="00703227" w:rsidP="002A10A7">
            <w:pPr>
              <w:rPr>
                <w:sz w:val="24"/>
                <w:szCs w:val="24"/>
              </w:rPr>
            </w:pPr>
            <w:r>
              <w:rPr>
                <w:sz w:val="24"/>
                <w:szCs w:val="24"/>
              </w:rPr>
              <w:t>DELETE</w:t>
            </w:r>
          </w:p>
          <w:p w:rsidR="00703227" w:rsidRPr="00A76056" w:rsidRDefault="00703227" w:rsidP="00547803">
            <w:pPr>
              <w:rPr>
                <w:sz w:val="24"/>
                <w:szCs w:val="24"/>
              </w:rPr>
            </w:pPr>
            <w:r w:rsidRPr="00A76056">
              <w:rPr>
                <w:sz w:val="24"/>
                <w:szCs w:val="24"/>
              </w:rPr>
              <w:t xml:space="preserve"> </w:t>
            </w:r>
          </w:p>
        </w:tc>
      </w:tr>
      <w:tr w:rsidR="00703227" w:rsidTr="00402DE3">
        <w:tblPrEx>
          <w:jc w:val="left"/>
        </w:tblPrEx>
        <w:trPr>
          <w:gridAfter w:val="1"/>
          <w:wAfter w:w="204" w:type="dxa"/>
        </w:trPr>
        <w:tc>
          <w:tcPr>
            <w:tcW w:w="5373" w:type="dxa"/>
            <w:gridSpan w:val="2"/>
          </w:tcPr>
          <w:p w:rsidR="00703227" w:rsidRPr="00A76056" w:rsidRDefault="00703227" w:rsidP="00A76056">
            <w:pPr>
              <w:pStyle w:val="TableBullet"/>
              <w:numPr>
                <w:ilvl w:val="0"/>
                <w:numId w:val="0"/>
              </w:numPr>
              <w:rPr>
                <w:sz w:val="22"/>
                <w:szCs w:val="22"/>
              </w:rPr>
            </w:pPr>
            <w:r>
              <w:rPr>
                <w:sz w:val="22"/>
                <w:szCs w:val="22"/>
              </w:rPr>
              <w:t xml:space="preserve">20.5 </w:t>
            </w:r>
            <w:r w:rsidRPr="00A76056">
              <w:rPr>
                <w:sz w:val="22"/>
                <w:szCs w:val="22"/>
              </w:rPr>
              <w:t>Member satisfaction and trust* (outcome)</w:t>
            </w:r>
          </w:p>
        </w:tc>
        <w:tc>
          <w:tcPr>
            <w:tcW w:w="1275" w:type="dxa"/>
            <w:gridSpan w:val="2"/>
          </w:tcPr>
          <w:p w:rsidR="00703227" w:rsidRPr="00A76056" w:rsidRDefault="00703227" w:rsidP="00A76056">
            <w:pPr>
              <w:pStyle w:val="TableBullet"/>
              <w:numPr>
                <w:ilvl w:val="0"/>
                <w:numId w:val="0"/>
              </w:numPr>
              <w:rPr>
                <w:szCs w:val="18"/>
              </w:rPr>
            </w:pPr>
            <w:r w:rsidRPr="00A76056">
              <w:rPr>
                <w:szCs w:val="18"/>
              </w:rPr>
              <w:t>Trend analysis</w:t>
            </w:r>
          </w:p>
        </w:tc>
        <w:tc>
          <w:tcPr>
            <w:tcW w:w="1425" w:type="dxa"/>
            <w:gridSpan w:val="2"/>
          </w:tcPr>
          <w:p w:rsidR="00703227" w:rsidRPr="00A76056" w:rsidRDefault="00703227" w:rsidP="00A76056">
            <w:pPr>
              <w:pStyle w:val="TableBullet"/>
              <w:numPr>
                <w:ilvl w:val="0"/>
                <w:numId w:val="0"/>
              </w:numPr>
              <w:ind w:left="170" w:hanging="170"/>
              <w:rPr>
                <w:szCs w:val="18"/>
              </w:rPr>
            </w:pPr>
            <w:r w:rsidRPr="00A76056">
              <w:rPr>
                <w:szCs w:val="18"/>
              </w:rPr>
              <w:t>Surveys</w:t>
            </w:r>
          </w:p>
        </w:tc>
        <w:tc>
          <w:tcPr>
            <w:tcW w:w="6387" w:type="dxa"/>
            <w:gridSpan w:val="4"/>
          </w:tcPr>
          <w:p w:rsidR="00703227" w:rsidRDefault="00703227" w:rsidP="00547803">
            <w:pPr>
              <w:rPr>
                <w:sz w:val="24"/>
                <w:szCs w:val="24"/>
              </w:rPr>
            </w:pPr>
            <w:r>
              <w:rPr>
                <w:sz w:val="24"/>
                <w:szCs w:val="24"/>
              </w:rPr>
              <w:t>DELETE</w:t>
            </w:r>
            <w:r w:rsidR="00C706A6">
              <w:rPr>
                <w:sz w:val="24"/>
                <w:szCs w:val="24"/>
              </w:rPr>
              <w:t xml:space="preserve">. </w:t>
            </w:r>
          </w:p>
          <w:p w:rsidR="00703227" w:rsidRPr="00A76056" w:rsidRDefault="00703227" w:rsidP="00547803">
            <w:pPr>
              <w:rPr>
                <w:sz w:val="24"/>
                <w:szCs w:val="24"/>
              </w:rPr>
            </w:pPr>
          </w:p>
        </w:tc>
      </w:tr>
    </w:tbl>
    <w:p w:rsidR="00270C4F" w:rsidRDefault="00270C4F"/>
    <w:tbl>
      <w:tblPr>
        <w:tblW w:w="14459" w:type="dxa"/>
        <w:jc w:val="center"/>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
        <w:gridCol w:w="5057"/>
        <w:gridCol w:w="1275"/>
        <w:gridCol w:w="1425"/>
        <w:gridCol w:w="4374"/>
        <w:gridCol w:w="2296"/>
      </w:tblGrid>
      <w:tr w:rsidR="00E17501" w:rsidTr="00F15AC9">
        <w:trPr>
          <w:jc w:val="center"/>
        </w:trPr>
        <w:tc>
          <w:tcPr>
            <w:tcW w:w="12163" w:type="dxa"/>
            <w:gridSpan w:val="5"/>
            <w:tcBorders>
              <w:right w:val="nil"/>
            </w:tcBorders>
          </w:tcPr>
          <w:p w:rsidR="00E17501" w:rsidRPr="00A76056" w:rsidRDefault="00E17501" w:rsidP="00A76056">
            <w:pPr>
              <w:pStyle w:val="TableBullet"/>
              <w:numPr>
                <w:ilvl w:val="0"/>
                <w:numId w:val="0"/>
              </w:numPr>
              <w:ind w:left="170" w:hanging="170"/>
              <w:rPr>
                <w:szCs w:val="18"/>
              </w:rPr>
            </w:pPr>
            <w:r w:rsidRPr="00A76056">
              <w:rPr>
                <w:b/>
                <w:sz w:val="24"/>
                <w:szCs w:val="24"/>
              </w:rPr>
              <w:lastRenderedPageBreak/>
              <w:t>2</w:t>
            </w:r>
            <w:r>
              <w:rPr>
                <w:b/>
                <w:sz w:val="24"/>
                <w:szCs w:val="24"/>
              </w:rPr>
              <w:t>1</w:t>
            </w:r>
            <w:r w:rsidRPr="00A76056">
              <w:rPr>
                <w:b/>
                <w:sz w:val="24"/>
                <w:szCs w:val="24"/>
              </w:rPr>
              <w:t>. Are there material systemic risks in the superannuation system?</w:t>
            </w:r>
          </w:p>
        </w:tc>
        <w:tc>
          <w:tcPr>
            <w:tcW w:w="2296" w:type="dxa"/>
            <w:tcBorders>
              <w:left w:val="nil"/>
            </w:tcBorders>
          </w:tcPr>
          <w:p w:rsidR="00E17501" w:rsidRDefault="00E17501" w:rsidP="002A10A7">
            <w:pPr>
              <w:rPr>
                <w:sz w:val="24"/>
                <w:szCs w:val="24"/>
              </w:rPr>
            </w:pPr>
          </w:p>
        </w:tc>
      </w:tr>
      <w:tr w:rsidR="00703227" w:rsidTr="00F15AC9">
        <w:trPr>
          <w:gridBefore w:val="1"/>
          <w:wBefore w:w="32" w:type="dxa"/>
          <w:jc w:val="center"/>
        </w:trPr>
        <w:tc>
          <w:tcPr>
            <w:tcW w:w="5057" w:type="dxa"/>
          </w:tcPr>
          <w:p w:rsidR="00703227" w:rsidRDefault="00703227" w:rsidP="00A76056">
            <w:pPr>
              <w:pStyle w:val="TableBullet"/>
              <w:numPr>
                <w:ilvl w:val="0"/>
                <w:numId w:val="0"/>
              </w:numPr>
              <w:rPr>
                <w:sz w:val="22"/>
                <w:szCs w:val="22"/>
              </w:rPr>
            </w:pPr>
            <w:r>
              <w:rPr>
                <w:sz w:val="22"/>
                <w:szCs w:val="22"/>
              </w:rPr>
              <w:t xml:space="preserve">21.1 </w:t>
            </w:r>
            <w:r w:rsidRPr="00A76056">
              <w:rPr>
                <w:sz w:val="22"/>
                <w:szCs w:val="22"/>
              </w:rPr>
              <w:t>Market concentration (Herfindahl Hirschman Index and market shares of largest providers) in upstream service provider markets (input)</w:t>
            </w:r>
          </w:p>
          <w:p w:rsidR="00C573E1" w:rsidRPr="00A76056" w:rsidRDefault="00C573E1"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A76056">
            <w:pPr>
              <w:pStyle w:val="TableBullet"/>
              <w:numPr>
                <w:ilvl w:val="0"/>
                <w:numId w:val="0"/>
              </w:numPr>
              <w:rPr>
                <w:szCs w:val="18"/>
              </w:rPr>
            </w:pPr>
            <w:r w:rsidRPr="00A76056">
              <w:rPr>
                <w:szCs w:val="18"/>
              </w:rPr>
              <w:t>Industry data Regulator data</w:t>
            </w:r>
          </w:p>
        </w:tc>
        <w:tc>
          <w:tcPr>
            <w:tcW w:w="6670" w:type="dxa"/>
            <w:gridSpan w:val="2"/>
          </w:tcPr>
          <w:p w:rsidR="00703227" w:rsidRPr="00C573E1" w:rsidRDefault="00703227" w:rsidP="00E4684B">
            <w:pPr>
              <w:rPr>
                <w:sz w:val="24"/>
                <w:szCs w:val="24"/>
              </w:rPr>
            </w:pPr>
            <w:r w:rsidRPr="00C573E1">
              <w:rPr>
                <w:sz w:val="24"/>
                <w:szCs w:val="24"/>
              </w:rPr>
              <w:t>SUPPORT</w:t>
            </w:r>
          </w:p>
        </w:tc>
      </w:tr>
      <w:tr w:rsidR="00703227" w:rsidTr="00F15AC9">
        <w:trPr>
          <w:gridBefore w:val="1"/>
          <w:wBefore w:w="32" w:type="dxa"/>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21.2 </w:t>
            </w:r>
            <w:r w:rsidRPr="00A76056">
              <w:rPr>
                <w:sz w:val="22"/>
                <w:szCs w:val="22"/>
              </w:rPr>
              <w:t>Levels of leverage in SMSFs (input)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Default="00703227" w:rsidP="00A76056">
            <w:pPr>
              <w:pStyle w:val="TableBullet"/>
              <w:numPr>
                <w:ilvl w:val="0"/>
                <w:numId w:val="0"/>
              </w:numPr>
              <w:rPr>
                <w:szCs w:val="18"/>
              </w:rPr>
            </w:pPr>
            <w:r w:rsidRPr="00A76056">
              <w:rPr>
                <w:szCs w:val="18"/>
              </w:rPr>
              <w:t>Regulator data</w:t>
            </w:r>
          </w:p>
          <w:p w:rsidR="00C573E1" w:rsidRPr="00A76056" w:rsidRDefault="00C573E1" w:rsidP="00A76056">
            <w:pPr>
              <w:pStyle w:val="TableBullet"/>
              <w:numPr>
                <w:ilvl w:val="0"/>
                <w:numId w:val="0"/>
              </w:numPr>
              <w:rPr>
                <w:szCs w:val="18"/>
              </w:rPr>
            </w:pPr>
          </w:p>
        </w:tc>
        <w:tc>
          <w:tcPr>
            <w:tcW w:w="6670" w:type="dxa"/>
            <w:gridSpan w:val="2"/>
          </w:tcPr>
          <w:p w:rsidR="00703227" w:rsidRPr="00A76056" w:rsidRDefault="00703227" w:rsidP="00E4684B">
            <w:pPr>
              <w:rPr>
                <w:b/>
                <w:sz w:val="24"/>
                <w:szCs w:val="24"/>
              </w:rPr>
            </w:pPr>
            <w:r w:rsidRPr="002A10A7">
              <w:rPr>
                <w:sz w:val="24"/>
                <w:szCs w:val="24"/>
              </w:rPr>
              <w:t>SUPPORT</w:t>
            </w:r>
          </w:p>
        </w:tc>
      </w:tr>
    </w:tbl>
    <w:p w:rsidR="00270C4F" w:rsidRDefault="00270C4F"/>
    <w:tbl>
      <w:tblPr>
        <w:tblW w:w="14427" w:type="dxa"/>
        <w:jc w:val="center"/>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57"/>
        <w:gridCol w:w="1275"/>
        <w:gridCol w:w="1425"/>
        <w:gridCol w:w="4103"/>
        <w:gridCol w:w="2567"/>
      </w:tblGrid>
      <w:tr w:rsidR="00E17501" w:rsidTr="00F15AC9">
        <w:trPr>
          <w:jc w:val="center"/>
        </w:trPr>
        <w:tc>
          <w:tcPr>
            <w:tcW w:w="11860" w:type="dxa"/>
            <w:gridSpan w:val="4"/>
            <w:tcBorders>
              <w:right w:val="nil"/>
            </w:tcBorders>
          </w:tcPr>
          <w:p w:rsidR="00E17501" w:rsidRDefault="00E17501" w:rsidP="00A76056">
            <w:pPr>
              <w:pStyle w:val="TableBullet"/>
              <w:numPr>
                <w:ilvl w:val="0"/>
                <w:numId w:val="0"/>
              </w:numPr>
              <w:rPr>
                <w:b/>
                <w:sz w:val="24"/>
                <w:szCs w:val="24"/>
              </w:rPr>
            </w:pPr>
            <w:r w:rsidRPr="00A76056">
              <w:rPr>
                <w:b/>
                <w:sz w:val="24"/>
                <w:szCs w:val="24"/>
              </w:rPr>
              <w:lastRenderedPageBreak/>
              <w:t>2</w:t>
            </w:r>
            <w:r>
              <w:rPr>
                <w:b/>
                <w:sz w:val="24"/>
                <w:szCs w:val="24"/>
              </w:rPr>
              <w:t>2</w:t>
            </w:r>
            <w:r w:rsidRPr="00A76056">
              <w:rPr>
                <w:b/>
                <w:sz w:val="24"/>
                <w:szCs w:val="24"/>
              </w:rPr>
              <w:t>. Do funds offer insurance products that meet members’ needs?</w:t>
            </w:r>
          </w:p>
          <w:p w:rsidR="00EF52AE" w:rsidRPr="00EF52AE" w:rsidRDefault="00EF52AE" w:rsidP="00A76056">
            <w:pPr>
              <w:pStyle w:val="TableBullet"/>
              <w:numPr>
                <w:ilvl w:val="0"/>
                <w:numId w:val="0"/>
              </w:numPr>
              <w:rPr>
                <w:sz w:val="22"/>
                <w:szCs w:val="22"/>
              </w:rPr>
            </w:pPr>
            <w:r>
              <w:rPr>
                <w:sz w:val="22"/>
                <w:szCs w:val="22"/>
              </w:rPr>
              <w:t xml:space="preserve">           Note: </w:t>
            </w:r>
            <w:r w:rsidRPr="00EF52AE">
              <w:rPr>
                <w:i/>
                <w:sz w:val="22"/>
                <w:szCs w:val="22"/>
              </w:rPr>
              <w:t>Mercer recommends this criterion be amended</w:t>
            </w:r>
            <w:r w:rsidR="00ED74A0">
              <w:rPr>
                <w:i/>
                <w:sz w:val="22"/>
                <w:szCs w:val="22"/>
              </w:rPr>
              <w:t xml:space="preserve"> to another criterion</w:t>
            </w:r>
            <w:r w:rsidRPr="00EF52AE">
              <w:rPr>
                <w:i/>
                <w:sz w:val="22"/>
                <w:szCs w:val="22"/>
              </w:rPr>
              <w:t xml:space="preserve"> – refer Attachment 2</w:t>
            </w:r>
          </w:p>
        </w:tc>
        <w:tc>
          <w:tcPr>
            <w:tcW w:w="2567" w:type="dxa"/>
            <w:tcBorders>
              <w:left w:val="nil"/>
            </w:tcBorders>
          </w:tcPr>
          <w:p w:rsidR="00E17501" w:rsidRPr="002A10A7" w:rsidRDefault="00E17501" w:rsidP="00E4684B">
            <w:pPr>
              <w:rPr>
                <w:sz w:val="24"/>
                <w:szCs w:val="24"/>
              </w:rPr>
            </w:pPr>
          </w:p>
        </w:tc>
      </w:tr>
      <w:tr w:rsidR="00703227" w:rsidTr="00F15AC9">
        <w:trPr>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22.1 </w:t>
            </w:r>
            <w:r w:rsidRPr="00A76056">
              <w:rPr>
                <w:sz w:val="22"/>
                <w:szCs w:val="22"/>
              </w:rPr>
              <w:t>Duplicate insurance policies by insurance type (output)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p>
        </w:tc>
        <w:tc>
          <w:tcPr>
            <w:tcW w:w="6670" w:type="dxa"/>
            <w:gridSpan w:val="2"/>
          </w:tcPr>
          <w:p w:rsidR="00703227" w:rsidRPr="00A76056" w:rsidRDefault="00703227" w:rsidP="001C061F">
            <w:pPr>
              <w:rPr>
                <w:b/>
                <w:sz w:val="24"/>
                <w:szCs w:val="24"/>
              </w:rPr>
            </w:pPr>
            <w:r>
              <w:rPr>
                <w:sz w:val="24"/>
                <w:szCs w:val="24"/>
              </w:rPr>
              <w:t>SUPPORT:  However we note s</w:t>
            </w:r>
            <w:r w:rsidRPr="00A76056">
              <w:rPr>
                <w:sz w:val="24"/>
                <w:szCs w:val="24"/>
              </w:rPr>
              <w:t xml:space="preserve">urvey results will be affected by member </w:t>
            </w:r>
            <w:r>
              <w:rPr>
                <w:sz w:val="24"/>
                <w:szCs w:val="24"/>
              </w:rPr>
              <w:t>awareness</w:t>
            </w:r>
            <w:r w:rsidRPr="00A76056">
              <w:rPr>
                <w:sz w:val="24"/>
                <w:szCs w:val="24"/>
              </w:rPr>
              <w:t>, as well as the products offered by each fund. It may also be worth considering a comparison of the total number of accounts with insurance cover (based on regulator data) with an estimate of the number of individuals under age 65 (say) with superannuation</w:t>
            </w:r>
            <w:r>
              <w:rPr>
                <w:sz w:val="24"/>
                <w:szCs w:val="24"/>
              </w:rPr>
              <w:t xml:space="preserve"> (though cover in more than one fund will be intentional in a limited number of cases)</w:t>
            </w:r>
            <w:r w:rsidRPr="00A76056">
              <w:rPr>
                <w:b/>
                <w:sz w:val="24"/>
                <w:szCs w:val="24"/>
              </w:rPr>
              <w:t xml:space="preserve">. </w:t>
            </w:r>
          </w:p>
          <w:p w:rsidR="00703227" w:rsidRPr="00A76056" w:rsidRDefault="00703227" w:rsidP="00E4684B">
            <w:pPr>
              <w:rPr>
                <w:sz w:val="24"/>
                <w:szCs w:val="24"/>
              </w:rPr>
            </w:pPr>
          </w:p>
        </w:tc>
      </w:tr>
      <w:tr w:rsidR="00703227" w:rsidTr="00F15AC9">
        <w:trPr>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22.2 </w:t>
            </w:r>
            <w:r w:rsidRPr="00A76056">
              <w:rPr>
                <w:sz w:val="22"/>
                <w:szCs w:val="22"/>
              </w:rPr>
              <w:t>Rates of insurance take up in choice products and SMSFs relative to default products (output)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r w:rsidRPr="00A76056">
              <w:rPr>
                <w:szCs w:val="18"/>
              </w:rPr>
              <w:br/>
              <w:t>Regulator data</w:t>
            </w:r>
          </w:p>
        </w:tc>
        <w:tc>
          <w:tcPr>
            <w:tcW w:w="6670" w:type="dxa"/>
            <w:gridSpan w:val="2"/>
          </w:tcPr>
          <w:p w:rsidR="00703227" w:rsidRPr="00A76056" w:rsidRDefault="00703227" w:rsidP="005F4261">
            <w:pPr>
              <w:rPr>
                <w:sz w:val="24"/>
                <w:szCs w:val="24"/>
              </w:rPr>
            </w:pPr>
            <w:r>
              <w:rPr>
                <w:sz w:val="24"/>
                <w:szCs w:val="24"/>
              </w:rPr>
              <w:t xml:space="preserve">QUALIFIED SUPPORT: Those </w:t>
            </w:r>
            <w:r w:rsidRPr="00C573E1">
              <w:rPr>
                <w:sz w:val="24"/>
                <w:szCs w:val="24"/>
              </w:rPr>
              <w:t>in choice products and SMSFs may have cover in default products.</w:t>
            </w:r>
            <w:r w:rsidRPr="00A76056">
              <w:rPr>
                <w:szCs w:val="22"/>
              </w:rPr>
              <w:t xml:space="preserve"> </w:t>
            </w:r>
            <w:r w:rsidRPr="00A76056">
              <w:rPr>
                <w:sz w:val="24"/>
                <w:szCs w:val="24"/>
              </w:rPr>
              <w:t>Rates of take up of tailored cover by default members would also be a useful indicator of the suitability of the optional cover arrangements.</w:t>
            </w:r>
          </w:p>
          <w:p w:rsidR="00703227" w:rsidRPr="00A76056" w:rsidRDefault="00703227" w:rsidP="005F4261">
            <w:pPr>
              <w:rPr>
                <w:sz w:val="24"/>
                <w:szCs w:val="24"/>
              </w:rPr>
            </w:pPr>
          </w:p>
        </w:tc>
      </w:tr>
      <w:tr w:rsidR="00703227" w:rsidTr="00F15AC9">
        <w:trPr>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22.3 </w:t>
            </w:r>
            <w:r w:rsidRPr="00A76056">
              <w:rPr>
                <w:sz w:val="22"/>
                <w:szCs w:val="22"/>
              </w:rPr>
              <w:t>Member awareness of key features of their superannuation, including insurance* (input)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 qualitative</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p>
        </w:tc>
        <w:tc>
          <w:tcPr>
            <w:tcW w:w="6670" w:type="dxa"/>
            <w:gridSpan w:val="2"/>
          </w:tcPr>
          <w:p w:rsidR="00703227" w:rsidRPr="00A76056" w:rsidRDefault="00703227" w:rsidP="00C75C29">
            <w:pPr>
              <w:rPr>
                <w:sz w:val="24"/>
                <w:szCs w:val="24"/>
              </w:rPr>
            </w:pPr>
            <w:r>
              <w:rPr>
                <w:sz w:val="24"/>
                <w:szCs w:val="24"/>
              </w:rPr>
              <w:t>SUPPORT: However we n</w:t>
            </w:r>
            <w:r w:rsidRPr="00A76056">
              <w:rPr>
                <w:sz w:val="24"/>
                <w:szCs w:val="24"/>
              </w:rPr>
              <w:t>ote that non-awareness of key features could reflect poor financial literacy or other incapacity of the member rather than the fact the fund does not provide insurance products that meet member needs.</w:t>
            </w:r>
          </w:p>
          <w:p w:rsidR="00703227" w:rsidRPr="00A76056" w:rsidRDefault="00703227" w:rsidP="00C75C29">
            <w:pPr>
              <w:rPr>
                <w:sz w:val="24"/>
                <w:szCs w:val="24"/>
              </w:rPr>
            </w:pPr>
          </w:p>
        </w:tc>
      </w:tr>
      <w:tr w:rsidR="00703227" w:rsidTr="00F15AC9">
        <w:trPr>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22.4 </w:t>
            </w:r>
            <w:r w:rsidRPr="00A76056">
              <w:rPr>
                <w:sz w:val="22"/>
                <w:szCs w:val="22"/>
              </w:rPr>
              <w:t>Level of unclaimed insurance (output)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p>
        </w:tc>
        <w:tc>
          <w:tcPr>
            <w:tcW w:w="6670" w:type="dxa"/>
            <w:gridSpan w:val="2"/>
          </w:tcPr>
          <w:p w:rsidR="00703227" w:rsidRPr="00A76056" w:rsidRDefault="00703227" w:rsidP="001C061F">
            <w:pPr>
              <w:rPr>
                <w:sz w:val="24"/>
                <w:szCs w:val="24"/>
              </w:rPr>
            </w:pPr>
            <w:r>
              <w:rPr>
                <w:sz w:val="24"/>
                <w:szCs w:val="24"/>
              </w:rPr>
              <w:t xml:space="preserve">DELETE: </w:t>
            </w:r>
            <w:r w:rsidRPr="00A76056">
              <w:rPr>
                <w:sz w:val="24"/>
                <w:szCs w:val="24"/>
              </w:rPr>
              <w:t xml:space="preserve">Unclaimed death </w:t>
            </w:r>
            <w:r w:rsidR="00C573E1">
              <w:rPr>
                <w:sz w:val="24"/>
                <w:szCs w:val="24"/>
              </w:rPr>
              <w:t>benefits</w:t>
            </w:r>
            <w:r w:rsidRPr="00A76056">
              <w:rPr>
                <w:sz w:val="24"/>
                <w:szCs w:val="24"/>
              </w:rPr>
              <w:t xml:space="preserve"> will be very low and there is no way of determining unclaimed disability </w:t>
            </w:r>
            <w:r w:rsidR="00C573E1">
              <w:rPr>
                <w:sz w:val="24"/>
                <w:szCs w:val="24"/>
              </w:rPr>
              <w:t>benefits</w:t>
            </w:r>
            <w:r w:rsidRPr="00A76056">
              <w:rPr>
                <w:sz w:val="24"/>
                <w:szCs w:val="24"/>
              </w:rPr>
              <w:t>.</w:t>
            </w:r>
          </w:p>
          <w:p w:rsidR="00703227" w:rsidRPr="00A76056" w:rsidRDefault="00703227" w:rsidP="00C573E1">
            <w:pPr>
              <w:rPr>
                <w:sz w:val="24"/>
                <w:szCs w:val="24"/>
              </w:rPr>
            </w:pPr>
          </w:p>
        </w:tc>
      </w:tr>
      <w:tr w:rsidR="00703227" w:rsidTr="00F15AC9">
        <w:trPr>
          <w:jc w:val="center"/>
        </w:trPr>
        <w:tc>
          <w:tcPr>
            <w:tcW w:w="5057" w:type="dxa"/>
          </w:tcPr>
          <w:p w:rsidR="00703227" w:rsidRDefault="00703227" w:rsidP="00A76056">
            <w:pPr>
              <w:pStyle w:val="TableBullet"/>
              <w:numPr>
                <w:ilvl w:val="0"/>
                <w:numId w:val="0"/>
              </w:numPr>
              <w:rPr>
                <w:sz w:val="22"/>
                <w:szCs w:val="22"/>
              </w:rPr>
            </w:pPr>
            <w:r>
              <w:rPr>
                <w:sz w:val="22"/>
                <w:szCs w:val="22"/>
              </w:rPr>
              <w:t xml:space="preserve">22.5 </w:t>
            </w:r>
            <w:r w:rsidRPr="00A76056">
              <w:rPr>
                <w:sz w:val="22"/>
                <w:szCs w:val="22"/>
              </w:rPr>
              <w:t>Ease of members opting out of insurance (input)</w:t>
            </w:r>
          </w:p>
          <w:p w:rsidR="00C573E1" w:rsidRDefault="00C573E1" w:rsidP="00A76056">
            <w:pPr>
              <w:pStyle w:val="TableBullet"/>
              <w:numPr>
                <w:ilvl w:val="0"/>
                <w:numId w:val="0"/>
              </w:numPr>
              <w:rPr>
                <w:sz w:val="22"/>
                <w:szCs w:val="22"/>
              </w:rPr>
            </w:pPr>
          </w:p>
          <w:p w:rsidR="00270C4F" w:rsidRPr="00A76056" w:rsidRDefault="00270C4F"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lastRenderedPageBreak/>
              <w:t>Qualitative</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p>
        </w:tc>
        <w:tc>
          <w:tcPr>
            <w:tcW w:w="6670" w:type="dxa"/>
            <w:gridSpan w:val="2"/>
          </w:tcPr>
          <w:p w:rsidR="00703227" w:rsidRPr="00A76056" w:rsidRDefault="00703227" w:rsidP="00E4684B">
            <w:pPr>
              <w:rPr>
                <w:sz w:val="24"/>
                <w:szCs w:val="24"/>
              </w:rPr>
            </w:pPr>
            <w:r>
              <w:rPr>
                <w:sz w:val="24"/>
                <w:szCs w:val="24"/>
              </w:rPr>
              <w:t>SUPPORT</w:t>
            </w:r>
          </w:p>
        </w:tc>
      </w:tr>
      <w:tr w:rsidR="00703227" w:rsidTr="00F15AC9">
        <w:trPr>
          <w:jc w:val="center"/>
        </w:trPr>
        <w:tc>
          <w:tcPr>
            <w:tcW w:w="5057" w:type="dxa"/>
          </w:tcPr>
          <w:p w:rsidR="00703227" w:rsidRDefault="00703227" w:rsidP="00A76056">
            <w:pPr>
              <w:pStyle w:val="TableBullet"/>
              <w:numPr>
                <w:ilvl w:val="0"/>
                <w:numId w:val="0"/>
              </w:numPr>
              <w:rPr>
                <w:sz w:val="22"/>
                <w:szCs w:val="22"/>
              </w:rPr>
            </w:pPr>
            <w:r>
              <w:rPr>
                <w:sz w:val="22"/>
                <w:szCs w:val="22"/>
              </w:rPr>
              <w:lastRenderedPageBreak/>
              <w:t xml:space="preserve">22.6 </w:t>
            </w:r>
            <w:r w:rsidRPr="00A76056">
              <w:rPr>
                <w:sz w:val="22"/>
                <w:szCs w:val="22"/>
              </w:rPr>
              <w:t>Time to respond to members compared to retail provider benchmarks (input)</w:t>
            </w:r>
          </w:p>
          <w:p w:rsidR="00C573E1" w:rsidRPr="00A76056" w:rsidRDefault="00C573E1"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A76056">
            <w:pPr>
              <w:pStyle w:val="TableBullet"/>
              <w:numPr>
                <w:ilvl w:val="0"/>
                <w:numId w:val="0"/>
              </w:numPr>
              <w:ind w:left="34"/>
              <w:rPr>
                <w:szCs w:val="18"/>
              </w:rPr>
            </w:pPr>
            <w:r w:rsidRPr="00A76056">
              <w:rPr>
                <w:szCs w:val="18"/>
              </w:rPr>
              <w:t>Surveys</w:t>
            </w:r>
            <w:r w:rsidRPr="00A76056">
              <w:rPr>
                <w:szCs w:val="18"/>
              </w:rPr>
              <w:br/>
              <w:t>Industry data</w:t>
            </w:r>
          </w:p>
        </w:tc>
        <w:tc>
          <w:tcPr>
            <w:tcW w:w="6670" w:type="dxa"/>
            <w:gridSpan w:val="2"/>
          </w:tcPr>
          <w:p w:rsidR="00703227" w:rsidRPr="00A76056" w:rsidRDefault="00703227" w:rsidP="00E4684B">
            <w:pPr>
              <w:rPr>
                <w:sz w:val="24"/>
                <w:szCs w:val="24"/>
              </w:rPr>
            </w:pPr>
            <w:r>
              <w:rPr>
                <w:sz w:val="24"/>
                <w:szCs w:val="24"/>
              </w:rPr>
              <w:t>SUPPORT</w:t>
            </w:r>
          </w:p>
        </w:tc>
      </w:tr>
      <w:tr w:rsidR="00703227" w:rsidTr="00F15AC9">
        <w:trPr>
          <w:jc w:val="center"/>
        </w:trPr>
        <w:tc>
          <w:tcPr>
            <w:tcW w:w="5057" w:type="dxa"/>
          </w:tcPr>
          <w:p w:rsidR="00703227" w:rsidRDefault="00703227" w:rsidP="00A76056">
            <w:pPr>
              <w:pStyle w:val="TableBullet"/>
              <w:numPr>
                <w:ilvl w:val="0"/>
                <w:numId w:val="0"/>
              </w:numPr>
              <w:rPr>
                <w:sz w:val="22"/>
                <w:szCs w:val="22"/>
              </w:rPr>
            </w:pPr>
            <w:r>
              <w:rPr>
                <w:sz w:val="22"/>
                <w:szCs w:val="22"/>
              </w:rPr>
              <w:t xml:space="preserve">22.7 </w:t>
            </w:r>
            <w:r w:rsidRPr="00A76056">
              <w:rPr>
                <w:sz w:val="22"/>
                <w:szCs w:val="22"/>
              </w:rPr>
              <w:t>Information collection by funds on key member characteristics* (input)</w:t>
            </w:r>
          </w:p>
          <w:p w:rsidR="00C573E1" w:rsidRPr="00A76056" w:rsidRDefault="00C573E1"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Qualitative</w:t>
            </w:r>
          </w:p>
        </w:tc>
        <w:tc>
          <w:tcPr>
            <w:tcW w:w="1425" w:type="dxa"/>
          </w:tcPr>
          <w:p w:rsidR="00703227" w:rsidRPr="00A76056" w:rsidRDefault="00703227" w:rsidP="00A76056">
            <w:pPr>
              <w:pStyle w:val="TableBullet"/>
              <w:numPr>
                <w:ilvl w:val="0"/>
                <w:numId w:val="0"/>
              </w:numPr>
              <w:ind w:left="34"/>
              <w:rPr>
                <w:szCs w:val="18"/>
              </w:rPr>
            </w:pPr>
            <w:r w:rsidRPr="00A76056">
              <w:rPr>
                <w:szCs w:val="18"/>
              </w:rPr>
              <w:t xml:space="preserve">Surveys </w:t>
            </w:r>
            <w:r w:rsidRPr="00A76056">
              <w:rPr>
                <w:szCs w:val="18"/>
              </w:rPr>
              <w:br/>
              <w:t>Case studies</w:t>
            </w:r>
          </w:p>
        </w:tc>
        <w:tc>
          <w:tcPr>
            <w:tcW w:w="6670" w:type="dxa"/>
            <w:gridSpan w:val="2"/>
          </w:tcPr>
          <w:p w:rsidR="00703227" w:rsidRPr="00A76056" w:rsidRDefault="00703227" w:rsidP="00F17F46">
            <w:pPr>
              <w:rPr>
                <w:sz w:val="24"/>
                <w:szCs w:val="24"/>
              </w:rPr>
            </w:pPr>
            <w:r>
              <w:rPr>
                <w:sz w:val="24"/>
                <w:szCs w:val="24"/>
              </w:rPr>
              <w:t xml:space="preserve">DELETE – see comments on </w:t>
            </w:r>
            <w:r w:rsidR="00F17F46">
              <w:rPr>
                <w:sz w:val="24"/>
                <w:szCs w:val="24"/>
              </w:rPr>
              <w:t>indicator 1.7</w:t>
            </w:r>
          </w:p>
        </w:tc>
      </w:tr>
      <w:tr w:rsidR="00703227" w:rsidTr="00F15AC9">
        <w:trPr>
          <w:jc w:val="center"/>
        </w:trPr>
        <w:tc>
          <w:tcPr>
            <w:tcW w:w="5057" w:type="dxa"/>
          </w:tcPr>
          <w:p w:rsidR="00703227" w:rsidRDefault="00703227" w:rsidP="00A76056">
            <w:pPr>
              <w:pStyle w:val="TableBullet"/>
              <w:numPr>
                <w:ilvl w:val="0"/>
                <w:numId w:val="0"/>
              </w:numPr>
              <w:rPr>
                <w:sz w:val="22"/>
                <w:szCs w:val="22"/>
              </w:rPr>
            </w:pPr>
            <w:r>
              <w:rPr>
                <w:sz w:val="22"/>
                <w:szCs w:val="22"/>
              </w:rPr>
              <w:t xml:space="preserve">22.8 </w:t>
            </w:r>
            <w:r w:rsidRPr="00A76056">
              <w:rPr>
                <w:sz w:val="22"/>
                <w:szCs w:val="22"/>
              </w:rPr>
              <w:t>Use of member information by funds to target insurance products (input)</w:t>
            </w:r>
          </w:p>
          <w:p w:rsidR="00C573E1" w:rsidRPr="00A76056" w:rsidRDefault="00C573E1"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Qualitative</w:t>
            </w:r>
          </w:p>
        </w:tc>
        <w:tc>
          <w:tcPr>
            <w:tcW w:w="1425" w:type="dxa"/>
          </w:tcPr>
          <w:p w:rsidR="00703227" w:rsidRPr="00A76056" w:rsidRDefault="00703227" w:rsidP="00A76056">
            <w:pPr>
              <w:pStyle w:val="TableBullet"/>
              <w:numPr>
                <w:ilvl w:val="0"/>
                <w:numId w:val="0"/>
              </w:numPr>
              <w:ind w:left="34"/>
              <w:rPr>
                <w:szCs w:val="18"/>
              </w:rPr>
            </w:pPr>
            <w:r w:rsidRPr="00A76056">
              <w:rPr>
                <w:szCs w:val="18"/>
              </w:rPr>
              <w:t xml:space="preserve">Surveys </w:t>
            </w:r>
            <w:r w:rsidRPr="00A76056">
              <w:rPr>
                <w:szCs w:val="18"/>
              </w:rPr>
              <w:br/>
              <w:t>Case studies</w:t>
            </w:r>
          </w:p>
        </w:tc>
        <w:tc>
          <w:tcPr>
            <w:tcW w:w="6670" w:type="dxa"/>
            <w:gridSpan w:val="2"/>
          </w:tcPr>
          <w:p w:rsidR="00703227" w:rsidRPr="00A76056" w:rsidRDefault="00703227" w:rsidP="00E4684B">
            <w:pPr>
              <w:rPr>
                <w:sz w:val="24"/>
                <w:szCs w:val="24"/>
              </w:rPr>
            </w:pPr>
            <w:r>
              <w:rPr>
                <w:sz w:val="24"/>
                <w:szCs w:val="24"/>
              </w:rPr>
              <w:t>SUPPORT</w:t>
            </w:r>
          </w:p>
        </w:tc>
      </w:tr>
      <w:tr w:rsidR="00703227" w:rsidTr="00F15AC9">
        <w:trPr>
          <w:jc w:val="center"/>
        </w:trPr>
        <w:tc>
          <w:tcPr>
            <w:tcW w:w="5057" w:type="dxa"/>
          </w:tcPr>
          <w:p w:rsidR="00703227" w:rsidRPr="00A76056" w:rsidRDefault="00703227" w:rsidP="00A76056">
            <w:pPr>
              <w:pStyle w:val="TableBullet"/>
              <w:numPr>
                <w:ilvl w:val="0"/>
                <w:numId w:val="0"/>
              </w:numPr>
              <w:rPr>
                <w:sz w:val="22"/>
                <w:szCs w:val="22"/>
              </w:rPr>
            </w:pPr>
            <w:r>
              <w:rPr>
                <w:sz w:val="22"/>
                <w:szCs w:val="22"/>
              </w:rPr>
              <w:t xml:space="preserve">22.9 </w:t>
            </w:r>
            <w:r w:rsidRPr="00A76056">
              <w:rPr>
                <w:sz w:val="22"/>
                <w:szCs w:val="22"/>
              </w:rPr>
              <w:t>Comparability of insurance product information disclosed by funds* (input)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Qualitative</w:t>
            </w:r>
          </w:p>
        </w:tc>
        <w:tc>
          <w:tcPr>
            <w:tcW w:w="1425" w:type="dxa"/>
          </w:tcPr>
          <w:p w:rsidR="00703227" w:rsidRPr="00A76056" w:rsidRDefault="00703227" w:rsidP="00A76056">
            <w:pPr>
              <w:pStyle w:val="TableBullet"/>
              <w:numPr>
                <w:ilvl w:val="0"/>
                <w:numId w:val="0"/>
              </w:numPr>
              <w:ind w:left="34"/>
              <w:rPr>
                <w:szCs w:val="18"/>
              </w:rPr>
            </w:pPr>
            <w:r w:rsidRPr="00A76056">
              <w:rPr>
                <w:szCs w:val="18"/>
              </w:rPr>
              <w:t xml:space="preserve">Surveys </w:t>
            </w:r>
            <w:r w:rsidRPr="00A76056">
              <w:rPr>
                <w:szCs w:val="18"/>
              </w:rPr>
              <w:br/>
              <w:t>Case studies</w:t>
            </w:r>
          </w:p>
        </w:tc>
        <w:tc>
          <w:tcPr>
            <w:tcW w:w="6670" w:type="dxa"/>
            <w:gridSpan w:val="2"/>
          </w:tcPr>
          <w:p w:rsidR="00307B6A" w:rsidRDefault="00703227" w:rsidP="00E4684B">
            <w:pPr>
              <w:rPr>
                <w:sz w:val="24"/>
                <w:szCs w:val="24"/>
              </w:rPr>
            </w:pPr>
            <w:r>
              <w:rPr>
                <w:sz w:val="24"/>
                <w:szCs w:val="24"/>
              </w:rPr>
              <w:t>SUPPORT</w:t>
            </w:r>
            <w:r>
              <w:rPr>
                <w:b/>
                <w:szCs w:val="22"/>
              </w:rPr>
              <w:t>:</w:t>
            </w:r>
            <w:r>
              <w:rPr>
                <w:sz w:val="24"/>
                <w:szCs w:val="24"/>
              </w:rPr>
              <w:t xml:space="preserve"> However we </w:t>
            </w:r>
            <w:r w:rsidRPr="00A76056">
              <w:rPr>
                <w:sz w:val="24"/>
                <w:szCs w:val="24"/>
              </w:rPr>
              <w:t>note that disparity in insurance product disclosures may reflect the different types of insurance on offer</w:t>
            </w:r>
            <w:r>
              <w:rPr>
                <w:sz w:val="24"/>
                <w:szCs w:val="24"/>
              </w:rPr>
              <w:t>, as well as differences in membership composition or target market.</w:t>
            </w:r>
          </w:p>
          <w:p w:rsidR="00703227" w:rsidRPr="00A76056" w:rsidRDefault="00703227" w:rsidP="00E4684B">
            <w:pPr>
              <w:rPr>
                <w:sz w:val="24"/>
                <w:szCs w:val="24"/>
              </w:rPr>
            </w:pPr>
            <w:r>
              <w:rPr>
                <w:sz w:val="24"/>
                <w:szCs w:val="24"/>
              </w:rPr>
              <w:t xml:space="preserve"> </w:t>
            </w:r>
          </w:p>
        </w:tc>
      </w:tr>
      <w:tr w:rsidR="00703227" w:rsidTr="00F15AC9">
        <w:trPr>
          <w:jc w:val="center"/>
        </w:trPr>
        <w:tc>
          <w:tcPr>
            <w:tcW w:w="5057" w:type="dxa"/>
          </w:tcPr>
          <w:p w:rsidR="00703227" w:rsidRPr="00A76056" w:rsidRDefault="00703227" w:rsidP="006149EA">
            <w:pPr>
              <w:pStyle w:val="TableBullet"/>
              <w:numPr>
                <w:ilvl w:val="0"/>
                <w:numId w:val="0"/>
              </w:numPr>
              <w:rPr>
                <w:sz w:val="22"/>
                <w:szCs w:val="22"/>
              </w:rPr>
            </w:pPr>
            <w:r>
              <w:rPr>
                <w:sz w:val="22"/>
                <w:szCs w:val="22"/>
              </w:rPr>
              <w:t xml:space="preserve">22.10 MERCER ADDED INDICATOR: </w:t>
            </w:r>
            <w:r w:rsidRPr="00A76056">
              <w:rPr>
                <w:sz w:val="24"/>
                <w:szCs w:val="24"/>
              </w:rPr>
              <w:t>Average insurance cover by age band</w:t>
            </w:r>
            <w:r w:rsidRPr="00A76056">
              <w:rPr>
                <w:sz w:val="22"/>
                <w:szCs w:val="22"/>
              </w:rPr>
              <w:t xml:space="preserve"> (</w:t>
            </w:r>
            <w:r>
              <w:rPr>
                <w:sz w:val="22"/>
                <w:szCs w:val="22"/>
              </w:rPr>
              <w:t>out</w:t>
            </w:r>
            <w:r w:rsidRPr="00A76056">
              <w:rPr>
                <w:sz w:val="22"/>
                <w:szCs w:val="22"/>
              </w:rPr>
              <w:t>put)</w:t>
            </w:r>
          </w:p>
        </w:tc>
        <w:tc>
          <w:tcPr>
            <w:tcW w:w="1275" w:type="dxa"/>
          </w:tcPr>
          <w:p w:rsidR="00703227" w:rsidRPr="00A76056" w:rsidRDefault="00703227" w:rsidP="006149EA">
            <w:pPr>
              <w:pStyle w:val="TableBullet"/>
              <w:numPr>
                <w:ilvl w:val="0"/>
                <w:numId w:val="0"/>
              </w:numPr>
              <w:ind w:left="33" w:hanging="33"/>
              <w:rPr>
                <w:szCs w:val="18"/>
              </w:rPr>
            </w:pPr>
            <w:r w:rsidRPr="00A76056">
              <w:rPr>
                <w:szCs w:val="18"/>
              </w:rPr>
              <w:t>Trend analysis</w:t>
            </w:r>
          </w:p>
        </w:tc>
        <w:tc>
          <w:tcPr>
            <w:tcW w:w="1425" w:type="dxa"/>
          </w:tcPr>
          <w:p w:rsidR="00703227" w:rsidRPr="00A76056" w:rsidRDefault="00703227" w:rsidP="006149EA">
            <w:pPr>
              <w:pStyle w:val="TableBullet"/>
              <w:numPr>
                <w:ilvl w:val="0"/>
                <w:numId w:val="0"/>
              </w:numPr>
              <w:ind w:left="34"/>
              <w:rPr>
                <w:szCs w:val="18"/>
              </w:rPr>
            </w:pPr>
            <w:r>
              <w:rPr>
                <w:szCs w:val="18"/>
              </w:rPr>
              <w:t>Industry data</w:t>
            </w:r>
          </w:p>
        </w:tc>
        <w:tc>
          <w:tcPr>
            <w:tcW w:w="6670" w:type="dxa"/>
            <w:gridSpan w:val="2"/>
          </w:tcPr>
          <w:p w:rsidR="00703227" w:rsidRPr="00A76056" w:rsidRDefault="00703227" w:rsidP="006149EA">
            <w:pPr>
              <w:rPr>
                <w:sz w:val="24"/>
                <w:szCs w:val="24"/>
              </w:rPr>
            </w:pPr>
            <w:r>
              <w:rPr>
                <w:sz w:val="24"/>
                <w:szCs w:val="24"/>
              </w:rPr>
              <w:t xml:space="preserve">This measure </w:t>
            </w:r>
            <w:r w:rsidRPr="00A76056">
              <w:rPr>
                <w:sz w:val="24"/>
                <w:szCs w:val="24"/>
              </w:rPr>
              <w:t>could be used as a broad indicator to assess the suitability of insurance cover design to member needs.</w:t>
            </w:r>
            <w:r w:rsidR="00C16675">
              <w:rPr>
                <w:sz w:val="24"/>
                <w:szCs w:val="24"/>
              </w:rPr>
              <w:t xml:space="preserve"> </w:t>
            </w:r>
            <w:r w:rsidR="00C16675" w:rsidRPr="00C16675">
              <w:rPr>
                <w:sz w:val="24"/>
                <w:szCs w:val="24"/>
              </w:rPr>
              <w:t>However</w:t>
            </w:r>
            <w:r w:rsidR="00C16675">
              <w:rPr>
                <w:sz w:val="24"/>
                <w:szCs w:val="24"/>
              </w:rPr>
              <w:t>,</w:t>
            </w:r>
            <w:r w:rsidR="00C16675" w:rsidRPr="00C16675">
              <w:rPr>
                <w:sz w:val="24"/>
                <w:szCs w:val="24"/>
              </w:rPr>
              <w:t xml:space="preserve"> if industry data is not readily available the use of member age in insurance product design could be assessed as part of Indicator 22.8.  </w:t>
            </w:r>
          </w:p>
        </w:tc>
      </w:tr>
    </w:tbl>
    <w:p w:rsidR="00270C4F" w:rsidRDefault="00270C4F">
      <w:r>
        <w:br w:type="page"/>
      </w:r>
    </w:p>
    <w:tbl>
      <w:tblPr>
        <w:tblW w:w="1442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064"/>
        <w:gridCol w:w="1275"/>
        <w:gridCol w:w="1418"/>
        <w:gridCol w:w="4544"/>
        <w:gridCol w:w="2126"/>
      </w:tblGrid>
      <w:tr w:rsidR="00C573E1" w:rsidTr="00270C4F">
        <w:tc>
          <w:tcPr>
            <w:tcW w:w="12301" w:type="dxa"/>
            <w:gridSpan w:val="4"/>
            <w:tcBorders>
              <w:right w:val="nil"/>
            </w:tcBorders>
          </w:tcPr>
          <w:p w:rsidR="00C573E1" w:rsidRDefault="00C573E1" w:rsidP="00A76056">
            <w:pPr>
              <w:pStyle w:val="TableBullet"/>
              <w:numPr>
                <w:ilvl w:val="0"/>
                <w:numId w:val="0"/>
              </w:numPr>
              <w:ind w:left="34"/>
              <w:rPr>
                <w:b/>
                <w:sz w:val="24"/>
                <w:szCs w:val="24"/>
              </w:rPr>
            </w:pPr>
            <w:r w:rsidRPr="00A76056">
              <w:rPr>
                <w:b/>
                <w:sz w:val="24"/>
                <w:szCs w:val="24"/>
              </w:rPr>
              <w:lastRenderedPageBreak/>
              <w:t>2</w:t>
            </w:r>
            <w:r>
              <w:rPr>
                <w:b/>
                <w:sz w:val="24"/>
                <w:szCs w:val="24"/>
              </w:rPr>
              <w:t>3</w:t>
            </w:r>
            <w:r w:rsidRPr="00A76056">
              <w:rPr>
                <w:b/>
                <w:sz w:val="24"/>
                <w:szCs w:val="24"/>
              </w:rPr>
              <w:t>. Are the costs of insurance being minimised given the type and level of cover?</w:t>
            </w:r>
          </w:p>
          <w:p w:rsidR="00ED74A0" w:rsidRPr="00ED74A0" w:rsidRDefault="00ED74A0" w:rsidP="00A76056">
            <w:pPr>
              <w:pStyle w:val="TableBullet"/>
              <w:numPr>
                <w:ilvl w:val="0"/>
                <w:numId w:val="0"/>
              </w:numPr>
              <w:ind w:left="34"/>
              <w:rPr>
                <w:sz w:val="22"/>
                <w:szCs w:val="22"/>
              </w:rPr>
            </w:pPr>
            <w:r>
              <w:rPr>
                <w:sz w:val="22"/>
                <w:szCs w:val="22"/>
              </w:rPr>
              <w:t xml:space="preserve">               </w:t>
            </w:r>
            <w:r w:rsidRPr="00ED74A0">
              <w:rPr>
                <w:sz w:val="22"/>
                <w:szCs w:val="22"/>
              </w:rPr>
              <w:t xml:space="preserve">Note: </w:t>
            </w:r>
            <w:r w:rsidRPr="00ED74A0">
              <w:rPr>
                <w:i/>
                <w:sz w:val="22"/>
                <w:szCs w:val="22"/>
              </w:rPr>
              <w:t>Mercer recommends this criterion be refined – refer Attachment 2</w:t>
            </w:r>
            <w:r w:rsidRPr="00ED74A0">
              <w:rPr>
                <w:sz w:val="22"/>
                <w:szCs w:val="22"/>
              </w:rPr>
              <w:t xml:space="preserve"> </w:t>
            </w:r>
          </w:p>
        </w:tc>
        <w:tc>
          <w:tcPr>
            <w:tcW w:w="2126" w:type="dxa"/>
            <w:tcBorders>
              <w:left w:val="nil"/>
            </w:tcBorders>
          </w:tcPr>
          <w:p w:rsidR="00C573E1" w:rsidRDefault="00C573E1" w:rsidP="00AB7B33">
            <w:pPr>
              <w:rPr>
                <w:sz w:val="24"/>
                <w:szCs w:val="24"/>
              </w:rPr>
            </w:pPr>
          </w:p>
        </w:tc>
      </w:tr>
      <w:tr w:rsidR="00703227" w:rsidTr="00270C4F">
        <w:tc>
          <w:tcPr>
            <w:tcW w:w="5064" w:type="dxa"/>
          </w:tcPr>
          <w:p w:rsidR="00703227" w:rsidRPr="00A76056" w:rsidRDefault="00703227" w:rsidP="00A76056">
            <w:pPr>
              <w:pStyle w:val="TableBullet"/>
              <w:numPr>
                <w:ilvl w:val="0"/>
                <w:numId w:val="0"/>
              </w:numPr>
              <w:rPr>
                <w:sz w:val="22"/>
                <w:szCs w:val="22"/>
              </w:rPr>
            </w:pPr>
            <w:r>
              <w:rPr>
                <w:sz w:val="22"/>
                <w:szCs w:val="22"/>
              </w:rPr>
              <w:t xml:space="preserve">23.1 </w:t>
            </w:r>
            <w:r w:rsidRPr="00A76056">
              <w:rPr>
                <w:sz w:val="22"/>
                <w:szCs w:val="22"/>
              </w:rPr>
              <w:t>Insurance premiums inside and outside of superannuation (output)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18" w:type="dxa"/>
          </w:tcPr>
          <w:p w:rsidR="00703227" w:rsidRPr="00A76056" w:rsidRDefault="00703227" w:rsidP="00A76056">
            <w:pPr>
              <w:pStyle w:val="TableBullet"/>
              <w:numPr>
                <w:ilvl w:val="0"/>
                <w:numId w:val="0"/>
              </w:numPr>
              <w:ind w:left="34"/>
              <w:rPr>
                <w:szCs w:val="18"/>
              </w:rPr>
            </w:pPr>
            <w:r w:rsidRPr="00A76056">
              <w:rPr>
                <w:szCs w:val="18"/>
              </w:rPr>
              <w:t>Industry data</w:t>
            </w:r>
          </w:p>
        </w:tc>
        <w:tc>
          <w:tcPr>
            <w:tcW w:w="6670" w:type="dxa"/>
            <w:gridSpan w:val="2"/>
          </w:tcPr>
          <w:p w:rsidR="00703227" w:rsidRPr="00A76056" w:rsidRDefault="00703227" w:rsidP="00AB7B33">
            <w:pPr>
              <w:rPr>
                <w:sz w:val="24"/>
                <w:szCs w:val="24"/>
              </w:rPr>
            </w:pPr>
            <w:r>
              <w:rPr>
                <w:sz w:val="24"/>
                <w:szCs w:val="24"/>
              </w:rPr>
              <w:t xml:space="preserve">SUPPORT: </w:t>
            </w:r>
            <w:r w:rsidRPr="00A76056">
              <w:rPr>
                <w:sz w:val="24"/>
                <w:szCs w:val="24"/>
              </w:rPr>
              <w:t>It is presumed that the assessments of premium levels described in this indicator, and the following assessment of insurance expenses, will make appropriate allowances for the type and level of cover provided, as per the criterion.</w:t>
            </w:r>
          </w:p>
          <w:p w:rsidR="00703227" w:rsidRPr="00A76056" w:rsidRDefault="00703227" w:rsidP="00AB7B33">
            <w:pPr>
              <w:rPr>
                <w:sz w:val="24"/>
                <w:szCs w:val="24"/>
              </w:rPr>
            </w:pPr>
          </w:p>
        </w:tc>
      </w:tr>
      <w:tr w:rsidR="00703227" w:rsidTr="00270C4F">
        <w:tc>
          <w:tcPr>
            <w:tcW w:w="5064" w:type="dxa"/>
          </w:tcPr>
          <w:p w:rsidR="00703227" w:rsidRPr="00A76056" w:rsidRDefault="00703227" w:rsidP="00A76056">
            <w:pPr>
              <w:pStyle w:val="TableBullet"/>
              <w:numPr>
                <w:ilvl w:val="0"/>
                <w:numId w:val="0"/>
              </w:numPr>
              <w:rPr>
                <w:sz w:val="22"/>
                <w:szCs w:val="22"/>
              </w:rPr>
            </w:pPr>
            <w:r>
              <w:rPr>
                <w:sz w:val="22"/>
                <w:szCs w:val="22"/>
              </w:rPr>
              <w:t xml:space="preserve">23.2 </w:t>
            </w:r>
            <w:r w:rsidRPr="00A76056">
              <w:rPr>
                <w:sz w:val="22"/>
                <w:szCs w:val="22"/>
              </w:rPr>
              <w:t>Insurance expenses (incurred by funds) (input)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18" w:type="dxa"/>
          </w:tcPr>
          <w:p w:rsidR="00703227" w:rsidRPr="00A76056" w:rsidRDefault="00703227" w:rsidP="00A76056">
            <w:pPr>
              <w:pStyle w:val="TableBullet"/>
              <w:numPr>
                <w:ilvl w:val="0"/>
                <w:numId w:val="0"/>
              </w:numPr>
              <w:ind w:left="34"/>
              <w:rPr>
                <w:szCs w:val="18"/>
              </w:rPr>
            </w:pPr>
            <w:r w:rsidRPr="00A76056">
              <w:rPr>
                <w:szCs w:val="18"/>
              </w:rPr>
              <w:t>Regulator data Surveys</w:t>
            </w:r>
          </w:p>
        </w:tc>
        <w:tc>
          <w:tcPr>
            <w:tcW w:w="6670" w:type="dxa"/>
            <w:gridSpan w:val="2"/>
          </w:tcPr>
          <w:p w:rsidR="00703227" w:rsidRPr="00A76056" w:rsidRDefault="00703227" w:rsidP="00943FB9">
            <w:pPr>
              <w:rPr>
                <w:sz w:val="24"/>
                <w:szCs w:val="24"/>
              </w:rPr>
            </w:pPr>
            <w:r>
              <w:rPr>
                <w:sz w:val="24"/>
                <w:szCs w:val="24"/>
              </w:rPr>
              <w:t>QUALIFIED SUPPORT</w:t>
            </w:r>
            <w:r>
              <w:rPr>
                <w:b/>
                <w:szCs w:val="22"/>
              </w:rPr>
              <w:t xml:space="preserve">: </w:t>
            </w:r>
            <w:r w:rsidRPr="00AC3A34">
              <w:rPr>
                <w:szCs w:val="22"/>
              </w:rPr>
              <w:t>This assessment will need to take into account the division of insurance product administration (e.g. underwriting and claims) between the fund and the insurer. Also</w:t>
            </w:r>
            <w:r w:rsidR="00307B6A">
              <w:rPr>
                <w:szCs w:val="22"/>
              </w:rPr>
              <w:t>,</w:t>
            </w:r>
            <w:r w:rsidRPr="00AC3A34">
              <w:rPr>
                <w:szCs w:val="22"/>
              </w:rPr>
              <w:t xml:space="preserve"> consideration is required </w:t>
            </w:r>
            <w:r>
              <w:rPr>
                <w:szCs w:val="22"/>
              </w:rPr>
              <w:t xml:space="preserve">both </w:t>
            </w:r>
            <w:r w:rsidRPr="00AC3A34">
              <w:rPr>
                <w:szCs w:val="22"/>
              </w:rPr>
              <w:t>of insurance related costs</w:t>
            </w:r>
            <w:r w:rsidRPr="00AC3A34">
              <w:rPr>
                <w:sz w:val="24"/>
                <w:szCs w:val="24"/>
              </w:rPr>
              <w:t xml:space="preserve"> incurred by funds</w:t>
            </w:r>
            <w:r w:rsidRPr="00A76056">
              <w:rPr>
                <w:sz w:val="24"/>
                <w:szCs w:val="24"/>
              </w:rPr>
              <w:t xml:space="preserve"> that are passed on to insured members (via premium loadings) and those that are recouped by general administration fees. </w:t>
            </w:r>
          </w:p>
          <w:p w:rsidR="00703227" w:rsidRPr="00A76056" w:rsidRDefault="00703227" w:rsidP="00943FB9">
            <w:pPr>
              <w:rPr>
                <w:sz w:val="24"/>
                <w:szCs w:val="24"/>
              </w:rPr>
            </w:pPr>
          </w:p>
        </w:tc>
      </w:tr>
      <w:tr w:rsidR="00703227" w:rsidTr="00270C4F">
        <w:tc>
          <w:tcPr>
            <w:tcW w:w="5064" w:type="dxa"/>
          </w:tcPr>
          <w:p w:rsidR="00703227" w:rsidRDefault="00703227" w:rsidP="002326B3">
            <w:pPr>
              <w:contextualSpacing/>
            </w:pPr>
            <w:r>
              <w:rPr>
                <w:szCs w:val="22"/>
              </w:rPr>
              <w:t xml:space="preserve">23.3 </w:t>
            </w:r>
            <w:r w:rsidRPr="00A76056">
              <w:rPr>
                <w:szCs w:val="22"/>
              </w:rPr>
              <w:t xml:space="preserve">Erosion of member balances due to insurance premiums (output) </w:t>
            </w:r>
          </w:p>
          <w:p w:rsidR="00703227" w:rsidRPr="00A76056" w:rsidRDefault="00703227" w:rsidP="00A76056">
            <w:pPr>
              <w:pStyle w:val="TableBullet"/>
              <w:numPr>
                <w:ilvl w:val="0"/>
                <w:numId w:val="0"/>
              </w:numPr>
              <w:rPr>
                <w:sz w:val="22"/>
                <w:szCs w:val="22"/>
              </w:rPr>
            </w:pP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18" w:type="dxa"/>
          </w:tcPr>
          <w:p w:rsidR="00703227" w:rsidRPr="00A76056" w:rsidRDefault="00703227" w:rsidP="00A76056">
            <w:pPr>
              <w:pStyle w:val="TableBullet"/>
              <w:numPr>
                <w:ilvl w:val="0"/>
                <w:numId w:val="0"/>
              </w:numPr>
              <w:ind w:left="34"/>
              <w:rPr>
                <w:szCs w:val="18"/>
              </w:rPr>
            </w:pPr>
            <w:r w:rsidRPr="00A76056">
              <w:rPr>
                <w:szCs w:val="18"/>
              </w:rPr>
              <w:t>Industry data</w:t>
            </w:r>
          </w:p>
        </w:tc>
        <w:tc>
          <w:tcPr>
            <w:tcW w:w="6670" w:type="dxa"/>
            <w:gridSpan w:val="2"/>
          </w:tcPr>
          <w:p w:rsidR="00703227" w:rsidRDefault="00E17501" w:rsidP="00760B45">
            <w:pPr>
              <w:contextualSpacing/>
            </w:pPr>
            <w:r>
              <w:t>DELETE</w:t>
            </w:r>
            <w:r w:rsidR="00703227">
              <w:t xml:space="preserve">: We suggest a better indicator </w:t>
            </w:r>
            <w:r w:rsidR="00307B6A">
              <w:t>c</w:t>
            </w:r>
            <w:r w:rsidR="00703227">
              <w:t>ould be average annual insurance cost as a percentage of annual superannuation guarantee contributions, or the average over a working career.</w:t>
            </w:r>
          </w:p>
          <w:p w:rsidR="00703227" w:rsidRPr="00A76056" w:rsidRDefault="00703227" w:rsidP="00E4684B">
            <w:pPr>
              <w:rPr>
                <w:b/>
                <w:sz w:val="24"/>
                <w:szCs w:val="24"/>
              </w:rPr>
            </w:pPr>
          </w:p>
        </w:tc>
      </w:tr>
      <w:tr w:rsidR="00270C4F" w:rsidTr="00270C4F">
        <w:tc>
          <w:tcPr>
            <w:tcW w:w="5064" w:type="dxa"/>
          </w:tcPr>
          <w:p w:rsidR="00270C4F" w:rsidRDefault="00270C4F" w:rsidP="002326B3">
            <w:pPr>
              <w:contextualSpacing/>
              <w:rPr>
                <w:szCs w:val="22"/>
              </w:rPr>
            </w:pPr>
            <w:r w:rsidRPr="00270C4F">
              <w:rPr>
                <w:szCs w:val="22"/>
              </w:rPr>
              <w:t>23.4 Ratio of claims to premium revenue (loss ratio) within superannuation over 5 and 10 year periods (output)</w:t>
            </w:r>
          </w:p>
        </w:tc>
        <w:tc>
          <w:tcPr>
            <w:tcW w:w="1275" w:type="dxa"/>
          </w:tcPr>
          <w:p w:rsidR="00270C4F" w:rsidRPr="00A76056" w:rsidRDefault="00270C4F" w:rsidP="00A76056">
            <w:pPr>
              <w:pStyle w:val="TableBullet"/>
              <w:numPr>
                <w:ilvl w:val="0"/>
                <w:numId w:val="0"/>
              </w:numPr>
              <w:ind w:left="33" w:hanging="33"/>
              <w:rPr>
                <w:szCs w:val="18"/>
              </w:rPr>
            </w:pPr>
            <w:r>
              <w:rPr>
                <w:szCs w:val="18"/>
              </w:rPr>
              <w:t>Trend analysis</w:t>
            </w:r>
          </w:p>
        </w:tc>
        <w:tc>
          <w:tcPr>
            <w:tcW w:w="1418" w:type="dxa"/>
          </w:tcPr>
          <w:p w:rsidR="00270C4F" w:rsidRPr="00A76056" w:rsidRDefault="00270C4F" w:rsidP="00A76056">
            <w:pPr>
              <w:pStyle w:val="TableBullet"/>
              <w:numPr>
                <w:ilvl w:val="0"/>
                <w:numId w:val="0"/>
              </w:numPr>
              <w:ind w:left="34"/>
              <w:rPr>
                <w:szCs w:val="18"/>
              </w:rPr>
            </w:pPr>
            <w:r>
              <w:rPr>
                <w:szCs w:val="18"/>
              </w:rPr>
              <w:t>Regulator data, industry data</w:t>
            </w:r>
          </w:p>
        </w:tc>
        <w:tc>
          <w:tcPr>
            <w:tcW w:w="6670" w:type="dxa"/>
            <w:gridSpan w:val="2"/>
          </w:tcPr>
          <w:p w:rsidR="00270C4F" w:rsidRDefault="00270C4F" w:rsidP="00270C4F">
            <w:pPr>
              <w:contextualSpacing/>
            </w:pPr>
            <w:r>
              <w:t>REFINE: The proposed indicators imply that loss ratios can be calculated over 5 and 10 year periods without allowance for incurred but not reported (IBNR) claims. This is not feasible and would provide misleading results.</w:t>
            </w:r>
          </w:p>
          <w:p w:rsidR="00270C4F" w:rsidRDefault="00270C4F" w:rsidP="00270C4F">
            <w:pPr>
              <w:contextualSpacing/>
            </w:pPr>
          </w:p>
          <w:p w:rsidR="00270C4F" w:rsidRDefault="00270C4F" w:rsidP="00270C4F">
            <w:pPr>
              <w:contextualSpacing/>
            </w:pPr>
            <w:r>
              <w:t>We submit that loss ratios should be calculated including standardised estimates of IBNR claims.</w:t>
            </w:r>
          </w:p>
        </w:tc>
      </w:tr>
      <w:tr w:rsidR="00703227" w:rsidTr="00270C4F">
        <w:tc>
          <w:tcPr>
            <w:tcW w:w="5064" w:type="dxa"/>
          </w:tcPr>
          <w:p w:rsidR="00703227" w:rsidRPr="00A76056" w:rsidRDefault="00703227" w:rsidP="00A76056">
            <w:pPr>
              <w:pStyle w:val="TableBullet"/>
              <w:numPr>
                <w:ilvl w:val="0"/>
                <w:numId w:val="0"/>
              </w:numPr>
              <w:rPr>
                <w:sz w:val="22"/>
                <w:szCs w:val="22"/>
              </w:rPr>
            </w:pPr>
            <w:r>
              <w:rPr>
                <w:sz w:val="22"/>
                <w:szCs w:val="22"/>
              </w:rPr>
              <w:lastRenderedPageBreak/>
              <w:t xml:space="preserve">23.5 </w:t>
            </w:r>
            <w:r w:rsidRPr="00A76056">
              <w:rPr>
                <w:sz w:val="22"/>
                <w:szCs w:val="22"/>
              </w:rPr>
              <w:t>Fee and premium differences from outsourcing insurance services to related versus unrelated parties (output)</w:t>
            </w:r>
          </w:p>
        </w:tc>
        <w:tc>
          <w:tcPr>
            <w:tcW w:w="1275" w:type="dxa"/>
          </w:tcPr>
          <w:p w:rsidR="00703227" w:rsidRPr="00A76056" w:rsidRDefault="00703227" w:rsidP="00A76056">
            <w:pPr>
              <w:pStyle w:val="TableBullet"/>
              <w:numPr>
                <w:ilvl w:val="0"/>
                <w:numId w:val="0"/>
              </w:numPr>
              <w:ind w:left="33" w:hanging="33"/>
              <w:rPr>
                <w:szCs w:val="18"/>
              </w:rPr>
            </w:pPr>
            <w:r w:rsidRPr="00A76056">
              <w:rPr>
                <w:szCs w:val="18"/>
              </w:rPr>
              <w:t>Trend analysis</w:t>
            </w:r>
          </w:p>
        </w:tc>
        <w:tc>
          <w:tcPr>
            <w:tcW w:w="1418" w:type="dxa"/>
          </w:tcPr>
          <w:p w:rsidR="00703227" w:rsidRPr="00A76056" w:rsidRDefault="00703227" w:rsidP="00A76056">
            <w:pPr>
              <w:pStyle w:val="TableBullet"/>
              <w:numPr>
                <w:ilvl w:val="0"/>
                <w:numId w:val="0"/>
              </w:numPr>
              <w:ind w:left="34"/>
              <w:rPr>
                <w:szCs w:val="18"/>
              </w:rPr>
            </w:pPr>
            <w:r w:rsidRPr="00A76056">
              <w:rPr>
                <w:szCs w:val="18"/>
              </w:rPr>
              <w:t>Regulator data</w:t>
            </w:r>
            <w:r w:rsidR="00C16675">
              <w:rPr>
                <w:szCs w:val="18"/>
              </w:rPr>
              <w:t>,</w:t>
            </w:r>
            <w:r w:rsidRPr="00A76056">
              <w:rPr>
                <w:szCs w:val="18"/>
              </w:rPr>
              <w:t xml:space="preserve"> Surveys</w:t>
            </w:r>
            <w:r w:rsidR="00C16675">
              <w:rPr>
                <w:szCs w:val="18"/>
              </w:rPr>
              <w:t xml:space="preserve">. </w:t>
            </w:r>
            <w:r w:rsidR="00C16675" w:rsidRPr="00ED74A0">
              <w:rPr>
                <w:color w:val="FF0000"/>
                <w:szCs w:val="18"/>
              </w:rPr>
              <w:t>Case studies</w:t>
            </w:r>
          </w:p>
        </w:tc>
        <w:tc>
          <w:tcPr>
            <w:tcW w:w="6670" w:type="dxa"/>
            <w:gridSpan w:val="2"/>
          </w:tcPr>
          <w:p w:rsidR="00C16675" w:rsidRDefault="00C16675" w:rsidP="00C16675">
            <w:pPr>
              <w:autoSpaceDE w:val="0"/>
              <w:autoSpaceDN w:val="0"/>
              <w:rPr>
                <w:sz w:val="24"/>
                <w:szCs w:val="24"/>
                <w:lang w:val="en-GB"/>
              </w:rPr>
            </w:pPr>
            <w:r>
              <w:rPr>
                <w:sz w:val="24"/>
                <w:szCs w:val="24"/>
              </w:rPr>
              <w:t>SUPPORT: In respect of insurance, valid comparisons will be difficult due to the difference</w:t>
            </w:r>
            <w:r w:rsidR="00307B6A">
              <w:rPr>
                <w:sz w:val="24"/>
                <w:szCs w:val="24"/>
              </w:rPr>
              <w:t>s</w:t>
            </w:r>
            <w:r>
              <w:rPr>
                <w:sz w:val="24"/>
                <w:szCs w:val="24"/>
              </w:rPr>
              <w:t xml:space="preserve"> in premiums which relate to the impact of different occupational risk profiles and claims histor</w:t>
            </w:r>
            <w:r w:rsidR="00307B6A">
              <w:rPr>
                <w:sz w:val="24"/>
                <w:szCs w:val="24"/>
              </w:rPr>
              <w:t>ies</w:t>
            </w:r>
            <w:r>
              <w:rPr>
                <w:sz w:val="24"/>
                <w:szCs w:val="24"/>
              </w:rPr>
              <w:t xml:space="preserve"> of the insured members. Case studies may be needed in addition to surveys</w:t>
            </w:r>
            <w:r w:rsidR="00307B6A">
              <w:rPr>
                <w:sz w:val="24"/>
                <w:szCs w:val="24"/>
              </w:rPr>
              <w:t xml:space="preserve"> as an evidential source</w:t>
            </w:r>
            <w:r>
              <w:rPr>
                <w:sz w:val="24"/>
                <w:szCs w:val="24"/>
              </w:rPr>
              <w:t>.</w:t>
            </w:r>
          </w:p>
          <w:p w:rsidR="00703227" w:rsidRPr="00C706A6" w:rsidRDefault="00703227" w:rsidP="00E4684B">
            <w:pPr>
              <w:rPr>
                <w:sz w:val="24"/>
                <w:szCs w:val="24"/>
              </w:rPr>
            </w:pPr>
          </w:p>
        </w:tc>
      </w:tr>
    </w:tbl>
    <w:p w:rsidR="00703227" w:rsidRDefault="00703227" w:rsidP="003D0C94">
      <w:pPr>
        <w:spacing w:before="120"/>
      </w:pPr>
    </w:p>
    <w:p w:rsidR="00703227" w:rsidRPr="003D0C94" w:rsidRDefault="00703227" w:rsidP="003D0C94">
      <w:pPr>
        <w:spacing w:before="120"/>
        <w:sectPr w:rsidR="00703227" w:rsidRPr="003D0C94" w:rsidSect="00BB5145">
          <w:headerReference w:type="even" r:id="rId19"/>
          <w:headerReference w:type="default" r:id="rId20"/>
          <w:footerReference w:type="even" r:id="rId21"/>
          <w:footerReference w:type="default" r:id="rId22"/>
          <w:headerReference w:type="first" r:id="rId23"/>
          <w:pgSz w:w="16838" w:h="11906" w:orient="landscape" w:code="9"/>
          <w:pgMar w:top="2267" w:right="1245" w:bottom="1077" w:left="1985" w:header="624" w:footer="449" w:gutter="0"/>
          <w:cols w:space="720"/>
          <w:titlePg/>
          <w:docGrid w:linePitch="299"/>
        </w:sectPr>
      </w:pPr>
      <w:r w:rsidRPr="003D0C94">
        <w:t xml:space="preserve"> </w:t>
      </w:r>
    </w:p>
    <w:p w:rsidR="00703227" w:rsidRPr="0074269D" w:rsidRDefault="00703227" w:rsidP="00864328">
      <w:pPr>
        <w:jc w:val="center"/>
        <w:rPr>
          <w:sz w:val="24"/>
          <w:szCs w:val="24"/>
        </w:rPr>
      </w:pPr>
      <w:r w:rsidRPr="0074269D">
        <w:rPr>
          <w:b/>
          <w:sz w:val="24"/>
          <w:szCs w:val="24"/>
        </w:rPr>
        <w:lastRenderedPageBreak/>
        <w:t>Attachment 4:</w:t>
      </w:r>
      <w:r w:rsidRPr="0074269D">
        <w:rPr>
          <w:sz w:val="24"/>
          <w:szCs w:val="24"/>
        </w:rPr>
        <w:t xml:space="preserve"> </w:t>
      </w:r>
      <w:r>
        <w:rPr>
          <w:b/>
          <w:sz w:val="24"/>
          <w:szCs w:val="24"/>
        </w:rPr>
        <w:t>Information requests</w:t>
      </w:r>
    </w:p>
    <w:p w:rsidR="00703227" w:rsidRDefault="00703227" w:rsidP="00864328">
      <w:pPr>
        <w:jc w:val="center"/>
        <w:rPr>
          <w:szCs w:val="22"/>
        </w:rPr>
      </w:pPr>
    </w:p>
    <w:p w:rsidR="00703227" w:rsidRDefault="00703227" w:rsidP="00B65DDB">
      <w:pPr>
        <w:rPr>
          <w:szCs w:val="22"/>
          <w:lang w:val="en-US"/>
        </w:rPr>
      </w:pPr>
      <w:r>
        <w:rPr>
          <w:szCs w:val="22"/>
          <w:lang w:val="en-US"/>
        </w:rPr>
        <w:t xml:space="preserve">The following section provides responses to some of the Information requests that the Commission made in its Draft Report. </w:t>
      </w:r>
    </w:p>
    <w:p w:rsidR="00703227" w:rsidRDefault="00703227" w:rsidP="00B65DDB">
      <w:pPr>
        <w:rPr>
          <w:szCs w:val="22"/>
          <w:lang w:val="en-US"/>
        </w:rPr>
      </w:pPr>
    </w:p>
    <w:p w:rsidR="00703227" w:rsidRPr="00AC2FFA" w:rsidRDefault="00703227" w:rsidP="00717CFD">
      <w:pPr>
        <w:rPr>
          <w:b/>
          <w:szCs w:val="22"/>
          <w:lang w:val="en-US"/>
        </w:rPr>
      </w:pPr>
      <w:r w:rsidRPr="00AC2FFA">
        <w:rPr>
          <w:b/>
          <w:szCs w:val="22"/>
          <w:lang w:val="en-US"/>
        </w:rPr>
        <w:t>Information sought</w:t>
      </w:r>
    </w:p>
    <w:p w:rsidR="00703227" w:rsidRPr="00717CFD" w:rsidRDefault="00703227" w:rsidP="00717CFD">
      <w:pPr>
        <w:rPr>
          <w:szCs w:val="22"/>
          <w:lang w:val="en-US"/>
        </w:rPr>
      </w:pPr>
    </w:p>
    <w:p w:rsidR="00703227" w:rsidRPr="00A541CA" w:rsidRDefault="00703227" w:rsidP="00717CFD">
      <w:pPr>
        <w:rPr>
          <w:b/>
          <w:szCs w:val="22"/>
          <w:lang w:val="en-US"/>
        </w:rPr>
      </w:pPr>
      <w:r w:rsidRPr="00B27D3E">
        <w:rPr>
          <w:i/>
          <w:szCs w:val="22"/>
          <w:lang w:val="en-US"/>
        </w:rPr>
        <w:t>1.</w:t>
      </w:r>
      <w:r w:rsidRPr="006149EA">
        <w:rPr>
          <w:i/>
          <w:szCs w:val="22"/>
          <w:lang w:val="en-US"/>
        </w:rPr>
        <w:tab/>
      </w:r>
      <w:r w:rsidRPr="00A541CA">
        <w:rPr>
          <w:b/>
          <w:szCs w:val="22"/>
          <w:lang w:val="en-US"/>
        </w:rPr>
        <w:t xml:space="preserve">What other indicators do the industry and researchers use to assess member engagement? How could those indicators be applied in a system level assessment of competitiveness and efficiency? </w:t>
      </w:r>
    </w:p>
    <w:p w:rsidR="00703227" w:rsidRDefault="00703227" w:rsidP="00717CFD">
      <w:pPr>
        <w:rPr>
          <w:szCs w:val="22"/>
          <w:lang w:val="en-US"/>
        </w:rPr>
      </w:pPr>
    </w:p>
    <w:p w:rsidR="00703227" w:rsidRPr="00A541CA" w:rsidRDefault="00703227" w:rsidP="00717CFD">
      <w:pPr>
        <w:rPr>
          <w:i/>
          <w:szCs w:val="22"/>
          <w:lang w:val="en-US"/>
        </w:rPr>
      </w:pPr>
      <w:r w:rsidRPr="00A541CA">
        <w:rPr>
          <w:i/>
          <w:szCs w:val="22"/>
          <w:lang w:val="en-US"/>
        </w:rPr>
        <w:t>Mercer response</w:t>
      </w:r>
    </w:p>
    <w:p w:rsidR="00703227" w:rsidRDefault="00703227" w:rsidP="00717CFD">
      <w:pPr>
        <w:rPr>
          <w:szCs w:val="22"/>
          <w:lang w:val="en-US"/>
        </w:rPr>
      </w:pPr>
    </w:p>
    <w:p w:rsidR="00A541CA" w:rsidRDefault="00703227" w:rsidP="00717CFD">
      <w:pPr>
        <w:rPr>
          <w:szCs w:val="22"/>
          <w:lang w:val="en-US"/>
        </w:rPr>
      </w:pPr>
      <w:r>
        <w:rPr>
          <w:szCs w:val="22"/>
          <w:lang w:val="en-US"/>
        </w:rPr>
        <w:t xml:space="preserve">In addition to the member engagement </w:t>
      </w:r>
      <w:r w:rsidR="00307B6A">
        <w:rPr>
          <w:szCs w:val="22"/>
          <w:lang w:val="en-US"/>
        </w:rPr>
        <w:t xml:space="preserve">indicators that the Commission </w:t>
      </w:r>
      <w:r>
        <w:rPr>
          <w:szCs w:val="22"/>
          <w:lang w:val="en-US"/>
        </w:rPr>
        <w:t xml:space="preserve">identified, Mercer also </w:t>
      </w:r>
      <w:r w:rsidRPr="00C31688">
        <w:rPr>
          <w:szCs w:val="22"/>
          <w:lang w:val="en-US"/>
        </w:rPr>
        <w:t>look</w:t>
      </w:r>
      <w:r>
        <w:rPr>
          <w:szCs w:val="22"/>
          <w:lang w:val="en-US"/>
        </w:rPr>
        <w:t xml:space="preserve">s at the incidence of salary sacrificed superannuation contributions, extent of </w:t>
      </w:r>
      <w:r w:rsidRPr="00C31688">
        <w:rPr>
          <w:szCs w:val="22"/>
          <w:lang w:val="en-US"/>
        </w:rPr>
        <w:t xml:space="preserve">voluntary </w:t>
      </w:r>
      <w:r>
        <w:rPr>
          <w:szCs w:val="22"/>
          <w:lang w:val="en-US"/>
        </w:rPr>
        <w:t xml:space="preserve">superannuation </w:t>
      </w:r>
      <w:r w:rsidRPr="00C31688">
        <w:rPr>
          <w:szCs w:val="22"/>
          <w:lang w:val="en-US"/>
        </w:rPr>
        <w:t xml:space="preserve">contributions, </w:t>
      </w:r>
      <w:r>
        <w:rPr>
          <w:szCs w:val="22"/>
          <w:lang w:val="en-US"/>
        </w:rPr>
        <w:t xml:space="preserve">uptake of </w:t>
      </w:r>
      <w:r w:rsidRPr="00C31688">
        <w:rPr>
          <w:szCs w:val="22"/>
          <w:lang w:val="en-US"/>
        </w:rPr>
        <w:t>financial advice</w:t>
      </w:r>
      <w:r>
        <w:rPr>
          <w:szCs w:val="22"/>
          <w:lang w:val="en-US"/>
        </w:rPr>
        <w:t xml:space="preserve"> and number of members that nominate death benefit </w:t>
      </w:r>
      <w:r w:rsidRPr="00C31688">
        <w:rPr>
          <w:szCs w:val="22"/>
          <w:lang w:val="en-US"/>
        </w:rPr>
        <w:t xml:space="preserve">beneficiaries.  </w:t>
      </w:r>
      <w:r>
        <w:rPr>
          <w:szCs w:val="22"/>
          <w:lang w:val="en-US"/>
        </w:rPr>
        <w:t>W</w:t>
      </w:r>
      <w:r w:rsidRPr="00C31688">
        <w:rPr>
          <w:szCs w:val="22"/>
          <w:lang w:val="en-US"/>
        </w:rPr>
        <w:t xml:space="preserve">e </w:t>
      </w:r>
      <w:r>
        <w:rPr>
          <w:szCs w:val="22"/>
          <w:lang w:val="en-US"/>
        </w:rPr>
        <w:t xml:space="preserve">tend to view this information </w:t>
      </w:r>
      <w:r w:rsidRPr="00C31688">
        <w:rPr>
          <w:szCs w:val="22"/>
          <w:lang w:val="en-US"/>
        </w:rPr>
        <w:t xml:space="preserve">as critical measures of how engaged </w:t>
      </w:r>
      <w:r>
        <w:rPr>
          <w:szCs w:val="22"/>
          <w:lang w:val="en-US"/>
        </w:rPr>
        <w:t xml:space="preserve">Mercer’s </w:t>
      </w:r>
      <w:r w:rsidRPr="00C31688">
        <w:rPr>
          <w:szCs w:val="22"/>
          <w:lang w:val="en-US"/>
        </w:rPr>
        <w:t xml:space="preserve">customer base is and whether </w:t>
      </w:r>
      <w:r>
        <w:rPr>
          <w:szCs w:val="22"/>
          <w:lang w:val="en-US"/>
        </w:rPr>
        <w:t>members</w:t>
      </w:r>
      <w:r w:rsidRPr="00C31688">
        <w:rPr>
          <w:szCs w:val="22"/>
          <w:lang w:val="en-US"/>
        </w:rPr>
        <w:t xml:space="preserve"> are taking the steps necessary to plan for their financial futures</w:t>
      </w:r>
      <w:r w:rsidR="00233AD5">
        <w:rPr>
          <w:szCs w:val="22"/>
          <w:lang w:val="en-US"/>
        </w:rPr>
        <w:t>.</w:t>
      </w:r>
    </w:p>
    <w:p w:rsidR="00703227" w:rsidRDefault="00703227" w:rsidP="00717CFD">
      <w:pPr>
        <w:rPr>
          <w:szCs w:val="22"/>
          <w:lang w:val="en-US"/>
        </w:rPr>
      </w:pPr>
    </w:p>
    <w:p w:rsidR="00233AD5" w:rsidRPr="00717CFD" w:rsidRDefault="00233AD5" w:rsidP="00717CFD">
      <w:pPr>
        <w:rPr>
          <w:szCs w:val="22"/>
          <w:lang w:val="en-US"/>
        </w:rPr>
      </w:pPr>
    </w:p>
    <w:p w:rsidR="00B27D3E" w:rsidRPr="00233AD5" w:rsidRDefault="00703227" w:rsidP="00717CFD">
      <w:pPr>
        <w:rPr>
          <w:b/>
          <w:szCs w:val="22"/>
          <w:lang w:val="en-US"/>
        </w:rPr>
      </w:pPr>
      <w:r w:rsidRPr="00B27D3E">
        <w:rPr>
          <w:i/>
          <w:szCs w:val="22"/>
          <w:lang w:val="en-US"/>
        </w:rPr>
        <w:t>2.</w:t>
      </w:r>
      <w:r w:rsidRPr="006149EA">
        <w:rPr>
          <w:i/>
          <w:szCs w:val="22"/>
          <w:lang w:val="en-US"/>
        </w:rPr>
        <w:tab/>
      </w:r>
      <w:r w:rsidRPr="00233AD5">
        <w:rPr>
          <w:b/>
          <w:szCs w:val="22"/>
          <w:lang w:val="en-US"/>
        </w:rPr>
        <w:t>What is the best way to measure the height of barriers to entry arising from the inability of prospective entrants to access the distribution channels available to incumbent funds, including through being afforded default status? Is there case study evidence of new entry being prevented by those barriers?</w:t>
      </w:r>
    </w:p>
    <w:p w:rsidR="00703227" w:rsidRPr="00233AD5" w:rsidRDefault="00703227" w:rsidP="00717CFD">
      <w:pPr>
        <w:rPr>
          <w:i/>
          <w:szCs w:val="22"/>
          <w:lang w:val="en-US"/>
        </w:rPr>
      </w:pPr>
    </w:p>
    <w:p w:rsidR="00703227" w:rsidRPr="00233AD5" w:rsidRDefault="00703227" w:rsidP="004D6BDE">
      <w:pPr>
        <w:rPr>
          <w:i/>
          <w:szCs w:val="22"/>
          <w:lang w:val="en-US"/>
        </w:rPr>
      </w:pPr>
      <w:r w:rsidRPr="00233AD5">
        <w:rPr>
          <w:i/>
          <w:szCs w:val="22"/>
          <w:lang w:val="en-US"/>
        </w:rPr>
        <w:t>Mercer response</w:t>
      </w:r>
    </w:p>
    <w:p w:rsidR="00703227" w:rsidRDefault="00703227" w:rsidP="00717CFD">
      <w:pPr>
        <w:rPr>
          <w:szCs w:val="22"/>
          <w:lang w:val="en-US"/>
        </w:rPr>
      </w:pPr>
    </w:p>
    <w:p w:rsidR="00703227" w:rsidRDefault="00703227" w:rsidP="00717CFD">
      <w:pPr>
        <w:rPr>
          <w:szCs w:val="22"/>
          <w:lang w:val="en-US"/>
        </w:rPr>
      </w:pPr>
      <w:r>
        <w:rPr>
          <w:szCs w:val="22"/>
          <w:lang w:val="en-US"/>
        </w:rPr>
        <w:t>There have been very few new APRA regulated funds established in the last 10 years. Therefore we recommend the Commission discuss the impact of the current barriers and impediments with those funds which have been esta</w:t>
      </w:r>
      <w:r w:rsidR="00233AD5">
        <w:rPr>
          <w:szCs w:val="22"/>
          <w:lang w:val="en-US"/>
        </w:rPr>
        <w:t>blished during the last decade.</w:t>
      </w:r>
    </w:p>
    <w:p w:rsidR="00233AD5" w:rsidRDefault="00233AD5" w:rsidP="00717CFD">
      <w:pPr>
        <w:rPr>
          <w:szCs w:val="22"/>
          <w:lang w:val="en-US"/>
        </w:rPr>
      </w:pPr>
    </w:p>
    <w:p w:rsidR="00A541CA" w:rsidRPr="00717CFD" w:rsidRDefault="00A541CA" w:rsidP="00717CFD">
      <w:pPr>
        <w:rPr>
          <w:szCs w:val="22"/>
          <w:lang w:val="en-US"/>
        </w:rPr>
      </w:pPr>
    </w:p>
    <w:p w:rsidR="00B27D3E" w:rsidRPr="00233AD5" w:rsidRDefault="00703227" w:rsidP="00717CFD">
      <w:pPr>
        <w:rPr>
          <w:b/>
          <w:szCs w:val="22"/>
          <w:lang w:val="en-US"/>
        </w:rPr>
      </w:pPr>
      <w:r w:rsidRPr="00B27D3E">
        <w:rPr>
          <w:szCs w:val="22"/>
          <w:lang w:val="en-US"/>
        </w:rPr>
        <w:t>3</w:t>
      </w:r>
      <w:r w:rsidRPr="00B27D3E">
        <w:rPr>
          <w:i/>
          <w:szCs w:val="22"/>
          <w:lang w:val="en-US"/>
        </w:rPr>
        <w:t>.</w:t>
      </w:r>
      <w:r w:rsidRPr="006149EA">
        <w:rPr>
          <w:i/>
          <w:szCs w:val="22"/>
          <w:lang w:val="en-US"/>
        </w:rPr>
        <w:tab/>
      </w:r>
      <w:r w:rsidR="00B27D3E" w:rsidRPr="00233AD5">
        <w:rPr>
          <w:b/>
          <w:szCs w:val="22"/>
          <w:lang w:val="en-US"/>
        </w:rPr>
        <w:t xml:space="preserve"> </w:t>
      </w:r>
      <w:r w:rsidRPr="00233AD5">
        <w:rPr>
          <w:b/>
          <w:szCs w:val="22"/>
          <w:lang w:val="en-US"/>
        </w:rPr>
        <w:t>Is there any existing evidence on the effect of bulk transfer rules on mergers?</w:t>
      </w:r>
    </w:p>
    <w:p w:rsidR="00703227" w:rsidRDefault="00703227" w:rsidP="00717CFD">
      <w:pPr>
        <w:rPr>
          <w:szCs w:val="22"/>
          <w:lang w:val="en-US"/>
        </w:rPr>
      </w:pPr>
    </w:p>
    <w:p w:rsidR="00703227" w:rsidRPr="00233AD5" w:rsidRDefault="00703227" w:rsidP="00717CFD">
      <w:pPr>
        <w:rPr>
          <w:i/>
          <w:szCs w:val="22"/>
          <w:lang w:val="en-US"/>
        </w:rPr>
      </w:pPr>
      <w:r w:rsidRPr="00233AD5">
        <w:rPr>
          <w:i/>
          <w:szCs w:val="22"/>
          <w:lang w:val="en-US"/>
        </w:rPr>
        <w:t xml:space="preserve">Mercer response </w:t>
      </w:r>
    </w:p>
    <w:p w:rsidR="00703227" w:rsidRDefault="00703227" w:rsidP="00717CFD">
      <w:pPr>
        <w:rPr>
          <w:b/>
          <w:szCs w:val="22"/>
          <w:lang w:val="en-US"/>
        </w:rPr>
      </w:pPr>
    </w:p>
    <w:p w:rsidR="00703227" w:rsidRDefault="00703227" w:rsidP="00717CFD">
      <w:r>
        <w:t xml:space="preserve">We strongly agree with the comments in the </w:t>
      </w:r>
      <w:r w:rsidR="00424FB4">
        <w:t>D</w:t>
      </w:r>
      <w:r>
        <w:t xml:space="preserve">raft </w:t>
      </w:r>
      <w:r w:rsidR="00424FB4">
        <w:t>R</w:t>
      </w:r>
      <w:r>
        <w:t>eport</w:t>
      </w:r>
      <w:r w:rsidR="00C706A6">
        <w:t xml:space="preserve"> concerning the effects of the bulk transfer rules on mergers</w:t>
      </w:r>
      <w:r>
        <w:t xml:space="preserve">. </w:t>
      </w:r>
      <w:r w:rsidR="00FC16E0">
        <w:t>However i</w:t>
      </w:r>
      <w:r>
        <w:t xml:space="preserve">t may be challenging to obtain industry data on failed consolidations as they tend not </w:t>
      </w:r>
      <w:r w:rsidR="00FC16E0">
        <w:t xml:space="preserve">to </w:t>
      </w:r>
      <w:r>
        <w:t>be publicised.</w:t>
      </w:r>
    </w:p>
    <w:p w:rsidR="00A541CA" w:rsidRDefault="00A541CA" w:rsidP="00717CFD"/>
    <w:p w:rsidR="00703227" w:rsidRPr="00657FCF" w:rsidRDefault="00703227" w:rsidP="00717CFD">
      <w:pPr>
        <w:rPr>
          <w:b/>
          <w:szCs w:val="22"/>
          <w:lang w:val="en-US"/>
        </w:rPr>
      </w:pPr>
    </w:p>
    <w:p w:rsidR="00703227" w:rsidRPr="00B27D3E" w:rsidRDefault="00270C4F" w:rsidP="00717CFD">
      <w:pPr>
        <w:rPr>
          <w:i/>
          <w:szCs w:val="22"/>
          <w:lang w:val="en-US"/>
        </w:rPr>
      </w:pPr>
      <w:r>
        <w:rPr>
          <w:szCs w:val="22"/>
          <w:lang w:val="en-US"/>
        </w:rPr>
        <w:br w:type="page"/>
      </w:r>
      <w:r w:rsidR="00703227" w:rsidRPr="00B27D3E">
        <w:rPr>
          <w:szCs w:val="22"/>
          <w:lang w:val="en-US"/>
        </w:rPr>
        <w:lastRenderedPageBreak/>
        <w:t>4.</w:t>
      </w:r>
      <w:r w:rsidR="00703227" w:rsidRPr="0032794A">
        <w:rPr>
          <w:i/>
          <w:szCs w:val="22"/>
          <w:lang w:val="en-US"/>
        </w:rPr>
        <w:tab/>
      </w:r>
      <w:r w:rsidR="00703227" w:rsidRPr="00233AD5">
        <w:rPr>
          <w:b/>
          <w:szCs w:val="22"/>
          <w:lang w:val="en-US"/>
        </w:rPr>
        <w:t>What is the best outcome based indicator of effective competition in the superannuation system and why? To what extent could growth in voluntary consumption of superannuation services be an indicator for such assessment?</w:t>
      </w:r>
    </w:p>
    <w:p w:rsidR="00703227" w:rsidRDefault="00703227" w:rsidP="0032794A">
      <w:pPr>
        <w:rPr>
          <w:szCs w:val="22"/>
          <w:lang w:val="en-US"/>
        </w:rPr>
      </w:pPr>
    </w:p>
    <w:p w:rsidR="00703227" w:rsidRPr="00233AD5" w:rsidRDefault="00703227" w:rsidP="0032794A">
      <w:pPr>
        <w:rPr>
          <w:i/>
          <w:szCs w:val="22"/>
          <w:lang w:val="en-US"/>
        </w:rPr>
      </w:pPr>
      <w:r w:rsidRPr="00233AD5">
        <w:rPr>
          <w:i/>
          <w:szCs w:val="22"/>
          <w:lang w:val="en-US"/>
        </w:rPr>
        <w:t>Mercer response</w:t>
      </w:r>
    </w:p>
    <w:p w:rsidR="00703227" w:rsidRDefault="00703227" w:rsidP="00717CFD">
      <w:pPr>
        <w:rPr>
          <w:szCs w:val="22"/>
          <w:lang w:val="en-US"/>
        </w:rPr>
      </w:pPr>
    </w:p>
    <w:p w:rsidR="00703227" w:rsidRDefault="00703227" w:rsidP="006149EA">
      <w:pPr>
        <w:rPr>
          <w:szCs w:val="22"/>
        </w:rPr>
      </w:pPr>
      <w:r w:rsidRPr="00CA5701">
        <w:rPr>
          <w:szCs w:val="22"/>
        </w:rPr>
        <w:t xml:space="preserve">We </w:t>
      </w:r>
      <w:r>
        <w:rPr>
          <w:szCs w:val="22"/>
        </w:rPr>
        <w:t xml:space="preserve">do not </w:t>
      </w:r>
      <w:r w:rsidRPr="00CA5701">
        <w:rPr>
          <w:szCs w:val="22"/>
        </w:rPr>
        <w:t>agree</w:t>
      </w:r>
      <w:r>
        <w:rPr>
          <w:szCs w:val="22"/>
        </w:rPr>
        <w:t xml:space="preserve"> that</w:t>
      </w:r>
      <w:r w:rsidRPr="00CA5701">
        <w:rPr>
          <w:szCs w:val="22"/>
        </w:rPr>
        <w:t xml:space="preserve"> </w:t>
      </w:r>
      <w:r>
        <w:rPr>
          <w:szCs w:val="22"/>
        </w:rPr>
        <w:t>growing consumption of particular services is necessarily indicative of system improvement. Please refer to our further comments at indicator 13.1</w:t>
      </w:r>
      <w:r w:rsidR="00307B6A">
        <w:rPr>
          <w:szCs w:val="22"/>
        </w:rPr>
        <w:t xml:space="preserve"> in Attachment 3</w:t>
      </w:r>
      <w:r>
        <w:rPr>
          <w:szCs w:val="22"/>
        </w:rPr>
        <w:t>.</w:t>
      </w:r>
    </w:p>
    <w:p w:rsidR="00233AD5" w:rsidRDefault="00233AD5" w:rsidP="006149EA">
      <w:pPr>
        <w:rPr>
          <w:szCs w:val="22"/>
        </w:rPr>
      </w:pPr>
    </w:p>
    <w:p w:rsidR="00703227" w:rsidRPr="00717CFD" w:rsidRDefault="00703227" w:rsidP="00717CFD">
      <w:pPr>
        <w:rPr>
          <w:szCs w:val="22"/>
          <w:lang w:val="en-US"/>
        </w:rPr>
      </w:pPr>
    </w:p>
    <w:p w:rsidR="00703227" w:rsidRPr="00233AD5" w:rsidRDefault="00703227" w:rsidP="00717CFD">
      <w:pPr>
        <w:rPr>
          <w:b/>
          <w:szCs w:val="22"/>
          <w:lang w:val="en-US"/>
        </w:rPr>
      </w:pPr>
      <w:r w:rsidRPr="00B27D3E">
        <w:rPr>
          <w:szCs w:val="22"/>
          <w:lang w:val="en-US"/>
        </w:rPr>
        <w:t>5.</w:t>
      </w:r>
      <w:r w:rsidRPr="00B27D3E">
        <w:rPr>
          <w:szCs w:val="22"/>
          <w:lang w:val="en-US"/>
        </w:rPr>
        <w:tab/>
      </w:r>
      <w:r w:rsidRPr="00233AD5">
        <w:rPr>
          <w:b/>
          <w:szCs w:val="22"/>
          <w:lang w:val="en-US"/>
        </w:rPr>
        <w:t xml:space="preserve">What reference portfolio should be used to benchmark long term net returns in the system and particular segments of the market? </w:t>
      </w:r>
    </w:p>
    <w:p w:rsidR="00703227" w:rsidRDefault="00703227" w:rsidP="00717CFD">
      <w:pPr>
        <w:rPr>
          <w:szCs w:val="22"/>
          <w:lang w:val="en-US"/>
        </w:rPr>
      </w:pPr>
    </w:p>
    <w:p w:rsidR="00703227" w:rsidRPr="00233AD5" w:rsidRDefault="00703227" w:rsidP="00A66F10">
      <w:pPr>
        <w:rPr>
          <w:i/>
          <w:szCs w:val="22"/>
          <w:lang w:val="en-US"/>
        </w:rPr>
      </w:pPr>
      <w:r w:rsidRPr="00233AD5">
        <w:rPr>
          <w:i/>
          <w:szCs w:val="22"/>
          <w:lang w:val="en-US"/>
        </w:rPr>
        <w:t>Mercer response</w:t>
      </w:r>
    </w:p>
    <w:p w:rsidR="00703227" w:rsidRPr="00A66F10" w:rsidRDefault="00703227" w:rsidP="00A66F10">
      <w:pPr>
        <w:rPr>
          <w:szCs w:val="22"/>
          <w:lang w:val="en-US"/>
        </w:rPr>
      </w:pPr>
    </w:p>
    <w:p w:rsidR="00703227" w:rsidRPr="009E3851" w:rsidRDefault="00703227" w:rsidP="00121F5C">
      <w:pPr>
        <w:rPr>
          <w:szCs w:val="22"/>
        </w:rPr>
      </w:pPr>
      <w:r w:rsidRPr="00121F5C">
        <w:rPr>
          <w:szCs w:val="22"/>
          <w:lang w:val="en-US"/>
        </w:rPr>
        <w:t>We discuss two possible approaches below</w:t>
      </w:r>
      <w:r w:rsidRPr="009E3851">
        <w:rPr>
          <w:szCs w:val="22"/>
          <w:lang w:val="en-US"/>
        </w:rPr>
        <w:t>:</w:t>
      </w:r>
    </w:p>
    <w:p w:rsidR="00703227" w:rsidRPr="009E3851" w:rsidRDefault="00703227" w:rsidP="00121F5C">
      <w:pPr>
        <w:rPr>
          <w:szCs w:val="22"/>
        </w:rPr>
      </w:pPr>
      <w:r w:rsidRPr="009E3851">
        <w:rPr>
          <w:szCs w:val="22"/>
          <w:lang w:val="en-US"/>
        </w:rPr>
        <w:t> </w:t>
      </w:r>
    </w:p>
    <w:p w:rsidR="00703227" w:rsidRPr="00233AD5" w:rsidRDefault="00703227" w:rsidP="00121F5C">
      <w:pPr>
        <w:rPr>
          <w:szCs w:val="22"/>
          <w:u w:val="single"/>
        </w:rPr>
      </w:pPr>
      <w:r w:rsidRPr="00233AD5">
        <w:rPr>
          <w:bCs/>
          <w:szCs w:val="22"/>
          <w:u w:val="single"/>
          <w:lang w:val="en-US"/>
        </w:rPr>
        <w:t>Typical default based:</w:t>
      </w:r>
    </w:p>
    <w:p w:rsidR="00703227" w:rsidRPr="009E3851" w:rsidRDefault="00703227" w:rsidP="00121F5C">
      <w:pPr>
        <w:rPr>
          <w:szCs w:val="22"/>
        </w:rPr>
      </w:pPr>
      <w:r w:rsidRPr="009E3851">
        <w:rPr>
          <w:szCs w:val="22"/>
          <w:lang w:val="en-US"/>
        </w:rPr>
        <w:t> </w:t>
      </w:r>
    </w:p>
    <w:p w:rsidR="00703227" w:rsidRDefault="00703227" w:rsidP="00A539E4">
      <w:pPr>
        <w:pStyle w:val="ListParagraph"/>
        <w:numPr>
          <w:ilvl w:val="0"/>
          <w:numId w:val="35"/>
        </w:numPr>
        <w:spacing w:before="100" w:after="100"/>
        <w:ind w:left="284" w:right="-46" w:hanging="284"/>
        <w:contextualSpacing/>
        <w:rPr>
          <w:rFonts w:ascii="Arial" w:hAnsi="Arial" w:cs="Arial"/>
        </w:rPr>
      </w:pPr>
      <w:r>
        <w:rPr>
          <w:rFonts w:ascii="Arial" w:hAnsi="Arial" w:cs="Arial"/>
          <w:lang w:val="en-US"/>
        </w:rPr>
        <w:t>One option is g</w:t>
      </w:r>
      <w:r w:rsidRPr="009E3851">
        <w:rPr>
          <w:rFonts w:ascii="Arial" w:hAnsi="Arial" w:cs="Arial"/>
          <w:lang w:val="en-US"/>
        </w:rPr>
        <w:t>iven that 70% growth: 30% defensive allocations have been common default strategies over time, such a portfolio could be considered.</w:t>
      </w:r>
    </w:p>
    <w:p w:rsidR="00703227" w:rsidRDefault="00703227" w:rsidP="00A539E4">
      <w:pPr>
        <w:pStyle w:val="ListParagraph"/>
        <w:numPr>
          <w:ilvl w:val="0"/>
          <w:numId w:val="35"/>
        </w:numPr>
        <w:spacing w:before="100" w:after="100"/>
        <w:ind w:left="284" w:right="-46" w:hanging="284"/>
        <w:contextualSpacing/>
        <w:rPr>
          <w:rFonts w:ascii="Arial" w:hAnsi="Arial" w:cs="Arial"/>
        </w:rPr>
      </w:pPr>
      <w:r w:rsidRPr="009E3851">
        <w:rPr>
          <w:rFonts w:ascii="Arial" w:hAnsi="Arial" w:cs="Arial"/>
          <w:lang w:val="en-US"/>
        </w:rPr>
        <w:t>A simple, passively-implemented mix of equities and bonds could be used for benchmarking purposes</w:t>
      </w:r>
      <w:r w:rsidRPr="00A66F10">
        <w:rPr>
          <w:rFonts w:ascii="Arial" w:hAnsi="Arial" w:cs="Arial"/>
          <w:lang w:val="en-US"/>
        </w:rPr>
        <w:t xml:space="preserve"> e.g. </w:t>
      </w:r>
      <w:r w:rsidRPr="009E3851">
        <w:rPr>
          <w:rFonts w:ascii="Arial" w:hAnsi="Arial" w:cs="Arial"/>
          <w:lang w:val="en-US"/>
        </w:rPr>
        <w:t>35% Global Equities, 35% Australian equities, 30% Australian government bonds</w:t>
      </w:r>
      <w:r w:rsidRPr="00A66F10">
        <w:rPr>
          <w:rFonts w:ascii="Arial" w:hAnsi="Arial" w:cs="Arial"/>
          <w:lang w:val="en-US"/>
        </w:rPr>
        <w:t xml:space="preserve"> (more </w:t>
      </w:r>
      <w:r w:rsidRPr="00121F5C">
        <w:rPr>
          <w:rFonts w:ascii="Arial" w:hAnsi="Arial" w:cs="Arial"/>
          <w:lang w:val="en-US"/>
        </w:rPr>
        <w:t>sophisticated portfolios</w:t>
      </w:r>
      <w:r>
        <w:rPr>
          <w:rFonts w:ascii="Arial" w:hAnsi="Arial" w:cs="Arial"/>
          <w:lang w:val="en-US"/>
        </w:rPr>
        <w:t>, including alternatives,</w:t>
      </w:r>
      <w:r w:rsidRPr="00121F5C">
        <w:rPr>
          <w:rFonts w:ascii="Arial" w:hAnsi="Arial" w:cs="Arial"/>
          <w:lang w:val="en-US"/>
        </w:rPr>
        <w:t xml:space="preserve"> could, of course</w:t>
      </w:r>
      <w:r w:rsidRPr="009E3851">
        <w:rPr>
          <w:rFonts w:ascii="Arial" w:hAnsi="Arial" w:cs="Arial"/>
          <w:lang w:val="en-US"/>
        </w:rPr>
        <w:t xml:space="preserve">, be considered) </w:t>
      </w:r>
    </w:p>
    <w:p w:rsidR="00703227" w:rsidRDefault="00703227" w:rsidP="00A539E4">
      <w:pPr>
        <w:pStyle w:val="ListParagraph"/>
        <w:numPr>
          <w:ilvl w:val="0"/>
          <w:numId w:val="35"/>
        </w:numPr>
        <w:spacing w:before="100" w:after="100"/>
        <w:ind w:left="284" w:right="-46" w:hanging="284"/>
        <w:contextualSpacing/>
        <w:rPr>
          <w:rFonts w:ascii="Arial" w:hAnsi="Arial" w:cs="Arial"/>
        </w:rPr>
      </w:pPr>
      <w:r w:rsidRPr="009E3851">
        <w:rPr>
          <w:rFonts w:ascii="Arial" w:hAnsi="Arial" w:cs="Arial"/>
          <w:lang w:val="en-US"/>
        </w:rPr>
        <w:t xml:space="preserve">Benefits: Simple to calculate, broadly representative of the historical profile of default options.  With SG contributions </w:t>
      </w:r>
      <w:r w:rsidR="00307B6A">
        <w:rPr>
          <w:rFonts w:ascii="Arial" w:hAnsi="Arial" w:cs="Arial"/>
          <w:lang w:val="en-US"/>
        </w:rPr>
        <w:t xml:space="preserve">increasing </w:t>
      </w:r>
      <w:r w:rsidRPr="009E3851">
        <w:rPr>
          <w:rFonts w:ascii="Arial" w:hAnsi="Arial" w:cs="Arial"/>
          <w:lang w:val="en-US"/>
        </w:rPr>
        <w:t>over time, such a reference portfolio should, on average</w:t>
      </w:r>
      <w:r w:rsidR="00307B6A">
        <w:rPr>
          <w:rFonts w:ascii="Arial" w:hAnsi="Arial" w:cs="Arial"/>
          <w:lang w:val="en-US"/>
        </w:rPr>
        <w:t>,</w:t>
      </w:r>
      <w:r w:rsidRPr="009E3851">
        <w:rPr>
          <w:rFonts w:ascii="Arial" w:hAnsi="Arial" w:cs="Arial"/>
          <w:lang w:val="en-US"/>
        </w:rPr>
        <w:t xml:space="preserve"> enable members to achieve a balance at retirement that has a reasonable chance to achieve an adequate and sustainable income in retirement.  </w:t>
      </w:r>
    </w:p>
    <w:p w:rsidR="00703227" w:rsidRDefault="00703227" w:rsidP="00A539E4">
      <w:pPr>
        <w:pStyle w:val="ListParagraph"/>
        <w:numPr>
          <w:ilvl w:val="0"/>
          <w:numId w:val="35"/>
        </w:numPr>
        <w:spacing w:before="100" w:after="100"/>
        <w:ind w:left="284" w:right="-46" w:hanging="284"/>
        <w:contextualSpacing/>
        <w:rPr>
          <w:rFonts w:ascii="Arial" w:hAnsi="Arial" w:cs="Arial"/>
        </w:rPr>
      </w:pPr>
      <w:r w:rsidRPr="009E3851">
        <w:rPr>
          <w:rFonts w:ascii="Arial" w:hAnsi="Arial" w:cs="Arial"/>
          <w:lang w:val="en-US"/>
        </w:rPr>
        <w:t xml:space="preserve">Drawbacks:  </w:t>
      </w:r>
      <w:r w:rsidRPr="009E3851">
        <w:rPr>
          <w:rFonts w:ascii="Arial" w:hAnsi="Arial" w:cs="Arial"/>
        </w:rPr>
        <w:t xml:space="preserve">Such a benchmark would only be valid for comparison against performance of </w:t>
      </w:r>
      <w:r w:rsidRPr="00A66F10">
        <w:rPr>
          <w:rFonts w:ascii="Arial" w:hAnsi="Arial" w:cs="Arial"/>
        </w:rPr>
        <w:t>funds/</w:t>
      </w:r>
      <w:r w:rsidRPr="009E3851">
        <w:rPr>
          <w:rFonts w:ascii="Arial" w:hAnsi="Arial" w:cs="Arial"/>
        </w:rPr>
        <w:t xml:space="preserve">products with a similar risk profile. Even then, any reference portfolio will necessarily be somewhat subjective and other reasonable portfolios with similar expected risk/return profiles may have significantly higher or lower returns across any particular time period, depending on the actual asset class returns over that time period. </w:t>
      </w:r>
      <w:r w:rsidRPr="00A66F10">
        <w:rPr>
          <w:rFonts w:ascii="Arial" w:hAnsi="Arial" w:cs="Arial"/>
        </w:rPr>
        <w:t>Ther</w:t>
      </w:r>
      <w:r w:rsidRPr="00121F5C">
        <w:rPr>
          <w:rFonts w:ascii="Arial" w:hAnsi="Arial" w:cs="Arial"/>
        </w:rPr>
        <w:t xml:space="preserve">e would also be </w:t>
      </w:r>
      <w:r w:rsidRPr="009E3851">
        <w:rPr>
          <w:rFonts w:ascii="Arial" w:hAnsi="Arial" w:cs="Arial"/>
        </w:rPr>
        <w:t xml:space="preserve">some subjectivity in determining allowances for fees and tax rates. </w:t>
      </w:r>
    </w:p>
    <w:p w:rsidR="00703227" w:rsidRDefault="00703227" w:rsidP="00A539E4">
      <w:pPr>
        <w:pStyle w:val="ListParagraph"/>
        <w:numPr>
          <w:ilvl w:val="0"/>
          <w:numId w:val="35"/>
        </w:numPr>
        <w:spacing w:before="100" w:after="100"/>
        <w:ind w:left="284" w:right="-46" w:hanging="284"/>
        <w:contextualSpacing/>
        <w:rPr>
          <w:rFonts w:ascii="Arial" w:hAnsi="Arial" w:cs="Arial"/>
        </w:rPr>
      </w:pPr>
      <w:r w:rsidRPr="009E3851">
        <w:rPr>
          <w:rFonts w:ascii="Arial" w:hAnsi="Arial" w:cs="Arial"/>
          <w:b/>
          <w:lang w:val="en-US"/>
        </w:rPr>
        <w:t>Conclusion:</w:t>
      </w:r>
      <w:r w:rsidRPr="009E3851">
        <w:rPr>
          <w:rFonts w:ascii="Arial" w:hAnsi="Arial" w:cs="Arial"/>
          <w:lang w:val="en-US"/>
        </w:rPr>
        <w:t xml:space="preserve"> </w:t>
      </w:r>
      <w:r w:rsidRPr="009E3851">
        <w:rPr>
          <w:rFonts w:ascii="Arial" w:hAnsi="Arial" w:cs="Arial"/>
          <w:lang w:val="en-GB"/>
        </w:rPr>
        <w:t xml:space="preserve">We do not support </w:t>
      </w:r>
      <w:r w:rsidR="00A539E4">
        <w:rPr>
          <w:rFonts w:ascii="Arial" w:hAnsi="Arial" w:cs="Arial"/>
          <w:lang w:val="en-GB"/>
        </w:rPr>
        <w:t xml:space="preserve">a 70/30 reference portfolio </w:t>
      </w:r>
      <w:r w:rsidRPr="009E3851">
        <w:rPr>
          <w:rFonts w:ascii="Arial" w:hAnsi="Arial" w:cs="Arial"/>
          <w:lang w:val="en-GB"/>
        </w:rPr>
        <w:t xml:space="preserve">as an effective </w:t>
      </w:r>
      <w:r w:rsidRPr="00A66F10">
        <w:rPr>
          <w:rFonts w:ascii="Arial" w:hAnsi="Arial" w:cs="Arial"/>
        </w:rPr>
        <w:t>b</w:t>
      </w:r>
      <w:r w:rsidRPr="00121F5C">
        <w:rPr>
          <w:rFonts w:ascii="Arial" w:hAnsi="Arial" w:cs="Arial"/>
        </w:rPr>
        <w:t xml:space="preserve">enchmark for </w:t>
      </w:r>
      <w:r w:rsidRPr="009E3851">
        <w:rPr>
          <w:rFonts w:ascii="Arial" w:hAnsi="Arial" w:cs="Arial"/>
        </w:rPr>
        <w:t>the performance of the system (or a segment)</w:t>
      </w:r>
      <w:r>
        <w:rPr>
          <w:rFonts w:ascii="Arial" w:hAnsi="Arial" w:cs="Arial"/>
        </w:rPr>
        <w:t xml:space="preserve">, as a like-for-like risk-return profile is essential for comparisons, even over long periods. </w:t>
      </w:r>
      <w:r w:rsidRPr="009E3851">
        <w:rPr>
          <w:rFonts w:ascii="Arial" w:hAnsi="Arial" w:cs="Arial"/>
        </w:rPr>
        <w:t>At best it would provide a reference point from which learnings may emerge from seeking to understand the reasons for the differences between the theoretical benchmark and actual performance</w:t>
      </w:r>
      <w:r w:rsidRPr="00A66F10">
        <w:rPr>
          <w:rFonts w:ascii="Arial" w:hAnsi="Arial" w:cs="Arial"/>
        </w:rPr>
        <w:t>.</w:t>
      </w:r>
    </w:p>
    <w:p w:rsidR="00703227" w:rsidRPr="009E3851" w:rsidRDefault="00703227" w:rsidP="00121F5C">
      <w:pPr>
        <w:ind w:right="-46"/>
        <w:rPr>
          <w:szCs w:val="22"/>
        </w:rPr>
      </w:pPr>
      <w:r w:rsidRPr="009E3851">
        <w:rPr>
          <w:szCs w:val="22"/>
          <w:lang w:val="en-US"/>
        </w:rPr>
        <w:t> </w:t>
      </w:r>
    </w:p>
    <w:p w:rsidR="00703227" w:rsidRPr="00233AD5" w:rsidRDefault="00703227" w:rsidP="00121F5C">
      <w:pPr>
        <w:ind w:right="-46"/>
        <w:rPr>
          <w:szCs w:val="22"/>
          <w:u w:val="single"/>
        </w:rPr>
      </w:pPr>
      <w:r w:rsidRPr="00233AD5">
        <w:rPr>
          <w:bCs/>
          <w:szCs w:val="22"/>
          <w:u w:val="single"/>
          <w:lang w:val="en-US"/>
        </w:rPr>
        <w:t>Outcome based objectives:</w:t>
      </w:r>
    </w:p>
    <w:p w:rsidR="00703227" w:rsidRPr="009E3851" w:rsidRDefault="00703227" w:rsidP="00121F5C">
      <w:pPr>
        <w:ind w:right="-46"/>
        <w:rPr>
          <w:szCs w:val="22"/>
        </w:rPr>
      </w:pPr>
      <w:r w:rsidRPr="009E3851">
        <w:rPr>
          <w:szCs w:val="22"/>
          <w:lang w:val="en-US"/>
        </w:rPr>
        <w:t> </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Alternatively, an absolute benchmark could be considered which is more directly linked with the outcomes that members need or expect.</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This could be expressed in Cash + or CPI + terms given that this provides a solid base comparison in terms of what member would expect to achieve (i.e. the risk-free return (Cash) or maintain real value (CPI)).</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lastRenderedPageBreak/>
        <w:t>Given common practice in super, CPI would be more relevant for members over their lifetime as ultimately they need to spend their savings in retirement.  CPI is a better measure from that perspective than Cash.</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 xml:space="preserve">A simple, reference target within the range of CPI + 2.5% to CPI + 4.5% (assuming accumulation phase and after investment and administration fees) would be reasonable to capture the generally accepted risk-profile that most investors can accept over the accumulation life-cycle.  </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By converting the above range into absolute returns, we can determine reasonable reference portfolios.  For example, we would need simple portfolios that are expected to achieve an absolute return of 5% to 7% p.a. over time, assuming CPI of 2.5% p.a.</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A passively-implemented mix of equities and bonds could be used for benchmarking purposes. Something like 25% Global Equities, 25% Australian equities, 50% Australian government bonds could be used for the bottom end of the above range.  Something like 35% Global Equities, 35% Australian equities, 30% Australian government bonds could be used for the top end of the above range.</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 xml:space="preserve">Benefits: Simple to calculate.  Such reference portfolios are more directly linked with the outcomes that members need or expect over time. </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9E3851">
        <w:rPr>
          <w:rFonts w:ascii="Arial" w:hAnsi="Arial" w:cs="Arial"/>
          <w:lang w:val="en-US"/>
        </w:rPr>
        <w:t>Drawbacks: The CPI + component is subjective and</w:t>
      </w:r>
      <w:r w:rsidR="00A541CA">
        <w:rPr>
          <w:rFonts w:ascii="Arial" w:hAnsi="Arial" w:cs="Arial"/>
          <w:lang w:val="en-US"/>
        </w:rPr>
        <w:t>,</w:t>
      </w:r>
      <w:r w:rsidRPr="009E3851">
        <w:rPr>
          <w:rFonts w:ascii="Arial" w:hAnsi="Arial" w:cs="Arial"/>
          <w:lang w:val="en-US"/>
        </w:rPr>
        <w:t xml:space="preserve"> as it is static</w:t>
      </w:r>
      <w:r w:rsidR="00A539E4">
        <w:rPr>
          <w:rFonts w:ascii="Arial" w:hAnsi="Arial" w:cs="Arial"/>
          <w:lang w:val="en-US"/>
        </w:rPr>
        <w:t>,</w:t>
      </w:r>
      <w:r w:rsidRPr="009E3851">
        <w:rPr>
          <w:rFonts w:ascii="Arial" w:hAnsi="Arial" w:cs="Arial"/>
          <w:lang w:val="en-US"/>
        </w:rPr>
        <w:t xml:space="preserve"> it does not reflect a change in members’ risk profiles over time. </w:t>
      </w:r>
      <w:r w:rsidRPr="00A66F10">
        <w:rPr>
          <w:rFonts w:ascii="Arial" w:hAnsi="Arial" w:cs="Arial"/>
          <w:lang w:val="en-US"/>
        </w:rPr>
        <w:t xml:space="preserve">Also see </w:t>
      </w:r>
      <w:r w:rsidR="00A539E4">
        <w:rPr>
          <w:rFonts w:ascii="Arial" w:hAnsi="Arial" w:cs="Arial"/>
          <w:lang w:val="en-US"/>
        </w:rPr>
        <w:t xml:space="preserve">the </w:t>
      </w:r>
      <w:r w:rsidRPr="00A66F10">
        <w:rPr>
          <w:rFonts w:ascii="Arial" w:hAnsi="Arial" w:cs="Arial"/>
          <w:lang w:val="en-US"/>
        </w:rPr>
        <w:t>comments above for a 70/30 r</w:t>
      </w:r>
      <w:r w:rsidRPr="00121F5C">
        <w:rPr>
          <w:rFonts w:ascii="Arial" w:hAnsi="Arial" w:cs="Arial"/>
          <w:lang w:val="en-US"/>
        </w:rPr>
        <w:t>eference portfolio.</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121F5C">
        <w:rPr>
          <w:rFonts w:ascii="Arial" w:hAnsi="Arial" w:cs="Arial"/>
          <w:b/>
          <w:lang w:val="en-US"/>
        </w:rPr>
        <w:t>Conclusion:</w:t>
      </w:r>
      <w:r w:rsidRPr="009E3851">
        <w:rPr>
          <w:rFonts w:ascii="Arial" w:hAnsi="Arial" w:cs="Arial"/>
          <w:lang w:val="en-US"/>
        </w:rPr>
        <w:t xml:space="preserve"> </w:t>
      </w:r>
      <w:r w:rsidRPr="00A66F10">
        <w:rPr>
          <w:rFonts w:ascii="Arial" w:hAnsi="Arial" w:cs="Arial"/>
          <w:lang w:val="en-US"/>
        </w:rPr>
        <w:t>A range</w:t>
      </w:r>
      <w:r w:rsidRPr="00121F5C">
        <w:rPr>
          <w:rFonts w:ascii="Arial" w:hAnsi="Arial" w:cs="Arial"/>
          <w:lang w:val="en-US"/>
        </w:rPr>
        <w:t xml:space="preserve"> of reference portfolios would enable greater matching of the</w:t>
      </w:r>
      <w:r w:rsidRPr="009E3851">
        <w:rPr>
          <w:rFonts w:ascii="Arial" w:hAnsi="Arial" w:cs="Arial"/>
          <w:lang w:val="en-US"/>
        </w:rPr>
        <w:t xml:space="preserve"> risk profile with the segment being considered. However for the same reasons as above, we do not support the use of reference portfolios as an effective benchmark for the performance of the system (or a segment). </w:t>
      </w:r>
    </w:p>
    <w:p w:rsidR="00703227" w:rsidRDefault="00703227" w:rsidP="00DF762E">
      <w:pPr>
        <w:spacing w:before="100" w:after="100"/>
        <w:ind w:right="-46"/>
        <w:contextualSpacing/>
        <w:rPr>
          <w:lang w:val="en-US"/>
        </w:rPr>
      </w:pPr>
      <w:r>
        <w:rPr>
          <w:lang w:val="en-US"/>
        </w:rPr>
        <w:t>Notwithstanding the possible value of benchmark or reference portfolios, we wish to stress the limited value of any benchmarking for the industry as the needs and preferences of members vary greatly.  For example, some members may wish to obtain an absolute return (say 6% p</w:t>
      </w:r>
      <w:r w:rsidR="00A539E4">
        <w:rPr>
          <w:lang w:val="en-US"/>
        </w:rPr>
        <w:t>.</w:t>
      </w:r>
      <w:r>
        <w:rPr>
          <w:lang w:val="en-US"/>
        </w:rPr>
        <w:t>a</w:t>
      </w:r>
      <w:r w:rsidR="00A539E4">
        <w:rPr>
          <w:lang w:val="en-US"/>
        </w:rPr>
        <w:t>.</w:t>
      </w:r>
      <w:r>
        <w:rPr>
          <w:lang w:val="en-US"/>
        </w:rPr>
        <w:t>) and not be concerned with benchmarking whilst other members may be concerned with a performance relative to CPI, wages or a particular asset class.  Furthermore, the appropriate benchmark or objective will normally change during an individual’s lifetime.</w:t>
      </w:r>
    </w:p>
    <w:p w:rsidR="00233AD5" w:rsidRDefault="00233AD5" w:rsidP="00DF762E">
      <w:pPr>
        <w:spacing w:before="100" w:after="100"/>
        <w:ind w:right="-46"/>
        <w:contextualSpacing/>
        <w:rPr>
          <w:lang w:val="en-US"/>
        </w:rPr>
      </w:pPr>
    </w:p>
    <w:p w:rsidR="00703227" w:rsidRPr="00717CFD" w:rsidRDefault="00703227" w:rsidP="00717CFD">
      <w:pPr>
        <w:rPr>
          <w:szCs w:val="22"/>
          <w:lang w:val="en-US"/>
        </w:rPr>
      </w:pPr>
    </w:p>
    <w:p w:rsidR="00703227" w:rsidRPr="00B27D3E" w:rsidRDefault="00703227" w:rsidP="00717CFD">
      <w:pPr>
        <w:rPr>
          <w:i/>
          <w:szCs w:val="22"/>
          <w:lang w:val="en-US"/>
        </w:rPr>
      </w:pPr>
      <w:r w:rsidRPr="00B27D3E">
        <w:rPr>
          <w:szCs w:val="22"/>
          <w:lang w:val="en-US"/>
        </w:rPr>
        <w:t>6.</w:t>
      </w:r>
      <w:r w:rsidRPr="0032794A">
        <w:rPr>
          <w:i/>
          <w:szCs w:val="22"/>
          <w:lang w:val="en-US"/>
        </w:rPr>
        <w:tab/>
      </w:r>
      <w:r w:rsidRPr="00233AD5">
        <w:rPr>
          <w:b/>
          <w:szCs w:val="22"/>
          <w:lang w:val="en-US"/>
        </w:rPr>
        <w:t>What other benchmarks should be used to supplement the analysis? If a CPI + X benchmark was used what is the appropriate level of ‘X’?</w:t>
      </w:r>
    </w:p>
    <w:p w:rsidR="00703227" w:rsidRDefault="00703227" w:rsidP="00717CFD">
      <w:pPr>
        <w:rPr>
          <w:szCs w:val="22"/>
          <w:lang w:val="en-US"/>
        </w:rPr>
      </w:pPr>
    </w:p>
    <w:p w:rsidR="00703227" w:rsidRPr="00233AD5" w:rsidRDefault="00703227" w:rsidP="0009592D">
      <w:pPr>
        <w:rPr>
          <w:i/>
          <w:szCs w:val="22"/>
          <w:lang w:val="en-US"/>
        </w:rPr>
      </w:pPr>
      <w:r w:rsidRPr="00233AD5">
        <w:rPr>
          <w:i/>
          <w:szCs w:val="22"/>
          <w:lang w:val="en-US"/>
        </w:rPr>
        <w:t>Mercer response</w:t>
      </w:r>
    </w:p>
    <w:p w:rsidR="00703227" w:rsidRPr="00A66F10" w:rsidRDefault="00703227" w:rsidP="0009592D">
      <w:pPr>
        <w:rPr>
          <w:szCs w:val="22"/>
          <w:lang w:val="en-US"/>
        </w:rPr>
      </w:pPr>
    </w:p>
    <w:p w:rsidR="00703227" w:rsidRDefault="00703227" w:rsidP="00717CFD">
      <w:pPr>
        <w:rPr>
          <w:szCs w:val="22"/>
          <w:lang w:val="en-US"/>
        </w:rPr>
      </w:pPr>
      <w:r>
        <w:rPr>
          <w:szCs w:val="22"/>
          <w:lang w:val="en-US"/>
        </w:rPr>
        <w:t>We support the use of a ‘CPI + X ‘ benchmark for diversified portfolios (particularly MyS</w:t>
      </w:r>
      <w:r w:rsidR="00A539E4">
        <w:rPr>
          <w:szCs w:val="22"/>
          <w:lang w:val="en-US"/>
        </w:rPr>
        <w:t>u</w:t>
      </w:r>
      <w:r>
        <w:rPr>
          <w:szCs w:val="22"/>
          <w:lang w:val="en-US"/>
        </w:rPr>
        <w:t>per portfolios) a</w:t>
      </w:r>
      <w:r w:rsidR="00B27D3E">
        <w:rPr>
          <w:szCs w:val="22"/>
          <w:lang w:val="en-US"/>
        </w:rPr>
        <w:t>s</w:t>
      </w:r>
      <w:r>
        <w:rPr>
          <w:szCs w:val="22"/>
          <w:lang w:val="en-US"/>
        </w:rPr>
        <w:t xml:space="preserve"> it is consistent with how investment return objectives are expressed and the need to provide positive real returns on member balances. </w:t>
      </w:r>
    </w:p>
    <w:p w:rsidR="00703227" w:rsidRDefault="00703227" w:rsidP="00717CFD">
      <w:pPr>
        <w:rPr>
          <w:szCs w:val="22"/>
          <w:lang w:val="en-US"/>
        </w:rPr>
      </w:pPr>
    </w:p>
    <w:p w:rsidR="00703227" w:rsidRDefault="00703227" w:rsidP="00717CFD">
      <w:pPr>
        <w:rPr>
          <w:szCs w:val="22"/>
          <w:lang w:val="en-US"/>
        </w:rPr>
      </w:pPr>
      <w:r>
        <w:rPr>
          <w:szCs w:val="22"/>
          <w:lang w:val="en-US"/>
        </w:rPr>
        <w:t>However we note that how easy or difficult it is to achieve such an objective will largely depend on the investment environment over the period measured e.g. based on ASFA Investment Group calculations (Superfunds Magazine September 201</w:t>
      </w:r>
      <w:r w:rsidR="00A541CA">
        <w:rPr>
          <w:szCs w:val="22"/>
          <w:lang w:val="en-US"/>
        </w:rPr>
        <w:t>6</w:t>
      </w:r>
      <w:r>
        <w:rPr>
          <w:szCs w:val="22"/>
          <w:lang w:val="en-US"/>
        </w:rPr>
        <w:t>), average fund returns over 20 year periods ending 30 June 1982 to 30 June 201</w:t>
      </w:r>
      <w:r w:rsidR="00A541CA">
        <w:rPr>
          <w:szCs w:val="22"/>
          <w:lang w:val="en-US"/>
        </w:rPr>
        <w:t>6</w:t>
      </w:r>
      <w:r>
        <w:rPr>
          <w:szCs w:val="22"/>
          <w:lang w:val="en-US"/>
        </w:rPr>
        <w:t xml:space="preserve"> exceeded CPI by margins ranging from 2.4% pa (1984) to 8.4% pa (1999). </w:t>
      </w:r>
    </w:p>
    <w:p w:rsidR="00703227" w:rsidRDefault="00703227" w:rsidP="00717CFD">
      <w:pPr>
        <w:rPr>
          <w:szCs w:val="22"/>
          <w:lang w:val="en-US"/>
        </w:rPr>
      </w:pPr>
    </w:p>
    <w:p w:rsidR="00703227" w:rsidRPr="00151F70" w:rsidRDefault="00703227" w:rsidP="004D3C8C">
      <w:r w:rsidRPr="00151F70">
        <w:t>As these figures illustrate, performance is very variable around a CPI+ objective over time, largely dependent on equity market returns.  For example</w:t>
      </w:r>
      <w:r w:rsidR="00A539E4">
        <w:t>,</w:t>
      </w:r>
      <w:r w:rsidRPr="00151F70">
        <w:t xml:space="preserve"> post GFC, the performance over 5 years for </w:t>
      </w:r>
      <w:r w:rsidRPr="00151F70">
        <w:lastRenderedPageBreak/>
        <w:t xml:space="preserve">many growth-oriented portfolios ran well below </w:t>
      </w:r>
      <w:r w:rsidR="00A541CA">
        <w:t xml:space="preserve">the </w:t>
      </w:r>
      <w:r w:rsidRPr="00151F70">
        <w:t>objective for a period, as illustrated by the example in the following chart below.</w:t>
      </w:r>
    </w:p>
    <w:p w:rsidR="00703227" w:rsidRDefault="00703227" w:rsidP="004D3C8C">
      <w:pPr>
        <w:rPr>
          <w:color w:val="1F497D"/>
          <w:szCs w:val="22"/>
        </w:rPr>
      </w:pPr>
    </w:p>
    <w:p w:rsidR="00703227" w:rsidRDefault="005005CC" w:rsidP="004D3C8C">
      <w:pPr>
        <w:rPr>
          <w:color w:val="1F497D"/>
        </w:rPr>
      </w:pPr>
      <w:r>
        <w:rPr>
          <w:noProof/>
          <w:color w:val="1F497D"/>
          <w:lang w:eastAsia="en-AU"/>
        </w:rPr>
        <w:drawing>
          <wp:inline distT="0" distB="0" distL="0" distR="0">
            <wp:extent cx="5991225" cy="2886075"/>
            <wp:effectExtent l="0" t="0" r="9525" b="9525"/>
            <wp:docPr id="7" name="Picture 1" descr="cid:image003.jpg@01D20536.7D84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D20536.7D847010"/>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5991225" cy="2886075"/>
                    </a:xfrm>
                    <a:prstGeom prst="rect">
                      <a:avLst/>
                    </a:prstGeom>
                    <a:noFill/>
                    <a:ln>
                      <a:noFill/>
                    </a:ln>
                  </pic:spPr>
                </pic:pic>
              </a:graphicData>
            </a:graphic>
          </wp:inline>
        </w:drawing>
      </w:r>
    </w:p>
    <w:p w:rsidR="00703227" w:rsidRDefault="00703227" w:rsidP="00717CFD">
      <w:pPr>
        <w:rPr>
          <w:szCs w:val="22"/>
          <w:lang w:val="en-US"/>
        </w:rPr>
      </w:pPr>
    </w:p>
    <w:p w:rsidR="00703227" w:rsidRDefault="00703227" w:rsidP="00717CFD">
      <w:pPr>
        <w:rPr>
          <w:szCs w:val="22"/>
          <w:lang w:val="en-US"/>
        </w:rPr>
      </w:pPr>
    </w:p>
    <w:p w:rsidR="00703227" w:rsidRDefault="00703227" w:rsidP="00717CFD">
      <w:pPr>
        <w:rPr>
          <w:szCs w:val="22"/>
          <w:lang w:val="en-US"/>
        </w:rPr>
      </w:pPr>
      <w:r>
        <w:rPr>
          <w:szCs w:val="22"/>
          <w:lang w:val="en-US"/>
        </w:rPr>
        <w:t xml:space="preserve">Hence the return in excess of CPI does not provide a reliable indication of whether or not returns are being optimized for the level of risk undertaken. </w:t>
      </w:r>
    </w:p>
    <w:p w:rsidR="00703227" w:rsidRDefault="00703227" w:rsidP="00717CFD">
      <w:pPr>
        <w:rPr>
          <w:szCs w:val="22"/>
          <w:lang w:val="en-US"/>
        </w:rPr>
      </w:pPr>
    </w:p>
    <w:p w:rsidR="00703227" w:rsidRDefault="00703227" w:rsidP="00717CFD">
      <w:pPr>
        <w:rPr>
          <w:szCs w:val="22"/>
          <w:lang w:val="en-US"/>
        </w:rPr>
      </w:pPr>
      <w:r>
        <w:rPr>
          <w:szCs w:val="22"/>
          <w:lang w:val="en-US"/>
        </w:rPr>
        <w:t>We would also highlight that the current economic and investment environment is very different from the last 20 years. Hence performance over the last decade is very unlikely to be repeated in the next decade, even if expressed as a real return.</w:t>
      </w:r>
    </w:p>
    <w:p w:rsidR="00233AD5" w:rsidRDefault="00233AD5" w:rsidP="00717CFD">
      <w:pPr>
        <w:rPr>
          <w:szCs w:val="22"/>
          <w:lang w:val="en-US"/>
        </w:rPr>
      </w:pPr>
    </w:p>
    <w:p w:rsidR="00703227" w:rsidRPr="00717CFD" w:rsidRDefault="00703227" w:rsidP="00717CFD">
      <w:pPr>
        <w:rPr>
          <w:szCs w:val="22"/>
          <w:lang w:val="en-US"/>
        </w:rPr>
      </w:pPr>
    </w:p>
    <w:p w:rsidR="00703227" w:rsidRPr="00233AD5" w:rsidRDefault="00703227" w:rsidP="00717CFD">
      <w:pPr>
        <w:rPr>
          <w:b/>
          <w:szCs w:val="22"/>
          <w:lang w:val="en-US"/>
        </w:rPr>
      </w:pPr>
      <w:r w:rsidRPr="00B0220B">
        <w:rPr>
          <w:szCs w:val="22"/>
          <w:lang w:val="en-US"/>
        </w:rPr>
        <w:t>7.</w:t>
      </w:r>
      <w:r w:rsidRPr="00B0220B">
        <w:rPr>
          <w:szCs w:val="22"/>
          <w:lang w:val="en-US"/>
        </w:rPr>
        <w:tab/>
      </w:r>
      <w:r w:rsidRPr="00233AD5">
        <w:rPr>
          <w:b/>
          <w:szCs w:val="22"/>
          <w:lang w:val="en-US"/>
        </w:rPr>
        <w:t>What data would be required to calculate the net returns (net of fees and taxes) to specific asset classes within or across the superannuation system? How could such data be obtained?</w:t>
      </w:r>
    </w:p>
    <w:p w:rsidR="00703227" w:rsidRDefault="00703227" w:rsidP="00717CFD">
      <w:pPr>
        <w:rPr>
          <w:szCs w:val="22"/>
          <w:lang w:val="en-US"/>
        </w:rPr>
      </w:pPr>
    </w:p>
    <w:p w:rsidR="00703227" w:rsidRPr="00233AD5" w:rsidRDefault="00703227" w:rsidP="0009592D">
      <w:pPr>
        <w:rPr>
          <w:i/>
          <w:szCs w:val="22"/>
          <w:lang w:val="en-US"/>
        </w:rPr>
      </w:pPr>
      <w:r w:rsidRPr="00233AD5">
        <w:rPr>
          <w:i/>
          <w:szCs w:val="22"/>
          <w:lang w:val="en-US"/>
        </w:rPr>
        <w:t>Mercer response</w:t>
      </w:r>
    </w:p>
    <w:p w:rsidR="00703227" w:rsidRDefault="00703227" w:rsidP="00717CFD">
      <w:pPr>
        <w:rPr>
          <w:szCs w:val="22"/>
          <w:lang w:val="en-US"/>
        </w:rPr>
      </w:pP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A539E4">
        <w:rPr>
          <w:rFonts w:ascii="Arial" w:hAnsi="Arial" w:cs="Arial"/>
          <w:lang w:val="en-US"/>
        </w:rPr>
        <w:t>The actual returns achieved by super funds for specific asset classes can be averaged and used where available.  This would be hard to come by in disaggregated form over time as funds do</w:t>
      </w:r>
      <w:r w:rsidR="005174DE">
        <w:rPr>
          <w:rFonts w:ascii="Arial" w:hAnsi="Arial" w:cs="Arial"/>
          <w:lang w:val="en-US"/>
        </w:rPr>
        <w:t xml:space="preserve"> not</w:t>
      </w:r>
      <w:r w:rsidRPr="00A539E4">
        <w:rPr>
          <w:rFonts w:ascii="Arial" w:hAnsi="Arial" w:cs="Arial"/>
          <w:lang w:val="en-US"/>
        </w:rPr>
        <w:t xml:space="preserve"> tend to report on individual asset classes only.  </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A539E4">
        <w:rPr>
          <w:rFonts w:ascii="Arial" w:hAnsi="Arial" w:cs="Arial"/>
          <w:lang w:val="en-US"/>
        </w:rPr>
        <w:t xml:space="preserve">Applying the benchmarks returns </w:t>
      </w:r>
      <w:r w:rsidR="005174DE">
        <w:rPr>
          <w:rFonts w:ascii="Arial" w:hAnsi="Arial" w:cs="Arial"/>
          <w:lang w:val="en-US"/>
        </w:rPr>
        <w:t xml:space="preserve">discussed in Mercer’s response </w:t>
      </w:r>
      <w:r w:rsidRPr="00A539E4">
        <w:rPr>
          <w:rFonts w:ascii="Arial" w:hAnsi="Arial" w:cs="Arial"/>
          <w:lang w:val="en-US"/>
        </w:rPr>
        <w:t>above could be considered as a proxy, using the average asset allocations over time.  The index information can be obtained from the index providers or data provision services e.g. Bloomberg, Datastream.  The average asset allocations can be obtained from APRA based on disclosures, or alternatively from providers such as Mercer, ChantWest or SuperRatings.</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A539E4">
        <w:rPr>
          <w:rFonts w:ascii="Arial" w:hAnsi="Arial" w:cs="Arial"/>
          <w:lang w:val="en-US"/>
        </w:rPr>
        <w:t xml:space="preserve">To calculate the net of fee component, an average of the disclosed </w:t>
      </w:r>
      <w:r w:rsidR="005174DE">
        <w:rPr>
          <w:rFonts w:ascii="Arial" w:hAnsi="Arial" w:cs="Arial"/>
          <w:lang w:val="en-US"/>
        </w:rPr>
        <w:t>management expense ratios (</w:t>
      </w:r>
      <w:r w:rsidRPr="00A539E4">
        <w:rPr>
          <w:rFonts w:ascii="Arial" w:hAnsi="Arial" w:cs="Arial"/>
          <w:lang w:val="en-US"/>
        </w:rPr>
        <w:t>MERs</w:t>
      </w:r>
      <w:r w:rsidR="005174DE">
        <w:rPr>
          <w:rFonts w:ascii="Arial" w:hAnsi="Arial" w:cs="Arial"/>
          <w:lang w:val="en-US"/>
        </w:rPr>
        <w:t>)</w:t>
      </w:r>
      <w:r w:rsidRPr="00A539E4">
        <w:rPr>
          <w:rFonts w:ascii="Arial" w:hAnsi="Arial" w:cs="Arial"/>
          <w:lang w:val="en-US"/>
        </w:rPr>
        <w:t xml:space="preserve"> as per the </w:t>
      </w:r>
      <w:r w:rsidR="005174DE">
        <w:rPr>
          <w:rFonts w:ascii="Arial" w:hAnsi="Arial" w:cs="Arial"/>
          <w:lang w:val="en-US"/>
        </w:rPr>
        <w:t>product disclosure statement (</w:t>
      </w:r>
      <w:r w:rsidRPr="00A539E4">
        <w:rPr>
          <w:rFonts w:ascii="Arial" w:hAnsi="Arial" w:cs="Arial"/>
          <w:lang w:val="en-US"/>
        </w:rPr>
        <w:t>PDS</w:t>
      </w:r>
      <w:r w:rsidR="005174DE">
        <w:rPr>
          <w:rFonts w:ascii="Arial" w:hAnsi="Arial" w:cs="Arial"/>
          <w:lang w:val="en-US"/>
        </w:rPr>
        <w:t>)</w:t>
      </w:r>
      <w:r w:rsidRPr="00A539E4">
        <w:rPr>
          <w:rFonts w:ascii="Arial" w:hAnsi="Arial" w:cs="Arial"/>
          <w:lang w:val="en-US"/>
        </w:rPr>
        <w:t xml:space="preserve"> documents for funds can be used as an estimate.  Again, this might be hard to obtain at the disaggregated asset class </w:t>
      </w:r>
      <w:r w:rsidRPr="00A539E4">
        <w:rPr>
          <w:rFonts w:ascii="Arial" w:hAnsi="Arial" w:cs="Arial"/>
          <w:lang w:val="en-US"/>
        </w:rPr>
        <w:lastRenderedPageBreak/>
        <w:t>level.  Reasonable asset class fee estimates could be sourced from asset consultants such as Mercer who have insights across the full range of asset classes and investment managers.</w:t>
      </w:r>
    </w:p>
    <w:p w:rsidR="00703227" w:rsidRDefault="00703227" w:rsidP="00A539E4">
      <w:pPr>
        <w:pStyle w:val="ListParagraph"/>
        <w:numPr>
          <w:ilvl w:val="0"/>
          <w:numId w:val="35"/>
        </w:numPr>
        <w:spacing w:before="100" w:after="100"/>
        <w:ind w:left="284" w:right="-46" w:hanging="284"/>
        <w:contextualSpacing/>
        <w:rPr>
          <w:rFonts w:ascii="Arial" w:hAnsi="Arial" w:cs="Arial"/>
          <w:lang w:val="en-US"/>
        </w:rPr>
      </w:pPr>
      <w:r w:rsidRPr="00A539E4">
        <w:rPr>
          <w:rFonts w:ascii="Arial" w:hAnsi="Arial" w:cs="Arial"/>
          <w:lang w:val="en-US"/>
        </w:rPr>
        <w:t>In terms of taxes, reasonable estimates could be used based on the current tax regimes in place for domestic and overseas asset classes.  For example, the 15% tax rate for super could be converted into a reference franking credit proxy for the pick-up super funds can expect on Australian equities.  Such estimates can be obtained from asset consultants, fund managers or accounting firms.  For overseas based withholding taxes, fund managers or accounting firms might be the first port of call.</w:t>
      </w:r>
    </w:p>
    <w:p w:rsidR="00233AD5" w:rsidRPr="00A539E4" w:rsidRDefault="00233AD5" w:rsidP="00233AD5">
      <w:pPr>
        <w:pStyle w:val="ListParagraph"/>
        <w:spacing w:before="100" w:after="100"/>
        <w:ind w:left="284" w:right="-46"/>
        <w:contextualSpacing/>
        <w:rPr>
          <w:rFonts w:ascii="Arial" w:hAnsi="Arial" w:cs="Arial"/>
          <w:lang w:val="en-US"/>
        </w:rPr>
      </w:pPr>
    </w:p>
    <w:p w:rsidR="00703227" w:rsidRPr="00A539E4" w:rsidRDefault="00703227" w:rsidP="00717CFD">
      <w:pPr>
        <w:rPr>
          <w:szCs w:val="22"/>
          <w:lang w:val="en-US"/>
        </w:rPr>
      </w:pPr>
    </w:p>
    <w:p w:rsidR="00703227" w:rsidRPr="00B0220B" w:rsidRDefault="00703227" w:rsidP="00717CFD">
      <w:pPr>
        <w:rPr>
          <w:i/>
          <w:szCs w:val="22"/>
          <w:lang w:val="en-US"/>
        </w:rPr>
      </w:pPr>
      <w:r w:rsidRPr="00B0220B">
        <w:rPr>
          <w:szCs w:val="22"/>
          <w:lang w:val="en-US"/>
        </w:rPr>
        <w:t>8.</w:t>
      </w:r>
      <w:r w:rsidRPr="009F56D2">
        <w:rPr>
          <w:i/>
          <w:szCs w:val="22"/>
          <w:lang w:val="en-US"/>
        </w:rPr>
        <w:tab/>
      </w:r>
      <w:r w:rsidRPr="00233AD5">
        <w:rPr>
          <w:b/>
          <w:szCs w:val="22"/>
          <w:lang w:val="en-US"/>
        </w:rPr>
        <w:t>How do funds do their internal performance attribution analysis (for example, to what extent is performance attributed to strategic asset allocation, dynamic asset allocation or the individual asset manager)? Are the results consistently reported and made public? What implications can be drawn from performance attribution for the measurement of system wide efficiency in this study?</w:t>
      </w:r>
    </w:p>
    <w:p w:rsidR="00703227" w:rsidRDefault="00703227" w:rsidP="00717CFD">
      <w:pPr>
        <w:rPr>
          <w:szCs w:val="22"/>
          <w:lang w:val="en-US"/>
        </w:rPr>
      </w:pPr>
    </w:p>
    <w:p w:rsidR="00703227" w:rsidRPr="00233AD5" w:rsidRDefault="00703227" w:rsidP="0009592D">
      <w:pPr>
        <w:rPr>
          <w:i/>
          <w:szCs w:val="22"/>
          <w:lang w:val="en-US"/>
        </w:rPr>
      </w:pPr>
      <w:r w:rsidRPr="00233AD5">
        <w:rPr>
          <w:i/>
          <w:szCs w:val="22"/>
          <w:lang w:val="en-US"/>
        </w:rPr>
        <w:t>Mercer response</w:t>
      </w:r>
    </w:p>
    <w:p w:rsidR="00703227" w:rsidRPr="00A66F10" w:rsidRDefault="00703227" w:rsidP="0009592D">
      <w:pPr>
        <w:rPr>
          <w:szCs w:val="22"/>
          <w:lang w:val="en-US"/>
        </w:rPr>
      </w:pPr>
    </w:p>
    <w:p w:rsidR="00703227" w:rsidRPr="00175261" w:rsidRDefault="00703227" w:rsidP="00175261">
      <w:pPr>
        <w:rPr>
          <w:szCs w:val="22"/>
          <w:lang w:val="en-US"/>
        </w:rPr>
      </w:pPr>
      <w:r w:rsidRPr="00175261">
        <w:rPr>
          <w:szCs w:val="22"/>
          <w:lang w:val="en-US"/>
        </w:rPr>
        <w:t>In Mercer’s experience, across both investment consulting and investment management businesses, it is standard practice at the institutional level for attribution analysis of investment returns as described to be calculated and utilised to understand the drivers of investment performance.  This type of analysis assists in analysing which aspects have contributed to or detracted from investment performance, and in making investment decisions.  While care is needed in analysing performance over shorter time periods, it is nevertheless useful to know which parts have added to or detracted from returns.  For example, while it may be the case that shorter term dynamic asset allocation positions may have detracted from performance, if the view on that asset class remains strong</w:t>
      </w:r>
      <w:r w:rsidR="005174DE">
        <w:rPr>
          <w:szCs w:val="22"/>
          <w:lang w:val="en-US"/>
        </w:rPr>
        <w:t>,</w:t>
      </w:r>
      <w:r w:rsidRPr="00175261">
        <w:rPr>
          <w:szCs w:val="22"/>
          <w:lang w:val="en-US"/>
        </w:rPr>
        <w:t xml:space="preserve"> a position would be retained despite the recent negative performance impact.  </w:t>
      </w:r>
    </w:p>
    <w:p w:rsidR="00703227" w:rsidRPr="00175261" w:rsidRDefault="00703227" w:rsidP="00175261">
      <w:pPr>
        <w:rPr>
          <w:szCs w:val="22"/>
          <w:lang w:val="en-US"/>
        </w:rPr>
      </w:pPr>
    </w:p>
    <w:p w:rsidR="00703227" w:rsidRPr="00175261" w:rsidRDefault="00703227" w:rsidP="00175261">
      <w:pPr>
        <w:rPr>
          <w:szCs w:val="22"/>
          <w:lang w:val="en-US"/>
        </w:rPr>
      </w:pPr>
      <w:r w:rsidRPr="00175261">
        <w:rPr>
          <w:szCs w:val="22"/>
          <w:lang w:val="en-US"/>
        </w:rPr>
        <w:t>Reporting of attribution analysis at the institutional level is relatively standard in internal publications but in our experience</w:t>
      </w:r>
      <w:r w:rsidR="005174DE">
        <w:rPr>
          <w:szCs w:val="22"/>
          <w:lang w:val="en-US"/>
        </w:rPr>
        <w:t>,</w:t>
      </w:r>
      <w:r w:rsidRPr="00175261">
        <w:rPr>
          <w:szCs w:val="22"/>
          <w:lang w:val="en-US"/>
        </w:rPr>
        <w:t xml:space="preserve"> it is not routinely reported externally.  In part this reflects concerns that reporting of shorter term attribution analysis may be incorrectly interpreted, most particularly because of a lack of understanding of attribution analysis, and due to the risk of short termism in interpreting investment returns.  At the retail level there is very little reporting of attribution analysis for the same reasons.</w:t>
      </w:r>
    </w:p>
    <w:p w:rsidR="00703227" w:rsidRPr="00175261" w:rsidRDefault="00703227" w:rsidP="00175261">
      <w:pPr>
        <w:rPr>
          <w:szCs w:val="22"/>
          <w:lang w:val="en-US"/>
        </w:rPr>
      </w:pPr>
    </w:p>
    <w:p w:rsidR="00703227" w:rsidRDefault="00703227" w:rsidP="00175261">
      <w:pPr>
        <w:rPr>
          <w:szCs w:val="22"/>
          <w:lang w:val="en-US"/>
        </w:rPr>
      </w:pPr>
      <w:r w:rsidRPr="00175261">
        <w:rPr>
          <w:szCs w:val="22"/>
          <w:lang w:val="en-US"/>
        </w:rPr>
        <w:t xml:space="preserve">As attribution analysis simply breaks down the total return into asset allocation and manager selection, it is not clear to us that attribution analysis adds much to the debate about system wide efficiency. </w:t>
      </w:r>
    </w:p>
    <w:p w:rsidR="00233AD5" w:rsidRPr="00175261" w:rsidRDefault="00233AD5" w:rsidP="00175261">
      <w:pPr>
        <w:rPr>
          <w:szCs w:val="22"/>
          <w:lang w:val="en-US"/>
        </w:rPr>
      </w:pPr>
    </w:p>
    <w:p w:rsidR="00703227" w:rsidRDefault="00703227" w:rsidP="00175261">
      <w:pPr>
        <w:pStyle w:val="Footer"/>
        <w:numPr>
          <w:ilvl w:val="12"/>
          <w:numId w:val="0"/>
        </w:numPr>
        <w:rPr>
          <w:rFonts w:ascii="Calibri" w:hAnsi="Calibri" w:cs="Calibri"/>
          <w:b/>
          <w:bCs/>
          <w:color w:val="1F497D"/>
          <w:szCs w:val="22"/>
        </w:rPr>
      </w:pPr>
    </w:p>
    <w:p w:rsidR="00703227" w:rsidRPr="00B0220B" w:rsidRDefault="00703227" w:rsidP="00717CFD">
      <w:pPr>
        <w:rPr>
          <w:i/>
          <w:szCs w:val="22"/>
          <w:lang w:val="en-US"/>
        </w:rPr>
      </w:pPr>
      <w:r w:rsidRPr="00B0220B">
        <w:rPr>
          <w:szCs w:val="22"/>
          <w:lang w:val="en-US"/>
        </w:rPr>
        <w:t>9.</w:t>
      </w:r>
      <w:r w:rsidRPr="00B0220B">
        <w:rPr>
          <w:szCs w:val="22"/>
          <w:lang w:val="en-US"/>
        </w:rPr>
        <w:tab/>
      </w:r>
      <w:r w:rsidRPr="00233AD5">
        <w:rPr>
          <w:b/>
          <w:szCs w:val="22"/>
          <w:lang w:val="en-US"/>
        </w:rPr>
        <w:t>Are there benchmarks for optimal asset allocation by age cohort? Do these benchmarks have widespread support in the financial literature?</w:t>
      </w:r>
    </w:p>
    <w:p w:rsidR="00703227" w:rsidRDefault="00703227" w:rsidP="00717CFD">
      <w:pPr>
        <w:rPr>
          <w:szCs w:val="22"/>
          <w:lang w:val="en-US"/>
        </w:rPr>
      </w:pPr>
    </w:p>
    <w:p w:rsidR="00703227" w:rsidRDefault="00703227" w:rsidP="00657FCF">
      <w:pPr>
        <w:rPr>
          <w:szCs w:val="22"/>
          <w:lang w:val="en-US"/>
        </w:rPr>
      </w:pPr>
      <w:r w:rsidRPr="00233AD5">
        <w:rPr>
          <w:i/>
          <w:szCs w:val="22"/>
          <w:lang w:val="en-US"/>
        </w:rPr>
        <w:t>Mercer response</w:t>
      </w:r>
    </w:p>
    <w:p w:rsidR="00703227" w:rsidRPr="00A66F10" w:rsidRDefault="00703227" w:rsidP="00657FCF">
      <w:pPr>
        <w:rPr>
          <w:szCs w:val="22"/>
          <w:lang w:val="en-US"/>
        </w:rPr>
      </w:pPr>
    </w:p>
    <w:p w:rsidR="00703227" w:rsidRPr="009E3851" w:rsidRDefault="00703227" w:rsidP="00657FCF">
      <w:pPr>
        <w:rPr>
          <w:szCs w:val="22"/>
          <w:lang w:val="en-US"/>
        </w:rPr>
      </w:pPr>
      <w:r>
        <w:rPr>
          <w:szCs w:val="22"/>
          <w:lang w:val="en-US"/>
        </w:rPr>
        <w:t>In short, we believe the answer is no as the local legislative requirements in each country affect</w:t>
      </w:r>
      <w:r w:rsidR="005174DE">
        <w:rPr>
          <w:szCs w:val="22"/>
          <w:lang w:val="en-US"/>
        </w:rPr>
        <w:t>s</w:t>
      </w:r>
      <w:r>
        <w:rPr>
          <w:szCs w:val="22"/>
          <w:lang w:val="en-US"/>
        </w:rPr>
        <w:t xml:space="preserve"> the optimal asset allocation by age. For instance, where annuities are required to be purchased</w:t>
      </w:r>
      <w:r w:rsidR="00A541CA">
        <w:rPr>
          <w:szCs w:val="22"/>
          <w:lang w:val="en-US"/>
        </w:rPr>
        <w:t xml:space="preserve"> (as occurs in some countries)</w:t>
      </w:r>
      <w:r>
        <w:rPr>
          <w:szCs w:val="22"/>
          <w:lang w:val="en-US"/>
        </w:rPr>
        <w:t xml:space="preserve">, the asset allocation approaching retirement must be different from </w:t>
      </w:r>
      <w:r>
        <w:rPr>
          <w:szCs w:val="22"/>
          <w:lang w:val="en-US"/>
        </w:rPr>
        <w:lastRenderedPageBreak/>
        <w:t>the Australian context. A range of approaches ha</w:t>
      </w:r>
      <w:r w:rsidR="005174DE">
        <w:rPr>
          <w:szCs w:val="22"/>
          <w:lang w:val="en-US"/>
        </w:rPr>
        <w:t>ve</w:t>
      </w:r>
      <w:r>
        <w:rPr>
          <w:szCs w:val="22"/>
          <w:lang w:val="en-US"/>
        </w:rPr>
        <w:t xml:space="preserve"> been taken by Australian funds implementing life-cycle products. A detailed analysis of MySuper lifecycle products is included in Mercer’s May 2016 </w:t>
      </w:r>
      <w:hyperlink r:id="rId26" w:history="1">
        <w:r>
          <w:rPr>
            <w:rStyle w:val="Hyperlink"/>
            <w:rFonts w:cs="Arial"/>
          </w:rPr>
          <w:t>MySuper Market Trends Update</w:t>
        </w:r>
      </w:hyperlink>
      <w:r w:rsidRPr="009E3851">
        <w:rPr>
          <w:szCs w:val="22"/>
          <w:lang w:val="en-US"/>
        </w:rPr>
        <w:t>, which includes findings such as: </w:t>
      </w:r>
    </w:p>
    <w:p w:rsidR="00703227" w:rsidRDefault="00703227" w:rsidP="005174DE">
      <w:pPr>
        <w:pStyle w:val="BodyText"/>
        <w:numPr>
          <w:ilvl w:val="0"/>
          <w:numId w:val="36"/>
        </w:numPr>
        <w:spacing w:before="120" w:after="0" w:line="280" w:lineRule="exact"/>
        <w:ind w:left="284" w:hanging="284"/>
      </w:pPr>
      <w:r>
        <w:t>Lifecycle products are 25% of MySuper products, representing approximately $145</w:t>
      </w:r>
      <w:r w:rsidR="005174DE">
        <w:t xml:space="preserve"> </w:t>
      </w:r>
      <w:r>
        <w:t>b</w:t>
      </w:r>
      <w:r w:rsidR="005174DE">
        <w:t>illio</w:t>
      </w:r>
      <w:r>
        <w:t>n or 32% of total MySuper Assets.</w:t>
      </w:r>
    </w:p>
    <w:p w:rsidR="00703227" w:rsidRDefault="00703227" w:rsidP="005174DE">
      <w:pPr>
        <w:pStyle w:val="BodyText"/>
        <w:numPr>
          <w:ilvl w:val="0"/>
          <w:numId w:val="36"/>
        </w:numPr>
        <w:spacing w:before="120" w:after="0" w:line="280" w:lineRule="exact"/>
        <w:ind w:left="284" w:hanging="284"/>
      </w:pPr>
      <w:r>
        <w:t>Clear divergence of lifecycle implementation approaches, with Industry Funds in general opting for member switching, while Retail Funds favour cohort approaches.</w:t>
      </w:r>
    </w:p>
    <w:p w:rsidR="00703227" w:rsidRDefault="00703227" w:rsidP="00717CFD">
      <w:pPr>
        <w:rPr>
          <w:szCs w:val="22"/>
          <w:lang w:val="en-US"/>
        </w:rPr>
      </w:pPr>
    </w:p>
    <w:p w:rsidR="00703227" w:rsidRPr="005833F7" w:rsidRDefault="00703227" w:rsidP="005833F7">
      <w:pPr>
        <w:pStyle w:val="CommentText"/>
        <w:rPr>
          <w:rFonts w:ascii="Arial" w:hAnsi="Arial" w:cs="Arial"/>
          <w:sz w:val="22"/>
          <w:szCs w:val="22"/>
          <w:lang w:val="en-US"/>
        </w:rPr>
      </w:pPr>
      <w:r w:rsidRPr="005833F7">
        <w:rPr>
          <w:rFonts w:ascii="Arial" w:hAnsi="Arial" w:cs="Arial"/>
          <w:sz w:val="22"/>
          <w:szCs w:val="22"/>
          <w:lang w:val="en-US"/>
        </w:rPr>
        <w:t>O</w:t>
      </w:r>
      <w:r>
        <w:rPr>
          <w:rFonts w:ascii="Arial" w:hAnsi="Arial" w:cs="Arial"/>
          <w:sz w:val="22"/>
          <w:szCs w:val="22"/>
          <w:lang w:val="en-US"/>
        </w:rPr>
        <w:t>t</w:t>
      </w:r>
      <w:r w:rsidRPr="005833F7">
        <w:rPr>
          <w:rFonts w:ascii="Arial" w:hAnsi="Arial" w:cs="Arial"/>
          <w:sz w:val="22"/>
          <w:szCs w:val="22"/>
          <w:lang w:val="en-US"/>
        </w:rPr>
        <w:t xml:space="preserve">her factors </w:t>
      </w:r>
      <w:r>
        <w:rPr>
          <w:rFonts w:ascii="Arial" w:hAnsi="Arial" w:cs="Arial"/>
          <w:sz w:val="22"/>
          <w:szCs w:val="22"/>
          <w:lang w:val="en-US"/>
        </w:rPr>
        <w:t xml:space="preserve">that could </w:t>
      </w:r>
      <w:r w:rsidRPr="005833F7">
        <w:rPr>
          <w:rFonts w:ascii="Arial" w:hAnsi="Arial" w:cs="Arial"/>
          <w:sz w:val="22"/>
          <w:szCs w:val="22"/>
          <w:lang w:val="en-US"/>
        </w:rPr>
        <w:t>reasonably influence th</w:t>
      </w:r>
      <w:r>
        <w:rPr>
          <w:rFonts w:ascii="Arial" w:hAnsi="Arial" w:cs="Arial"/>
          <w:sz w:val="22"/>
          <w:szCs w:val="22"/>
          <w:lang w:val="en-US"/>
        </w:rPr>
        <w:t>e asset allocation include the</w:t>
      </w:r>
      <w:r w:rsidRPr="005833F7">
        <w:rPr>
          <w:rFonts w:ascii="Arial" w:hAnsi="Arial" w:cs="Arial"/>
          <w:sz w:val="22"/>
          <w:szCs w:val="22"/>
          <w:lang w:val="en-US"/>
        </w:rPr>
        <w:t xml:space="preserve"> member</w:t>
      </w:r>
      <w:r>
        <w:rPr>
          <w:rFonts w:ascii="Arial" w:hAnsi="Arial" w:cs="Arial"/>
          <w:sz w:val="22"/>
          <w:szCs w:val="22"/>
          <w:lang w:val="en-US"/>
        </w:rPr>
        <w:t>’s</w:t>
      </w:r>
      <w:r w:rsidRPr="005833F7">
        <w:rPr>
          <w:rFonts w:ascii="Arial" w:hAnsi="Arial" w:cs="Arial"/>
          <w:sz w:val="22"/>
          <w:szCs w:val="22"/>
          <w:lang w:val="en-US"/>
        </w:rPr>
        <w:t xml:space="preserve"> balance</w:t>
      </w:r>
      <w:r>
        <w:rPr>
          <w:rFonts w:ascii="Arial" w:hAnsi="Arial" w:cs="Arial"/>
          <w:sz w:val="22"/>
          <w:szCs w:val="22"/>
          <w:lang w:val="en-US"/>
        </w:rPr>
        <w:t xml:space="preserve"> and the adequacy of their projected retirement income</w:t>
      </w:r>
      <w:r w:rsidRPr="005833F7">
        <w:rPr>
          <w:rFonts w:ascii="Arial" w:hAnsi="Arial" w:cs="Arial"/>
          <w:sz w:val="22"/>
          <w:szCs w:val="22"/>
          <w:lang w:val="en-US"/>
        </w:rPr>
        <w:t xml:space="preserve">. </w:t>
      </w:r>
    </w:p>
    <w:p w:rsidR="00703227" w:rsidRPr="00717CFD" w:rsidRDefault="00703227" w:rsidP="00717CFD">
      <w:pPr>
        <w:rPr>
          <w:szCs w:val="22"/>
          <w:lang w:val="en-US"/>
        </w:rPr>
      </w:pPr>
    </w:p>
    <w:p w:rsidR="00703227" w:rsidRPr="00B0220B" w:rsidRDefault="00703227" w:rsidP="00717CFD">
      <w:pPr>
        <w:rPr>
          <w:i/>
          <w:szCs w:val="22"/>
          <w:lang w:val="en-US"/>
        </w:rPr>
      </w:pPr>
      <w:r w:rsidRPr="00B0220B">
        <w:rPr>
          <w:szCs w:val="22"/>
          <w:lang w:val="en-US"/>
        </w:rPr>
        <w:t>10.</w:t>
      </w:r>
      <w:r w:rsidRPr="00B0220B">
        <w:rPr>
          <w:szCs w:val="22"/>
          <w:lang w:val="en-US"/>
        </w:rPr>
        <w:tab/>
      </w:r>
      <w:r w:rsidR="00B0220B">
        <w:rPr>
          <w:szCs w:val="22"/>
          <w:lang w:val="en-US"/>
        </w:rPr>
        <w:t xml:space="preserve"> </w:t>
      </w:r>
      <w:r w:rsidRPr="00233AD5">
        <w:rPr>
          <w:b/>
          <w:szCs w:val="22"/>
          <w:lang w:val="en-US"/>
        </w:rPr>
        <w:t>Do regulators significantly influence the scope for dynamic efficiency? How can this be measured and assessed?</w:t>
      </w:r>
    </w:p>
    <w:p w:rsidR="00703227" w:rsidRDefault="00703227" w:rsidP="00717CFD">
      <w:pPr>
        <w:rPr>
          <w:szCs w:val="22"/>
          <w:lang w:val="en-US"/>
        </w:rPr>
      </w:pPr>
    </w:p>
    <w:p w:rsidR="00703227" w:rsidRPr="00233AD5" w:rsidRDefault="00703227" w:rsidP="0009592D">
      <w:pPr>
        <w:rPr>
          <w:i/>
          <w:szCs w:val="22"/>
          <w:lang w:val="en-US"/>
        </w:rPr>
      </w:pPr>
      <w:r w:rsidRPr="00233AD5">
        <w:rPr>
          <w:i/>
          <w:szCs w:val="22"/>
          <w:lang w:val="en-US"/>
        </w:rPr>
        <w:t>Mercer response</w:t>
      </w:r>
    </w:p>
    <w:p w:rsidR="00703227" w:rsidRPr="00A66F10" w:rsidRDefault="00703227" w:rsidP="0009592D">
      <w:pPr>
        <w:rPr>
          <w:szCs w:val="22"/>
          <w:lang w:val="en-US"/>
        </w:rPr>
      </w:pPr>
    </w:p>
    <w:p w:rsidR="00703227" w:rsidRPr="00B0220B" w:rsidRDefault="00703227" w:rsidP="005833F7">
      <w:pPr>
        <w:spacing w:line="240" w:lineRule="auto"/>
        <w:rPr>
          <w:szCs w:val="22"/>
          <w:lang w:val="en-US"/>
        </w:rPr>
      </w:pPr>
      <w:r w:rsidRPr="00B0220B">
        <w:rPr>
          <w:szCs w:val="22"/>
          <w:lang w:val="en-US"/>
        </w:rPr>
        <w:t xml:space="preserve">There are two </w:t>
      </w:r>
      <w:r w:rsidR="00E70319">
        <w:rPr>
          <w:szCs w:val="22"/>
          <w:lang w:val="en-US"/>
        </w:rPr>
        <w:t xml:space="preserve">key </w:t>
      </w:r>
      <w:r w:rsidRPr="00B0220B">
        <w:rPr>
          <w:szCs w:val="22"/>
          <w:lang w:val="en-US"/>
        </w:rPr>
        <w:t>ways in which regulators significantly influence the scope for dynamic efficiency</w:t>
      </w:r>
      <w:r w:rsidR="00E70319">
        <w:rPr>
          <w:szCs w:val="22"/>
          <w:lang w:val="en-US"/>
        </w:rPr>
        <w:t xml:space="preserve"> in the superannuation system</w:t>
      </w:r>
      <w:r w:rsidRPr="00B0220B">
        <w:rPr>
          <w:szCs w:val="22"/>
          <w:lang w:val="en-US"/>
        </w:rPr>
        <w:t>:</w:t>
      </w:r>
    </w:p>
    <w:p w:rsidR="00703227" w:rsidRDefault="00E70319" w:rsidP="005833F7">
      <w:pPr>
        <w:numPr>
          <w:ilvl w:val="0"/>
          <w:numId w:val="45"/>
        </w:numPr>
        <w:spacing w:before="100" w:beforeAutospacing="1" w:after="100" w:afterAutospacing="1" w:line="240" w:lineRule="auto"/>
        <w:rPr>
          <w:szCs w:val="22"/>
          <w:lang w:val="en-US"/>
        </w:rPr>
      </w:pPr>
      <w:r>
        <w:rPr>
          <w:szCs w:val="22"/>
          <w:lang w:val="en-US"/>
        </w:rPr>
        <w:t>First,</w:t>
      </w:r>
      <w:r w:rsidR="00703227" w:rsidRPr="00B0220B">
        <w:rPr>
          <w:szCs w:val="22"/>
          <w:lang w:val="en-US"/>
        </w:rPr>
        <w:t xml:space="preserve"> </w:t>
      </w:r>
      <w:r>
        <w:rPr>
          <w:szCs w:val="22"/>
          <w:lang w:val="en-US"/>
        </w:rPr>
        <w:t>t</w:t>
      </w:r>
      <w:r w:rsidR="00703227" w:rsidRPr="00B0220B">
        <w:rPr>
          <w:szCs w:val="22"/>
          <w:lang w:val="en-US"/>
        </w:rPr>
        <w:t xml:space="preserve">he need </w:t>
      </w:r>
      <w:r>
        <w:rPr>
          <w:szCs w:val="22"/>
          <w:lang w:val="en-US"/>
        </w:rPr>
        <w:t xml:space="preserve">for funds </w:t>
      </w:r>
      <w:r w:rsidR="00703227" w:rsidRPr="00B0220B">
        <w:rPr>
          <w:szCs w:val="22"/>
          <w:lang w:val="en-US"/>
        </w:rPr>
        <w:t xml:space="preserve">to allocate management time, key skilled resources and substantial budgets to amend systems, procedures, fund communications </w:t>
      </w:r>
      <w:r>
        <w:rPr>
          <w:szCs w:val="22"/>
          <w:lang w:val="en-US"/>
        </w:rPr>
        <w:t xml:space="preserve">and other items </w:t>
      </w:r>
      <w:r w:rsidR="00703227" w:rsidRPr="00B0220B">
        <w:rPr>
          <w:szCs w:val="22"/>
          <w:lang w:val="en-US"/>
        </w:rPr>
        <w:t xml:space="preserve">to accommodate </w:t>
      </w:r>
      <w:r>
        <w:rPr>
          <w:szCs w:val="22"/>
          <w:lang w:val="en-US"/>
        </w:rPr>
        <w:t xml:space="preserve">ongoing </w:t>
      </w:r>
      <w:r w:rsidR="00703227" w:rsidRPr="00B0220B">
        <w:rPr>
          <w:szCs w:val="22"/>
          <w:lang w:val="en-US"/>
        </w:rPr>
        <w:t xml:space="preserve">regulatory or tax changes has a substantial impact on </w:t>
      </w:r>
      <w:r>
        <w:rPr>
          <w:szCs w:val="22"/>
          <w:lang w:val="en-US"/>
        </w:rPr>
        <w:t>their</w:t>
      </w:r>
      <w:r w:rsidR="00703227" w:rsidRPr="00B0220B">
        <w:rPr>
          <w:szCs w:val="22"/>
          <w:lang w:val="en-US"/>
        </w:rPr>
        <w:t xml:space="preserve"> ability to devote resources to process and product improvement and innovation. </w:t>
      </w:r>
    </w:p>
    <w:p w:rsidR="00703227" w:rsidRPr="00B0220B" w:rsidRDefault="00E70319" w:rsidP="005833F7">
      <w:pPr>
        <w:numPr>
          <w:ilvl w:val="0"/>
          <w:numId w:val="45"/>
        </w:numPr>
        <w:spacing w:before="100" w:beforeAutospacing="1" w:after="100" w:afterAutospacing="1" w:line="240" w:lineRule="auto"/>
        <w:rPr>
          <w:szCs w:val="22"/>
          <w:lang w:val="en-US"/>
        </w:rPr>
      </w:pPr>
      <w:r>
        <w:rPr>
          <w:szCs w:val="22"/>
          <w:lang w:val="en-US"/>
        </w:rPr>
        <w:t>Second, t</w:t>
      </w:r>
      <w:r w:rsidR="00703227" w:rsidRPr="00B0220B">
        <w:rPr>
          <w:szCs w:val="22"/>
          <w:lang w:val="en-US"/>
        </w:rPr>
        <w:t>he regulatory framework also constrains the ability to innovate</w:t>
      </w:r>
      <w:r>
        <w:rPr>
          <w:szCs w:val="22"/>
          <w:lang w:val="en-US"/>
        </w:rPr>
        <w:t>. F</w:t>
      </w:r>
      <w:r w:rsidR="00703227" w:rsidRPr="00B0220B">
        <w:rPr>
          <w:szCs w:val="22"/>
          <w:lang w:val="en-US"/>
        </w:rPr>
        <w:t xml:space="preserve">or example, the ability to use digital media to meet various disclosure requirements is only slowly being </w:t>
      </w:r>
      <w:r>
        <w:rPr>
          <w:szCs w:val="22"/>
          <w:lang w:val="en-US"/>
        </w:rPr>
        <w:t xml:space="preserve">enabled by government regulation. Further, </w:t>
      </w:r>
      <w:r w:rsidR="00703227" w:rsidRPr="00B0220B">
        <w:rPr>
          <w:szCs w:val="22"/>
          <w:lang w:val="en-US"/>
        </w:rPr>
        <w:t>restrictive regulations relating to retirement income stream products mean that Mercer</w:t>
      </w:r>
      <w:r w:rsidR="00703227" w:rsidRPr="005833F7">
        <w:rPr>
          <w:szCs w:val="22"/>
          <w:lang w:val="en-US"/>
        </w:rPr>
        <w:t>’</w:t>
      </w:r>
      <w:r w:rsidR="00703227" w:rsidRPr="00B0220B">
        <w:rPr>
          <w:szCs w:val="22"/>
          <w:lang w:val="en-US"/>
        </w:rPr>
        <w:t>s innovative Life</w:t>
      </w:r>
      <w:r w:rsidR="00233AD5">
        <w:rPr>
          <w:szCs w:val="22"/>
          <w:lang w:val="en-US"/>
        </w:rPr>
        <w:t>t</w:t>
      </w:r>
      <w:r w:rsidR="00703227" w:rsidRPr="00B0220B">
        <w:rPr>
          <w:szCs w:val="22"/>
          <w:lang w:val="en-US"/>
        </w:rPr>
        <w:t xml:space="preserve">ime Plus group self-annuitisation product is currently only available as an investment option within an account-based pension, as it does not meet the requirements to be a standalone </w:t>
      </w:r>
      <w:r w:rsidR="00233AD5">
        <w:rPr>
          <w:szCs w:val="22"/>
          <w:lang w:val="en-US"/>
        </w:rPr>
        <w:t>pension</w:t>
      </w:r>
      <w:r w:rsidR="00703227" w:rsidRPr="00B0220B">
        <w:rPr>
          <w:szCs w:val="22"/>
          <w:lang w:val="en-US"/>
        </w:rPr>
        <w:t xml:space="preserve"> product. </w:t>
      </w:r>
    </w:p>
    <w:p w:rsidR="00233AD5" w:rsidRPr="00B0220B" w:rsidRDefault="00703227" w:rsidP="005833F7">
      <w:pPr>
        <w:spacing w:before="100" w:beforeAutospacing="1" w:after="100" w:afterAutospacing="1" w:line="240" w:lineRule="auto"/>
        <w:rPr>
          <w:szCs w:val="22"/>
          <w:lang w:val="en-US"/>
        </w:rPr>
      </w:pPr>
      <w:r w:rsidRPr="00B0220B">
        <w:rPr>
          <w:szCs w:val="22"/>
          <w:lang w:val="en-US"/>
        </w:rPr>
        <w:t xml:space="preserve">A possible way to measure </w:t>
      </w:r>
      <w:r w:rsidR="00E70319">
        <w:rPr>
          <w:szCs w:val="22"/>
          <w:lang w:val="en-US"/>
        </w:rPr>
        <w:t xml:space="preserve">regulators’ impact on dynamic efficiency </w:t>
      </w:r>
      <w:r w:rsidRPr="00B0220B">
        <w:rPr>
          <w:szCs w:val="22"/>
          <w:lang w:val="en-US"/>
        </w:rPr>
        <w:t xml:space="preserve">would be to survey funds on regulatory impediments to efficiency and innovation </w:t>
      </w:r>
      <w:r w:rsidR="00233AD5">
        <w:rPr>
          <w:szCs w:val="22"/>
          <w:lang w:val="en-US"/>
        </w:rPr>
        <w:br/>
      </w:r>
    </w:p>
    <w:p w:rsidR="00703227" w:rsidRPr="00B0220B" w:rsidRDefault="00703227" w:rsidP="00717CFD">
      <w:pPr>
        <w:rPr>
          <w:i/>
          <w:szCs w:val="22"/>
          <w:lang w:val="en-US"/>
        </w:rPr>
      </w:pPr>
      <w:r w:rsidRPr="00B0220B">
        <w:rPr>
          <w:szCs w:val="22"/>
          <w:lang w:val="en-US"/>
        </w:rPr>
        <w:t>11.</w:t>
      </w:r>
      <w:r w:rsidRPr="00B0220B">
        <w:rPr>
          <w:szCs w:val="22"/>
          <w:lang w:val="en-US"/>
        </w:rPr>
        <w:tab/>
      </w:r>
      <w:r w:rsidRPr="00233AD5">
        <w:rPr>
          <w:b/>
          <w:szCs w:val="22"/>
          <w:lang w:val="en-US"/>
        </w:rPr>
        <w:t>What is the aggregate size and number of corporate tenders run each year, and what proportion of the system is accounted for by funds selected through this mechanism? How reliable are the APRA data on corporate fee discounts? Is there a more reliable source?</w:t>
      </w:r>
    </w:p>
    <w:p w:rsidR="00703227" w:rsidRPr="00717CFD" w:rsidRDefault="00703227" w:rsidP="00717CFD">
      <w:pPr>
        <w:rPr>
          <w:szCs w:val="22"/>
          <w:lang w:val="en-US"/>
        </w:rPr>
      </w:pPr>
    </w:p>
    <w:p w:rsidR="00703227" w:rsidRPr="00233AD5" w:rsidRDefault="00703227" w:rsidP="0009592D">
      <w:pPr>
        <w:rPr>
          <w:i/>
          <w:szCs w:val="22"/>
          <w:lang w:val="en-US"/>
        </w:rPr>
      </w:pPr>
      <w:r w:rsidRPr="00233AD5">
        <w:rPr>
          <w:i/>
          <w:szCs w:val="22"/>
          <w:lang w:val="en-US"/>
        </w:rPr>
        <w:t>Mercer response</w:t>
      </w:r>
    </w:p>
    <w:p w:rsidR="00703227" w:rsidRPr="00A66F10" w:rsidRDefault="00703227" w:rsidP="0009592D">
      <w:pPr>
        <w:rPr>
          <w:szCs w:val="22"/>
          <w:lang w:val="en-US"/>
        </w:rPr>
      </w:pPr>
    </w:p>
    <w:p w:rsidR="00703227" w:rsidRDefault="00703227" w:rsidP="00B65DDB">
      <w:pPr>
        <w:rPr>
          <w:szCs w:val="22"/>
          <w:lang w:val="en-US"/>
        </w:rPr>
      </w:pPr>
      <w:r>
        <w:rPr>
          <w:szCs w:val="22"/>
          <w:lang w:val="en-US"/>
        </w:rPr>
        <w:t xml:space="preserve">Regarding the first question, we suggest the </w:t>
      </w:r>
      <w:r w:rsidR="00B0220B">
        <w:rPr>
          <w:szCs w:val="22"/>
          <w:lang w:val="en-US"/>
        </w:rPr>
        <w:t>C</w:t>
      </w:r>
      <w:r>
        <w:rPr>
          <w:szCs w:val="22"/>
          <w:lang w:val="en-US"/>
        </w:rPr>
        <w:t>ommission seek details from the key corporate tender managers.</w:t>
      </w:r>
      <w:r w:rsidR="00E70319">
        <w:rPr>
          <w:szCs w:val="22"/>
          <w:lang w:val="en-US"/>
        </w:rPr>
        <w:t xml:space="preserve"> </w:t>
      </w:r>
      <w:r>
        <w:rPr>
          <w:szCs w:val="22"/>
          <w:lang w:val="en-US"/>
        </w:rPr>
        <w:t xml:space="preserve">Regarding the second question, we note that </w:t>
      </w:r>
      <w:r w:rsidRPr="00717CFD">
        <w:rPr>
          <w:szCs w:val="22"/>
          <w:lang w:val="en-US"/>
        </w:rPr>
        <w:t>APRA data on corporate fee discounts</w:t>
      </w:r>
      <w:r>
        <w:rPr>
          <w:szCs w:val="22"/>
          <w:lang w:val="en-US"/>
        </w:rPr>
        <w:t xml:space="preserve"> relates to MySuper members only, but this would generally be the bulk of members eligible for the discount.</w:t>
      </w:r>
    </w:p>
    <w:p w:rsidR="00703227" w:rsidRDefault="00703227">
      <w:pPr>
        <w:spacing w:line="240" w:lineRule="auto"/>
        <w:rPr>
          <w:szCs w:val="22"/>
          <w:lang w:val="en-US"/>
        </w:rPr>
      </w:pPr>
      <w:r>
        <w:rPr>
          <w:szCs w:val="22"/>
          <w:lang w:val="en-US"/>
        </w:rPr>
        <w:br w:type="page"/>
      </w:r>
    </w:p>
    <w:p w:rsidR="00703227" w:rsidRDefault="00703227" w:rsidP="001201E2">
      <w:pPr>
        <w:jc w:val="center"/>
        <w:rPr>
          <w:b/>
          <w:sz w:val="24"/>
          <w:szCs w:val="24"/>
        </w:rPr>
      </w:pPr>
      <w:r>
        <w:rPr>
          <w:b/>
          <w:sz w:val="24"/>
          <w:szCs w:val="24"/>
        </w:rPr>
        <w:lastRenderedPageBreak/>
        <w:t>Attachment 5</w:t>
      </w:r>
      <w:r w:rsidRPr="001201E2">
        <w:rPr>
          <w:b/>
          <w:sz w:val="24"/>
          <w:szCs w:val="24"/>
        </w:rPr>
        <w:t>:</w:t>
      </w:r>
      <w:r w:rsidRPr="00151F70">
        <w:rPr>
          <w:b/>
          <w:sz w:val="24"/>
          <w:szCs w:val="24"/>
        </w:rPr>
        <w:t xml:space="preserve"> Other Comments</w:t>
      </w:r>
    </w:p>
    <w:p w:rsidR="00703227" w:rsidRDefault="00703227" w:rsidP="001201E2">
      <w:pPr>
        <w:rPr>
          <w:szCs w:val="22"/>
          <w:lang w:val="en-US"/>
        </w:rPr>
      </w:pPr>
    </w:p>
    <w:p w:rsidR="00C27467" w:rsidRDefault="00703227" w:rsidP="00C27467">
      <w:pPr>
        <w:spacing w:line="240" w:lineRule="auto"/>
        <w:rPr>
          <w:szCs w:val="22"/>
        </w:rPr>
      </w:pPr>
      <w:r>
        <w:rPr>
          <w:b/>
          <w:szCs w:val="22"/>
          <w:lang w:val="en-US"/>
        </w:rPr>
        <w:t xml:space="preserve">Section A: </w:t>
      </w:r>
      <w:r w:rsidRPr="009E3851">
        <w:rPr>
          <w:b/>
          <w:szCs w:val="22"/>
          <w:lang w:val="en-US"/>
        </w:rPr>
        <w:t>Are net investment returns being maximised over the long term, taking account of service features provided to members?</w:t>
      </w:r>
      <w:r w:rsidR="00B0220B">
        <w:rPr>
          <w:b/>
          <w:szCs w:val="22"/>
          <w:lang w:val="en-US"/>
        </w:rPr>
        <w:br/>
      </w:r>
      <w:r w:rsidR="00B0220B">
        <w:rPr>
          <w:b/>
          <w:szCs w:val="22"/>
          <w:lang w:val="en-US"/>
        </w:rPr>
        <w:br/>
      </w:r>
      <w:r w:rsidRPr="009E3851">
        <w:rPr>
          <w:szCs w:val="22"/>
        </w:rPr>
        <w:t>Mercer’s view (taking into account our experience as both an asset consultant to many superannuation funds and our own investment products) is that the design of superannuation investment product</w:t>
      </w:r>
      <w:r>
        <w:rPr>
          <w:szCs w:val="22"/>
        </w:rPr>
        <w:t>s</w:t>
      </w:r>
      <w:r w:rsidRPr="009E3851">
        <w:rPr>
          <w:szCs w:val="22"/>
        </w:rPr>
        <w:t xml:space="preserve"> in Australia is absolutely focused on the objective of delivering the </w:t>
      </w:r>
      <w:r w:rsidR="00233AD5">
        <w:rPr>
          <w:szCs w:val="22"/>
        </w:rPr>
        <w:t>optimal</w:t>
      </w:r>
      <w:r w:rsidRPr="009E3851">
        <w:rPr>
          <w:szCs w:val="22"/>
        </w:rPr>
        <w:t xml:space="preserve"> return for investors, taking account of the long term focus of superannuation and the risk preferences of investors.  This is evidenced by the underlying strategic allocation work that underpins asset allocations, and the relationship to the stated investment objectives.</w:t>
      </w:r>
    </w:p>
    <w:p w:rsidR="00233AD5" w:rsidRDefault="00233AD5" w:rsidP="00233AD5">
      <w:pPr>
        <w:spacing w:line="240" w:lineRule="auto"/>
        <w:rPr>
          <w:szCs w:val="22"/>
        </w:rPr>
      </w:pPr>
    </w:p>
    <w:p w:rsidR="00233AD5" w:rsidRDefault="00703227" w:rsidP="00233AD5">
      <w:pPr>
        <w:spacing w:line="240" w:lineRule="auto"/>
        <w:rPr>
          <w:szCs w:val="22"/>
        </w:rPr>
      </w:pPr>
      <w:r w:rsidRPr="009E3851">
        <w:rPr>
          <w:szCs w:val="22"/>
        </w:rPr>
        <w:t>In Mercer’s view, a further element to this is the adoption of life cycle approaches to investment for superannuation members, which:</w:t>
      </w:r>
      <w:r w:rsidR="00233AD5">
        <w:rPr>
          <w:szCs w:val="22"/>
        </w:rPr>
        <w:br/>
      </w:r>
    </w:p>
    <w:p w:rsidR="00233AD5" w:rsidRDefault="00703227" w:rsidP="00233AD5">
      <w:pPr>
        <w:numPr>
          <w:ilvl w:val="0"/>
          <w:numId w:val="48"/>
        </w:numPr>
        <w:spacing w:line="240" w:lineRule="auto"/>
        <w:rPr>
          <w:szCs w:val="22"/>
        </w:rPr>
      </w:pPr>
      <w:r w:rsidRPr="00762E5A">
        <w:rPr>
          <w:szCs w:val="22"/>
        </w:rPr>
        <w:t>More closely matches the position of individual members (based on age, their time horizon to retirement);</w:t>
      </w:r>
    </w:p>
    <w:p w:rsidR="00703227" w:rsidRDefault="00703227" w:rsidP="00233AD5">
      <w:pPr>
        <w:numPr>
          <w:ilvl w:val="0"/>
          <w:numId w:val="48"/>
        </w:numPr>
        <w:spacing w:line="240" w:lineRule="auto"/>
        <w:rPr>
          <w:szCs w:val="22"/>
        </w:rPr>
      </w:pPr>
      <w:r w:rsidRPr="00233AD5">
        <w:rPr>
          <w:szCs w:val="22"/>
        </w:rPr>
        <w:t>Provides for a more appropriate risk profile (high level of growth assets for those with longer time horizons, lower for those closer to or in retirement);</w:t>
      </w:r>
    </w:p>
    <w:p w:rsidR="00703227" w:rsidRDefault="00703227" w:rsidP="00233AD5">
      <w:pPr>
        <w:numPr>
          <w:ilvl w:val="0"/>
          <w:numId w:val="48"/>
        </w:numPr>
        <w:spacing w:line="240" w:lineRule="auto"/>
        <w:rPr>
          <w:szCs w:val="22"/>
        </w:rPr>
      </w:pPr>
      <w:r w:rsidRPr="00233AD5">
        <w:rPr>
          <w:szCs w:val="22"/>
        </w:rPr>
        <w:t>Takes account of the risk of event risk as a member approaches retirement; and</w:t>
      </w:r>
    </w:p>
    <w:p w:rsidR="00233AD5" w:rsidRDefault="00703227" w:rsidP="00233AD5">
      <w:pPr>
        <w:numPr>
          <w:ilvl w:val="0"/>
          <w:numId w:val="48"/>
        </w:numPr>
        <w:spacing w:line="240" w:lineRule="auto"/>
        <w:rPr>
          <w:szCs w:val="22"/>
        </w:rPr>
      </w:pPr>
      <w:r w:rsidRPr="00233AD5">
        <w:rPr>
          <w:szCs w:val="22"/>
        </w:rPr>
        <w:t>Tailors the asset allocation consistent with the above factors</w:t>
      </w:r>
    </w:p>
    <w:p w:rsidR="00233AD5" w:rsidRDefault="00233AD5" w:rsidP="00233AD5">
      <w:pPr>
        <w:spacing w:line="240" w:lineRule="auto"/>
        <w:rPr>
          <w:szCs w:val="22"/>
        </w:rPr>
      </w:pPr>
      <w:r>
        <w:rPr>
          <w:szCs w:val="22"/>
        </w:rPr>
        <w:br/>
      </w:r>
      <w:r w:rsidR="00703227" w:rsidRPr="00233AD5">
        <w:rPr>
          <w:szCs w:val="22"/>
        </w:rPr>
        <w:t>For multi-sector options, assessment of investment performance after fees and taxes is both easily undertaken and desirable.  In our experience this is standard practice among superannuation funds and is the approach adopted for industry surveys.  Performance should be assessed over longer time periods (at least 5 years) and comparisons must be on a like</w:t>
      </w:r>
      <w:r w:rsidR="008D1C9A" w:rsidRPr="00233AD5">
        <w:rPr>
          <w:szCs w:val="22"/>
        </w:rPr>
        <w:t xml:space="preserve">-for like risk profile basis.  </w:t>
      </w:r>
    </w:p>
    <w:p w:rsidR="00233AD5" w:rsidRDefault="00233AD5" w:rsidP="00233AD5">
      <w:pPr>
        <w:spacing w:line="240" w:lineRule="auto"/>
        <w:rPr>
          <w:szCs w:val="22"/>
        </w:rPr>
      </w:pPr>
    </w:p>
    <w:p w:rsidR="00233AD5" w:rsidRDefault="00703227" w:rsidP="00233AD5">
      <w:pPr>
        <w:spacing w:line="240" w:lineRule="auto"/>
        <w:rPr>
          <w:szCs w:val="22"/>
        </w:rPr>
      </w:pPr>
      <w:r w:rsidRPr="00151F70">
        <w:rPr>
          <w:szCs w:val="22"/>
        </w:rPr>
        <w:t xml:space="preserve">Assessment of single sector performance is more problematic, because standard industry benchmarks based on market indices (like the ASX300) do not exclude fees or transaction costs.  For a fair comparison of single sector performance, manager performance needs to be </w:t>
      </w:r>
      <w:r w:rsidR="001D0A4C">
        <w:rPr>
          <w:szCs w:val="22"/>
        </w:rPr>
        <w:t>assessed</w:t>
      </w:r>
      <w:r w:rsidRPr="00151F70">
        <w:rPr>
          <w:szCs w:val="22"/>
        </w:rPr>
        <w:t xml:space="preserve"> before fees, or there needs to be suitable adjustment to market indices for an average fee paid (using a median or average fee), or alternatively comparing against the return for a purely passive index fund return on after fees basis.  As an index fund return includes transaction costs for rebalancing back to the benchmark this would be a m</w:t>
      </w:r>
      <w:r w:rsidR="008D1C9A">
        <w:rPr>
          <w:szCs w:val="22"/>
        </w:rPr>
        <w:t>ore like-with-like comparison. </w:t>
      </w:r>
    </w:p>
    <w:p w:rsidR="00233AD5" w:rsidRDefault="00233AD5" w:rsidP="00233AD5">
      <w:pPr>
        <w:spacing w:line="240" w:lineRule="auto"/>
        <w:rPr>
          <w:szCs w:val="22"/>
        </w:rPr>
      </w:pPr>
    </w:p>
    <w:p w:rsidR="00233AD5" w:rsidRDefault="00703227" w:rsidP="00233AD5">
      <w:pPr>
        <w:spacing w:line="240" w:lineRule="auto"/>
        <w:rPr>
          <w:szCs w:val="22"/>
        </w:rPr>
      </w:pPr>
      <w:r w:rsidRPr="009E3851">
        <w:rPr>
          <w:szCs w:val="22"/>
        </w:rPr>
        <w:t>There are potential limitations inherent in the system, some of which are not unique to Australia</w:t>
      </w:r>
      <w:r w:rsidR="00E70319">
        <w:rPr>
          <w:szCs w:val="22"/>
        </w:rPr>
        <w:t>, that impact any assessment of net investment returns. Those limitations are</w:t>
      </w:r>
      <w:r w:rsidRPr="009E3851">
        <w:rPr>
          <w:szCs w:val="22"/>
        </w:rPr>
        <w:t>:</w:t>
      </w:r>
    </w:p>
    <w:p w:rsidR="00703227" w:rsidRPr="009E3851" w:rsidRDefault="00703227" w:rsidP="00E70319">
      <w:pPr>
        <w:pStyle w:val="TableBodyText"/>
        <w:keepLines w:val="0"/>
        <w:numPr>
          <w:ilvl w:val="0"/>
          <w:numId w:val="37"/>
        </w:numPr>
        <w:spacing w:before="40" w:line="240" w:lineRule="auto"/>
        <w:ind w:left="284" w:hanging="284"/>
        <w:jc w:val="left"/>
        <w:rPr>
          <w:rFonts w:cs="Arial"/>
          <w:sz w:val="22"/>
          <w:szCs w:val="22"/>
          <w:lang w:eastAsia="en-US"/>
        </w:rPr>
      </w:pPr>
      <w:r w:rsidRPr="009E3851">
        <w:rPr>
          <w:rFonts w:cs="Arial"/>
          <w:sz w:val="22"/>
          <w:szCs w:val="22"/>
          <w:lang w:eastAsia="en-US"/>
        </w:rPr>
        <w:lastRenderedPageBreak/>
        <w:t>The risk of short termism impacting on taking a suitably long term for investments.  The prevalence of industry performance surveys, and the risk of taking too short term a focus on returns does increase the risk that inappropriate investment decisions may be made.  This risk is global, not unique to Australia</w:t>
      </w:r>
    </w:p>
    <w:p w:rsidR="00703227" w:rsidRDefault="00703227" w:rsidP="00E70319">
      <w:pPr>
        <w:pStyle w:val="TableBodyText"/>
        <w:keepLines w:val="0"/>
        <w:numPr>
          <w:ilvl w:val="0"/>
          <w:numId w:val="37"/>
        </w:numPr>
        <w:spacing w:before="40" w:line="240" w:lineRule="auto"/>
        <w:ind w:left="284" w:hanging="284"/>
        <w:jc w:val="left"/>
        <w:rPr>
          <w:rFonts w:cs="Arial"/>
          <w:sz w:val="22"/>
          <w:szCs w:val="22"/>
          <w:lang w:eastAsia="en-US"/>
        </w:rPr>
      </w:pPr>
      <w:r w:rsidRPr="009E3851">
        <w:rPr>
          <w:rFonts w:cs="Arial"/>
          <w:sz w:val="22"/>
          <w:szCs w:val="22"/>
          <w:lang w:eastAsia="en-US"/>
        </w:rPr>
        <w:t>Within Australia, an overly strong focus on the level of investment management fees paid, rather than on the investment return after fees, increases the risk that sub-optimal decisions may be undertaken.  In Mercer’s view this risk is evident in Australia (see Mercer</w:t>
      </w:r>
      <w:r w:rsidR="001D0A4C">
        <w:rPr>
          <w:rFonts w:cs="Arial"/>
          <w:sz w:val="22"/>
          <w:szCs w:val="22"/>
          <w:lang w:eastAsia="en-US"/>
        </w:rPr>
        <w:t>’s second submission to the Issues Paper which preceded the Draft Report</w:t>
      </w:r>
      <w:r w:rsidRPr="009E3851">
        <w:rPr>
          <w:rFonts w:cs="Arial"/>
          <w:sz w:val="22"/>
          <w:szCs w:val="22"/>
          <w:lang w:eastAsia="en-US"/>
        </w:rPr>
        <w:t xml:space="preserve"> which included comments from a range of global investment managers on this issue), and appears to have increased in recent years (in part due to the stated intention of MySuper reforms to lower the cost to investors).  </w:t>
      </w:r>
    </w:p>
    <w:p w:rsidR="00703227" w:rsidRPr="00762E5A" w:rsidRDefault="00703227" w:rsidP="00E70319">
      <w:pPr>
        <w:pStyle w:val="TableBodyText"/>
        <w:keepLines w:val="0"/>
        <w:numPr>
          <w:ilvl w:val="0"/>
          <w:numId w:val="37"/>
        </w:numPr>
        <w:spacing w:before="40" w:line="240" w:lineRule="auto"/>
        <w:ind w:left="284" w:hanging="284"/>
        <w:jc w:val="left"/>
        <w:rPr>
          <w:rFonts w:cs="Arial"/>
          <w:sz w:val="22"/>
          <w:szCs w:val="22"/>
          <w:lang w:eastAsia="en-US"/>
        </w:rPr>
      </w:pPr>
      <w:r w:rsidRPr="00151F70">
        <w:rPr>
          <w:rFonts w:cs="Arial"/>
          <w:sz w:val="22"/>
          <w:szCs w:val="22"/>
          <w:lang w:eastAsia="en-US"/>
        </w:rPr>
        <w:t>Also, the excessive focus on absolute fees, rather than on net of fees outcomes, pushes funds towards lower cost outcomes.  This could well be to the detriment of longer term performance, as higher cost investments are usually the ones that have lower correlation with equities (</w:t>
      </w:r>
      <w:r w:rsidR="00233AD5">
        <w:rPr>
          <w:rFonts w:cs="Arial"/>
          <w:sz w:val="22"/>
          <w:szCs w:val="22"/>
          <w:lang w:eastAsia="en-US"/>
        </w:rPr>
        <w:t xml:space="preserve">such as </w:t>
      </w:r>
      <w:r w:rsidRPr="00151F70">
        <w:rPr>
          <w:rFonts w:cs="Arial"/>
          <w:sz w:val="22"/>
          <w:szCs w:val="22"/>
          <w:lang w:eastAsia="en-US"/>
        </w:rPr>
        <w:t>alternatives, hedge funds, unlisted property and infrastructure).</w:t>
      </w:r>
    </w:p>
    <w:p w:rsidR="008D1C9A" w:rsidRDefault="008D1C9A" w:rsidP="008D1C9A">
      <w:pPr>
        <w:pStyle w:val="TableBodyText"/>
        <w:keepLines w:val="0"/>
        <w:spacing w:before="40" w:line="240" w:lineRule="auto"/>
        <w:jc w:val="left"/>
        <w:rPr>
          <w:rFonts w:cs="Arial"/>
          <w:sz w:val="22"/>
          <w:szCs w:val="22"/>
          <w:lang w:eastAsia="en-US"/>
        </w:rPr>
      </w:pPr>
    </w:p>
    <w:p w:rsidR="008D1C9A" w:rsidRDefault="00703227" w:rsidP="008D1C9A">
      <w:pPr>
        <w:pStyle w:val="TableBodyText"/>
        <w:keepLines w:val="0"/>
        <w:spacing w:before="40" w:line="240" w:lineRule="auto"/>
        <w:jc w:val="left"/>
        <w:rPr>
          <w:color w:val="000000"/>
        </w:rPr>
      </w:pPr>
      <w:r w:rsidRPr="00151F70">
        <w:rPr>
          <w:rFonts w:cs="Arial"/>
          <w:sz w:val="22"/>
          <w:szCs w:val="22"/>
          <w:lang w:eastAsia="en-US"/>
        </w:rPr>
        <w:t>On the issue of dispersion of returns, care needs to be taken to ensure like-with-like comparisons are undertaken.  In particular, the level of growth and defensive assets can vary widely, even within similar risk brackets.  The impact of this divergence can be large over long periods.  Any analysis of returns needs to adjust for the level of growth/defensive asset positioning.</w:t>
      </w:r>
    </w:p>
    <w:p w:rsidR="008D1C9A" w:rsidRDefault="008D1C9A" w:rsidP="008D1C9A">
      <w:pPr>
        <w:pStyle w:val="TableBodyText"/>
        <w:keepLines w:val="0"/>
        <w:spacing w:before="40" w:line="240" w:lineRule="auto"/>
        <w:jc w:val="left"/>
        <w:rPr>
          <w:color w:val="000000"/>
        </w:rPr>
      </w:pPr>
    </w:p>
    <w:p w:rsidR="00703227" w:rsidRPr="008D1C9A" w:rsidRDefault="00703227" w:rsidP="008D1C9A">
      <w:pPr>
        <w:pStyle w:val="TableBodyText"/>
        <w:keepLines w:val="0"/>
        <w:spacing w:before="40" w:line="240" w:lineRule="auto"/>
        <w:jc w:val="left"/>
        <w:rPr>
          <w:color w:val="000000"/>
        </w:rPr>
      </w:pPr>
      <w:r w:rsidRPr="00151F70">
        <w:rPr>
          <w:rFonts w:cs="Arial"/>
          <w:sz w:val="22"/>
          <w:szCs w:val="22"/>
          <w:lang w:eastAsia="en-US"/>
        </w:rPr>
        <w:t>Assessing whether net investment returns across the system are being maximised (or optimised) over the long-term will be challenging, as the Commission will need to consider (inter alia):</w:t>
      </w:r>
    </w:p>
    <w:p w:rsidR="00703227" w:rsidRDefault="00703227" w:rsidP="00424FB4">
      <w:pPr>
        <w:pStyle w:val="TableBodyText"/>
        <w:keepLines w:val="0"/>
        <w:numPr>
          <w:ilvl w:val="0"/>
          <w:numId w:val="37"/>
        </w:numPr>
        <w:spacing w:before="40" w:line="240" w:lineRule="auto"/>
        <w:ind w:left="284" w:hanging="284"/>
        <w:jc w:val="left"/>
        <w:rPr>
          <w:rFonts w:cs="Arial"/>
          <w:sz w:val="22"/>
          <w:szCs w:val="22"/>
          <w:lang w:eastAsia="en-US"/>
        </w:rPr>
      </w:pPr>
      <w:r w:rsidRPr="00151F70">
        <w:rPr>
          <w:rFonts w:cs="Arial"/>
          <w:sz w:val="22"/>
          <w:szCs w:val="22"/>
          <w:lang w:eastAsia="en-US"/>
        </w:rPr>
        <w:t>the impact of differing asset allocations and returns by asset class over the relevant period  (with the relative returns between asset classes often varying substantially over different periods)</w:t>
      </w:r>
      <w:r w:rsidR="008D1C9A">
        <w:rPr>
          <w:rFonts w:cs="Arial"/>
          <w:sz w:val="22"/>
          <w:szCs w:val="22"/>
          <w:lang w:eastAsia="en-US"/>
        </w:rPr>
        <w:t>;</w:t>
      </w:r>
    </w:p>
    <w:p w:rsidR="00703227" w:rsidRDefault="00703227" w:rsidP="00424FB4">
      <w:pPr>
        <w:pStyle w:val="TableBodyText"/>
        <w:keepLines w:val="0"/>
        <w:numPr>
          <w:ilvl w:val="0"/>
          <w:numId w:val="37"/>
        </w:numPr>
        <w:spacing w:before="40" w:line="240" w:lineRule="auto"/>
        <w:ind w:left="284" w:hanging="284"/>
        <w:jc w:val="left"/>
        <w:rPr>
          <w:rFonts w:cs="Arial"/>
          <w:sz w:val="22"/>
          <w:szCs w:val="22"/>
          <w:lang w:eastAsia="en-US"/>
        </w:rPr>
      </w:pPr>
      <w:r w:rsidRPr="008D1C9A">
        <w:rPr>
          <w:rFonts w:cs="Arial"/>
          <w:sz w:val="22"/>
          <w:szCs w:val="22"/>
          <w:lang w:eastAsia="en-US"/>
        </w:rPr>
        <w:t>for the system and whole of fund returns, the effect of maturing of the system (with greater proportions of assets held by older members and pensioners) on asset allocations and effective tax rates</w:t>
      </w:r>
      <w:r w:rsidR="008D1C9A">
        <w:rPr>
          <w:rFonts w:cs="Arial"/>
          <w:sz w:val="22"/>
          <w:szCs w:val="22"/>
          <w:lang w:eastAsia="en-US"/>
        </w:rPr>
        <w:t>;</w:t>
      </w:r>
    </w:p>
    <w:p w:rsidR="00703227" w:rsidRDefault="00703227" w:rsidP="00424FB4">
      <w:pPr>
        <w:pStyle w:val="TableBodyText"/>
        <w:keepLines w:val="0"/>
        <w:numPr>
          <w:ilvl w:val="0"/>
          <w:numId w:val="37"/>
        </w:numPr>
        <w:spacing w:before="40" w:line="240" w:lineRule="auto"/>
        <w:ind w:left="284" w:hanging="284"/>
        <w:jc w:val="left"/>
        <w:rPr>
          <w:rFonts w:cs="Arial"/>
          <w:sz w:val="22"/>
          <w:szCs w:val="22"/>
          <w:lang w:eastAsia="en-US"/>
        </w:rPr>
      </w:pPr>
      <w:r w:rsidRPr="008D1C9A">
        <w:rPr>
          <w:rFonts w:cs="Arial"/>
          <w:sz w:val="22"/>
          <w:szCs w:val="22"/>
          <w:lang w:eastAsia="en-US"/>
        </w:rPr>
        <w:t>the effect of member preferences as to risk and service levels on asset allocations and fees</w:t>
      </w:r>
      <w:r w:rsidR="008D1C9A">
        <w:rPr>
          <w:rFonts w:cs="Arial"/>
          <w:sz w:val="22"/>
          <w:szCs w:val="22"/>
          <w:lang w:eastAsia="en-US"/>
        </w:rPr>
        <w:t>;</w:t>
      </w:r>
    </w:p>
    <w:p w:rsidR="00703227" w:rsidRDefault="00703227" w:rsidP="00424FB4">
      <w:pPr>
        <w:pStyle w:val="TableBodyText"/>
        <w:keepLines w:val="0"/>
        <w:numPr>
          <w:ilvl w:val="0"/>
          <w:numId w:val="37"/>
        </w:numPr>
        <w:spacing w:before="40" w:line="240" w:lineRule="auto"/>
        <w:ind w:left="284" w:hanging="284"/>
        <w:jc w:val="left"/>
        <w:rPr>
          <w:rFonts w:cs="Arial"/>
          <w:sz w:val="22"/>
          <w:szCs w:val="22"/>
          <w:lang w:eastAsia="en-US"/>
        </w:rPr>
      </w:pPr>
      <w:r w:rsidRPr="008D1C9A">
        <w:rPr>
          <w:rFonts w:cs="Arial"/>
          <w:sz w:val="22"/>
          <w:szCs w:val="22"/>
          <w:lang w:eastAsia="en-US"/>
        </w:rPr>
        <w:t>to what extent investment fees in excess of passive fees represent inefficiency or produce a net benefit in the way of higher returns (or it is reasonable to expect such a benefit)</w:t>
      </w:r>
      <w:r w:rsidR="008D1C9A">
        <w:rPr>
          <w:rFonts w:cs="Arial"/>
          <w:sz w:val="22"/>
          <w:szCs w:val="22"/>
          <w:lang w:eastAsia="en-US"/>
        </w:rPr>
        <w:t>;</w:t>
      </w:r>
      <w:r w:rsidR="00424FB4">
        <w:rPr>
          <w:rFonts w:cs="Arial"/>
          <w:sz w:val="22"/>
          <w:szCs w:val="22"/>
          <w:lang w:eastAsia="en-US"/>
        </w:rPr>
        <w:t xml:space="preserve"> and</w:t>
      </w:r>
    </w:p>
    <w:p w:rsidR="00703227" w:rsidRPr="008D1C9A" w:rsidRDefault="00703227" w:rsidP="00424FB4">
      <w:pPr>
        <w:pStyle w:val="TableBodyText"/>
        <w:keepLines w:val="0"/>
        <w:numPr>
          <w:ilvl w:val="0"/>
          <w:numId w:val="37"/>
        </w:numPr>
        <w:spacing w:before="40" w:line="240" w:lineRule="auto"/>
        <w:ind w:left="284" w:hanging="284"/>
        <w:jc w:val="left"/>
        <w:rPr>
          <w:rFonts w:cs="Arial"/>
          <w:sz w:val="22"/>
          <w:szCs w:val="22"/>
          <w:lang w:eastAsia="en-US"/>
        </w:rPr>
      </w:pPr>
      <w:r w:rsidRPr="008D1C9A">
        <w:rPr>
          <w:rFonts w:cs="Arial"/>
          <w:sz w:val="22"/>
          <w:szCs w:val="22"/>
          <w:lang w:eastAsia="en-US"/>
        </w:rPr>
        <w:t>the impact of MySuper and the continual strengthening of fee and cost disclosure rules on actual and disclosed fees and costs.</w:t>
      </w:r>
    </w:p>
    <w:p w:rsidR="00703227" w:rsidRDefault="008D1C9A" w:rsidP="008D1C9A">
      <w:pPr>
        <w:pStyle w:val="TableBodyText"/>
        <w:keepLines w:val="0"/>
        <w:spacing w:before="40" w:line="240" w:lineRule="auto"/>
        <w:jc w:val="left"/>
        <w:rPr>
          <w:rFonts w:cs="Arial"/>
          <w:sz w:val="22"/>
          <w:szCs w:val="22"/>
          <w:lang w:eastAsia="en-US"/>
        </w:rPr>
      </w:pPr>
      <w:r>
        <w:rPr>
          <w:rFonts w:cs="Arial"/>
          <w:sz w:val="22"/>
          <w:szCs w:val="22"/>
          <w:lang w:eastAsia="en-US"/>
        </w:rPr>
        <w:br/>
      </w:r>
      <w:r w:rsidR="00703227" w:rsidRPr="00151F70">
        <w:rPr>
          <w:rFonts w:cs="Arial"/>
          <w:sz w:val="22"/>
          <w:szCs w:val="22"/>
          <w:lang w:eastAsia="en-US"/>
        </w:rPr>
        <w:t>Comparisons of returns within a segment such as MySuper products will avoid some of the issues but accentuate others, such as the lack of long-term performance history for many MySuper products. In many cases, particularly for life-cycle products, there was no equivalent option whose pre-2014 track record can be used.</w:t>
      </w:r>
    </w:p>
    <w:p w:rsidR="008D1C9A" w:rsidRPr="00151F70" w:rsidRDefault="008D1C9A" w:rsidP="008D1C9A">
      <w:pPr>
        <w:pStyle w:val="TableBodyText"/>
        <w:keepLines w:val="0"/>
        <w:spacing w:before="40" w:line="240" w:lineRule="auto"/>
        <w:jc w:val="left"/>
        <w:rPr>
          <w:rFonts w:cs="Arial"/>
          <w:sz w:val="22"/>
          <w:szCs w:val="22"/>
          <w:lang w:eastAsia="en-US"/>
        </w:rPr>
      </w:pPr>
    </w:p>
    <w:p w:rsidR="00703227" w:rsidRPr="00151F70" w:rsidRDefault="00703227" w:rsidP="008D1C9A">
      <w:pPr>
        <w:pStyle w:val="TableBodyText"/>
        <w:keepLines w:val="0"/>
        <w:spacing w:before="40" w:line="240" w:lineRule="auto"/>
        <w:jc w:val="left"/>
        <w:rPr>
          <w:rFonts w:cs="Arial"/>
          <w:sz w:val="22"/>
          <w:szCs w:val="22"/>
          <w:lang w:eastAsia="en-US"/>
        </w:rPr>
      </w:pPr>
      <w:r w:rsidRPr="00151F70">
        <w:rPr>
          <w:rFonts w:cs="Arial"/>
          <w:sz w:val="22"/>
          <w:szCs w:val="22"/>
          <w:lang w:eastAsia="en-US"/>
        </w:rPr>
        <w:t>On the question about whether investment fees in excess of passive fees represent inefficiency or produce a net benefit in the way of higher returns, utilising our extensive database on investment returns, Mercer has undertaken analysis on the active v</w:t>
      </w:r>
      <w:r w:rsidR="00424FB4">
        <w:rPr>
          <w:rFonts w:cs="Arial"/>
          <w:sz w:val="22"/>
          <w:szCs w:val="22"/>
          <w:lang w:eastAsia="en-US"/>
        </w:rPr>
        <w:t>s</w:t>
      </w:r>
      <w:r w:rsidRPr="00151F70">
        <w:rPr>
          <w:rFonts w:cs="Arial"/>
          <w:sz w:val="22"/>
          <w:szCs w:val="22"/>
          <w:lang w:eastAsia="en-US"/>
        </w:rPr>
        <w:t xml:space="preserve"> passive manager issue, which has recently been updated, and we would be happy to share that with </w:t>
      </w:r>
      <w:r w:rsidR="004A2E15" w:rsidRPr="00151F70">
        <w:rPr>
          <w:rFonts w:cs="Arial"/>
          <w:sz w:val="22"/>
          <w:szCs w:val="22"/>
          <w:lang w:eastAsia="en-US"/>
        </w:rPr>
        <w:t>the Commission</w:t>
      </w:r>
      <w:r w:rsidRPr="00151F70">
        <w:rPr>
          <w:rFonts w:cs="Arial"/>
          <w:sz w:val="22"/>
          <w:szCs w:val="22"/>
          <w:lang w:eastAsia="en-US"/>
        </w:rPr>
        <w:t>.  In general, the ingredients for successful active managements can be summarised as:</w:t>
      </w:r>
    </w:p>
    <w:p w:rsidR="00703227" w:rsidRDefault="00703227" w:rsidP="008D1C9A">
      <w:pPr>
        <w:pStyle w:val="TableBodyText"/>
        <w:keepLines w:val="0"/>
        <w:numPr>
          <w:ilvl w:val="0"/>
          <w:numId w:val="37"/>
        </w:numPr>
        <w:spacing w:before="40" w:line="240" w:lineRule="auto"/>
        <w:jc w:val="left"/>
        <w:rPr>
          <w:rFonts w:cs="Arial"/>
          <w:sz w:val="22"/>
          <w:szCs w:val="22"/>
          <w:lang w:eastAsia="en-US"/>
        </w:rPr>
      </w:pPr>
      <w:r w:rsidRPr="00151F70">
        <w:rPr>
          <w:rFonts w:cs="Arial"/>
          <w:sz w:val="22"/>
          <w:szCs w:val="22"/>
          <w:lang w:eastAsia="en-US"/>
        </w:rPr>
        <w:t>Breadth – a wide pool of investment opportunities;</w:t>
      </w:r>
    </w:p>
    <w:p w:rsidR="00703227" w:rsidRDefault="00703227" w:rsidP="008D1C9A">
      <w:pPr>
        <w:pStyle w:val="TableBodyText"/>
        <w:keepLines w:val="0"/>
        <w:numPr>
          <w:ilvl w:val="0"/>
          <w:numId w:val="37"/>
        </w:numPr>
        <w:spacing w:before="40" w:line="240" w:lineRule="auto"/>
        <w:jc w:val="left"/>
        <w:rPr>
          <w:rFonts w:cs="Arial"/>
          <w:sz w:val="22"/>
          <w:szCs w:val="22"/>
          <w:lang w:eastAsia="en-US"/>
        </w:rPr>
      </w:pPr>
      <w:r w:rsidRPr="008D1C9A">
        <w:rPr>
          <w:rFonts w:cs="Arial"/>
          <w:sz w:val="22"/>
          <w:szCs w:val="22"/>
          <w:lang w:eastAsia="en-US"/>
        </w:rPr>
        <w:t>Insight – the availability of better information or better judgment over the available information; and</w:t>
      </w:r>
    </w:p>
    <w:p w:rsidR="00703227" w:rsidRPr="008D1C9A" w:rsidRDefault="00703227" w:rsidP="008D1C9A">
      <w:pPr>
        <w:pStyle w:val="TableBodyText"/>
        <w:keepLines w:val="0"/>
        <w:numPr>
          <w:ilvl w:val="0"/>
          <w:numId w:val="37"/>
        </w:numPr>
        <w:spacing w:before="40" w:line="240" w:lineRule="auto"/>
        <w:jc w:val="left"/>
        <w:rPr>
          <w:rFonts w:cs="Arial"/>
          <w:sz w:val="22"/>
          <w:szCs w:val="22"/>
          <w:lang w:eastAsia="en-US"/>
        </w:rPr>
      </w:pPr>
      <w:r w:rsidRPr="008D1C9A">
        <w:rPr>
          <w:rFonts w:cs="Arial"/>
          <w:sz w:val="22"/>
          <w:szCs w:val="22"/>
          <w:lang w:eastAsia="en-US"/>
        </w:rPr>
        <w:lastRenderedPageBreak/>
        <w:t>Diversification – not being overly dependent on single sectors or securities.</w:t>
      </w:r>
    </w:p>
    <w:p w:rsidR="00703227" w:rsidRPr="00151F70" w:rsidRDefault="008D1C9A" w:rsidP="008D1C9A">
      <w:pPr>
        <w:pStyle w:val="TableBodyText"/>
        <w:keepLines w:val="0"/>
        <w:spacing w:before="40" w:line="240" w:lineRule="auto"/>
        <w:jc w:val="left"/>
        <w:rPr>
          <w:rFonts w:cs="Arial"/>
          <w:sz w:val="22"/>
          <w:szCs w:val="22"/>
          <w:lang w:eastAsia="en-US"/>
        </w:rPr>
      </w:pPr>
      <w:r>
        <w:rPr>
          <w:rFonts w:cs="Arial"/>
          <w:sz w:val="22"/>
          <w:szCs w:val="22"/>
          <w:lang w:eastAsia="en-US"/>
        </w:rPr>
        <w:br/>
      </w:r>
      <w:r w:rsidR="00703227" w:rsidRPr="00151F70">
        <w:rPr>
          <w:rFonts w:cs="Arial"/>
          <w:sz w:val="22"/>
          <w:szCs w:val="22"/>
          <w:lang w:eastAsia="en-US"/>
        </w:rPr>
        <w:t>These ex ante considerations can then be compared against ex post results in different sectors.  Mercer’s view is that the use of active management has a legitimate role to play in portfolios, but its use needs to be assessed in a sector needs to be determined on sector by sector basis.</w:t>
      </w:r>
    </w:p>
    <w:p w:rsidR="00703227" w:rsidRDefault="00703227" w:rsidP="001201E2">
      <w:pPr>
        <w:rPr>
          <w:b/>
          <w:szCs w:val="22"/>
          <w:lang w:val="en-US"/>
        </w:rPr>
      </w:pPr>
    </w:p>
    <w:p w:rsidR="00703227" w:rsidRPr="001201E2" w:rsidRDefault="00703227" w:rsidP="001201E2">
      <w:pPr>
        <w:rPr>
          <w:b/>
          <w:szCs w:val="22"/>
          <w:lang w:val="en-US"/>
        </w:rPr>
      </w:pPr>
      <w:r>
        <w:rPr>
          <w:b/>
          <w:szCs w:val="22"/>
          <w:lang w:val="en-US"/>
        </w:rPr>
        <w:t xml:space="preserve">Section B: </w:t>
      </w:r>
      <w:r w:rsidRPr="001201E2">
        <w:rPr>
          <w:b/>
          <w:szCs w:val="22"/>
          <w:lang w:val="en-US"/>
        </w:rPr>
        <w:t>Impact of fund choice on insurance</w:t>
      </w:r>
    </w:p>
    <w:p w:rsidR="00703227" w:rsidRDefault="00703227" w:rsidP="001201E2">
      <w:pPr>
        <w:rPr>
          <w:szCs w:val="22"/>
          <w:lang w:val="en-US"/>
        </w:rPr>
      </w:pPr>
    </w:p>
    <w:p w:rsidR="00703227" w:rsidRDefault="00703227" w:rsidP="001201E2">
      <w:r>
        <w:t xml:space="preserve">The Draft Report discusses allocative efficiency whereby well-informed members make </w:t>
      </w:r>
      <w:r>
        <w:rPr>
          <w:sz w:val="23"/>
          <w:szCs w:val="23"/>
        </w:rPr>
        <w:t>decisions in their best interests. Where this involves members switching superannuation funds, it may inadvertently cause inefficiencies for insurance. Group insurance relies on members commencing cover under standard arrangements (i.e. immediately upon commencing employment and joining the fund, subject to a fairly basic definition of being “at work”). Where switching of funds occurs, there are generally conditions or exclusions attached to the insurance cover unless the member undergoes underwriting. This leads to inefficiencies in relation to insurance.</w:t>
      </w:r>
    </w:p>
    <w:p w:rsidR="00703227" w:rsidRDefault="00703227" w:rsidP="001201E2">
      <w:pPr>
        <w:rPr>
          <w:szCs w:val="22"/>
          <w:lang w:val="en-US"/>
        </w:rPr>
      </w:pPr>
    </w:p>
    <w:p w:rsidR="00703227" w:rsidRPr="007A5898" w:rsidRDefault="00703227" w:rsidP="00424FB4">
      <w:pPr>
        <w:rPr>
          <w:szCs w:val="22"/>
          <w:lang w:val="en-US"/>
        </w:rPr>
      </w:pPr>
      <w:r>
        <w:rPr>
          <w:b/>
          <w:szCs w:val="22"/>
          <w:lang w:val="en-US"/>
        </w:rPr>
        <w:t xml:space="preserve">Section C: </w:t>
      </w:r>
      <w:r w:rsidR="00424FB4">
        <w:rPr>
          <w:b/>
          <w:sz w:val="23"/>
          <w:szCs w:val="23"/>
        </w:rPr>
        <w:t xml:space="preserve"> </w:t>
      </w:r>
      <w:r w:rsidR="00424FB4">
        <w:rPr>
          <w:b/>
          <w:bCs/>
          <w:szCs w:val="22"/>
          <w:lang w:val="en-US"/>
        </w:rPr>
        <w:t>Lack of availability</w:t>
      </w:r>
      <w:r w:rsidRPr="007A5898">
        <w:rPr>
          <w:b/>
          <w:bCs/>
          <w:szCs w:val="22"/>
          <w:lang w:val="en-US"/>
        </w:rPr>
        <w:t xml:space="preserve"> of comprehensive investment fee information</w:t>
      </w:r>
    </w:p>
    <w:p w:rsidR="00703227" w:rsidRDefault="00703227" w:rsidP="007A5898">
      <w:pPr>
        <w:spacing w:line="240" w:lineRule="auto"/>
        <w:rPr>
          <w:szCs w:val="22"/>
          <w:lang w:val="en-US"/>
        </w:rPr>
      </w:pPr>
    </w:p>
    <w:p w:rsidR="00703227" w:rsidRPr="007A5898" w:rsidRDefault="00703227" w:rsidP="00971719">
      <w:pPr>
        <w:rPr>
          <w:szCs w:val="22"/>
          <w:lang w:val="en-US"/>
        </w:rPr>
      </w:pPr>
      <w:r w:rsidRPr="007A5898">
        <w:rPr>
          <w:szCs w:val="22"/>
          <w:lang w:val="en-US"/>
        </w:rPr>
        <w:t>The Draft Report includes at page 95 some discussion of data quality and availability issues relating to fee information.</w:t>
      </w:r>
      <w:r w:rsidR="00424FB4">
        <w:rPr>
          <w:szCs w:val="22"/>
          <w:lang w:val="en-US"/>
        </w:rPr>
        <w:t xml:space="preserve"> </w:t>
      </w:r>
      <w:r w:rsidRPr="007A5898">
        <w:rPr>
          <w:szCs w:val="22"/>
          <w:lang w:val="en-US"/>
        </w:rPr>
        <w:t xml:space="preserve">One of the issues relevant here is that the APRA data on overall fund and MySuper investment fees paid only includes investment fees paid directly by funds and therefore understates the true level of investment fees incurred by funds. Indirect investment expenses (such as where a fund invests in a </w:t>
      </w:r>
      <w:r w:rsidR="00AC2FFA">
        <w:rPr>
          <w:szCs w:val="22"/>
          <w:lang w:val="en-US"/>
        </w:rPr>
        <w:t>pooled superannuation trust</w:t>
      </w:r>
      <w:r w:rsidRPr="007A5898">
        <w:rPr>
          <w:szCs w:val="22"/>
          <w:lang w:val="en-US"/>
        </w:rPr>
        <w:t xml:space="preserve"> or other pooled investment vehicle which deducts its fees from the pool rather than being paid directly by the super fund) are not included. Such indirect investment fees do not pass through the fund accounts so that some funds’ financial statements will show zero investment fees as all investment costs are indirect.</w:t>
      </w:r>
    </w:p>
    <w:p w:rsidR="00703227" w:rsidRPr="007A5898" w:rsidRDefault="00703227" w:rsidP="007A5898">
      <w:pPr>
        <w:spacing w:line="240" w:lineRule="auto"/>
        <w:rPr>
          <w:szCs w:val="22"/>
          <w:lang w:val="en-US"/>
        </w:rPr>
      </w:pPr>
    </w:p>
    <w:p w:rsidR="00703227" w:rsidRDefault="00703227" w:rsidP="007A5898">
      <w:pPr>
        <w:spacing w:line="240" w:lineRule="auto"/>
        <w:rPr>
          <w:szCs w:val="22"/>
          <w:lang w:val="en-US"/>
        </w:rPr>
      </w:pPr>
      <w:r w:rsidRPr="007A5898">
        <w:rPr>
          <w:szCs w:val="22"/>
          <w:lang w:val="en-US"/>
        </w:rPr>
        <w:t>Hence</w:t>
      </w:r>
      <w:r w:rsidR="00AC2FFA">
        <w:rPr>
          <w:szCs w:val="22"/>
          <w:lang w:val="en-US"/>
        </w:rPr>
        <w:t>,</w:t>
      </w:r>
      <w:r w:rsidRPr="007A5898">
        <w:rPr>
          <w:szCs w:val="22"/>
          <w:lang w:val="en-US"/>
        </w:rPr>
        <w:t xml:space="preserve"> to gain a better insight into overall fees/costs incurred for many funds it is necessary to refer to </w:t>
      </w:r>
      <w:r w:rsidR="00AC2FFA">
        <w:rPr>
          <w:szCs w:val="22"/>
          <w:lang w:val="en-US"/>
        </w:rPr>
        <w:t>product disclosure statements (</w:t>
      </w:r>
      <w:r w:rsidRPr="007A5898">
        <w:rPr>
          <w:szCs w:val="22"/>
          <w:lang w:val="en-US"/>
        </w:rPr>
        <w:t>PDSs</w:t>
      </w:r>
      <w:r w:rsidR="00AC2FFA">
        <w:rPr>
          <w:szCs w:val="22"/>
          <w:lang w:val="en-US"/>
        </w:rPr>
        <w:t>)</w:t>
      </w:r>
      <w:r w:rsidRPr="007A5898">
        <w:rPr>
          <w:szCs w:val="22"/>
          <w:lang w:val="en-US"/>
        </w:rPr>
        <w:t xml:space="preserve"> which are required to disclose indirect costs as well as direct fees. </w:t>
      </w:r>
      <w:r>
        <w:rPr>
          <w:szCs w:val="22"/>
          <w:lang w:val="en-US"/>
        </w:rPr>
        <w:t xml:space="preserve">However it will be impossible to calculate this at </w:t>
      </w:r>
      <w:r w:rsidR="00971719">
        <w:rPr>
          <w:szCs w:val="22"/>
          <w:lang w:val="en-US"/>
        </w:rPr>
        <w:t xml:space="preserve">a </w:t>
      </w:r>
      <w:r>
        <w:rPr>
          <w:szCs w:val="22"/>
          <w:lang w:val="en-US"/>
        </w:rPr>
        <w:t>system level or to identify the impact of changes in funds’ investment structures (resulting in changes from direct to indirect investment fees or vice versa) on system level investment fees.</w:t>
      </w:r>
    </w:p>
    <w:p w:rsidR="00703227" w:rsidRDefault="00703227" w:rsidP="007A5898">
      <w:pPr>
        <w:spacing w:line="240" w:lineRule="auto"/>
        <w:rPr>
          <w:szCs w:val="22"/>
          <w:lang w:val="en-US"/>
        </w:rPr>
      </w:pPr>
    </w:p>
    <w:p w:rsidR="00703227" w:rsidRDefault="00703227" w:rsidP="007A5898">
      <w:pPr>
        <w:spacing w:line="240" w:lineRule="auto"/>
        <w:rPr>
          <w:szCs w:val="22"/>
          <w:lang w:val="en-US"/>
        </w:rPr>
      </w:pPr>
      <w:r>
        <w:rPr>
          <w:szCs w:val="22"/>
          <w:lang w:val="en-US"/>
        </w:rPr>
        <w:t xml:space="preserve">Furthermore, </w:t>
      </w:r>
      <w:r w:rsidRPr="007A5898">
        <w:rPr>
          <w:szCs w:val="22"/>
          <w:lang w:val="en-US"/>
        </w:rPr>
        <w:t xml:space="preserve">indirect costs in PDSs are not required to be split between investment related and non-investment related costs, resulting in lower transparency and making it more difficult to consider whether the investment fees and costs represent value for money </w:t>
      </w:r>
      <w:r>
        <w:rPr>
          <w:szCs w:val="22"/>
          <w:lang w:val="en-US"/>
        </w:rPr>
        <w:t>taking into</w:t>
      </w:r>
      <w:r w:rsidRPr="007A5898">
        <w:rPr>
          <w:szCs w:val="22"/>
          <w:lang w:val="en-US"/>
        </w:rPr>
        <w:t xml:space="preserve"> the </w:t>
      </w:r>
      <w:r>
        <w:rPr>
          <w:szCs w:val="22"/>
          <w:lang w:val="en-US"/>
        </w:rPr>
        <w:t>asset allocation and investment approach (passive vs active).</w:t>
      </w:r>
      <w:r w:rsidRPr="007A5898">
        <w:rPr>
          <w:szCs w:val="22"/>
          <w:lang w:val="en-US"/>
        </w:rPr>
        <w:t xml:space="preserve"> </w:t>
      </w:r>
    </w:p>
    <w:p w:rsidR="00703227" w:rsidRPr="007A5898" w:rsidRDefault="00703227" w:rsidP="007A5898">
      <w:pPr>
        <w:spacing w:line="240" w:lineRule="auto"/>
        <w:rPr>
          <w:szCs w:val="22"/>
          <w:lang w:val="en-US"/>
        </w:rPr>
      </w:pPr>
    </w:p>
    <w:p w:rsidR="00703227" w:rsidRPr="007A5898" w:rsidRDefault="00703227" w:rsidP="007A5898">
      <w:pPr>
        <w:spacing w:line="240" w:lineRule="auto"/>
        <w:rPr>
          <w:szCs w:val="22"/>
          <w:lang w:val="en-US"/>
        </w:rPr>
      </w:pPr>
      <w:r w:rsidRPr="007A5898">
        <w:rPr>
          <w:szCs w:val="22"/>
          <w:lang w:val="en-US"/>
        </w:rPr>
        <w:t xml:space="preserve">Note this PDS issue also applies to some funds which, although they pay some or all investment fees directly, do not disclose these as a member investment fee in their PDS on the basis that they are not charged directly to members – again these are included in PDSs as indirect costs, not split between investment related and non-investment related costs. </w:t>
      </w:r>
    </w:p>
    <w:p w:rsidR="00703227" w:rsidRPr="007A5898" w:rsidRDefault="00703227" w:rsidP="007A5898">
      <w:pPr>
        <w:spacing w:line="240" w:lineRule="auto"/>
        <w:rPr>
          <w:szCs w:val="22"/>
          <w:lang w:val="en-US"/>
        </w:rPr>
      </w:pPr>
    </w:p>
    <w:p w:rsidR="00703227" w:rsidRPr="007A5898" w:rsidRDefault="00703227" w:rsidP="007A5898">
      <w:pPr>
        <w:spacing w:line="240" w:lineRule="auto"/>
        <w:rPr>
          <w:szCs w:val="22"/>
          <w:lang w:val="en-US"/>
        </w:rPr>
      </w:pPr>
      <w:r w:rsidRPr="007A5898">
        <w:rPr>
          <w:szCs w:val="22"/>
          <w:lang w:val="en-US"/>
        </w:rPr>
        <w:t>These issues mean there are significant limitations with the usefulness of APRA system and fund level investment fee data and at product level with PDS information on investment fees and costs.</w:t>
      </w:r>
    </w:p>
    <w:p w:rsidR="00703227" w:rsidRPr="007A5898" w:rsidRDefault="00703227" w:rsidP="007A5898">
      <w:pPr>
        <w:spacing w:line="240" w:lineRule="auto"/>
        <w:rPr>
          <w:szCs w:val="22"/>
          <w:lang w:val="en-US"/>
        </w:rPr>
      </w:pPr>
      <w:r w:rsidRPr="007A5898">
        <w:rPr>
          <w:szCs w:val="22"/>
          <w:lang w:val="en-US"/>
        </w:rPr>
        <w:t> </w:t>
      </w:r>
    </w:p>
    <w:p w:rsidR="00703227" w:rsidRDefault="00703227" w:rsidP="007A5898">
      <w:pPr>
        <w:rPr>
          <w:szCs w:val="22"/>
          <w:lang w:val="en-US"/>
        </w:rPr>
      </w:pPr>
      <w:r w:rsidRPr="007A5898">
        <w:rPr>
          <w:szCs w:val="22"/>
          <w:lang w:val="en-US"/>
        </w:rPr>
        <w:lastRenderedPageBreak/>
        <w:t>The Draft Report includes a table showing ‘Total member fees by fee type and fund type’ (Figure</w:t>
      </w:r>
      <w:r w:rsidR="00FA66B6">
        <w:rPr>
          <w:szCs w:val="22"/>
          <w:lang w:val="en-US"/>
        </w:rPr>
        <w:t> </w:t>
      </w:r>
      <w:r w:rsidRPr="007A5898">
        <w:rPr>
          <w:szCs w:val="22"/>
          <w:lang w:val="en-US"/>
        </w:rPr>
        <w:t>2.4) based on APRA Annual Report information. This relates only to investment fees paid directly by funds and therefore understates the level of investment fees incurred by funds and members. We suggest there should be a footnote to this table disclosing that the investment fee information excludes indirect investment fees.  </w:t>
      </w:r>
    </w:p>
    <w:p w:rsidR="00222137" w:rsidRDefault="00222137" w:rsidP="007A5898">
      <w:pPr>
        <w:rPr>
          <w:szCs w:val="22"/>
          <w:lang w:val="en-US"/>
        </w:rPr>
      </w:pPr>
    </w:p>
    <w:p w:rsidR="00222137" w:rsidRDefault="00222137" w:rsidP="007A5898">
      <w:pPr>
        <w:rPr>
          <w:sz w:val="23"/>
          <w:szCs w:val="23"/>
        </w:rPr>
      </w:pPr>
      <w:r>
        <w:rPr>
          <w:szCs w:val="22"/>
          <w:lang w:val="en-US"/>
        </w:rPr>
        <w:t>Finally we note that the strengthened requirements of Regulatory Guide 97 (applicable from 1</w:t>
      </w:r>
      <w:r w:rsidR="00424FB4">
        <w:rPr>
          <w:szCs w:val="22"/>
          <w:lang w:val="en-US"/>
        </w:rPr>
        <w:t> </w:t>
      </w:r>
      <w:r>
        <w:rPr>
          <w:szCs w:val="22"/>
          <w:lang w:val="en-US"/>
        </w:rPr>
        <w:t>February 2017) in relation to indirect investment costs will result in some increase in indirect costs</w:t>
      </w:r>
      <w:r w:rsidRPr="00222137">
        <w:rPr>
          <w:szCs w:val="22"/>
          <w:lang w:val="en-US"/>
        </w:rPr>
        <w:t xml:space="preserve"> </w:t>
      </w:r>
      <w:r>
        <w:rPr>
          <w:szCs w:val="22"/>
          <w:lang w:val="en-US"/>
        </w:rPr>
        <w:t>disclosed in PDSs. Such increases will not indicate an increase in the real costs of the system or lower efficiency.</w:t>
      </w:r>
    </w:p>
    <w:p w:rsidR="00703227" w:rsidRPr="001D1E64" w:rsidRDefault="00703227" w:rsidP="00E37EBE">
      <w:pPr>
        <w:rPr>
          <w:b/>
          <w:i/>
          <w:szCs w:val="22"/>
          <w:lang w:val="en-US"/>
        </w:rPr>
      </w:pPr>
    </w:p>
    <w:sectPr w:rsidR="00703227" w:rsidRPr="001D1E64" w:rsidSect="00B27D3E">
      <w:headerReference w:type="first" r:id="rId27"/>
      <w:footerReference w:type="first" r:id="rId28"/>
      <w:pgSz w:w="11906" w:h="16838" w:code="9"/>
      <w:pgMar w:top="1959" w:right="1077" w:bottom="1985" w:left="1259" w:header="624" w:footer="449"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0CF" w:rsidRDefault="005260CF">
      <w:r>
        <w:separator/>
      </w:r>
    </w:p>
  </w:endnote>
  <w:endnote w:type="continuationSeparator" w:id="0">
    <w:p w:rsidR="005260CF" w:rsidRDefault="0052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19" w:rsidRDefault="00C74119">
    <w:pPr>
      <w:pStyle w:val="Footer"/>
    </w:pPr>
    <w:r>
      <w:fldChar w:fldCharType="begin"/>
    </w:r>
    <w:r>
      <w:instrText xml:space="preserve"> PAGE   \* MERGEFORMAT </w:instrText>
    </w:r>
    <w:r>
      <w:fldChar w:fldCharType="separate"/>
    </w:r>
    <w:r w:rsidR="00DB1875">
      <w:rPr>
        <w:noProof/>
      </w:rPr>
      <w:t>8</w:t>
    </w:r>
    <w:r>
      <w:rPr>
        <w:noProof/>
      </w:rPr>
      <w:fldChar w:fldCharType="end"/>
    </w:r>
  </w:p>
  <w:p w:rsidR="005260CF" w:rsidRDefault="005260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4119" w:rsidRDefault="00C74119">
    <w:pPr>
      <w:pStyle w:val="Footer"/>
    </w:pPr>
    <w:r>
      <w:fldChar w:fldCharType="begin"/>
    </w:r>
    <w:r>
      <w:instrText xml:space="preserve"> PAGE   \* MERGEFORMAT </w:instrText>
    </w:r>
    <w:r>
      <w:fldChar w:fldCharType="separate"/>
    </w:r>
    <w:r w:rsidR="00DB1875">
      <w:rPr>
        <w:noProof/>
      </w:rPr>
      <w:t>1</w:t>
    </w:r>
    <w:r>
      <w:rPr>
        <w:noProof/>
      </w:rPr>
      <w:fldChar w:fldCharType="end"/>
    </w:r>
  </w:p>
  <w:p w:rsidR="005260CF" w:rsidRDefault="005260CF">
    <w:pPr>
      <w:rPr>
        <w:sz w:val="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Pr="00A16B95" w:rsidRDefault="005260CF" w:rsidP="00D423B0">
    <w:pPr>
      <w:pStyle w:val="Footer"/>
      <w:rPr>
        <w:rStyle w:val="PageNumber"/>
        <w:rFonts w:cs="Arial"/>
      </w:rPr>
    </w:pPr>
    <w:r>
      <w:rPr>
        <w:rStyle w:val="PageNumber"/>
        <w:rFonts w:cs="Arial"/>
      </w:rPr>
      <w:fldChar w:fldCharType="begin"/>
    </w:r>
    <w:r>
      <w:rPr>
        <w:rStyle w:val="PageNumber"/>
        <w:rFonts w:cs="Arial"/>
      </w:rPr>
      <w:instrText xml:space="preserve"> PAGE \* MERGEFORMAT </w:instrText>
    </w:r>
    <w:r>
      <w:rPr>
        <w:rStyle w:val="PageNumber"/>
        <w:rFonts w:cs="Arial"/>
      </w:rPr>
      <w:fldChar w:fldCharType="separate"/>
    </w:r>
    <w:r>
      <w:rPr>
        <w:rStyle w:val="PageNumber"/>
        <w:rFonts w:cs="Arial"/>
        <w:noProof/>
      </w:rPr>
      <w:t>172</w:t>
    </w:r>
    <w:r>
      <w:rPr>
        <w:rStyle w:val="PageNumber"/>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Pr="00C74119" w:rsidRDefault="005260CF" w:rsidP="00D423B0">
    <w:pPr>
      <w:pStyle w:val="Footer"/>
      <w:rPr>
        <w:rStyle w:val="PageNumber"/>
        <w:rFonts w:cs="Arial"/>
        <w:b w:val="0"/>
        <w:sz w:val="22"/>
        <w:szCs w:val="22"/>
      </w:rPr>
    </w:pPr>
    <w:r w:rsidRPr="00C74119">
      <w:rPr>
        <w:rStyle w:val="PageNumber"/>
        <w:rFonts w:cs="Arial"/>
        <w:b w:val="0"/>
        <w:sz w:val="22"/>
        <w:szCs w:val="22"/>
      </w:rPr>
      <w:fldChar w:fldCharType="begin"/>
    </w:r>
    <w:r w:rsidRPr="00C74119">
      <w:rPr>
        <w:rStyle w:val="PageNumber"/>
        <w:rFonts w:cs="Arial"/>
        <w:b w:val="0"/>
        <w:sz w:val="22"/>
        <w:szCs w:val="22"/>
      </w:rPr>
      <w:instrText xml:space="preserve"> PAGE \* MERGEFORMAT </w:instrText>
    </w:r>
    <w:r w:rsidRPr="00C74119">
      <w:rPr>
        <w:rStyle w:val="PageNumber"/>
        <w:rFonts w:cs="Arial"/>
        <w:b w:val="0"/>
        <w:sz w:val="22"/>
        <w:szCs w:val="22"/>
      </w:rPr>
      <w:fldChar w:fldCharType="separate"/>
    </w:r>
    <w:r w:rsidR="00DB1875">
      <w:rPr>
        <w:rStyle w:val="PageNumber"/>
        <w:rFonts w:cs="Arial"/>
        <w:b w:val="0"/>
        <w:noProof/>
        <w:sz w:val="22"/>
        <w:szCs w:val="22"/>
      </w:rPr>
      <w:t>67</w:t>
    </w:r>
    <w:r w:rsidRPr="00C74119">
      <w:rPr>
        <w:rStyle w:val="PageNumber"/>
        <w:rFonts w:cs="Arial"/>
        <w:b w:val="0"/>
        <w:sz w:val="22"/>
        <w:szCs w:val="22"/>
      </w:rPr>
      <w:fldChar w:fldCharType="end"/>
    </w:r>
  </w:p>
  <w:tbl>
    <w:tblPr>
      <w:tblW w:w="14090" w:type="dxa"/>
      <w:tblInd w:w="-28" w:type="dxa"/>
      <w:tblLayout w:type="fixed"/>
      <w:tblCellMar>
        <w:left w:w="0" w:type="dxa"/>
        <w:right w:w="0" w:type="dxa"/>
      </w:tblCellMar>
      <w:tblLook w:val="0000" w:firstRow="0" w:lastRow="0" w:firstColumn="0" w:lastColumn="0" w:noHBand="0" w:noVBand="0"/>
    </w:tblPr>
    <w:tblGrid>
      <w:gridCol w:w="10971"/>
      <w:gridCol w:w="336"/>
      <w:gridCol w:w="2783"/>
    </w:tblGrid>
    <w:tr w:rsidR="005260CF" w:rsidTr="006C0BF7">
      <w:trPr>
        <w:trHeight w:val="720"/>
      </w:trPr>
      <w:tc>
        <w:tcPr>
          <w:tcW w:w="10971" w:type="dxa"/>
          <w:tcMar>
            <w:left w:w="28" w:type="dxa"/>
            <w:bottom w:w="28" w:type="dxa"/>
          </w:tcMar>
          <w:vAlign w:val="bottom"/>
        </w:tcPr>
        <w:p w:rsidR="005260CF" w:rsidRDefault="006A4FD1" w:rsidP="006A4FD1">
          <w:pPr>
            <w:pStyle w:val="Legalcopy"/>
            <w:spacing w:line="140" w:lineRule="exact"/>
            <w:jc w:val="right"/>
            <w:rPr>
              <w:rStyle w:val="TextHide"/>
              <w:rFonts w:cs="Arial"/>
            </w:rPr>
          </w:pPr>
          <w:r>
            <w:rPr>
              <w:rStyle w:val="TextHide"/>
              <w:rFonts w:cs="Arial"/>
            </w:rPr>
            <w:t xml:space="preserve">    </w:t>
          </w:r>
        </w:p>
      </w:tc>
      <w:tc>
        <w:tcPr>
          <w:tcW w:w="336" w:type="dxa"/>
        </w:tcPr>
        <w:p w:rsidR="005260CF" w:rsidRDefault="006A4FD1" w:rsidP="006B404D">
          <w:pPr>
            <w:pStyle w:val="TableLogoText"/>
            <w:rPr>
              <w:rStyle w:val="TextHide"/>
              <w:rFonts w:cs="Arial"/>
            </w:rPr>
          </w:pPr>
          <w:r>
            <w:rPr>
              <w:rStyle w:val="TextHide"/>
              <w:rFonts w:cs="Arial"/>
            </w:rPr>
            <w:t xml:space="preserve">  </w:t>
          </w:r>
        </w:p>
      </w:tc>
      <w:tc>
        <w:tcPr>
          <w:tcW w:w="2783" w:type="dxa"/>
          <w:vAlign w:val="bottom"/>
        </w:tcPr>
        <w:p w:rsidR="005260CF" w:rsidRPr="00714DAA" w:rsidRDefault="005260CF" w:rsidP="00B0220B">
          <w:pPr>
            <w:pStyle w:val="LogoHide2"/>
          </w:pPr>
          <w:r w:rsidRPr="00714DAA">
            <w:t xml:space="preserve">   </w:t>
          </w:r>
          <w:r w:rsidR="005005CC">
            <w:rPr>
              <w:lang w:eastAsia="en-AU"/>
            </w:rPr>
            <w:drawing>
              <wp:inline distT="0" distB="0" distL="0" distR="0">
                <wp:extent cx="1533525" cy="2476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247650"/>
                        </a:xfrm>
                        <a:prstGeom prst="rect">
                          <a:avLst/>
                        </a:prstGeom>
                        <a:noFill/>
                        <a:ln>
                          <a:noFill/>
                        </a:ln>
                      </pic:spPr>
                    </pic:pic>
                  </a:graphicData>
                </a:graphic>
              </wp:inline>
            </w:drawing>
          </w:r>
        </w:p>
      </w:tc>
    </w:tr>
  </w:tbl>
  <w:p w:rsidR="005260CF" w:rsidRPr="00A16B95" w:rsidRDefault="005260CF" w:rsidP="00D423B0">
    <w:pPr>
      <w:pStyle w:val="Footer"/>
      <w:rPr>
        <w:rStyle w:val="PageNumber"/>
        <w:rFonts w:cs="Arial"/>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BF7" w:rsidRDefault="006C0BF7">
    <w:pPr>
      <w:pStyle w:val="Footer"/>
    </w:pPr>
    <w:r>
      <w:fldChar w:fldCharType="begin"/>
    </w:r>
    <w:r>
      <w:instrText xml:space="preserve"> PAGE   \* MERGEFORMAT </w:instrText>
    </w:r>
    <w:r>
      <w:fldChar w:fldCharType="separate"/>
    </w:r>
    <w:r w:rsidR="00DB1875">
      <w:rPr>
        <w:noProof/>
      </w:rPr>
      <w:t>58</w:t>
    </w:r>
    <w:r>
      <w:rPr>
        <w:noProof/>
      </w:rPr>
      <w:fldChar w:fldCharType="end"/>
    </w:r>
  </w:p>
  <w:p w:rsidR="006C0BF7" w:rsidRDefault="006C0BF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0CF" w:rsidRDefault="005260CF">
      <w:r>
        <w:separator/>
      </w:r>
    </w:p>
  </w:footnote>
  <w:footnote w:type="continuationSeparator" w:id="0">
    <w:p w:rsidR="005260CF" w:rsidRDefault="005260CF">
      <w:r>
        <w:continuationSeparator/>
      </w:r>
    </w:p>
  </w:footnote>
  <w:footnote w:id="1">
    <w:p w:rsidR="005260CF" w:rsidRDefault="005260CF" w:rsidP="00BA683D">
      <w:pPr>
        <w:pStyle w:val="FootnoteText"/>
      </w:pPr>
      <w:r>
        <w:rPr>
          <w:rStyle w:val="FootnoteReference"/>
        </w:rPr>
        <w:footnoteRef/>
      </w:r>
      <w:r>
        <w:t xml:space="preserve"> This objective deliberately uses the term “the vast majority of Australians” and not “all Australians” as we do not believe that the Government should support, either through superannuation tax concessions or the age pension, the maintenance of lavish or expensive lifestyles.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Default="005005CC">
    <w:pPr>
      <w:pStyle w:val="LogoHide"/>
    </w:pPr>
    <w:bookmarkStart w:id="12" w:name="LogoHeader"/>
    <w:r>
      <w:rPr>
        <w:lang w:eastAsia="en-AU"/>
      </w:rPr>
      <w:drawing>
        <wp:anchor distT="0" distB="0" distL="114300" distR="114300" simplePos="0" relativeHeight="251656704" behindDoc="0" locked="0" layoutInCell="1" allowOverlap="1">
          <wp:simplePos x="0" y="0"/>
          <wp:positionH relativeFrom="page">
            <wp:posOffset>597535</wp:posOffset>
          </wp:positionH>
          <wp:positionV relativeFrom="page">
            <wp:posOffset>781050</wp:posOffset>
          </wp:positionV>
          <wp:extent cx="2143125" cy="415925"/>
          <wp:effectExtent l="0" t="0" r="9525" b="317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pic:spPr>
              </pic:pic>
            </a:graphicData>
          </a:graphic>
          <wp14:sizeRelH relativeFrom="page">
            <wp14:pctWidth>0</wp14:pctWidth>
          </wp14:sizeRelH>
          <wp14:sizeRelV relativeFrom="page">
            <wp14:pctHeight>0</wp14:pctHeight>
          </wp14:sizeRelV>
        </wp:anchor>
      </w:drawing>
    </w:r>
    <w:r w:rsidR="005260CF">
      <w:t xml:space="preserve">   </w:t>
    </w:r>
    <w:bookmarkEnd w:id="12"/>
  </w:p>
  <w:p w:rsidR="005260CF" w:rsidRDefault="005260CF"/>
  <w:p w:rsidR="005260CF" w:rsidRDefault="005260CF"/>
  <w:p w:rsidR="005260CF" w:rsidRDefault="005260CF"/>
  <w:p w:rsidR="005260CF" w:rsidRDefault="005260CF"/>
  <w:p w:rsidR="005260CF" w:rsidRDefault="005260CF"/>
  <w:p w:rsidR="005260CF" w:rsidRDefault="005260CF"/>
  <w:p w:rsidR="005260CF" w:rsidRDefault="005260CF"/>
  <w:p w:rsidR="005260CF" w:rsidRDefault="005260CF"/>
  <w:p w:rsidR="005260CF" w:rsidRDefault="005260CF">
    <w:pPr>
      <w:pStyle w:val="Page2Heading"/>
    </w:pPr>
    <w:r>
      <w:t xml:space="preserve">Page </w:t>
    </w:r>
    <w:r>
      <w:fldChar w:fldCharType="begin"/>
    </w:r>
    <w:r>
      <w:instrText xml:space="preserve"> PAGE </w:instrText>
    </w:r>
    <w:r>
      <w:fldChar w:fldCharType="separate"/>
    </w:r>
    <w:r w:rsidR="00DB1875">
      <w:rPr>
        <w:noProof/>
      </w:rPr>
      <w:t>8</w:t>
    </w:r>
    <w:r>
      <w:rPr>
        <w:noProof/>
      </w:rPr>
      <w:fldChar w:fldCharType="end"/>
    </w:r>
  </w:p>
  <w:p w:rsidR="005260CF" w:rsidRDefault="005260CF" w:rsidP="004B3487">
    <w:pPr>
      <w:pStyle w:val="Page2Heading"/>
    </w:pPr>
    <w:r>
      <w:t>13 September 2016</w:t>
    </w:r>
  </w:p>
  <w:p w:rsidR="005260CF" w:rsidRDefault="005260CF">
    <w:pPr>
      <w:pStyle w:val="Page2Heading"/>
    </w:pPr>
    <w:bookmarkStart w:id="13" w:name="ToHeader"/>
    <w:r>
      <w:t>Superannuation</w:t>
    </w:r>
    <w:bookmarkEnd w:id="13"/>
  </w:p>
  <w:p w:rsidR="005260CF" w:rsidRDefault="005260CF">
    <w:pPr>
      <w:pStyle w:val="Page2Heading"/>
    </w:pPr>
    <w:bookmarkStart w:id="14" w:name="OrganizationHeader"/>
    <w:r>
      <w:t>Productivity Commission</w:t>
    </w:r>
    <w:bookmarkEnd w:id="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Default="005005CC">
    <w:pPr>
      <w:pStyle w:val="LogoHide"/>
    </w:pPr>
    <w:bookmarkStart w:id="15" w:name="Logo"/>
    <w:r>
      <w:rPr>
        <w:lang w:eastAsia="en-AU"/>
      </w:rPr>
      <w:drawing>
        <wp:anchor distT="0" distB="0" distL="114300" distR="114300" simplePos="0" relativeHeight="251655680" behindDoc="0" locked="0" layoutInCell="1" allowOverlap="1" wp14:anchorId="77CDE926" wp14:editId="31765BCE">
          <wp:simplePos x="0" y="0"/>
          <wp:positionH relativeFrom="page">
            <wp:posOffset>597535</wp:posOffset>
          </wp:positionH>
          <wp:positionV relativeFrom="page">
            <wp:posOffset>781050</wp:posOffset>
          </wp:positionV>
          <wp:extent cx="2143125" cy="415925"/>
          <wp:effectExtent l="0" t="0" r="9525" b="3175"/>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pic:spPr>
              </pic:pic>
            </a:graphicData>
          </a:graphic>
          <wp14:sizeRelH relativeFrom="page">
            <wp14:pctWidth>0</wp14:pctWidth>
          </wp14:sizeRelH>
          <wp14:sizeRelV relativeFrom="page">
            <wp14:pctHeight>0</wp14:pctHeight>
          </wp14:sizeRelV>
        </wp:anchor>
      </w:drawing>
    </w:r>
    <w:r w:rsidR="005260CF">
      <w:t xml:space="preserve">    </w:t>
    </w:r>
    <w:bookmarkEnd w:id="15"/>
  </w:p>
  <w:p w:rsidR="005260CF" w:rsidRDefault="005260CF" w:rsidP="00DD5FF6">
    <w:pPr>
      <w:pStyle w:val="AddressBlock"/>
      <w:ind w:right="-800"/>
      <w:rPr>
        <w:rStyle w:val="TextHide"/>
        <w:rFonts w:cs="Arial"/>
      </w:rPr>
    </w:pPr>
    <w:bookmarkStart w:id="16" w:name="Practice"/>
    <w:bookmarkStart w:id="17" w:name="CompanyName"/>
    <w:bookmarkEnd w:id="16"/>
    <w:r>
      <w:rPr>
        <w:rStyle w:val="TextHide"/>
        <w:rFonts w:cs="Arial"/>
      </w:rPr>
      <w:t>Mercer Consulting (</w:t>
    </w:r>
    <w:smartTag w:uri="urn:schemas-microsoft-com:office:smarttags" w:element="country-region">
      <w:smartTag w:uri="urn:schemas-microsoft-com:office:smarttags" w:element="place">
        <w:r>
          <w:rPr>
            <w:rStyle w:val="TextHide"/>
            <w:rFonts w:cs="Arial"/>
          </w:rPr>
          <w:t>Australia</w:t>
        </w:r>
      </w:smartTag>
    </w:smartTag>
    <w:r>
      <w:rPr>
        <w:rStyle w:val="TextHide"/>
        <w:rFonts w:cs="Arial"/>
      </w:rPr>
      <w:t>) Pty Ltd</w:t>
    </w:r>
    <w:bookmarkEnd w:id="17"/>
  </w:p>
  <w:p w:rsidR="005260CF" w:rsidRDefault="005260CF" w:rsidP="00DD5FF6">
    <w:pPr>
      <w:pStyle w:val="AddressBlock"/>
      <w:ind w:right="-800"/>
      <w:rPr>
        <w:rStyle w:val="TextHide"/>
        <w:rFonts w:cs="Arial"/>
      </w:rPr>
    </w:pPr>
    <w:bookmarkStart w:id="18" w:name="OfficeAddress"/>
    <w:r>
      <w:rPr>
        <w:rStyle w:val="TextHide"/>
        <w:rFonts w:cs="Arial"/>
      </w:rPr>
      <w:t>ABN 55 153 168 140</w:t>
    </w:r>
  </w:p>
  <w:p w:rsidR="005260CF" w:rsidRDefault="005260CF" w:rsidP="00DD5FF6">
    <w:pPr>
      <w:pStyle w:val="AddressBlock"/>
      <w:ind w:right="-800"/>
      <w:rPr>
        <w:rStyle w:val="TextHide"/>
        <w:rFonts w:cs="Arial"/>
      </w:rPr>
    </w:pPr>
    <w:r>
      <w:rPr>
        <w:rStyle w:val="TextHide"/>
        <w:rFonts w:cs="Arial"/>
      </w:rPr>
      <w:t>AFS Licence # 411770</w:t>
    </w:r>
  </w:p>
  <w:p w:rsidR="005260CF" w:rsidRDefault="005260CF" w:rsidP="00DD5FF6">
    <w:pPr>
      <w:pStyle w:val="AddressBlock"/>
      <w:ind w:right="-800"/>
      <w:rPr>
        <w:rStyle w:val="TextHide"/>
        <w:rFonts w:cs="Arial"/>
      </w:rPr>
    </w:pPr>
    <w:smartTag w:uri="urn:schemas-microsoft-com:office:smarttags" w:element="address">
      <w:smartTag w:uri="urn:schemas-microsoft-com:office:smarttags" w:element="Street">
        <w:r>
          <w:rPr>
            <w:rStyle w:val="TextHide"/>
            <w:rFonts w:cs="Arial"/>
          </w:rPr>
          <w:t>Collins Square</w:t>
        </w:r>
      </w:smartTag>
    </w:smartTag>
  </w:p>
  <w:p w:rsidR="005260CF" w:rsidRDefault="005260CF" w:rsidP="00DD5FF6">
    <w:pPr>
      <w:pStyle w:val="AddressBlock"/>
      <w:ind w:right="-800"/>
      <w:rPr>
        <w:rStyle w:val="TextHide"/>
        <w:rFonts w:cs="Arial"/>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Style w:val="TextHide"/>
                <w:rFonts w:cs="Arial"/>
              </w:rPr>
              <w:t>727 Collins Street</w:t>
            </w:r>
          </w:smartTag>
        </w:smartTag>
        <w:r>
          <w:rPr>
            <w:rStyle w:val="TextHide"/>
            <w:rFonts w:cs="Arial"/>
          </w:rPr>
          <w:t xml:space="preserve"> </w:t>
        </w:r>
        <w:smartTag w:uri="urn:schemas-microsoft-com:office:smarttags" w:element="City">
          <w:r>
            <w:rPr>
              <w:rStyle w:val="TextHide"/>
              <w:rFonts w:cs="Arial"/>
            </w:rPr>
            <w:t>Melbourne</w:t>
          </w:r>
        </w:smartTag>
      </w:smartTag>
    </w:smartTag>
    <w:r>
      <w:rPr>
        <w:rStyle w:val="TextHide"/>
        <w:rFonts w:cs="Arial"/>
      </w:rPr>
      <w:t xml:space="preserve"> VIC 3008</w:t>
    </w:r>
  </w:p>
  <w:p w:rsidR="005260CF" w:rsidRDefault="005260CF" w:rsidP="00DD5FF6">
    <w:pPr>
      <w:pStyle w:val="AddressBlock"/>
      <w:ind w:right="-800"/>
      <w:rPr>
        <w:rStyle w:val="TextHide"/>
        <w:rFonts w:cs="Arial"/>
      </w:rPr>
    </w:pPr>
    <w:r>
      <w:rPr>
        <w:rStyle w:val="TextHide"/>
        <w:rFonts w:cs="Arial"/>
      </w:rPr>
      <w:t xml:space="preserve">GPO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Pr>
                <w:rStyle w:val="TextHide"/>
                <w:rFonts w:cs="Arial"/>
              </w:rPr>
              <w:t>Box 9946</w:t>
            </w:r>
          </w:smartTag>
        </w:smartTag>
        <w:r>
          <w:rPr>
            <w:rStyle w:val="TextHide"/>
            <w:rFonts w:cs="Arial"/>
          </w:rPr>
          <w:t xml:space="preserve"> </w:t>
        </w:r>
        <w:smartTag w:uri="urn:schemas-microsoft-com:office:smarttags" w:element="City">
          <w:r>
            <w:rPr>
              <w:rStyle w:val="TextHide"/>
              <w:rFonts w:cs="Arial"/>
            </w:rPr>
            <w:t>Melbourne</w:t>
          </w:r>
        </w:smartTag>
      </w:smartTag>
    </w:smartTag>
    <w:r>
      <w:rPr>
        <w:rStyle w:val="TextHide"/>
        <w:rFonts w:cs="Arial"/>
      </w:rPr>
      <w:t xml:space="preserve"> VIC 3001</w:t>
    </w:r>
    <w:bookmarkEnd w:id="18"/>
  </w:p>
  <w:p w:rsidR="005260CF" w:rsidRDefault="005260CF" w:rsidP="00DD5FF6">
    <w:pPr>
      <w:pStyle w:val="AddressBlock"/>
      <w:ind w:right="-800"/>
      <w:rPr>
        <w:rStyle w:val="TextHide"/>
        <w:rFonts w:cs="Arial"/>
      </w:rPr>
    </w:pPr>
    <w:bookmarkStart w:id="19" w:name="WebsiteAddress"/>
    <w:r>
      <w:rPr>
        <w:rStyle w:val="TextHide"/>
        <w:rFonts w:cs="Arial"/>
      </w:rPr>
      <w:t>www.mercer.com.au</w:t>
    </w:r>
    <w:bookmarkEnd w:id="19"/>
  </w:p>
  <w:p w:rsidR="005260CF" w:rsidRDefault="005260CF">
    <w:pPr>
      <w:spacing w:line="40" w:lineRule="exact"/>
      <w:rPr>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Pr="00A16B95" w:rsidRDefault="005260CF" w:rsidP="00D423B0">
    <w:pPr>
      <w:pStyle w:val="Header"/>
      <w:spacing w:line="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Pr="00A16B95" w:rsidRDefault="005005CC" w:rsidP="00D423B0">
    <w:pPr>
      <w:pStyle w:val="Header"/>
      <w:spacing w:line="20" w:lineRule="exact"/>
    </w:pPr>
    <w:r>
      <w:rPr>
        <w:noProof/>
        <w:lang w:eastAsia="en-AU"/>
      </w:rPr>
      <w:drawing>
        <wp:anchor distT="0" distB="0" distL="114300" distR="114300" simplePos="0" relativeHeight="251658752" behindDoc="0" locked="0" layoutInCell="1" allowOverlap="1">
          <wp:simplePos x="0" y="0"/>
          <wp:positionH relativeFrom="page">
            <wp:posOffset>851535</wp:posOffset>
          </wp:positionH>
          <wp:positionV relativeFrom="page">
            <wp:posOffset>688340</wp:posOffset>
          </wp:positionV>
          <wp:extent cx="2143125" cy="415925"/>
          <wp:effectExtent l="0" t="0" r="952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pic:spPr>
              </pic:pic>
            </a:graphicData>
          </a:graphic>
          <wp14:sizeRelH relativeFrom="page">
            <wp14:pctWidth>0</wp14:pctWidth>
          </wp14:sizeRelH>
          <wp14:sizeRelV relativeFrom="page">
            <wp14:pctHeight>0</wp14:pctHeight>
          </wp14:sizeRelV>
        </wp:anchor>
      </w:drawing>
    </w:r>
  </w:p>
  <w:p w:rsidR="005260CF" w:rsidRDefault="005260C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Default="005005CC" w:rsidP="00DD5FF6">
    <w:pPr>
      <w:pStyle w:val="AddressBlock"/>
      <w:ind w:right="-800"/>
      <w:rPr>
        <w:rStyle w:val="TextHide"/>
        <w:rFonts w:cs="Arial"/>
      </w:rPr>
    </w:pPr>
    <w:r>
      <w:rPr>
        <w:noProof/>
        <w:lang w:eastAsia="en-AU"/>
      </w:rPr>
      <w:drawing>
        <wp:anchor distT="0" distB="0" distL="114300" distR="114300" simplePos="0" relativeHeight="251657728" behindDoc="0" locked="0" layoutInCell="1" allowOverlap="1">
          <wp:simplePos x="0" y="0"/>
          <wp:positionH relativeFrom="page">
            <wp:posOffset>622935</wp:posOffset>
          </wp:positionH>
          <wp:positionV relativeFrom="page">
            <wp:posOffset>345440</wp:posOffset>
          </wp:positionV>
          <wp:extent cx="2143125" cy="415925"/>
          <wp:effectExtent l="0" t="0" r="9525" b="3175"/>
          <wp:wrapNone/>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pic:spPr>
              </pic:pic>
            </a:graphicData>
          </a:graphic>
          <wp14:sizeRelH relativeFrom="page">
            <wp14:pctWidth>0</wp14:pctWidth>
          </wp14:sizeRelH>
          <wp14:sizeRelV relativeFrom="page">
            <wp14:pctHeight>0</wp14:pctHeight>
          </wp14:sizeRelV>
        </wp:anchor>
      </w:drawing>
    </w:r>
    <w:r w:rsidR="005260CF">
      <w:t xml:space="preserve">    </w:t>
    </w:r>
  </w:p>
  <w:p w:rsidR="005260CF" w:rsidRDefault="005260CF">
    <w:pPr>
      <w:spacing w:line="40" w:lineRule="exact"/>
      <w:rPr>
        <w:sz w:val="1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0CF" w:rsidRDefault="005005CC" w:rsidP="00DD5FF6">
    <w:pPr>
      <w:pStyle w:val="AddressBlock"/>
      <w:ind w:right="-800"/>
      <w:rPr>
        <w:rStyle w:val="TextHide"/>
        <w:rFonts w:cs="Arial"/>
      </w:rPr>
    </w:pPr>
    <w:r>
      <w:rPr>
        <w:noProof/>
        <w:lang w:eastAsia="en-AU"/>
      </w:rPr>
      <w:drawing>
        <wp:anchor distT="0" distB="0" distL="114300" distR="114300" simplePos="0" relativeHeight="251659776" behindDoc="0" locked="0" layoutInCell="1" allowOverlap="1">
          <wp:simplePos x="0" y="0"/>
          <wp:positionH relativeFrom="page">
            <wp:posOffset>622935</wp:posOffset>
          </wp:positionH>
          <wp:positionV relativeFrom="page">
            <wp:posOffset>459740</wp:posOffset>
          </wp:positionV>
          <wp:extent cx="2143125" cy="415925"/>
          <wp:effectExtent l="0" t="0" r="952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3125" cy="415925"/>
                  </a:xfrm>
                  <a:prstGeom prst="rect">
                    <a:avLst/>
                  </a:prstGeom>
                  <a:noFill/>
                </pic:spPr>
              </pic:pic>
            </a:graphicData>
          </a:graphic>
          <wp14:sizeRelH relativeFrom="page">
            <wp14:pctWidth>0</wp14:pctWidth>
          </wp14:sizeRelH>
          <wp14:sizeRelV relativeFrom="page">
            <wp14:pctHeight>0</wp14:pctHeight>
          </wp14:sizeRelV>
        </wp:anchor>
      </w:drawing>
    </w:r>
    <w:r w:rsidR="005260CF">
      <w:t xml:space="preserve">    </w:t>
    </w:r>
  </w:p>
  <w:p w:rsidR="005260CF" w:rsidRDefault="005260CF">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9DA5F56"/>
    <w:lvl w:ilvl="0">
      <w:start w:val="1"/>
      <w:numFmt w:val="decimal"/>
      <w:lvlText w:val="%1."/>
      <w:lvlJc w:val="left"/>
      <w:pPr>
        <w:tabs>
          <w:tab w:val="num" w:pos="1209"/>
        </w:tabs>
        <w:ind w:left="1209" w:hanging="360"/>
      </w:pPr>
      <w:rPr>
        <w:rFonts w:cs="Times New Roman"/>
      </w:rPr>
    </w:lvl>
  </w:abstractNum>
  <w:abstractNum w:abstractNumId="1">
    <w:nsid w:val="FFFFFF7E"/>
    <w:multiLevelType w:val="singleLevel"/>
    <w:tmpl w:val="FD7AFE4A"/>
    <w:lvl w:ilvl="0">
      <w:start w:val="1"/>
      <w:numFmt w:val="decimal"/>
      <w:lvlText w:val="%1."/>
      <w:lvlJc w:val="left"/>
      <w:pPr>
        <w:tabs>
          <w:tab w:val="num" w:pos="926"/>
        </w:tabs>
        <w:ind w:left="926" w:hanging="360"/>
      </w:pPr>
      <w:rPr>
        <w:rFonts w:cs="Times New Roman"/>
      </w:rPr>
    </w:lvl>
  </w:abstractNum>
  <w:abstractNum w:abstractNumId="2">
    <w:nsid w:val="FFFFFF7F"/>
    <w:multiLevelType w:val="singleLevel"/>
    <w:tmpl w:val="B77C9F26"/>
    <w:lvl w:ilvl="0">
      <w:start w:val="1"/>
      <w:numFmt w:val="decimal"/>
      <w:lvlText w:val="%1."/>
      <w:lvlJc w:val="left"/>
      <w:pPr>
        <w:tabs>
          <w:tab w:val="num" w:pos="643"/>
        </w:tabs>
        <w:ind w:left="643" w:hanging="360"/>
      </w:pPr>
      <w:rPr>
        <w:rFonts w:cs="Times New Roman"/>
      </w:rPr>
    </w:lvl>
  </w:abstractNum>
  <w:abstractNum w:abstractNumId="3">
    <w:nsid w:val="FFFFFF81"/>
    <w:multiLevelType w:val="singleLevel"/>
    <w:tmpl w:val="98E402F4"/>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BB36822E"/>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70F24C0C"/>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8C9A5EB4"/>
    <w:lvl w:ilvl="0">
      <w:start w:val="1"/>
      <w:numFmt w:val="decimal"/>
      <w:lvlText w:val="%1."/>
      <w:lvlJc w:val="left"/>
      <w:pPr>
        <w:tabs>
          <w:tab w:val="num" w:pos="360"/>
        </w:tabs>
        <w:ind w:left="360" w:hanging="360"/>
      </w:pPr>
      <w:rPr>
        <w:rFonts w:cs="Times New Roman"/>
      </w:rPr>
    </w:lvl>
  </w:abstractNum>
  <w:abstractNum w:abstractNumId="7">
    <w:nsid w:val="FFFFFF89"/>
    <w:multiLevelType w:val="singleLevel"/>
    <w:tmpl w:val="B77CB1C6"/>
    <w:lvl w:ilvl="0">
      <w:start w:val="1"/>
      <w:numFmt w:val="bullet"/>
      <w:pStyle w:val="Heading4"/>
      <w:lvlText w:val=""/>
      <w:lvlJc w:val="left"/>
      <w:pPr>
        <w:tabs>
          <w:tab w:val="num" w:pos="360"/>
        </w:tabs>
        <w:ind w:left="360" w:hanging="360"/>
      </w:pPr>
      <w:rPr>
        <w:rFonts w:ascii="Symbol" w:hAnsi="Symbol" w:hint="default"/>
      </w:rPr>
    </w:lvl>
  </w:abstractNum>
  <w:abstractNum w:abstractNumId="8">
    <w:nsid w:val="01ED1ED6"/>
    <w:multiLevelType w:val="multilevel"/>
    <w:tmpl w:val="48F6868A"/>
    <w:lvl w:ilvl="0">
      <w:start w:val="1"/>
      <w:numFmt w:val="lowerLetter"/>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Letter"/>
      <w:lvlText w:val="%3."/>
      <w:lvlJc w:val="left"/>
      <w:pPr>
        <w:tabs>
          <w:tab w:val="num" w:pos="2160"/>
        </w:tabs>
        <w:ind w:left="2160" w:hanging="360"/>
      </w:pPr>
      <w:rPr>
        <w:rFonts w:cs="Times New Roman"/>
      </w:rPr>
    </w:lvl>
    <w:lvl w:ilvl="3" w:tentative="1">
      <w:start w:val="1"/>
      <w:numFmt w:val="lowerLetter"/>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Letter"/>
      <w:lvlText w:val="%6."/>
      <w:lvlJc w:val="left"/>
      <w:pPr>
        <w:tabs>
          <w:tab w:val="num" w:pos="4320"/>
        </w:tabs>
        <w:ind w:left="4320" w:hanging="360"/>
      </w:pPr>
      <w:rPr>
        <w:rFonts w:cs="Times New Roman"/>
      </w:rPr>
    </w:lvl>
    <w:lvl w:ilvl="6" w:tentative="1">
      <w:start w:val="1"/>
      <w:numFmt w:val="lowerLetter"/>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Letter"/>
      <w:lvlText w:val="%9."/>
      <w:lvlJc w:val="left"/>
      <w:pPr>
        <w:tabs>
          <w:tab w:val="num" w:pos="6480"/>
        </w:tabs>
        <w:ind w:left="6480" w:hanging="360"/>
      </w:pPr>
      <w:rPr>
        <w:rFonts w:cs="Times New Roman"/>
      </w:rPr>
    </w:lvl>
  </w:abstractNum>
  <w:abstractNum w:abstractNumId="9">
    <w:nsid w:val="06B9052B"/>
    <w:multiLevelType w:val="hybridMultilevel"/>
    <w:tmpl w:val="E89435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0D731900"/>
    <w:multiLevelType w:val="multilevel"/>
    <w:tmpl w:val="E356F29C"/>
    <w:name w:val="HeadingNumberRep"/>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tabs>
          <w:tab w:val="num" w:pos="0"/>
        </w:tabs>
      </w:pPr>
      <w:rPr>
        <w:rFonts w:cs="Times New Roman"/>
        <w:b w:val="0"/>
        <w:i w:val="0"/>
        <w:caps w:val="0"/>
        <w:smallCaps w:val="0"/>
        <w:vanish/>
        <w:u w:val="none"/>
      </w:rPr>
    </w:lvl>
    <w:lvl w:ilvl="5">
      <w:start w:val="1"/>
      <w:numFmt w:val="decimal"/>
      <w:lvlText w:val="%5.%6."/>
      <w:lvlJc w:val="left"/>
      <w:pPr>
        <w:tabs>
          <w:tab w:val="num" w:pos="840"/>
        </w:tabs>
        <w:ind w:left="840" w:hanging="840"/>
      </w:pPr>
      <w:rPr>
        <w:rFonts w:cs="Times New Roman"/>
      </w:rPr>
    </w:lvl>
    <w:lvl w:ilvl="6">
      <w:start w:val="1"/>
      <w:numFmt w:val="decimal"/>
      <w:lvlText w:val="%5.%6.%7."/>
      <w:lvlJc w:val="left"/>
      <w:pPr>
        <w:tabs>
          <w:tab w:val="num" w:pos="1080"/>
        </w:tabs>
        <w:ind w:left="1080" w:hanging="1080"/>
      </w:pPr>
      <w:rPr>
        <w:rFonts w:cs="Times New Roman"/>
      </w:rPr>
    </w:lvl>
    <w:lvl w:ilvl="7">
      <w:start w:val="1"/>
      <w:numFmt w:val="decimal"/>
      <w:lvlText w:val="%5.%6.%7.%8."/>
      <w:lvlJc w:val="left"/>
      <w:pPr>
        <w:tabs>
          <w:tab w:val="num" w:pos="1080"/>
        </w:tabs>
        <w:ind w:left="1080" w:hanging="1080"/>
      </w:pPr>
      <w:rPr>
        <w:rFonts w:cs="Times New Roman"/>
      </w:rPr>
    </w:lvl>
    <w:lvl w:ilvl="8">
      <w:start w:val="1"/>
      <w:numFmt w:val="decimal"/>
      <w:lvlText w:val="%5.%6.%7.%8.%9"/>
      <w:lvlJc w:val="left"/>
      <w:pPr>
        <w:tabs>
          <w:tab w:val="num" w:pos="1080"/>
        </w:tabs>
        <w:ind w:left="1080" w:hanging="1080"/>
      </w:pPr>
      <w:rPr>
        <w:rFonts w:cs="Times New Roman"/>
      </w:rPr>
    </w:lvl>
  </w:abstractNum>
  <w:abstractNum w:abstractNumId="11">
    <w:nsid w:val="158E265F"/>
    <w:multiLevelType w:val="multilevel"/>
    <w:tmpl w:val="3BD85DEA"/>
    <w:name w:val="TableBulletList"/>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rPr>
        <w:rFonts w:cs="Times New Roman"/>
      </w:rPr>
    </w:lvl>
  </w:abstractNum>
  <w:abstractNum w:abstractNumId="12">
    <w:nsid w:val="1720639F"/>
    <w:multiLevelType w:val="hybridMultilevel"/>
    <w:tmpl w:val="05643DFE"/>
    <w:lvl w:ilvl="0" w:tplc="13F617D0">
      <w:start w:val="7"/>
      <w:numFmt w:val="bullet"/>
      <w:lvlText w:val=""/>
      <w:lvlJc w:val="left"/>
      <w:pPr>
        <w:ind w:left="720" w:hanging="360"/>
      </w:pPr>
      <w:rPr>
        <w:rFonts w:ascii="Symbol" w:eastAsia="Times New Roman"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B2F004F"/>
    <w:multiLevelType w:val="multilevel"/>
    <w:tmpl w:val="5B7AB45A"/>
    <w:name w:val="HeadingList"/>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nsid w:val="1BED1183"/>
    <w:multiLevelType w:val="multilevel"/>
    <w:tmpl w:val="21C87E48"/>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nsid w:val="20B459E4"/>
    <w:multiLevelType w:val="multilevel"/>
    <w:tmpl w:val="8BB2B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25E50664"/>
    <w:multiLevelType w:val="multilevel"/>
    <w:tmpl w:val="9814AC44"/>
    <w:name w:val="BulletList"/>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ind w:left="3240" w:hanging="360"/>
      </w:pPr>
      <w:rPr>
        <w:rFonts w:cs="Times New Roman"/>
      </w:rPr>
    </w:lvl>
  </w:abstractNum>
  <w:abstractNum w:abstractNumId="17">
    <w:nsid w:val="2915483F"/>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2A956392"/>
    <w:multiLevelType w:val="multilevel"/>
    <w:tmpl w:val="B7E68E62"/>
    <w:name w:val="AppHeadingNumberRep"/>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upperLetter"/>
      <w:suff w:val="nothing"/>
      <w:lvlText w:val="Appendix: %5."/>
      <w:lvlJc w:val="left"/>
      <w:pPr>
        <w:tabs>
          <w:tab w:val="num" w:pos="0"/>
        </w:tabs>
      </w:pPr>
      <w:rPr>
        <w:rFonts w:cs="Times New Roman"/>
        <w:b w:val="0"/>
        <w:i w:val="0"/>
        <w:caps w:val="0"/>
        <w:smallCaps w:val="0"/>
        <w:vanish/>
        <w:u w:val="none"/>
      </w:rPr>
    </w:lvl>
    <w:lvl w:ilvl="5">
      <w:start w:val="1"/>
      <w:numFmt w:val="decimal"/>
      <w:lvlText w:val="%5.%6."/>
      <w:lvlJc w:val="left"/>
      <w:pPr>
        <w:tabs>
          <w:tab w:val="num" w:pos="840"/>
        </w:tabs>
        <w:ind w:left="840" w:hanging="840"/>
      </w:pPr>
      <w:rPr>
        <w:rFonts w:cs="Times New Roman"/>
      </w:rPr>
    </w:lvl>
    <w:lvl w:ilvl="6">
      <w:start w:val="1"/>
      <w:numFmt w:val="decimal"/>
      <w:lvlText w:val="%5.%6.%7."/>
      <w:lvlJc w:val="left"/>
      <w:pPr>
        <w:tabs>
          <w:tab w:val="num" w:pos="1080"/>
        </w:tabs>
        <w:ind w:left="1080" w:hanging="1080"/>
      </w:pPr>
      <w:rPr>
        <w:rFonts w:cs="Times New Roman"/>
      </w:rPr>
    </w:lvl>
    <w:lvl w:ilvl="7">
      <w:start w:val="1"/>
      <w:numFmt w:val="decimal"/>
      <w:lvlText w:val="%5.%6.%7.%8."/>
      <w:lvlJc w:val="left"/>
      <w:pPr>
        <w:tabs>
          <w:tab w:val="num" w:pos="1080"/>
        </w:tabs>
        <w:ind w:left="1080" w:hanging="1080"/>
      </w:pPr>
      <w:rPr>
        <w:rFonts w:cs="Times New Roman"/>
      </w:rPr>
    </w:lvl>
    <w:lvl w:ilvl="8">
      <w:start w:val="1"/>
      <w:numFmt w:val="decimal"/>
      <w:lvlText w:val="%5.%6.%7.%8.%9"/>
      <w:lvlJc w:val="left"/>
      <w:pPr>
        <w:tabs>
          <w:tab w:val="num" w:pos="1080"/>
        </w:tabs>
        <w:ind w:left="1080" w:hanging="1080"/>
      </w:pPr>
      <w:rPr>
        <w:rFonts w:cs="Times New Roman"/>
      </w:rPr>
    </w:lvl>
  </w:abstractNum>
  <w:abstractNum w:abstractNumId="19">
    <w:nsid w:val="2BC3150D"/>
    <w:multiLevelType w:val="hybridMultilevel"/>
    <w:tmpl w:val="866C7B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4A3D47DE"/>
    <w:multiLevelType w:val="hybridMultilevel"/>
    <w:tmpl w:val="FA4E1B70"/>
    <w:lvl w:ilvl="0" w:tplc="E8AA4F14">
      <w:numFmt w:val="bullet"/>
      <w:lvlText w:val="-"/>
      <w:lvlJc w:val="left"/>
      <w:pPr>
        <w:ind w:left="720" w:hanging="360"/>
      </w:pPr>
      <w:rPr>
        <w:rFonts w:ascii="Arial" w:eastAsia="Times New Roman" w:hAnsi="Aria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4C61799F"/>
    <w:multiLevelType w:val="hybridMultilevel"/>
    <w:tmpl w:val="490CC262"/>
    <w:lvl w:ilvl="0" w:tplc="0C090001">
      <w:start w:val="1"/>
      <w:numFmt w:val="bullet"/>
      <w:lvlText w:val=""/>
      <w:lvlJc w:val="left"/>
      <w:pPr>
        <w:ind w:left="726" w:hanging="360"/>
      </w:pPr>
      <w:rPr>
        <w:rFonts w:ascii="Symbol" w:hAnsi="Symbol" w:hint="default"/>
      </w:rPr>
    </w:lvl>
    <w:lvl w:ilvl="1" w:tplc="0C090003">
      <w:start w:val="1"/>
      <w:numFmt w:val="bullet"/>
      <w:lvlText w:val="o"/>
      <w:lvlJc w:val="left"/>
      <w:pPr>
        <w:ind w:left="1446" w:hanging="360"/>
      </w:pPr>
      <w:rPr>
        <w:rFonts w:ascii="Courier New" w:hAnsi="Courier New" w:hint="default"/>
      </w:rPr>
    </w:lvl>
    <w:lvl w:ilvl="2" w:tplc="0C090005">
      <w:start w:val="1"/>
      <w:numFmt w:val="bullet"/>
      <w:lvlText w:val=""/>
      <w:lvlJc w:val="left"/>
      <w:pPr>
        <w:ind w:left="2166" w:hanging="360"/>
      </w:pPr>
      <w:rPr>
        <w:rFonts w:ascii="Wingdings" w:hAnsi="Wingdings" w:hint="default"/>
      </w:rPr>
    </w:lvl>
    <w:lvl w:ilvl="3" w:tplc="0C090001">
      <w:start w:val="1"/>
      <w:numFmt w:val="bullet"/>
      <w:lvlText w:val=""/>
      <w:lvlJc w:val="left"/>
      <w:pPr>
        <w:ind w:left="2886" w:hanging="360"/>
      </w:pPr>
      <w:rPr>
        <w:rFonts w:ascii="Symbol" w:hAnsi="Symbol" w:hint="default"/>
      </w:rPr>
    </w:lvl>
    <w:lvl w:ilvl="4" w:tplc="0C090003">
      <w:start w:val="1"/>
      <w:numFmt w:val="bullet"/>
      <w:lvlText w:val="o"/>
      <w:lvlJc w:val="left"/>
      <w:pPr>
        <w:ind w:left="3606" w:hanging="360"/>
      </w:pPr>
      <w:rPr>
        <w:rFonts w:ascii="Courier New" w:hAnsi="Courier New" w:hint="default"/>
      </w:rPr>
    </w:lvl>
    <w:lvl w:ilvl="5" w:tplc="0C090005">
      <w:start w:val="1"/>
      <w:numFmt w:val="bullet"/>
      <w:lvlText w:val=""/>
      <w:lvlJc w:val="left"/>
      <w:pPr>
        <w:ind w:left="4326" w:hanging="360"/>
      </w:pPr>
      <w:rPr>
        <w:rFonts w:ascii="Wingdings" w:hAnsi="Wingdings" w:hint="default"/>
      </w:rPr>
    </w:lvl>
    <w:lvl w:ilvl="6" w:tplc="0C090001">
      <w:start w:val="1"/>
      <w:numFmt w:val="bullet"/>
      <w:lvlText w:val=""/>
      <w:lvlJc w:val="left"/>
      <w:pPr>
        <w:ind w:left="5046" w:hanging="360"/>
      </w:pPr>
      <w:rPr>
        <w:rFonts w:ascii="Symbol" w:hAnsi="Symbol" w:hint="default"/>
      </w:rPr>
    </w:lvl>
    <w:lvl w:ilvl="7" w:tplc="0C090003">
      <w:start w:val="1"/>
      <w:numFmt w:val="bullet"/>
      <w:lvlText w:val="o"/>
      <w:lvlJc w:val="left"/>
      <w:pPr>
        <w:ind w:left="5766" w:hanging="360"/>
      </w:pPr>
      <w:rPr>
        <w:rFonts w:ascii="Courier New" w:hAnsi="Courier New" w:hint="default"/>
      </w:rPr>
    </w:lvl>
    <w:lvl w:ilvl="8" w:tplc="0C090005">
      <w:start w:val="1"/>
      <w:numFmt w:val="bullet"/>
      <w:lvlText w:val=""/>
      <w:lvlJc w:val="left"/>
      <w:pPr>
        <w:ind w:left="6486" w:hanging="360"/>
      </w:pPr>
      <w:rPr>
        <w:rFonts w:ascii="Wingdings" w:hAnsi="Wingdings" w:hint="default"/>
      </w:rPr>
    </w:lvl>
  </w:abstractNum>
  <w:abstractNum w:abstractNumId="22">
    <w:nsid w:val="4F15304B"/>
    <w:multiLevelType w:val="hybridMultilevel"/>
    <w:tmpl w:val="B94872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543A6A86"/>
    <w:multiLevelType w:val="multilevel"/>
    <w:tmpl w:val="205CD846"/>
    <w:name w:val="NumHeadingList"/>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decimal"/>
      <w:pStyle w:val="ListNumber"/>
      <w:lvlText w:val="%6."/>
      <w:lvlJc w:val="left"/>
      <w:pPr>
        <w:tabs>
          <w:tab w:val="num" w:pos="360"/>
        </w:tabs>
        <w:ind w:left="360" w:hanging="360"/>
      </w:pPr>
      <w:rPr>
        <w:rFonts w:cs="Times New Roman"/>
      </w:rPr>
    </w:lvl>
    <w:lvl w:ilvl="6">
      <w:start w:val="1"/>
      <w:numFmt w:val="upperLetter"/>
      <w:pStyle w:val="ListNumber2"/>
      <w:lvlText w:val="%7."/>
      <w:lvlJc w:val="left"/>
      <w:pPr>
        <w:tabs>
          <w:tab w:val="num" w:pos="720"/>
        </w:tabs>
        <w:ind w:left="720" w:hanging="360"/>
      </w:pPr>
      <w:rPr>
        <w:rFonts w:cs="Times New Roman"/>
      </w:rPr>
    </w:lvl>
    <w:lvl w:ilvl="7">
      <w:start w:val="1"/>
      <w:numFmt w:val="lowerRoman"/>
      <w:pStyle w:val="ListNumber3"/>
      <w:lvlText w:val="%8."/>
      <w:lvlJc w:val="left"/>
      <w:pPr>
        <w:tabs>
          <w:tab w:val="num" w:pos="1080"/>
        </w:tabs>
        <w:ind w:left="1080" w:hanging="360"/>
      </w:pPr>
      <w:rPr>
        <w:rFonts w:cs="Times New Roman"/>
      </w:rPr>
    </w:lvl>
    <w:lvl w:ilvl="8">
      <w:start w:val="1"/>
      <w:numFmt w:val="lowerLetter"/>
      <w:pStyle w:val="ListNumber4"/>
      <w:lvlText w:val="%9."/>
      <w:lvlJc w:val="left"/>
      <w:pPr>
        <w:tabs>
          <w:tab w:val="num" w:pos="1440"/>
        </w:tabs>
        <w:ind w:left="1440" w:hanging="360"/>
      </w:pPr>
      <w:rPr>
        <w:rFonts w:cs="Times New Roman"/>
      </w:rPr>
    </w:lvl>
  </w:abstractNum>
  <w:abstractNum w:abstractNumId="24">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5">
    <w:nsid w:val="55415A8F"/>
    <w:multiLevelType w:val="hybridMultilevel"/>
    <w:tmpl w:val="F398B2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5A02FB8"/>
    <w:multiLevelType w:val="hybridMultilevel"/>
    <w:tmpl w:val="A5C27650"/>
    <w:name w:val="HeadingList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29409E5"/>
    <w:multiLevelType w:val="hybridMultilevel"/>
    <w:tmpl w:val="AC943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53E3871"/>
    <w:multiLevelType w:val="multilevel"/>
    <w:tmpl w:val="B1FCC8AA"/>
    <w:name w:val="HeadingNumberDoc"/>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tabs>
          <w:tab w:val="num" w:pos="720"/>
        </w:tabs>
        <w:ind w:left="720" w:hanging="720"/>
      </w:pPr>
      <w:rPr>
        <w:rFonts w:cs="Times New Roman"/>
      </w:rPr>
    </w:lvl>
    <w:lvl w:ilvl="5">
      <w:start w:val="1"/>
      <w:numFmt w:val="decimal"/>
      <w:lvlText w:val="%5.%6."/>
      <w:lvlJc w:val="left"/>
      <w:pPr>
        <w:tabs>
          <w:tab w:val="num" w:pos="840"/>
        </w:tabs>
        <w:ind w:left="840" w:hanging="840"/>
      </w:pPr>
      <w:rPr>
        <w:rFonts w:cs="Times New Roman"/>
      </w:rPr>
    </w:lvl>
    <w:lvl w:ilvl="6">
      <w:start w:val="1"/>
      <w:numFmt w:val="decimal"/>
      <w:lvlText w:val="%5.%6.%7."/>
      <w:lvlJc w:val="left"/>
      <w:pPr>
        <w:tabs>
          <w:tab w:val="num" w:pos="1080"/>
        </w:tabs>
        <w:ind w:left="1080" w:hanging="1080"/>
      </w:pPr>
      <w:rPr>
        <w:rFonts w:cs="Times New Roman"/>
      </w:rPr>
    </w:lvl>
    <w:lvl w:ilvl="7">
      <w:start w:val="1"/>
      <w:numFmt w:val="decimal"/>
      <w:lvlText w:val="%5.%6.%7.%8."/>
      <w:lvlJc w:val="left"/>
      <w:pPr>
        <w:tabs>
          <w:tab w:val="num" w:pos="1080"/>
        </w:tabs>
        <w:ind w:left="1080" w:hanging="1080"/>
      </w:pPr>
      <w:rPr>
        <w:rFonts w:cs="Times New Roman"/>
      </w:rPr>
    </w:lvl>
    <w:lvl w:ilvl="8">
      <w:start w:val="1"/>
      <w:numFmt w:val="decimal"/>
      <w:lvlText w:val="%5.%6.%7.%8.%9"/>
      <w:lvlJc w:val="left"/>
      <w:pPr>
        <w:tabs>
          <w:tab w:val="num" w:pos="1080"/>
        </w:tabs>
        <w:ind w:left="1080" w:hanging="1080"/>
      </w:pPr>
      <w:rPr>
        <w:rFonts w:cs="Times New Roman"/>
      </w:rPr>
    </w:lvl>
  </w:abstractNum>
  <w:abstractNum w:abstractNumId="29">
    <w:nsid w:val="688F7945"/>
    <w:multiLevelType w:val="hybridMultilevel"/>
    <w:tmpl w:val="42481E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99F4B5C"/>
    <w:multiLevelType w:val="multilevel"/>
    <w:tmpl w:val="8F32FE86"/>
    <w:name w:val="SREP_HEAD1"/>
    <w:lvl w:ilvl="0">
      <w:start w:val="1"/>
      <w:numFmt w:val="decimal"/>
      <w:lvlRestart w:val="0"/>
      <w:lvlText w:val="%1."/>
      <w:lvlJc w:val="left"/>
      <w:pPr>
        <w:tabs>
          <w:tab w:val="num" w:pos="0"/>
        </w:tabs>
        <w:ind w:hanging="600"/>
      </w:pPr>
      <w:rPr>
        <w:rFonts w:ascii="Arial" w:hAnsi="Arial" w:cs="Arial"/>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1">
    <w:nsid w:val="6A9E09A8"/>
    <w:multiLevelType w:val="hybridMultilevel"/>
    <w:tmpl w:val="4F8C2D5C"/>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2">
    <w:nsid w:val="6E546DA0"/>
    <w:multiLevelType w:val="hybridMultilevel"/>
    <w:tmpl w:val="A55096EA"/>
    <w:lvl w:ilvl="0" w:tplc="04090001">
      <w:start w:val="1"/>
      <w:numFmt w:val="bullet"/>
      <w:lvlText w:val=""/>
      <w:lvlJc w:val="left"/>
      <w:pPr>
        <w:ind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hint="default"/>
      </w:rPr>
    </w:lvl>
    <w:lvl w:ilvl="8" w:tplc="04090005">
      <w:start w:val="1"/>
      <w:numFmt w:val="bullet"/>
      <w:lvlText w:val=""/>
      <w:lvlJc w:val="left"/>
      <w:pPr>
        <w:ind w:left="5760" w:hanging="360"/>
      </w:pPr>
      <w:rPr>
        <w:rFonts w:ascii="Wingdings" w:hAnsi="Wingdings" w:hint="default"/>
      </w:rPr>
    </w:lvl>
  </w:abstractNum>
  <w:abstractNum w:abstractNumId="33">
    <w:nsid w:val="6EDE0212"/>
    <w:multiLevelType w:val="hybridMultilevel"/>
    <w:tmpl w:val="57E09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4">
    <w:nsid w:val="753367F6"/>
    <w:multiLevelType w:val="hybridMultilevel"/>
    <w:tmpl w:val="517A38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6410060"/>
    <w:multiLevelType w:val="multilevel"/>
    <w:tmpl w:val="837CD1F4"/>
    <w:name w:val="SectionStart"/>
    <w:lvl w:ilvl="0">
      <w:start w:val="1"/>
      <w:numFmt w:val="decimal"/>
      <w:lvlRestart w:val="0"/>
      <w:lvlText w:val="%1"/>
      <w:lvlJc w:val="left"/>
      <w:pPr>
        <w:tabs>
          <w:tab w:val="num" w:pos="360"/>
        </w:tabs>
        <w:ind w:left="360" w:hanging="18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nsid w:val="794F0D37"/>
    <w:multiLevelType w:val="multilevel"/>
    <w:tmpl w:val="3790FEBC"/>
    <w:name w:val="SAppHeadingNumberRep"/>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upperLetter"/>
      <w:lvlText w:val="Appendix: %5."/>
      <w:lvlJc w:val="left"/>
      <w:pPr>
        <w:tabs>
          <w:tab w:val="num" w:pos="0"/>
        </w:tabs>
      </w:pPr>
      <w:rPr>
        <w:rFonts w:cs="Times New Roman"/>
      </w:rPr>
    </w:lvl>
    <w:lvl w:ilvl="5">
      <w:start w:val="1"/>
      <w:numFmt w:val="decimal"/>
      <w:lvlText w:val="%5.%6."/>
      <w:lvlJc w:val="left"/>
      <w:pPr>
        <w:tabs>
          <w:tab w:val="num" w:pos="840"/>
        </w:tabs>
        <w:ind w:left="840" w:hanging="840"/>
      </w:pPr>
      <w:rPr>
        <w:rFonts w:cs="Times New Roman"/>
      </w:rPr>
    </w:lvl>
    <w:lvl w:ilvl="6">
      <w:start w:val="1"/>
      <w:numFmt w:val="decimal"/>
      <w:lvlText w:val="%5.%6.%7."/>
      <w:lvlJc w:val="left"/>
      <w:pPr>
        <w:tabs>
          <w:tab w:val="num" w:pos="1080"/>
        </w:tabs>
        <w:ind w:left="1080" w:hanging="1080"/>
      </w:pPr>
      <w:rPr>
        <w:rFonts w:cs="Times New Roman"/>
      </w:rPr>
    </w:lvl>
    <w:lvl w:ilvl="7">
      <w:start w:val="1"/>
      <w:numFmt w:val="decimal"/>
      <w:lvlText w:val="%5.%6.%7.%8."/>
      <w:lvlJc w:val="left"/>
      <w:pPr>
        <w:tabs>
          <w:tab w:val="num" w:pos="1080"/>
        </w:tabs>
        <w:ind w:left="1080" w:hanging="1080"/>
      </w:pPr>
      <w:rPr>
        <w:rFonts w:cs="Times New Roman"/>
      </w:rPr>
    </w:lvl>
    <w:lvl w:ilvl="8">
      <w:start w:val="1"/>
      <w:numFmt w:val="decimal"/>
      <w:lvlText w:val="%5.%6.%7.%8.%9"/>
      <w:lvlJc w:val="left"/>
      <w:pPr>
        <w:tabs>
          <w:tab w:val="num" w:pos="1080"/>
        </w:tabs>
        <w:ind w:left="1080" w:hanging="1080"/>
      </w:pPr>
      <w:rPr>
        <w:rFonts w:cs="Times New Roman"/>
      </w:rPr>
    </w:lvl>
  </w:abstractNum>
  <w:abstractNum w:abstractNumId="37">
    <w:nsid w:val="7AF4421C"/>
    <w:multiLevelType w:val="multilevel"/>
    <w:tmpl w:val="E5A23798"/>
    <w:name w:val="SHeadingNumberRep"/>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840"/>
        </w:tabs>
        <w:ind w:left="840" w:hanging="840"/>
      </w:pPr>
      <w:rPr>
        <w:rFonts w:cs="Times New Roman"/>
      </w:rPr>
    </w:lvl>
    <w:lvl w:ilvl="6">
      <w:start w:val="1"/>
      <w:numFmt w:val="decimal"/>
      <w:lvlText w:val="%5.%6.%7."/>
      <w:lvlJc w:val="left"/>
      <w:pPr>
        <w:tabs>
          <w:tab w:val="num" w:pos="1080"/>
        </w:tabs>
        <w:ind w:left="1080" w:hanging="1080"/>
      </w:pPr>
      <w:rPr>
        <w:rFonts w:cs="Times New Roman"/>
      </w:rPr>
    </w:lvl>
    <w:lvl w:ilvl="7">
      <w:start w:val="1"/>
      <w:numFmt w:val="decimal"/>
      <w:lvlText w:val="%5.%6.%7.%8."/>
      <w:lvlJc w:val="left"/>
      <w:pPr>
        <w:tabs>
          <w:tab w:val="num" w:pos="1080"/>
        </w:tabs>
        <w:ind w:left="1080" w:hanging="1080"/>
      </w:pPr>
      <w:rPr>
        <w:rFonts w:cs="Times New Roman"/>
      </w:rPr>
    </w:lvl>
    <w:lvl w:ilvl="8">
      <w:start w:val="1"/>
      <w:numFmt w:val="decimal"/>
      <w:lvlText w:val="%5.%6.%7.%8.%9"/>
      <w:lvlJc w:val="left"/>
      <w:pPr>
        <w:tabs>
          <w:tab w:val="num" w:pos="1080"/>
        </w:tabs>
        <w:ind w:left="1080" w:hanging="1080"/>
      </w:pPr>
      <w:rPr>
        <w:rFonts w:cs="Times New Roman"/>
      </w:rPr>
    </w:lvl>
  </w:abstractNum>
  <w:abstractNum w:abstractNumId="38">
    <w:nsid w:val="7C367C0A"/>
    <w:multiLevelType w:val="multilevel"/>
    <w:tmpl w:val="B39E5036"/>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7"/>
  </w:num>
  <w:num w:numId="10">
    <w:abstractNumId w:val="5"/>
  </w:num>
  <w:num w:numId="11">
    <w:abstractNumId w:val="4"/>
  </w:num>
  <w:num w:numId="12">
    <w:abstractNumId w:val="3"/>
  </w:num>
  <w:num w:numId="13">
    <w:abstractNumId w:val="6"/>
  </w:num>
  <w:num w:numId="14">
    <w:abstractNumId w:val="2"/>
  </w:num>
  <w:num w:numId="15">
    <w:abstractNumId w:val="1"/>
  </w:num>
  <w:num w:numId="16">
    <w:abstractNumId w:val="0"/>
  </w:num>
  <w:num w:numId="17">
    <w:abstractNumId w:val="7"/>
  </w:num>
  <w:num w:numId="18">
    <w:abstractNumId w:val="5"/>
  </w:num>
  <w:num w:numId="19">
    <w:abstractNumId w:val="4"/>
  </w:num>
  <w:num w:numId="20">
    <w:abstractNumId w:val="3"/>
  </w:num>
  <w:num w:numId="21">
    <w:abstractNumId w:val="6"/>
  </w:num>
  <w:num w:numId="22">
    <w:abstractNumId w:val="2"/>
  </w:num>
  <w:num w:numId="23">
    <w:abstractNumId w:val="1"/>
  </w:num>
  <w:num w:numId="24">
    <w:abstractNumId w:val="0"/>
  </w:num>
  <w:num w:numId="25">
    <w:abstractNumId w:val="13"/>
  </w:num>
  <w:num w:numId="26">
    <w:abstractNumId w:val="16"/>
  </w:num>
  <w:num w:numId="27">
    <w:abstractNumId w:val="11"/>
  </w:num>
  <w:num w:numId="28">
    <w:abstractNumId w:val="23"/>
  </w:num>
  <w:num w:numId="2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9"/>
  </w:num>
  <w:num w:numId="32">
    <w:abstractNumId w:val="20"/>
  </w:num>
  <w:num w:numId="33">
    <w:abstractNumId w:val="12"/>
  </w:num>
  <w:num w:numId="34">
    <w:abstractNumId w:val="24"/>
  </w:num>
  <w:num w:numId="35">
    <w:abstractNumId w:val="32"/>
  </w:num>
  <w:num w:numId="36">
    <w:abstractNumId w:val="33"/>
  </w:num>
  <w:num w:numId="37">
    <w:abstractNumId w:val="21"/>
  </w:num>
  <w:num w:numId="38">
    <w:abstractNumId w:val="17"/>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34"/>
  </w:num>
  <w:num w:numId="42">
    <w:abstractNumId w:val="15"/>
  </w:num>
  <w:num w:numId="43">
    <w:abstractNumId w:val="8"/>
  </w:num>
  <w:num w:numId="44">
    <w:abstractNumId w:val="38"/>
  </w:num>
  <w:num w:numId="45">
    <w:abstractNumId w:val="25"/>
  </w:num>
  <w:num w:numId="46">
    <w:abstractNumId w:val="22"/>
  </w:num>
  <w:num w:numId="47">
    <w:abstractNumId w:val="9"/>
  </w:num>
  <w:num w:numId="48">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48B"/>
    <w:rsid w:val="0001391E"/>
    <w:rsid w:val="00016B57"/>
    <w:rsid w:val="00034C68"/>
    <w:rsid w:val="000400BF"/>
    <w:rsid w:val="00051DB8"/>
    <w:rsid w:val="00056983"/>
    <w:rsid w:val="00064592"/>
    <w:rsid w:val="00065991"/>
    <w:rsid w:val="000723FE"/>
    <w:rsid w:val="00073DCC"/>
    <w:rsid w:val="00080FA3"/>
    <w:rsid w:val="00082E17"/>
    <w:rsid w:val="00083418"/>
    <w:rsid w:val="0008584A"/>
    <w:rsid w:val="00087CA9"/>
    <w:rsid w:val="0009592D"/>
    <w:rsid w:val="000A24E1"/>
    <w:rsid w:val="000A3159"/>
    <w:rsid w:val="000C1F26"/>
    <w:rsid w:val="000C46F4"/>
    <w:rsid w:val="000D4B65"/>
    <w:rsid w:val="000D67EB"/>
    <w:rsid w:val="000F0CBC"/>
    <w:rsid w:val="000F235C"/>
    <w:rsid w:val="000F27E4"/>
    <w:rsid w:val="000F28D7"/>
    <w:rsid w:val="000F4338"/>
    <w:rsid w:val="000F54E2"/>
    <w:rsid w:val="00106B5A"/>
    <w:rsid w:val="00111B79"/>
    <w:rsid w:val="00112292"/>
    <w:rsid w:val="0011241B"/>
    <w:rsid w:val="001179AD"/>
    <w:rsid w:val="001201E2"/>
    <w:rsid w:val="00121F5C"/>
    <w:rsid w:val="00124690"/>
    <w:rsid w:val="00130C12"/>
    <w:rsid w:val="00137D38"/>
    <w:rsid w:val="001425DD"/>
    <w:rsid w:val="001450E1"/>
    <w:rsid w:val="00151F70"/>
    <w:rsid w:val="00153FB1"/>
    <w:rsid w:val="001614E3"/>
    <w:rsid w:val="00171807"/>
    <w:rsid w:val="00171F7D"/>
    <w:rsid w:val="00172246"/>
    <w:rsid w:val="00175261"/>
    <w:rsid w:val="00175536"/>
    <w:rsid w:val="00175F40"/>
    <w:rsid w:val="00184078"/>
    <w:rsid w:val="00184D6C"/>
    <w:rsid w:val="00184D92"/>
    <w:rsid w:val="001973B9"/>
    <w:rsid w:val="001A7B57"/>
    <w:rsid w:val="001B0314"/>
    <w:rsid w:val="001C061F"/>
    <w:rsid w:val="001C66B4"/>
    <w:rsid w:val="001D045A"/>
    <w:rsid w:val="001D0A4C"/>
    <w:rsid w:val="001D1E64"/>
    <w:rsid w:val="001E0F5A"/>
    <w:rsid w:val="001E446D"/>
    <w:rsid w:val="001E466C"/>
    <w:rsid w:val="001E4FA6"/>
    <w:rsid w:val="001E514C"/>
    <w:rsid w:val="001E5D3B"/>
    <w:rsid w:val="001E6509"/>
    <w:rsid w:val="001E657E"/>
    <w:rsid w:val="0020384A"/>
    <w:rsid w:val="00206F78"/>
    <w:rsid w:val="002104DF"/>
    <w:rsid w:val="00216F61"/>
    <w:rsid w:val="00217FE6"/>
    <w:rsid w:val="00222137"/>
    <w:rsid w:val="00225379"/>
    <w:rsid w:val="0023210F"/>
    <w:rsid w:val="002326B3"/>
    <w:rsid w:val="0023287C"/>
    <w:rsid w:val="00233A77"/>
    <w:rsid w:val="00233AD5"/>
    <w:rsid w:val="00233C1D"/>
    <w:rsid w:val="00237950"/>
    <w:rsid w:val="00240E06"/>
    <w:rsid w:val="00241229"/>
    <w:rsid w:val="0024411A"/>
    <w:rsid w:val="00246562"/>
    <w:rsid w:val="00255BA8"/>
    <w:rsid w:val="00256C6B"/>
    <w:rsid w:val="002605C9"/>
    <w:rsid w:val="002609F4"/>
    <w:rsid w:val="00263397"/>
    <w:rsid w:val="00265D87"/>
    <w:rsid w:val="002666C5"/>
    <w:rsid w:val="00270C4F"/>
    <w:rsid w:val="00274EF3"/>
    <w:rsid w:val="00275079"/>
    <w:rsid w:val="00276665"/>
    <w:rsid w:val="00281FEA"/>
    <w:rsid w:val="00292AB4"/>
    <w:rsid w:val="002969E4"/>
    <w:rsid w:val="00297690"/>
    <w:rsid w:val="002A10A7"/>
    <w:rsid w:val="002A7911"/>
    <w:rsid w:val="002A7E10"/>
    <w:rsid w:val="002B116F"/>
    <w:rsid w:val="002B36EF"/>
    <w:rsid w:val="002C71AD"/>
    <w:rsid w:val="002D1E62"/>
    <w:rsid w:val="002D37E5"/>
    <w:rsid w:val="002D3EE4"/>
    <w:rsid w:val="002E5E60"/>
    <w:rsid w:val="002F326F"/>
    <w:rsid w:val="002F3950"/>
    <w:rsid w:val="002F6628"/>
    <w:rsid w:val="002F687C"/>
    <w:rsid w:val="00302D48"/>
    <w:rsid w:val="0030685F"/>
    <w:rsid w:val="003075F0"/>
    <w:rsid w:val="00307B6A"/>
    <w:rsid w:val="00314318"/>
    <w:rsid w:val="003147B4"/>
    <w:rsid w:val="003163CC"/>
    <w:rsid w:val="00321A1F"/>
    <w:rsid w:val="0032327A"/>
    <w:rsid w:val="00325281"/>
    <w:rsid w:val="003256A5"/>
    <w:rsid w:val="00326FF3"/>
    <w:rsid w:val="0032794A"/>
    <w:rsid w:val="00330C66"/>
    <w:rsid w:val="003469A0"/>
    <w:rsid w:val="0035329B"/>
    <w:rsid w:val="003623B2"/>
    <w:rsid w:val="003641B3"/>
    <w:rsid w:val="003645A4"/>
    <w:rsid w:val="00364CEC"/>
    <w:rsid w:val="00365FD8"/>
    <w:rsid w:val="003715C9"/>
    <w:rsid w:val="00382C08"/>
    <w:rsid w:val="00384987"/>
    <w:rsid w:val="003913A1"/>
    <w:rsid w:val="00393386"/>
    <w:rsid w:val="00393F15"/>
    <w:rsid w:val="00395650"/>
    <w:rsid w:val="003A42B8"/>
    <w:rsid w:val="003B55E4"/>
    <w:rsid w:val="003C35DD"/>
    <w:rsid w:val="003D0C94"/>
    <w:rsid w:val="003D2D7A"/>
    <w:rsid w:val="003D3D58"/>
    <w:rsid w:val="003D44DE"/>
    <w:rsid w:val="003D4539"/>
    <w:rsid w:val="003D513B"/>
    <w:rsid w:val="003D62BC"/>
    <w:rsid w:val="003D7968"/>
    <w:rsid w:val="003E2F74"/>
    <w:rsid w:val="003E635D"/>
    <w:rsid w:val="003F2D6D"/>
    <w:rsid w:val="003F403D"/>
    <w:rsid w:val="003F413F"/>
    <w:rsid w:val="003F6063"/>
    <w:rsid w:val="004014C5"/>
    <w:rsid w:val="00402DE3"/>
    <w:rsid w:val="00414C5E"/>
    <w:rsid w:val="00422A0B"/>
    <w:rsid w:val="00424071"/>
    <w:rsid w:val="00424FB4"/>
    <w:rsid w:val="00425FED"/>
    <w:rsid w:val="00433A24"/>
    <w:rsid w:val="0046080A"/>
    <w:rsid w:val="0046130A"/>
    <w:rsid w:val="00461AF8"/>
    <w:rsid w:val="004643B8"/>
    <w:rsid w:val="004647A4"/>
    <w:rsid w:val="004732C8"/>
    <w:rsid w:val="004756D3"/>
    <w:rsid w:val="004772B7"/>
    <w:rsid w:val="004803A1"/>
    <w:rsid w:val="00480558"/>
    <w:rsid w:val="004834DC"/>
    <w:rsid w:val="004838DB"/>
    <w:rsid w:val="004844D1"/>
    <w:rsid w:val="00492888"/>
    <w:rsid w:val="0049778A"/>
    <w:rsid w:val="004A0BEC"/>
    <w:rsid w:val="004A2E15"/>
    <w:rsid w:val="004B2A58"/>
    <w:rsid w:val="004B3487"/>
    <w:rsid w:val="004B3E79"/>
    <w:rsid w:val="004B6F39"/>
    <w:rsid w:val="004B79F0"/>
    <w:rsid w:val="004B7C35"/>
    <w:rsid w:val="004C7C79"/>
    <w:rsid w:val="004D3C8C"/>
    <w:rsid w:val="004D6BDE"/>
    <w:rsid w:val="004D7966"/>
    <w:rsid w:val="004D7CDD"/>
    <w:rsid w:val="004E340F"/>
    <w:rsid w:val="004F11F3"/>
    <w:rsid w:val="004F3F45"/>
    <w:rsid w:val="005005CC"/>
    <w:rsid w:val="005033BD"/>
    <w:rsid w:val="00506394"/>
    <w:rsid w:val="00506B03"/>
    <w:rsid w:val="00511105"/>
    <w:rsid w:val="005119DA"/>
    <w:rsid w:val="00512898"/>
    <w:rsid w:val="00513657"/>
    <w:rsid w:val="00513743"/>
    <w:rsid w:val="005174DE"/>
    <w:rsid w:val="00520BF5"/>
    <w:rsid w:val="005239AE"/>
    <w:rsid w:val="005260CF"/>
    <w:rsid w:val="00531388"/>
    <w:rsid w:val="005317A9"/>
    <w:rsid w:val="005372A0"/>
    <w:rsid w:val="00540179"/>
    <w:rsid w:val="00544673"/>
    <w:rsid w:val="00547803"/>
    <w:rsid w:val="00551FDA"/>
    <w:rsid w:val="0055231C"/>
    <w:rsid w:val="00555A2F"/>
    <w:rsid w:val="00560C78"/>
    <w:rsid w:val="00565A91"/>
    <w:rsid w:val="005833F7"/>
    <w:rsid w:val="005922E6"/>
    <w:rsid w:val="005925A8"/>
    <w:rsid w:val="00596149"/>
    <w:rsid w:val="005A05C2"/>
    <w:rsid w:val="005A223F"/>
    <w:rsid w:val="005A4110"/>
    <w:rsid w:val="005A431C"/>
    <w:rsid w:val="005A4C7B"/>
    <w:rsid w:val="005A5885"/>
    <w:rsid w:val="005A7C8C"/>
    <w:rsid w:val="005B39C9"/>
    <w:rsid w:val="005B76F7"/>
    <w:rsid w:val="005C057C"/>
    <w:rsid w:val="005C2B77"/>
    <w:rsid w:val="005C3144"/>
    <w:rsid w:val="005C6B44"/>
    <w:rsid w:val="005C7935"/>
    <w:rsid w:val="005D2982"/>
    <w:rsid w:val="005D326D"/>
    <w:rsid w:val="005D4757"/>
    <w:rsid w:val="005D5F42"/>
    <w:rsid w:val="005E44BD"/>
    <w:rsid w:val="005E480B"/>
    <w:rsid w:val="005E7550"/>
    <w:rsid w:val="005E7882"/>
    <w:rsid w:val="005E7CF4"/>
    <w:rsid w:val="005F20BE"/>
    <w:rsid w:val="005F4261"/>
    <w:rsid w:val="005F66CC"/>
    <w:rsid w:val="005F729F"/>
    <w:rsid w:val="006017AC"/>
    <w:rsid w:val="00601FD8"/>
    <w:rsid w:val="006149EA"/>
    <w:rsid w:val="006160B9"/>
    <w:rsid w:val="00633785"/>
    <w:rsid w:val="006418B8"/>
    <w:rsid w:val="006448B7"/>
    <w:rsid w:val="006456BA"/>
    <w:rsid w:val="00645987"/>
    <w:rsid w:val="00645DB8"/>
    <w:rsid w:val="006506EB"/>
    <w:rsid w:val="00657FCF"/>
    <w:rsid w:val="00660473"/>
    <w:rsid w:val="00661484"/>
    <w:rsid w:val="00661858"/>
    <w:rsid w:val="00665E04"/>
    <w:rsid w:val="00666350"/>
    <w:rsid w:val="0067041E"/>
    <w:rsid w:val="00674470"/>
    <w:rsid w:val="00674A1C"/>
    <w:rsid w:val="006A00EC"/>
    <w:rsid w:val="006A4570"/>
    <w:rsid w:val="006A4FD1"/>
    <w:rsid w:val="006B404D"/>
    <w:rsid w:val="006B5F9A"/>
    <w:rsid w:val="006B74D2"/>
    <w:rsid w:val="006B7EA9"/>
    <w:rsid w:val="006C0BF7"/>
    <w:rsid w:val="006C71A7"/>
    <w:rsid w:val="006C7F18"/>
    <w:rsid w:val="006D23B6"/>
    <w:rsid w:val="006D279F"/>
    <w:rsid w:val="006D2C53"/>
    <w:rsid w:val="006D4349"/>
    <w:rsid w:val="006D4F1B"/>
    <w:rsid w:val="006D71BB"/>
    <w:rsid w:val="006E4B15"/>
    <w:rsid w:val="006F490B"/>
    <w:rsid w:val="006F511F"/>
    <w:rsid w:val="006F648B"/>
    <w:rsid w:val="00702E9B"/>
    <w:rsid w:val="007030D5"/>
    <w:rsid w:val="00703227"/>
    <w:rsid w:val="00704B9F"/>
    <w:rsid w:val="00714DAA"/>
    <w:rsid w:val="00716F93"/>
    <w:rsid w:val="00717CFD"/>
    <w:rsid w:val="00722DE2"/>
    <w:rsid w:val="007236CA"/>
    <w:rsid w:val="007267CA"/>
    <w:rsid w:val="0073623B"/>
    <w:rsid w:val="007375ED"/>
    <w:rsid w:val="0074269D"/>
    <w:rsid w:val="0074417A"/>
    <w:rsid w:val="007444DD"/>
    <w:rsid w:val="007602C2"/>
    <w:rsid w:val="00760B45"/>
    <w:rsid w:val="00762D1D"/>
    <w:rsid w:val="00762E5A"/>
    <w:rsid w:val="007776B2"/>
    <w:rsid w:val="007853B8"/>
    <w:rsid w:val="00785774"/>
    <w:rsid w:val="00794DB4"/>
    <w:rsid w:val="0079759C"/>
    <w:rsid w:val="007A10E0"/>
    <w:rsid w:val="007A12A8"/>
    <w:rsid w:val="007A1ED6"/>
    <w:rsid w:val="007A5898"/>
    <w:rsid w:val="007A750B"/>
    <w:rsid w:val="007B5EEF"/>
    <w:rsid w:val="007C5582"/>
    <w:rsid w:val="007D40D0"/>
    <w:rsid w:val="007D5400"/>
    <w:rsid w:val="007D58DC"/>
    <w:rsid w:val="007E37D8"/>
    <w:rsid w:val="007E3D0D"/>
    <w:rsid w:val="007F5536"/>
    <w:rsid w:val="00807089"/>
    <w:rsid w:val="00812D48"/>
    <w:rsid w:val="00815742"/>
    <w:rsid w:val="00822698"/>
    <w:rsid w:val="00831B8B"/>
    <w:rsid w:val="00831D84"/>
    <w:rsid w:val="00832915"/>
    <w:rsid w:val="0084251E"/>
    <w:rsid w:val="008470AF"/>
    <w:rsid w:val="008505C7"/>
    <w:rsid w:val="00850BB5"/>
    <w:rsid w:val="00854544"/>
    <w:rsid w:val="00864328"/>
    <w:rsid w:val="00865453"/>
    <w:rsid w:val="00866429"/>
    <w:rsid w:val="00870C7A"/>
    <w:rsid w:val="00872B81"/>
    <w:rsid w:val="00873648"/>
    <w:rsid w:val="00881D1B"/>
    <w:rsid w:val="00881DDA"/>
    <w:rsid w:val="008820E3"/>
    <w:rsid w:val="00887F9F"/>
    <w:rsid w:val="0089640C"/>
    <w:rsid w:val="008970B1"/>
    <w:rsid w:val="008A190E"/>
    <w:rsid w:val="008A25B7"/>
    <w:rsid w:val="008A3FDD"/>
    <w:rsid w:val="008C11C9"/>
    <w:rsid w:val="008C3402"/>
    <w:rsid w:val="008D1C9A"/>
    <w:rsid w:val="008D2D50"/>
    <w:rsid w:val="008D51A6"/>
    <w:rsid w:val="008E4839"/>
    <w:rsid w:val="008F0357"/>
    <w:rsid w:val="008F2FAF"/>
    <w:rsid w:val="008F6706"/>
    <w:rsid w:val="008F6C10"/>
    <w:rsid w:val="00901E4D"/>
    <w:rsid w:val="00907F4F"/>
    <w:rsid w:val="00910940"/>
    <w:rsid w:val="00916832"/>
    <w:rsid w:val="00917288"/>
    <w:rsid w:val="00943FB9"/>
    <w:rsid w:val="00950FE6"/>
    <w:rsid w:val="009705CF"/>
    <w:rsid w:val="00971719"/>
    <w:rsid w:val="00975893"/>
    <w:rsid w:val="00976A21"/>
    <w:rsid w:val="009779F1"/>
    <w:rsid w:val="00982EE8"/>
    <w:rsid w:val="009835EA"/>
    <w:rsid w:val="00995EB1"/>
    <w:rsid w:val="009A0DF5"/>
    <w:rsid w:val="009A3136"/>
    <w:rsid w:val="009C27BD"/>
    <w:rsid w:val="009C49A6"/>
    <w:rsid w:val="009C5FB3"/>
    <w:rsid w:val="009D097A"/>
    <w:rsid w:val="009D2D14"/>
    <w:rsid w:val="009E3851"/>
    <w:rsid w:val="009F56D2"/>
    <w:rsid w:val="009F6B77"/>
    <w:rsid w:val="00A02561"/>
    <w:rsid w:val="00A06F25"/>
    <w:rsid w:val="00A0725D"/>
    <w:rsid w:val="00A163E2"/>
    <w:rsid w:val="00A16B95"/>
    <w:rsid w:val="00A21DA5"/>
    <w:rsid w:val="00A2687F"/>
    <w:rsid w:val="00A272F4"/>
    <w:rsid w:val="00A40A7A"/>
    <w:rsid w:val="00A51F4A"/>
    <w:rsid w:val="00A529FC"/>
    <w:rsid w:val="00A539E4"/>
    <w:rsid w:val="00A541CA"/>
    <w:rsid w:val="00A57969"/>
    <w:rsid w:val="00A64327"/>
    <w:rsid w:val="00A66F10"/>
    <w:rsid w:val="00A7099E"/>
    <w:rsid w:val="00A7476E"/>
    <w:rsid w:val="00A74990"/>
    <w:rsid w:val="00A76056"/>
    <w:rsid w:val="00A93FEF"/>
    <w:rsid w:val="00AA20C5"/>
    <w:rsid w:val="00AA38E8"/>
    <w:rsid w:val="00AB026B"/>
    <w:rsid w:val="00AB1277"/>
    <w:rsid w:val="00AB4E3F"/>
    <w:rsid w:val="00AB54F7"/>
    <w:rsid w:val="00AB60DE"/>
    <w:rsid w:val="00AB7B33"/>
    <w:rsid w:val="00AC156F"/>
    <w:rsid w:val="00AC2505"/>
    <w:rsid w:val="00AC2FF8"/>
    <w:rsid w:val="00AC2FFA"/>
    <w:rsid w:val="00AC3371"/>
    <w:rsid w:val="00AC3A34"/>
    <w:rsid w:val="00AC3C11"/>
    <w:rsid w:val="00AD7202"/>
    <w:rsid w:val="00AE1449"/>
    <w:rsid w:val="00AE2B2D"/>
    <w:rsid w:val="00AE32AE"/>
    <w:rsid w:val="00AE52F9"/>
    <w:rsid w:val="00AE5B24"/>
    <w:rsid w:val="00AE6147"/>
    <w:rsid w:val="00AF351C"/>
    <w:rsid w:val="00B0220B"/>
    <w:rsid w:val="00B057A6"/>
    <w:rsid w:val="00B0643C"/>
    <w:rsid w:val="00B068DF"/>
    <w:rsid w:val="00B07D64"/>
    <w:rsid w:val="00B11343"/>
    <w:rsid w:val="00B1197A"/>
    <w:rsid w:val="00B1442D"/>
    <w:rsid w:val="00B21F46"/>
    <w:rsid w:val="00B23B0B"/>
    <w:rsid w:val="00B247EA"/>
    <w:rsid w:val="00B27D3E"/>
    <w:rsid w:val="00B304F1"/>
    <w:rsid w:val="00B31C66"/>
    <w:rsid w:val="00B42C4F"/>
    <w:rsid w:val="00B43852"/>
    <w:rsid w:val="00B43A5A"/>
    <w:rsid w:val="00B5657E"/>
    <w:rsid w:val="00B600C0"/>
    <w:rsid w:val="00B61D51"/>
    <w:rsid w:val="00B645E3"/>
    <w:rsid w:val="00B6479A"/>
    <w:rsid w:val="00B65DDB"/>
    <w:rsid w:val="00B67DFE"/>
    <w:rsid w:val="00B7114B"/>
    <w:rsid w:val="00B73B63"/>
    <w:rsid w:val="00B7690C"/>
    <w:rsid w:val="00B8130E"/>
    <w:rsid w:val="00B82442"/>
    <w:rsid w:val="00B82FA5"/>
    <w:rsid w:val="00B84FD6"/>
    <w:rsid w:val="00B91219"/>
    <w:rsid w:val="00B91FB8"/>
    <w:rsid w:val="00BA683D"/>
    <w:rsid w:val="00BB46B4"/>
    <w:rsid w:val="00BB5145"/>
    <w:rsid w:val="00BB6BDE"/>
    <w:rsid w:val="00BC06EB"/>
    <w:rsid w:val="00BC27C5"/>
    <w:rsid w:val="00BC4652"/>
    <w:rsid w:val="00BC5B7D"/>
    <w:rsid w:val="00BD3032"/>
    <w:rsid w:val="00BD6575"/>
    <w:rsid w:val="00BE1029"/>
    <w:rsid w:val="00BE6396"/>
    <w:rsid w:val="00BF0A6A"/>
    <w:rsid w:val="00BF1E61"/>
    <w:rsid w:val="00BF42D1"/>
    <w:rsid w:val="00BF5685"/>
    <w:rsid w:val="00C00287"/>
    <w:rsid w:val="00C00532"/>
    <w:rsid w:val="00C03676"/>
    <w:rsid w:val="00C0646D"/>
    <w:rsid w:val="00C11401"/>
    <w:rsid w:val="00C16006"/>
    <w:rsid w:val="00C16675"/>
    <w:rsid w:val="00C23563"/>
    <w:rsid w:val="00C26355"/>
    <w:rsid w:val="00C27467"/>
    <w:rsid w:val="00C27FF2"/>
    <w:rsid w:val="00C31688"/>
    <w:rsid w:val="00C33129"/>
    <w:rsid w:val="00C33724"/>
    <w:rsid w:val="00C34FC4"/>
    <w:rsid w:val="00C44149"/>
    <w:rsid w:val="00C46866"/>
    <w:rsid w:val="00C47BFE"/>
    <w:rsid w:val="00C51F92"/>
    <w:rsid w:val="00C52BAB"/>
    <w:rsid w:val="00C535FA"/>
    <w:rsid w:val="00C55DBB"/>
    <w:rsid w:val="00C573E1"/>
    <w:rsid w:val="00C575CF"/>
    <w:rsid w:val="00C603B3"/>
    <w:rsid w:val="00C607CB"/>
    <w:rsid w:val="00C61B61"/>
    <w:rsid w:val="00C61D95"/>
    <w:rsid w:val="00C6390A"/>
    <w:rsid w:val="00C66AF9"/>
    <w:rsid w:val="00C706A6"/>
    <w:rsid w:val="00C714A0"/>
    <w:rsid w:val="00C74119"/>
    <w:rsid w:val="00C75C29"/>
    <w:rsid w:val="00C841D3"/>
    <w:rsid w:val="00C90D8E"/>
    <w:rsid w:val="00CA010C"/>
    <w:rsid w:val="00CA5701"/>
    <w:rsid w:val="00CB2124"/>
    <w:rsid w:val="00CB4CB9"/>
    <w:rsid w:val="00CB697E"/>
    <w:rsid w:val="00CB6E65"/>
    <w:rsid w:val="00CC0FEC"/>
    <w:rsid w:val="00CC100A"/>
    <w:rsid w:val="00CC3DDC"/>
    <w:rsid w:val="00CC61F5"/>
    <w:rsid w:val="00CD1183"/>
    <w:rsid w:val="00CD3352"/>
    <w:rsid w:val="00CD4082"/>
    <w:rsid w:val="00CD5E85"/>
    <w:rsid w:val="00CE1AA3"/>
    <w:rsid w:val="00CE65C9"/>
    <w:rsid w:val="00CE66F5"/>
    <w:rsid w:val="00CF0BA1"/>
    <w:rsid w:val="00CF0CE6"/>
    <w:rsid w:val="00CF2669"/>
    <w:rsid w:val="00CF37DD"/>
    <w:rsid w:val="00D04E39"/>
    <w:rsid w:val="00D059A8"/>
    <w:rsid w:val="00D106B1"/>
    <w:rsid w:val="00D109DA"/>
    <w:rsid w:val="00D20A0D"/>
    <w:rsid w:val="00D215FB"/>
    <w:rsid w:val="00D35440"/>
    <w:rsid w:val="00D3589B"/>
    <w:rsid w:val="00D401AF"/>
    <w:rsid w:val="00D423B0"/>
    <w:rsid w:val="00D55D08"/>
    <w:rsid w:val="00D5694B"/>
    <w:rsid w:val="00D6018B"/>
    <w:rsid w:val="00D71462"/>
    <w:rsid w:val="00D72C38"/>
    <w:rsid w:val="00D76F64"/>
    <w:rsid w:val="00D81C06"/>
    <w:rsid w:val="00D84459"/>
    <w:rsid w:val="00D8716D"/>
    <w:rsid w:val="00D87F9F"/>
    <w:rsid w:val="00D90823"/>
    <w:rsid w:val="00D908AE"/>
    <w:rsid w:val="00D96A07"/>
    <w:rsid w:val="00DA32DB"/>
    <w:rsid w:val="00DB1761"/>
    <w:rsid w:val="00DB1875"/>
    <w:rsid w:val="00DB262A"/>
    <w:rsid w:val="00DB6293"/>
    <w:rsid w:val="00DC1F49"/>
    <w:rsid w:val="00DC2B76"/>
    <w:rsid w:val="00DC42AF"/>
    <w:rsid w:val="00DC603B"/>
    <w:rsid w:val="00DD4808"/>
    <w:rsid w:val="00DD5FF6"/>
    <w:rsid w:val="00DE2418"/>
    <w:rsid w:val="00DE49B1"/>
    <w:rsid w:val="00DE5DFE"/>
    <w:rsid w:val="00DE7C43"/>
    <w:rsid w:val="00DF116D"/>
    <w:rsid w:val="00DF2F16"/>
    <w:rsid w:val="00DF762E"/>
    <w:rsid w:val="00E11A02"/>
    <w:rsid w:val="00E12490"/>
    <w:rsid w:val="00E1455E"/>
    <w:rsid w:val="00E17284"/>
    <w:rsid w:val="00E17501"/>
    <w:rsid w:val="00E21391"/>
    <w:rsid w:val="00E2362F"/>
    <w:rsid w:val="00E253D7"/>
    <w:rsid w:val="00E27C5E"/>
    <w:rsid w:val="00E27C8B"/>
    <w:rsid w:val="00E364A3"/>
    <w:rsid w:val="00E37EBE"/>
    <w:rsid w:val="00E4175E"/>
    <w:rsid w:val="00E41F95"/>
    <w:rsid w:val="00E4684B"/>
    <w:rsid w:val="00E47DE3"/>
    <w:rsid w:val="00E522A7"/>
    <w:rsid w:val="00E5658F"/>
    <w:rsid w:val="00E57FD4"/>
    <w:rsid w:val="00E64162"/>
    <w:rsid w:val="00E6761D"/>
    <w:rsid w:val="00E70319"/>
    <w:rsid w:val="00E70323"/>
    <w:rsid w:val="00E71359"/>
    <w:rsid w:val="00E713D8"/>
    <w:rsid w:val="00E7381E"/>
    <w:rsid w:val="00E874D6"/>
    <w:rsid w:val="00E91DB5"/>
    <w:rsid w:val="00EA021D"/>
    <w:rsid w:val="00EB1A81"/>
    <w:rsid w:val="00EB2B99"/>
    <w:rsid w:val="00EB4D2C"/>
    <w:rsid w:val="00EB5D63"/>
    <w:rsid w:val="00EB60AD"/>
    <w:rsid w:val="00EC0FFB"/>
    <w:rsid w:val="00ED27FC"/>
    <w:rsid w:val="00ED4F30"/>
    <w:rsid w:val="00ED635E"/>
    <w:rsid w:val="00ED74A0"/>
    <w:rsid w:val="00EE005D"/>
    <w:rsid w:val="00EF119E"/>
    <w:rsid w:val="00EF52AE"/>
    <w:rsid w:val="00F03E92"/>
    <w:rsid w:val="00F12FC7"/>
    <w:rsid w:val="00F15AC9"/>
    <w:rsid w:val="00F17F46"/>
    <w:rsid w:val="00F24572"/>
    <w:rsid w:val="00F32A43"/>
    <w:rsid w:val="00F3475B"/>
    <w:rsid w:val="00F43958"/>
    <w:rsid w:val="00F45EF4"/>
    <w:rsid w:val="00F57C8A"/>
    <w:rsid w:val="00F64DB4"/>
    <w:rsid w:val="00F67AC6"/>
    <w:rsid w:val="00F733C5"/>
    <w:rsid w:val="00F772E4"/>
    <w:rsid w:val="00F7740C"/>
    <w:rsid w:val="00F84C70"/>
    <w:rsid w:val="00F854B2"/>
    <w:rsid w:val="00F91106"/>
    <w:rsid w:val="00F95256"/>
    <w:rsid w:val="00F974EA"/>
    <w:rsid w:val="00F977A6"/>
    <w:rsid w:val="00FA3402"/>
    <w:rsid w:val="00FA4465"/>
    <w:rsid w:val="00FA66B6"/>
    <w:rsid w:val="00FB311F"/>
    <w:rsid w:val="00FB403F"/>
    <w:rsid w:val="00FC16E0"/>
    <w:rsid w:val="00FC526E"/>
    <w:rsid w:val="00FD5979"/>
    <w:rsid w:val="00FD7335"/>
    <w:rsid w:val="00FD7F2F"/>
    <w:rsid w:val="00FE18CF"/>
    <w:rsid w:val="00FE4252"/>
    <w:rsid w:val="00FE4A29"/>
    <w:rsid w:val="00FF47F4"/>
    <w:rsid w:val="00FF540B"/>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Street"/>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94B"/>
    <w:pPr>
      <w:spacing w:line="260" w:lineRule="atLeast"/>
    </w:pPr>
    <w:rPr>
      <w:rFonts w:ascii="Arial" w:hAnsi="Arial" w:cs="Arial"/>
      <w:sz w:val="22"/>
      <w:lang w:eastAsia="en-US"/>
    </w:rPr>
  </w:style>
  <w:style w:type="paragraph" w:styleId="Heading1">
    <w:name w:val="heading 1"/>
    <w:basedOn w:val="Normal"/>
    <w:next w:val="Normal"/>
    <w:link w:val="Heading1Char"/>
    <w:uiPriority w:val="99"/>
    <w:qFormat/>
    <w:rsid w:val="006F648B"/>
    <w:pPr>
      <w:keepNext/>
      <w:tabs>
        <w:tab w:val="num" w:pos="0"/>
      </w:tabs>
      <w:spacing w:line="240" w:lineRule="auto"/>
      <w:outlineLvl w:val="0"/>
    </w:pPr>
    <w:rPr>
      <w:b/>
      <w:sz w:val="28"/>
    </w:rPr>
  </w:style>
  <w:style w:type="paragraph" w:styleId="Heading2">
    <w:name w:val="heading 2"/>
    <w:basedOn w:val="Normal"/>
    <w:next w:val="Normal"/>
    <w:link w:val="Heading2Char"/>
    <w:uiPriority w:val="99"/>
    <w:qFormat/>
    <w:rsid w:val="006F648B"/>
    <w:pPr>
      <w:keepNext/>
      <w:numPr>
        <w:ilvl w:val="1"/>
        <w:numId w:val="1"/>
      </w:numPr>
      <w:tabs>
        <w:tab w:val="clear" w:pos="360"/>
        <w:tab w:val="num" w:pos="0"/>
      </w:tabs>
      <w:spacing w:line="240" w:lineRule="auto"/>
      <w:ind w:left="0" w:firstLine="0"/>
      <w:outlineLvl w:val="1"/>
    </w:pPr>
    <w:rPr>
      <w:b/>
      <w:sz w:val="24"/>
    </w:rPr>
  </w:style>
  <w:style w:type="paragraph" w:styleId="Heading3">
    <w:name w:val="heading 3"/>
    <w:basedOn w:val="Normal"/>
    <w:next w:val="Normal"/>
    <w:link w:val="Heading3Char"/>
    <w:uiPriority w:val="99"/>
    <w:qFormat/>
    <w:rsid w:val="006F648B"/>
    <w:pPr>
      <w:keepNext/>
      <w:numPr>
        <w:ilvl w:val="2"/>
        <w:numId w:val="1"/>
      </w:numPr>
      <w:tabs>
        <w:tab w:val="clear" w:pos="360"/>
        <w:tab w:val="num" w:pos="0"/>
      </w:tabs>
      <w:spacing w:line="240" w:lineRule="auto"/>
      <w:ind w:left="0" w:firstLine="0"/>
      <w:outlineLvl w:val="2"/>
    </w:pPr>
    <w:rPr>
      <w:b/>
      <w:i/>
      <w:sz w:val="24"/>
    </w:rPr>
  </w:style>
  <w:style w:type="paragraph" w:styleId="Heading4">
    <w:name w:val="heading 4"/>
    <w:basedOn w:val="Normal"/>
    <w:next w:val="Normal"/>
    <w:link w:val="Heading4Char"/>
    <w:uiPriority w:val="99"/>
    <w:qFormat/>
    <w:rsid w:val="006F648B"/>
    <w:pPr>
      <w:keepNext/>
      <w:numPr>
        <w:ilvl w:val="3"/>
        <w:numId w:val="1"/>
      </w:numPr>
      <w:tabs>
        <w:tab w:val="clear" w:pos="360"/>
        <w:tab w:val="num" w:pos="0"/>
      </w:tabs>
      <w:spacing w:line="240" w:lineRule="auto"/>
      <w:ind w:left="0" w:firstLine="0"/>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szCs w:val="20"/>
      <w:lang w:val="en-AU"/>
    </w:rPr>
  </w:style>
  <w:style w:type="character" w:customStyle="1" w:styleId="Heading2Char">
    <w:name w:val="Heading 2 Char"/>
    <w:link w:val="Heading2"/>
    <w:uiPriority w:val="99"/>
    <w:semiHidden/>
    <w:locked/>
    <w:rPr>
      <w:rFonts w:ascii="Cambria" w:hAnsi="Cambria" w:cs="Times New Roman"/>
      <w:b/>
      <w:bCs/>
      <w:i/>
      <w:iCs/>
      <w:sz w:val="28"/>
      <w:szCs w:val="28"/>
      <w:lang w:val="en-AU"/>
    </w:rPr>
  </w:style>
  <w:style w:type="character" w:customStyle="1" w:styleId="Heading3Char">
    <w:name w:val="Heading 3 Char"/>
    <w:link w:val="Heading3"/>
    <w:uiPriority w:val="99"/>
    <w:semiHidden/>
    <w:locked/>
    <w:rPr>
      <w:rFonts w:ascii="Cambria" w:hAnsi="Cambria" w:cs="Times New Roman"/>
      <w:b/>
      <w:bCs/>
      <w:sz w:val="26"/>
      <w:szCs w:val="26"/>
      <w:lang w:val="en-AU"/>
    </w:rPr>
  </w:style>
  <w:style w:type="character" w:customStyle="1" w:styleId="Heading4Char">
    <w:name w:val="Heading 4 Char"/>
    <w:link w:val="Heading4"/>
    <w:uiPriority w:val="99"/>
    <w:semiHidden/>
    <w:locked/>
    <w:rPr>
      <w:rFonts w:ascii="Calibri" w:hAnsi="Calibri" w:cs="Times New Roman"/>
      <w:b/>
      <w:bCs/>
      <w:sz w:val="28"/>
      <w:szCs w:val="28"/>
      <w:lang w:val="en-AU"/>
    </w:rPr>
  </w:style>
  <w:style w:type="paragraph" w:customStyle="1" w:styleId="Legalcopy">
    <w:name w:val="Legal copy"/>
    <w:basedOn w:val="Base"/>
    <w:uiPriority w:val="99"/>
    <w:rsid w:val="00D5694B"/>
    <w:pPr>
      <w:spacing w:line="140" w:lineRule="atLeast"/>
    </w:pPr>
    <w:rPr>
      <w:sz w:val="12"/>
    </w:rPr>
  </w:style>
  <w:style w:type="paragraph" w:customStyle="1" w:styleId="TableLogoText">
    <w:name w:val="Table Logo Text"/>
    <w:basedOn w:val="Base"/>
    <w:uiPriority w:val="99"/>
    <w:rsid w:val="00D5694B"/>
    <w:pPr>
      <w:spacing w:line="240" w:lineRule="auto"/>
    </w:pPr>
    <w:rPr>
      <w:position w:val="-4"/>
      <w:sz w:val="24"/>
    </w:rPr>
  </w:style>
  <w:style w:type="paragraph" w:customStyle="1" w:styleId="AddressBlock">
    <w:name w:val="Address Block"/>
    <w:basedOn w:val="Base"/>
    <w:uiPriority w:val="99"/>
    <w:rsid w:val="00512898"/>
    <w:pPr>
      <w:spacing w:line="180" w:lineRule="atLeast"/>
      <w:ind w:left="6316"/>
    </w:pPr>
  </w:style>
  <w:style w:type="paragraph" w:customStyle="1" w:styleId="LogoHide">
    <w:name w:val="Logo Hide"/>
    <w:basedOn w:val="Base"/>
    <w:next w:val="Base"/>
    <w:uiPriority w:val="99"/>
    <w:rsid w:val="00D5694B"/>
    <w:pPr>
      <w:spacing w:line="20" w:lineRule="exact"/>
    </w:pPr>
    <w:rPr>
      <w:noProof/>
      <w:sz w:val="2"/>
    </w:rPr>
  </w:style>
  <w:style w:type="paragraph" w:customStyle="1" w:styleId="LogoHide2">
    <w:name w:val="Logo Hide 2"/>
    <w:basedOn w:val="Base"/>
    <w:next w:val="Base"/>
    <w:uiPriority w:val="99"/>
    <w:rsid w:val="00393386"/>
    <w:pPr>
      <w:spacing w:line="260" w:lineRule="atLeast"/>
    </w:pPr>
    <w:rPr>
      <w:noProof/>
      <w:sz w:val="22"/>
    </w:rPr>
  </w:style>
  <w:style w:type="character" w:customStyle="1" w:styleId="BaseChar">
    <w:name w:val="Base Char"/>
    <w:link w:val="Base"/>
    <w:uiPriority w:val="99"/>
    <w:locked/>
    <w:rsid w:val="00382C08"/>
    <w:rPr>
      <w:rFonts w:ascii="Arial" w:hAnsi="Arial" w:cs="Arial"/>
      <w:sz w:val="16"/>
      <w:lang w:val="en-AU" w:eastAsia="en-US" w:bidi="ar-SA"/>
    </w:rPr>
  </w:style>
  <w:style w:type="paragraph" w:customStyle="1" w:styleId="Filestamp">
    <w:name w:val="Filestamp"/>
    <w:basedOn w:val="Base"/>
    <w:uiPriority w:val="99"/>
    <w:rsid w:val="00D5694B"/>
    <w:pPr>
      <w:spacing w:line="120" w:lineRule="atLeast"/>
    </w:pPr>
    <w:rPr>
      <w:noProof/>
      <w:sz w:val="12"/>
    </w:rPr>
  </w:style>
  <w:style w:type="paragraph" w:customStyle="1" w:styleId="EmployeeName">
    <w:name w:val="Employee Name"/>
    <w:basedOn w:val="Base"/>
    <w:uiPriority w:val="99"/>
    <w:rsid w:val="00950FE6"/>
    <w:pPr>
      <w:ind w:left="5760"/>
    </w:pPr>
    <w:rPr>
      <w:b/>
    </w:rPr>
  </w:style>
  <w:style w:type="paragraph" w:customStyle="1" w:styleId="Address">
    <w:name w:val="Address"/>
    <w:basedOn w:val="Base"/>
    <w:uiPriority w:val="99"/>
    <w:rsid w:val="005A05C2"/>
    <w:pPr>
      <w:spacing w:line="260" w:lineRule="atLeast"/>
    </w:pPr>
    <w:rPr>
      <w:sz w:val="22"/>
    </w:rPr>
  </w:style>
  <w:style w:type="paragraph" w:customStyle="1" w:styleId="ConfidentialityNote">
    <w:name w:val="Confidentiality Note"/>
    <w:basedOn w:val="Base"/>
    <w:next w:val="Subject"/>
    <w:uiPriority w:val="99"/>
    <w:rsid w:val="005A05C2"/>
    <w:pPr>
      <w:spacing w:line="260" w:lineRule="atLeast"/>
    </w:pPr>
    <w:rPr>
      <w:b/>
      <w:sz w:val="22"/>
    </w:rPr>
  </w:style>
  <w:style w:type="paragraph" w:customStyle="1" w:styleId="Subject">
    <w:name w:val="Subject"/>
    <w:basedOn w:val="Base"/>
    <w:link w:val="SubjectChar"/>
    <w:uiPriority w:val="99"/>
    <w:rsid w:val="00D5694B"/>
    <w:pPr>
      <w:spacing w:line="270" w:lineRule="atLeast"/>
    </w:pPr>
    <w:rPr>
      <w:b/>
      <w:sz w:val="22"/>
    </w:rPr>
  </w:style>
  <w:style w:type="paragraph" w:customStyle="1" w:styleId="LetterDate">
    <w:name w:val="Letter Date"/>
    <w:basedOn w:val="Base"/>
    <w:uiPriority w:val="99"/>
    <w:rsid w:val="005A05C2"/>
    <w:pPr>
      <w:spacing w:line="260" w:lineRule="atLeast"/>
    </w:pPr>
    <w:rPr>
      <w:sz w:val="22"/>
      <w:szCs w:val="16"/>
    </w:rPr>
  </w:style>
  <w:style w:type="paragraph" w:customStyle="1" w:styleId="Signoff">
    <w:name w:val="Signoff"/>
    <w:basedOn w:val="Base"/>
    <w:next w:val="Normal"/>
    <w:uiPriority w:val="99"/>
    <w:rsid w:val="005A05C2"/>
    <w:pPr>
      <w:spacing w:line="260" w:lineRule="atLeast"/>
    </w:pPr>
    <w:rPr>
      <w:sz w:val="22"/>
    </w:rPr>
  </w:style>
  <w:style w:type="paragraph" w:styleId="Header">
    <w:name w:val="header"/>
    <w:basedOn w:val="Normal"/>
    <w:link w:val="HeaderChar"/>
    <w:uiPriority w:val="99"/>
    <w:rsid w:val="00D5694B"/>
    <w:pPr>
      <w:tabs>
        <w:tab w:val="center" w:pos="4320"/>
        <w:tab w:val="right" w:pos="8640"/>
      </w:tabs>
    </w:pPr>
  </w:style>
  <w:style w:type="character" w:customStyle="1" w:styleId="HeaderChar">
    <w:name w:val="Header Char"/>
    <w:link w:val="Header"/>
    <w:uiPriority w:val="99"/>
    <w:locked/>
    <w:rsid w:val="00D423B0"/>
    <w:rPr>
      <w:rFonts w:ascii="Arial" w:hAnsi="Arial" w:cs="Arial"/>
      <w:sz w:val="22"/>
      <w:lang w:eastAsia="en-US"/>
    </w:rPr>
  </w:style>
  <w:style w:type="paragraph" w:styleId="Footer">
    <w:name w:val="footer"/>
    <w:basedOn w:val="Normal"/>
    <w:link w:val="FooterChar"/>
    <w:uiPriority w:val="99"/>
    <w:rsid w:val="00D5694B"/>
    <w:pPr>
      <w:tabs>
        <w:tab w:val="center" w:pos="4320"/>
        <w:tab w:val="right" w:pos="8640"/>
      </w:tabs>
    </w:pPr>
  </w:style>
  <w:style w:type="character" w:customStyle="1" w:styleId="FooterChar">
    <w:name w:val="Footer Char"/>
    <w:link w:val="Footer"/>
    <w:uiPriority w:val="99"/>
    <w:locked/>
    <w:rsid w:val="00D423B0"/>
    <w:rPr>
      <w:rFonts w:ascii="Arial" w:hAnsi="Arial" w:cs="Arial"/>
      <w:sz w:val="22"/>
      <w:lang w:eastAsia="en-US"/>
    </w:rPr>
  </w:style>
  <w:style w:type="character" w:customStyle="1" w:styleId="TextHide">
    <w:name w:val="Text Hide"/>
    <w:uiPriority w:val="99"/>
    <w:rsid w:val="00D5694B"/>
    <w:rPr>
      <w:rFonts w:cs="Times New Roman"/>
    </w:rPr>
  </w:style>
  <w:style w:type="paragraph" w:customStyle="1" w:styleId="Base">
    <w:name w:val="Base"/>
    <w:link w:val="BaseChar"/>
    <w:uiPriority w:val="99"/>
    <w:rsid w:val="00382C08"/>
    <w:pPr>
      <w:spacing w:line="200" w:lineRule="atLeast"/>
    </w:pPr>
    <w:rPr>
      <w:rFonts w:ascii="Arial" w:hAnsi="Arial" w:cs="Arial"/>
      <w:sz w:val="16"/>
      <w:lang w:eastAsia="en-US"/>
    </w:rPr>
  </w:style>
  <w:style w:type="paragraph" w:customStyle="1" w:styleId="Page2Heading">
    <w:name w:val="Page 2 Heading"/>
    <w:basedOn w:val="Base"/>
    <w:uiPriority w:val="99"/>
    <w:rsid w:val="00D5694B"/>
    <w:pPr>
      <w:spacing w:line="220" w:lineRule="atLeast"/>
    </w:pPr>
    <w:rPr>
      <w:sz w:val="18"/>
    </w:rPr>
  </w:style>
  <w:style w:type="character" w:customStyle="1" w:styleId="SubjectChar">
    <w:name w:val="Subject Char"/>
    <w:link w:val="Subject"/>
    <w:uiPriority w:val="99"/>
    <w:locked/>
    <w:rsid w:val="00CC61F5"/>
    <w:rPr>
      <w:rFonts w:ascii="Arial" w:hAnsi="Arial" w:cs="Arial"/>
      <w:b/>
      <w:sz w:val="22"/>
      <w:lang w:val="en-AU" w:eastAsia="en-US" w:bidi="ar-SA"/>
    </w:rPr>
  </w:style>
  <w:style w:type="paragraph" w:customStyle="1" w:styleId="BaseBold">
    <w:name w:val="Base Bold"/>
    <w:next w:val="Base"/>
    <w:uiPriority w:val="99"/>
    <w:rsid w:val="00382C08"/>
    <w:rPr>
      <w:rFonts w:ascii="Arial" w:hAnsi="Arial" w:cs="Arial"/>
      <w:b/>
      <w:sz w:val="16"/>
      <w:lang w:eastAsia="en-US"/>
    </w:rPr>
  </w:style>
  <w:style w:type="table" w:styleId="TableGrid">
    <w:name w:val="Table Grid"/>
    <w:basedOn w:val="TableNormal"/>
    <w:uiPriority w:val="99"/>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6F648B"/>
    <w:pPr>
      <w:numPr>
        <w:ilvl w:val="4"/>
        <w:numId w:val="26"/>
      </w:numPr>
      <w:contextualSpacing/>
      <w:outlineLvl w:val="4"/>
    </w:pPr>
  </w:style>
  <w:style w:type="paragraph" w:styleId="ListBullet2">
    <w:name w:val="List Bullet 2"/>
    <w:basedOn w:val="Normal"/>
    <w:uiPriority w:val="99"/>
    <w:rsid w:val="006F648B"/>
    <w:pPr>
      <w:numPr>
        <w:ilvl w:val="5"/>
        <w:numId w:val="26"/>
      </w:numPr>
      <w:contextualSpacing/>
      <w:outlineLvl w:val="5"/>
    </w:pPr>
  </w:style>
  <w:style w:type="paragraph" w:styleId="ListBullet3">
    <w:name w:val="List Bullet 3"/>
    <w:basedOn w:val="Normal"/>
    <w:uiPriority w:val="99"/>
    <w:rsid w:val="006F648B"/>
    <w:pPr>
      <w:numPr>
        <w:ilvl w:val="6"/>
        <w:numId w:val="26"/>
      </w:numPr>
      <w:contextualSpacing/>
      <w:outlineLvl w:val="6"/>
    </w:pPr>
  </w:style>
  <w:style w:type="paragraph" w:styleId="ListBullet4">
    <w:name w:val="List Bullet 4"/>
    <w:basedOn w:val="Normal"/>
    <w:uiPriority w:val="99"/>
    <w:rsid w:val="006F648B"/>
    <w:pPr>
      <w:numPr>
        <w:ilvl w:val="7"/>
        <w:numId w:val="26"/>
      </w:numPr>
      <w:contextualSpacing/>
      <w:outlineLvl w:val="7"/>
    </w:pPr>
  </w:style>
  <w:style w:type="paragraph" w:customStyle="1" w:styleId="TableBullet1">
    <w:name w:val="Table Bullet 1"/>
    <w:basedOn w:val="Normal"/>
    <w:link w:val="TableBullet1Char"/>
    <w:uiPriority w:val="99"/>
    <w:rsid w:val="006F648B"/>
    <w:pPr>
      <w:numPr>
        <w:ilvl w:val="4"/>
        <w:numId w:val="27"/>
      </w:numPr>
      <w:spacing w:before="40" w:after="40" w:line="240" w:lineRule="auto"/>
      <w:outlineLvl w:val="4"/>
    </w:pPr>
    <w:rPr>
      <w:sz w:val="16"/>
    </w:rPr>
  </w:style>
  <w:style w:type="character" w:customStyle="1" w:styleId="TableBullet1Char">
    <w:name w:val="Table Bullet 1 Char"/>
    <w:link w:val="TableBullet1"/>
    <w:uiPriority w:val="99"/>
    <w:locked/>
    <w:rsid w:val="006F648B"/>
    <w:rPr>
      <w:rFonts w:ascii="Arial" w:hAnsi="Arial" w:cs="Arial"/>
      <w:sz w:val="16"/>
      <w:szCs w:val="20"/>
      <w:lang w:val="en-AU" w:eastAsia="en-US" w:bidi="ar-SA"/>
    </w:rPr>
  </w:style>
  <w:style w:type="paragraph" w:customStyle="1" w:styleId="TableBullet2">
    <w:name w:val="Table Bullet 2"/>
    <w:basedOn w:val="Normal"/>
    <w:link w:val="TableBullet2Char"/>
    <w:uiPriority w:val="99"/>
    <w:rsid w:val="006F648B"/>
    <w:pPr>
      <w:numPr>
        <w:ilvl w:val="5"/>
        <w:numId w:val="27"/>
      </w:numPr>
      <w:spacing w:before="40" w:after="40" w:line="240" w:lineRule="auto"/>
      <w:outlineLvl w:val="5"/>
    </w:pPr>
    <w:rPr>
      <w:sz w:val="16"/>
    </w:rPr>
  </w:style>
  <w:style w:type="character" w:customStyle="1" w:styleId="TableBullet2Char">
    <w:name w:val="Table Bullet 2 Char"/>
    <w:link w:val="TableBullet2"/>
    <w:uiPriority w:val="99"/>
    <w:locked/>
    <w:rsid w:val="006F648B"/>
    <w:rPr>
      <w:rFonts w:ascii="Arial" w:hAnsi="Arial" w:cs="Arial"/>
      <w:sz w:val="16"/>
      <w:szCs w:val="20"/>
      <w:lang w:val="en-AU" w:eastAsia="en-US" w:bidi="ar-SA"/>
    </w:rPr>
  </w:style>
  <w:style w:type="paragraph" w:customStyle="1" w:styleId="TableBullet3">
    <w:name w:val="Table Bullet 3"/>
    <w:basedOn w:val="Normal"/>
    <w:link w:val="TableBullet3Char"/>
    <w:uiPriority w:val="99"/>
    <w:rsid w:val="006F648B"/>
    <w:pPr>
      <w:numPr>
        <w:ilvl w:val="6"/>
        <w:numId w:val="27"/>
      </w:numPr>
      <w:spacing w:before="40" w:after="40" w:line="240" w:lineRule="auto"/>
      <w:outlineLvl w:val="6"/>
    </w:pPr>
    <w:rPr>
      <w:sz w:val="16"/>
    </w:rPr>
  </w:style>
  <w:style w:type="character" w:customStyle="1" w:styleId="TableBullet3Char">
    <w:name w:val="Table Bullet 3 Char"/>
    <w:link w:val="TableBullet3"/>
    <w:uiPriority w:val="99"/>
    <w:locked/>
    <w:rsid w:val="006F648B"/>
    <w:rPr>
      <w:rFonts w:ascii="Arial" w:hAnsi="Arial" w:cs="Arial"/>
      <w:sz w:val="16"/>
      <w:szCs w:val="20"/>
      <w:lang w:val="en-AU" w:eastAsia="en-US" w:bidi="ar-SA"/>
    </w:rPr>
  </w:style>
  <w:style w:type="paragraph" w:customStyle="1" w:styleId="TableBullet4">
    <w:name w:val="Table Bullet 4"/>
    <w:basedOn w:val="Normal"/>
    <w:link w:val="TableBullet4Char"/>
    <w:uiPriority w:val="99"/>
    <w:rsid w:val="006F648B"/>
    <w:pPr>
      <w:numPr>
        <w:ilvl w:val="7"/>
        <w:numId w:val="27"/>
      </w:numPr>
      <w:spacing w:before="40" w:after="40" w:line="240" w:lineRule="auto"/>
      <w:outlineLvl w:val="7"/>
    </w:pPr>
    <w:rPr>
      <w:sz w:val="16"/>
    </w:rPr>
  </w:style>
  <w:style w:type="character" w:customStyle="1" w:styleId="TableBullet4Char">
    <w:name w:val="Table Bullet 4 Char"/>
    <w:link w:val="TableBullet4"/>
    <w:uiPriority w:val="99"/>
    <w:locked/>
    <w:rsid w:val="006F648B"/>
    <w:rPr>
      <w:rFonts w:ascii="Arial" w:hAnsi="Arial" w:cs="Arial"/>
      <w:sz w:val="16"/>
      <w:szCs w:val="20"/>
      <w:lang w:val="en-AU" w:eastAsia="en-US" w:bidi="ar-SA"/>
    </w:rPr>
  </w:style>
  <w:style w:type="paragraph" w:styleId="ListNumber">
    <w:name w:val="List Number"/>
    <w:basedOn w:val="Normal"/>
    <w:uiPriority w:val="99"/>
    <w:rsid w:val="006F648B"/>
    <w:pPr>
      <w:numPr>
        <w:ilvl w:val="5"/>
        <w:numId w:val="28"/>
      </w:numPr>
      <w:contextualSpacing/>
      <w:outlineLvl w:val="5"/>
    </w:pPr>
  </w:style>
  <w:style w:type="paragraph" w:styleId="ListNumber2">
    <w:name w:val="List Number 2"/>
    <w:basedOn w:val="Normal"/>
    <w:uiPriority w:val="99"/>
    <w:rsid w:val="006F648B"/>
    <w:pPr>
      <w:numPr>
        <w:ilvl w:val="6"/>
        <w:numId w:val="28"/>
      </w:numPr>
      <w:contextualSpacing/>
      <w:outlineLvl w:val="6"/>
    </w:pPr>
  </w:style>
  <w:style w:type="paragraph" w:styleId="ListNumber3">
    <w:name w:val="List Number 3"/>
    <w:basedOn w:val="Normal"/>
    <w:uiPriority w:val="99"/>
    <w:rsid w:val="006F648B"/>
    <w:pPr>
      <w:numPr>
        <w:ilvl w:val="7"/>
        <w:numId w:val="28"/>
      </w:numPr>
      <w:contextualSpacing/>
      <w:outlineLvl w:val="7"/>
    </w:pPr>
  </w:style>
  <w:style w:type="paragraph" w:styleId="ListNumber4">
    <w:name w:val="List Number 4"/>
    <w:basedOn w:val="Normal"/>
    <w:uiPriority w:val="99"/>
    <w:rsid w:val="006F648B"/>
    <w:pPr>
      <w:numPr>
        <w:ilvl w:val="8"/>
        <w:numId w:val="28"/>
      </w:numPr>
      <w:contextualSpacing/>
      <w:outlineLvl w:val="8"/>
    </w:pPr>
  </w:style>
  <w:style w:type="paragraph" w:customStyle="1" w:styleId="NormalIndent1">
    <w:name w:val="Normal Indent 1"/>
    <w:basedOn w:val="Normal"/>
    <w:link w:val="NormalIndent1Char"/>
    <w:uiPriority w:val="99"/>
    <w:rsid w:val="006F648B"/>
    <w:pPr>
      <w:ind w:left="360"/>
    </w:pPr>
  </w:style>
  <w:style w:type="character" w:customStyle="1" w:styleId="NormalIndent1Char">
    <w:name w:val="Normal Indent 1 Char"/>
    <w:link w:val="NormalIndent1"/>
    <w:uiPriority w:val="99"/>
    <w:locked/>
    <w:rsid w:val="006F648B"/>
    <w:rPr>
      <w:rFonts w:ascii="Arial" w:hAnsi="Arial" w:cs="Arial"/>
      <w:sz w:val="22"/>
      <w:lang w:val="en-AU" w:eastAsia="en-US" w:bidi="ar-SA"/>
    </w:rPr>
  </w:style>
  <w:style w:type="paragraph" w:customStyle="1" w:styleId="NormalIndent2">
    <w:name w:val="Normal Indent 2"/>
    <w:basedOn w:val="Normal"/>
    <w:link w:val="NormalIndent2Char"/>
    <w:uiPriority w:val="99"/>
    <w:rsid w:val="006F648B"/>
    <w:pPr>
      <w:ind w:left="720"/>
    </w:pPr>
  </w:style>
  <w:style w:type="character" w:customStyle="1" w:styleId="NormalIndent2Char">
    <w:name w:val="Normal Indent 2 Char"/>
    <w:link w:val="NormalIndent2"/>
    <w:uiPriority w:val="99"/>
    <w:locked/>
    <w:rsid w:val="006F648B"/>
    <w:rPr>
      <w:rFonts w:ascii="Arial" w:hAnsi="Arial" w:cs="Arial"/>
      <w:sz w:val="22"/>
      <w:lang w:val="en-AU" w:eastAsia="en-US" w:bidi="ar-SA"/>
    </w:rPr>
  </w:style>
  <w:style w:type="paragraph" w:customStyle="1" w:styleId="NormalIndent3">
    <w:name w:val="Normal Indent 3"/>
    <w:basedOn w:val="Normal"/>
    <w:link w:val="NormalIndent3Char"/>
    <w:uiPriority w:val="99"/>
    <w:rsid w:val="006F648B"/>
    <w:pPr>
      <w:ind w:left="1080"/>
    </w:pPr>
  </w:style>
  <w:style w:type="character" w:customStyle="1" w:styleId="NormalIndent3Char">
    <w:name w:val="Normal Indent 3 Char"/>
    <w:link w:val="NormalIndent3"/>
    <w:uiPriority w:val="99"/>
    <w:locked/>
    <w:rsid w:val="006F648B"/>
    <w:rPr>
      <w:rFonts w:ascii="Arial" w:hAnsi="Arial" w:cs="Arial"/>
      <w:sz w:val="22"/>
      <w:lang w:val="en-AU" w:eastAsia="en-US" w:bidi="ar-SA"/>
    </w:rPr>
  </w:style>
  <w:style w:type="paragraph" w:customStyle="1" w:styleId="NormalIndent4">
    <w:name w:val="Normal Indent 4"/>
    <w:basedOn w:val="Normal"/>
    <w:link w:val="NormalIndent4Char"/>
    <w:uiPriority w:val="99"/>
    <w:rsid w:val="006F648B"/>
    <w:pPr>
      <w:ind w:left="1440"/>
    </w:pPr>
  </w:style>
  <w:style w:type="character" w:customStyle="1" w:styleId="NormalIndent4Char">
    <w:name w:val="Normal Indent 4 Char"/>
    <w:link w:val="NormalIndent4"/>
    <w:uiPriority w:val="99"/>
    <w:locked/>
    <w:rsid w:val="006F648B"/>
    <w:rPr>
      <w:rFonts w:ascii="Arial" w:hAnsi="Arial" w:cs="Arial"/>
      <w:sz w:val="22"/>
      <w:lang w:val="en-AU" w:eastAsia="en-US" w:bidi="ar-SA"/>
    </w:rPr>
  </w:style>
  <w:style w:type="paragraph" w:customStyle="1" w:styleId="TableHeadingText">
    <w:name w:val="Table Heading Text"/>
    <w:basedOn w:val="Normal"/>
    <w:link w:val="TableHeadingTextChar"/>
    <w:uiPriority w:val="99"/>
    <w:rsid w:val="006F648B"/>
    <w:pPr>
      <w:keepNext/>
      <w:spacing w:before="40" w:after="40" w:line="240" w:lineRule="auto"/>
    </w:pPr>
    <w:rPr>
      <w:b/>
      <w:sz w:val="18"/>
    </w:rPr>
  </w:style>
  <w:style w:type="character" w:customStyle="1" w:styleId="TableHeadingTextChar">
    <w:name w:val="Table Heading Text Char"/>
    <w:link w:val="TableHeadingText"/>
    <w:uiPriority w:val="99"/>
    <w:locked/>
    <w:rsid w:val="006F648B"/>
    <w:rPr>
      <w:rFonts w:ascii="Arial" w:hAnsi="Arial" w:cs="Arial"/>
      <w:b/>
      <w:sz w:val="18"/>
      <w:lang w:val="en-AU" w:eastAsia="en-US" w:bidi="ar-SA"/>
    </w:rPr>
  </w:style>
  <w:style w:type="paragraph" w:customStyle="1" w:styleId="TableText">
    <w:name w:val="Table Text"/>
    <w:basedOn w:val="Normal"/>
    <w:link w:val="TableTextChar"/>
    <w:uiPriority w:val="99"/>
    <w:rsid w:val="006F648B"/>
    <w:pPr>
      <w:spacing w:before="40" w:after="40" w:line="240" w:lineRule="auto"/>
    </w:pPr>
    <w:rPr>
      <w:sz w:val="16"/>
    </w:rPr>
  </w:style>
  <w:style w:type="character" w:customStyle="1" w:styleId="TableTextChar">
    <w:name w:val="Table Text Char"/>
    <w:link w:val="TableText"/>
    <w:uiPriority w:val="99"/>
    <w:locked/>
    <w:rsid w:val="006F648B"/>
    <w:rPr>
      <w:rFonts w:ascii="Arial" w:hAnsi="Arial" w:cs="Arial"/>
      <w:sz w:val="16"/>
      <w:lang w:val="en-AU" w:eastAsia="en-US" w:bidi="ar-SA"/>
    </w:rPr>
  </w:style>
  <w:style w:type="paragraph" w:customStyle="1" w:styleId="EmployeesName">
    <w:name w:val="Employee's Name"/>
    <w:basedOn w:val="Base"/>
    <w:link w:val="EmployeesNameChar"/>
    <w:uiPriority w:val="99"/>
    <w:rsid w:val="006F648B"/>
    <w:pPr>
      <w:spacing w:line="180" w:lineRule="atLeast"/>
      <w:ind w:left="6316"/>
    </w:pPr>
    <w:rPr>
      <w:b/>
    </w:rPr>
  </w:style>
  <w:style w:type="character" w:customStyle="1" w:styleId="EmployeesNameChar">
    <w:name w:val="Employee's Name Char"/>
    <w:link w:val="EmployeesName"/>
    <w:uiPriority w:val="99"/>
    <w:locked/>
    <w:rsid w:val="006F648B"/>
    <w:rPr>
      <w:rFonts w:ascii="Arial" w:hAnsi="Arial" w:cs="Arial"/>
      <w:b/>
      <w:sz w:val="16"/>
      <w:lang w:val="en-AU" w:eastAsia="en-US" w:bidi="ar-SA"/>
    </w:rPr>
  </w:style>
  <w:style w:type="paragraph" w:styleId="ListParagraph">
    <w:name w:val="List Paragraph"/>
    <w:basedOn w:val="Normal"/>
    <w:link w:val="ListParagraphChar"/>
    <w:uiPriority w:val="99"/>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uiPriority w:val="99"/>
    <w:rsid w:val="006F648B"/>
    <w:pPr>
      <w:spacing w:line="240" w:lineRule="auto"/>
    </w:pPr>
    <w:rPr>
      <w:rFonts w:ascii="Tahoma" w:hAnsi="Tahoma" w:cs="Tahoma"/>
      <w:sz w:val="16"/>
      <w:szCs w:val="16"/>
    </w:rPr>
  </w:style>
  <w:style w:type="character" w:customStyle="1" w:styleId="BalloonTextChar">
    <w:name w:val="Balloon Text Char"/>
    <w:link w:val="BalloonText"/>
    <w:uiPriority w:val="99"/>
    <w:locked/>
    <w:rsid w:val="006F648B"/>
    <w:rPr>
      <w:rFonts w:ascii="Tahoma" w:hAnsi="Tahoma" w:cs="Tahoma"/>
      <w:sz w:val="16"/>
      <w:szCs w:val="16"/>
      <w:lang w:eastAsia="en-US"/>
    </w:rPr>
  </w:style>
  <w:style w:type="paragraph" w:styleId="FootnoteText">
    <w:name w:val="footnote text"/>
    <w:basedOn w:val="Normal"/>
    <w:link w:val="FootnoteTextChar"/>
    <w:uiPriority w:val="99"/>
    <w:rsid w:val="00BA683D"/>
    <w:pPr>
      <w:spacing w:line="240" w:lineRule="auto"/>
    </w:pPr>
    <w:rPr>
      <w:rFonts w:ascii="Calibri" w:hAnsi="Calibri" w:cs="Times New Roman"/>
      <w:sz w:val="20"/>
    </w:rPr>
  </w:style>
  <w:style w:type="character" w:customStyle="1" w:styleId="FootnoteTextChar">
    <w:name w:val="Footnote Text Char"/>
    <w:link w:val="FootnoteText"/>
    <w:uiPriority w:val="99"/>
    <w:locked/>
    <w:rsid w:val="00BA683D"/>
    <w:rPr>
      <w:rFonts w:ascii="Calibri" w:hAnsi="Calibri" w:cs="Times New Roman"/>
      <w:lang w:eastAsia="en-US"/>
    </w:rPr>
  </w:style>
  <w:style w:type="character" w:styleId="FootnoteReference">
    <w:name w:val="footnote reference"/>
    <w:uiPriority w:val="99"/>
    <w:rsid w:val="00BA683D"/>
    <w:rPr>
      <w:rFonts w:cs="Times New Roman"/>
      <w:vertAlign w:val="superscript"/>
    </w:rPr>
  </w:style>
  <w:style w:type="character" w:styleId="Hyperlink">
    <w:name w:val="Hyperlink"/>
    <w:uiPriority w:val="99"/>
    <w:rsid w:val="00864328"/>
    <w:rPr>
      <w:rFonts w:cs="Times New Roman"/>
      <w:color w:val="0000FF"/>
      <w:u w:val="single"/>
    </w:rPr>
  </w:style>
  <w:style w:type="paragraph" w:customStyle="1" w:styleId="MPDBody">
    <w:name w:val="MPD_Body"/>
    <w:uiPriority w:val="99"/>
    <w:rsid w:val="00C03676"/>
    <w:pPr>
      <w:spacing w:after="80" w:line="220" w:lineRule="atLeast"/>
    </w:pPr>
    <w:rPr>
      <w:rFonts w:ascii="Arial" w:hAnsi="Arial"/>
      <w:sz w:val="18"/>
      <w:szCs w:val="22"/>
      <w:lang w:eastAsia="en-US"/>
    </w:rPr>
  </w:style>
  <w:style w:type="character" w:styleId="CommentReference">
    <w:name w:val="annotation reference"/>
    <w:uiPriority w:val="99"/>
    <w:rsid w:val="00B65DDB"/>
    <w:rPr>
      <w:rFonts w:cs="Times New Roman"/>
      <w:sz w:val="16"/>
      <w:szCs w:val="16"/>
    </w:rPr>
  </w:style>
  <w:style w:type="paragraph" w:styleId="CommentText">
    <w:name w:val="annotation text"/>
    <w:basedOn w:val="Normal"/>
    <w:link w:val="CommentTextChar"/>
    <w:uiPriority w:val="99"/>
    <w:rsid w:val="00B65DDB"/>
    <w:pPr>
      <w:spacing w:after="200" w:line="240" w:lineRule="auto"/>
    </w:pPr>
    <w:rPr>
      <w:rFonts w:ascii="Calibri" w:hAnsi="Calibri" w:cs="Times New Roman"/>
      <w:sz w:val="20"/>
    </w:rPr>
  </w:style>
  <w:style w:type="character" w:customStyle="1" w:styleId="CommentTextChar">
    <w:name w:val="Comment Text Char"/>
    <w:link w:val="CommentText"/>
    <w:uiPriority w:val="99"/>
    <w:locked/>
    <w:rsid w:val="00B65DDB"/>
    <w:rPr>
      <w:rFonts w:ascii="Calibri" w:hAnsi="Calibri" w:cs="Times New Roman"/>
      <w:lang w:eastAsia="en-US"/>
    </w:rPr>
  </w:style>
  <w:style w:type="paragraph" w:styleId="CommentSubject">
    <w:name w:val="annotation subject"/>
    <w:basedOn w:val="CommentText"/>
    <w:next w:val="CommentText"/>
    <w:link w:val="CommentSubjectChar"/>
    <w:uiPriority w:val="99"/>
    <w:rsid w:val="00B11343"/>
    <w:pPr>
      <w:spacing w:after="0"/>
    </w:pPr>
    <w:rPr>
      <w:rFonts w:ascii="Arial" w:hAnsi="Arial" w:cs="Arial"/>
      <w:b/>
      <w:bCs/>
    </w:rPr>
  </w:style>
  <w:style w:type="character" w:customStyle="1" w:styleId="CommentSubjectChar">
    <w:name w:val="Comment Subject Char"/>
    <w:link w:val="CommentSubject"/>
    <w:uiPriority w:val="99"/>
    <w:locked/>
    <w:rsid w:val="00B11343"/>
    <w:rPr>
      <w:rFonts w:ascii="Arial" w:hAnsi="Arial" w:cs="Arial"/>
      <w:b/>
      <w:bCs/>
      <w:lang w:eastAsia="en-US"/>
    </w:rPr>
  </w:style>
  <w:style w:type="paragraph" w:customStyle="1" w:styleId="TableBodyText">
    <w:name w:val="Table Body Text"/>
    <w:basedOn w:val="BodyText"/>
    <w:uiPriority w:val="99"/>
    <w:rsid w:val="00674A1C"/>
    <w:pPr>
      <w:keepNext/>
      <w:keepLines/>
      <w:spacing w:after="40" w:line="200" w:lineRule="atLeast"/>
      <w:ind w:left="6" w:right="113"/>
      <w:jc w:val="right"/>
    </w:pPr>
    <w:rPr>
      <w:rFonts w:cs="Times New Roman"/>
      <w:sz w:val="18"/>
      <w:lang w:eastAsia="en-AU"/>
    </w:rPr>
  </w:style>
  <w:style w:type="paragraph" w:styleId="BodyText">
    <w:name w:val="Body Text"/>
    <w:basedOn w:val="Normal"/>
    <w:link w:val="BodyTextChar"/>
    <w:uiPriority w:val="99"/>
    <w:rsid w:val="00674A1C"/>
    <w:pPr>
      <w:spacing w:after="120"/>
    </w:pPr>
  </w:style>
  <w:style w:type="character" w:customStyle="1" w:styleId="BodyTextChar">
    <w:name w:val="Body Text Char"/>
    <w:link w:val="BodyText"/>
    <w:uiPriority w:val="99"/>
    <w:locked/>
    <w:rsid w:val="00674A1C"/>
    <w:rPr>
      <w:rFonts w:ascii="Arial" w:hAnsi="Arial" w:cs="Arial"/>
      <w:sz w:val="22"/>
      <w:lang w:eastAsia="en-US"/>
    </w:rPr>
  </w:style>
  <w:style w:type="character" w:styleId="PageNumber">
    <w:name w:val="page number"/>
    <w:uiPriority w:val="99"/>
    <w:rsid w:val="00D423B0"/>
    <w:rPr>
      <w:rFonts w:ascii="Arial" w:hAnsi="Arial" w:cs="Times New Roman"/>
      <w:b/>
      <w:sz w:val="16"/>
    </w:rPr>
  </w:style>
  <w:style w:type="paragraph" w:customStyle="1" w:styleId="Box">
    <w:name w:val="Box"/>
    <w:basedOn w:val="BodyText"/>
    <w:uiPriority w:val="99"/>
    <w:rsid w:val="00D423B0"/>
    <w:pPr>
      <w:keepNext/>
      <w:spacing w:before="120" w:after="0"/>
      <w:jc w:val="both"/>
    </w:pPr>
    <w:rPr>
      <w:rFonts w:cs="Times New Roman"/>
      <w:sz w:val="20"/>
      <w:lang w:eastAsia="en-AU"/>
    </w:rPr>
  </w:style>
  <w:style w:type="paragraph" w:customStyle="1" w:styleId="Note">
    <w:name w:val="Note"/>
    <w:basedOn w:val="BodyText"/>
    <w:next w:val="BodyText"/>
    <w:uiPriority w:val="99"/>
    <w:rsid w:val="00D423B0"/>
    <w:pPr>
      <w:keepLines/>
      <w:spacing w:before="80" w:after="0" w:line="220" w:lineRule="exact"/>
      <w:jc w:val="both"/>
    </w:pPr>
    <w:rPr>
      <w:rFonts w:cs="Times New Roman"/>
      <w:sz w:val="18"/>
      <w:lang w:eastAsia="en-AU"/>
    </w:rPr>
  </w:style>
  <w:style w:type="paragraph" w:customStyle="1" w:styleId="BoxSpaceAbove">
    <w:name w:val="Box Space Above"/>
    <w:basedOn w:val="BodyText"/>
    <w:uiPriority w:val="99"/>
    <w:rsid w:val="00D423B0"/>
    <w:pPr>
      <w:keepNext/>
      <w:spacing w:before="360" w:after="0" w:line="80" w:lineRule="exact"/>
    </w:pPr>
    <w:rPr>
      <w:rFonts w:ascii="Times New Roman" w:hAnsi="Times New Roman" w:cs="Times New Roman"/>
      <w:sz w:val="24"/>
      <w:lang w:eastAsia="en-AU"/>
    </w:rPr>
  </w:style>
  <w:style w:type="paragraph" w:customStyle="1" w:styleId="Continued">
    <w:name w:val="Continued"/>
    <w:basedOn w:val="Normal"/>
    <w:next w:val="BodyText"/>
    <w:uiPriority w:val="99"/>
    <w:rsid w:val="00D423B0"/>
    <w:pPr>
      <w:spacing w:before="180" w:line="220" w:lineRule="exact"/>
      <w:jc w:val="right"/>
    </w:pPr>
    <w:rPr>
      <w:rFonts w:cs="Times New Roman"/>
      <w:sz w:val="18"/>
      <w:lang w:eastAsia="en-AU"/>
    </w:rPr>
  </w:style>
  <w:style w:type="character" w:customStyle="1" w:styleId="NoteLabel">
    <w:name w:val="Note Label"/>
    <w:uiPriority w:val="99"/>
    <w:rsid w:val="00D423B0"/>
    <w:rPr>
      <w:rFonts w:ascii="Arial" w:hAnsi="Arial" w:cs="Times New Roman"/>
      <w:b/>
      <w:position w:val="6"/>
      <w:sz w:val="18"/>
    </w:rPr>
  </w:style>
  <w:style w:type="paragraph" w:customStyle="1" w:styleId="TableBullet">
    <w:name w:val="Table Bullet"/>
    <w:basedOn w:val="TableBodyText"/>
    <w:uiPriority w:val="99"/>
    <w:rsid w:val="00D423B0"/>
    <w:pPr>
      <w:numPr>
        <w:numId w:val="34"/>
      </w:numPr>
      <w:jc w:val="left"/>
    </w:pPr>
  </w:style>
  <w:style w:type="paragraph" w:customStyle="1" w:styleId="TableColumnHeading">
    <w:name w:val="Table Column Heading"/>
    <w:basedOn w:val="TableBodyText"/>
    <w:uiPriority w:val="99"/>
    <w:rsid w:val="00D423B0"/>
    <w:pPr>
      <w:spacing w:before="80" w:after="80"/>
    </w:pPr>
    <w:rPr>
      <w:i/>
    </w:rPr>
  </w:style>
  <w:style w:type="paragraph" w:customStyle="1" w:styleId="TableTitle">
    <w:name w:val="Table Title"/>
    <w:basedOn w:val="Caption"/>
    <w:next w:val="Subtitle"/>
    <w:link w:val="TableTitleChar"/>
    <w:uiPriority w:val="99"/>
    <w:rsid w:val="00D423B0"/>
    <w:pPr>
      <w:keepNext/>
      <w:keepLines/>
      <w:spacing w:before="120" w:after="80" w:line="280" w:lineRule="exact"/>
      <w:ind w:left="1474" w:hanging="1474"/>
    </w:pPr>
    <w:rPr>
      <w:rFonts w:cs="Times New Roman"/>
      <w:bCs w:val="0"/>
      <w:color w:val="auto"/>
      <w:sz w:val="24"/>
      <w:szCs w:val="24"/>
      <w:lang w:eastAsia="en-AU"/>
    </w:rPr>
  </w:style>
  <w:style w:type="paragraph" w:customStyle="1" w:styleId="TableUnitsRow">
    <w:name w:val="Table Units Row"/>
    <w:basedOn w:val="TableBodyText"/>
    <w:uiPriority w:val="99"/>
    <w:rsid w:val="00D423B0"/>
    <w:pPr>
      <w:spacing w:before="40"/>
    </w:pPr>
  </w:style>
  <w:style w:type="paragraph" w:customStyle="1" w:styleId="BoxSpaceBelow">
    <w:name w:val="Box Space Below"/>
    <w:basedOn w:val="Box"/>
    <w:uiPriority w:val="99"/>
    <w:rsid w:val="00D423B0"/>
    <w:pPr>
      <w:keepNext w:val="0"/>
      <w:spacing w:before="60" w:after="60" w:line="80" w:lineRule="exact"/>
    </w:pPr>
    <w:rPr>
      <w:sz w:val="14"/>
    </w:rPr>
  </w:style>
  <w:style w:type="paragraph" w:customStyle="1" w:styleId="SuperObjectiveBullet">
    <w:name w:val="SuperObjectiveBullet"/>
    <w:basedOn w:val="TableBullet"/>
    <w:uiPriority w:val="99"/>
    <w:rsid w:val="00D423B0"/>
    <w:pPr>
      <w:spacing w:before="40"/>
      <w:ind w:left="283"/>
    </w:pPr>
    <w:rPr>
      <w:b/>
    </w:rPr>
  </w:style>
  <w:style w:type="paragraph" w:customStyle="1" w:styleId="SuperObjective">
    <w:name w:val="SuperObjective"/>
    <w:basedOn w:val="TableBodyText"/>
    <w:uiPriority w:val="99"/>
    <w:rsid w:val="00D423B0"/>
    <w:pPr>
      <w:spacing w:before="40"/>
      <w:ind w:left="113"/>
      <w:jc w:val="left"/>
    </w:pPr>
    <w:rPr>
      <w:b/>
    </w:rPr>
  </w:style>
  <w:style w:type="character" w:customStyle="1" w:styleId="TableTitleChar">
    <w:name w:val="Table Title Char"/>
    <w:link w:val="TableTitle"/>
    <w:uiPriority w:val="99"/>
    <w:locked/>
    <w:rsid w:val="00D423B0"/>
    <w:rPr>
      <w:rFonts w:ascii="Arial" w:hAnsi="Arial" w:cs="Times New Roman"/>
      <w:b/>
      <w:sz w:val="24"/>
      <w:szCs w:val="24"/>
    </w:rPr>
  </w:style>
  <w:style w:type="paragraph" w:styleId="Caption">
    <w:name w:val="caption"/>
    <w:basedOn w:val="Normal"/>
    <w:next w:val="Normal"/>
    <w:uiPriority w:val="99"/>
    <w:qFormat/>
    <w:rsid w:val="00D423B0"/>
    <w:pPr>
      <w:spacing w:after="200" w:line="240" w:lineRule="auto"/>
    </w:pPr>
    <w:rPr>
      <w:b/>
      <w:bCs/>
      <w:color w:val="4F81BD"/>
      <w:sz w:val="18"/>
      <w:szCs w:val="18"/>
    </w:rPr>
  </w:style>
  <w:style w:type="paragraph" w:styleId="Subtitle">
    <w:name w:val="Subtitle"/>
    <w:basedOn w:val="Normal"/>
    <w:next w:val="Normal"/>
    <w:link w:val="SubtitleChar"/>
    <w:uiPriority w:val="99"/>
    <w:qFormat/>
    <w:rsid w:val="00D423B0"/>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99"/>
    <w:locked/>
    <w:rsid w:val="00D423B0"/>
    <w:rPr>
      <w:rFonts w:ascii="Cambria" w:hAnsi="Cambria" w:cs="Times New Roman"/>
      <w:i/>
      <w:iCs/>
      <w:color w:val="4F81BD"/>
      <w:spacing w:val="15"/>
      <w:sz w:val="24"/>
      <w:szCs w:val="24"/>
      <w:lang w:eastAsia="en-US"/>
    </w:rPr>
  </w:style>
  <w:style w:type="paragraph" w:customStyle="1" w:styleId="Default">
    <w:name w:val="Default"/>
    <w:uiPriority w:val="99"/>
    <w:rsid w:val="00F772E4"/>
    <w:pPr>
      <w:autoSpaceDE w:val="0"/>
      <w:autoSpaceDN w:val="0"/>
      <w:adjustRightInd w:val="0"/>
    </w:pPr>
    <w:rPr>
      <w:color w:val="000000"/>
      <w:sz w:val="24"/>
      <w:szCs w:val="24"/>
      <w:lang w:eastAsia="en-US"/>
    </w:rPr>
  </w:style>
  <w:style w:type="character" w:customStyle="1" w:styleId="ListParagraphChar">
    <w:name w:val="List Paragraph Char"/>
    <w:link w:val="ListParagraph"/>
    <w:uiPriority w:val="99"/>
    <w:locked/>
    <w:rsid w:val="00540179"/>
    <w:rPr>
      <w:rFonts w:ascii="Calibri" w:hAnsi="Calibri" w:cs="Times New Roman"/>
      <w:sz w:val="22"/>
      <w:szCs w:val="22"/>
      <w:lang w:eastAsia="en-US"/>
    </w:rPr>
  </w:style>
  <w:style w:type="paragraph" w:styleId="Revision">
    <w:name w:val="Revision"/>
    <w:hidden/>
    <w:uiPriority w:val="99"/>
    <w:semiHidden/>
    <w:rsid w:val="00B91FB8"/>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lock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5694B"/>
    <w:pPr>
      <w:spacing w:line="260" w:lineRule="atLeast"/>
    </w:pPr>
    <w:rPr>
      <w:rFonts w:ascii="Arial" w:hAnsi="Arial" w:cs="Arial"/>
      <w:sz w:val="22"/>
      <w:lang w:eastAsia="en-US"/>
    </w:rPr>
  </w:style>
  <w:style w:type="paragraph" w:styleId="Heading1">
    <w:name w:val="heading 1"/>
    <w:basedOn w:val="Normal"/>
    <w:next w:val="Normal"/>
    <w:link w:val="Heading1Char"/>
    <w:uiPriority w:val="99"/>
    <w:qFormat/>
    <w:rsid w:val="006F648B"/>
    <w:pPr>
      <w:keepNext/>
      <w:tabs>
        <w:tab w:val="num" w:pos="0"/>
      </w:tabs>
      <w:spacing w:line="240" w:lineRule="auto"/>
      <w:outlineLvl w:val="0"/>
    </w:pPr>
    <w:rPr>
      <w:b/>
      <w:sz w:val="28"/>
    </w:rPr>
  </w:style>
  <w:style w:type="paragraph" w:styleId="Heading2">
    <w:name w:val="heading 2"/>
    <w:basedOn w:val="Normal"/>
    <w:next w:val="Normal"/>
    <w:link w:val="Heading2Char"/>
    <w:uiPriority w:val="99"/>
    <w:qFormat/>
    <w:rsid w:val="006F648B"/>
    <w:pPr>
      <w:keepNext/>
      <w:numPr>
        <w:ilvl w:val="1"/>
        <w:numId w:val="1"/>
      </w:numPr>
      <w:tabs>
        <w:tab w:val="clear" w:pos="360"/>
        <w:tab w:val="num" w:pos="0"/>
      </w:tabs>
      <w:spacing w:line="240" w:lineRule="auto"/>
      <w:ind w:left="0" w:firstLine="0"/>
      <w:outlineLvl w:val="1"/>
    </w:pPr>
    <w:rPr>
      <w:b/>
      <w:sz w:val="24"/>
    </w:rPr>
  </w:style>
  <w:style w:type="paragraph" w:styleId="Heading3">
    <w:name w:val="heading 3"/>
    <w:basedOn w:val="Normal"/>
    <w:next w:val="Normal"/>
    <w:link w:val="Heading3Char"/>
    <w:uiPriority w:val="99"/>
    <w:qFormat/>
    <w:rsid w:val="006F648B"/>
    <w:pPr>
      <w:keepNext/>
      <w:numPr>
        <w:ilvl w:val="2"/>
        <w:numId w:val="1"/>
      </w:numPr>
      <w:tabs>
        <w:tab w:val="clear" w:pos="360"/>
        <w:tab w:val="num" w:pos="0"/>
      </w:tabs>
      <w:spacing w:line="240" w:lineRule="auto"/>
      <w:ind w:left="0" w:firstLine="0"/>
      <w:outlineLvl w:val="2"/>
    </w:pPr>
    <w:rPr>
      <w:b/>
      <w:i/>
      <w:sz w:val="24"/>
    </w:rPr>
  </w:style>
  <w:style w:type="paragraph" w:styleId="Heading4">
    <w:name w:val="heading 4"/>
    <w:basedOn w:val="Normal"/>
    <w:next w:val="Normal"/>
    <w:link w:val="Heading4Char"/>
    <w:uiPriority w:val="99"/>
    <w:qFormat/>
    <w:rsid w:val="006F648B"/>
    <w:pPr>
      <w:keepNext/>
      <w:numPr>
        <w:ilvl w:val="3"/>
        <w:numId w:val="1"/>
      </w:numPr>
      <w:tabs>
        <w:tab w:val="clear" w:pos="360"/>
        <w:tab w:val="num" w:pos="0"/>
      </w:tabs>
      <w:spacing w:line="240" w:lineRule="auto"/>
      <w:ind w:left="0" w:firstLine="0"/>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Arial" w:hAnsi="Arial" w:cs="Arial"/>
      <w:b/>
      <w:sz w:val="28"/>
      <w:szCs w:val="20"/>
      <w:lang w:val="en-AU"/>
    </w:rPr>
  </w:style>
  <w:style w:type="character" w:customStyle="1" w:styleId="Heading2Char">
    <w:name w:val="Heading 2 Char"/>
    <w:link w:val="Heading2"/>
    <w:uiPriority w:val="99"/>
    <w:semiHidden/>
    <w:locked/>
    <w:rPr>
      <w:rFonts w:ascii="Cambria" w:hAnsi="Cambria" w:cs="Times New Roman"/>
      <w:b/>
      <w:bCs/>
      <w:i/>
      <w:iCs/>
      <w:sz w:val="28"/>
      <w:szCs w:val="28"/>
      <w:lang w:val="en-AU"/>
    </w:rPr>
  </w:style>
  <w:style w:type="character" w:customStyle="1" w:styleId="Heading3Char">
    <w:name w:val="Heading 3 Char"/>
    <w:link w:val="Heading3"/>
    <w:uiPriority w:val="99"/>
    <w:semiHidden/>
    <w:locked/>
    <w:rPr>
      <w:rFonts w:ascii="Cambria" w:hAnsi="Cambria" w:cs="Times New Roman"/>
      <w:b/>
      <w:bCs/>
      <w:sz w:val="26"/>
      <w:szCs w:val="26"/>
      <w:lang w:val="en-AU"/>
    </w:rPr>
  </w:style>
  <w:style w:type="character" w:customStyle="1" w:styleId="Heading4Char">
    <w:name w:val="Heading 4 Char"/>
    <w:link w:val="Heading4"/>
    <w:uiPriority w:val="99"/>
    <w:semiHidden/>
    <w:locked/>
    <w:rPr>
      <w:rFonts w:ascii="Calibri" w:hAnsi="Calibri" w:cs="Times New Roman"/>
      <w:b/>
      <w:bCs/>
      <w:sz w:val="28"/>
      <w:szCs w:val="28"/>
      <w:lang w:val="en-AU"/>
    </w:rPr>
  </w:style>
  <w:style w:type="paragraph" w:customStyle="1" w:styleId="Legalcopy">
    <w:name w:val="Legal copy"/>
    <w:basedOn w:val="Base"/>
    <w:uiPriority w:val="99"/>
    <w:rsid w:val="00D5694B"/>
    <w:pPr>
      <w:spacing w:line="140" w:lineRule="atLeast"/>
    </w:pPr>
    <w:rPr>
      <w:sz w:val="12"/>
    </w:rPr>
  </w:style>
  <w:style w:type="paragraph" w:customStyle="1" w:styleId="TableLogoText">
    <w:name w:val="Table Logo Text"/>
    <w:basedOn w:val="Base"/>
    <w:uiPriority w:val="99"/>
    <w:rsid w:val="00D5694B"/>
    <w:pPr>
      <w:spacing w:line="240" w:lineRule="auto"/>
    </w:pPr>
    <w:rPr>
      <w:position w:val="-4"/>
      <w:sz w:val="24"/>
    </w:rPr>
  </w:style>
  <w:style w:type="paragraph" w:customStyle="1" w:styleId="AddressBlock">
    <w:name w:val="Address Block"/>
    <w:basedOn w:val="Base"/>
    <w:uiPriority w:val="99"/>
    <w:rsid w:val="00512898"/>
    <w:pPr>
      <w:spacing w:line="180" w:lineRule="atLeast"/>
      <w:ind w:left="6316"/>
    </w:pPr>
  </w:style>
  <w:style w:type="paragraph" w:customStyle="1" w:styleId="LogoHide">
    <w:name w:val="Logo Hide"/>
    <w:basedOn w:val="Base"/>
    <w:next w:val="Base"/>
    <w:uiPriority w:val="99"/>
    <w:rsid w:val="00D5694B"/>
    <w:pPr>
      <w:spacing w:line="20" w:lineRule="exact"/>
    </w:pPr>
    <w:rPr>
      <w:noProof/>
      <w:sz w:val="2"/>
    </w:rPr>
  </w:style>
  <w:style w:type="paragraph" w:customStyle="1" w:styleId="LogoHide2">
    <w:name w:val="Logo Hide 2"/>
    <w:basedOn w:val="Base"/>
    <w:next w:val="Base"/>
    <w:uiPriority w:val="99"/>
    <w:rsid w:val="00393386"/>
    <w:pPr>
      <w:spacing w:line="260" w:lineRule="atLeast"/>
    </w:pPr>
    <w:rPr>
      <w:noProof/>
      <w:sz w:val="22"/>
    </w:rPr>
  </w:style>
  <w:style w:type="character" w:customStyle="1" w:styleId="BaseChar">
    <w:name w:val="Base Char"/>
    <w:link w:val="Base"/>
    <w:uiPriority w:val="99"/>
    <w:locked/>
    <w:rsid w:val="00382C08"/>
    <w:rPr>
      <w:rFonts w:ascii="Arial" w:hAnsi="Arial" w:cs="Arial"/>
      <w:sz w:val="16"/>
      <w:lang w:val="en-AU" w:eastAsia="en-US" w:bidi="ar-SA"/>
    </w:rPr>
  </w:style>
  <w:style w:type="paragraph" w:customStyle="1" w:styleId="Filestamp">
    <w:name w:val="Filestamp"/>
    <w:basedOn w:val="Base"/>
    <w:uiPriority w:val="99"/>
    <w:rsid w:val="00D5694B"/>
    <w:pPr>
      <w:spacing w:line="120" w:lineRule="atLeast"/>
    </w:pPr>
    <w:rPr>
      <w:noProof/>
      <w:sz w:val="12"/>
    </w:rPr>
  </w:style>
  <w:style w:type="paragraph" w:customStyle="1" w:styleId="EmployeeName">
    <w:name w:val="Employee Name"/>
    <w:basedOn w:val="Base"/>
    <w:uiPriority w:val="99"/>
    <w:rsid w:val="00950FE6"/>
    <w:pPr>
      <w:ind w:left="5760"/>
    </w:pPr>
    <w:rPr>
      <w:b/>
    </w:rPr>
  </w:style>
  <w:style w:type="paragraph" w:customStyle="1" w:styleId="Address">
    <w:name w:val="Address"/>
    <w:basedOn w:val="Base"/>
    <w:uiPriority w:val="99"/>
    <w:rsid w:val="005A05C2"/>
    <w:pPr>
      <w:spacing w:line="260" w:lineRule="atLeast"/>
    </w:pPr>
    <w:rPr>
      <w:sz w:val="22"/>
    </w:rPr>
  </w:style>
  <w:style w:type="paragraph" w:customStyle="1" w:styleId="ConfidentialityNote">
    <w:name w:val="Confidentiality Note"/>
    <w:basedOn w:val="Base"/>
    <w:next w:val="Subject"/>
    <w:uiPriority w:val="99"/>
    <w:rsid w:val="005A05C2"/>
    <w:pPr>
      <w:spacing w:line="260" w:lineRule="atLeast"/>
    </w:pPr>
    <w:rPr>
      <w:b/>
      <w:sz w:val="22"/>
    </w:rPr>
  </w:style>
  <w:style w:type="paragraph" w:customStyle="1" w:styleId="Subject">
    <w:name w:val="Subject"/>
    <w:basedOn w:val="Base"/>
    <w:link w:val="SubjectChar"/>
    <w:uiPriority w:val="99"/>
    <w:rsid w:val="00D5694B"/>
    <w:pPr>
      <w:spacing w:line="270" w:lineRule="atLeast"/>
    </w:pPr>
    <w:rPr>
      <w:b/>
      <w:sz w:val="22"/>
    </w:rPr>
  </w:style>
  <w:style w:type="paragraph" w:customStyle="1" w:styleId="LetterDate">
    <w:name w:val="Letter Date"/>
    <w:basedOn w:val="Base"/>
    <w:uiPriority w:val="99"/>
    <w:rsid w:val="005A05C2"/>
    <w:pPr>
      <w:spacing w:line="260" w:lineRule="atLeast"/>
    </w:pPr>
    <w:rPr>
      <w:sz w:val="22"/>
      <w:szCs w:val="16"/>
    </w:rPr>
  </w:style>
  <w:style w:type="paragraph" w:customStyle="1" w:styleId="Signoff">
    <w:name w:val="Signoff"/>
    <w:basedOn w:val="Base"/>
    <w:next w:val="Normal"/>
    <w:uiPriority w:val="99"/>
    <w:rsid w:val="005A05C2"/>
    <w:pPr>
      <w:spacing w:line="260" w:lineRule="atLeast"/>
    </w:pPr>
    <w:rPr>
      <w:sz w:val="22"/>
    </w:rPr>
  </w:style>
  <w:style w:type="paragraph" w:styleId="Header">
    <w:name w:val="header"/>
    <w:basedOn w:val="Normal"/>
    <w:link w:val="HeaderChar"/>
    <w:uiPriority w:val="99"/>
    <w:rsid w:val="00D5694B"/>
    <w:pPr>
      <w:tabs>
        <w:tab w:val="center" w:pos="4320"/>
        <w:tab w:val="right" w:pos="8640"/>
      </w:tabs>
    </w:pPr>
  </w:style>
  <w:style w:type="character" w:customStyle="1" w:styleId="HeaderChar">
    <w:name w:val="Header Char"/>
    <w:link w:val="Header"/>
    <w:uiPriority w:val="99"/>
    <w:locked/>
    <w:rsid w:val="00D423B0"/>
    <w:rPr>
      <w:rFonts w:ascii="Arial" w:hAnsi="Arial" w:cs="Arial"/>
      <w:sz w:val="22"/>
      <w:lang w:eastAsia="en-US"/>
    </w:rPr>
  </w:style>
  <w:style w:type="paragraph" w:styleId="Footer">
    <w:name w:val="footer"/>
    <w:basedOn w:val="Normal"/>
    <w:link w:val="FooterChar"/>
    <w:uiPriority w:val="99"/>
    <w:rsid w:val="00D5694B"/>
    <w:pPr>
      <w:tabs>
        <w:tab w:val="center" w:pos="4320"/>
        <w:tab w:val="right" w:pos="8640"/>
      </w:tabs>
    </w:pPr>
  </w:style>
  <w:style w:type="character" w:customStyle="1" w:styleId="FooterChar">
    <w:name w:val="Footer Char"/>
    <w:link w:val="Footer"/>
    <w:uiPriority w:val="99"/>
    <w:locked/>
    <w:rsid w:val="00D423B0"/>
    <w:rPr>
      <w:rFonts w:ascii="Arial" w:hAnsi="Arial" w:cs="Arial"/>
      <w:sz w:val="22"/>
      <w:lang w:eastAsia="en-US"/>
    </w:rPr>
  </w:style>
  <w:style w:type="character" w:customStyle="1" w:styleId="TextHide">
    <w:name w:val="Text Hide"/>
    <w:uiPriority w:val="99"/>
    <w:rsid w:val="00D5694B"/>
    <w:rPr>
      <w:rFonts w:cs="Times New Roman"/>
    </w:rPr>
  </w:style>
  <w:style w:type="paragraph" w:customStyle="1" w:styleId="Base">
    <w:name w:val="Base"/>
    <w:link w:val="BaseChar"/>
    <w:uiPriority w:val="99"/>
    <w:rsid w:val="00382C08"/>
    <w:pPr>
      <w:spacing w:line="200" w:lineRule="atLeast"/>
    </w:pPr>
    <w:rPr>
      <w:rFonts w:ascii="Arial" w:hAnsi="Arial" w:cs="Arial"/>
      <w:sz w:val="16"/>
      <w:lang w:eastAsia="en-US"/>
    </w:rPr>
  </w:style>
  <w:style w:type="paragraph" w:customStyle="1" w:styleId="Page2Heading">
    <w:name w:val="Page 2 Heading"/>
    <w:basedOn w:val="Base"/>
    <w:uiPriority w:val="99"/>
    <w:rsid w:val="00D5694B"/>
    <w:pPr>
      <w:spacing w:line="220" w:lineRule="atLeast"/>
    </w:pPr>
    <w:rPr>
      <w:sz w:val="18"/>
    </w:rPr>
  </w:style>
  <w:style w:type="character" w:customStyle="1" w:styleId="SubjectChar">
    <w:name w:val="Subject Char"/>
    <w:link w:val="Subject"/>
    <w:uiPriority w:val="99"/>
    <w:locked/>
    <w:rsid w:val="00CC61F5"/>
    <w:rPr>
      <w:rFonts w:ascii="Arial" w:hAnsi="Arial" w:cs="Arial"/>
      <w:b/>
      <w:sz w:val="22"/>
      <w:lang w:val="en-AU" w:eastAsia="en-US" w:bidi="ar-SA"/>
    </w:rPr>
  </w:style>
  <w:style w:type="paragraph" w:customStyle="1" w:styleId="BaseBold">
    <w:name w:val="Base Bold"/>
    <w:next w:val="Base"/>
    <w:uiPriority w:val="99"/>
    <w:rsid w:val="00382C08"/>
    <w:rPr>
      <w:rFonts w:ascii="Arial" w:hAnsi="Arial" w:cs="Arial"/>
      <w:b/>
      <w:sz w:val="16"/>
      <w:lang w:eastAsia="en-US"/>
    </w:rPr>
  </w:style>
  <w:style w:type="table" w:styleId="TableGrid">
    <w:name w:val="Table Grid"/>
    <w:basedOn w:val="TableNormal"/>
    <w:uiPriority w:val="99"/>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uiPriority w:val="99"/>
    <w:rsid w:val="006F648B"/>
    <w:pPr>
      <w:numPr>
        <w:ilvl w:val="4"/>
        <w:numId w:val="26"/>
      </w:numPr>
      <w:contextualSpacing/>
      <w:outlineLvl w:val="4"/>
    </w:pPr>
  </w:style>
  <w:style w:type="paragraph" w:styleId="ListBullet2">
    <w:name w:val="List Bullet 2"/>
    <w:basedOn w:val="Normal"/>
    <w:uiPriority w:val="99"/>
    <w:rsid w:val="006F648B"/>
    <w:pPr>
      <w:numPr>
        <w:ilvl w:val="5"/>
        <w:numId w:val="26"/>
      </w:numPr>
      <w:contextualSpacing/>
      <w:outlineLvl w:val="5"/>
    </w:pPr>
  </w:style>
  <w:style w:type="paragraph" w:styleId="ListBullet3">
    <w:name w:val="List Bullet 3"/>
    <w:basedOn w:val="Normal"/>
    <w:uiPriority w:val="99"/>
    <w:rsid w:val="006F648B"/>
    <w:pPr>
      <w:numPr>
        <w:ilvl w:val="6"/>
        <w:numId w:val="26"/>
      </w:numPr>
      <w:contextualSpacing/>
      <w:outlineLvl w:val="6"/>
    </w:pPr>
  </w:style>
  <w:style w:type="paragraph" w:styleId="ListBullet4">
    <w:name w:val="List Bullet 4"/>
    <w:basedOn w:val="Normal"/>
    <w:uiPriority w:val="99"/>
    <w:rsid w:val="006F648B"/>
    <w:pPr>
      <w:numPr>
        <w:ilvl w:val="7"/>
        <w:numId w:val="26"/>
      </w:numPr>
      <w:contextualSpacing/>
      <w:outlineLvl w:val="7"/>
    </w:pPr>
  </w:style>
  <w:style w:type="paragraph" w:customStyle="1" w:styleId="TableBullet1">
    <w:name w:val="Table Bullet 1"/>
    <w:basedOn w:val="Normal"/>
    <w:link w:val="TableBullet1Char"/>
    <w:uiPriority w:val="99"/>
    <w:rsid w:val="006F648B"/>
    <w:pPr>
      <w:numPr>
        <w:ilvl w:val="4"/>
        <w:numId w:val="27"/>
      </w:numPr>
      <w:spacing w:before="40" w:after="40" w:line="240" w:lineRule="auto"/>
      <w:outlineLvl w:val="4"/>
    </w:pPr>
    <w:rPr>
      <w:sz w:val="16"/>
    </w:rPr>
  </w:style>
  <w:style w:type="character" w:customStyle="1" w:styleId="TableBullet1Char">
    <w:name w:val="Table Bullet 1 Char"/>
    <w:link w:val="TableBullet1"/>
    <w:uiPriority w:val="99"/>
    <w:locked/>
    <w:rsid w:val="006F648B"/>
    <w:rPr>
      <w:rFonts w:ascii="Arial" w:hAnsi="Arial" w:cs="Arial"/>
      <w:sz w:val="16"/>
      <w:szCs w:val="20"/>
      <w:lang w:val="en-AU" w:eastAsia="en-US" w:bidi="ar-SA"/>
    </w:rPr>
  </w:style>
  <w:style w:type="paragraph" w:customStyle="1" w:styleId="TableBullet2">
    <w:name w:val="Table Bullet 2"/>
    <w:basedOn w:val="Normal"/>
    <w:link w:val="TableBullet2Char"/>
    <w:uiPriority w:val="99"/>
    <w:rsid w:val="006F648B"/>
    <w:pPr>
      <w:numPr>
        <w:ilvl w:val="5"/>
        <w:numId w:val="27"/>
      </w:numPr>
      <w:spacing w:before="40" w:after="40" w:line="240" w:lineRule="auto"/>
      <w:outlineLvl w:val="5"/>
    </w:pPr>
    <w:rPr>
      <w:sz w:val="16"/>
    </w:rPr>
  </w:style>
  <w:style w:type="character" w:customStyle="1" w:styleId="TableBullet2Char">
    <w:name w:val="Table Bullet 2 Char"/>
    <w:link w:val="TableBullet2"/>
    <w:uiPriority w:val="99"/>
    <w:locked/>
    <w:rsid w:val="006F648B"/>
    <w:rPr>
      <w:rFonts w:ascii="Arial" w:hAnsi="Arial" w:cs="Arial"/>
      <w:sz w:val="16"/>
      <w:szCs w:val="20"/>
      <w:lang w:val="en-AU" w:eastAsia="en-US" w:bidi="ar-SA"/>
    </w:rPr>
  </w:style>
  <w:style w:type="paragraph" w:customStyle="1" w:styleId="TableBullet3">
    <w:name w:val="Table Bullet 3"/>
    <w:basedOn w:val="Normal"/>
    <w:link w:val="TableBullet3Char"/>
    <w:uiPriority w:val="99"/>
    <w:rsid w:val="006F648B"/>
    <w:pPr>
      <w:numPr>
        <w:ilvl w:val="6"/>
        <w:numId w:val="27"/>
      </w:numPr>
      <w:spacing w:before="40" w:after="40" w:line="240" w:lineRule="auto"/>
      <w:outlineLvl w:val="6"/>
    </w:pPr>
    <w:rPr>
      <w:sz w:val="16"/>
    </w:rPr>
  </w:style>
  <w:style w:type="character" w:customStyle="1" w:styleId="TableBullet3Char">
    <w:name w:val="Table Bullet 3 Char"/>
    <w:link w:val="TableBullet3"/>
    <w:uiPriority w:val="99"/>
    <w:locked/>
    <w:rsid w:val="006F648B"/>
    <w:rPr>
      <w:rFonts w:ascii="Arial" w:hAnsi="Arial" w:cs="Arial"/>
      <w:sz w:val="16"/>
      <w:szCs w:val="20"/>
      <w:lang w:val="en-AU" w:eastAsia="en-US" w:bidi="ar-SA"/>
    </w:rPr>
  </w:style>
  <w:style w:type="paragraph" w:customStyle="1" w:styleId="TableBullet4">
    <w:name w:val="Table Bullet 4"/>
    <w:basedOn w:val="Normal"/>
    <w:link w:val="TableBullet4Char"/>
    <w:uiPriority w:val="99"/>
    <w:rsid w:val="006F648B"/>
    <w:pPr>
      <w:numPr>
        <w:ilvl w:val="7"/>
        <w:numId w:val="27"/>
      </w:numPr>
      <w:spacing w:before="40" w:after="40" w:line="240" w:lineRule="auto"/>
      <w:outlineLvl w:val="7"/>
    </w:pPr>
    <w:rPr>
      <w:sz w:val="16"/>
    </w:rPr>
  </w:style>
  <w:style w:type="character" w:customStyle="1" w:styleId="TableBullet4Char">
    <w:name w:val="Table Bullet 4 Char"/>
    <w:link w:val="TableBullet4"/>
    <w:uiPriority w:val="99"/>
    <w:locked/>
    <w:rsid w:val="006F648B"/>
    <w:rPr>
      <w:rFonts w:ascii="Arial" w:hAnsi="Arial" w:cs="Arial"/>
      <w:sz w:val="16"/>
      <w:szCs w:val="20"/>
      <w:lang w:val="en-AU" w:eastAsia="en-US" w:bidi="ar-SA"/>
    </w:rPr>
  </w:style>
  <w:style w:type="paragraph" w:styleId="ListNumber">
    <w:name w:val="List Number"/>
    <w:basedOn w:val="Normal"/>
    <w:uiPriority w:val="99"/>
    <w:rsid w:val="006F648B"/>
    <w:pPr>
      <w:numPr>
        <w:ilvl w:val="5"/>
        <w:numId w:val="28"/>
      </w:numPr>
      <w:contextualSpacing/>
      <w:outlineLvl w:val="5"/>
    </w:pPr>
  </w:style>
  <w:style w:type="paragraph" w:styleId="ListNumber2">
    <w:name w:val="List Number 2"/>
    <w:basedOn w:val="Normal"/>
    <w:uiPriority w:val="99"/>
    <w:rsid w:val="006F648B"/>
    <w:pPr>
      <w:numPr>
        <w:ilvl w:val="6"/>
        <w:numId w:val="28"/>
      </w:numPr>
      <w:contextualSpacing/>
      <w:outlineLvl w:val="6"/>
    </w:pPr>
  </w:style>
  <w:style w:type="paragraph" w:styleId="ListNumber3">
    <w:name w:val="List Number 3"/>
    <w:basedOn w:val="Normal"/>
    <w:uiPriority w:val="99"/>
    <w:rsid w:val="006F648B"/>
    <w:pPr>
      <w:numPr>
        <w:ilvl w:val="7"/>
        <w:numId w:val="28"/>
      </w:numPr>
      <w:contextualSpacing/>
      <w:outlineLvl w:val="7"/>
    </w:pPr>
  </w:style>
  <w:style w:type="paragraph" w:styleId="ListNumber4">
    <w:name w:val="List Number 4"/>
    <w:basedOn w:val="Normal"/>
    <w:uiPriority w:val="99"/>
    <w:rsid w:val="006F648B"/>
    <w:pPr>
      <w:numPr>
        <w:ilvl w:val="8"/>
        <w:numId w:val="28"/>
      </w:numPr>
      <w:contextualSpacing/>
      <w:outlineLvl w:val="8"/>
    </w:pPr>
  </w:style>
  <w:style w:type="paragraph" w:customStyle="1" w:styleId="NormalIndent1">
    <w:name w:val="Normal Indent 1"/>
    <w:basedOn w:val="Normal"/>
    <w:link w:val="NormalIndent1Char"/>
    <w:uiPriority w:val="99"/>
    <w:rsid w:val="006F648B"/>
    <w:pPr>
      <w:ind w:left="360"/>
    </w:pPr>
  </w:style>
  <w:style w:type="character" w:customStyle="1" w:styleId="NormalIndent1Char">
    <w:name w:val="Normal Indent 1 Char"/>
    <w:link w:val="NormalIndent1"/>
    <w:uiPriority w:val="99"/>
    <w:locked/>
    <w:rsid w:val="006F648B"/>
    <w:rPr>
      <w:rFonts w:ascii="Arial" w:hAnsi="Arial" w:cs="Arial"/>
      <w:sz w:val="22"/>
      <w:lang w:val="en-AU" w:eastAsia="en-US" w:bidi="ar-SA"/>
    </w:rPr>
  </w:style>
  <w:style w:type="paragraph" w:customStyle="1" w:styleId="NormalIndent2">
    <w:name w:val="Normal Indent 2"/>
    <w:basedOn w:val="Normal"/>
    <w:link w:val="NormalIndent2Char"/>
    <w:uiPriority w:val="99"/>
    <w:rsid w:val="006F648B"/>
    <w:pPr>
      <w:ind w:left="720"/>
    </w:pPr>
  </w:style>
  <w:style w:type="character" w:customStyle="1" w:styleId="NormalIndent2Char">
    <w:name w:val="Normal Indent 2 Char"/>
    <w:link w:val="NormalIndent2"/>
    <w:uiPriority w:val="99"/>
    <w:locked/>
    <w:rsid w:val="006F648B"/>
    <w:rPr>
      <w:rFonts w:ascii="Arial" w:hAnsi="Arial" w:cs="Arial"/>
      <w:sz w:val="22"/>
      <w:lang w:val="en-AU" w:eastAsia="en-US" w:bidi="ar-SA"/>
    </w:rPr>
  </w:style>
  <w:style w:type="paragraph" w:customStyle="1" w:styleId="NormalIndent3">
    <w:name w:val="Normal Indent 3"/>
    <w:basedOn w:val="Normal"/>
    <w:link w:val="NormalIndent3Char"/>
    <w:uiPriority w:val="99"/>
    <w:rsid w:val="006F648B"/>
    <w:pPr>
      <w:ind w:left="1080"/>
    </w:pPr>
  </w:style>
  <w:style w:type="character" w:customStyle="1" w:styleId="NormalIndent3Char">
    <w:name w:val="Normal Indent 3 Char"/>
    <w:link w:val="NormalIndent3"/>
    <w:uiPriority w:val="99"/>
    <w:locked/>
    <w:rsid w:val="006F648B"/>
    <w:rPr>
      <w:rFonts w:ascii="Arial" w:hAnsi="Arial" w:cs="Arial"/>
      <w:sz w:val="22"/>
      <w:lang w:val="en-AU" w:eastAsia="en-US" w:bidi="ar-SA"/>
    </w:rPr>
  </w:style>
  <w:style w:type="paragraph" w:customStyle="1" w:styleId="NormalIndent4">
    <w:name w:val="Normal Indent 4"/>
    <w:basedOn w:val="Normal"/>
    <w:link w:val="NormalIndent4Char"/>
    <w:uiPriority w:val="99"/>
    <w:rsid w:val="006F648B"/>
    <w:pPr>
      <w:ind w:left="1440"/>
    </w:pPr>
  </w:style>
  <w:style w:type="character" w:customStyle="1" w:styleId="NormalIndent4Char">
    <w:name w:val="Normal Indent 4 Char"/>
    <w:link w:val="NormalIndent4"/>
    <w:uiPriority w:val="99"/>
    <w:locked/>
    <w:rsid w:val="006F648B"/>
    <w:rPr>
      <w:rFonts w:ascii="Arial" w:hAnsi="Arial" w:cs="Arial"/>
      <w:sz w:val="22"/>
      <w:lang w:val="en-AU" w:eastAsia="en-US" w:bidi="ar-SA"/>
    </w:rPr>
  </w:style>
  <w:style w:type="paragraph" w:customStyle="1" w:styleId="TableHeadingText">
    <w:name w:val="Table Heading Text"/>
    <w:basedOn w:val="Normal"/>
    <w:link w:val="TableHeadingTextChar"/>
    <w:uiPriority w:val="99"/>
    <w:rsid w:val="006F648B"/>
    <w:pPr>
      <w:keepNext/>
      <w:spacing w:before="40" w:after="40" w:line="240" w:lineRule="auto"/>
    </w:pPr>
    <w:rPr>
      <w:b/>
      <w:sz w:val="18"/>
    </w:rPr>
  </w:style>
  <w:style w:type="character" w:customStyle="1" w:styleId="TableHeadingTextChar">
    <w:name w:val="Table Heading Text Char"/>
    <w:link w:val="TableHeadingText"/>
    <w:uiPriority w:val="99"/>
    <w:locked/>
    <w:rsid w:val="006F648B"/>
    <w:rPr>
      <w:rFonts w:ascii="Arial" w:hAnsi="Arial" w:cs="Arial"/>
      <w:b/>
      <w:sz w:val="18"/>
      <w:lang w:val="en-AU" w:eastAsia="en-US" w:bidi="ar-SA"/>
    </w:rPr>
  </w:style>
  <w:style w:type="paragraph" w:customStyle="1" w:styleId="TableText">
    <w:name w:val="Table Text"/>
    <w:basedOn w:val="Normal"/>
    <w:link w:val="TableTextChar"/>
    <w:uiPriority w:val="99"/>
    <w:rsid w:val="006F648B"/>
    <w:pPr>
      <w:spacing w:before="40" w:after="40" w:line="240" w:lineRule="auto"/>
    </w:pPr>
    <w:rPr>
      <w:sz w:val="16"/>
    </w:rPr>
  </w:style>
  <w:style w:type="character" w:customStyle="1" w:styleId="TableTextChar">
    <w:name w:val="Table Text Char"/>
    <w:link w:val="TableText"/>
    <w:uiPriority w:val="99"/>
    <w:locked/>
    <w:rsid w:val="006F648B"/>
    <w:rPr>
      <w:rFonts w:ascii="Arial" w:hAnsi="Arial" w:cs="Arial"/>
      <w:sz w:val="16"/>
      <w:lang w:val="en-AU" w:eastAsia="en-US" w:bidi="ar-SA"/>
    </w:rPr>
  </w:style>
  <w:style w:type="paragraph" w:customStyle="1" w:styleId="EmployeesName">
    <w:name w:val="Employee's Name"/>
    <w:basedOn w:val="Base"/>
    <w:link w:val="EmployeesNameChar"/>
    <w:uiPriority w:val="99"/>
    <w:rsid w:val="006F648B"/>
    <w:pPr>
      <w:spacing w:line="180" w:lineRule="atLeast"/>
      <w:ind w:left="6316"/>
    </w:pPr>
    <w:rPr>
      <w:b/>
    </w:rPr>
  </w:style>
  <w:style w:type="character" w:customStyle="1" w:styleId="EmployeesNameChar">
    <w:name w:val="Employee's Name Char"/>
    <w:link w:val="EmployeesName"/>
    <w:uiPriority w:val="99"/>
    <w:locked/>
    <w:rsid w:val="006F648B"/>
    <w:rPr>
      <w:rFonts w:ascii="Arial" w:hAnsi="Arial" w:cs="Arial"/>
      <w:b/>
      <w:sz w:val="16"/>
      <w:lang w:val="en-AU" w:eastAsia="en-US" w:bidi="ar-SA"/>
    </w:rPr>
  </w:style>
  <w:style w:type="paragraph" w:styleId="ListParagraph">
    <w:name w:val="List Paragraph"/>
    <w:basedOn w:val="Normal"/>
    <w:link w:val="ListParagraphChar"/>
    <w:uiPriority w:val="99"/>
    <w:qFormat/>
    <w:rsid w:val="006F648B"/>
    <w:pPr>
      <w:spacing w:line="240" w:lineRule="auto"/>
      <w:ind w:left="720"/>
    </w:pPr>
    <w:rPr>
      <w:rFonts w:ascii="Calibri" w:hAnsi="Calibri" w:cs="Times New Roman"/>
      <w:szCs w:val="22"/>
    </w:rPr>
  </w:style>
  <w:style w:type="paragraph" w:styleId="BalloonText">
    <w:name w:val="Balloon Text"/>
    <w:basedOn w:val="Normal"/>
    <w:link w:val="BalloonTextChar"/>
    <w:uiPriority w:val="99"/>
    <w:rsid w:val="006F648B"/>
    <w:pPr>
      <w:spacing w:line="240" w:lineRule="auto"/>
    </w:pPr>
    <w:rPr>
      <w:rFonts w:ascii="Tahoma" w:hAnsi="Tahoma" w:cs="Tahoma"/>
      <w:sz w:val="16"/>
      <w:szCs w:val="16"/>
    </w:rPr>
  </w:style>
  <w:style w:type="character" w:customStyle="1" w:styleId="BalloonTextChar">
    <w:name w:val="Balloon Text Char"/>
    <w:link w:val="BalloonText"/>
    <w:uiPriority w:val="99"/>
    <w:locked/>
    <w:rsid w:val="006F648B"/>
    <w:rPr>
      <w:rFonts w:ascii="Tahoma" w:hAnsi="Tahoma" w:cs="Tahoma"/>
      <w:sz w:val="16"/>
      <w:szCs w:val="16"/>
      <w:lang w:eastAsia="en-US"/>
    </w:rPr>
  </w:style>
  <w:style w:type="paragraph" w:styleId="FootnoteText">
    <w:name w:val="footnote text"/>
    <w:basedOn w:val="Normal"/>
    <w:link w:val="FootnoteTextChar"/>
    <w:uiPriority w:val="99"/>
    <w:rsid w:val="00BA683D"/>
    <w:pPr>
      <w:spacing w:line="240" w:lineRule="auto"/>
    </w:pPr>
    <w:rPr>
      <w:rFonts w:ascii="Calibri" w:hAnsi="Calibri" w:cs="Times New Roman"/>
      <w:sz w:val="20"/>
    </w:rPr>
  </w:style>
  <w:style w:type="character" w:customStyle="1" w:styleId="FootnoteTextChar">
    <w:name w:val="Footnote Text Char"/>
    <w:link w:val="FootnoteText"/>
    <w:uiPriority w:val="99"/>
    <w:locked/>
    <w:rsid w:val="00BA683D"/>
    <w:rPr>
      <w:rFonts w:ascii="Calibri" w:hAnsi="Calibri" w:cs="Times New Roman"/>
      <w:lang w:eastAsia="en-US"/>
    </w:rPr>
  </w:style>
  <w:style w:type="character" w:styleId="FootnoteReference">
    <w:name w:val="footnote reference"/>
    <w:uiPriority w:val="99"/>
    <w:rsid w:val="00BA683D"/>
    <w:rPr>
      <w:rFonts w:cs="Times New Roman"/>
      <w:vertAlign w:val="superscript"/>
    </w:rPr>
  </w:style>
  <w:style w:type="character" w:styleId="Hyperlink">
    <w:name w:val="Hyperlink"/>
    <w:uiPriority w:val="99"/>
    <w:rsid w:val="00864328"/>
    <w:rPr>
      <w:rFonts w:cs="Times New Roman"/>
      <w:color w:val="0000FF"/>
      <w:u w:val="single"/>
    </w:rPr>
  </w:style>
  <w:style w:type="paragraph" w:customStyle="1" w:styleId="MPDBody">
    <w:name w:val="MPD_Body"/>
    <w:uiPriority w:val="99"/>
    <w:rsid w:val="00C03676"/>
    <w:pPr>
      <w:spacing w:after="80" w:line="220" w:lineRule="atLeast"/>
    </w:pPr>
    <w:rPr>
      <w:rFonts w:ascii="Arial" w:hAnsi="Arial"/>
      <w:sz w:val="18"/>
      <w:szCs w:val="22"/>
      <w:lang w:eastAsia="en-US"/>
    </w:rPr>
  </w:style>
  <w:style w:type="character" w:styleId="CommentReference">
    <w:name w:val="annotation reference"/>
    <w:uiPriority w:val="99"/>
    <w:rsid w:val="00B65DDB"/>
    <w:rPr>
      <w:rFonts w:cs="Times New Roman"/>
      <w:sz w:val="16"/>
      <w:szCs w:val="16"/>
    </w:rPr>
  </w:style>
  <w:style w:type="paragraph" w:styleId="CommentText">
    <w:name w:val="annotation text"/>
    <w:basedOn w:val="Normal"/>
    <w:link w:val="CommentTextChar"/>
    <w:uiPriority w:val="99"/>
    <w:rsid w:val="00B65DDB"/>
    <w:pPr>
      <w:spacing w:after="200" w:line="240" w:lineRule="auto"/>
    </w:pPr>
    <w:rPr>
      <w:rFonts w:ascii="Calibri" w:hAnsi="Calibri" w:cs="Times New Roman"/>
      <w:sz w:val="20"/>
    </w:rPr>
  </w:style>
  <w:style w:type="character" w:customStyle="1" w:styleId="CommentTextChar">
    <w:name w:val="Comment Text Char"/>
    <w:link w:val="CommentText"/>
    <w:uiPriority w:val="99"/>
    <w:locked/>
    <w:rsid w:val="00B65DDB"/>
    <w:rPr>
      <w:rFonts w:ascii="Calibri" w:hAnsi="Calibri" w:cs="Times New Roman"/>
      <w:lang w:eastAsia="en-US"/>
    </w:rPr>
  </w:style>
  <w:style w:type="paragraph" w:styleId="CommentSubject">
    <w:name w:val="annotation subject"/>
    <w:basedOn w:val="CommentText"/>
    <w:next w:val="CommentText"/>
    <w:link w:val="CommentSubjectChar"/>
    <w:uiPriority w:val="99"/>
    <w:rsid w:val="00B11343"/>
    <w:pPr>
      <w:spacing w:after="0"/>
    </w:pPr>
    <w:rPr>
      <w:rFonts w:ascii="Arial" w:hAnsi="Arial" w:cs="Arial"/>
      <w:b/>
      <w:bCs/>
    </w:rPr>
  </w:style>
  <w:style w:type="character" w:customStyle="1" w:styleId="CommentSubjectChar">
    <w:name w:val="Comment Subject Char"/>
    <w:link w:val="CommentSubject"/>
    <w:uiPriority w:val="99"/>
    <w:locked/>
    <w:rsid w:val="00B11343"/>
    <w:rPr>
      <w:rFonts w:ascii="Arial" w:hAnsi="Arial" w:cs="Arial"/>
      <w:b/>
      <w:bCs/>
      <w:lang w:eastAsia="en-US"/>
    </w:rPr>
  </w:style>
  <w:style w:type="paragraph" w:customStyle="1" w:styleId="TableBodyText">
    <w:name w:val="Table Body Text"/>
    <w:basedOn w:val="BodyText"/>
    <w:uiPriority w:val="99"/>
    <w:rsid w:val="00674A1C"/>
    <w:pPr>
      <w:keepNext/>
      <w:keepLines/>
      <w:spacing w:after="40" w:line="200" w:lineRule="atLeast"/>
      <w:ind w:left="6" w:right="113"/>
      <w:jc w:val="right"/>
    </w:pPr>
    <w:rPr>
      <w:rFonts w:cs="Times New Roman"/>
      <w:sz w:val="18"/>
      <w:lang w:eastAsia="en-AU"/>
    </w:rPr>
  </w:style>
  <w:style w:type="paragraph" w:styleId="BodyText">
    <w:name w:val="Body Text"/>
    <w:basedOn w:val="Normal"/>
    <w:link w:val="BodyTextChar"/>
    <w:uiPriority w:val="99"/>
    <w:rsid w:val="00674A1C"/>
    <w:pPr>
      <w:spacing w:after="120"/>
    </w:pPr>
  </w:style>
  <w:style w:type="character" w:customStyle="1" w:styleId="BodyTextChar">
    <w:name w:val="Body Text Char"/>
    <w:link w:val="BodyText"/>
    <w:uiPriority w:val="99"/>
    <w:locked/>
    <w:rsid w:val="00674A1C"/>
    <w:rPr>
      <w:rFonts w:ascii="Arial" w:hAnsi="Arial" w:cs="Arial"/>
      <w:sz w:val="22"/>
      <w:lang w:eastAsia="en-US"/>
    </w:rPr>
  </w:style>
  <w:style w:type="character" w:styleId="PageNumber">
    <w:name w:val="page number"/>
    <w:uiPriority w:val="99"/>
    <w:rsid w:val="00D423B0"/>
    <w:rPr>
      <w:rFonts w:ascii="Arial" w:hAnsi="Arial" w:cs="Times New Roman"/>
      <w:b/>
      <w:sz w:val="16"/>
    </w:rPr>
  </w:style>
  <w:style w:type="paragraph" w:customStyle="1" w:styleId="Box">
    <w:name w:val="Box"/>
    <w:basedOn w:val="BodyText"/>
    <w:uiPriority w:val="99"/>
    <w:rsid w:val="00D423B0"/>
    <w:pPr>
      <w:keepNext/>
      <w:spacing w:before="120" w:after="0"/>
      <w:jc w:val="both"/>
    </w:pPr>
    <w:rPr>
      <w:rFonts w:cs="Times New Roman"/>
      <w:sz w:val="20"/>
      <w:lang w:eastAsia="en-AU"/>
    </w:rPr>
  </w:style>
  <w:style w:type="paragraph" w:customStyle="1" w:styleId="Note">
    <w:name w:val="Note"/>
    <w:basedOn w:val="BodyText"/>
    <w:next w:val="BodyText"/>
    <w:uiPriority w:val="99"/>
    <w:rsid w:val="00D423B0"/>
    <w:pPr>
      <w:keepLines/>
      <w:spacing w:before="80" w:after="0" w:line="220" w:lineRule="exact"/>
      <w:jc w:val="both"/>
    </w:pPr>
    <w:rPr>
      <w:rFonts w:cs="Times New Roman"/>
      <w:sz w:val="18"/>
      <w:lang w:eastAsia="en-AU"/>
    </w:rPr>
  </w:style>
  <w:style w:type="paragraph" w:customStyle="1" w:styleId="BoxSpaceAbove">
    <w:name w:val="Box Space Above"/>
    <w:basedOn w:val="BodyText"/>
    <w:uiPriority w:val="99"/>
    <w:rsid w:val="00D423B0"/>
    <w:pPr>
      <w:keepNext/>
      <w:spacing w:before="360" w:after="0" w:line="80" w:lineRule="exact"/>
    </w:pPr>
    <w:rPr>
      <w:rFonts w:ascii="Times New Roman" w:hAnsi="Times New Roman" w:cs="Times New Roman"/>
      <w:sz w:val="24"/>
      <w:lang w:eastAsia="en-AU"/>
    </w:rPr>
  </w:style>
  <w:style w:type="paragraph" w:customStyle="1" w:styleId="Continued">
    <w:name w:val="Continued"/>
    <w:basedOn w:val="Normal"/>
    <w:next w:val="BodyText"/>
    <w:uiPriority w:val="99"/>
    <w:rsid w:val="00D423B0"/>
    <w:pPr>
      <w:spacing w:before="180" w:line="220" w:lineRule="exact"/>
      <w:jc w:val="right"/>
    </w:pPr>
    <w:rPr>
      <w:rFonts w:cs="Times New Roman"/>
      <w:sz w:val="18"/>
      <w:lang w:eastAsia="en-AU"/>
    </w:rPr>
  </w:style>
  <w:style w:type="character" w:customStyle="1" w:styleId="NoteLabel">
    <w:name w:val="Note Label"/>
    <w:uiPriority w:val="99"/>
    <w:rsid w:val="00D423B0"/>
    <w:rPr>
      <w:rFonts w:ascii="Arial" w:hAnsi="Arial" w:cs="Times New Roman"/>
      <w:b/>
      <w:position w:val="6"/>
      <w:sz w:val="18"/>
    </w:rPr>
  </w:style>
  <w:style w:type="paragraph" w:customStyle="1" w:styleId="TableBullet">
    <w:name w:val="Table Bullet"/>
    <w:basedOn w:val="TableBodyText"/>
    <w:uiPriority w:val="99"/>
    <w:rsid w:val="00D423B0"/>
    <w:pPr>
      <w:numPr>
        <w:numId w:val="34"/>
      </w:numPr>
      <w:jc w:val="left"/>
    </w:pPr>
  </w:style>
  <w:style w:type="paragraph" w:customStyle="1" w:styleId="TableColumnHeading">
    <w:name w:val="Table Column Heading"/>
    <w:basedOn w:val="TableBodyText"/>
    <w:uiPriority w:val="99"/>
    <w:rsid w:val="00D423B0"/>
    <w:pPr>
      <w:spacing w:before="80" w:after="80"/>
    </w:pPr>
    <w:rPr>
      <w:i/>
    </w:rPr>
  </w:style>
  <w:style w:type="paragraph" w:customStyle="1" w:styleId="TableTitle">
    <w:name w:val="Table Title"/>
    <w:basedOn w:val="Caption"/>
    <w:next w:val="Subtitle"/>
    <w:link w:val="TableTitleChar"/>
    <w:uiPriority w:val="99"/>
    <w:rsid w:val="00D423B0"/>
    <w:pPr>
      <w:keepNext/>
      <w:keepLines/>
      <w:spacing w:before="120" w:after="80" w:line="280" w:lineRule="exact"/>
      <w:ind w:left="1474" w:hanging="1474"/>
    </w:pPr>
    <w:rPr>
      <w:rFonts w:cs="Times New Roman"/>
      <w:bCs w:val="0"/>
      <w:color w:val="auto"/>
      <w:sz w:val="24"/>
      <w:szCs w:val="24"/>
      <w:lang w:eastAsia="en-AU"/>
    </w:rPr>
  </w:style>
  <w:style w:type="paragraph" w:customStyle="1" w:styleId="TableUnitsRow">
    <w:name w:val="Table Units Row"/>
    <w:basedOn w:val="TableBodyText"/>
    <w:uiPriority w:val="99"/>
    <w:rsid w:val="00D423B0"/>
    <w:pPr>
      <w:spacing w:before="40"/>
    </w:pPr>
  </w:style>
  <w:style w:type="paragraph" w:customStyle="1" w:styleId="BoxSpaceBelow">
    <w:name w:val="Box Space Below"/>
    <w:basedOn w:val="Box"/>
    <w:uiPriority w:val="99"/>
    <w:rsid w:val="00D423B0"/>
    <w:pPr>
      <w:keepNext w:val="0"/>
      <w:spacing w:before="60" w:after="60" w:line="80" w:lineRule="exact"/>
    </w:pPr>
    <w:rPr>
      <w:sz w:val="14"/>
    </w:rPr>
  </w:style>
  <w:style w:type="paragraph" w:customStyle="1" w:styleId="SuperObjectiveBullet">
    <w:name w:val="SuperObjectiveBullet"/>
    <w:basedOn w:val="TableBullet"/>
    <w:uiPriority w:val="99"/>
    <w:rsid w:val="00D423B0"/>
    <w:pPr>
      <w:spacing w:before="40"/>
      <w:ind w:left="283"/>
    </w:pPr>
    <w:rPr>
      <w:b/>
    </w:rPr>
  </w:style>
  <w:style w:type="paragraph" w:customStyle="1" w:styleId="SuperObjective">
    <w:name w:val="SuperObjective"/>
    <w:basedOn w:val="TableBodyText"/>
    <w:uiPriority w:val="99"/>
    <w:rsid w:val="00D423B0"/>
    <w:pPr>
      <w:spacing w:before="40"/>
      <w:ind w:left="113"/>
      <w:jc w:val="left"/>
    </w:pPr>
    <w:rPr>
      <w:b/>
    </w:rPr>
  </w:style>
  <w:style w:type="character" w:customStyle="1" w:styleId="TableTitleChar">
    <w:name w:val="Table Title Char"/>
    <w:link w:val="TableTitle"/>
    <w:uiPriority w:val="99"/>
    <w:locked/>
    <w:rsid w:val="00D423B0"/>
    <w:rPr>
      <w:rFonts w:ascii="Arial" w:hAnsi="Arial" w:cs="Times New Roman"/>
      <w:b/>
      <w:sz w:val="24"/>
      <w:szCs w:val="24"/>
    </w:rPr>
  </w:style>
  <w:style w:type="paragraph" w:styleId="Caption">
    <w:name w:val="caption"/>
    <w:basedOn w:val="Normal"/>
    <w:next w:val="Normal"/>
    <w:uiPriority w:val="99"/>
    <w:qFormat/>
    <w:rsid w:val="00D423B0"/>
    <w:pPr>
      <w:spacing w:after="200" w:line="240" w:lineRule="auto"/>
    </w:pPr>
    <w:rPr>
      <w:b/>
      <w:bCs/>
      <w:color w:val="4F81BD"/>
      <w:sz w:val="18"/>
      <w:szCs w:val="18"/>
    </w:rPr>
  </w:style>
  <w:style w:type="paragraph" w:styleId="Subtitle">
    <w:name w:val="Subtitle"/>
    <w:basedOn w:val="Normal"/>
    <w:next w:val="Normal"/>
    <w:link w:val="SubtitleChar"/>
    <w:uiPriority w:val="99"/>
    <w:qFormat/>
    <w:rsid w:val="00D423B0"/>
    <w:pPr>
      <w:numPr>
        <w:ilvl w:val="1"/>
      </w:numPr>
    </w:pPr>
    <w:rPr>
      <w:rFonts w:ascii="Cambria" w:hAnsi="Cambria" w:cs="Times New Roman"/>
      <w:i/>
      <w:iCs/>
      <w:color w:val="4F81BD"/>
      <w:spacing w:val="15"/>
      <w:sz w:val="24"/>
      <w:szCs w:val="24"/>
    </w:rPr>
  </w:style>
  <w:style w:type="character" w:customStyle="1" w:styleId="SubtitleChar">
    <w:name w:val="Subtitle Char"/>
    <w:link w:val="Subtitle"/>
    <w:uiPriority w:val="99"/>
    <w:locked/>
    <w:rsid w:val="00D423B0"/>
    <w:rPr>
      <w:rFonts w:ascii="Cambria" w:hAnsi="Cambria" w:cs="Times New Roman"/>
      <w:i/>
      <w:iCs/>
      <w:color w:val="4F81BD"/>
      <w:spacing w:val="15"/>
      <w:sz w:val="24"/>
      <w:szCs w:val="24"/>
      <w:lang w:eastAsia="en-US"/>
    </w:rPr>
  </w:style>
  <w:style w:type="paragraph" w:customStyle="1" w:styleId="Default">
    <w:name w:val="Default"/>
    <w:uiPriority w:val="99"/>
    <w:rsid w:val="00F772E4"/>
    <w:pPr>
      <w:autoSpaceDE w:val="0"/>
      <w:autoSpaceDN w:val="0"/>
      <w:adjustRightInd w:val="0"/>
    </w:pPr>
    <w:rPr>
      <w:color w:val="000000"/>
      <w:sz w:val="24"/>
      <w:szCs w:val="24"/>
      <w:lang w:eastAsia="en-US"/>
    </w:rPr>
  </w:style>
  <w:style w:type="character" w:customStyle="1" w:styleId="ListParagraphChar">
    <w:name w:val="List Paragraph Char"/>
    <w:link w:val="ListParagraph"/>
    <w:uiPriority w:val="99"/>
    <w:locked/>
    <w:rsid w:val="00540179"/>
    <w:rPr>
      <w:rFonts w:ascii="Calibri" w:hAnsi="Calibri" w:cs="Times New Roman"/>
      <w:sz w:val="22"/>
      <w:szCs w:val="22"/>
      <w:lang w:eastAsia="en-US"/>
    </w:rPr>
  </w:style>
  <w:style w:type="paragraph" w:styleId="Revision">
    <w:name w:val="Revision"/>
    <w:hidden/>
    <w:uiPriority w:val="99"/>
    <w:semiHidden/>
    <w:rsid w:val="00B91FB8"/>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083333">
      <w:bodyDiv w:val="1"/>
      <w:marLeft w:val="0"/>
      <w:marRight w:val="0"/>
      <w:marTop w:val="0"/>
      <w:marBottom w:val="0"/>
      <w:divBdr>
        <w:top w:val="none" w:sz="0" w:space="0" w:color="auto"/>
        <w:left w:val="none" w:sz="0" w:space="0" w:color="auto"/>
        <w:bottom w:val="none" w:sz="0" w:space="0" w:color="auto"/>
        <w:right w:val="none" w:sz="0" w:space="0" w:color="auto"/>
      </w:divBdr>
    </w:div>
    <w:div w:id="758523477">
      <w:marLeft w:val="0"/>
      <w:marRight w:val="0"/>
      <w:marTop w:val="0"/>
      <w:marBottom w:val="0"/>
      <w:divBdr>
        <w:top w:val="none" w:sz="0" w:space="0" w:color="auto"/>
        <w:left w:val="none" w:sz="0" w:space="0" w:color="auto"/>
        <w:bottom w:val="none" w:sz="0" w:space="0" w:color="auto"/>
        <w:right w:val="none" w:sz="0" w:space="0" w:color="auto"/>
      </w:divBdr>
    </w:div>
    <w:div w:id="758523478">
      <w:marLeft w:val="0"/>
      <w:marRight w:val="0"/>
      <w:marTop w:val="0"/>
      <w:marBottom w:val="0"/>
      <w:divBdr>
        <w:top w:val="none" w:sz="0" w:space="0" w:color="auto"/>
        <w:left w:val="none" w:sz="0" w:space="0" w:color="auto"/>
        <w:bottom w:val="none" w:sz="0" w:space="0" w:color="auto"/>
        <w:right w:val="none" w:sz="0" w:space="0" w:color="auto"/>
      </w:divBdr>
    </w:div>
    <w:div w:id="758523479">
      <w:marLeft w:val="0"/>
      <w:marRight w:val="0"/>
      <w:marTop w:val="0"/>
      <w:marBottom w:val="0"/>
      <w:divBdr>
        <w:top w:val="none" w:sz="0" w:space="0" w:color="auto"/>
        <w:left w:val="none" w:sz="0" w:space="0" w:color="auto"/>
        <w:bottom w:val="none" w:sz="0" w:space="0" w:color="auto"/>
        <w:right w:val="none" w:sz="0" w:space="0" w:color="auto"/>
      </w:divBdr>
    </w:div>
    <w:div w:id="758523480">
      <w:marLeft w:val="0"/>
      <w:marRight w:val="0"/>
      <w:marTop w:val="0"/>
      <w:marBottom w:val="0"/>
      <w:divBdr>
        <w:top w:val="none" w:sz="0" w:space="0" w:color="auto"/>
        <w:left w:val="none" w:sz="0" w:space="0" w:color="auto"/>
        <w:bottom w:val="none" w:sz="0" w:space="0" w:color="auto"/>
        <w:right w:val="none" w:sz="0" w:space="0" w:color="auto"/>
      </w:divBdr>
    </w:div>
    <w:div w:id="758523481">
      <w:marLeft w:val="0"/>
      <w:marRight w:val="0"/>
      <w:marTop w:val="0"/>
      <w:marBottom w:val="0"/>
      <w:divBdr>
        <w:top w:val="none" w:sz="0" w:space="0" w:color="auto"/>
        <w:left w:val="none" w:sz="0" w:space="0" w:color="auto"/>
        <w:bottom w:val="none" w:sz="0" w:space="0" w:color="auto"/>
        <w:right w:val="none" w:sz="0" w:space="0" w:color="auto"/>
      </w:divBdr>
    </w:div>
    <w:div w:id="758523482">
      <w:marLeft w:val="0"/>
      <w:marRight w:val="0"/>
      <w:marTop w:val="0"/>
      <w:marBottom w:val="0"/>
      <w:divBdr>
        <w:top w:val="none" w:sz="0" w:space="0" w:color="auto"/>
        <w:left w:val="none" w:sz="0" w:space="0" w:color="auto"/>
        <w:bottom w:val="none" w:sz="0" w:space="0" w:color="auto"/>
        <w:right w:val="none" w:sz="0" w:space="0" w:color="auto"/>
      </w:divBdr>
    </w:div>
    <w:div w:id="758523483">
      <w:marLeft w:val="0"/>
      <w:marRight w:val="0"/>
      <w:marTop w:val="0"/>
      <w:marBottom w:val="0"/>
      <w:divBdr>
        <w:top w:val="none" w:sz="0" w:space="0" w:color="auto"/>
        <w:left w:val="none" w:sz="0" w:space="0" w:color="auto"/>
        <w:bottom w:val="none" w:sz="0" w:space="0" w:color="auto"/>
        <w:right w:val="none" w:sz="0" w:space="0" w:color="auto"/>
      </w:divBdr>
    </w:div>
    <w:div w:id="758523484">
      <w:marLeft w:val="0"/>
      <w:marRight w:val="0"/>
      <w:marTop w:val="0"/>
      <w:marBottom w:val="0"/>
      <w:divBdr>
        <w:top w:val="none" w:sz="0" w:space="0" w:color="auto"/>
        <w:left w:val="none" w:sz="0" w:space="0" w:color="auto"/>
        <w:bottom w:val="none" w:sz="0" w:space="0" w:color="auto"/>
        <w:right w:val="none" w:sz="0" w:space="0" w:color="auto"/>
      </w:divBdr>
    </w:div>
    <w:div w:id="758523485">
      <w:marLeft w:val="0"/>
      <w:marRight w:val="0"/>
      <w:marTop w:val="0"/>
      <w:marBottom w:val="0"/>
      <w:divBdr>
        <w:top w:val="none" w:sz="0" w:space="0" w:color="auto"/>
        <w:left w:val="none" w:sz="0" w:space="0" w:color="auto"/>
        <w:bottom w:val="none" w:sz="0" w:space="0" w:color="auto"/>
        <w:right w:val="none" w:sz="0" w:space="0" w:color="auto"/>
      </w:divBdr>
    </w:div>
    <w:div w:id="758523486">
      <w:marLeft w:val="0"/>
      <w:marRight w:val="0"/>
      <w:marTop w:val="0"/>
      <w:marBottom w:val="0"/>
      <w:divBdr>
        <w:top w:val="none" w:sz="0" w:space="0" w:color="auto"/>
        <w:left w:val="none" w:sz="0" w:space="0" w:color="auto"/>
        <w:bottom w:val="none" w:sz="0" w:space="0" w:color="auto"/>
        <w:right w:val="none" w:sz="0" w:space="0" w:color="auto"/>
      </w:divBdr>
      <w:divsChild>
        <w:div w:id="758523487">
          <w:marLeft w:val="0"/>
          <w:marRight w:val="0"/>
          <w:marTop w:val="0"/>
          <w:marBottom w:val="0"/>
          <w:divBdr>
            <w:top w:val="none" w:sz="0" w:space="0" w:color="auto"/>
            <w:left w:val="none" w:sz="0" w:space="0" w:color="auto"/>
            <w:bottom w:val="none" w:sz="0" w:space="0" w:color="auto"/>
            <w:right w:val="none" w:sz="0" w:space="0" w:color="auto"/>
          </w:divBdr>
        </w:div>
        <w:div w:id="758523489">
          <w:marLeft w:val="0"/>
          <w:marRight w:val="0"/>
          <w:marTop w:val="0"/>
          <w:marBottom w:val="0"/>
          <w:divBdr>
            <w:top w:val="none" w:sz="0" w:space="0" w:color="auto"/>
            <w:left w:val="none" w:sz="0" w:space="0" w:color="auto"/>
            <w:bottom w:val="none" w:sz="0" w:space="0" w:color="auto"/>
            <w:right w:val="none" w:sz="0" w:space="0" w:color="auto"/>
          </w:divBdr>
        </w:div>
        <w:div w:id="758523495">
          <w:marLeft w:val="0"/>
          <w:marRight w:val="0"/>
          <w:marTop w:val="0"/>
          <w:marBottom w:val="0"/>
          <w:divBdr>
            <w:top w:val="none" w:sz="0" w:space="0" w:color="auto"/>
            <w:left w:val="none" w:sz="0" w:space="0" w:color="auto"/>
            <w:bottom w:val="none" w:sz="0" w:space="0" w:color="auto"/>
            <w:right w:val="none" w:sz="0" w:space="0" w:color="auto"/>
          </w:divBdr>
        </w:div>
      </w:divsChild>
    </w:div>
    <w:div w:id="758523493">
      <w:marLeft w:val="0"/>
      <w:marRight w:val="0"/>
      <w:marTop w:val="0"/>
      <w:marBottom w:val="0"/>
      <w:divBdr>
        <w:top w:val="none" w:sz="0" w:space="0" w:color="auto"/>
        <w:left w:val="none" w:sz="0" w:space="0" w:color="auto"/>
        <w:bottom w:val="none" w:sz="0" w:space="0" w:color="auto"/>
        <w:right w:val="none" w:sz="0" w:space="0" w:color="auto"/>
      </w:divBdr>
      <w:divsChild>
        <w:div w:id="758523488">
          <w:marLeft w:val="0"/>
          <w:marRight w:val="0"/>
          <w:marTop w:val="0"/>
          <w:marBottom w:val="0"/>
          <w:divBdr>
            <w:top w:val="none" w:sz="0" w:space="0" w:color="auto"/>
            <w:left w:val="none" w:sz="0" w:space="0" w:color="auto"/>
            <w:bottom w:val="none" w:sz="0" w:space="0" w:color="auto"/>
            <w:right w:val="none" w:sz="0" w:space="0" w:color="auto"/>
          </w:divBdr>
        </w:div>
        <w:div w:id="758523490">
          <w:marLeft w:val="0"/>
          <w:marRight w:val="0"/>
          <w:marTop w:val="0"/>
          <w:marBottom w:val="0"/>
          <w:divBdr>
            <w:top w:val="none" w:sz="0" w:space="0" w:color="auto"/>
            <w:left w:val="none" w:sz="0" w:space="0" w:color="auto"/>
            <w:bottom w:val="none" w:sz="0" w:space="0" w:color="auto"/>
            <w:right w:val="none" w:sz="0" w:space="0" w:color="auto"/>
          </w:divBdr>
        </w:div>
        <w:div w:id="758523491">
          <w:marLeft w:val="0"/>
          <w:marRight w:val="0"/>
          <w:marTop w:val="0"/>
          <w:marBottom w:val="0"/>
          <w:divBdr>
            <w:top w:val="none" w:sz="0" w:space="0" w:color="auto"/>
            <w:left w:val="none" w:sz="0" w:space="0" w:color="auto"/>
            <w:bottom w:val="none" w:sz="0" w:space="0" w:color="auto"/>
            <w:right w:val="none" w:sz="0" w:space="0" w:color="auto"/>
          </w:divBdr>
        </w:div>
        <w:div w:id="758523492">
          <w:marLeft w:val="0"/>
          <w:marRight w:val="0"/>
          <w:marTop w:val="0"/>
          <w:marBottom w:val="0"/>
          <w:divBdr>
            <w:top w:val="none" w:sz="0" w:space="0" w:color="auto"/>
            <w:left w:val="none" w:sz="0" w:space="0" w:color="auto"/>
            <w:bottom w:val="none" w:sz="0" w:space="0" w:color="auto"/>
            <w:right w:val="none" w:sz="0" w:space="0" w:color="auto"/>
          </w:divBdr>
        </w:div>
        <w:div w:id="758523494">
          <w:marLeft w:val="0"/>
          <w:marRight w:val="0"/>
          <w:marTop w:val="0"/>
          <w:marBottom w:val="0"/>
          <w:divBdr>
            <w:top w:val="none" w:sz="0" w:space="0" w:color="auto"/>
            <w:left w:val="none" w:sz="0" w:space="0" w:color="auto"/>
            <w:bottom w:val="none" w:sz="0" w:space="0" w:color="auto"/>
            <w:right w:val="none" w:sz="0" w:space="0" w:color="auto"/>
          </w:divBdr>
        </w:div>
        <w:div w:id="758523496">
          <w:marLeft w:val="0"/>
          <w:marRight w:val="0"/>
          <w:marTop w:val="0"/>
          <w:marBottom w:val="0"/>
          <w:divBdr>
            <w:top w:val="none" w:sz="0" w:space="0" w:color="auto"/>
            <w:left w:val="none" w:sz="0" w:space="0" w:color="auto"/>
            <w:bottom w:val="none" w:sz="0" w:space="0" w:color="auto"/>
            <w:right w:val="none" w:sz="0" w:space="0" w:color="auto"/>
          </w:divBdr>
        </w:div>
        <w:div w:id="758523497">
          <w:marLeft w:val="0"/>
          <w:marRight w:val="0"/>
          <w:marTop w:val="0"/>
          <w:marBottom w:val="0"/>
          <w:divBdr>
            <w:top w:val="none" w:sz="0" w:space="0" w:color="auto"/>
            <w:left w:val="none" w:sz="0" w:space="0" w:color="auto"/>
            <w:bottom w:val="none" w:sz="0" w:space="0" w:color="auto"/>
            <w:right w:val="none" w:sz="0" w:space="0" w:color="auto"/>
          </w:divBdr>
        </w:div>
        <w:div w:id="758523498">
          <w:marLeft w:val="0"/>
          <w:marRight w:val="0"/>
          <w:marTop w:val="0"/>
          <w:marBottom w:val="0"/>
          <w:divBdr>
            <w:top w:val="none" w:sz="0" w:space="0" w:color="auto"/>
            <w:left w:val="none" w:sz="0" w:space="0" w:color="auto"/>
            <w:bottom w:val="none" w:sz="0" w:space="0" w:color="auto"/>
            <w:right w:val="none" w:sz="0" w:space="0" w:color="auto"/>
          </w:divBdr>
        </w:div>
        <w:div w:id="758523499">
          <w:marLeft w:val="0"/>
          <w:marRight w:val="0"/>
          <w:marTop w:val="0"/>
          <w:marBottom w:val="0"/>
          <w:divBdr>
            <w:top w:val="none" w:sz="0" w:space="0" w:color="auto"/>
            <w:left w:val="none" w:sz="0" w:space="0" w:color="auto"/>
            <w:bottom w:val="none" w:sz="0" w:space="0" w:color="auto"/>
            <w:right w:val="none" w:sz="0" w:space="0" w:color="auto"/>
          </w:divBdr>
        </w:div>
        <w:div w:id="758523500">
          <w:marLeft w:val="0"/>
          <w:marRight w:val="0"/>
          <w:marTop w:val="0"/>
          <w:marBottom w:val="0"/>
          <w:divBdr>
            <w:top w:val="none" w:sz="0" w:space="0" w:color="auto"/>
            <w:left w:val="none" w:sz="0" w:space="0" w:color="auto"/>
            <w:bottom w:val="none" w:sz="0" w:space="0" w:color="auto"/>
            <w:right w:val="none" w:sz="0" w:space="0" w:color="auto"/>
          </w:divBdr>
        </w:div>
      </w:divsChild>
    </w:div>
    <w:div w:id="196935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hyperlink" Target="http://content.mercer.com/_layouts/DocIdRedir.aspx?ID=HVCONTENT-98-9033"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eader" Target="header2.xml"/><Relationship Id="rId25" Type="http://schemas.openxmlformats.org/officeDocument/2006/relationships/image" Target="cid:image003.jpg@01D20536.7D847010"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3.jpe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28" Type="http://schemas.openxmlformats.org/officeDocument/2006/relationships/footer" Target="footer5.xml"/><Relationship Id="rId10" Type="http://schemas.microsoft.com/office/2007/relationships/stylesWithEffects" Target="stylesWithEffect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theme" Target="theme/theme1.xml"/></Relationships>
</file>

<file path=word/_rels/footer4.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_rels/header6.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MMC\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6540C88292F9BF4D820E6FE7B022D1B4" ma:contentTypeVersion="0" ma:contentTypeDescription="" ma:contentTypeScope="" ma:versionID="39533f3512768eb64506232e1a5f03a7">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22f63d15f82780aba6c121dd434b4334"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5D506B-CA04-4AC9-BB12-EB948EB279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545BB-AFFA-4D22-B27C-D83C352AF647}">
  <ds:schemaRefs>
    <ds:schemaRef ds:uri="http://schemas.microsoft.com/sharepoint/events"/>
  </ds:schemaRefs>
</ds:datastoreItem>
</file>

<file path=customXml/itemProps3.xml><?xml version="1.0" encoding="utf-8"?>
<ds:datastoreItem xmlns:ds="http://schemas.openxmlformats.org/officeDocument/2006/customXml" ds:itemID="{482B7AB0-D9FE-423E-B07A-68B75F6B1D76}">
  <ds:schemaRefs>
    <ds:schemaRef ds:uri="http://schemas.microsoft.com/office/2006/metadata/customXsn"/>
  </ds:schemaRefs>
</ds:datastoreItem>
</file>

<file path=customXml/itemProps4.xml><?xml version="1.0" encoding="utf-8"?>
<ds:datastoreItem xmlns:ds="http://schemas.openxmlformats.org/officeDocument/2006/customXml" ds:itemID="{711B25A8-71A4-4229-AB9A-54D9D23E022B}">
  <ds:schemaRefs>
    <ds:schemaRef ds:uri="http://purl.org/dc/elements/1.1/"/>
    <ds:schemaRef ds:uri="http://schemas.openxmlformats.org/package/2006/metadata/core-properties"/>
    <ds:schemaRef ds:uri="http://schemas.microsoft.com/office/infopath/2007/PartnerControls"/>
    <ds:schemaRef ds:uri="http://purl.org/dc/terms/"/>
    <ds:schemaRef ds:uri="http://schemas.microsoft.com/office/2006/documentManagement/types"/>
    <ds:schemaRef ds:uri="3f4bcce7-ac1a-4c9d-aa3e-7e77695652db"/>
    <ds:schemaRef ds:uri="http://www.w3.org/XML/1998/namespace"/>
    <ds:schemaRef ds:uri="8044c801-d84b-4ee1-a77e-678f8dcdee17"/>
    <ds:schemaRef ds:uri="http://schemas.microsoft.com/office/2006/metadata/properties"/>
    <ds:schemaRef ds:uri="http://purl.org/dc/dcmitype/"/>
  </ds:schemaRefs>
</ds:datastoreItem>
</file>

<file path=customXml/itemProps5.xml><?xml version="1.0" encoding="utf-8"?>
<ds:datastoreItem xmlns:ds="http://schemas.openxmlformats.org/officeDocument/2006/customXml" ds:itemID="{1EBC1757-BA56-443B-BC87-6629C5B8BB43}">
  <ds:schemaRefs>
    <ds:schemaRef ds:uri="Microsoft.SharePoint.Taxonomy.ContentTypeSync"/>
  </ds:schemaRefs>
</ds:datastoreItem>
</file>

<file path=customXml/itemProps6.xml><?xml version="1.0" encoding="utf-8"?>
<ds:datastoreItem xmlns:ds="http://schemas.openxmlformats.org/officeDocument/2006/customXml" ds:itemID="{D274EC1E-A848-4F1B-9409-037E2FE99D50}">
  <ds:schemaRefs>
    <ds:schemaRef ds:uri="http://schemas.microsoft.com/sharepoint/v3/contenttype/forms"/>
  </ds:schemaRefs>
</ds:datastoreItem>
</file>

<file path=customXml/itemProps7.xml><?xml version="1.0" encoding="utf-8"?>
<ds:datastoreItem xmlns:ds="http://schemas.openxmlformats.org/officeDocument/2006/customXml" ds:itemID="{6C5C31B7-9B04-48B3-9871-6EC4351D4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Letter.dot</Template>
  <TotalTime>13</TotalTime>
  <Pages>67</Pages>
  <Words>15453</Words>
  <Characters>88785</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Submission DR104 - Mercer - Superannuation Competitiveness and Efficiency - Commissioned study</vt:lpstr>
    </vt:vector>
  </TitlesOfParts>
  <Company>Mercer</Company>
  <LinksUpToDate>false</LinksUpToDate>
  <CharactersWithSpaces>104030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DR104 - Mercer - Superannuation Competitiveness and Efficiency - Commissioned study</dc:title>
  <dc:subject/>
  <dc:creator>Mercer</dc:creator>
  <cp:keywords/>
  <dc:description/>
  <cp:lastModifiedBy>Productivity Commission</cp:lastModifiedBy>
  <cp:revision>8</cp:revision>
  <cp:lastPrinted>2016-09-07T23:21:00Z</cp:lastPrinted>
  <dcterms:created xsi:type="dcterms:W3CDTF">2016-09-13T09:33:00Z</dcterms:created>
  <dcterms:modified xsi:type="dcterms:W3CDTF">2016-09-16T03:00:00Z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COA_CurrentPaperSetup">
    <vt:lpwstr>A4</vt:lpwstr>
  </property>
  <property fmtid="{D5CDD505-2E9C-101B-9397-08002B2CF9AE}" pid="3" name="MMCOA_BIC">
    <vt:bool>false</vt:bool>
  </property>
  <property fmtid="{D5CDD505-2E9C-101B-9397-08002B2CF9AE}" pid="4" name="MMCOA_Template">
    <vt:lpwstr>Letter.dot</vt:lpwstr>
  </property>
  <property fmtid="{D5CDD505-2E9C-101B-9397-08002B2CF9AE}" pid="5" name="MMCOA_PaperType">
    <vt:lpwstr>Plain</vt:lpwstr>
  </property>
  <property fmtid="{D5CDD505-2E9C-101B-9397-08002B2CF9AE}" pid="6" name="MMCOA_PaperResize">
    <vt:lpwstr>Standard</vt:lpwstr>
  </property>
  <property fmtid="{D5CDD505-2E9C-101B-9397-08002B2CF9AE}" pid="7" name="MMCOA_TemplateVersion">
    <vt:lpwstr>5.1</vt:lpwstr>
  </property>
  <property fmtid="{D5CDD505-2E9C-101B-9397-08002B2CF9AE}" pid="8" name="MMCOA_Redate">
    <vt:lpwstr>Date;DateHeader;</vt:lpwstr>
  </property>
  <property fmtid="{D5CDD505-2E9C-101B-9397-08002B2CF9AE}" pid="9" name="MMCOA_CreateEnvelope">
    <vt:bool>false</vt:bool>
  </property>
  <property fmtid="{D5CDD505-2E9C-101B-9397-08002B2CF9AE}" pid="10" name="MMCOA_Enclosure">
    <vt:bool>false</vt:bool>
  </property>
  <property fmtid="{D5CDD505-2E9C-101B-9397-08002B2CF9AE}" pid="11" name="MMCOA_UI_Language">
    <vt:lpwstr>en-GB</vt:lpwstr>
  </property>
  <property fmtid="{D5CDD505-2E9C-101B-9397-08002B2CF9AE}" pid="12" name="MMCOA_Language">
    <vt:lpwstr>en-AU</vt:lpwstr>
  </property>
  <property fmtid="{D5CDD505-2E9C-101B-9397-08002B2CF9AE}" pid="13" name="MMCOA_LanguageDateFormat">
    <vt:lpwstr>d MMMM yyyy</vt:lpwstr>
  </property>
  <property fmtid="{D5CDD505-2E9C-101B-9397-08002B2CF9AE}" pid="14" name="MMCOA_Date">
    <vt:lpwstr>27 April 2016</vt:lpwstr>
  </property>
  <property fmtid="{D5CDD505-2E9C-101B-9397-08002B2CF9AE}" pid="15" name="MMCOA_To">
    <vt:lpwstr>Superannuation</vt:lpwstr>
  </property>
  <property fmtid="{D5CDD505-2E9C-101B-9397-08002B2CF9AE}" pid="16" name="MMCOA_Organization">
    <vt:lpwstr>Productivity Commission</vt:lpwstr>
  </property>
  <property fmtid="{D5CDD505-2E9C-101B-9397-08002B2CF9AE}" pid="17" name="MMCOA_Copy">
    <vt:lpwstr/>
  </property>
  <property fmtid="{D5CDD505-2E9C-101B-9397-08002B2CF9AE}" pid="18" name="MMCOA_WindowEnvelope">
    <vt:lpwstr>Standard positioning</vt:lpwstr>
  </property>
  <property fmtid="{D5CDD505-2E9C-101B-9397-08002B2CF9AE}" pid="19" name="MMCOA_CompanyOption">
    <vt:lpwstr>79</vt:lpwstr>
  </property>
  <property fmtid="{D5CDD505-2E9C-101B-9397-08002B2CF9AE}" pid="20" name="MMCOA_BaseStyle">
    <vt:lpwstr>Base</vt:lpwstr>
  </property>
  <property fmtid="{D5CDD505-2E9C-101B-9397-08002B2CF9AE}" pid="21" name="MMCOA_TableStyles">
    <vt:lpwstr>Table Heading Text;Table Text</vt:lpwstr>
  </property>
  <property fmtid="{D5CDD505-2E9C-101B-9397-08002B2CF9AE}" pid="22" name="MMCOA_SuppressLogo">
    <vt:lpwstr>Logo Hide;Logo Hide 2;</vt:lpwstr>
  </property>
  <property fmtid="{D5CDD505-2E9C-101B-9397-08002B2CF9AE}" pid="23" name="MMCOA_SuppressLogoAddress">
    <vt:lpwstr>Logo Hide;Logo Hide 2;Text Hide;</vt:lpwstr>
  </property>
  <property fmtid="{D5CDD505-2E9C-101B-9397-08002B2CF9AE}" pid="24" name="MMCOA_StyleKeyBindings">
    <vt:lpwstr>NormalþHeading 1þHeading 2þHeading 3þList BulletþList Bullet 2þList Bullet 3þList Bullet 4þList NumberþList Number 2þList Number 3þList Number 4þNormal Indent 1þNormal Indent 2þNormal Indent 3þNormal </vt:lpwstr>
  </property>
  <property fmtid="{D5CDD505-2E9C-101B-9397-08002B2CF9AE}" pid="25" name="MMCOA_StyleKeyBindings2">
    <vt:lpwstr>Indent 4</vt:lpwstr>
  </property>
  <property fmtid="{D5CDD505-2E9C-101B-9397-08002B2CF9AE}" pid="26" name="MMCOA_StyleKeyBindingsKeys">
    <vt:lpwstr>846þ1585þ1586þ1587þ1590þ1591þ1592þ1593þ1648þ1649þ1650þ1651þ1653þ1654þ1655þ1656</vt:lpwstr>
  </property>
  <property fmtid="{D5CDD505-2E9C-101B-9397-08002B2CF9AE}" pid="27" name="MPR_DocID">
    <vt:lpwstr>0158488c22a2496b86fa9522458d5510</vt:lpwstr>
  </property>
  <property fmtid="{D5CDD505-2E9C-101B-9397-08002B2CF9AE}" pid="28" name="ContentTypeId">
    <vt:lpwstr>0x0101007916246811615643A710C6FEAFF56A871105006540C88292F9BF4D820E6FE7B022D1B4</vt:lpwstr>
  </property>
  <property fmtid="{D5CDD505-2E9C-101B-9397-08002B2CF9AE}" pid="29" name="c401844703f64372bb0e85d87d761fe6">
    <vt:lpwstr>Reference Only|923c7a19-3b10-4b1a-aa53-490b73d512fc</vt:lpwstr>
  </property>
  <property fmtid="{D5CDD505-2E9C-101B-9397-08002B2CF9AE}" pid="30" name="Record Tag">
    <vt:lpwstr>139;#Submissions|c6e0dbf8-5444-433c-844d-d567dd519a05</vt:lpwstr>
  </property>
  <property fmtid="{D5CDD505-2E9C-101B-9397-08002B2CF9AE}" pid="31" name="TaxKeyword">
    <vt:lpwstr/>
  </property>
  <property fmtid="{D5CDD505-2E9C-101B-9397-08002B2CF9AE}" pid="32" name="Retain">
    <vt:lpwstr>138;#Reference Only|923c7a19-3b10-4b1a-aa53-490b73d512fc</vt:lpwstr>
  </property>
</Properties>
</file>