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E4190" w14:textId="30E069CF" w:rsidR="00127BC0" w:rsidRDefault="00127BC0" w:rsidP="00D312FF">
      <w:pPr>
        <w:pStyle w:val="Body"/>
        <w:spacing w:after="0" w:line="240" w:lineRule="auto"/>
        <w:jc w:val="center"/>
        <w:rPr>
          <w:b/>
          <w:sz w:val="28"/>
          <w:szCs w:val="24"/>
          <w:lang w:val="en-US"/>
        </w:rPr>
      </w:pPr>
      <w:bookmarkStart w:id="0" w:name="_GoBack"/>
      <w:bookmarkEnd w:id="0"/>
      <w:r>
        <w:rPr>
          <w:b/>
          <w:sz w:val="28"/>
          <w:szCs w:val="24"/>
          <w:lang w:val="en-US"/>
        </w:rPr>
        <w:t>A Health Promoting Community Dental S</w:t>
      </w:r>
      <w:r w:rsidR="00FF2E1C">
        <w:rPr>
          <w:b/>
          <w:sz w:val="28"/>
          <w:szCs w:val="24"/>
          <w:lang w:val="en-US"/>
        </w:rPr>
        <w:t>ervice in Melbourne, Australia.</w:t>
      </w:r>
      <w:r w:rsidR="00AB1B7E" w:rsidRPr="00D312FF">
        <w:rPr>
          <w:b/>
          <w:sz w:val="28"/>
          <w:szCs w:val="24"/>
          <w:lang w:val="en-US"/>
        </w:rPr>
        <w:t xml:space="preserve"> </w:t>
      </w:r>
    </w:p>
    <w:p w14:paraId="53F5988B" w14:textId="3262C676" w:rsidR="002750DF" w:rsidRPr="00FF2E1C" w:rsidRDefault="00127BC0" w:rsidP="00FF2E1C">
      <w:pPr>
        <w:pStyle w:val="Heading1"/>
        <w:jc w:val="center"/>
        <w:rPr>
          <w:rFonts w:eastAsia="Arial" w:cs="Arial"/>
          <w:b/>
        </w:rPr>
      </w:pPr>
      <w:r w:rsidRPr="00FF2E1C">
        <w:rPr>
          <w:b/>
        </w:rPr>
        <w:t>THE NRCH-OH MODEL OF ORAL HEALTH CARE</w:t>
      </w:r>
    </w:p>
    <w:p w14:paraId="535BB00F" w14:textId="77777777" w:rsidR="002750DF" w:rsidRPr="00D312FF" w:rsidRDefault="002750DF">
      <w:pPr>
        <w:pStyle w:val="Body"/>
        <w:rPr>
          <w:rFonts w:eastAsia="Arial" w:cs="Arial"/>
          <w:sz w:val="24"/>
          <w:szCs w:val="24"/>
        </w:rPr>
      </w:pPr>
    </w:p>
    <w:p w14:paraId="7F7E1366" w14:textId="77777777" w:rsidR="002750DF" w:rsidRPr="00D312FF" w:rsidRDefault="00AB1B7E">
      <w:pPr>
        <w:pStyle w:val="Body"/>
        <w:spacing w:after="0" w:line="240" w:lineRule="auto"/>
        <w:rPr>
          <w:rFonts w:eastAsia="Arial" w:cs="Arial"/>
          <w:sz w:val="24"/>
          <w:szCs w:val="24"/>
        </w:rPr>
      </w:pPr>
      <w:r w:rsidRPr="00D312FF">
        <w:rPr>
          <w:b/>
          <w:bCs/>
          <w:sz w:val="24"/>
          <w:szCs w:val="24"/>
          <w:lang w:val="de-DE"/>
        </w:rPr>
        <w:t>INTRODUCTION</w:t>
      </w:r>
    </w:p>
    <w:p w14:paraId="22BB3C19" w14:textId="77777777" w:rsidR="002750DF" w:rsidRPr="00D312FF" w:rsidRDefault="002750DF">
      <w:pPr>
        <w:pStyle w:val="Body"/>
        <w:spacing w:after="0" w:line="240" w:lineRule="auto"/>
        <w:rPr>
          <w:rFonts w:eastAsia="Arial" w:cs="Arial"/>
          <w:sz w:val="24"/>
          <w:szCs w:val="24"/>
        </w:rPr>
      </w:pPr>
    </w:p>
    <w:p w14:paraId="03FD514B" w14:textId="2C48004B" w:rsidR="002750DF" w:rsidRPr="00D312FF" w:rsidRDefault="00AB1B7E" w:rsidP="00D312FF">
      <w:pPr>
        <w:pStyle w:val="Body"/>
        <w:spacing w:after="0" w:line="276" w:lineRule="auto"/>
        <w:contextualSpacing/>
        <w:jc w:val="both"/>
        <w:rPr>
          <w:rFonts w:eastAsia="Arial" w:cs="Arial"/>
          <w:sz w:val="24"/>
          <w:szCs w:val="24"/>
        </w:rPr>
      </w:pPr>
      <w:r w:rsidRPr="00D312FF">
        <w:rPr>
          <w:sz w:val="24"/>
          <w:szCs w:val="24"/>
          <w:lang w:val="en-US"/>
        </w:rPr>
        <w:t xml:space="preserve">Despite the best efforts and commitment of oral health programs, there </w:t>
      </w:r>
      <w:r w:rsidR="00FF7733" w:rsidRPr="00D312FF">
        <w:rPr>
          <w:sz w:val="24"/>
          <w:szCs w:val="24"/>
          <w:lang w:val="en-US"/>
        </w:rPr>
        <w:t>is</w:t>
      </w:r>
      <w:r w:rsidRPr="00D312FF">
        <w:rPr>
          <w:sz w:val="24"/>
          <w:szCs w:val="24"/>
          <w:lang w:val="en-US"/>
        </w:rPr>
        <w:t xml:space="preserve"> no </w:t>
      </w:r>
      <w:r w:rsidR="00FF7733" w:rsidRPr="00D312FF">
        <w:rPr>
          <w:sz w:val="24"/>
          <w:szCs w:val="24"/>
          <w:lang w:val="en-US"/>
        </w:rPr>
        <w:t xml:space="preserve">evidence of a </w:t>
      </w:r>
      <w:r w:rsidRPr="00D312FF">
        <w:rPr>
          <w:sz w:val="24"/>
          <w:szCs w:val="24"/>
          <w:lang w:val="en-US"/>
        </w:rPr>
        <w:t>reduction in oral disease</w:t>
      </w:r>
      <w:r w:rsidR="00FF7733" w:rsidRPr="00D312FF">
        <w:rPr>
          <w:sz w:val="24"/>
          <w:szCs w:val="24"/>
          <w:lang w:val="en-US"/>
        </w:rPr>
        <w:t>s</w:t>
      </w:r>
      <w:r w:rsidRPr="00D312FF">
        <w:rPr>
          <w:sz w:val="24"/>
          <w:szCs w:val="24"/>
          <w:lang w:val="en-US"/>
        </w:rPr>
        <w:t xml:space="preserve"> and corresponding dental treatment required by the </w:t>
      </w:r>
      <w:r w:rsidR="00FF7733" w:rsidRPr="00D312FF">
        <w:rPr>
          <w:sz w:val="24"/>
          <w:szCs w:val="24"/>
          <w:lang w:val="en-US"/>
        </w:rPr>
        <w:t xml:space="preserve">Australian </w:t>
      </w:r>
      <w:r w:rsidRPr="00D312FF">
        <w:rPr>
          <w:sz w:val="24"/>
          <w:szCs w:val="24"/>
          <w:lang w:val="en-US"/>
        </w:rPr>
        <w:t>community. In fact, Australian evidence indicates the oral health of the community could be getting worse,</w:t>
      </w:r>
      <w:r w:rsidRPr="00D312FF">
        <w:rPr>
          <w:sz w:val="24"/>
          <w:szCs w:val="24"/>
          <w:vertAlign w:val="superscript"/>
        </w:rPr>
        <w:t>1</w:t>
      </w:r>
      <w:r w:rsidRPr="00D312FF">
        <w:rPr>
          <w:sz w:val="24"/>
          <w:szCs w:val="24"/>
          <w:lang w:val="en-US"/>
        </w:rPr>
        <w:t xml:space="preserve"> particularly among children, with caries prevalence increasing by 26% among 6-year–olds and 14% among 12-year–</w:t>
      </w:r>
      <w:r w:rsidRPr="00D312FF">
        <w:rPr>
          <w:sz w:val="24"/>
          <w:szCs w:val="24"/>
        </w:rPr>
        <w:t>olds (Spencer 2008).</w:t>
      </w:r>
      <w:r w:rsidRPr="00D312FF">
        <w:rPr>
          <w:sz w:val="24"/>
          <w:szCs w:val="24"/>
          <w:lang w:val="en-US"/>
        </w:rPr>
        <w:t xml:space="preserve"> However concurrently, a 60% increase was observed in the number </w:t>
      </w:r>
      <w:r w:rsidRPr="00D312FF">
        <w:rPr>
          <w:sz w:val="24"/>
          <w:szCs w:val="24"/>
        </w:rPr>
        <w:t xml:space="preserve">of </w:t>
      </w:r>
      <w:r w:rsidRPr="00D312FF">
        <w:rPr>
          <w:sz w:val="24"/>
          <w:szCs w:val="24"/>
          <w:lang w:val="en-US"/>
        </w:rPr>
        <w:t>disease free children, which indicates that dental caries is increasingly concentrated in certain sections of the community</w:t>
      </w:r>
      <w:r w:rsidRPr="00D312FF">
        <w:rPr>
          <w:sz w:val="24"/>
          <w:szCs w:val="24"/>
        </w:rPr>
        <w:t xml:space="preserve"> that are considered to be </w:t>
      </w:r>
      <w:r w:rsidR="00D312FF" w:rsidRPr="00D312FF">
        <w:rPr>
          <w:sz w:val="24"/>
          <w:szCs w:val="24"/>
        </w:rPr>
        <w:t xml:space="preserve">at </w:t>
      </w:r>
      <w:r w:rsidR="00D312FF" w:rsidRPr="00D312FF">
        <w:rPr>
          <w:sz w:val="24"/>
          <w:szCs w:val="24"/>
          <w:lang w:val="en-US"/>
        </w:rPr>
        <w:t>high</w:t>
      </w:r>
      <w:r w:rsidRPr="00D312FF">
        <w:rPr>
          <w:sz w:val="24"/>
          <w:szCs w:val="24"/>
          <w:lang w:val="en-US"/>
        </w:rPr>
        <w:t xml:space="preserve"> risk </w:t>
      </w:r>
      <w:r w:rsidRPr="00D312FF">
        <w:rPr>
          <w:sz w:val="24"/>
          <w:szCs w:val="24"/>
        </w:rPr>
        <w:t>to dental caries.</w:t>
      </w:r>
      <w:r w:rsidRPr="00D312FF">
        <w:rPr>
          <w:sz w:val="24"/>
          <w:szCs w:val="24"/>
          <w:vertAlign w:val="superscript"/>
        </w:rPr>
        <w:t>2</w:t>
      </w:r>
    </w:p>
    <w:p w14:paraId="3423849B" w14:textId="50568599" w:rsidR="00D312FF" w:rsidRPr="00D312FF" w:rsidRDefault="00AB1B7E" w:rsidP="00D312FF">
      <w:pPr>
        <w:pStyle w:val="Body"/>
        <w:spacing w:after="0" w:line="276" w:lineRule="auto"/>
        <w:jc w:val="both"/>
        <w:rPr>
          <w:sz w:val="24"/>
          <w:szCs w:val="24"/>
          <w:lang w:val="en-US"/>
        </w:rPr>
      </w:pPr>
      <w:r w:rsidRPr="00D312FF">
        <w:rPr>
          <w:sz w:val="24"/>
          <w:szCs w:val="24"/>
          <w:lang w:val="en-US"/>
        </w:rPr>
        <w:t xml:space="preserve">The </w:t>
      </w:r>
      <w:r w:rsidRPr="00D312FF">
        <w:rPr>
          <w:sz w:val="24"/>
          <w:szCs w:val="24"/>
        </w:rPr>
        <w:t xml:space="preserve">current model of oral health service </w:t>
      </w:r>
      <w:r w:rsidR="00D312FF" w:rsidRPr="00D312FF">
        <w:rPr>
          <w:sz w:val="24"/>
          <w:szCs w:val="24"/>
        </w:rPr>
        <w:t xml:space="preserve">delivery </w:t>
      </w:r>
      <w:r w:rsidR="00D312FF" w:rsidRPr="00D312FF">
        <w:rPr>
          <w:sz w:val="24"/>
          <w:szCs w:val="24"/>
          <w:lang w:val="en-US"/>
        </w:rPr>
        <w:t>in</w:t>
      </w:r>
      <w:r w:rsidRPr="00D312FF">
        <w:rPr>
          <w:sz w:val="24"/>
          <w:szCs w:val="24"/>
          <w:lang w:val="en-US"/>
        </w:rPr>
        <w:t xml:space="preserve"> Australia needs to change for several reasons: </w:t>
      </w:r>
    </w:p>
    <w:p w14:paraId="716E8DBC" w14:textId="71106C31" w:rsidR="00D312FF" w:rsidRPr="00D312FF" w:rsidRDefault="00AB1B7E" w:rsidP="00367B30">
      <w:pPr>
        <w:pStyle w:val="Body"/>
        <w:numPr>
          <w:ilvl w:val="0"/>
          <w:numId w:val="36"/>
        </w:numPr>
        <w:spacing w:after="0" w:line="276" w:lineRule="auto"/>
        <w:jc w:val="both"/>
        <w:rPr>
          <w:sz w:val="24"/>
          <w:szCs w:val="24"/>
          <w:lang w:val="en-US"/>
        </w:rPr>
      </w:pPr>
      <w:r w:rsidRPr="00D312FF">
        <w:rPr>
          <w:sz w:val="24"/>
          <w:szCs w:val="24"/>
          <w:lang w:val="en-US"/>
        </w:rPr>
        <w:t>Population demographics are rapidly changing with a projected increase in Australia’s population by 56% in 2056; increasing overseas migration; and the doubling of the proportion of people over 65 years by 2056.</w:t>
      </w:r>
      <w:r w:rsidRPr="00D312FF">
        <w:rPr>
          <w:sz w:val="24"/>
          <w:szCs w:val="24"/>
          <w:vertAlign w:val="superscript"/>
        </w:rPr>
        <w:t>3</w:t>
      </w:r>
      <w:r w:rsidR="007421FF" w:rsidRPr="00D312FF">
        <w:rPr>
          <w:sz w:val="24"/>
          <w:szCs w:val="24"/>
          <w:lang w:val="en-US"/>
        </w:rPr>
        <w:t>.</w:t>
      </w:r>
      <w:r w:rsidRPr="00D312FF">
        <w:rPr>
          <w:sz w:val="24"/>
          <w:szCs w:val="24"/>
          <w:lang w:val="en-US"/>
        </w:rPr>
        <w:t xml:space="preserve"> There is concern that these demographic changes will put immense and unsustainable pressure on an already overextended health care system.</w:t>
      </w:r>
      <w:r w:rsidRPr="00D312FF">
        <w:rPr>
          <w:sz w:val="24"/>
          <w:szCs w:val="24"/>
          <w:vertAlign w:val="superscript"/>
        </w:rPr>
        <w:t>5</w:t>
      </w:r>
      <w:r w:rsidRPr="00D312FF">
        <w:rPr>
          <w:sz w:val="24"/>
          <w:szCs w:val="24"/>
          <w:lang w:val="en-US"/>
        </w:rPr>
        <w:t xml:space="preserve"> A key challenge will be to manage noncommunicable diseases, that are more prevalent among the elderly (65+ years), such as oral </w:t>
      </w:r>
      <w:r w:rsidRPr="00D312FF">
        <w:rPr>
          <w:sz w:val="24"/>
          <w:szCs w:val="24"/>
        </w:rPr>
        <w:t xml:space="preserve">diseases </w:t>
      </w:r>
      <w:r w:rsidRPr="00D312FF">
        <w:rPr>
          <w:sz w:val="24"/>
          <w:szCs w:val="24"/>
          <w:lang w:val="en-US"/>
        </w:rPr>
        <w:t xml:space="preserve">, diabetes, heart, stroke and vascular diseases; arthritis; cancers; and </w:t>
      </w:r>
      <w:r w:rsidR="00D312FF" w:rsidRPr="00D312FF">
        <w:rPr>
          <w:sz w:val="24"/>
          <w:szCs w:val="24"/>
          <w:lang w:val="en-US"/>
        </w:rPr>
        <w:t>hypertension</w:t>
      </w:r>
      <w:r w:rsidRPr="00D312FF">
        <w:rPr>
          <w:sz w:val="24"/>
          <w:szCs w:val="24"/>
        </w:rPr>
        <w:t>.</w:t>
      </w:r>
      <w:r w:rsidRPr="00D312FF">
        <w:rPr>
          <w:sz w:val="24"/>
          <w:szCs w:val="24"/>
          <w:vertAlign w:val="superscript"/>
        </w:rPr>
        <w:t>6</w:t>
      </w:r>
      <w:r w:rsidRPr="00D312FF">
        <w:rPr>
          <w:sz w:val="24"/>
          <w:szCs w:val="24"/>
          <w:lang w:val="en-US"/>
        </w:rPr>
        <w:t xml:space="preserve"> In addition, dementia is a significant health issue among older Australians, with the prevalence expected to double by 2050.</w:t>
      </w:r>
      <w:r w:rsidRPr="00D312FF">
        <w:rPr>
          <w:sz w:val="24"/>
          <w:szCs w:val="24"/>
          <w:vertAlign w:val="superscript"/>
        </w:rPr>
        <w:t>7</w:t>
      </w:r>
      <w:r w:rsidRPr="00D312FF">
        <w:rPr>
          <w:sz w:val="24"/>
          <w:szCs w:val="24"/>
        </w:rPr>
        <w:t xml:space="preserve"> The presence of oral diseases greatly affects the management of these chronic non-communicable diseas</w:t>
      </w:r>
      <w:r w:rsidR="00D312FF" w:rsidRPr="00D312FF">
        <w:rPr>
          <w:sz w:val="24"/>
          <w:szCs w:val="24"/>
        </w:rPr>
        <w:t>es</w:t>
      </w:r>
      <w:r w:rsidRPr="00D312FF">
        <w:rPr>
          <w:sz w:val="24"/>
          <w:szCs w:val="24"/>
        </w:rPr>
        <w:t xml:space="preserve">.  </w:t>
      </w:r>
      <w:r w:rsidRPr="00D312FF">
        <w:rPr>
          <w:sz w:val="24"/>
          <w:szCs w:val="24"/>
          <w:lang w:val="en-US"/>
        </w:rPr>
        <w:t>Evidence shows that people visit the dentist more often as they grow older.</w:t>
      </w:r>
      <w:r w:rsidRPr="00D312FF">
        <w:rPr>
          <w:rFonts w:eastAsia="Arial" w:cs="Arial"/>
          <w:sz w:val="24"/>
          <w:szCs w:val="24"/>
          <w:vertAlign w:val="superscript"/>
        </w:rPr>
        <w:fldChar w:fldCharType="begin"/>
      </w:r>
      <w:r w:rsidRPr="00D312FF">
        <w:rPr>
          <w:rFonts w:eastAsia="Arial" w:cs="Arial"/>
          <w:sz w:val="24"/>
          <w:szCs w:val="24"/>
          <w:vertAlign w:val="superscript"/>
        </w:rPr>
        <w:instrText xml:space="preserve"> ADDIN EN.CITE &lt;EndNote&gt;&lt;Cite&gt;&lt;DisplayText&gt;8&lt;/DisplayText&gt;&lt;record&gt;&lt;/record&gt;&lt;/Cite&gt;&lt;/EndNote&gt;</w:instrText>
      </w:r>
      <w:r w:rsidRPr="00D312FF">
        <w:rPr>
          <w:rFonts w:eastAsia="Arial" w:cs="Arial"/>
          <w:sz w:val="24"/>
          <w:szCs w:val="24"/>
          <w:vertAlign w:val="superscript"/>
        </w:rPr>
        <w:fldChar w:fldCharType="separate"/>
      </w:r>
      <w:r w:rsidRPr="00D312FF">
        <w:rPr>
          <w:sz w:val="24"/>
          <w:szCs w:val="24"/>
          <w:vertAlign w:val="superscript"/>
        </w:rPr>
        <w:t>8</w:t>
      </w:r>
      <w:r w:rsidRPr="00D312FF">
        <w:rPr>
          <w:rFonts w:eastAsia="Arial" w:cs="Arial"/>
          <w:sz w:val="24"/>
          <w:szCs w:val="24"/>
          <w:vertAlign w:val="superscript"/>
        </w:rPr>
        <w:fldChar w:fldCharType="end"/>
      </w:r>
      <w:r w:rsidRPr="00D312FF">
        <w:rPr>
          <w:sz w:val="24"/>
          <w:szCs w:val="24"/>
          <w:lang w:val="en-US"/>
        </w:rPr>
        <w:t xml:space="preserve"> Oral health significantly impacts overall health and quality of life and is a key factor for healthy ageing.</w:t>
      </w:r>
      <w:r w:rsidRPr="00D312FF">
        <w:rPr>
          <w:sz w:val="24"/>
          <w:szCs w:val="24"/>
          <w:vertAlign w:val="superscript"/>
        </w:rPr>
        <w:t>9</w:t>
      </w:r>
      <w:r w:rsidRPr="00D312FF">
        <w:rPr>
          <w:sz w:val="24"/>
          <w:szCs w:val="24"/>
          <w:lang w:val="en-US"/>
        </w:rPr>
        <w:t xml:space="preserve"> It is well documented that newly arrived refugees and migrants are also at a greater risk of oral diseases due to their socio-cultural-economic-environmental backgrounds.</w:t>
      </w:r>
      <w:r w:rsidRPr="00D312FF">
        <w:rPr>
          <w:sz w:val="24"/>
          <w:szCs w:val="24"/>
          <w:vertAlign w:val="superscript"/>
        </w:rPr>
        <w:t>10</w:t>
      </w:r>
      <w:r w:rsidRPr="00D312FF">
        <w:rPr>
          <w:sz w:val="24"/>
          <w:szCs w:val="24"/>
          <w:lang w:val="en-US"/>
        </w:rPr>
        <w:t xml:space="preserve"> Dental services need to be prepared for these challenges and opportunities that will accompany the projected change in demographics by re-orienting their service delivery models of care,</w:t>
      </w:r>
      <w:r w:rsidRPr="00D312FF">
        <w:rPr>
          <w:sz w:val="24"/>
          <w:szCs w:val="24"/>
          <w:vertAlign w:val="superscript"/>
        </w:rPr>
        <w:t>11</w:t>
      </w:r>
      <w:r w:rsidRPr="00D312FF">
        <w:rPr>
          <w:sz w:val="24"/>
          <w:szCs w:val="24"/>
          <w:lang w:val="en-US"/>
        </w:rPr>
        <w:t xml:space="preserve"> especially if effectiveness and eff</w:t>
      </w:r>
      <w:r w:rsidR="00D312FF" w:rsidRPr="00D312FF">
        <w:rPr>
          <w:sz w:val="24"/>
          <w:szCs w:val="24"/>
          <w:lang w:val="en-US"/>
        </w:rPr>
        <w:t>iciency is to be maintained in the</w:t>
      </w:r>
      <w:r w:rsidRPr="00D312FF">
        <w:rPr>
          <w:sz w:val="24"/>
          <w:szCs w:val="24"/>
          <w:lang w:val="en-US"/>
        </w:rPr>
        <w:t xml:space="preserve"> financially constrained public dental service environment.</w:t>
      </w:r>
      <w:r w:rsidRPr="00D312FF">
        <w:rPr>
          <w:sz w:val="24"/>
          <w:szCs w:val="24"/>
          <w:vertAlign w:val="superscript"/>
        </w:rPr>
        <w:t>12</w:t>
      </w:r>
      <w:r w:rsidRPr="00D312FF">
        <w:rPr>
          <w:sz w:val="24"/>
          <w:szCs w:val="24"/>
          <w:lang w:val="en-US"/>
        </w:rPr>
        <w:t xml:space="preserve"> </w:t>
      </w:r>
    </w:p>
    <w:p w14:paraId="313D1CE5" w14:textId="65D4D96E" w:rsidR="00D312FF" w:rsidRPr="00D312FF" w:rsidRDefault="007421FF" w:rsidP="00367B30">
      <w:pPr>
        <w:pStyle w:val="Body"/>
        <w:numPr>
          <w:ilvl w:val="0"/>
          <w:numId w:val="36"/>
        </w:numPr>
        <w:spacing w:after="0" w:line="276" w:lineRule="auto"/>
        <w:jc w:val="both"/>
        <w:rPr>
          <w:sz w:val="24"/>
          <w:szCs w:val="24"/>
          <w:lang w:val="en-US"/>
        </w:rPr>
      </w:pPr>
      <w:r w:rsidRPr="00D312FF">
        <w:rPr>
          <w:sz w:val="24"/>
          <w:szCs w:val="24"/>
          <w:lang w:val="en-US"/>
        </w:rPr>
        <w:t xml:space="preserve">The focus is on managing the symptoms of the oral disease rather than managing the disease itself. </w:t>
      </w:r>
      <w:r w:rsidR="00AB1B7E" w:rsidRPr="00D312FF">
        <w:rPr>
          <w:sz w:val="24"/>
          <w:szCs w:val="24"/>
          <w:lang w:val="en-US"/>
        </w:rPr>
        <w:t xml:space="preserve">It is now well understood that </w:t>
      </w:r>
      <w:r w:rsidR="00F1742C" w:rsidRPr="00D312FF">
        <w:rPr>
          <w:sz w:val="24"/>
          <w:szCs w:val="24"/>
          <w:lang w:val="en-US"/>
        </w:rPr>
        <w:t xml:space="preserve">the traditional </w:t>
      </w:r>
      <w:r w:rsidR="00661BAE" w:rsidRPr="00D312FF">
        <w:rPr>
          <w:sz w:val="24"/>
          <w:szCs w:val="24"/>
          <w:lang w:val="en-US"/>
        </w:rPr>
        <w:t xml:space="preserve">surgical </w:t>
      </w:r>
      <w:r w:rsidR="00F1742C" w:rsidRPr="00D312FF">
        <w:rPr>
          <w:sz w:val="24"/>
          <w:szCs w:val="24"/>
          <w:lang w:val="en-US"/>
        </w:rPr>
        <w:t>model of oral health care</w:t>
      </w:r>
      <w:r w:rsidR="00AB1B7E" w:rsidRPr="00D312FF">
        <w:rPr>
          <w:sz w:val="24"/>
          <w:szCs w:val="24"/>
          <w:lang w:val="en-US"/>
        </w:rPr>
        <w:t xml:space="preserve"> will never successfully </w:t>
      </w:r>
      <w:r w:rsidR="00F1742C" w:rsidRPr="00D312FF">
        <w:rPr>
          <w:sz w:val="24"/>
          <w:szCs w:val="24"/>
          <w:lang w:val="en-US"/>
        </w:rPr>
        <w:t>manage the</w:t>
      </w:r>
      <w:r w:rsidR="00AB1B7E" w:rsidRPr="00D312FF">
        <w:rPr>
          <w:sz w:val="24"/>
          <w:szCs w:val="24"/>
          <w:lang w:val="en-US"/>
        </w:rPr>
        <w:t xml:space="preserve"> disease</w:t>
      </w:r>
      <w:r w:rsidR="00D312FF" w:rsidRPr="00D312FF">
        <w:rPr>
          <w:sz w:val="24"/>
          <w:szCs w:val="24"/>
          <w:lang w:val="en-US"/>
        </w:rPr>
        <w:t xml:space="preserve"> itself</w:t>
      </w:r>
      <w:r w:rsidR="00F1742C" w:rsidRPr="00D312FF">
        <w:rPr>
          <w:sz w:val="24"/>
          <w:szCs w:val="24"/>
          <w:lang w:val="en-US"/>
        </w:rPr>
        <w:t xml:space="preserve">. </w:t>
      </w:r>
      <w:r w:rsidR="00F33048" w:rsidRPr="00D312FF">
        <w:rPr>
          <w:sz w:val="24"/>
          <w:szCs w:val="24"/>
          <w:lang w:val="en-US"/>
        </w:rPr>
        <w:t xml:space="preserve">The focus on symptomatic surgical treatment of </w:t>
      </w:r>
      <w:r w:rsidR="0075605A" w:rsidRPr="00D312FF">
        <w:rPr>
          <w:sz w:val="24"/>
          <w:szCs w:val="24"/>
          <w:lang w:val="en-US"/>
        </w:rPr>
        <w:t>presenting disease pathology</w:t>
      </w:r>
      <w:r w:rsidR="00F33048" w:rsidRPr="00D312FF">
        <w:rPr>
          <w:sz w:val="24"/>
          <w:szCs w:val="24"/>
          <w:lang w:val="en-US"/>
        </w:rPr>
        <w:t xml:space="preserve"> (such as cavities) has moved dentistry, away from managing the disease.</w:t>
      </w:r>
      <w:r w:rsidR="005801EC" w:rsidRPr="00D312FF">
        <w:rPr>
          <w:sz w:val="24"/>
          <w:szCs w:val="24"/>
          <w:lang w:val="en-US"/>
        </w:rPr>
        <w:t xml:space="preserve"> As a result oral diseases and the disparities in disease levels between population subgroups </w:t>
      </w:r>
      <w:r w:rsidR="00FF2E1C">
        <w:rPr>
          <w:sz w:val="24"/>
          <w:szCs w:val="24"/>
          <w:lang w:val="en-US"/>
        </w:rPr>
        <w:t>continue to be highly prevalent</w:t>
      </w:r>
      <w:r w:rsidR="005801EC" w:rsidRPr="00D312FF">
        <w:rPr>
          <w:sz w:val="24"/>
          <w:szCs w:val="24"/>
          <w:lang w:val="en-US"/>
        </w:rPr>
        <w:t>.</w:t>
      </w:r>
    </w:p>
    <w:p w14:paraId="3191FDEC" w14:textId="77777777" w:rsidR="00D312FF" w:rsidRPr="00D312FF" w:rsidRDefault="00AB1B7E" w:rsidP="00D312FF">
      <w:pPr>
        <w:pStyle w:val="Body"/>
        <w:spacing w:after="0" w:line="276" w:lineRule="auto"/>
        <w:ind w:left="360"/>
        <w:jc w:val="both"/>
        <w:rPr>
          <w:sz w:val="24"/>
          <w:szCs w:val="24"/>
          <w:lang w:val="en-US"/>
        </w:rPr>
      </w:pPr>
      <w:r w:rsidRPr="00D312FF">
        <w:rPr>
          <w:sz w:val="24"/>
          <w:szCs w:val="24"/>
        </w:rPr>
        <w:lastRenderedPageBreak/>
        <w:t xml:space="preserve">A study by </w:t>
      </w:r>
      <w:hyperlink r:id="rId14" w:history="1">
        <w:proofErr w:type="spellStart"/>
        <w:r w:rsidRPr="00D312FF">
          <w:rPr>
            <w:rStyle w:val="Hyperlink1"/>
            <w:rFonts w:ascii="Calibri" w:hAnsi="Calibri"/>
            <w:sz w:val="24"/>
            <w:szCs w:val="24"/>
          </w:rPr>
          <w:t>Nadanovsky</w:t>
        </w:r>
        <w:proofErr w:type="spellEnd"/>
        <w:r w:rsidRPr="00D312FF">
          <w:rPr>
            <w:rStyle w:val="Hyperlink1"/>
            <w:rFonts w:ascii="Calibri" w:hAnsi="Calibri"/>
            <w:sz w:val="24"/>
            <w:szCs w:val="24"/>
          </w:rPr>
          <w:t xml:space="preserve"> </w:t>
        </w:r>
      </w:hyperlink>
      <w:r w:rsidRPr="00D312FF">
        <w:rPr>
          <w:sz w:val="24"/>
          <w:szCs w:val="24"/>
        </w:rPr>
        <w:t xml:space="preserve">&amp; </w:t>
      </w:r>
      <w:hyperlink r:id="rId15" w:history="1">
        <w:r w:rsidRPr="00D312FF">
          <w:rPr>
            <w:rStyle w:val="Hyperlink1"/>
            <w:rFonts w:ascii="Calibri" w:hAnsi="Calibri"/>
            <w:sz w:val="24"/>
            <w:szCs w:val="24"/>
            <w:lang w:val="de-DE"/>
          </w:rPr>
          <w:t>Sheiham</w:t>
        </w:r>
      </w:hyperlink>
      <w:r w:rsidRPr="00D312FF">
        <w:rPr>
          <w:sz w:val="24"/>
          <w:szCs w:val="24"/>
          <w:lang w:val="en-US"/>
        </w:rPr>
        <w:t xml:space="preserve"> (1995), showed that dental services explained only about 3% of the differences in change in 12-year-old caries levels across several countries.</w:t>
      </w:r>
      <w:r w:rsidRPr="00D312FF">
        <w:rPr>
          <w:rFonts w:eastAsia="Arial" w:cs="Arial"/>
          <w:sz w:val="24"/>
          <w:szCs w:val="24"/>
          <w:vertAlign w:val="superscript"/>
        </w:rPr>
        <w:fldChar w:fldCharType="begin"/>
      </w:r>
      <w:r w:rsidRPr="00D312FF">
        <w:rPr>
          <w:rFonts w:eastAsia="Arial" w:cs="Arial"/>
          <w:sz w:val="24"/>
          <w:szCs w:val="24"/>
          <w:vertAlign w:val="superscript"/>
        </w:rPr>
        <w:instrText xml:space="preserve"> ADDIN EN.CITE &lt;EndNote&gt;&lt;Cite&gt;&lt;DisplayText&gt;13&lt;/DisplayText&gt;&lt;record&gt;&lt;/record&gt;&lt;/Cite&gt;&lt;/EndNote&gt;</w:instrText>
      </w:r>
      <w:r w:rsidRPr="00D312FF">
        <w:rPr>
          <w:rFonts w:eastAsia="Arial" w:cs="Arial"/>
          <w:sz w:val="24"/>
          <w:szCs w:val="24"/>
          <w:vertAlign w:val="superscript"/>
        </w:rPr>
        <w:fldChar w:fldCharType="separate"/>
      </w:r>
      <w:r w:rsidRPr="00D312FF">
        <w:rPr>
          <w:sz w:val="24"/>
          <w:szCs w:val="24"/>
          <w:vertAlign w:val="superscript"/>
        </w:rPr>
        <w:t>13</w:t>
      </w:r>
      <w:r w:rsidRPr="00D312FF">
        <w:rPr>
          <w:rFonts w:eastAsia="Arial" w:cs="Arial"/>
          <w:sz w:val="24"/>
          <w:szCs w:val="24"/>
          <w:vertAlign w:val="superscript"/>
        </w:rPr>
        <w:fldChar w:fldCharType="end"/>
      </w:r>
      <w:r w:rsidRPr="00D312FF">
        <w:rPr>
          <w:sz w:val="24"/>
          <w:szCs w:val="24"/>
          <w:lang w:val="en-US"/>
        </w:rPr>
        <w:t xml:space="preserve"> Socio-economic factors had the largest impact independent of the use of fluoridated toothpaste. </w:t>
      </w:r>
      <w:r w:rsidR="001650F7" w:rsidRPr="00D312FF">
        <w:rPr>
          <w:sz w:val="24"/>
          <w:szCs w:val="24"/>
          <w:lang w:val="en-US"/>
        </w:rPr>
        <w:t>Hence, for effective disease management and sustained oral health outcomes, it is necessary to manage underlying risk factors as well as the disease presentati</w:t>
      </w:r>
      <w:r w:rsidR="00DE0686" w:rsidRPr="00D312FF">
        <w:rPr>
          <w:sz w:val="24"/>
          <w:szCs w:val="24"/>
          <w:lang w:val="en-US"/>
        </w:rPr>
        <w:t>on</w:t>
      </w:r>
      <w:r w:rsidR="001650F7" w:rsidRPr="00D312FF">
        <w:rPr>
          <w:sz w:val="24"/>
          <w:szCs w:val="24"/>
          <w:lang w:val="en-US"/>
        </w:rPr>
        <w:t xml:space="preserve">. </w:t>
      </w:r>
      <w:r w:rsidRPr="00D312FF">
        <w:rPr>
          <w:sz w:val="24"/>
          <w:szCs w:val="24"/>
          <w:lang w:val="en-US"/>
        </w:rPr>
        <w:t>It is propo</w:t>
      </w:r>
      <w:r w:rsidR="00DE0686" w:rsidRPr="00D312FF">
        <w:rPr>
          <w:sz w:val="24"/>
          <w:szCs w:val="24"/>
          <w:lang w:val="en-US"/>
        </w:rPr>
        <w:t>sed that a risk-based minimally-</w:t>
      </w:r>
      <w:r w:rsidRPr="00D312FF">
        <w:rPr>
          <w:sz w:val="24"/>
          <w:szCs w:val="24"/>
          <w:lang w:val="en-US"/>
        </w:rPr>
        <w:t xml:space="preserve">invasive oral disease </w:t>
      </w:r>
      <w:r w:rsidR="00661BAE" w:rsidRPr="00D312FF">
        <w:rPr>
          <w:sz w:val="24"/>
          <w:szCs w:val="24"/>
          <w:lang w:val="en-US"/>
        </w:rPr>
        <w:t>management model</w:t>
      </w:r>
      <w:r w:rsidRPr="00D312FF">
        <w:rPr>
          <w:sz w:val="24"/>
          <w:szCs w:val="24"/>
          <w:lang w:val="en-US"/>
        </w:rPr>
        <w:t xml:space="preserve"> of care may lead to a sustainable benefit to the oral health status of the individual and community</w:t>
      </w:r>
      <w:r w:rsidRPr="00D312FF">
        <w:rPr>
          <w:sz w:val="24"/>
          <w:szCs w:val="24"/>
        </w:rPr>
        <w:t xml:space="preserve"> group.</w:t>
      </w:r>
      <w:r w:rsidRPr="00D312FF">
        <w:rPr>
          <w:sz w:val="24"/>
          <w:szCs w:val="24"/>
          <w:vertAlign w:val="superscript"/>
        </w:rPr>
        <w:t>14</w:t>
      </w:r>
      <w:r w:rsidRPr="00D312FF">
        <w:rPr>
          <w:sz w:val="24"/>
          <w:szCs w:val="24"/>
          <w:lang w:val="en-US"/>
        </w:rPr>
        <w:t xml:space="preserve"> </w:t>
      </w:r>
    </w:p>
    <w:p w14:paraId="174EA6D2" w14:textId="546E5ED4" w:rsidR="002750DF" w:rsidRPr="00D312FF" w:rsidRDefault="00AB1B7E" w:rsidP="00367B30">
      <w:pPr>
        <w:pStyle w:val="Body"/>
        <w:numPr>
          <w:ilvl w:val="0"/>
          <w:numId w:val="36"/>
        </w:numPr>
        <w:spacing w:after="0" w:line="276" w:lineRule="auto"/>
        <w:jc w:val="both"/>
        <w:rPr>
          <w:sz w:val="24"/>
          <w:szCs w:val="24"/>
          <w:lang w:val="en-US"/>
        </w:rPr>
      </w:pPr>
      <w:r w:rsidRPr="00D312FF">
        <w:rPr>
          <w:sz w:val="24"/>
          <w:szCs w:val="24"/>
          <w:lang w:val="en-US"/>
        </w:rPr>
        <w:t xml:space="preserve">The chances of success in reducing risk of oral disease is greatly increased by considering </w:t>
      </w:r>
      <w:r w:rsidR="00D312FF" w:rsidRPr="00D312FF">
        <w:rPr>
          <w:sz w:val="24"/>
          <w:szCs w:val="24"/>
          <w:lang w:val="en-US"/>
        </w:rPr>
        <w:t>the common oral</w:t>
      </w:r>
      <w:r w:rsidRPr="00D312FF">
        <w:rPr>
          <w:sz w:val="24"/>
          <w:szCs w:val="24"/>
          <w:lang w:val="en-US"/>
        </w:rPr>
        <w:t xml:space="preserve"> disease</w:t>
      </w:r>
      <w:r w:rsidR="00D312FF" w:rsidRPr="00D312FF">
        <w:rPr>
          <w:sz w:val="24"/>
          <w:szCs w:val="24"/>
          <w:lang w:val="en-US"/>
        </w:rPr>
        <w:t>s</w:t>
      </w:r>
      <w:r w:rsidRPr="00D312FF">
        <w:rPr>
          <w:sz w:val="24"/>
          <w:szCs w:val="24"/>
          <w:lang w:val="en-US"/>
        </w:rPr>
        <w:t xml:space="preserve"> to be “behavioural diseases with a bacterial component”</w:t>
      </w:r>
      <w:r w:rsidRPr="00D312FF">
        <w:rPr>
          <w:sz w:val="24"/>
          <w:szCs w:val="24"/>
        </w:rPr>
        <w:t>;</w:t>
      </w:r>
      <w:r w:rsidRPr="00D312FF">
        <w:rPr>
          <w:sz w:val="24"/>
          <w:szCs w:val="24"/>
          <w:vertAlign w:val="superscript"/>
        </w:rPr>
        <w:t>15</w:t>
      </w:r>
      <w:r w:rsidRPr="00D312FF">
        <w:rPr>
          <w:sz w:val="24"/>
          <w:szCs w:val="24"/>
          <w:lang w:val="en-US"/>
        </w:rPr>
        <w:t xml:space="preserve"> thereby, making personal behaviour change key in management strategies. Dental awareness programs need to focus not only on the individual behaviour but take an all-inclusive approach which considers their environment</w:t>
      </w:r>
      <w:r w:rsidRPr="00D312FF">
        <w:rPr>
          <w:sz w:val="24"/>
          <w:szCs w:val="24"/>
        </w:rPr>
        <w:t>, their health status</w:t>
      </w:r>
      <w:r w:rsidRPr="00D312FF">
        <w:rPr>
          <w:sz w:val="24"/>
          <w:szCs w:val="24"/>
          <w:lang w:val="en-US"/>
        </w:rPr>
        <w:t xml:space="preserve"> </w:t>
      </w:r>
      <w:r w:rsidR="009664B6" w:rsidRPr="00D312FF">
        <w:rPr>
          <w:sz w:val="24"/>
          <w:szCs w:val="24"/>
          <w:lang w:val="en-US"/>
        </w:rPr>
        <w:t xml:space="preserve">and </w:t>
      </w:r>
      <w:r w:rsidR="009664B6" w:rsidRPr="00D312FF">
        <w:rPr>
          <w:sz w:val="24"/>
          <w:szCs w:val="24"/>
        </w:rPr>
        <w:t>family</w:t>
      </w:r>
      <w:r w:rsidRPr="00D312FF">
        <w:rPr>
          <w:sz w:val="24"/>
          <w:szCs w:val="24"/>
        </w:rPr>
        <w:t xml:space="preserve"> health</w:t>
      </w:r>
      <w:r w:rsidRPr="00D312FF">
        <w:rPr>
          <w:sz w:val="24"/>
          <w:szCs w:val="24"/>
          <w:lang w:val="en-US"/>
        </w:rPr>
        <w:t xml:space="preserve"> </w:t>
      </w:r>
      <w:r w:rsidR="00D312FF" w:rsidRPr="00D312FF">
        <w:rPr>
          <w:sz w:val="24"/>
          <w:szCs w:val="24"/>
          <w:lang w:val="en-US"/>
        </w:rPr>
        <w:t xml:space="preserve">behaviour. </w:t>
      </w:r>
      <w:r w:rsidRPr="00D312FF">
        <w:rPr>
          <w:sz w:val="24"/>
          <w:szCs w:val="24"/>
          <w:lang w:val="en-US"/>
        </w:rPr>
        <w:t xml:space="preserve">Therefore to be effective, an oral health promotion program must meet the needs of </w:t>
      </w:r>
      <w:r w:rsidR="00D312FF" w:rsidRPr="00D312FF">
        <w:rPr>
          <w:sz w:val="24"/>
          <w:szCs w:val="24"/>
        </w:rPr>
        <w:t xml:space="preserve">each </w:t>
      </w:r>
      <w:r w:rsidR="00D312FF" w:rsidRPr="00D312FF">
        <w:rPr>
          <w:sz w:val="24"/>
          <w:szCs w:val="24"/>
          <w:lang w:val="en-US"/>
        </w:rPr>
        <w:t>community</w:t>
      </w:r>
      <w:r w:rsidRPr="00D312FF">
        <w:rPr>
          <w:sz w:val="24"/>
          <w:szCs w:val="24"/>
        </w:rPr>
        <w:t xml:space="preserve"> group</w:t>
      </w:r>
      <w:r w:rsidRPr="00D312FF">
        <w:rPr>
          <w:sz w:val="24"/>
          <w:szCs w:val="24"/>
          <w:lang w:val="en-US"/>
        </w:rPr>
        <w:t xml:space="preserve"> as well as consider individual prevention strategies delivered in ways appropriate and acceptable to each family and community</w:t>
      </w:r>
      <w:r w:rsidRPr="00D312FF">
        <w:rPr>
          <w:sz w:val="24"/>
          <w:szCs w:val="24"/>
        </w:rPr>
        <w:t xml:space="preserve"> group</w:t>
      </w:r>
      <w:r w:rsidRPr="00D312FF">
        <w:rPr>
          <w:sz w:val="24"/>
          <w:szCs w:val="24"/>
          <w:lang w:val="en-US"/>
        </w:rPr>
        <w:t xml:space="preserve"> (family-centred care). The Victorian Oral Health Promotion Plan 2013-17 encourages health promoting practice models and the greater use of </w:t>
      </w:r>
      <w:r w:rsidRPr="00D312FF">
        <w:rPr>
          <w:sz w:val="24"/>
          <w:szCs w:val="24"/>
        </w:rPr>
        <w:t xml:space="preserve">appropriately trained </w:t>
      </w:r>
      <w:r w:rsidRPr="00D312FF">
        <w:rPr>
          <w:sz w:val="24"/>
          <w:szCs w:val="24"/>
          <w:lang w:val="en-US"/>
        </w:rPr>
        <w:t>dental assistants in these practice models.</w:t>
      </w:r>
      <w:r w:rsidRPr="00D312FF">
        <w:rPr>
          <w:sz w:val="24"/>
          <w:szCs w:val="24"/>
          <w:vertAlign w:val="superscript"/>
        </w:rPr>
        <w:t>16</w:t>
      </w:r>
      <w:r w:rsidRPr="00D312FF">
        <w:rPr>
          <w:sz w:val="24"/>
          <w:szCs w:val="24"/>
        </w:rPr>
        <w:t xml:space="preserve"> </w:t>
      </w:r>
    </w:p>
    <w:p w14:paraId="3F627F16" w14:textId="183FB4D3" w:rsidR="002750DF" w:rsidRPr="00D312FF" w:rsidRDefault="00AB1B7E" w:rsidP="00D312FF">
      <w:pPr>
        <w:pStyle w:val="Body"/>
        <w:spacing w:after="0" w:line="276" w:lineRule="auto"/>
        <w:jc w:val="both"/>
        <w:rPr>
          <w:rFonts w:eastAsia="Arial" w:cs="Arial"/>
          <w:sz w:val="24"/>
          <w:szCs w:val="24"/>
        </w:rPr>
      </w:pPr>
      <w:r w:rsidRPr="00D312FF">
        <w:rPr>
          <w:sz w:val="24"/>
          <w:szCs w:val="24"/>
          <w:lang w:val="en-US"/>
        </w:rPr>
        <w:t xml:space="preserve">The purpose of this document is to describe the model of oral healthcare, at </w:t>
      </w:r>
      <w:r w:rsidR="00D312FF" w:rsidRPr="00D312FF">
        <w:rPr>
          <w:sz w:val="24"/>
          <w:szCs w:val="24"/>
          <w:lang w:val="en-US"/>
        </w:rPr>
        <w:t xml:space="preserve">the publically funded </w:t>
      </w:r>
      <w:r w:rsidRPr="00D312FF">
        <w:rPr>
          <w:sz w:val="24"/>
          <w:szCs w:val="24"/>
          <w:lang w:val="en-US"/>
        </w:rPr>
        <w:t>North Richmond Community Heath’s Oral Health program (NRCH-OH MoC), in terms of its intellectual and operational aspects. While relatively easy to describe the operational aspects, embedding the shared understanding into practice, within the everyday clinical situation is more challenging. An important component of this model is to promote</w:t>
      </w:r>
      <w:r w:rsidR="00F21245" w:rsidRPr="00D312FF">
        <w:rPr>
          <w:sz w:val="24"/>
          <w:szCs w:val="24"/>
        </w:rPr>
        <w:t>, within</w:t>
      </w:r>
      <w:r w:rsidRPr="00D312FF">
        <w:rPr>
          <w:sz w:val="24"/>
          <w:szCs w:val="24"/>
        </w:rPr>
        <w:t xml:space="preserve"> the dental team, </w:t>
      </w:r>
      <w:r w:rsidRPr="00D312FF">
        <w:rPr>
          <w:sz w:val="24"/>
          <w:szCs w:val="24"/>
          <w:lang w:val="en-US"/>
        </w:rPr>
        <w:t xml:space="preserve">a positive attitude to change, </w:t>
      </w:r>
      <w:r w:rsidRPr="00D312FF">
        <w:rPr>
          <w:sz w:val="24"/>
          <w:szCs w:val="24"/>
        </w:rPr>
        <w:t xml:space="preserve">create </w:t>
      </w:r>
      <w:r w:rsidRPr="00D312FF">
        <w:rPr>
          <w:sz w:val="24"/>
          <w:szCs w:val="24"/>
          <w:lang w:val="en-US"/>
        </w:rPr>
        <w:t xml:space="preserve">a learning environment and </w:t>
      </w:r>
      <w:r w:rsidR="00D312FF" w:rsidRPr="00D312FF">
        <w:rPr>
          <w:sz w:val="24"/>
          <w:szCs w:val="24"/>
        </w:rPr>
        <w:t xml:space="preserve">develop </w:t>
      </w:r>
      <w:r w:rsidR="00D312FF" w:rsidRPr="00D312FF">
        <w:rPr>
          <w:sz w:val="24"/>
          <w:szCs w:val="24"/>
          <w:lang w:val="en-US"/>
        </w:rPr>
        <w:t>a</w:t>
      </w:r>
      <w:r w:rsidRPr="00D312FF">
        <w:rPr>
          <w:sz w:val="24"/>
          <w:szCs w:val="24"/>
          <w:lang w:val="en-US"/>
        </w:rPr>
        <w:t xml:space="preserve"> shared </w:t>
      </w:r>
      <w:r w:rsidR="00F21245" w:rsidRPr="00D312FF">
        <w:rPr>
          <w:sz w:val="24"/>
          <w:szCs w:val="24"/>
          <w:lang w:val="en-US"/>
        </w:rPr>
        <w:t>vision</w:t>
      </w:r>
      <w:r w:rsidRPr="00D312FF">
        <w:rPr>
          <w:sz w:val="24"/>
          <w:szCs w:val="24"/>
          <w:lang w:val="en-US"/>
        </w:rPr>
        <w:t>.</w:t>
      </w:r>
      <w:r w:rsidR="00F21245" w:rsidRPr="00D312FF">
        <w:rPr>
          <w:sz w:val="24"/>
          <w:szCs w:val="24"/>
          <w:lang w:val="en-US"/>
        </w:rPr>
        <w:t xml:space="preserve"> The</w:t>
      </w:r>
      <w:r w:rsidRPr="00D312FF">
        <w:rPr>
          <w:sz w:val="24"/>
          <w:szCs w:val="24"/>
        </w:rPr>
        <w:t xml:space="preserve"> process of refining and integrating this </w:t>
      </w:r>
      <w:r w:rsidRPr="00D312FF">
        <w:rPr>
          <w:sz w:val="24"/>
          <w:szCs w:val="24"/>
          <w:lang w:val="en-US"/>
        </w:rPr>
        <w:t>model of care</w:t>
      </w:r>
      <w:r w:rsidRPr="00D312FF">
        <w:rPr>
          <w:sz w:val="24"/>
          <w:szCs w:val="24"/>
        </w:rPr>
        <w:t xml:space="preserve"> into daily practice is ongoing through </w:t>
      </w:r>
      <w:r w:rsidRPr="00D312FF">
        <w:rPr>
          <w:sz w:val="24"/>
          <w:szCs w:val="24"/>
          <w:lang w:val="en-US"/>
        </w:rPr>
        <w:t xml:space="preserve">action research </w:t>
      </w:r>
      <w:r w:rsidRPr="00D312FF">
        <w:rPr>
          <w:sz w:val="24"/>
          <w:szCs w:val="24"/>
        </w:rPr>
        <w:t xml:space="preserve">based on </w:t>
      </w:r>
      <w:r w:rsidR="00F21245" w:rsidRPr="00D312FF">
        <w:rPr>
          <w:sz w:val="24"/>
          <w:szCs w:val="24"/>
          <w:lang w:val="en-US"/>
        </w:rPr>
        <w:t>staff and client feedback</w:t>
      </w:r>
      <w:r w:rsidRPr="00D312FF">
        <w:rPr>
          <w:sz w:val="24"/>
          <w:szCs w:val="24"/>
          <w:lang w:val="en-US"/>
        </w:rPr>
        <w:t>,</w:t>
      </w:r>
      <w:r w:rsidR="00F21245" w:rsidRPr="00D312FF">
        <w:rPr>
          <w:sz w:val="24"/>
          <w:szCs w:val="24"/>
          <w:lang w:val="en-US"/>
        </w:rPr>
        <w:t xml:space="preserve"> </w:t>
      </w:r>
      <w:r w:rsidRPr="00D312FF">
        <w:rPr>
          <w:sz w:val="24"/>
          <w:szCs w:val="24"/>
        </w:rPr>
        <w:t xml:space="preserve">regular </w:t>
      </w:r>
      <w:r w:rsidRPr="00D312FF">
        <w:rPr>
          <w:sz w:val="24"/>
          <w:szCs w:val="24"/>
          <w:lang w:val="fr-FR"/>
        </w:rPr>
        <w:t>group discussion</w:t>
      </w:r>
      <w:r w:rsidR="00F21245" w:rsidRPr="00D312FF">
        <w:rPr>
          <w:sz w:val="24"/>
          <w:szCs w:val="24"/>
          <w:lang w:val="fr-FR"/>
        </w:rPr>
        <w:t xml:space="preserve"> and </w:t>
      </w:r>
      <w:r w:rsidR="00F21245" w:rsidRPr="00D312FF">
        <w:rPr>
          <w:sz w:val="24"/>
          <w:szCs w:val="24"/>
          <w:lang w:val="en-US"/>
        </w:rPr>
        <w:t>integrating an evaluation system to monitor the model’s performance</w:t>
      </w:r>
      <w:r w:rsidRPr="00D312FF">
        <w:rPr>
          <w:sz w:val="24"/>
          <w:szCs w:val="24"/>
        </w:rPr>
        <w:t>.</w:t>
      </w:r>
    </w:p>
    <w:p w14:paraId="10CF3A01" w14:textId="77777777" w:rsidR="002750DF" w:rsidRDefault="002750DF">
      <w:pPr>
        <w:pStyle w:val="Body"/>
        <w:spacing w:after="0" w:line="360" w:lineRule="auto"/>
        <w:rPr>
          <w:rFonts w:ascii="Arial" w:eastAsia="Arial" w:hAnsi="Arial" w:cs="Arial"/>
          <w:b/>
          <w:bCs/>
        </w:rPr>
      </w:pPr>
    </w:p>
    <w:p w14:paraId="78F0FAD2" w14:textId="5748AF3A" w:rsidR="002750DF" w:rsidRDefault="00127BC0" w:rsidP="00127BC0">
      <w:pPr>
        <w:pStyle w:val="Body"/>
        <w:spacing w:after="0" w:line="240" w:lineRule="auto"/>
        <w:rPr>
          <w:b/>
          <w:bCs/>
          <w:sz w:val="24"/>
          <w:szCs w:val="24"/>
          <w:lang w:val="de-DE"/>
        </w:rPr>
      </w:pPr>
      <w:r w:rsidRPr="00127BC0">
        <w:rPr>
          <w:b/>
          <w:bCs/>
          <w:sz w:val="24"/>
          <w:szCs w:val="24"/>
          <w:lang w:val="de-DE"/>
        </w:rPr>
        <w:t>PROGRAM PHILOSOPHY, THEORY AND PRINCIPLES</w:t>
      </w:r>
    </w:p>
    <w:p w14:paraId="561D67AE" w14:textId="77777777" w:rsidR="00127BC0" w:rsidRPr="00127BC0" w:rsidRDefault="00127BC0" w:rsidP="00127BC0">
      <w:pPr>
        <w:pStyle w:val="Body"/>
        <w:spacing w:after="0" w:line="240" w:lineRule="auto"/>
        <w:rPr>
          <w:b/>
          <w:bCs/>
          <w:sz w:val="24"/>
          <w:szCs w:val="24"/>
          <w:lang w:val="de-DE"/>
        </w:rPr>
      </w:pPr>
    </w:p>
    <w:p w14:paraId="0488031C" w14:textId="464CA5CA" w:rsidR="00CD6201" w:rsidRDefault="00AB1B7E" w:rsidP="00127BC0">
      <w:pPr>
        <w:pStyle w:val="Body"/>
        <w:spacing w:after="0" w:line="276" w:lineRule="auto"/>
        <w:contextualSpacing/>
        <w:jc w:val="both"/>
        <w:rPr>
          <w:sz w:val="24"/>
          <w:szCs w:val="24"/>
          <w:lang w:val="en-US"/>
        </w:rPr>
      </w:pPr>
      <w:r w:rsidRPr="00127BC0">
        <w:rPr>
          <w:sz w:val="24"/>
          <w:szCs w:val="24"/>
          <w:lang w:val="en-US"/>
        </w:rPr>
        <w:t>The development of the NRCH OH MoC was guided by assumptions that are conducive to good health</w:t>
      </w:r>
      <w:r w:rsidR="001218D3">
        <w:rPr>
          <w:sz w:val="24"/>
          <w:szCs w:val="24"/>
          <w:lang w:val="en-US"/>
        </w:rPr>
        <w:t>:</w:t>
      </w:r>
      <w:r w:rsidRPr="00127BC0">
        <w:rPr>
          <w:sz w:val="24"/>
          <w:szCs w:val="24"/>
          <w:lang w:val="en-US"/>
        </w:rPr>
        <w:t xml:space="preserve"> </w:t>
      </w:r>
    </w:p>
    <w:p w14:paraId="063E6CD1" w14:textId="413C38B2" w:rsidR="00CD6201" w:rsidRPr="00CD6201" w:rsidRDefault="001218D3" w:rsidP="001218D3">
      <w:pPr>
        <w:pStyle w:val="Body"/>
        <w:numPr>
          <w:ilvl w:val="0"/>
          <w:numId w:val="42"/>
        </w:numPr>
        <w:spacing w:after="0" w:line="276" w:lineRule="auto"/>
        <w:contextualSpacing/>
        <w:jc w:val="both"/>
        <w:rPr>
          <w:rFonts w:eastAsia="Arial" w:cs="Arial"/>
          <w:sz w:val="24"/>
          <w:szCs w:val="24"/>
        </w:rPr>
      </w:pPr>
      <w:r>
        <w:rPr>
          <w:sz w:val="24"/>
          <w:szCs w:val="24"/>
          <w:lang w:val="en-US"/>
        </w:rPr>
        <w:t>I</w:t>
      </w:r>
      <w:r w:rsidR="00AB1B7E" w:rsidRPr="00127BC0">
        <w:rPr>
          <w:sz w:val="24"/>
          <w:szCs w:val="24"/>
          <w:lang w:val="en-US"/>
        </w:rPr>
        <w:t xml:space="preserve">f clients are empowered to look after their own oral health effectively then this would translate into better oral health outcomes, more successful treatment outcomes and more efficient management of health services. However, changing unhealthy behaviour can be a challenging, time consuming </w:t>
      </w:r>
      <w:r w:rsidR="00AB1B7E" w:rsidRPr="00127BC0">
        <w:rPr>
          <w:sz w:val="24"/>
          <w:szCs w:val="24"/>
        </w:rPr>
        <w:t xml:space="preserve">process that requires </w:t>
      </w:r>
      <w:r w:rsidR="00AB1B7E" w:rsidRPr="00127BC0">
        <w:rPr>
          <w:sz w:val="24"/>
          <w:szCs w:val="24"/>
          <w:lang w:val="en-US"/>
        </w:rPr>
        <w:t>specialist techniques such as motivation interviewing</w:t>
      </w:r>
      <w:r w:rsidR="00AB1B7E" w:rsidRPr="00127BC0">
        <w:rPr>
          <w:sz w:val="24"/>
          <w:szCs w:val="24"/>
        </w:rPr>
        <w:t xml:space="preserve"> .</w:t>
      </w:r>
      <w:r w:rsidR="00AB1B7E" w:rsidRPr="00127BC0">
        <w:rPr>
          <w:sz w:val="24"/>
          <w:szCs w:val="24"/>
          <w:vertAlign w:val="superscript"/>
        </w:rPr>
        <w:t>17</w:t>
      </w:r>
      <w:r w:rsidR="00AB1B7E" w:rsidRPr="00127BC0">
        <w:rPr>
          <w:sz w:val="24"/>
          <w:szCs w:val="24"/>
          <w:lang w:val="en-US"/>
        </w:rPr>
        <w:t xml:space="preserve"> </w:t>
      </w:r>
    </w:p>
    <w:p w14:paraId="1299E979" w14:textId="7BC79949" w:rsidR="00CD6201" w:rsidRPr="00CD6201" w:rsidRDefault="001218D3" w:rsidP="001218D3">
      <w:pPr>
        <w:pStyle w:val="Body"/>
        <w:numPr>
          <w:ilvl w:val="0"/>
          <w:numId w:val="42"/>
        </w:numPr>
        <w:spacing w:after="0" w:line="276" w:lineRule="auto"/>
        <w:contextualSpacing/>
        <w:jc w:val="both"/>
        <w:rPr>
          <w:rFonts w:eastAsia="Arial" w:cs="Arial"/>
          <w:sz w:val="24"/>
          <w:szCs w:val="24"/>
        </w:rPr>
      </w:pPr>
      <w:r>
        <w:rPr>
          <w:sz w:val="24"/>
          <w:szCs w:val="24"/>
          <w:lang w:val="en-US"/>
        </w:rPr>
        <w:t>Relates to client need,</w:t>
      </w:r>
      <w:r w:rsidR="00AB1B7E" w:rsidRPr="00127BC0">
        <w:rPr>
          <w:sz w:val="24"/>
          <w:szCs w:val="24"/>
          <w:lang w:val="en-US"/>
        </w:rPr>
        <w:t xml:space="preserve"> </w:t>
      </w:r>
      <w:r w:rsidR="00AB1B7E" w:rsidRPr="00127BC0">
        <w:rPr>
          <w:sz w:val="24"/>
          <w:szCs w:val="24"/>
        </w:rPr>
        <w:t xml:space="preserve">that is, the </w:t>
      </w:r>
      <w:r w:rsidR="00AB1B7E" w:rsidRPr="00127BC0">
        <w:rPr>
          <w:sz w:val="24"/>
          <w:szCs w:val="24"/>
          <w:lang w:val="en-US"/>
        </w:rPr>
        <w:t xml:space="preserve">service providers should cater to the client’s need rather than </w:t>
      </w:r>
      <w:r w:rsidR="00353F08" w:rsidRPr="00127BC0">
        <w:rPr>
          <w:sz w:val="24"/>
          <w:szCs w:val="24"/>
          <w:lang w:val="en-US"/>
        </w:rPr>
        <w:t xml:space="preserve">only </w:t>
      </w:r>
      <w:r w:rsidR="00AB1B7E" w:rsidRPr="00127BC0">
        <w:rPr>
          <w:sz w:val="24"/>
          <w:szCs w:val="24"/>
          <w:lang w:val="en-US"/>
        </w:rPr>
        <w:t>what the clinician determines as being important for the client (client-centred care).</w:t>
      </w:r>
    </w:p>
    <w:p w14:paraId="4FD34EE9" w14:textId="1641156E" w:rsidR="002750DF" w:rsidRPr="00127BC0" w:rsidRDefault="001218D3" w:rsidP="001218D3">
      <w:pPr>
        <w:pStyle w:val="Body"/>
        <w:numPr>
          <w:ilvl w:val="0"/>
          <w:numId w:val="42"/>
        </w:numPr>
        <w:spacing w:after="0" w:line="276" w:lineRule="auto"/>
        <w:contextualSpacing/>
        <w:jc w:val="both"/>
        <w:rPr>
          <w:rFonts w:eastAsia="Arial" w:cs="Arial"/>
          <w:sz w:val="24"/>
          <w:szCs w:val="24"/>
        </w:rPr>
      </w:pPr>
      <w:r>
        <w:rPr>
          <w:sz w:val="24"/>
          <w:szCs w:val="24"/>
          <w:lang w:val="en-US"/>
        </w:rPr>
        <w:lastRenderedPageBreak/>
        <w:t>R</w:t>
      </w:r>
      <w:r w:rsidR="00AB1B7E" w:rsidRPr="00127BC0">
        <w:rPr>
          <w:sz w:val="24"/>
          <w:szCs w:val="24"/>
          <w:lang w:val="en-US"/>
        </w:rPr>
        <w:t>elates to the second, i</w:t>
      </w:r>
      <w:r>
        <w:rPr>
          <w:sz w:val="24"/>
          <w:szCs w:val="24"/>
          <w:lang w:val="en-US"/>
        </w:rPr>
        <w:t>n</w:t>
      </w:r>
      <w:r w:rsidR="00AB1B7E" w:rsidRPr="00127BC0">
        <w:rPr>
          <w:sz w:val="24"/>
          <w:szCs w:val="24"/>
          <w:lang w:val="en-US"/>
        </w:rPr>
        <w:t xml:space="preserve"> that clients should have input into their oral healthcare plan. This </w:t>
      </w:r>
      <w:r w:rsidR="00AB3112" w:rsidRPr="00127BC0">
        <w:rPr>
          <w:sz w:val="24"/>
          <w:szCs w:val="24"/>
          <w:lang w:val="en-US"/>
        </w:rPr>
        <w:t xml:space="preserve">encourages </w:t>
      </w:r>
      <w:r w:rsidR="00AB1B7E" w:rsidRPr="00127BC0">
        <w:rPr>
          <w:sz w:val="24"/>
          <w:szCs w:val="24"/>
          <w:lang w:val="en-US"/>
        </w:rPr>
        <w:t>equal partners</w:t>
      </w:r>
      <w:r w:rsidR="00AB3112" w:rsidRPr="00127BC0">
        <w:rPr>
          <w:sz w:val="24"/>
          <w:szCs w:val="24"/>
          <w:lang w:val="en-US"/>
        </w:rPr>
        <w:t>hip</w:t>
      </w:r>
      <w:r w:rsidR="00AB1B7E" w:rsidRPr="00127BC0">
        <w:rPr>
          <w:sz w:val="24"/>
          <w:szCs w:val="24"/>
          <w:lang w:val="en-US"/>
        </w:rPr>
        <w:t xml:space="preserve"> in the decision process, addresses the power dynamic and gives the client a sense of ownership </w:t>
      </w:r>
      <w:r w:rsidR="00AB3112" w:rsidRPr="00127BC0">
        <w:rPr>
          <w:sz w:val="24"/>
          <w:szCs w:val="24"/>
          <w:lang w:val="en-US"/>
        </w:rPr>
        <w:t xml:space="preserve">and control </w:t>
      </w:r>
      <w:r w:rsidR="00AB1B7E" w:rsidRPr="00127BC0">
        <w:rPr>
          <w:sz w:val="24"/>
          <w:szCs w:val="24"/>
          <w:lang w:val="en-US"/>
        </w:rPr>
        <w:t>over their health. This assumption also relates to the community-based participatory approach to research (CBPR) and is believed to encourage sustainability of healthy practices.</w:t>
      </w:r>
      <w:r w:rsidR="00AB1B7E" w:rsidRPr="00127BC0">
        <w:rPr>
          <w:sz w:val="24"/>
          <w:szCs w:val="24"/>
          <w:vertAlign w:val="superscript"/>
        </w:rPr>
        <w:t>18</w:t>
      </w:r>
      <w:r w:rsidR="00AB1B7E" w:rsidRPr="00127BC0">
        <w:rPr>
          <w:sz w:val="24"/>
          <w:szCs w:val="24"/>
        </w:rPr>
        <w:t xml:space="preserve"> </w:t>
      </w:r>
    </w:p>
    <w:p w14:paraId="1E5568C5" w14:textId="77777777" w:rsidR="00CD6201" w:rsidRDefault="00CD6201" w:rsidP="00CD6201">
      <w:pPr>
        <w:pStyle w:val="Body"/>
        <w:spacing w:after="0" w:line="276" w:lineRule="auto"/>
        <w:contextualSpacing/>
        <w:jc w:val="both"/>
        <w:rPr>
          <w:sz w:val="24"/>
          <w:szCs w:val="24"/>
          <w:lang w:val="en-US"/>
        </w:rPr>
      </w:pPr>
    </w:p>
    <w:p w14:paraId="4DA11C51" w14:textId="77777777" w:rsidR="00CD6201" w:rsidRDefault="00AB1B7E" w:rsidP="00CD6201">
      <w:pPr>
        <w:pStyle w:val="Body"/>
        <w:spacing w:after="0" w:line="276" w:lineRule="auto"/>
        <w:contextualSpacing/>
        <w:jc w:val="both"/>
        <w:rPr>
          <w:sz w:val="24"/>
          <w:szCs w:val="24"/>
          <w:lang w:val="en-US"/>
        </w:rPr>
      </w:pPr>
      <w:r w:rsidRPr="00127BC0">
        <w:rPr>
          <w:sz w:val="24"/>
          <w:szCs w:val="24"/>
          <w:lang w:val="en-US"/>
        </w:rPr>
        <w:t xml:space="preserve">The theoretical frameworks that informed this model of care included: </w:t>
      </w:r>
    </w:p>
    <w:p w14:paraId="71570DB6" w14:textId="4DC3163C" w:rsidR="00CD6201" w:rsidRDefault="00AB1B7E" w:rsidP="00CD6201">
      <w:pPr>
        <w:pStyle w:val="Body"/>
        <w:spacing w:after="0" w:line="276" w:lineRule="auto"/>
        <w:contextualSpacing/>
        <w:jc w:val="both"/>
        <w:rPr>
          <w:sz w:val="24"/>
          <w:szCs w:val="24"/>
          <w:lang w:val="en-US"/>
        </w:rPr>
      </w:pPr>
      <w:r w:rsidRPr="00127BC0">
        <w:rPr>
          <w:sz w:val="24"/>
          <w:szCs w:val="24"/>
          <w:lang w:val="en-US"/>
        </w:rPr>
        <w:t>1. The Health Belief Model (HBM</w:t>
      </w:r>
      <w:r w:rsidR="001218D3">
        <w:rPr>
          <w:sz w:val="24"/>
          <w:szCs w:val="24"/>
          <w:lang w:val="en-US"/>
        </w:rPr>
        <w:t>)</w:t>
      </w:r>
      <w:r w:rsidR="00AB3112" w:rsidRPr="00127BC0">
        <w:rPr>
          <w:sz w:val="24"/>
          <w:szCs w:val="24"/>
          <w:lang w:val="en-US"/>
        </w:rPr>
        <w:t xml:space="preserve"> “If individuals regard themselves as susceptible to a condition, believe that condition would have potentially serious consequences, believe that a course of action available to them would be beneficial in reducing either their susceptibility to or severity of the condition, and believe the anticipated benefits of taking action outweigh the barriers to (or costs of) action, they are likely to take action that they believe will reduce their risks’’</w:t>
      </w:r>
      <w:r w:rsidR="00AB3112" w:rsidRPr="00127BC0">
        <w:rPr>
          <w:sz w:val="24"/>
          <w:szCs w:val="24"/>
        </w:rPr>
        <w:t>.</w:t>
      </w:r>
      <w:r w:rsidR="00AB3112" w:rsidRPr="00127BC0">
        <w:rPr>
          <w:sz w:val="24"/>
          <w:szCs w:val="24"/>
          <w:vertAlign w:val="superscript"/>
        </w:rPr>
        <w:t>19</w:t>
      </w:r>
      <w:r w:rsidR="00AB3112" w:rsidRPr="00127BC0">
        <w:rPr>
          <w:sz w:val="24"/>
          <w:szCs w:val="24"/>
          <w:lang w:val="en-US"/>
        </w:rPr>
        <w:t xml:space="preserve"> The key concepts in HBM are: perceived susceptibility, perceived severity, perceived benefits, perceived barriers, cues to action and self-efficacy.</w:t>
      </w:r>
      <w:r w:rsidR="00AB3112" w:rsidRPr="00127BC0">
        <w:rPr>
          <w:sz w:val="24"/>
          <w:szCs w:val="24"/>
          <w:vertAlign w:val="superscript"/>
        </w:rPr>
        <w:t>19</w:t>
      </w:r>
      <w:r w:rsidRPr="00127BC0">
        <w:rPr>
          <w:sz w:val="24"/>
          <w:szCs w:val="24"/>
          <w:lang w:val="en-US"/>
        </w:rPr>
        <w:t xml:space="preserve"> </w:t>
      </w:r>
    </w:p>
    <w:p w14:paraId="78872DF6" w14:textId="33B5E29F" w:rsidR="002750DF" w:rsidRPr="00127BC0" w:rsidRDefault="00AB1B7E" w:rsidP="00CD6201">
      <w:pPr>
        <w:pStyle w:val="Body"/>
        <w:spacing w:after="0" w:line="276" w:lineRule="auto"/>
        <w:contextualSpacing/>
        <w:jc w:val="both"/>
        <w:rPr>
          <w:rFonts w:eastAsia="Arial" w:cs="Arial"/>
          <w:sz w:val="24"/>
          <w:szCs w:val="24"/>
        </w:rPr>
      </w:pPr>
      <w:r w:rsidRPr="00127BC0">
        <w:rPr>
          <w:sz w:val="24"/>
          <w:szCs w:val="24"/>
          <w:lang w:val="en-US"/>
        </w:rPr>
        <w:t>2. The Community Organisation and Community Building Theory (COCBT</w:t>
      </w:r>
      <w:r w:rsidR="007421FF" w:rsidRPr="00127BC0">
        <w:rPr>
          <w:sz w:val="24"/>
          <w:szCs w:val="24"/>
          <w:lang w:val="en-US"/>
        </w:rPr>
        <w:t>) which</w:t>
      </w:r>
      <w:r w:rsidRPr="00127BC0">
        <w:rPr>
          <w:sz w:val="24"/>
          <w:szCs w:val="24"/>
          <w:lang w:val="en-US"/>
        </w:rPr>
        <w:t xml:space="preserve"> was used to guide the re-orientation of the health service towards a more preventive minimally invasive approach to disease management. The ‘community’ in this instance </w:t>
      </w:r>
      <w:r w:rsidR="0087295C" w:rsidRPr="00127BC0">
        <w:rPr>
          <w:sz w:val="24"/>
          <w:szCs w:val="24"/>
          <w:lang w:val="en-US"/>
        </w:rPr>
        <w:t xml:space="preserve">reflects </w:t>
      </w:r>
      <w:r w:rsidRPr="00127BC0">
        <w:rPr>
          <w:sz w:val="24"/>
          <w:szCs w:val="24"/>
          <w:lang w:val="en-US"/>
        </w:rPr>
        <w:t>the health service</w:t>
      </w:r>
      <w:r w:rsidR="0087295C" w:rsidRPr="00127BC0">
        <w:rPr>
          <w:sz w:val="24"/>
          <w:szCs w:val="24"/>
          <w:lang w:val="en-US"/>
        </w:rPr>
        <w:t xml:space="preserve"> and </w:t>
      </w:r>
      <w:r w:rsidR="00AD035C" w:rsidRPr="00127BC0">
        <w:rPr>
          <w:sz w:val="24"/>
          <w:szCs w:val="24"/>
          <w:lang w:val="en-US"/>
        </w:rPr>
        <w:t>its</w:t>
      </w:r>
      <w:r w:rsidR="0087295C" w:rsidRPr="00127BC0">
        <w:rPr>
          <w:sz w:val="24"/>
          <w:szCs w:val="24"/>
          <w:lang w:val="en-US"/>
        </w:rPr>
        <w:t xml:space="preserve"> various operational aspects </w:t>
      </w:r>
      <w:r w:rsidR="001E505F" w:rsidRPr="00127BC0">
        <w:rPr>
          <w:sz w:val="24"/>
          <w:szCs w:val="24"/>
          <w:lang w:val="en-US"/>
        </w:rPr>
        <w:t>including but not limited to</w:t>
      </w:r>
      <w:r w:rsidR="0087295C" w:rsidRPr="00127BC0">
        <w:rPr>
          <w:sz w:val="24"/>
          <w:szCs w:val="24"/>
          <w:lang w:val="en-US"/>
        </w:rPr>
        <w:t>:</w:t>
      </w:r>
      <w:r w:rsidR="00AD035C" w:rsidRPr="00127BC0">
        <w:rPr>
          <w:sz w:val="24"/>
          <w:szCs w:val="24"/>
          <w:lang w:val="en-US"/>
        </w:rPr>
        <w:t xml:space="preserve"> service accessibility, service quality, </w:t>
      </w:r>
      <w:r w:rsidR="001E505F" w:rsidRPr="00127BC0">
        <w:rPr>
          <w:sz w:val="24"/>
          <w:szCs w:val="24"/>
          <w:lang w:val="en-US"/>
        </w:rPr>
        <w:t xml:space="preserve">client health outcomes, </w:t>
      </w:r>
      <w:r w:rsidR="00AD035C" w:rsidRPr="00127BC0">
        <w:rPr>
          <w:sz w:val="24"/>
          <w:szCs w:val="24"/>
          <w:lang w:val="en-US"/>
        </w:rPr>
        <w:t xml:space="preserve">service economics, organisation policy, </w:t>
      </w:r>
      <w:r w:rsidR="001E505F" w:rsidRPr="00127BC0">
        <w:rPr>
          <w:sz w:val="24"/>
          <w:szCs w:val="24"/>
          <w:lang w:val="en-US"/>
        </w:rPr>
        <w:t>work</w:t>
      </w:r>
      <w:r w:rsidR="00AD035C" w:rsidRPr="00127BC0">
        <w:rPr>
          <w:sz w:val="24"/>
          <w:szCs w:val="24"/>
          <w:lang w:val="en-US"/>
        </w:rPr>
        <w:t>force and workforce structure.</w:t>
      </w:r>
      <w:r w:rsidRPr="00127BC0">
        <w:rPr>
          <w:sz w:val="24"/>
          <w:szCs w:val="24"/>
          <w:lang w:val="en-US"/>
        </w:rPr>
        <w:t xml:space="preserve"> Key concepts for this theoretical model include: empowerment, critical consciousness, community capacity, social capital, issue selection, and participation and relevance.</w:t>
      </w:r>
      <w:r w:rsidRPr="00127BC0">
        <w:rPr>
          <w:sz w:val="24"/>
          <w:szCs w:val="24"/>
          <w:vertAlign w:val="superscript"/>
        </w:rPr>
        <w:t>19</w:t>
      </w:r>
      <w:r w:rsidRPr="00127BC0">
        <w:rPr>
          <w:sz w:val="24"/>
          <w:szCs w:val="24"/>
        </w:rPr>
        <w:t xml:space="preserve"> </w:t>
      </w:r>
      <w:r w:rsidRPr="00127BC0">
        <w:rPr>
          <w:sz w:val="24"/>
          <w:szCs w:val="24"/>
        </w:rPr>
        <w:tab/>
      </w:r>
    </w:p>
    <w:p w14:paraId="2D54D7D0" w14:textId="77777777" w:rsidR="001218D3" w:rsidRDefault="00AB1B7E" w:rsidP="00CD6201">
      <w:pPr>
        <w:pStyle w:val="Body"/>
        <w:spacing w:after="0" w:line="276" w:lineRule="auto"/>
        <w:contextualSpacing/>
        <w:jc w:val="both"/>
        <w:rPr>
          <w:sz w:val="24"/>
          <w:szCs w:val="24"/>
          <w:lang w:val="en-US"/>
        </w:rPr>
      </w:pPr>
      <w:r w:rsidRPr="00127BC0">
        <w:rPr>
          <w:sz w:val="24"/>
          <w:szCs w:val="24"/>
          <w:lang w:val="en-US"/>
        </w:rPr>
        <w:t>The principles guiding the NRCH OH MoC are:</w:t>
      </w:r>
    </w:p>
    <w:p w14:paraId="2563CA46" w14:textId="2B33F8F2" w:rsidR="001218D3" w:rsidRDefault="001218D3" w:rsidP="001218D3">
      <w:pPr>
        <w:pStyle w:val="Body"/>
        <w:numPr>
          <w:ilvl w:val="0"/>
          <w:numId w:val="43"/>
        </w:numPr>
        <w:spacing w:after="0" w:line="276" w:lineRule="auto"/>
        <w:contextualSpacing/>
        <w:jc w:val="both"/>
        <w:rPr>
          <w:sz w:val="24"/>
          <w:szCs w:val="24"/>
          <w:lang w:val="en-US"/>
        </w:rPr>
      </w:pPr>
      <w:r>
        <w:rPr>
          <w:sz w:val="24"/>
          <w:szCs w:val="24"/>
          <w:lang w:val="en-US"/>
        </w:rPr>
        <w:t>C</w:t>
      </w:r>
      <w:r w:rsidR="00AB1B7E" w:rsidRPr="00127BC0">
        <w:rPr>
          <w:sz w:val="24"/>
          <w:szCs w:val="24"/>
          <w:lang w:val="en-US"/>
        </w:rPr>
        <w:t>lient and family centred approach,</w:t>
      </w:r>
    </w:p>
    <w:p w14:paraId="25CBB706" w14:textId="124CE683" w:rsidR="001218D3" w:rsidRDefault="001218D3" w:rsidP="001218D3">
      <w:pPr>
        <w:pStyle w:val="Body"/>
        <w:numPr>
          <w:ilvl w:val="0"/>
          <w:numId w:val="43"/>
        </w:numPr>
        <w:spacing w:after="0" w:line="276" w:lineRule="auto"/>
        <w:contextualSpacing/>
        <w:jc w:val="both"/>
        <w:rPr>
          <w:sz w:val="24"/>
          <w:szCs w:val="24"/>
          <w:lang w:val="en-US"/>
        </w:rPr>
      </w:pPr>
      <w:r>
        <w:rPr>
          <w:sz w:val="24"/>
          <w:szCs w:val="24"/>
          <w:lang w:val="en-US"/>
        </w:rPr>
        <w:t>T</w:t>
      </w:r>
      <w:r w:rsidR="00AB1B7E" w:rsidRPr="00127BC0">
        <w:rPr>
          <w:sz w:val="24"/>
          <w:szCs w:val="24"/>
          <w:lang w:val="en-US"/>
        </w:rPr>
        <w:t>eam-based care,</w:t>
      </w:r>
      <w:r>
        <w:rPr>
          <w:sz w:val="24"/>
          <w:szCs w:val="24"/>
          <w:lang w:val="en-US"/>
        </w:rPr>
        <w:t xml:space="preserve"> </w:t>
      </w:r>
    </w:p>
    <w:p w14:paraId="26B31864" w14:textId="133924FE" w:rsidR="001218D3" w:rsidRDefault="001218D3" w:rsidP="001218D3">
      <w:pPr>
        <w:pStyle w:val="Body"/>
        <w:numPr>
          <w:ilvl w:val="0"/>
          <w:numId w:val="43"/>
        </w:numPr>
        <w:spacing w:after="0" w:line="276" w:lineRule="auto"/>
        <w:contextualSpacing/>
        <w:jc w:val="both"/>
        <w:rPr>
          <w:sz w:val="24"/>
          <w:szCs w:val="24"/>
          <w:lang w:val="en-US"/>
        </w:rPr>
      </w:pPr>
      <w:r>
        <w:rPr>
          <w:sz w:val="24"/>
          <w:szCs w:val="24"/>
          <w:lang w:val="en-US"/>
        </w:rPr>
        <w:t>I</w:t>
      </w:r>
      <w:r w:rsidR="00AB1B7E" w:rsidRPr="00127BC0">
        <w:rPr>
          <w:sz w:val="24"/>
          <w:szCs w:val="24"/>
          <w:lang w:val="en-US"/>
        </w:rPr>
        <w:t xml:space="preserve">nnovative use of staff and resources, </w:t>
      </w:r>
    </w:p>
    <w:p w14:paraId="16F11453" w14:textId="05480D0B" w:rsidR="001218D3" w:rsidRDefault="001218D3" w:rsidP="001218D3">
      <w:pPr>
        <w:pStyle w:val="Body"/>
        <w:numPr>
          <w:ilvl w:val="0"/>
          <w:numId w:val="43"/>
        </w:numPr>
        <w:spacing w:after="0" w:line="276" w:lineRule="auto"/>
        <w:contextualSpacing/>
        <w:jc w:val="both"/>
        <w:rPr>
          <w:sz w:val="24"/>
          <w:szCs w:val="24"/>
          <w:lang w:val="en-US"/>
        </w:rPr>
      </w:pPr>
      <w:r>
        <w:rPr>
          <w:sz w:val="24"/>
          <w:szCs w:val="24"/>
          <w:lang w:val="en-US"/>
        </w:rPr>
        <w:t>H</w:t>
      </w:r>
      <w:r w:rsidR="00AB1B7E" w:rsidRPr="00127BC0">
        <w:rPr>
          <w:sz w:val="24"/>
          <w:szCs w:val="24"/>
          <w:lang w:val="en-US"/>
        </w:rPr>
        <w:t xml:space="preserve">ealth promotion, </w:t>
      </w:r>
    </w:p>
    <w:p w14:paraId="1C0C2010" w14:textId="1CE9E449" w:rsidR="001218D3" w:rsidRDefault="001218D3" w:rsidP="001218D3">
      <w:pPr>
        <w:pStyle w:val="Body"/>
        <w:numPr>
          <w:ilvl w:val="0"/>
          <w:numId w:val="43"/>
        </w:numPr>
        <w:spacing w:after="0" w:line="276" w:lineRule="auto"/>
        <w:contextualSpacing/>
        <w:jc w:val="both"/>
        <w:rPr>
          <w:sz w:val="24"/>
          <w:szCs w:val="24"/>
          <w:lang w:val="en-US"/>
        </w:rPr>
      </w:pPr>
      <w:r>
        <w:rPr>
          <w:sz w:val="24"/>
          <w:szCs w:val="24"/>
          <w:lang w:val="en-US"/>
        </w:rPr>
        <w:t>P</w:t>
      </w:r>
      <w:r w:rsidR="00AB1B7E" w:rsidRPr="00127BC0">
        <w:rPr>
          <w:sz w:val="24"/>
          <w:szCs w:val="24"/>
          <w:lang w:val="en-US"/>
        </w:rPr>
        <w:t xml:space="preserve">revention, </w:t>
      </w:r>
    </w:p>
    <w:p w14:paraId="0B23875F" w14:textId="719187B4" w:rsidR="001218D3" w:rsidRDefault="001218D3" w:rsidP="001218D3">
      <w:pPr>
        <w:pStyle w:val="Body"/>
        <w:numPr>
          <w:ilvl w:val="0"/>
          <w:numId w:val="43"/>
        </w:numPr>
        <w:spacing w:after="0" w:line="276" w:lineRule="auto"/>
        <w:contextualSpacing/>
        <w:jc w:val="both"/>
        <w:rPr>
          <w:sz w:val="24"/>
          <w:szCs w:val="24"/>
          <w:lang w:val="en-US"/>
        </w:rPr>
      </w:pPr>
      <w:r>
        <w:rPr>
          <w:sz w:val="24"/>
          <w:szCs w:val="24"/>
          <w:lang w:val="en-US"/>
        </w:rPr>
        <w:t>R</w:t>
      </w:r>
      <w:r w:rsidR="00AB1B7E" w:rsidRPr="00127BC0">
        <w:rPr>
          <w:sz w:val="24"/>
          <w:szCs w:val="24"/>
          <w:lang w:val="en-US"/>
        </w:rPr>
        <w:t>isk-based access and</w:t>
      </w:r>
    </w:p>
    <w:p w14:paraId="74FB3717" w14:textId="3A7C24C3" w:rsidR="002750DF" w:rsidRPr="00127BC0" w:rsidRDefault="001218D3" w:rsidP="001218D3">
      <w:pPr>
        <w:pStyle w:val="Body"/>
        <w:numPr>
          <w:ilvl w:val="0"/>
          <w:numId w:val="43"/>
        </w:numPr>
        <w:spacing w:after="0" w:line="276" w:lineRule="auto"/>
        <w:contextualSpacing/>
        <w:jc w:val="both"/>
        <w:rPr>
          <w:rFonts w:eastAsia="Arial" w:cs="Arial"/>
          <w:sz w:val="24"/>
          <w:szCs w:val="24"/>
        </w:rPr>
      </w:pPr>
      <w:r>
        <w:rPr>
          <w:sz w:val="24"/>
          <w:szCs w:val="24"/>
          <w:lang w:val="en-US"/>
        </w:rPr>
        <w:t>P</w:t>
      </w:r>
      <w:r w:rsidR="00AB1B7E" w:rsidRPr="00127BC0">
        <w:rPr>
          <w:sz w:val="24"/>
          <w:szCs w:val="24"/>
          <w:lang w:val="en-US"/>
        </w:rPr>
        <w:t xml:space="preserve">eriodic program evaluation. </w:t>
      </w:r>
    </w:p>
    <w:p w14:paraId="647D6FF4" w14:textId="77777777" w:rsidR="002750DF" w:rsidRPr="00127BC0" w:rsidRDefault="002750DF" w:rsidP="00127BC0">
      <w:pPr>
        <w:pStyle w:val="Body"/>
        <w:spacing w:after="0" w:line="276" w:lineRule="auto"/>
        <w:contextualSpacing/>
        <w:jc w:val="both"/>
        <w:rPr>
          <w:rFonts w:eastAsia="Arial" w:cs="Arial"/>
          <w:sz w:val="24"/>
          <w:szCs w:val="24"/>
        </w:rPr>
      </w:pPr>
    </w:p>
    <w:p w14:paraId="3B3CD48F" w14:textId="619D4A8A" w:rsidR="002750DF" w:rsidRDefault="00CD6201" w:rsidP="00127BC0">
      <w:pPr>
        <w:pStyle w:val="Body"/>
        <w:spacing w:after="0" w:line="276" w:lineRule="auto"/>
        <w:contextualSpacing/>
        <w:rPr>
          <w:b/>
          <w:bCs/>
          <w:sz w:val="24"/>
          <w:szCs w:val="24"/>
          <w:lang w:val="en-US"/>
        </w:rPr>
      </w:pPr>
      <w:r w:rsidRPr="00127BC0">
        <w:rPr>
          <w:b/>
          <w:bCs/>
          <w:sz w:val="24"/>
          <w:szCs w:val="24"/>
          <w:lang w:val="en-US"/>
        </w:rPr>
        <w:t>PROGRAM OPERATING CONTEXT</w:t>
      </w:r>
    </w:p>
    <w:p w14:paraId="6A418851" w14:textId="77777777" w:rsidR="00CD6201" w:rsidRPr="00127BC0" w:rsidRDefault="00CD6201" w:rsidP="00127BC0">
      <w:pPr>
        <w:pStyle w:val="Body"/>
        <w:spacing w:after="0" w:line="276" w:lineRule="auto"/>
        <w:contextualSpacing/>
        <w:rPr>
          <w:rFonts w:eastAsia="Arial" w:cs="Arial"/>
          <w:b/>
          <w:bCs/>
          <w:sz w:val="24"/>
          <w:szCs w:val="24"/>
        </w:rPr>
      </w:pPr>
    </w:p>
    <w:p w14:paraId="27B34186" w14:textId="77777777" w:rsidR="002750DF" w:rsidRPr="00127BC0" w:rsidRDefault="00AB1B7E" w:rsidP="00127BC0">
      <w:pPr>
        <w:pStyle w:val="Body"/>
        <w:spacing w:after="0" w:line="276" w:lineRule="auto"/>
        <w:contextualSpacing/>
        <w:jc w:val="both"/>
        <w:rPr>
          <w:rFonts w:eastAsia="Arial" w:cs="Arial"/>
          <w:sz w:val="24"/>
          <w:szCs w:val="24"/>
        </w:rPr>
      </w:pPr>
      <w:r w:rsidRPr="00127BC0">
        <w:rPr>
          <w:b/>
          <w:bCs/>
          <w:i/>
          <w:iCs/>
          <w:sz w:val="24"/>
          <w:szCs w:val="24"/>
          <w:lang w:val="en-US"/>
        </w:rPr>
        <w:t xml:space="preserve">Public dental services: </w:t>
      </w:r>
      <w:r w:rsidRPr="00127BC0">
        <w:rPr>
          <w:sz w:val="24"/>
          <w:szCs w:val="24"/>
          <w:lang w:val="en-US"/>
        </w:rPr>
        <w:t>Public dental services in Australia are provided, to eligible low income individuals and pre-determined priority groups, by each State through a combined State and Commonwealth funding systems and partnership agreements.</w:t>
      </w:r>
      <w:r w:rsidRPr="00127BC0">
        <w:rPr>
          <w:sz w:val="24"/>
          <w:szCs w:val="24"/>
          <w:vertAlign w:val="superscript"/>
        </w:rPr>
        <w:t>21</w:t>
      </w:r>
      <w:r w:rsidRPr="00127BC0">
        <w:rPr>
          <w:sz w:val="24"/>
          <w:szCs w:val="24"/>
          <w:lang w:val="en-US"/>
        </w:rPr>
        <w:t xml:space="preserve"> However, eligibility criteria as well as administration of services varies between States.</w:t>
      </w:r>
      <w:r w:rsidRPr="00127BC0">
        <w:rPr>
          <w:sz w:val="24"/>
          <w:szCs w:val="24"/>
          <w:vertAlign w:val="superscript"/>
        </w:rPr>
        <w:t>22</w:t>
      </w:r>
      <w:r w:rsidRPr="00127BC0">
        <w:rPr>
          <w:sz w:val="24"/>
          <w:szCs w:val="24"/>
          <w:lang w:val="en-US"/>
        </w:rPr>
        <w:t xml:space="preserve"> Dental Health Services Victoria (DHSV), funded by the State Department of Health and Human Services, administers public dental services in Victoria via the Royal Dental Hospital and also by sub-contracting to community health services</w:t>
      </w:r>
      <w:r w:rsidRPr="00127BC0">
        <w:rPr>
          <w:sz w:val="24"/>
          <w:szCs w:val="24"/>
          <w:vertAlign w:val="superscript"/>
        </w:rPr>
        <w:t>23</w:t>
      </w:r>
      <w:r w:rsidRPr="00127BC0">
        <w:rPr>
          <w:sz w:val="24"/>
          <w:szCs w:val="24"/>
          <w:lang w:val="en-US"/>
        </w:rPr>
        <w:t xml:space="preserve"> such as NRCH. The introduction of the National Health Care reforms has resulted in a range of changes to how dental health services are </w:t>
      </w:r>
      <w:r w:rsidRPr="00127BC0">
        <w:rPr>
          <w:sz w:val="24"/>
          <w:szCs w:val="24"/>
          <w:lang w:val="en-US"/>
        </w:rPr>
        <w:lastRenderedPageBreak/>
        <w:t>funded within Australia; they are supported through the Council of Australian Governments (COAG). DHSV’s discussion paper on Innovative Models of Care was an inspiration to re-orient the NRCH-OH MoC towards prevention and health promotion.</w:t>
      </w:r>
      <w:r w:rsidRPr="00127BC0">
        <w:rPr>
          <w:sz w:val="24"/>
          <w:szCs w:val="24"/>
          <w:vertAlign w:val="superscript"/>
        </w:rPr>
        <w:t>12</w:t>
      </w:r>
      <w:r w:rsidRPr="00127BC0">
        <w:rPr>
          <w:sz w:val="24"/>
          <w:szCs w:val="24"/>
        </w:rPr>
        <w:t xml:space="preserve"> </w:t>
      </w:r>
    </w:p>
    <w:p w14:paraId="22E587C6" w14:textId="77777777" w:rsidR="002750DF" w:rsidRPr="00127BC0" w:rsidRDefault="002750DF" w:rsidP="00127BC0">
      <w:pPr>
        <w:pStyle w:val="Body"/>
        <w:spacing w:after="0" w:line="276" w:lineRule="auto"/>
        <w:contextualSpacing/>
        <w:jc w:val="both"/>
        <w:rPr>
          <w:rFonts w:eastAsia="Arial" w:cs="Arial"/>
          <w:sz w:val="24"/>
          <w:szCs w:val="24"/>
        </w:rPr>
      </w:pPr>
    </w:p>
    <w:p w14:paraId="5A968574" w14:textId="540FF6D5" w:rsidR="002750DF" w:rsidRPr="00127BC0" w:rsidRDefault="00AB1B7E" w:rsidP="00127BC0">
      <w:pPr>
        <w:pStyle w:val="Body"/>
        <w:spacing w:after="0" w:line="276" w:lineRule="auto"/>
        <w:contextualSpacing/>
        <w:jc w:val="both"/>
        <w:rPr>
          <w:rFonts w:eastAsia="Arial" w:cs="Arial"/>
          <w:sz w:val="24"/>
          <w:szCs w:val="24"/>
        </w:rPr>
      </w:pPr>
      <w:r w:rsidRPr="00127BC0">
        <w:rPr>
          <w:b/>
          <w:bCs/>
          <w:i/>
          <w:iCs/>
          <w:sz w:val="24"/>
          <w:szCs w:val="24"/>
        </w:rPr>
        <w:t>Economics:</w:t>
      </w:r>
      <w:r w:rsidRPr="00127BC0">
        <w:rPr>
          <w:sz w:val="24"/>
          <w:szCs w:val="24"/>
          <w:lang w:val="en-US"/>
        </w:rPr>
        <w:t xml:space="preserve"> The allocation to</w:t>
      </w:r>
      <w:r w:rsidR="00686538" w:rsidRPr="00127BC0">
        <w:rPr>
          <w:sz w:val="24"/>
          <w:szCs w:val="24"/>
          <w:lang w:val="en-US"/>
        </w:rPr>
        <w:t xml:space="preserve"> the </w:t>
      </w:r>
      <w:r w:rsidR="00A87D70" w:rsidRPr="00127BC0">
        <w:rPr>
          <w:sz w:val="24"/>
          <w:szCs w:val="24"/>
          <w:lang w:val="en-US"/>
        </w:rPr>
        <w:t>Victorian</w:t>
      </w:r>
      <w:r w:rsidRPr="00127BC0">
        <w:rPr>
          <w:sz w:val="24"/>
          <w:szCs w:val="24"/>
          <w:lang w:val="en-US"/>
        </w:rPr>
        <w:t xml:space="preserve"> public dental services is fixed each year by Treasury with DHSV </w:t>
      </w:r>
      <w:r w:rsidR="00686538" w:rsidRPr="00127BC0">
        <w:rPr>
          <w:sz w:val="24"/>
          <w:szCs w:val="24"/>
          <w:lang w:val="en-US"/>
        </w:rPr>
        <w:t xml:space="preserve">redirecting </w:t>
      </w:r>
      <w:r w:rsidRPr="00127BC0">
        <w:rPr>
          <w:sz w:val="24"/>
          <w:szCs w:val="24"/>
          <w:lang w:val="en-US"/>
        </w:rPr>
        <w:t xml:space="preserve">an amount to each dental agency based on </w:t>
      </w:r>
      <w:r w:rsidR="00686538" w:rsidRPr="00127BC0">
        <w:rPr>
          <w:sz w:val="24"/>
          <w:szCs w:val="24"/>
          <w:lang w:val="en-US"/>
        </w:rPr>
        <w:t xml:space="preserve">the </w:t>
      </w:r>
      <w:r w:rsidRPr="00127BC0">
        <w:rPr>
          <w:sz w:val="24"/>
          <w:szCs w:val="24"/>
          <w:lang w:val="en-US"/>
        </w:rPr>
        <w:t>number of effective full time equivalent (EFT) dental practitioners employed and predicted achievement of the year’s productivity targets. This output based system uses clinical item codes, which are nominated a proportion of a funding unit known as Dental Weighted Activity Unit (DWAU). Each DWAU is funded at a given dollar value set by the State Government and the funds are then distributed to the dental program based on their total monthly clinical output. Benchmarks are set by DHSV with dentist</w:t>
      </w:r>
      <w:r w:rsidR="000574F7" w:rsidRPr="00127BC0">
        <w:rPr>
          <w:sz w:val="24"/>
          <w:szCs w:val="24"/>
          <w:lang w:val="en-US"/>
        </w:rPr>
        <w:t>s and therapists expected</w:t>
      </w:r>
      <w:r w:rsidRPr="00127BC0">
        <w:rPr>
          <w:sz w:val="24"/>
          <w:szCs w:val="24"/>
          <w:lang w:val="en-US"/>
        </w:rPr>
        <w:t xml:space="preserve"> to achieve </w:t>
      </w:r>
      <w:r w:rsidR="000574F7" w:rsidRPr="00127BC0">
        <w:rPr>
          <w:sz w:val="24"/>
          <w:szCs w:val="24"/>
        </w:rPr>
        <w:t>a predetermined amount of</w:t>
      </w:r>
      <w:r w:rsidRPr="00127BC0">
        <w:rPr>
          <w:sz w:val="24"/>
          <w:szCs w:val="24"/>
          <w:lang w:val="en-US"/>
        </w:rPr>
        <w:t xml:space="preserve"> DWAUs per year. However, the nominated DWAU to items codes is biased towards restorative and prosthetic activities rather than preventive activity and therefore the challenge for financial sustainability is significant when operating under a preventive model of care. The funding of DWAU is however the same whoever is legitimately “</w:t>
      </w:r>
      <w:r w:rsidRPr="00127BC0">
        <w:rPr>
          <w:sz w:val="24"/>
          <w:szCs w:val="24"/>
          <w:lang w:val="nl-NL"/>
        </w:rPr>
        <w:t>charging</w:t>
      </w:r>
      <w:r w:rsidRPr="00127BC0">
        <w:rPr>
          <w:sz w:val="24"/>
          <w:szCs w:val="24"/>
          <w:lang w:val="en-US"/>
        </w:rPr>
        <w:t>” through to DHSV therefore matching the appropriate operator to the activity is critical in terms of cost benefit for a particular model of care. Th</w:t>
      </w:r>
      <w:r w:rsidR="00310DB1" w:rsidRPr="00127BC0">
        <w:rPr>
          <w:sz w:val="24"/>
          <w:szCs w:val="24"/>
          <w:lang w:val="en-US"/>
        </w:rPr>
        <w:t>is</w:t>
      </w:r>
      <w:r w:rsidRPr="00127BC0">
        <w:rPr>
          <w:sz w:val="24"/>
          <w:szCs w:val="24"/>
          <w:lang w:val="en-US"/>
        </w:rPr>
        <w:t xml:space="preserve"> model of care therefore works best using an all-of-team approach </w:t>
      </w:r>
      <w:r w:rsidR="00E62DB0" w:rsidRPr="00127BC0">
        <w:rPr>
          <w:sz w:val="24"/>
          <w:szCs w:val="24"/>
          <w:lang w:val="en-US"/>
        </w:rPr>
        <w:t xml:space="preserve">with the dentist as leader. This </w:t>
      </w:r>
      <w:r w:rsidRPr="00127BC0">
        <w:rPr>
          <w:sz w:val="24"/>
          <w:szCs w:val="24"/>
          <w:lang w:val="en-US"/>
        </w:rPr>
        <w:t>is supported by Australian Health Practitioner Regulation Agency (AHPRA) through a Structured Professional Relationship in which each practitioner works independently within their individual scope of practice/ competency and refer within the team when work outside their scope is required.</w:t>
      </w:r>
      <w:r w:rsidRPr="00127BC0">
        <w:rPr>
          <w:sz w:val="24"/>
          <w:szCs w:val="24"/>
          <w:vertAlign w:val="superscript"/>
        </w:rPr>
        <w:t>24</w:t>
      </w:r>
      <w:r w:rsidRPr="00127BC0">
        <w:rPr>
          <w:sz w:val="24"/>
          <w:szCs w:val="24"/>
          <w:lang w:val="en-US"/>
        </w:rPr>
        <w:t xml:space="preserve"> For example an oral health ther</w:t>
      </w:r>
      <w:r w:rsidR="008A5EB9" w:rsidRPr="00127BC0">
        <w:rPr>
          <w:sz w:val="24"/>
          <w:szCs w:val="24"/>
          <w:lang w:val="en-US"/>
        </w:rPr>
        <w:t>apist or hygienist working with</w:t>
      </w:r>
      <w:r w:rsidRPr="00127BC0">
        <w:rPr>
          <w:sz w:val="24"/>
          <w:szCs w:val="24"/>
          <w:lang w:val="en-US"/>
        </w:rPr>
        <w:t>in</w:t>
      </w:r>
      <w:r w:rsidR="008A5EB9" w:rsidRPr="00127BC0">
        <w:rPr>
          <w:sz w:val="24"/>
          <w:szCs w:val="24"/>
          <w:lang w:val="en-US"/>
        </w:rPr>
        <w:t xml:space="preserve"> a structured professional relationship </w:t>
      </w:r>
      <w:r w:rsidRPr="00127BC0">
        <w:rPr>
          <w:sz w:val="24"/>
          <w:szCs w:val="24"/>
          <w:lang w:val="en-US"/>
        </w:rPr>
        <w:t>can examine, diagnose including risk assessment and then construct a preventive based management plan</w:t>
      </w:r>
      <w:r w:rsidR="00E62DB0" w:rsidRPr="00127BC0">
        <w:rPr>
          <w:sz w:val="24"/>
          <w:szCs w:val="24"/>
          <w:lang w:val="en-US"/>
        </w:rPr>
        <w:t>;  a dental assistant trained in oral health promotion can provide oral health education on direction by a dental practitioner</w:t>
      </w:r>
      <w:r w:rsidRPr="00127BC0">
        <w:rPr>
          <w:sz w:val="24"/>
          <w:szCs w:val="24"/>
          <w:lang w:val="en-US"/>
        </w:rPr>
        <w:t xml:space="preserve">. </w:t>
      </w:r>
    </w:p>
    <w:p w14:paraId="5960BA69" w14:textId="77777777" w:rsidR="00CD6201" w:rsidRDefault="00AB1B7E" w:rsidP="00127BC0">
      <w:pPr>
        <w:pStyle w:val="Body"/>
        <w:spacing w:after="0" w:line="276" w:lineRule="auto"/>
        <w:contextualSpacing/>
        <w:jc w:val="both"/>
        <w:rPr>
          <w:sz w:val="24"/>
          <w:szCs w:val="24"/>
          <w:lang w:val="en-US"/>
        </w:rPr>
      </w:pPr>
      <w:r w:rsidRPr="00127BC0">
        <w:rPr>
          <w:sz w:val="24"/>
          <w:szCs w:val="24"/>
          <w:lang w:val="en-US"/>
        </w:rPr>
        <w:t xml:space="preserve"> </w:t>
      </w:r>
    </w:p>
    <w:p w14:paraId="5B8A9AC4" w14:textId="6EDC46B4" w:rsidR="002750DF" w:rsidRPr="00127BC0" w:rsidRDefault="00AB1B7E" w:rsidP="00127BC0">
      <w:pPr>
        <w:pStyle w:val="Body"/>
        <w:spacing w:after="0" w:line="276" w:lineRule="auto"/>
        <w:contextualSpacing/>
        <w:jc w:val="both"/>
        <w:rPr>
          <w:rFonts w:eastAsia="Arial" w:cs="Arial"/>
          <w:sz w:val="24"/>
          <w:szCs w:val="24"/>
          <w:lang w:val="en-US"/>
        </w:rPr>
      </w:pPr>
      <w:r w:rsidRPr="00127BC0">
        <w:rPr>
          <w:sz w:val="24"/>
          <w:szCs w:val="24"/>
          <w:lang w:val="en-US"/>
        </w:rPr>
        <w:t xml:space="preserve">Clients attending public dental programs in Victoria are encouraged to contribute to their oral health care.  Co-payments were introduced in to Victoria’s public dental program in 1997 and are currently set at $27 per visit and capped at </w:t>
      </w:r>
      <w:r w:rsidR="002A3DAF" w:rsidRPr="00127BC0">
        <w:rPr>
          <w:sz w:val="24"/>
          <w:szCs w:val="24"/>
          <w:lang w:val="en-US"/>
        </w:rPr>
        <w:t>$108 for a course of care (</w:t>
      </w:r>
      <w:r w:rsidRPr="00127BC0">
        <w:rPr>
          <w:sz w:val="24"/>
          <w:szCs w:val="24"/>
          <w:lang w:val="en-US"/>
        </w:rPr>
        <w:t xml:space="preserve">Exemptions are available for eligible children up to the age of 18 years, clients with significant mental health issue, refugees and asylum seekers, Aborigines and Torres Strait </w:t>
      </w:r>
      <w:r w:rsidR="00F60A6C" w:rsidRPr="00127BC0">
        <w:rPr>
          <w:sz w:val="24"/>
          <w:szCs w:val="24"/>
          <w:lang w:val="en-US"/>
        </w:rPr>
        <w:t>I</w:t>
      </w:r>
      <w:r w:rsidRPr="00127BC0">
        <w:rPr>
          <w:sz w:val="24"/>
          <w:szCs w:val="24"/>
          <w:lang w:val="en-US"/>
        </w:rPr>
        <w:t>slanders  Individual community health services have flexibility to waive co-payments; however the collection of co-payments is factored into the annual funding allocation by DHSV.</w:t>
      </w:r>
    </w:p>
    <w:p w14:paraId="6F60330F" w14:textId="77777777" w:rsidR="002750DF" w:rsidRPr="00127BC0" w:rsidRDefault="002750DF" w:rsidP="00127BC0">
      <w:pPr>
        <w:pStyle w:val="Body"/>
        <w:spacing w:after="0" w:line="276" w:lineRule="auto"/>
        <w:contextualSpacing/>
        <w:jc w:val="both"/>
        <w:rPr>
          <w:rFonts w:eastAsia="Arial" w:cs="Arial"/>
          <w:sz w:val="24"/>
          <w:szCs w:val="24"/>
          <w:lang w:val="en-US"/>
        </w:rPr>
      </w:pPr>
    </w:p>
    <w:p w14:paraId="5893A8D4" w14:textId="3BD2AF91" w:rsidR="002750DF" w:rsidRPr="00127BC0" w:rsidRDefault="00AB1B7E" w:rsidP="00127BC0">
      <w:pPr>
        <w:pStyle w:val="Body"/>
        <w:spacing w:after="0" w:line="276" w:lineRule="auto"/>
        <w:contextualSpacing/>
        <w:jc w:val="both"/>
        <w:rPr>
          <w:rFonts w:eastAsia="Arial" w:cs="Arial"/>
          <w:sz w:val="24"/>
          <w:szCs w:val="24"/>
        </w:rPr>
      </w:pPr>
      <w:r w:rsidRPr="00127BC0">
        <w:rPr>
          <w:b/>
          <w:bCs/>
          <w:i/>
          <w:iCs/>
          <w:sz w:val="24"/>
          <w:szCs w:val="24"/>
          <w:lang w:val="en-US"/>
        </w:rPr>
        <w:t>Traditional models of oral healthcare</w:t>
      </w:r>
      <w:r w:rsidRPr="00127BC0">
        <w:rPr>
          <w:sz w:val="24"/>
          <w:szCs w:val="24"/>
          <w:lang w:val="en-US"/>
        </w:rPr>
        <w:t xml:space="preserve">: Traditional models of oral healthcare have focused on the </w:t>
      </w:r>
      <w:r w:rsidRPr="00127BC0">
        <w:rPr>
          <w:sz w:val="24"/>
          <w:szCs w:val="24"/>
        </w:rPr>
        <w:t xml:space="preserve">surgical </w:t>
      </w:r>
      <w:r w:rsidRPr="00127BC0">
        <w:rPr>
          <w:sz w:val="24"/>
          <w:szCs w:val="24"/>
          <w:lang w:val="en-US"/>
        </w:rPr>
        <w:t xml:space="preserve">management of existing pathology in a tertiary prevention or downstream approach. This </w:t>
      </w:r>
      <w:r w:rsidRPr="00127BC0">
        <w:rPr>
          <w:sz w:val="24"/>
          <w:szCs w:val="24"/>
        </w:rPr>
        <w:t xml:space="preserve">approach does not manage the dental disease itself and, therefore, </w:t>
      </w:r>
      <w:r w:rsidRPr="00127BC0">
        <w:rPr>
          <w:sz w:val="24"/>
          <w:szCs w:val="24"/>
          <w:lang w:val="en-US"/>
        </w:rPr>
        <w:t xml:space="preserve">has had </w:t>
      </w:r>
      <w:r w:rsidR="00AB3112" w:rsidRPr="00127BC0">
        <w:rPr>
          <w:sz w:val="24"/>
          <w:szCs w:val="24"/>
          <w:lang w:val="en-US"/>
        </w:rPr>
        <w:t>minimal</w:t>
      </w:r>
      <w:r w:rsidRPr="00127BC0">
        <w:rPr>
          <w:sz w:val="24"/>
          <w:szCs w:val="24"/>
          <w:lang w:val="en-US"/>
        </w:rPr>
        <w:t xml:space="preserve"> </w:t>
      </w:r>
      <w:r w:rsidR="005444A2" w:rsidRPr="00127BC0">
        <w:rPr>
          <w:sz w:val="24"/>
          <w:szCs w:val="24"/>
          <w:lang w:val="en-US"/>
        </w:rPr>
        <w:t xml:space="preserve">effect </w:t>
      </w:r>
      <w:r w:rsidRPr="00127BC0">
        <w:rPr>
          <w:sz w:val="24"/>
          <w:szCs w:val="24"/>
          <w:lang w:val="en-US"/>
        </w:rPr>
        <w:t xml:space="preserve">on the rate of hospitalisation, the inequitable distribution of dental diseases and waiting list times </w:t>
      </w:r>
      <w:r w:rsidRPr="00127BC0">
        <w:rPr>
          <w:sz w:val="24"/>
          <w:szCs w:val="24"/>
        </w:rPr>
        <w:t xml:space="preserve">for treatment </w:t>
      </w:r>
      <w:r w:rsidRPr="00127BC0">
        <w:rPr>
          <w:sz w:val="24"/>
          <w:szCs w:val="24"/>
          <w:lang w:val="fr-FR"/>
        </w:rPr>
        <w:t xml:space="preserve">in public dental </w:t>
      </w:r>
      <w:r w:rsidR="00AB3112" w:rsidRPr="00127BC0">
        <w:rPr>
          <w:sz w:val="24"/>
          <w:szCs w:val="24"/>
          <w:lang w:val="fr-FR"/>
        </w:rPr>
        <w:t>services</w:t>
      </w:r>
      <w:r w:rsidR="00AB3112" w:rsidRPr="00127BC0">
        <w:rPr>
          <w:sz w:val="24"/>
          <w:szCs w:val="24"/>
        </w:rPr>
        <w:t>.</w:t>
      </w:r>
      <w:r w:rsidRPr="00127BC0">
        <w:rPr>
          <w:rFonts w:eastAsia="Arial" w:cs="Arial"/>
          <w:sz w:val="24"/>
          <w:szCs w:val="24"/>
          <w:vertAlign w:val="superscript"/>
        </w:rPr>
        <w:fldChar w:fldCharType="begin"/>
      </w:r>
      <w:r w:rsidRPr="00127BC0">
        <w:rPr>
          <w:rFonts w:eastAsia="Arial" w:cs="Arial"/>
          <w:sz w:val="24"/>
          <w:szCs w:val="24"/>
          <w:vertAlign w:val="superscript"/>
        </w:rPr>
        <w:instrText xml:space="preserve"> ADDIN EN.CITE &lt;EndNote&gt;&lt;Cite&gt;&lt;DisplayText&gt;13, 25, 26&lt;/DisplayText&gt;&lt;record&gt;&lt;/record&gt;&lt;/Cite&gt;&lt;/EndNote&gt;</w:instrText>
      </w:r>
      <w:r w:rsidRPr="00127BC0">
        <w:rPr>
          <w:rFonts w:eastAsia="Arial" w:cs="Arial"/>
          <w:sz w:val="24"/>
          <w:szCs w:val="24"/>
          <w:vertAlign w:val="superscript"/>
        </w:rPr>
        <w:fldChar w:fldCharType="separate"/>
      </w:r>
      <w:r w:rsidRPr="00127BC0">
        <w:rPr>
          <w:sz w:val="24"/>
          <w:szCs w:val="24"/>
          <w:vertAlign w:val="superscript"/>
        </w:rPr>
        <w:t>13, 25, 26</w:t>
      </w:r>
      <w:r w:rsidRPr="00127BC0">
        <w:rPr>
          <w:rFonts w:eastAsia="Arial" w:cs="Arial"/>
          <w:sz w:val="24"/>
          <w:szCs w:val="24"/>
          <w:vertAlign w:val="superscript"/>
        </w:rPr>
        <w:fldChar w:fldCharType="end"/>
      </w:r>
      <w:r w:rsidRPr="00127BC0">
        <w:rPr>
          <w:sz w:val="24"/>
          <w:szCs w:val="24"/>
          <w:lang w:val="en-US"/>
        </w:rPr>
        <w:t xml:space="preserve"> At present, this model </w:t>
      </w:r>
      <w:r w:rsidRPr="00127BC0">
        <w:rPr>
          <w:sz w:val="24"/>
          <w:szCs w:val="24"/>
          <w:lang w:val="en-US"/>
        </w:rPr>
        <w:lastRenderedPageBreak/>
        <w:t xml:space="preserve">still defines the majority of dentistry performed </w:t>
      </w:r>
      <w:r w:rsidR="00BA5306" w:rsidRPr="00127BC0">
        <w:rPr>
          <w:sz w:val="24"/>
          <w:szCs w:val="24"/>
          <w:lang w:val="en-US"/>
        </w:rPr>
        <w:t xml:space="preserve">globally </w:t>
      </w:r>
      <w:r w:rsidRPr="00127BC0">
        <w:rPr>
          <w:sz w:val="24"/>
          <w:szCs w:val="24"/>
          <w:lang w:val="en-US"/>
        </w:rPr>
        <w:t>in</w:t>
      </w:r>
      <w:r w:rsidR="00BA5306" w:rsidRPr="00127BC0">
        <w:rPr>
          <w:sz w:val="24"/>
          <w:szCs w:val="24"/>
          <w:lang w:val="en-US"/>
        </w:rPr>
        <w:t>cluding</w:t>
      </w:r>
      <w:r w:rsidRPr="00127BC0">
        <w:rPr>
          <w:sz w:val="24"/>
          <w:szCs w:val="24"/>
          <w:lang w:val="en-US"/>
        </w:rPr>
        <w:t xml:space="preserve"> Australia</w:t>
      </w:r>
      <w:r w:rsidR="00CD6201">
        <w:rPr>
          <w:sz w:val="24"/>
          <w:szCs w:val="24"/>
          <w:lang w:val="en-US"/>
        </w:rPr>
        <w:t xml:space="preserve"> and especially in the majority </w:t>
      </w:r>
      <w:r w:rsidR="002573FE">
        <w:rPr>
          <w:sz w:val="24"/>
          <w:szCs w:val="24"/>
          <w:lang w:val="en-US"/>
        </w:rPr>
        <w:t>of private</w:t>
      </w:r>
      <w:r w:rsidR="00CD6201">
        <w:rPr>
          <w:sz w:val="24"/>
          <w:szCs w:val="24"/>
          <w:lang w:val="en-US"/>
        </w:rPr>
        <w:t xml:space="preserve"> </w:t>
      </w:r>
      <w:r w:rsidR="002573FE">
        <w:rPr>
          <w:sz w:val="24"/>
          <w:szCs w:val="24"/>
          <w:lang w:val="en-US"/>
        </w:rPr>
        <w:t xml:space="preserve">practices. </w:t>
      </w:r>
      <w:r w:rsidR="00BA5306" w:rsidRPr="00127BC0">
        <w:rPr>
          <w:sz w:val="24"/>
          <w:szCs w:val="24"/>
          <w:lang w:val="en-US"/>
        </w:rPr>
        <w:t>F</w:t>
      </w:r>
      <w:r w:rsidRPr="00127BC0">
        <w:rPr>
          <w:sz w:val="24"/>
          <w:szCs w:val="24"/>
          <w:lang w:val="en-US"/>
        </w:rPr>
        <w:t xml:space="preserve">or both providers and consumers there will be considerable challenges to move from </w:t>
      </w:r>
      <w:r w:rsidR="00BA5306" w:rsidRPr="00127BC0">
        <w:rPr>
          <w:sz w:val="24"/>
          <w:szCs w:val="24"/>
          <w:lang w:val="en-US"/>
        </w:rPr>
        <w:t>this</w:t>
      </w:r>
      <w:r w:rsidRPr="00127BC0">
        <w:rPr>
          <w:sz w:val="24"/>
          <w:szCs w:val="24"/>
        </w:rPr>
        <w:t xml:space="preserve"> surgical</w:t>
      </w:r>
      <w:r w:rsidRPr="00127BC0">
        <w:rPr>
          <w:sz w:val="24"/>
          <w:szCs w:val="24"/>
          <w:lang w:val="en-US"/>
        </w:rPr>
        <w:t xml:space="preserve"> based program funded to</w:t>
      </w:r>
      <w:r w:rsidRPr="00127BC0">
        <w:rPr>
          <w:sz w:val="24"/>
          <w:szCs w:val="24"/>
        </w:rPr>
        <w:t xml:space="preserve"> manage </w:t>
      </w:r>
      <w:r w:rsidR="00BA5306" w:rsidRPr="00127BC0">
        <w:rPr>
          <w:sz w:val="24"/>
          <w:szCs w:val="24"/>
        </w:rPr>
        <w:t>disease symptoms</w:t>
      </w:r>
      <w:r w:rsidRPr="00127BC0">
        <w:rPr>
          <w:sz w:val="24"/>
          <w:szCs w:val="24"/>
        </w:rPr>
        <w:t xml:space="preserve"> by </w:t>
      </w:r>
      <w:r w:rsidRPr="00127BC0">
        <w:rPr>
          <w:sz w:val="24"/>
          <w:szCs w:val="24"/>
          <w:lang w:val="en-US"/>
        </w:rPr>
        <w:t>“</w:t>
      </w:r>
      <w:r w:rsidRPr="00127BC0">
        <w:rPr>
          <w:sz w:val="24"/>
          <w:szCs w:val="24"/>
        </w:rPr>
        <w:t>fixing</w:t>
      </w:r>
      <w:r w:rsidRPr="00127BC0">
        <w:rPr>
          <w:sz w:val="24"/>
          <w:szCs w:val="24"/>
          <w:lang w:val="en-US"/>
        </w:rPr>
        <w:t xml:space="preserve"> teeth” to a health promotion and prevention based model of care.</w:t>
      </w:r>
    </w:p>
    <w:p w14:paraId="33C0B9E3" w14:textId="77777777" w:rsidR="002750DF" w:rsidRPr="00127BC0" w:rsidRDefault="002750DF" w:rsidP="00127BC0">
      <w:pPr>
        <w:pStyle w:val="Body"/>
        <w:spacing w:after="0" w:line="276" w:lineRule="auto"/>
        <w:contextualSpacing/>
        <w:jc w:val="both"/>
        <w:rPr>
          <w:rFonts w:eastAsia="Arial" w:cs="Arial"/>
          <w:sz w:val="24"/>
          <w:szCs w:val="24"/>
          <w:lang w:val="en-US"/>
        </w:rPr>
      </w:pPr>
    </w:p>
    <w:p w14:paraId="03A81063" w14:textId="781DB4BD" w:rsidR="002750DF" w:rsidRPr="00127BC0" w:rsidRDefault="00CD6201" w:rsidP="00127BC0">
      <w:pPr>
        <w:pStyle w:val="Body"/>
        <w:spacing w:after="0" w:line="276" w:lineRule="auto"/>
        <w:contextualSpacing/>
        <w:rPr>
          <w:rFonts w:eastAsia="Arial" w:cs="Arial"/>
          <w:b/>
          <w:bCs/>
          <w:sz w:val="24"/>
          <w:szCs w:val="24"/>
        </w:rPr>
      </w:pPr>
      <w:r w:rsidRPr="00127BC0">
        <w:rPr>
          <w:b/>
          <w:bCs/>
          <w:sz w:val="24"/>
          <w:szCs w:val="24"/>
          <w:lang w:val="en-US"/>
        </w:rPr>
        <w:t>PROGRAM POLICIES AND PROCEDURES</w:t>
      </w:r>
    </w:p>
    <w:p w14:paraId="61894E0D" w14:textId="77777777" w:rsidR="002750DF" w:rsidRPr="00127BC0" w:rsidRDefault="00AB1B7E" w:rsidP="00690A7C">
      <w:pPr>
        <w:pStyle w:val="Body"/>
        <w:spacing w:after="0" w:line="276" w:lineRule="auto"/>
        <w:contextualSpacing/>
        <w:jc w:val="both"/>
        <w:rPr>
          <w:rFonts w:eastAsia="Arial" w:cs="Arial"/>
          <w:sz w:val="24"/>
          <w:szCs w:val="24"/>
        </w:rPr>
      </w:pPr>
      <w:r w:rsidRPr="00127BC0">
        <w:rPr>
          <w:sz w:val="24"/>
          <w:szCs w:val="24"/>
          <w:lang w:val="en-US"/>
        </w:rPr>
        <w:t>Implementation of the NRCH-OH MoC is informed by range of policies and procedures such as:</w:t>
      </w:r>
    </w:p>
    <w:p w14:paraId="6B842961" w14:textId="77777777" w:rsidR="002750DF" w:rsidRPr="00127BC0" w:rsidRDefault="00AB1B7E" w:rsidP="00690A7C">
      <w:pPr>
        <w:pStyle w:val="ListParagraph"/>
        <w:numPr>
          <w:ilvl w:val="0"/>
          <w:numId w:val="2"/>
        </w:numPr>
        <w:tabs>
          <w:tab w:val="num" w:pos="720"/>
        </w:tabs>
        <w:spacing w:after="0" w:line="276" w:lineRule="auto"/>
        <w:ind w:hanging="360"/>
        <w:contextualSpacing/>
        <w:jc w:val="both"/>
        <w:rPr>
          <w:rFonts w:eastAsia="Arial" w:cs="Arial"/>
          <w:sz w:val="24"/>
          <w:szCs w:val="24"/>
        </w:rPr>
      </w:pPr>
      <w:r w:rsidRPr="00127BC0">
        <w:rPr>
          <w:sz w:val="24"/>
          <w:szCs w:val="24"/>
        </w:rPr>
        <w:t xml:space="preserve">Prioritising access for high risk individuals and groups </w:t>
      </w:r>
    </w:p>
    <w:p w14:paraId="48345437" w14:textId="0480E27F" w:rsidR="002750DF" w:rsidRPr="00F366BC" w:rsidRDefault="00AB1B7E" w:rsidP="00690A7C">
      <w:pPr>
        <w:pStyle w:val="ListParagraph"/>
        <w:numPr>
          <w:ilvl w:val="0"/>
          <w:numId w:val="3"/>
        </w:numPr>
        <w:tabs>
          <w:tab w:val="num" w:pos="720"/>
        </w:tabs>
        <w:spacing w:after="0" w:line="276" w:lineRule="auto"/>
        <w:ind w:hanging="360"/>
        <w:contextualSpacing/>
        <w:jc w:val="both"/>
        <w:rPr>
          <w:rFonts w:eastAsia="Arial" w:cs="Arial"/>
          <w:sz w:val="24"/>
          <w:szCs w:val="24"/>
        </w:rPr>
      </w:pPr>
      <w:r w:rsidRPr="00127BC0">
        <w:rPr>
          <w:sz w:val="24"/>
          <w:szCs w:val="24"/>
        </w:rPr>
        <w:t>Providing new clients</w:t>
      </w:r>
      <w:r w:rsidR="000544B1" w:rsidRPr="00127BC0">
        <w:rPr>
          <w:sz w:val="24"/>
          <w:szCs w:val="24"/>
        </w:rPr>
        <w:t>,</w:t>
      </w:r>
      <w:r w:rsidRPr="00127BC0">
        <w:rPr>
          <w:sz w:val="24"/>
          <w:szCs w:val="24"/>
        </w:rPr>
        <w:t xml:space="preserve"> </w:t>
      </w:r>
      <w:r w:rsidR="000544B1" w:rsidRPr="00127BC0">
        <w:rPr>
          <w:sz w:val="24"/>
          <w:szCs w:val="24"/>
        </w:rPr>
        <w:t xml:space="preserve">who go </w:t>
      </w:r>
      <w:r w:rsidRPr="00127BC0">
        <w:rPr>
          <w:sz w:val="24"/>
          <w:szCs w:val="24"/>
        </w:rPr>
        <w:t>on the waiting list</w:t>
      </w:r>
      <w:r w:rsidR="000544B1" w:rsidRPr="00127BC0">
        <w:rPr>
          <w:sz w:val="24"/>
          <w:szCs w:val="24"/>
        </w:rPr>
        <w:t>,</w:t>
      </w:r>
      <w:r w:rsidR="00690A7C">
        <w:rPr>
          <w:sz w:val="24"/>
          <w:szCs w:val="24"/>
        </w:rPr>
        <w:t xml:space="preserve"> with </w:t>
      </w:r>
      <w:r w:rsidRPr="00127BC0">
        <w:rPr>
          <w:sz w:val="24"/>
          <w:szCs w:val="24"/>
        </w:rPr>
        <w:t>basic information on tooth brushing</w:t>
      </w:r>
    </w:p>
    <w:p w14:paraId="1A8FA410" w14:textId="561E07FA" w:rsidR="002750DF" w:rsidRPr="00127BC0" w:rsidRDefault="00AB1B7E" w:rsidP="00690A7C">
      <w:pPr>
        <w:pStyle w:val="ListParagraph"/>
        <w:numPr>
          <w:ilvl w:val="0"/>
          <w:numId w:val="4"/>
        </w:numPr>
        <w:tabs>
          <w:tab w:val="num" w:pos="720"/>
        </w:tabs>
        <w:spacing w:after="0" w:line="276" w:lineRule="auto"/>
        <w:ind w:hanging="360"/>
        <w:contextualSpacing/>
        <w:jc w:val="both"/>
        <w:rPr>
          <w:rFonts w:eastAsia="Arial" w:cs="Arial"/>
          <w:sz w:val="24"/>
          <w:szCs w:val="24"/>
        </w:rPr>
      </w:pPr>
      <w:r w:rsidRPr="00127BC0">
        <w:rPr>
          <w:sz w:val="24"/>
          <w:szCs w:val="24"/>
        </w:rPr>
        <w:t>Provision of oral health education, including individualised oral hygiene instruction by a specially trained dental assistant, to all high risk clients.</w:t>
      </w:r>
    </w:p>
    <w:p w14:paraId="1395CABD" w14:textId="77777777" w:rsidR="002750DF" w:rsidRPr="00127BC0" w:rsidRDefault="00AB1B7E" w:rsidP="00690A7C">
      <w:pPr>
        <w:pStyle w:val="ListParagraph"/>
        <w:numPr>
          <w:ilvl w:val="0"/>
          <w:numId w:val="5"/>
        </w:numPr>
        <w:tabs>
          <w:tab w:val="num" w:pos="720"/>
        </w:tabs>
        <w:spacing w:after="0" w:line="276" w:lineRule="auto"/>
        <w:ind w:hanging="360"/>
        <w:contextualSpacing/>
        <w:jc w:val="both"/>
        <w:rPr>
          <w:rFonts w:eastAsia="Arial" w:cs="Arial"/>
          <w:sz w:val="24"/>
          <w:szCs w:val="24"/>
        </w:rPr>
      </w:pPr>
      <w:r w:rsidRPr="00127BC0">
        <w:rPr>
          <w:sz w:val="24"/>
          <w:szCs w:val="24"/>
        </w:rPr>
        <w:t>Achievement of a  minimum standard of home care, as determined by client plaque scores,  before proceeding to other phases of care</w:t>
      </w:r>
    </w:p>
    <w:p w14:paraId="748F6EBA" w14:textId="1A6C5A4A" w:rsidR="002750DF" w:rsidRPr="00127BC0" w:rsidRDefault="00AB1B7E" w:rsidP="00690A7C">
      <w:pPr>
        <w:pStyle w:val="ListParagraph"/>
        <w:numPr>
          <w:ilvl w:val="0"/>
          <w:numId w:val="6"/>
        </w:numPr>
        <w:tabs>
          <w:tab w:val="num" w:pos="720"/>
        </w:tabs>
        <w:spacing w:after="0" w:line="276" w:lineRule="auto"/>
        <w:ind w:hanging="360"/>
        <w:contextualSpacing/>
        <w:jc w:val="both"/>
        <w:rPr>
          <w:rFonts w:eastAsia="Arial" w:cs="Arial"/>
          <w:sz w:val="24"/>
          <w:szCs w:val="24"/>
        </w:rPr>
      </w:pPr>
      <w:r w:rsidRPr="00127BC0">
        <w:rPr>
          <w:sz w:val="24"/>
          <w:szCs w:val="24"/>
        </w:rPr>
        <w:t xml:space="preserve">Provision of </w:t>
      </w:r>
      <w:r w:rsidR="000544B1" w:rsidRPr="00127BC0">
        <w:rPr>
          <w:sz w:val="24"/>
          <w:szCs w:val="24"/>
        </w:rPr>
        <w:t>m</w:t>
      </w:r>
      <w:r w:rsidRPr="00127BC0">
        <w:rPr>
          <w:sz w:val="24"/>
          <w:szCs w:val="24"/>
        </w:rPr>
        <w:t xml:space="preserve">inimal </w:t>
      </w:r>
      <w:r w:rsidR="000544B1" w:rsidRPr="00127BC0">
        <w:rPr>
          <w:sz w:val="24"/>
          <w:szCs w:val="24"/>
        </w:rPr>
        <w:t>i</w:t>
      </w:r>
      <w:r w:rsidRPr="00127BC0">
        <w:rPr>
          <w:sz w:val="24"/>
          <w:szCs w:val="24"/>
        </w:rPr>
        <w:t xml:space="preserve">nvasive </w:t>
      </w:r>
      <w:r w:rsidR="000544B1" w:rsidRPr="00127BC0">
        <w:rPr>
          <w:sz w:val="24"/>
          <w:szCs w:val="24"/>
        </w:rPr>
        <w:t>d</w:t>
      </w:r>
      <w:r w:rsidRPr="00127BC0">
        <w:rPr>
          <w:sz w:val="24"/>
          <w:szCs w:val="24"/>
        </w:rPr>
        <w:t xml:space="preserve">entistry including Caries management </w:t>
      </w:r>
      <w:r w:rsidR="000544B1" w:rsidRPr="00127BC0">
        <w:rPr>
          <w:sz w:val="24"/>
          <w:szCs w:val="24"/>
        </w:rPr>
        <w:t>by</w:t>
      </w:r>
      <w:r w:rsidR="00690A7C">
        <w:rPr>
          <w:sz w:val="24"/>
          <w:szCs w:val="24"/>
        </w:rPr>
        <w:t xml:space="preserve"> risk a</w:t>
      </w:r>
      <w:r w:rsidRPr="00127BC0">
        <w:rPr>
          <w:sz w:val="24"/>
          <w:szCs w:val="24"/>
        </w:rPr>
        <w:t>ssessment (CAMBRA)</w:t>
      </w:r>
    </w:p>
    <w:p w14:paraId="3D97CD02" w14:textId="77777777" w:rsidR="002750DF" w:rsidRPr="00127BC0" w:rsidRDefault="00AB1B7E" w:rsidP="00690A7C">
      <w:pPr>
        <w:pStyle w:val="ListParagraph"/>
        <w:numPr>
          <w:ilvl w:val="0"/>
          <w:numId w:val="7"/>
        </w:numPr>
        <w:tabs>
          <w:tab w:val="num" w:pos="720"/>
        </w:tabs>
        <w:spacing w:after="0" w:line="276" w:lineRule="auto"/>
        <w:ind w:hanging="360"/>
        <w:contextualSpacing/>
        <w:jc w:val="both"/>
        <w:rPr>
          <w:rFonts w:eastAsia="Arial" w:cs="Arial"/>
          <w:sz w:val="24"/>
          <w:szCs w:val="24"/>
        </w:rPr>
      </w:pPr>
      <w:r w:rsidRPr="00127BC0">
        <w:rPr>
          <w:sz w:val="24"/>
          <w:szCs w:val="24"/>
        </w:rPr>
        <w:t>All children recalls are based on a  risk assessment of future disease</w:t>
      </w:r>
    </w:p>
    <w:p w14:paraId="03A08DE3" w14:textId="77777777" w:rsidR="002750DF" w:rsidRPr="00127BC0" w:rsidRDefault="00AB1B7E" w:rsidP="00690A7C">
      <w:pPr>
        <w:pStyle w:val="ListParagraph"/>
        <w:numPr>
          <w:ilvl w:val="0"/>
          <w:numId w:val="8"/>
        </w:numPr>
        <w:tabs>
          <w:tab w:val="num" w:pos="720"/>
        </w:tabs>
        <w:spacing w:after="0" w:line="276" w:lineRule="auto"/>
        <w:ind w:hanging="360"/>
        <w:contextualSpacing/>
        <w:jc w:val="both"/>
        <w:rPr>
          <w:rFonts w:eastAsia="Arial" w:cs="Arial"/>
          <w:sz w:val="24"/>
          <w:szCs w:val="24"/>
        </w:rPr>
      </w:pPr>
      <w:r w:rsidRPr="00127BC0">
        <w:rPr>
          <w:sz w:val="24"/>
          <w:szCs w:val="24"/>
        </w:rPr>
        <w:t>All adult recalls and reviews are based on a risk assessment of future disease</w:t>
      </w:r>
    </w:p>
    <w:p w14:paraId="416FEDDE" w14:textId="77777777" w:rsidR="002750DF" w:rsidRPr="00127BC0" w:rsidRDefault="00AB1B7E" w:rsidP="00690A7C">
      <w:pPr>
        <w:pStyle w:val="ListParagraph"/>
        <w:numPr>
          <w:ilvl w:val="0"/>
          <w:numId w:val="9"/>
        </w:numPr>
        <w:tabs>
          <w:tab w:val="num" w:pos="720"/>
        </w:tabs>
        <w:spacing w:after="0" w:line="276" w:lineRule="auto"/>
        <w:ind w:hanging="360"/>
        <w:contextualSpacing/>
        <w:jc w:val="both"/>
        <w:rPr>
          <w:rFonts w:eastAsia="Arial" w:cs="Arial"/>
          <w:sz w:val="24"/>
          <w:szCs w:val="24"/>
        </w:rPr>
      </w:pPr>
      <w:r w:rsidRPr="00127BC0">
        <w:rPr>
          <w:sz w:val="24"/>
          <w:szCs w:val="24"/>
        </w:rPr>
        <w:t>Drop-in clinics are made available to all clients</w:t>
      </w:r>
    </w:p>
    <w:p w14:paraId="5924DE5B" w14:textId="77777777" w:rsidR="00F366BC" w:rsidRPr="00127BC0" w:rsidRDefault="00F366BC" w:rsidP="00F366BC">
      <w:pPr>
        <w:pStyle w:val="ListParagraph"/>
        <w:numPr>
          <w:ilvl w:val="0"/>
          <w:numId w:val="9"/>
        </w:numPr>
        <w:spacing w:after="0" w:line="276" w:lineRule="auto"/>
        <w:ind w:hanging="360"/>
        <w:contextualSpacing/>
        <w:jc w:val="both"/>
        <w:rPr>
          <w:rFonts w:eastAsia="Arial" w:cs="Arial"/>
          <w:sz w:val="24"/>
          <w:szCs w:val="24"/>
        </w:rPr>
      </w:pPr>
      <w:r w:rsidRPr="00F366BC">
        <w:rPr>
          <w:rFonts w:eastAsia="Arial" w:cs="Arial"/>
          <w:sz w:val="24"/>
          <w:szCs w:val="24"/>
        </w:rPr>
        <w:t>The approach being that only those who can wait are placed onto a waiting list.</w:t>
      </w:r>
    </w:p>
    <w:p w14:paraId="7E054486" w14:textId="77777777" w:rsidR="002750DF" w:rsidRPr="00127BC0" w:rsidRDefault="002750DF" w:rsidP="00127BC0">
      <w:pPr>
        <w:pStyle w:val="Body"/>
        <w:spacing w:after="0" w:line="276" w:lineRule="auto"/>
        <w:contextualSpacing/>
        <w:rPr>
          <w:rFonts w:eastAsia="Arial" w:cs="Arial"/>
          <w:b/>
          <w:bCs/>
          <w:sz w:val="24"/>
          <w:szCs w:val="24"/>
        </w:rPr>
      </w:pPr>
    </w:p>
    <w:p w14:paraId="2B22B195" w14:textId="56C0CCD0" w:rsidR="002750DF" w:rsidRPr="00127BC0" w:rsidRDefault="00690A7C" w:rsidP="00127BC0">
      <w:pPr>
        <w:pStyle w:val="Body"/>
        <w:spacing w:after="0" w:line="276" w:lineRule="auto"/>
        <w:contextualSpacing/>
        <w:rPr>
          <w:rFonts w:eastAsia="Arial" w:cs="Arial"/>
          <w:b/>
          <w:bCs/>
          <w:sz w:val="24"/>
          <w:szCs w:val="24"/>
        </w:rPr>
      </w:pPr>
      <w:r w:rsidRPr="00127BC0">
        <w:rPr>
          <w:b/>
          <w:bCs/>
          <w:sz w:val="24"/>
          <w:szCs w:val="24"/>
          <w:lang w:val="en-US"/>
        </w:rPr>
        <w:t>PROGRAM OPERATIONAL COMPONENTS</w:t>
      </w:r>
    </w:p>
    <w:p w14:paraId="6D035FFE" w14:textId="77777777" w:rsidR="002750DF" w:rsidRPr="00127BC0" w:rsidRDefault="00AB1B7E" w:rsidP="00127BC0">
      <w:pPr>
        <w:pStyle w:val="Body"/>
        <w:spacing w:after="0" w:line="276" w:lineRule="auto"/>
        <w:contextualSpacing/>
        <w:rPr>
          <w:rFonts w:eastAsia="Arial" w:cs="Arial"/>
          <w:b/>
          <w:bCs/>
          <w:i/>
          <w:iCs/>
          <w:sz w:val="24"/>
          <w:szCs w:val="24"/>
        </w:rPr>
      </w:pPr>
      <w:r w:rsidRPr="00127BC0">
        <w:rPr>
          <w:b/>
          <w:bCs/>
          <w:i/>
          <w:iCs/>
          <w:sz w:val="24"/>
          <w:szCs w:val="24"/>
          <w:lang w:val="en-US"/>
        </w:rPr>
        <w:t xml:space="preserve">The Assessment Phase </w:t>
      </w:r>
    </w:p>
    <w:p w14:paraId="013F0F1C" w14:textId="77777777" w:rsidR="00690A7C" w:rsidRDefault="00AB1B7E" w:rsidP="00367B30">
      <w:pPr>
        <w:pStyle w:val="Body"/>
        <w:numPr>
          <w:ilvl w:val="0"/>
          <w:numId w:val="38"/>
        </w:numPr>
        <w:spacing w:after="0" w:line="276" w:lineRule="auto"/>
        <w:contextualSpacing/>
        <w:jc w:val="both"/>
        <w:rPr>
          <w:rFonts w:eastAsia="Arial" w:cs="Arial"/>
          <w:sz w:val="24"/>
          <w:szCs w:val="24"/>
          <w:lang w:val="en-US"/>
        </w:rPr>
      </w:pPr>
      <w:r w:rsidRPr="00127BC0">
        <w:rPr>
          <w:sz w:val="24"/>
          <w:szCs w:val="24"/>
          <w:lang w:val="en-US"/>
        </w:rPr>
        <w:t xml:space="preserve">All new clients and clients off the waiting list attend for an assessment with a dental practitioner. This is initiated via a letter of offer to clients inviting them to attend for an assessment of their oral health needs. Front desk </w:t>
      </w:r>
      <w:r w:rsidR="00015179" w:rsidRPr="00127BC0">
        <w:rPr>
          <w:sz w:val="24"/>
          <w:szCs w:val="24"/>
          <w:lang w:val="en-US"/>
        </w:rPr>
        <w:t>staff, supports</w:t>
      </w:r>
      <w:r w:rsidRPr="00127BC0">
        <w:rPr>
          <w:sz w:val="24"/>
          <w:szCs w:val="24"/>
          <w:lang w:val="en-US"/>
        </w:rPr>
        <w:t xml:space="preserve"> the new client through this process and may need to reinforce and explain the team approach during registration.  Priority </w:t>
      </w:r>
      <w:r w:rsidR="00412B40" w:rsidRPr="00127BC0">
        <w:rPr>
          <w:sz w:val="24"/>
          <w:szCs w:val="24"/>
          <w:lang w:val="en-US"/>
        </w:rPr>
        <w:t xml:space="preserve">and </w:t>
      </w:r>
      <w:r w:rsidRPr="00127BC0">
        <w:rPr>
          <w:sz w:val="24"/>
          <w:szCs w:val="24"/>
          <w:lang w:val="en-US"/>
        </w:rPr>
        <w:t>groups at high risk to dental disease (including those clients who are “fast tracked“</w:t>
      </w:r>
      <w:r w:rsidR="00BE69CA" w:rsidRPr="00127BC0">
        <w:rPr>
          <w:sz w:val="24"/>
          <w:szCs w:val="24"/>
          <w:lang w:val="en-US"/>
        </w:rPr>
        <w:t xml:space="preserve">, such as family members of a </w:t>
      </w:r>
      <w:r w:rsidRPr="00127BC0">
        <w:rPr>
          <w:sz w:val="24"/>
          <w:szCs w:val="24"/>
          <w:lang w:val="en-US"/>
        </w:rPr>
        <w:t xml:space="preserve">person at high risk or a visitor identified by a staff member as potentially at high risk) are given the next available appointment, </w:t>
      </w:r>
      <w:proofErr w:type="spellStart"/>
      <w:r w:rsidRPr="00127BC0">
        <w:rPr>
          <w:sz w:val="24"/>
          <w:szCs w:val="24"/>
          <w:lang w:val="en-US"/>
        </w:rPr>
        <w:t>ie</w:t>
      </w:r>
      <w:proofErr w:type="spellEnd"/>
      <w:r w:rsidRPr="00127BC0">
        <w:rPr>
          <w:sz w:val="24"/>
          <w:szCs w:val="24"/>
          <w:lang w:val="en-US"/>
        </w:rPr>
        <w:t xml:space="preserve"> they are not </w:t>
      </w:r>
      <w:r w:rsidR="00BE69CA" w:rsidRPr="00127BC0">
        <w:rPr>
          <w:sz w:val="24"/>
          <w:szCs w:val="24"/>
          <w:lang w:val="en-US"/>
        </w:rPr>
        <w:t>placed</w:t>
      </w:r>
      <w:r w:rsidRPr="00127BC0">
        <w:rPr>
          <w:sz w:val="24"/>
          <w:szCs w:val="24"/>
          <w:lang w:val="en-US"/>
        </w:rPr>
        <w:t xml:space="preserve"> on a wait list. </w:t>
      </w:r>
    </w:p>
    <w:p w14:paraId="0961E906" w14:textId="77777777" w:rsidR="00690A7C" w:rsidRDefault="00AB1B7E" w:rsidP="00367B30">
      <w:pPr>
        <w:pStyle w:val="Body"/>
        <w:numPr>
          <w:ilvl w:val="0"/>
          <w:numId w:val="38"/>
        </w:numPr>
        <w:spacing w:after="0" w:line="276" w:lineRule="auto"/>
        <w:contextualSpacing/>
        <w:jc w:val="both"/>
        <w:rPr>
          <w:rFonts w:eastAsia="Arial" w:cs="Arial"/>
          <w:sz w:val="24"/>
          <w:szCs w:val="24"/>
          <w:lang w:val="en-US"/>
        </w:rPr>
      </w:pPr>
      <w:r w:rsidRPr="00690A7C">
        <w:rPr>
          <w:sz w:val="24"/>
          <w:szCs w:val="24"/>
        </w:rPr>
        <w:t>A</w:t>
      </w:r>
      <w:r w:rsidRPr="00690A7C">
        <w:rPr>
          <w:sz w:val="24"/>
          <w:szCs w:val="24"/>
          <w:lang w:val="en-US"/>
        </w:rPr>
        <w:t xml:space="preserve"> preclinical interview is conducted </w:t>
      </w:r>
      <w:r w:rsidR="002B5043" w:rsidRPr="00690A7C">
        <w:rPr>
          <w:sz w:val="24"/>
          <w:szCs w:val="24"/>
          <w:lang w:val="en-US"/>
        </w:rPr>
        <w:t>on all new clients and clients on h</w:t>
      </w:r>
      <w:r w:rsidR="004F05A8" w:rsidRPr="00690A7C">
        <w:rPr>
          <w:sz w:val="24"/>
          <w:szCs w:val="24"/>
          <w:lang w:val="en-US"/>
        </w:rPr>
        <w:t xml:space="preserve">igh risk </w:t>
      </w:r>
      <w:r w:rsidR="002B5043" w:rsidRPr="00690A7C">
        <w:rPr>
          <w:sz w:val="24"/>
          <w:szCs w:val="24"/>
          <w:lang w:val="en-US"/>
        </w:rPr>
        <w:t xml:space="preserve">recall </w:t>
      </w:r>
      <w:r w:rsidRPr="00690A7C">
        <w:rPr>
          <w:sz w:val="24"/>
          <w:szCs w:val="24"/>
          <w:lang w:val="en-US"/>
        </w:rPr>
        <w:t xml:space="preserve">preferably in a private consulting room </w:t>
      </w:r>
      <w:r w:rsidR="008A5EB9" w:rsidRPr="00690A7C">
        <w:rPr>
          <w:sz w:val="24"/>
          <w:szCs w:val="24"/>
          <w:lang w:val="en-US"/>
        </w:rPr>
        <w:t>where medical</w:t>
      </w:r>
      <w:r w:rsidRPr="00690A7C">
        <w:rPr>
          <w:sz w:val="24"/>
          <w:szCs w:val="24"/>
          <w:lang w:val="en-US"/>
        </w:rPr>
        <w:t xml:space="preserve">, dental, family/social history and dietary information is </w:t>
      </w:r>
      <w:r w:rsidRPr="00690A7C">
        <w:rPr>
          <w:sz w:val="24"/>
          <w:szCs w:val="24"/>
        </w:rPr>
        <w:t xml:space="preserve">collected and </w:t>
      </w:r>
      <w:r w:rsidRPr="00690A7C">
        <w:rPr>
          <w:sz w:val="24"/>
          <w:szCs w:val="24"/>
          <w:lang w:val="en-US"/>
        </w:rPr>
        <w:t xml:space="preserve">recorded. It is important to gain, through discussion, an initial insight into the clients’ expectation at this stage. The dental assistant, from the most appropriate cultural group or who is familiar with specific client health beliefs, will greet the client, conduct this interview in the client’s first language if appropriate and continue to support the client throughout their episode of care. </w:t>
      </w:r>
    </w:p>
    <w:p w14:paraId="545D2A12" w14:textId="77777777" w:rsidR="00690A7C" w:rsidRDefault="00AB1B7E" w:rsidP="00367B30">
      <w:pPr>
        <w:pStyle w:val="Body"/>
        <w:numPr>
          <w:ilvl w:val="0"/>
          <w:numId w:val="38"/>
        </w:numPr>
        <w:spacing w:after="0" w:line="276" w:lineRule="auto"/>
        <w:contextualSpacing/>
        <w:jc w:val="both"/>
        <w:rPr>
          <w:rFonts w:eastAsia="Arial" w:cs="Arial"/>
          <w:sz w:val="24"/>
          <w:szCs w:val="24"/>
          <w:lang w:val="en-US"/>
        </w:rPr>
      </w:pPr>
      <w:r w:rsidRPr="00690A7C">
        <w:rPr>
          <w:sz w:val="24"/>
          <w:szCs w:val="24"/>
          <w:lang w:val="en-US"/>
        </w:rPr>
        <w:lastRenderedPageBreak/>
        <w:t>Undertake a full clinical and radiographic assessment. A modified caries risk assessment tool, based on CAMBRA, is used to record information and to assign the client to a caries risk level.</w:t>
      </w:r>
      <w:r w:rsidRPr="00690A7C">
        <w:rPr>
          <w:sz w:val="24"/>
          <w:szCs w:val="24"/>
          <w:vertAlign w:val="superscript"/>
        </w:rPr>
        <w:t>15</w:t>
      </w:r>
      <w:r w:rsidRPr="00690A7C">
        <w:rPr>
          <w:sz w:val="24"/>
          <w:szCs w:val="24"/>
          <w:lang w:val="en-US"/>
        </w:rPr>
        <w:t xml:space="preserve"> This is stored in the elec</w:t>
      </w:r>
      <w:r w:rsidR="00690A7C">
        <w:rPr>
          <w:sz w:val="24"/>
          <w:szCs w:val="24"/>
          <w:lang w:val="en-US"/>
        </w:rPr>
        <w:t xml:space="preserve">tronic client records database </w:t>
      </w:r>
      <w:r w:rsidRPr="00690A7C">
        <w:rPr>
          <w:sz w:val="24"/>
          <w:szCs w:val="24"/>
          <w:lang w:val="en-US"/>
        </w:rPr>
        <w:t>and is available for comparison at subsequent visits. Risk for periodontal disease is assessed using a clinically determined CPI score.</w:t>
      </w:r>
      <w:r w:rsidRPr="00690A7C">
        <w:rPr>
          <w:sz w:val="24"/>
          <w:szCs w:val="24"/>
          <w:vertAlign w:val="superscript"/>
        </w:rPr>
        <w:t>27</w:t>
      </w:r>
      <w:r w:rsidRPr="00690A7C">
        <w:rPr>
          <w:sz w:val="24"/>
          <w:szCs w:val="24"/>
          <w:lang w:val="en-US"/>
        </w:rPr>
        <w:t xml:space="preserve"> The client is given a risk rating based on extreme/high/low dental caries: high/low periodontal disease. At this point it will be discussed whether time will be spent </w:t>
      </w:r>
      <w:r w:rsidR="004F05A8" w:rsidRPr="00690A7C">
        <w:rPr>
          <w:sz w:val="24"/>
          <w:szCs w:val="24"/>
          <w:lang w:val="en-US"/>
        </w:rPr>
        <w:t>on oral health education</w:t>
      </w:r>
      <w:r w:rsidRPr="00690A7C">
        <w:rPr>
          <w:sz w:val="24"/>
          <w:szCs w:val="24"/>
          <w:lang w:val="en-US"/>
        </w:rPr>
        <w:t xml:space="preserve"> or a follow up appointment given with the dental practitioner</w:t>
      </w:r>
    </w:p>
    <w:p w14:paraId="3F342C6F" w14:textId="77777777" w:rsidR="00690A7C" w:rsidRDefault="00AB1B7E" w:rsidP="00367B30">
      <w:pPr>
        <w:pStyle w:val="Body"/>
        <w:numPr>
          <w:ilvl w:val="0"/>
          <w:numId w:val="38"/>
        </w:numPr>
        <w:spacing w:after="0" w:line="276" w:lineRule="auto"/>
        <w:contextualSpacing/>
        <w:jc w:val="both"/>
        <w:rPr>
          <w:rFonts w:eastAsia="Arial" w:cs="Arial"/>
          <w:sz w:val="24"/>
          <w:szCs w:val="24"/>
          <w:lang w:val="en-US"/>
        </w:rPr>
      </w:pPr>
      <w:r w:rsidRPr="00690A7C">
        <w:rPr>
          <w:sz w:val="24"/>
          <w:szCs w:val="24"/>
          <w:lang w:val="en-US"/>
        </w:rPr>
        <w:t>Discuss the client’s risk category, management planning and priority setting with the client.</w:t>
      </w:r>
    </w:p>
    <w:p w14:paraId="1B3D76B0" w14:textId="4F997265" w:rsidR="002750DF" w:rsidRPr="00690A7C" w:rsidRDefault="00AB1B7E" w:rsidP="00367B30">
      <w:pPr>
        <w:pStyle w:val="Body"/>
        <w:numPr>
          <w:ilvl w:val="0"/>
          <w:numId w:val="38"/>
        </w:numPr>
        <w:spacing w:after="0" w:line="276" w:lineRule="auto"/>
        <w:contextualSpacing/>
        <w:jc w:val="both"/>
        <w:rPr>
          <w:rFonts w:eastAsia="Arial" w:cs="Arial"/>
          <w:sz w:val="24"/>
          <w:szCs w:val="24"/>
          <w:lang w:val="en-US"/>
        </w:rPr>
      </w:pPr>
      <w:r w:rsidRPr="00690A7C">
        <w:rPr>
          <w:sz w:val="24"/>
          <w:szCs w:val="24"/>
          <w:lang w:val="en-US"/>
        </w:rPr>
        <w:t>Future appointments made, oral hygiene aids and home care products are issued as required.</w:t>
      </w:r>
    </w:p>
    <w:p w14:paraId="1FFF019A" w14:textId="77777777" w:rsidR="002750DF" w:rsidRPr="00127BC0" w:rsidRDefault="00AB1B7E" w:rsidP="00127BC0">
      <w:pPr>
        <w:pStyle w:val="Body"/>
        <w:spacing w:after="0" w:line="276" w:lineRule="auto"/>
        <w:contextualSpacing/>
        <w:jc w:val="both"/>
        <w:rPr>
          <w:rFonts w:eastAsia="Arial" w:cs="Arial"/>
          <w:b/>
          <w:bCs/>
          <w:sz w:val="24"/>
          <w:szCs w:val="24"/>
          <w:lang w:val="en-US"/>
        </w:rPr>
      </w:pPr>
      <w:r w:rsidRPr="00127BC0">
        <w:rPr>
          <w:sz w:val="24"/>
          <w:szCs w:val="24"/>
          <w:lang w:val="en-US"/>
        </w:rPr>
        <w:t xml:space="preserve">In all cases, the </w:t>
      </w:r>
      <w:r w:rsidRPr="00127BC0">
        <w:rPr>
          <w:sz w:val="24"/>
          <w:szCs w:val="24"/>
        </w:rPr>
        <w:t xml:space="preserve">oral health </w:t>
      </w:r>
      <w:r w:rsidRPr="00127BC0">
        <w:rPr>
          <w:sz w:val="24"/>
          <w:szCs w:val="24"/>
          <w:lang w:val="en-US"/>
        </w:rPr>
        <w:t xml:space="preserve">management plan is co-designed with the client, as informed consent, negotiated expectations and compliance are critical for achieving improved oral health outcomes. </w:t>
      </w:r>
      <w:r w:rsidRPr="00127BC0">
        <w:rPr>
          <w:sz w:val="24"/>
          <w:szCs w:val="24"/>
        </w:rPr>
        <w:t xml:space="preserve">Oral </w:t>
      </w:r>
      <w:r w:rsidR="004F05A8" w:rsidRPr="00127BC0">
        <w:rPr>
          <w:sz w:val="24"/>
          <w:szCs w:val="24"/>
        </w:rPr>
        <w:t>h</w:t>
      </w:r>
      <w:r w:rsidRPr="00127BC0">
        <w:rPr>
          <w:sz w:val="24"/>
          <w:szCs w:val="24"/>
        </w:rPr>
        <w:t xml:space="preserve">ealth </w:t>
      </w:r>
      <w:r w:rsidR="004F05A8" w:rsidRPr="00127BC0">
        <w:rPr>
          <w:sz w:val="24"/>
          <w:szCs w:val="24"/>
          <w:lang w:val="en-US"/>
        </w:rPr>
        <w:t>m</w:t>
      </w:r>
      <w:r w:rsidRPr="00127BC0">
        <w:rPr>
          <w:sz w:val="24"/>
          <w:szCs w:val="24"/>
          <w:lang w:val="en-US"/>
        </w:rPr>
        <w:t>anagement plans may change as risk factors reduce</w:t>
      </w:r>
      <w:r w:rsidR="007B0859" w:rsidRPr="00127BC0">
        <w:rPr>
          <w:sz w:val="24"/>
          <w:szCs w:val="24"/>
          <w:lang w:val="en-US"/>
        </w:rPr>
        <w:t>,</w:t>
      </w:r>
      <w:r w:rsidRPr="00127BC0">
        <w:rPr>
          <w:sz w:val="24"/>
          <w:szCs w:val="24"/>
          <w:lang w:val="en-US"/>
        </w:rPr>
        <w:t xml:space="preserve"> </w:t>
      </w:r>
      <w:r w:rsidR="007B0859" w:rsidRPr="00127BC0">
        <w:rPr>
          <w:sz w:val="24"/>
          <w:szCs w:val="24"/>
          <w:lang w:val="en-US"/>
        </w:rPr>
        <w:t xml:space="preserve">which </w:t>
      </w:r>
      <w:r w:rsidRPr="00127BC0">
        <w:rPr>
          <w:sz w:val="24"/>
          <w:szCs w:val="24"/>
          <w:lang w:val="en-US"/>
        </w:rPr>
        <w:t xml:space="preserve">can be an additional motivating influence for improved oral hygiene and diet modification with the client. It is expected that when families are involved, a family-based management plan will be required. The whole dental team may be involved depending on the risk and needs of the client and their family. </w:t>
      </w:r>
    </w:p>
    <w:p w14:paraId="14ED2540" w14:textId="6BB3165E" w:rsidR="002750DF" w:rsidRPr="00127BC0" w:rsidRDefault="00AB1B7E" w:rsidP="00127BC0">
      <w:pPr>
        <w:pStyle w:val="Body"/>
        <w:spacing w:after="0" w:line="276" w:lineRule="auto"/>
        <w:ind w:right="255"/>
        <w:contextualSpacing/>
        <w:jc w:val="both"/>
        <w:rPr>
          <w:rFonts w:eastAsia="Arial" w:cs="Arial"/>
          <w:sz w:val="24"/>
          <w:szCs w:val="24"/>
          <w:lang w:val="en-US"/>
        </w:rPr>
      </w:pPr>
      <w:r w:rsidRPr="007A18D6">
        <w:rPr>
          <w:b/>
          <w:bCs/>
          <w:i/>
          <w:sz w:val="24"/>
          <w:szCs w:val="24"/>
          <w:lang w:val="en-US"/>
        </w:rPr>
        <w:t>Oral Health Education</w:t>
      </w:r>
      <w:r w:rsidRPr="00127BC0">
        <w:rPr>
          <w:b/>
          <w:bCs/>
          <w:sz w:val="24"/>
          <w:szCs w:val="24"/>
          <w:lang w:val="en-US"/>
        </w:rPr>
        <w:t xml:space="preserve"> </w:t>
      </w:r>
      <w:r w:rsidRPr="00127BC0">
        <w:rPr>
          <w:sz w:val="24"/>
          <w:szCs w:val="24"/>
          <w:lang w:val="en-US"/>
        </w:rPr>
        <w:t>(</w:t>
      </w:r>
      <w:r w:rsidR="007A18D6">
        <w:rPr>
          <w:sz w:val="24"/>
          <w:szCs w:val="24"/>
          <w:lang w:val="en-US"/>
        </w:rPr>
        <w:t xml:space="preserve">for those </w:t>
      </w:r>
      <w:r w:rsidRPr="00127BC0">
        <w:rPr>
          <w:sz w:val="24"/>
          <w:szCs w:val="24"/>
          <w:lang w:val="en-US"/>
        </w:rPr>
        <w:t xml:space="preserve">at High Risk to dental disease </w:t>
      </w:r>
      <w:r w:rsidR="004F05A8" w:rsidRPr="00127BC0">
        <w:rPr>
          <w:sz w:val="24"/>
          <w:szCs w:val="24"/>
          <w:lang w:val="en-US"/>
        </w:rPr>
        <w:t>o</w:t>
      </w:r>
      <w:r w:rsidRPr="00127BC0">
        <w:rPr>
          <w:sz w:val="24"/>
          <w:szCs w:val="24"/>
          <w:lang w:val="en-US"/>
        </w:rPr>
        <w:t xml:space="preserve">nly): The oral health education session, a unique feature of this model, is conducted by dental assistants with special training in </w:t>
      </w:r>
      <w:r w:rsidR="00454F4A" w:rsidRPr="00127BC0">
        <w:rPr>
          <w:sz w:val="24"/>
          <w:szCs w:val="24"/>
          <w:lang w:val="en-US"/>
        </w:rPr>
        <w:t xml:space="preserve">oral </w:t>
      </w:r>
      <w:r w:rsidRPr="00127BC0">
        <w:rPr>
          <w:sz w:val="24"/>
          <w:szCs w:val="24"/>
          <w:lang w:val="en-US"/>
        </w:rPr>
        <w:t>health promotion (Certificate IV), which qualifies them as</w:t>
      </w:r>
      <w:r w:rsidR="004F05A8" w:rsidRPr="00127BC0">
        <w:rPr>
          <w:sz w:val="24"/>
          <w:szCs w:val="24"/>
          <w:lang w:val="en-US"/>
        </w:rPr>
        <w:t xml:space="preserve"> an</w:t>
      </w:r>
      <w:r w:rsidRPr="00127BC0">
        <w:rPr>
          <w:sz w:val="24"/>
          <w:szCs w:val="24"/>
          <w:lang w:val="en-US"/>
        </w:rPr>
        <w:t xml:space="preserve"> oral health educator</w:t>
      </w:r>
      <w:r w:rsidR="00454F4A" w:rsidRPr="00127BC0">
        <w:rPr>
          <w:sz w:val="24"/>
          <w:szCs w:val="24"/>
          <w:lang w:val="en-US"/>
        </w:rPr>
        <w:t xml:space="preserve"> </w:t>
      </w:r>
      <w:r w:rsidRPr="00127BC0">
        <w:rPr>
          <w:sz w:val="24"/>
          <w:szCs w:val="24"/>
          <w:lang w:val="en-US"/>
        </w:rPr>
        <w:t xml:space="preserve">(OHE). All clients assessed as high risk for either caries, periodontal disease or both are referred to the OHE, who reviews the client’s pre-clinical interview questionnaire and handover notes from the dental practitioner to determine relevant factors contributing to the client’s high risk status. They then provide tailored education sessions which include: plaque and saliva testing; instruction on the use of preventive products (high fluoride tooth paste, </w:t>
      </w:r>
      <w:r w:rsidR="004F05A8" w:rsidRPr="00127BC0">
        <w:rPr>
          <w:sz w:val="24"/>
          <w:szCs w:val="24"/>
          <w:lang w:val="en-US"/>
        </w:rPr>
        <w:t>bioavailable calcium and phosphate releasing paste</w:t>
      </w:r>
      <w:r w:rsidRPr="00127BC0">
        <w:rPr>
          <w:sz w:val="24"/>
          <w:szCs w:val="24"/>
          <w:lang w:val="en-US"/>
        </w:rPr>
        <w:t>); dietary analysis and advice; and review and follow-up. Saliva and plaque scores, when indicated or suggested by the dental practitioner, are conducted by the OHE and contribute to the clients</w:t>
      </w:r>
      <w:r w:rsidR="00454F4A" w:rsidRPr="00127BC0">
        <w:rPr>
          <w:sz w:val="24"/>
          <w:szCs w:val="24"/>
          <w:lang w:val="en-US"/>
        </w:rPr>
        <w:t>’</w:t>
      </w:r>
      <w:r w:rsidRPr="00127BC0">
        <w:rPr>
          <w:sz w:val="24"/>
          <w:szCs w:val="24"/>
          <w:lang w:val="en-US"/>
        </w:rPr>
        <w:t xml:space="preserve"> understanding of their risk. These sessions are conducted in a collaborative approach in which goals for change are agreed upon together. All high risk clients must demonstrate a good level of oral hygiene prior to the next phase of their management plan. The number of review visits required to achieve this is determined by the OHE in negotiation with the client, and when appropriate the reviews visits may be combined with other dental visits. Reviews are set by the OHE based on factors such as health literacy, competency, motivation, medical history, and family and home factors.</w:t>
      </w:r>
    </w:p>
    <w:p w14:paraId="3C8EC3F1" w14:textId="1834286C" w:rsidR="002750DF" w:rsidRPr="00127BC0" w:rsidRDefault="00AB1B7E" w:rsidP="007A18D6">
      <w:pPr>
        <w:pStyle w:val="Body"/>
        <w:spacing w:after="0" w:line="276" w:lineRule="auto"/>
        <w:contextualSpacing/>
        <w:jc w:val="both"/>
        <w:rPr>
          <w:rFonts w:eastAsia="Arial" w:cs="Arial"/>
          <w:sz w:val="24"/>
          <w:szCs w:val="24"/>
          <w:lang w:val="en-US"/>
        </w:rPr>
      </w:pPr>
      <w:r w:rsidRPr="00127BC0">
        <w:rPr>
          <w:sz w:val="24"/>
          <w:szCs w:val="24"/>
        </w:rPr>
        <w:t xml:space="preserve"> </w:t>
      </w:r>
      <w:r w:rsidRPr="00127BC0">
        <w:rPr>
          <w:b/>
          <w:bCs/>
          <w:i/>
          <w:iCs/>
          <w:sz w:val="24"/>
          <w:szCs w:val="24"/>
          <w:lang w:val="en-US"/>
        </w:rPr>
        <w:t>Client and family centred approach to care:</w:t>
      </w:r>
      <w:r w:rsidRPr="00127BC0">
        <w:rPr>
          <w:b/>
          <w:bCs/>
          <w:sz w:val="24"/>
          <w:szCs w:val="24"/>
        </w:rPr>
        <w:t xml:space="preserve"> </w:t>
      </w:r>
      <w:r w:rsidRPr="00127BC0">
        <w:rPr>
          <w:sz w:val="24"/>
          <w:szCs w:val="24"/>
          <w:lang w:val="en-US"/>
        </w:rPr>
        <w:t>Waiting lists are an unfortunate real</w:t>
      </w:r>
      <w:proofErr w:type="spellStart"/>
      <w:r w:rsidRPr="00127BC0">
        <w:rPr>
          <w:sz w:val="24"/>
          <w:szCs w:val="24"/>
        </w:rPr>
        <w:t>i</w:t>
      </w:r>
      <w:proofErr w:type="spellEnd"/>
      <w:r w:rsidRPr="00127BC0">
        <w:rPr>
          <w:sz w:val="24"/>
          <w:szCs w:val="24"/>
          <w:lang w:val="en-US"/>
        </w:rPr>
        <w:t xml:space="preserve">ty of resource constrained public oral health services and it is common feedback that clients feel “neglected” or “forgotten’ while on long waiting lists. Clients are therefore engaged while on the waiting list with each new client registering for the waiting list sent an information </w:t>
      </w:r>
      <w:r w:rsidRPr="00127BC0">
        <w:rPr>
          <w:sz w:val="24"/>
          <w:szCs w:val="24"/>
          <w:lang w:val="en-US"/>
        </w:rPr>
        <w:lastRenderedPageBreak/>
        <w:t>letter containing basic oral hygiene information. These and other documents, were developed and tested as part of a lead</w:t>
      </w:r>
      <w:r w:rsidR="00454F4A" w:rsidRPr="00127BC0">
        <w:rPr>
          <w:sz w:val="24"/>
          <w:szCs w:val="24"/>
          <w:lang w:val="en-US"/>
        </w:rPr>
        <w:t>-</w:t>
      </w:r>
      <w:r w:rsidRPr="00127BC0">
        <w:rPr>
          <w:sz w:val="24"/>
          <w:szCs w:val="24"/>
          <w:lang w:val="en-US"/>
        </w:rPr>
        <w:t xml:space="preserve">in to this </w:t>
      </w:r>
      <w:r w:rsidR="00454F4A" w:rsidRPr="00127BC0">
        <w:rPr>
          <w:sz w:val="24"/>
          <w:szCs w:val="24"/>
          <w:lang w:val="en-US"/>
        </w:rPr>
        <w:t>MoC</w:t>
      </w:r>
      <w:r w:rsidRPr="00127BC0">
        <w:rPr>
          <w:sz w:val="24"/>
          <w:szCs w:val="24"/>
          <w:lang w:val="en-US"/>
        </w:rPr>
        <w:t xml:space="preserve">, and were informed by recent research on people waiting for public dental care in Melbourne. </w:t>
      </w:r>
      <w:r w:rsidRPr="00127BC0">
        <w:rPr>
          <w:sz w:val="24"/>
          <w:szCs w:val="24"/>
          <w:vertAlign w:val="superscript"/>
        </w:rPr>
        <w:t>25</w:t>
      </w:r>
      <w:r w:rsidRPr="00127BC0">
        <w:rPr>
          <w:sz w:val="24"/>
          <w:szCs w:val="24"/>
          <w:lang w:val="en-US"/>
        </w:rPr>
        <w:t xml:space="preserve"> It is important that clients are prepared for </w:t>
      </w:r>
      <w:r w:rsidR="005C2973">
        <w:rPr>
          <w:sz w:val="24"/>
          <w:szCs w:val="24"/>
          <w:lang w:val="en-US"/>
        </w:rPr>
        <w:t>the NRCH</w:t>
      </w:r>
      <w:r w:rsidRPr="00127BC0">
        <w:rPr>
          <w:sz w:val="24"/>
          <w:szCs w:val="24"/>
          <w:lang w:val="en-US"/>
        </w:rPr>
        <w:t xml:space="preserve"> approach and especially made aware that some </w:t>
      </w:r>
      <w:r w:rsidR="00454F4A" w:rsidRPr="00127BC0">
        <w:rPr>
          <w:sz w:val="24"/>
          <w:szCs w:val="24"/>
          <w:lang w:val="en-US"/>
        </w:rPr>
        <w:t xml:space="preserve">aspects of their care </w:t>
      </w:r>
      <w:r w:rsidRPr="00127BC0">
        <w:rPr>
          <w:sz w:val="24"/>
          <w:szCs w:val="24"/>
          <w:lang w:val="en-US"/>
        </w:rPr>
        <w:t xml:space="preserve">may be delayed until </w:t>
      </w:r>
      <w:r w:rsidR="00454F4A" w:rsidRPr="00127BC0">
        <w:rPr>
          <w:sz w:val="24"/>
          <w:szCs w:val="24"/>
          <w:lang w:val="en-US"/>
        </w:rPr>
        <w:t>they</w:t>
      </w:r>
      <w:r w:rsidRPr="00127BC0">
        <w:rPr>
          <w:sz w:val="24"/>
          <w:szCs w:val="24"/>
          <w:lang w:val="en-US"/>
        </w:rPr>
        <w:t xml:space="preserve"> demonstrates a minimum standard of oral </w:t>
      </w:r>
      <w:r w:rsidR="00454F4A" w:rsidRPr="00127BC0">
        <w:rPr>
          <w:sz w:val="24"/>
          <w:szCs w:val="24"/>
          <w:lang w:val="en-US"/>
        </w:rPr>
        <w:t>hygiene</w:t>
      </w:r>
      <w:r w:rsidRPr="00127BC0">
        <w:rPr>
          <w:sz w:val="24"/>
          <w:szCs w:val="24"/>
          <w:lang w:val="en-US"/>
        </w:rPr>
        <w:t>. This message is delivered at least three times via:</w:t>
      </w:r>
    </w:p>
    <w:p w14:paraId="4BFFBFEE" w14:textId="77777777" w:rsidR="002750DF" w:rsidRPr="00127BC0" w:rsidRDefault="00AB1B7E" w:rsidP="005C2973">
      <w:pPr>
        <w:pStyle w:val="ListParagraph"/>
        <w:numPr>
          <w:ilvl w:val="0"/>
          <w:numId w:val="16"/>
        </w:numPr>
        <w:spacing w:after="0" w:line="276" w:lineRule="auto"/>
        <w:ind w:left="284" w:hanging="360"/>
        <w:contextualSpacing/>
        <w:jc w:val="both"/>
        <w:rPr>
          <w:rFonts w:eastAsia="Arial" w:cs="Arial"/>
          <w:sz w:val="24"/>
          <w:szCs w:val="24"/>
        </w:rPr>
      </w:pPr>
      <w:r w:rsidRPr="00127BC0">
        <w:rPr>
          <w:sz w:val="24"/>
          <w:szCs w:val="24"/>
        </w:rPr>
        <w:t>Information sheets, which are mailed to all new clients as they go onto the waiting list. Basic oral hygiene information and an invitation to attend oral hygiene classes with OHE are also included.</w:t>
      </w:r>
    </w:p>
    <w:p w14:paraId="2D72DCF6" w14:textId="77777777" w:rsidR="002750DF" w:rsidRPr="00127BC0" w:rsidRDefault="00AB1B7E" w:rsidP="005C2973">
      <w:pPr>
        <w:pStyle w:val="ListParagraph"/>
        <w:numPr>
          <w:ilvl w:val="0"/>
          <w:numId w:val="16"/>
        </w:numPr>
        <w:spacing w:after="0" w:line="276" w:lineRule="auto"/>
        <w:ind w:left="284" w:hanging="360"/>
        <w:contextualSpacing/>
        <w:jc w:val="both"/>
        <w:rPr>
          <w:rFonts w:eastAsia="Arial" w:cs="Arial"/>
          <w:sz w:val="24"/>
          <w:szCs w:val="24"/>
        </w:rPr>
      </w:pPr>
      <w:r w:rsidRPr="00127BC0">
        <w:rPr>
          <w:sz w:val="24"/>
          <w:szCs w:val="24"/>
        </w:rPr>
        <w:t xml:space="preserve">Another letter is sent with an appointment date/time when the client reaches the top of the waiting list. Information on fees, payment policy and a registration/medical history form is also included. </w:t>
      </w:r>
    </w:p>
    <w:p w14:paraId="2A93987E" w14:textId="77777777" w:rsidR="002750DF" w:rsidRPr="00127BC0" w:rsidRDefault="00CD5205" w:rsidP="005C2973">
      <w:pPr>
        <w:pStyle w:val="ListParagraph"/>
        <w:numPr>
          <w:ilvl w:val="0"/>
          <w:numId w:val="16"/>
        </w:numPr>
        <w:spacing w:after="0" w:line="276" w:lineRule="auto"/>
        <w:ind w:left="284" w:hanging="360"/>
        <w:contextualSpacing/>
        <w:jc w:val="both"/>
        <w:rPr>
          <w:rFonts w:eastAsia="Arial" w:cs="Arial"/>
          <w:sz w:val="24"/>
          <w:szCs w:val="24"/>
        </w:rPr>
      </w:pPr>
      <w:r w:rsidRPr="00127BC0">
        <w:rPr>
          <w:sz w:val="24"/>
          <w:szCs w:val="24"/>
        </w:rPr>
        <w:t xml:space="preserve">This message is again reinforced at the </w:t>
      </w:r>
      <w:r w:rsidR="00AB1B7E" w:rsidRPr="00127BC0">
        <w:rPr>
          <w:sz w:val="24"/>
          <w:szCs w:val="24"/>
        </w:rPr>
        <w:t>preclinical interview with the dental assistant,.</w:t>
      </w:r>
    </w:p>
    <w:p w14:paraId="7B4DEC6B" w14:textId="77777777" w:rsidR="002750DF" w:rsidRPr="00127BC0" w:rsidRDefault="00AB1B7E" w:rsidP="005C2973">
      <w:pPr>
        <w:pStyle w:val="ListParagraph"/>
        <w:numPr>
          <w:ilvl w:val="0"/>
          <w:numId w:val="16"/>
        </w:numPr>
        <w:spacing w:after="0" w:line="276" w:lineRule="auto"/>
        <w:ind w:left="284" w:hanging="360"/>
        <w:contextualSpacing/>
        <w:jc w:val="both"/>
        <w:rPr>
          <w:rFonts w:eastAsia="Arial" w:cs="Arial"/>
          <w:sz w:val="24"/>
          <w:szCs w:val="24"/>
        </w:rPr>
      </w:pPr>
      <w:r w:rsidRPr="00127BC0">
        <w:rPr>
          <w:sz w:val="24"/>
          <w:szCs w:val="24"/>
        </w:rPr>
        <w:t>Reinforcement of this information is also provided by the dental practitioner during the management planning discussion with the client.</w:t>
      </w:r>
    </w:p>
    <w:p w14:paraId="2646AECB" w14:textId="77777777" w:rsidR="007A18D6" w:rsidRDefault="007A18D6" w:rsidP="00127BC0">
      <w:pPr>
        <w:pStyle w:val="Body"/>
        <w:spacing w:after="0" w:line="276" w:lineRule="auto"/>
        <w:contextualSpacing/>
        <w:rPr>
          <w:b/>
          <w:bCs/>
          <w:i/>
          <w:iCs/>
          <w:sz w:val="24"/>
          <w:szCs w:val="24"/>
          <w:lang w:val="en-US"/>
        </w:rPr>
      </w:pPr>
    </w:p>
    <w:p w14:paraId="2B9F06CB" w14:textId="77777777" w:rsidR="002750DF" w:rsidRPr="00127BC0" w:rsidRDefault="00AB1B7E" w:rsidP="00127BC0">
      <w:pPr>
        <w:pStyle w:val="Body"/>
        <w:spacing w:after="0" w:line="276" w:lineRule="auto"/>
        <w:contextualSpacing/>
        <w:rPr>
          <w:rFonts w:eastAsia="Arial" w:cs="Arial"/>
          <w:sz w:val="24"/>
          <w:szCs w:val="24"/>
          <w:lang w:val="en-US"/>
        </w:rPr>
      </w:pPr>
      <w:r w:rsidRPr="00127BC0">
        <w:rPr>
          <w:b/>
          <w:bCs/>
          <w:i/>
          <w:iCs/>
          <w:sz w:val="24"/>
          <w:szCs w:val="24"/>
          <w:lang w:val="en-US"/>
        </w:rPr>
        <w:t xml:space="preserve">Dental Team-Based Care: </w:t>
      </w:r>
      <w:r w:rsidRPr="00127BC0">
        <w:rPr>
          <w:sz w:val="24"/>
          <w:szCs w:val="24"/>
          <w:lang w:val="en-US"/>
        </w:rPr>
        <w:t>The team consists of:</w:t>
      </w:r>
    </w:p>
    <w:p w14:paraId="0ED45205" w14:textId="77777777" w:rsidR="002750DF" w:rsidRPr="00127BC0" w:rsidRDefault="00AB1B7E" w:rsidP="005C2973">
      <w:pPr>
        <w:pStyle w:val="ListParagraph"/>
        <w:numPr>
          <w:ilvl w:val="0"/>
          <w:numId w:val="11"/>
        </w:numPr>
        <w:tabs>
          <w:tab w:val="num" w:pos="360"/>
        </w:tabs>
        <w:spacing w:after="0" w:line="276" w:lineRule="auto"/>
        <w:ind w:left="360" w:hanging="360"/>
        <w:contextualSpacing/>
        <w:jc w:val="both"/>
        <w:rPr>
          <w:rFonts w:eastAsia="Arial" w:cs="Arial"/>
          <w:sz w:val="24"/>
          <w:szCs w:val="24"/>
        </w:rPr>
      </w:pPr>
      <w:r w:rsidRPr="00127BC0">
        <w:rPr>
          <w:sz w:val="24"/>
          <w:szCs w:val="24"/>
        </w:rPr>
        <w:t xml:space="preserve">Reception and Management personnel </w:t>
      </w:r>
    </w:p>
    <w:p w14:paraId="025B4D1B" w14:textId="77777777" w:rsidR="002750DF" w:rsidRPr="00127BC0" w:rsidRDefault="00AB1B7E" w:rsidP="005C2973">
      <w:pPr>
        <w:pStyle w:val="ListParagraph"/>
        <w:numPr>
          <w:ilvl w:val="0"/>
          <w:numId w:val="12"/>
        </w:numPr>
        <w:tabs>
          <w:tab w:val="num" w:pos="360"/>
        </w:tabs>
        <w:spacing w:after="0" w:line="276" w:lineRule="auto"/>
        <w:ind w:left="360" w:hanging="360"/>
        <w:contextualSpacing/>
        <w:jc w:val="both"/>
        <w:rPr>
          <w:rFonts w:eastAsia="Arial" w:cs="Arial"/>
          <w:sz w:val="24"/>
          <w:szCs w:val="24"/>
        </w:rPr>
      </w:pPr>
      <w:r w:rsidRPr="00127BC0">
        <w:rPr>
          <w:sz w:val="24"/>
          <w:szCs w:val="24"/>
        </w:rPr>
        <w:t>Dental Assistants Certificate III (DA)</w:t>
      </w:r>
      <w:r w:rsidR="00187C35" w:rsidRPr="00127BC0">
        <w:rPr>
          <w:sz w:val="24"/>
          <w:szCs w:val="24"/>
        </w:rPr>
        <w:t xml:space="preserve"> - chairside assisting </w:t>
      </w:r>
    </w:p>
    <w:p w14:paraId="03A9BCA2" w14:textId="77777777" w:rsidR="002750DF" w:rsidRPr="00127BC0" w:rsidRDefault="00AB1B7E" w:rsidP="005C2973">
      <w:pPr>
        <w:pStyle w:val="ListParagraph"/>
        <w:numPr>
          <w:ilvl w:val="0"/>
          <w:numId w:val="13"/>
        </w:numPr>
        <w:tabs>
          <w:tab w:val="num" w:pos="360"/>
        </w:tabs>
        <w:spacing w:after="0" w:line="276" w:lineRule="auto"/>
        <w:ind w:left="360" w:hanging="360"/>
        <w:contextualSpacing/>
        <w:jc w:val="both"/>
        <w:rPr>
          <w:rFonts w:eastAsia="Arial" w:cs="Arial"/>
          <w:sz w:val="24"/>
          <w:szCs w:val="24"/>
        </w:rPr>
      </w:pPr>
      <w:r w:rsidRPr="00127BC0">
        <w:rPr>
          <w:sz w:val="24"/>
          <w:szCs w:val="24"/>
        </w:rPr>
        <w:t xml:space="preserve">Dental  Assistants Certificate IV </w:t>
      </w:r>
      <w:r w:rsidR="00187C35" w:rsidRPr="00127BC0">
        <w:rPr>
          <w:sz w:val="24"/>
          <w:szCs w:val="24"/>
        </w:rPr>
        <w:t>(OHE)</w:t>
      </w:r>
      <w:r w:rsidRPr="00127BC0">
        <w:rPr>
          <w:sz w:val="24"/>
          <w:szCs w:val="24"/>
        </w:rPr>
        <w:t>- Oral Health Educators</w:t>
      </w:r>
    </w:p>
    <w:p w14:paraId="21B652B2" w14:textId="77777777" w:rsidR="002750DF" w:rsidRPr="00127BC0" w:rsidRDefault="00AB1B7E" w:rsidP="005C2973">
      <w:pPr>
        <w:pStyle w:val="ListParagraph"/>
        <w:numPr>
          <w:ilvl w:val="0"/>
          <w:numId w:val="14"/>
        </w:numPr>
        <w:tabs>
          <w:tab w:val="num" w:pos="360"/>
        </w:tabs>
        <w:spacing w:after="0" w:line="276" w:lineRule="auto"/>
        <w:ind w:left="360" w:hanging="360"/>
        <w:contextualSpacing/>
        <w:jc w:val="both"/>
        <w:rPr>
          <w:rFonts w:eastAsia="Arial" w:cs="Arial"/>
          <w:sz w:val="24"/>
          <w:szCs w:val="24"/>
        </w:rPr>
      </w:pPr>
      <w:r w:rsidRPr="00127BC0">
        <w:rPr>
          <w:sz w:val="24"/>
          <w:szCs w:val="24"/>
        </w:rPr>
        <w:t>Dental Practitioners: Dentists, Oral Health Therapists, Dental Therapists, Hygienists, and Denture Prosthetists</w:t>
      </w:r>
    </w:p>
    <w:p w14:paraId="135E251D" w14:textId="4FB4D105" w:rsidR="002750DF" w:rsidRPr="00127BC0" w:rsidRDefault="00AB1B7E" w:rsidP="00127BC0">
      <w:pPr>
        <w:pStyle w:val="Body"/>
        <w:spacing w:after="0" w:line="276" w:lineRule="auto"/>
        <w:contextualSpacing/>
        <w:jc w:val="both"/>
        <w:rPr>
          <w:rFonts w:eastAsia="Arial" w:cs="Arial"/>
          <w:sz w:val="24"/>
          <w:szCs w:val="24"/>
          <w:lang w:val="en-US"/>
        </w:rPr>
      </w:pPr>
      <w:r w:rsidRPr="00127BC0">
        <w:rPr>
          <w:sz w:val="24"/>
          <w:szCs w:val="24"/>
          <w:lang w:val="en-US"/>
        </w:rPr>
        <w:t>The reception team is the starting point of the client experience and a welcoming</w:t>
      </w:r>
      <w:r w:rsidR="00CD5205" w:rsidRPr="00127BC0">
        <w:rPr>
          <w:sz w:val="24"/>
          <w:szCs w:val="24"/>
          <w:lang w:val="en-US"/>
        </w:rPr>
        <w:t xml:space="preserve"> and respectful</w:t>
      </w:r>
      <w:r w:rsidRPr="00127BC0">
        <w:rPr>
          <w:sz w:val="24"/>
          <w:szCs w:val="24"/>
          <w:lang w:val="en-US"/>
        </w:rPr>
        <w:t xml:space="preserve"> client-focused approach is expected. A well-presented, tidy, informative, welcome area (</w:t>
      </w:r>
      <w:r w:rsidR="00CD5205" w:rsidRPr="00127BC0">
        <w:rPr>
          <w:sz w:val="24"/>
          <w:szCs w:val="24"/>
          <w:lang w:val="en-US"/>
        </w:rPr>
        <w:t xml:space="preserve">as opposed to </w:t>
      </w:r>
      <w:r w:rsidRPr="00127BC0">
        <w:rPr>
          <w:sz w:val="24"/>
          <w:szCs w:val="24"/>
          <w:lang w:val="en-US"/>
        </w:rPr>
        <w:t xml:space="preserve">waiting area) is available to clients prior to entering the clinical area. Oral health information is constantly </w:t>
      </w:r>
      <w:r w:rsidR="008A5EB9" w:rsidRPr="00127BC0">
        <w:rPr>
          <w:sz w:val="24"/>
          <w:szCs w:val="24"/>
          <w:lang w:val="en-US"/>
        </w:rPr>
        <w:t>presented on</w:t>
      </w:r>
      <w:r w:rsidRPr="00127BC0">
        <w:rPr>
          <w:sz w:val="24"/>
          <w:szCs w:val="24"/>
          <w:lang w:val="en-US"/>
        </w:rPr>
        <w:t xml:space="preserve"> the television in the welcome area. Information sheets, forms and procedures, supporting the preventive based model, are translated into appropriate languages and available in the welcome area. </w:t>
      </w:r>
      <w:r w:rsidR="00CD5205" w:rsidRPr="00127BC0">
        <w:rPr>
          <w:sz w:val="24"/>
          <w:szCs w:val="24"/>
          <w:lang w:val="en-US"/>
        </w:rPr>
        <w:t xml:space="preserve">Coordination </w:t>
      </w:r>
      <w:r w:rsidRPr="00127BC0">
        <w:rPr>
          <w:sz w:val="24"/>
          <w:szCs w:val="24"/>
          <w:lang w:val="en-US"/>
        </w:rPr>
        <w:t xml:space="preserve">between the clinical and reception staff is essential. An example of such cooperation is when a client seeks clarification, complains or questions information provided by clinic staff, the reception staff will inform clinic staff that the client has not fully understood their management plan or preventive information. The Reception Team is also trained and expected to reinforce information and provide recommendations on the use of home products, such as: high fluoride toothpaste, </w:t>
      </w:r>
      <w:r w:rsidR="00242464" w:rsidRPr="00127BC0">
        <w:rPr>
          <w:sz w:val="24"/>
          <w:szCs w:val="24"/>
          <w:lang w:val="en-US"/>
        </w:rPr>
        <w:t>Bioavailable calcium and phosphate releasing paste</w:t>
      </w:r>
      <w:r w:rsidRPr="00127BC0">
        <w:rPr>
          <w:sz w:val="24"/>
          <w:szCs w:val="24"/>
          <w:lang w:val="en-US"/>
        </w:rPr>
        <w:t>, fluoride mouth rinses and Chlorhexidine rinse/gel.</w:t>
      </w:r>
    </w:p>
    <w:p w14:paraId="1DC277D8" w14:textId="77777777" w:rsidR="002750DF" w:rsidRPr="00127BC0" w:rsidRDefault="00AB1B7E" w:rsidP="00127BC0">
      <w:pPr>
        <w:pStyle w:val="Body"/>
        <w:spacing w:after="0" w:line="276" w:lineRule="auto"/>
        <w:contextualSpacing/>
        <w:jc w:val="both"/>
        <w:rPr>
          <w:rFonts w:eastAsia="Arial" w:cs="Arial"/>
          <w:sz w:val="24"/>
          <w:szCs w:val="24"/>
          <w:lang w:val="en-US"/>
        </w:rPr>
      </w:pPr>
      <w:r w:rsidRPr="00127BC0">
        <w:rPr>
          <w:sz w:val="24"/>
          <w:szCs w:val="24"/>
          <w:lang w:val="en-US"/>
        </w:rPr>
        <w:t>The significance of utilising appropriately trained dental assistants in this model is related to their relative cost</w:t>
      </w:r>
      <w:r w:rsidR="00CD5205" w:rsidRPr="00127BC0">
        <w:rPr>
          <w:sz w:val="24"/>
          <w:szCs w:val="24"/>
          <w:lang w:val="en-US"/>
        </w:rPr>
        <w:t xml:space="preserve"> benefit</w:t>
      </w:r>
      <w:r w:rsidRPr="00127BC0">
        <w:rPr>
          <w:sz w:val="24"/>
          <w:szCs w:val="24"/>
          <w:lang w:val="en-US"/>
        </w:rPr>
        <w:t xml:space="preserve">, </w:t>
      </w:r>
      <w:r w:rsidR="00242464" w:rsidRPr="00127BC0">
        <w:rPr>
          <w:sz w:val="24"/>
          <w:szCs w:val="24"/>
          <w:lang w:val="en-US"/>
        </w:rPr>
        <w:t xml:space="preserve">improved </w:t>
      </w:r>
      <w:r w:rsidRPr="00127BC0">
        <w:rPr>
          <w:sz w:val="24"/>
          <w:szCs w:val="24"/>
          <w:lang w:val="en-US"/>
        </w:rPr>
        <w:t>work satisfaction and career development. They primarily assist with language, culture and counter any power differentials between clients and other members of the dental team</w:t>
      </w:r>
      <w:r w:rsidR="00975FC0" w:rsidRPr="00127BC0">
        <w:rPr>
          <w:sz w:val="24"/>
          <w:szCs w:val="24"/>
          <w:lang w:val="en-US"/>
        </w:rPr>
        <w:t>,</w:t>
      </w:r>
      <w:r w:rsidRPr="00127BC0">
        <w:rPr>
          <w:sz w:val="24"/>
          <w:szCs w:val="24"/>
          <w:lang w:val="en-US"/>
        </w:rPr>
        <w:t xml:space="preserve"> the dental assistant often from the same community/language group is far less threatening and may have advantages communicating with that client. Dental assistants receive training on interviewing and health coaching </w:t>
      </w:r>
      <w:r w:rsidRPr="00127BC0">
        <w:rPr>
          <w:sz w:val="24"/>
          <w:szCs w:val="24"/>
          <w:lang w:val="en-US"/>
        </w:rPr>
        <w:lastRenderedPageBreak/>
        <w:t xml:space="preserve">techniques with the aim to support and improve the clients’ experience. </w:t>
      </w:r>
      <w:r w:rsidR="00975FC0" w:rsidRPr="00127BC0">
        <w:rPr>
          <w:sz w:val="24"/>
          <w:szCs w:val="24"/>
          <w:lang w:val="en-US"/>
        </w:rPr>
        <w:t>I</w:t>
      </w:r>
      <w:r w:rsidRPr="00127BC0">
        <w:rPr>
          <w:sz w:val="24"/>
          <w:szCs w:val="24"/>
          <w:lang w:val="en-US"/>
        </w:rPr>
        <w:t xml:space="preserve">n the NRCH-OH MoC DA’s </w:t>
      </w:r>
      <w:r w:rsidR="00975FC0" w:rsidRPr="00127BC0">
        <w:rPr>
          <w:sz w:val="24"/>
          <w:szCs w:val="24"/>
          <w:lang w:val="en-US"/>
        </w:rPr>
        <w:t xml:space="preserve">have an increased </w:t>
      </w:r>
      <w:r w:rsidRPr="00127BC0">
        <w:rPr>
          <w:sz w:val="24"/>
          <w:szCs w:val="24"/>
          <w:lang w:val="en-US"/>
        </w:rPr>
        <w:t xml:space="preserve"> role </w:t>
      </w:r>
      <w:r w:rsidR="00975FC0" w:rsidRPr="00127BC0">
        <w:rPr>
          <w:sz w:val="24"/>
          <w:szCs w:val="24"/>
          <w:lang w:val="en-US"/>
        </w:rPr>
        <w:t xml:space="preserve">in  </w:t>
      </w:r>
      <w:r w:rsidRPr="00127BC0">
        <w:rPr>
          <w:i/>
          <w:iCs/>
          <w:sz w:val="24"/>
          <w:szCs w:val="24"/>
          <w:lang w:val="en-US"/>
        </w:rPr>
        <w:t>assisting the client</w:t>
      </w:r>
      <w:r w:rsidRPr="00127BC0">
        <w:rPr>
          <w:sz w:val="24"/>
          <w:szCs w:val="24"/>
          <w:lang w:val="en-US"/>
        </w:rPr>
        <w:t xml:space="preserve"> by greeting, assistance with form filling, and guiding and supporting them through their </w:t>
      </w:r>
      <w:r w:rsidR="00975FC0" w:rsidRPr="00127BC0">
        <w:rPr>
          <w:sz w:val="24"/>
          <w:szCs w:val="24"/>
          <w:lang w:val="en-US"/>
        </w:rPr>
        <w:t xml:space="preserve">experience  </w:t>
      </w:r>
      <w:r w:rsidR="00187C35" w:rsidRPr="00127BC0">
        <w:rPr>
          <w:sz w:val="24"/>
          <w:szCs w:val="24"/>
          <w:lang w:val="en-US"/>
        </w:rPr>
        <w:t>enhancing the client centred approach</w:t>
      </w:r>
      <w:r w:rsidRPr="00127BC0">
        <w:rPr>
          <w:sz w:val="24"/>
          <w:szCs w:val="24"/>
          <w:lang w:val="en-US"/>
        </w:rPr>
        <w:t xml:space="preserve">. </w:t>
      </w:r>
    </w:p>
    <w:p w14:paraId="487C56AF" w14:textId="77777777" w:rsidR="002750DF" w:rsidRPr="00127BC0" w:rsidRDefault="00AB1B7E" w:rsidP="00127BC0">
      <w:pPr>
        <w:pStyle w:val="Body"/>
        <w:spacing w:after="0" w:line="276" w:lineRule="auto"/>
        <w:contextualSpacing/>
        <w:jc w:val="both"/>
        <w:rPr>
          <w:rFonts w:eastAsia="Arial" w:cs="Arial"/>
          <w:sz w:val="24"/>
          <w:szCs w:val="24"/>
          <w:lang w:val="en-US"/>
        </w:rPr>
      </w:pPr>
      <w:r w:rsidRPr="00127BC0">
        <w:rPr>
          <w:sz w:val="24"/>
          <w:szCs w:val="24"/>
          <w:lang w:val="en-US"/>
        </w:rPr>
        <w:t xml:space="preserve">The use of dental assistants trained in oral health promotion is a unique feature of this model.  NRCH-OH encourages all dental assistants to complete a certificate IV training in oral health promotion, which is a 12 month part-time course conducted by RMIT University. Those qualified work under direction of the dental practitioner in the clinical setting as an oral health educator (OHE), to provide within their scope of practice: oral hygiene instruction; plaque and saliva testing; instruction on the use of preventive products (tooth paste, </w:t>
      </w:r>
      <w:r w:rsidR="00187C35" w:rsidRPr="00127BC0">
        <w:rPr>
          <w:sz w:val="24"/>
          <w:szCs w:val="24"/>
          <w:lang w:val="en-US"/>
        </w:rPr>
        <w:t>Bioavailable calcium and phosphate releasing paste</w:t>
      </w:r>
      <w:r w:rsidRPr="00127BC0">
        <w:rPr>
          <w:sz w:val="24"/>
          <w:szCs w:val="24"/>
          <w:lang w:val="en-US"/>
        </w:rPr>
        <w:t>, mouthwash); dietary analysis and advice; and review and follow-up.</w:t>
      </w:r>
    </w:p>
    <w:p w14:paraId="651660C6" w14:textId="77777777" w:rsidR="002750DF" w:rsidRPr="00127BC0" w:rsidRDefault="00AB1B7E" w:rsidP="005C2973">
      <w:pPr>
        <w:pStyle w:val="Body"/>
        <w:spacing w:after="0" w:line="276" w:lineRule="auto"/>
        <w:contextualSpacing/>
        <w:jc w:val="both"/>
        <w:rPr>
          <w:rFonts w:eastAsia="Arial" w:cs="Arial"/>
          <w:sz w:val="24"/>
          <w:szCs w:val="24"/>
          <w:lang w:val="en-US"/>
        </w:rPr>
      </w:pPr>
      <w:r w:rsidRPr="00127BC0">
        <w:rPr>
          <w:sz w:val="24"/>
          <w:szCs w:val="24"/>
          <w:lang w:val="en-US"/>
        </w:rPr>
        <w:t>Dentists at NRCH-OH are recruited for their commitment to the public health approach and undergo orientation in the NRCH-OH MoC. In this new model, they are the leaders of the team, provide critical and intellectual input and support to the team. Although clients may see other members of the team during their management, the overall responsibility for the oral health management plan - including formulation, implementation and review as appropriate to individual client needs, is with the dentist as team leader.</w:t>
      </w:r>
    </w:p>
    <w:p w14:paraId="4CEE86B0" w14:textId="7A45C2E1" w:rsidR="002750DF" w:rsidRPr="00127BC0" w:rsidRDefault="00AB1B7E" w:rsidP="005C2973">
      <w:pPr>
        <w:pStyle w:val="Body"/>
        <w:spacing w:after="0" w:line="276" w:lineRule="auto"/>
        <w:contextualSpacing/>
        <w:rPr>
          <w:rFonts w:eastAsia="Arial" w:cs="Arial"/>
          <w:sz w:val="24"/>
          <w:szCs w:val="24"/>
          <w:lang w:val="en-US"/>
        </w:rPr>
      </w:pPr>
      <w:r w:rsidRPr="00127BC0">
        <w:rPr>
          <w:sz w:val="24"/>
          <w:szCs w:val="24"/>
          <w:lang w:val="en-US"/>
        </w:rPr>
        <w:t xml:space="preserve">The greater emphasis on prevention during training makes </w:t>
      </w:r>
      <w:r w:rsidR="003941BE" w:rsidRPr="00127BC0">
        <w:rPr>
          <w:sz w:val="24"/>
          <w:szCs w:val="24"/>
          <w:lang w:val="en-US"/>
        </w:rPr>
        <w:t xml:space="preserve">hygienists, </w:t>
      </w:r>
      <w:r w:rsidRPr="00127BC0">
        <w:rPr>
          <w:sz w:val="24"/>
          <w:szCs w:val="24"/>
          <w:lang w:val="en-US"/>
        </w:rPr>
        <w:t xml:space="preserve">oral health and dental therapists ideally suited to the preventive based approach. Scope of service varies depending on when and where they were trained. It is important that all work is performed within that scope especially when adult care is provided. NRCH-OH has increasingly utilised therapists </w:t>
      </w:r>
      <w:r w:rsidR="003941BE" w:rsidRPr="00127BC0">
        <w:rPr>
          <w:sz w:val="24"/>
          <w:szCs w:val="24"/>
          <w:lang w:val="en-US"/>
        </w:rPr>
        <w:t xml:space="preserve">and hygienist </w:t>
      </w:r>
      <w:r w:rsidRPr="00127BC0">
        <w:rPr>
          <w:sz w:val="24"/>
          <w:szCs w:val="24"/>
          <w:lang w:val="en-US"/>
        </w:rPr>
        <w:t>to support this approach.</w:t>
      </w:r>
      <w:r w:rsidRPr="00127BC0">
        <w:rPr>
          <w:rFonts w:eastAsia="Arial" w:cs="Arial"/>
          <w:sz w:val="24"/>
          <w:szCs w:val="24"/>
          <w:lang w:val="en-US"/>
        </w:rPr>
        <w:br/>
      </w:r>
    </w:p>
    <w:p w14:paraId="10BEBFF6" w14:textId="5210BE79" w:rsidR="002750DF" w:rsidRPr="00127BC0" w:rsidRDefault="00AB1B7E" w:rsidP="00127BC0">
      <w:pPr>
        <w:pStyle w:val="Body"/>
        <w:spacing w:after="0" w:line="276" w:lineRule="auto"/>
        <w:contextualSpacing/>
        <w:jc w:val="both"/>
        <w:rPr>
          <w:rFonts w:eastAsia="Arial" w:cs="Arial"/>
          <w:sz w:val="24"/>
          <w:szCs w:val="24"/>
          <w:lang w:val="en-US"/>
        </w:rPr>
      </w:pPr>
      <w:r w:rsidRPr="00127BC0">
        <w:rPr>
          <w:b/>
          <w:bCs/>
          <w:i/>
          <w:iCs/>
          <w:sz w:val="24"/>
          <w:szCs w:val="24"/>
          <w:lang w:val="en-US"/>
        </w:rPr>
        <w:t>Innovative use of staff and resources</w:t>
      </w:r>
      <w:r w:rsidR="005C2973">
        <w:rPr>
          <w:b/>
          <w:bCs/>
          <w:i/>
          <w:iCs/>
          <w:sz w:val="24"/>
          <w:szCs w:val="24"/>
          <w:lang w:val="en-US"/>
        </w:rPr>
        <w:t xml:space="preserve">: </w:t>
      </w:r>
      <w:r w:rsidRPr="00127BC0">
        <w:rPr>
          <w:sz w:val="24"/>
          <w:szCs w:val="24"/>
          <w:lang w:val="en-US"/>
        </w:rPr>
        <w:t xml:space="preserve">The innovative use of staff and resources associated with this model of care are as follows: </w:t>
      </w:r>
    </w:p>
    <w:p w14:paraId="00D6FB44" w14:textId="088AD0DE" w:rsidR="002750DF" w:rsidRPr="00127BC0" w:rsidRDefault="00AB1B7E" w:rsidP="00127BC0">
      <w:pPr>
        <w:pStyle w:val="ListParagraph"/>
        <w:numPr>
          <w:ilvl w:val="0"/>
          <w:numId w:val="15"/>
        </w:numPr>
        <w:tabs>
          <w:tab w:val="num" w:pos="360"/>
        </w:tabs>
        <w:spacing w:after="0" w:line="276" w:lineRule="auto"/>
        <w:ind w:left="360" w:hanging="360"/>
        <w:contextualSpacing/>
        <w:jc w:val="both"/>
        <w:rPr>
          <w:rFonts w:eastAsia="Arial" w:cs="Arial"/>
          <w:sz w:val="24"/>
          <w:szCs w:val="24"/>
        </w:rPr>
      </w:pPr>
      <w:r w:rsidRPr="00127BC0">
        <w:rPr>
          <w:sz w:val="24"/>
          <w:szCs w:val="24"/>
        </w:rPr>
        <w:t xml:space="preserve">Reception staff are empowered to invite clients, whom they suspect to be at high risk to dental disease, to make an </w:t>
      </w:r>
      <w:r w:rsidR="008A5EB9" w:rsidRPr="00127BC0">
        <w:rPr>
          <w:sz w:val="24"/>
          <w:szCs w:val="24"/>
        </w:rPr>
        <w:t>appointment,</w:t>
      </w:r>
      <w:r w:rsidRPr="00127BC0">
        <w:rPr>
          <w:sz w:val="24"/>
          <w:szCs w:val="24"/>
        </w:rPr>
        <w:t xml:space="preserve"> rather than assigning them </w:t>
      </w:r>
      <w:r w:rsidR="00975FC0" w:rsidRPr="00127BC0">
        <w:rPr>
          <w:sz w:val="24"/>
          <w:szCs w:val="24"/>
        </w:rPr>
        <w:t xml:space="preserve">arbitrarily </w:t>
      </w:r>
      <w:r w:rsidR="005C2973">
        <w:rPr>
          <w:sz w:val="24"/>
          <w:szCs w:val="24"/>
        </w:rPr>
        <w:t xml:space="preserve">to a waitlist. </w:t>
      </w:r>
      <w:r w:rsidRPr="00127BC0">
        <w:rPr>
          <w:sz w:val="24"/>
          <w:szCs w:val="24"/>
        </w:rPr>
        <w:t xml:space="preserve">Reception staff are also trained </w:t>
      </w:r>
      <w:r w:rsidR="008A5EB9" w:rsidRPr="00127BC0">
        <w:rPr>
          <w:sz w:val="24"/>
          <w:szCs w:val="24"/>
        </w:rPr>
        <w:t>to provide</w:t>
      </w:r>
      <w:r w:rsidRPr="00127BC0">
        <w:rPr>
          <w:sz w:val="24"/>
          <w:szCs w:val="24"/>
        </w:rPr>
        <w:t xml:space="preserve"> information and recommendations on home care and home care products.</w:t>
      </w:r>
    </w:p>
    <w:p w14:paraId="52720A56" w14:textId="77777777" w:rsidR="002750DF" w:rsidRPr="00127BC0" w:rsidRDefault="00AB1B7E" w:rsidP="00127BC0">
      <w:pPr>
        <w:pStyle w:val="ListParagraph"/>
        <w:numPr>
          <w:ilvl w:val="0"/>
          <w:numId w:val="16"/>
        </w:numPr>
        <w:tabs>
          <w:tab w:val="num" w:pos="360"/>
        </w:tabs>
        <w:spacing w:after="0" w:line="276" w:lineRule="auto"/>
        <w:ind w:left="360" w:hanging="360"/>
        <w:contextualSpacing/>
        <w:jc w:val="both"/>
        <w:rPr>
          <w:rFonts w:eastAsia="Arial" w:cs="Arial"/>
          <w:sz w:val="24"/>
          <w:szCs w:val="24"/>
        </w:rPr>
      </w:pPr>
      <w:r w:rsidRPr="00127BC0">
        <w:rPr>
          <w:sz w:val="24"/>
          <w:szCs w:val="24"/>
        </w:rPr>
        <w:t>Dental assistants are recognised as being there to assist the client.</w:t>
      </w:r>
    </w:p>
    <w:p w14:paraId="7C036CA4" w14:textId="780B95F0" w:rsidR="002750DF" w:rsidRPr="00127BC0" w:rsidRDefault="00AB1B7E" w:rsidP="00127BC0">
      <w:pPr>
        <w:pStyle w:val="ListParagraph"/>
        <w:numPr>
          <w:ilvl w:val="0"/>
          <w:numId w:val="17"/>
        </w:numPr>
        <w:tabs>
          <w:tab w:val="num" w:pos="360"/>
        </w:tabs>
        <w:spacing w:after="0" w:line="276" w:lineRule="auto"/>
        <w:ind w:left="360" w:hanging="360"/>
        <w:contextualSpacing/>
        <w:jc w:val="both"/>
        <w:rPr>
          <w:rFonts w:eastAsia="Arial" w:cs="Arial"/>
          <w:sz w:val="24"/>
          <w:szCs w:val="24"/>
        </w:rPr>
      </w:pPr>
      <w:r w:rsidRPr="00127BC0">
        <w:rPr>
          <w:sz w:val="24"/>
          <w:szCs w:val="24"/>
        </w:rPr>
        <w:t xml:space="preserve"> The co-payment is waived for specific oral health education </w:t>
      </w:r>
      <w:r w:rsidR="008A5EB9" w:rsidRPr="00127BC0">
        <w:rPr>
          <w:sz w:val="24"/>
          <w:szCs w:val="24"/>
        </w:rPr>
        <w:t>appointments for</w:t>
      </w:r>
      <w:r w:rsidRPr="00127BC0">
        <w:rPr>
          <w:sz w:val="24"/>
          <w:szCs w:val="24"/>
        </w:rPr>
        <w:t xml:space="preserve"> clients who attend this service.</w:t>
      </w:r>
    </w:p>
    <w:p w14:paraId="7BDF7CFB" w14:textId="0665587D" w:rsidR="002750DF" w:rsidRPr="00127BC0" w:rsidRDefault="00AB1B7E" w:rsidP="00127BC0">
      <w:pPr>
        <w:pStyle w:val="ListParagraph"/>
        <w:numPr>
          <w:ilvl w:val="0"/>
          <w:numId w:val="18"/>
        </w:numPr>
        <w:tabs>
          <w:tab w:val="num" w:pos="360"/>
        </w:tabs>
        <w:spacing w:after="0" w:line="276" w:lineRule="auto"/>
        <w:ind w:left="360" w:hanging="360"/>
        <w:contextualSpacing/>
        <w:rPr>
          <w:rFonts w:eastAsia="Arial" w:cs="Arial"/>
          <w:sz w:val="24"/>
          <w:szCs w:val="24"/>
        </w:rPr>
      </w:pPr>
      <w:r w:rsidRPr="00127BC0">
        <w:rPr>
          <w:sz w:val="24"/>
          <w:szCs w:val="24"/>
        </w:rPr>
        <w:t>Clinicians are utilised to their full scope of practice</w:t>
      </w:r>
      <w:r w:rsidR="008A5EB9" w:rsidRPr="00127BC0">
        <w:rPr>
          <w:sz w:val="24"/>
          <w:szCs w:val="24"/>
        </w:rPr>
        <w:t>.</w:t>
      </w:r>
      <w:r w:rsidRPr="00127BC0">
        <w:rPr>
          <w:sz w:val="24"/>
          <w:szCs w:val="24"/>
        </w:rPr>
        <w:br/>
      </w:r>
    </w:p>
    <w:p w14:paraId="47CA96A7" w14:textId="0BA61128" w:rsidR="002750DF" w:rsidRPr="00127BC0" w:rsidRDefault="00AB1B7E" w:rsidP="00127BC0">
      <w:pPr>
        <w:pStyle w:val="ListParagraph"/>
        <w:spacing w:after="0" w:line="276" w:lineRule="auto"/>
        <w:ind w:left="0"/>
        <w:contextualSpacing/>
        <w:jc w:val="both"/>
        <w:rPr>
          <w:rFonts w:eastAsia="Arial" w:cs="Arial"/>
          <w:sz w:val="24"/>
          <w:szCs w:val="24"/>
        </w:rPr>
      </w:pPr>
      <w:r w:rsidRPr="00127BC0">
        <w:rPr>
          <w:b/>
          <w:bCs/>
          <w:i/>
          <w:iCs/>
          <w:sz w:val="24"/>
          <w:szCs w:val="24"/>
        </w:rPr>
        <w:t>Training for Staff</w:t>
      </w:r>
      <w:r w:rsidRPr="00127BC0">
        <w:rPr>
          <w:sz w:val="24"/>
          <w:szCs w:val="24"/>
        </w:rPr>
        <w:t>: There are a range of training initiatives offered in this MoC. These range from cultural competency, motivational interviewing techniques, health coaching, risk assessment, prevention, and oral healthcare products.</w:t>
      </w:r>
      <w:r w:rsidRPr="00127BC0">
        <w:rPr>
          <w:b/>
          <w:bCs/>
          <w:sz w:val="24"/>
          <w:szCs w:val="24"/>
        </w:rPr>
        <w:t xml:space="preserve"> </w:t>
      </w:r>
      <w:r w:rsidRPr="00127BC0">
        <w:rPr>
          <w:sz w:val="24"/>
          <w:szCs w:val="24"/>
        </w:rPr>
        <w:t>Over 60% of NRCH-OH clients come from culturall</w:t>
      </w:r>
      <w:r w:rsidR="00DF442E">
        <w:rPr>
          <w:sz w:val="24"/>
          <w:szCs w:val="24"/>
        </w:rPr>
        <w:t>y and linguistically diverse (Ca</w:t>
      </w:r>
      <w:r w:rsidRPr="00127BC0">
        <w:rPr>
          <w:sz w:val="24"/>
          <w:szCs w:val="24"/>
        </w:rPr>
        <w:t>LD) communities</w:t>
      </w:r>
      <w:r w:rsidR="00DF442E">
        <w:rPr>
          <w:sz w:val="24"/>
          <w:szCs w:val="24"/>
        </w:rPr>
        <w:t>.</w:t>
      </w:r>
      <w:r w:rsidRPr="00127BC0">
        <w:rPr>
          <w:sz w:val="24"/>
          <w:szCs w:val="24"/>
        </w:rPr>
        <w:t xml:space="preserve"> An understanding of cultural beliefs is very important and all staff at NRCH participate in cultural competency training. The Centre of Culture Ethnicity and Health (CEH) a program of NRCH, advises and supports </w:t>
      </w:r>
      <w:r w:rsidRPr="00127BC0">
        <w:rPr>
          <w:sz w:val="24"/>
          <w:szCs w:val="24"/>
        </w:rPr>
        <w:lastRenderedPageBreak/>
        <w:t xml:space="preserve">clinical programs to reduce cultural barriers to care and improve health literacy. NRCH has information available in community languages and the oral health team </w:t>
      </w:r>
      <w:r w:rsidR="00127093" w:rsidRPr="00127BC0">
        <w:rPr>
          <w:sz w:val="24"/>
          <w:szCs w:val="24"/>
        </w:rPr>
        <w:t>includes</w:t>
      </w:r>
      <w:r w:rsidRPr="00127BC0">
        <w:rPr>
          <w:sz w:val="24"/>
          <w:szCs w:val="24"/>
        </w:rPr>
        <w:t xml:space="preserve"> members that represent the dominant local community groups (Sudanese, Eritrean, Vietnamese, Chinese, Serbian, Greek and East Timorese). Most staff have direct experience with the refugee/migrant experience. </w:t>
      </w:r>
    </w:p>
    <w:p w14:paraId="42026D0B" w14:textId="77777777" w:rsidR="002750DF" w:rsidRPr="00127BC0" w:rsidRDefault="002750DF" w:rsidP="00127BC0">
      <w:pPr>
        <w:pStyle w:val="ListParagraph"/>
        <w:spacing w:after="0" w:line="276" w:lineRule="auto"/>
        <w:ind w:left="0"/>
        <w:contextualSpacing/>
        <w:jc w:val="both"/>
        <w:rPr>
          <w:rFonts w:eastAsia="Arial" w:cs="Arial"/>
          <w:sz w:val="24"/>
          <w:szCs w:val="24"/>
        </w:rPr>
      </w:pPr>
    </w:p>
    <w:p w14:paraId="721E19CE" w14:textId="533E170B" w:rsidR="002750DF" w:rsidRDefault="00AB1B7E" w:rsidP="00127BC0">
      <w:pPr>
        <w:pStyle w:val="ListParagraph"/>
        <w:spacing w:after="0" w:line="276" w:lineRule="auto"/>
        <w:ind w:left="0"/>
        <w:contextualSpacing/>
        <w:jc w:val="both"/>
        <w:rPr>
          <w:rFonts w:ascii="Arial" w:eastAsia="Arial" w:hAnsi="Arial" w:cs="Arial"/>
        </w:rPr>
      </w:pPr>
      <w:r w:rsidRPr="00127BC0">
        <w:rPr>
          <w:b/>
          <w:bCs/>
          <w:i/>
          <w:iCs/>
          <w:sz w:val="24"/>
          <w:szCs w:val="24"/>
        </w:rPr>
        <w:t>Dental service access pathways</w:t>
      </w:r>
      <w:r w:rsidRPr="00127BC0">
        <w:rPr>
          <w:b/>
          <w:bCs/>
          <w:sz w:val="24"/>
          <w:szCs w:val="24"/>
        </w:rPr>
        <w:t xml:space="preserve">: </w:t>
      </w:r>
      <w:r w:rsidRPr="00127BC0">
        <w:rPr>
          <w:sz w:val="24"/>
          <w:szCs w:val="24"/>
        </w:rPr>
        <w:t xml:space="preserve">Figure 1 illustrates how a client flows through the NRCH-OH MoC. The disease management pathway is determined by the client’s assessed risk status. Clients assessed as being at ‘Extreme risk’ of oral diseases, such as those with complex medical conditions, are managed via a senior dentist working with a selected sub team including, when appropriate, specialists </w:t>
      </w:r>
      <w:r w:rsidR="00DF442E">
        <w:rPr>
          <w:sz w:val="24"/>
          <w:szCs w:val="24"/>
        </w:rPr>
        <w:t>at the Dental Hospital</w:t>
      </w:r>
      <w:r w:rsidRPr="00127BC0">
        <w:rPr>
          <w:sz w:val="24"/>
          <w:szCs w:val="24"/>
        </w:rPr>
        <w:t xml:space="preserve">. Drop in clinics or ad hoc emergency visits are available to those rare clients who do not want to participate in this model of care. This usually becomes apparent at the assessment and management planning stage or when the client fails to attend for OHE appointment(s).  It will however be made clear by all team members </w:t>
      </w:r>
      <w:r w:rsidR="00127093" w:rsidRPr="00127BC0">
        <w:rPr>
          <w:sz w:val="24"/>
          <w:szCs w:val="24"/>
        </w:rPr>
        <w:t xml:space="preserve">as a duty of care </w:t>
      </w:r>
      <w:r w:rsidRPr="00127BC0">
        <w:rPr>
          <w:sz w:val="24"/>
          <w:szCs w:val="24"/>
        </w:rPr>
        <w:t>that these clients are required</w:t>
      </w:r>
      <w:r w:rsidRPr="00127BC0">
        <w:rPr>
          <w:b/>
          <w:bCs/>
          <w:sz w:val="24"/>
          <w:szCs w:val="24"/>
        </w:rPr>
        <w:t xml:space="preserve"> </w:t>
      </w:r>
      <w:r w:rsidRPr="00127BC0">
        <w:rPr>
          <w:sz w:val="24"/>
          <w:szCs w:val="24"/>
        </w:rPr>
        <w:t>to demonstrate a good level of home care prior to approval for complex dental care (endodontic, fixed and removable prosthetic care) and referral to specialist clinics. It is important that clients understand why some treatment is not performed and how it can be unprofessional to proceed with treatment while disease remains active</w:t>
      </w:r>
      <w:r>
        <w:rPr>
          <w:rFonts w:ascii="Arial"/>
        </w:rPr>
        <w:t>.</w:t>
      </w:r>
    </w:p>
    <w:p w14:paraId="3F6FDA49" w14:textId="3B62303B" w:rsidR="002750DF" w:rsidRPr="00DF442E" w:rsidRDefault="002750DF" w:rsidP="00DF442E">
      <w:pPr>
        <w:pStyle w:val="Body"/>
      </w:pPr>
    </w:p>
    <w:p w14:paraId="575AC24D" w14:textId="0A53A6EA" w:rsidR="002750DF" w:rsidRDefault="00AB1B7E">
      <w:pPr>
        <w:pStyle w:val="Body"/>
        <w:spacing w:after="0" w:line="360" w:lineRule="auto"/>
        <w:rPr>
          <w:rFonts w:ascii="Calibri Light" w:eastAsia="Calibri Light" w:hAnsi="Calibri Light" w:cs="Calibri Light"/>
          <w:b/>
          <w:bCs/>
          <w:color w:val="5B9BD5"/>
          <w:sz w:val="32"/>
          <w:szCs w:val="32"/>
          <w:u w:color="5B9BD5"/>
          <w:lang w:val="en-US"/>
        </w:rPr>
      </w:pPr>
      <w:r>
        <w:rPr>
          <w:rFonts w:ascii="Arial"/>
          <w:sz w:val="20"/>
          <w:szCs w:val="20"/>
          <w:lang w:val="en-US"/>
        </w:rPr>
        <w:t>FIGURE 1: Flow of clients through the NRCH-OH MoC</w:t>
      </w:r>
      <w:r>
        <w:rPr>
          <w:rFonts w:ascii="Arial" w:eastAsia="Arial" w:hAnsi="Arial" w:cs="Arial"/>
          <w:sz w:val="20"/>
          <w:szCs w:val="20"/>
        </w:rPr>
        <w:br/>
      </w:r>
      <w:r>
        <w:rPr>
          <w:rFonts w:ascii="Calibri Light" w:eastAsia="Calibri Light" w:hAnsi="Calibri Light" w:cs="Calibri Light"/>
          <w:b/>
          <w:bCs/>
          <w:color w:val="5B9BD5"/>
          <w:sz w:val="32"/>
          <w:szCs w:val="32"/>
          <w:u w:color="5B9BD5"/>
          <w:lang w:val="en-US"/>
        </w:rPr>
        <w:br/>
      </w:r>
      <w:r>
        <w:rPr>
          <w:rFonts w:ascii="Calibri Light" w:eastAsia="Calibri Light" w:hAnsi="Calibri Light" w:cs="Calibri Light"/>
          <w:b/>
          <w:bCs/>
          <w:noProof/>
          <w:color w:val="5B9BD5"/>
          <w:sz w:val="32"/>
          <w:szCs w:val="32"/>
          <w:u w:color="5B9BD5"/>
        </w:rPr>
        <w:drawing>
          <wp:inline distT="0" distB="0" distL="0" distR="0" wp14:anchorId="7D9A0A50" wp14:editId="198AAC88">
            <wp:extent cx="6478270" cy="3329941"/>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16">
                      <a:extLst/>
                    </a:blip>
                    <a:stretch>
                      <a:fillRect/>
                    </a:stretch>
                  </pic:blipFill>
                  <pic:spPr>
                    <a:xfrm>
                      <a:off x="0" y="0"/>
                      <a:ext cx="6478270" cy="3329941"/>
                    </a:xfrm>
                    <a:prstGeom prst="rect">
                      <a:avLst/>
                    </a:prstGeom>
                    <a:ln w="12700" cap="flat">
                      <a:noFill/>
                      <a:miter lim="400000"/>
                    </a:ln>
                    <a:effectLst/>
                  </pic:spPr>
                </pic:pic>
              </a:graphicData>
            </a:graphic>
          </wp:inline>
        </w:drawing>
      </w:r>
    </w:p>
    <w:p w14:paraId="69610D46" w14:textId="15D5B078" w:rsidR="002750DF" w:rsidRPr="00DF442E" w:rsidRDefault="00AB1B7E" w:rsidP="00DF442E">
      <w:pPr>
        <w:pStyle w:val="Body"/>
        <w:spacing w:after="0" w:line="276" w:lineRule="auto"/>
        <w:jc w:val="both"/>
        <w:rPr>
          <w:rFonts w:eastAsia="Arial" w:cs="Arial"/>
          <w:sz w:val="24"/>
          <w:szCs w:val="24"/>
        </w:rPr>
      </w:pPr>
      <w:r w:rsidRPr="00DF442E">
        <w:rPr>
          <w:b/>
          <w:bCs/>
          <w:i/>
          <w:iCs/>
          <w:sz w:val="24"/>
          <w:szCs w:val="24"/>
          <w:lang w:val="en-US"/>
        </w:rPr>
        <w:t>Risk assessment</w:t>
      </w:r>
      <w:r w:rsidRPr="00DF442E">
        <w:rPr>
          <w:b/>
          <w:bCs/>
          <w:sz w:val="24"/>
          <w:szCs w:val="24"/>
        </w:rPr>
        <w:t xml:space="preserve">: </w:t>
      </w:r>
      <w:r w:rsidRPr="00DF442E">
        <w:rPr>
          <w:sz w:val="24"/>
          <w:szCs w:val="24"/>
          <w:lang w:val="en-US"/>
        </w:rPr>
        <w:t xml:space="preserve">NRCH-OH aims to have a consistent approach to detecting oral diseases, predicting future disease, management planning and setting of appropriate recalls. This is </w:t>
      </w:r>
      <w:r w:rsidRPr="00DF442E">
        <w:rPr>
          <w:sz w:val="24"/>
          <w:szCs w:val="24"/>
          <w:lang w:val="en-US"/>
        </w:rPr>
        <w:lastRenderedPageBreak/>
        <w:t>done using a risk-based management system that provides care to those who need it the most, while reassuring and supporting those who do not. Examples, of each level of risk are provided in Table 1.</w:t>
      </w:r>
    </w:p>
    <w:p w14:paraId="4B471A15" w14:textId="77777777" w:rsidR="002750DF" w:rsidRPr="00DF442E" w:rsidRDefault="002750DF" w:rsidP="00DF442E">
      <w:pPr>
        <w:pStyle w:val="Body"/>
        <w:spacing w:after="0" w:line="276" w:lineRule="auto"/>
        <w:rPr>
          <w:rFonts w:eastAsia="Arial" w:cs="Arial"/>
          <w:sz w:val="24"/>
          <w:szCs w:val="24"/>
        </w:rPr>
      </w:pPr>
    </w:p>
    <w:p w14:paraId="46145ED8" w14:textId="77777777" w:rsidR="002750DF" w:rsidRPr="00DF442E" w:rsidRDefault="00AB1B7E" w:rsidP="00DF442E">
      <w:pPr>
        <w:pStyle w:val="Body"/>
        <w:spacing w:after="0" w:line="276" w:lineRule="auto"/>
        <w:jc w:val="both"/>
        <w:rPr>
          <w:rFonts w:eastAsia="Arial" w:cs="Arial"/>
          <w:sz w:val="24"/>
          <w:szCs w:val="24"/>
          <w:lang w:val="en-US"/>
        </w:rPr>
      </w:pPr>
      <w:r w:rsidRPr="00DF442E">
        <w:rPr>
          <w:sz w:val="24"/>
          <w:szCs w:val="24"/>
          <w:lang w:val="en-US"/>
        </w:rPr>
        <w:t>Assessment of risk offers the dental practitioner information on the likelihood of a client developing future oral disease, progression of the disease and whether the recall/review interval should be adjusted. It also assists clients in understanding the risk factors responsible for their disease, which may enable them to take actions to reduce their risk. Assessment of individual risk is dependent upon the diagnosis of existing disease activity and the level of information collected on all known risk factors. As stated earlier, caries risk is assessed using a modified version of CAMBRA and periodontal risk using the CPI index. However, as the evidence to support existing risk assessment tools is not clear,</w:t>
      </w:r>
      <w:r w:rsidRPr="00DF442E">
        <w:rPr>
          <w:sz w:val="24"/>
          <w:szCs w:val="24"/>
          <w:vertAlign w:val="superscript"/>
        </w:rPr>
        <w:t>28</w:t>
      </w:r>
      <w:r w:rsidRPr="00DF442E">
        <w:rPr>
          <w:sz w:val="24"/>
          <w:szCs w:val="24"/>
          <w:lang w:val="en-US"/>
        </w:rPr>
        <w:t xml:space="preserve"> the risk assessment instruments in our model are used to support an intellectual process, </w:t>
      </w:r>
      <w:r w:rsidRPr="00DF442E">
        <w:rPr>
          <w:sz w:val="24"/>
          <w:szCs w:val="24"/>
        </w:rPr>
        <w:t>while</w:t>
      </w:r>
      <w:r w:rsidRPr="00DF442E">
        <w:rPr>
          <w:sz w:val="24"/>
          <w:szCs w:val="24"/>
          <w:lang w:val="en-US"/>
        </w:rPr>
        <w:t xml:space="preserve"> a clinical position on risk is achieved. </w:t>
      </w:r>
    </w:p>
    <w:p w14:paraId="16875133" w14:textId="77777777" w:rsidR="002750DF" w:rsidRPr="00DF442E" w:rsidRDefault="00AB1B7E" w:rsidP="00DF442E">
      <w:pPr>
        <w:pStyle w:val="Body"/>
        <w:spacing w:after="0" w:line="276" w:lineRule="auto"/>
        <w:jc w:val="both"/>
        <w:rPr>
          <w:rFonts w:eastAsia="Arial" w:cs="Arial"/>
          <w:sz w:val="24"/>
          <w:szCs w:val="24"/>
        </w:rPr>
      </w:pPr>
      <w:r w:rsidRPr="00DF442E">
        <w:rPr>
          <w:sz w:val="24"/>
          <w:szCs w:val="24"/>
          <w:lang w:val="en-US"/>
        </w:rPr>
        <w:t xml:space="preserve">Various risk categories will result in differing management plans (Table 2) which may be obvious and straightforward. In some cases, management plans will take longer to be developed and may involve a further period of assessment prior to </w:t>
      </w:r>
      <w:proofErr w:type="spellStart"/>
      <w:r w:rsidRPr="00DF442E">
        <w:rPr>
          <w:sz w:val="24"/>
          <w:szCs w:val="24"/>
          <w:lang w:val="en-US"/>
        </w:rPr>
        <w:t>finalising</w:t>
      </w:r>
      <w:proofErr w:type="spellEnd"/>
      <w:r w:rsidRPr="00DF442E">
        <w:rPr>
          <w:sz w:val="24"/>
          <w:szCs w:val="24"/>
          <w:lang w:val="en-US"/>
        </w:rPr>
        <w:t xml:space="preserve"> a definitive plan. All high risk clients spend time with the OHE</w:t>
      </w:r>
      <w:r w:rsidR="003941BE" w:rsidRPr="00DF442E">
        <w:rPr>
          <w:sz w:val="24"/>
          <w:szCs w:val="24"/>
          <w:lang w:val="en-US"/>
        </w:rPr>
        <w:t>,</w:t>
      </w:r>
      <w:r w:rsidRPr="00DF442E">
        <w:rPr>
          <w:sz w:val="24"/>
          <w:szCs w:val="24"/>
          <w:lang w:val="en-US"/>
        </w:rPr>
        <w:t xml:space="preserve"> starting at the assessment visit if possible, otherwise an appointment is made for oral health education, dietary counselling and introduction to home care products. When the OHE is satisfied the client has moved or is moving into a lower risk category an appointment with a dental practitioner will be made.</w:t>
      </w:r>
    </w:p>
    <w:p w14:paraId="6042C500" w14:textId="77777777" w:rsidR="002750DF" w:rsidRPr="00DF442E" w:rsidRDefault="002750DF" w:rsidP="00DF442E">
      <w:pPr>
        <w:pStyle w:val="Body"/>
        <w:spacing w:after="0" w:line="276" w:lineRule="auto"/>
        <w:jc w:val="both"/>
        <w:rPr>
          <w:rFonts w:eastAsia="Arial" w:cs="Arial"/>
          <w:sz w:val="24"/>
          <w:szCs w:val="24"/>
        </w:rPr>
      </w:pPr>
    </w:p>
    <w:p w14:paraId="3671F7A9" w14:textId="499FC114" w:rsidR="002750DF" w:rsidRPr="00DF442E" w:rsidRDefault="00AB1B7E" w:rsidP="00DF442E">
      <w:pPr>
        <w:pStyle w:val="Body"/>
        <w:spacing w:after="0" w:line="276" w:lineRule="auto"/>
        <w:rPr>
          <w:rFonts w:eastAsia="Arial" w:cs="Arial"/>
          <w:sz w:val="24"/>
          <w:szCs w:val="24"/>
        </w:rPr>
      </w:pPr>
      <w:r w:rsidRPr="00DF442E">
        <w:rPr>
          <w:b/>
          <w:bCs/>
          <w:i/>
          <w:iCs/>
          <w:sz w:val="24"/>
          <w:szCs w:val="24"/>
          <w:lang w:val="en-US"/>
        </w:rPr>
        <w:t>Disease management</w:t>
      </w:r>
      <w:r w:rsidRPr="00DF442E">
        <w:rPr>
          <w:b/>
          <w:bCs/>
          <w:sz w:val="24"/>
          <w:szCs w:val="24"/>
        </w:rPr>
        <w:t>:</w:t>
      </w:r>
      <w:r w:rsidRPr="00DF442E">
        <w:rPr>
          <w:b/>
          <w:bCs/>
          <w:i/>
          <w:iCs/>
          <w:sz w:val="24"/>
          <w:szCs w:val="24"/>
        </w:rPr>
        <w:t xml:space="preserve"> </w:t>
      </w:r>
      <w:r w:rsidRPr="00DF442E">
        <w:rPr>
          <w:sz w:val="24"/>
          <w:szCs w:val="24"/>
          <w:lang w:val="en-US"/>
        </w:rPr>
        <w:t>Management is based on risk with higher risk clients having more intense management.</w:t>
      </w:r>
      <w:r w:rsidRPr="00DF442E">
        <w:rPr>
          <w:rFonts w:eastAsia="Arial" w:cs="Arial"/>
          <w:sz w:val="24"/>
          <w:szCs w:val="24"/>
        </w:rPr>
        <w:br/>
      </w:r>
    </w:p>
    <w:p w14:paraId="4D36DCB2" w14:textId="50F45CFA" w:rsidR="002750DF" w:rsidRPr="00DF442E" w:rsidRDefault="00C72F65" w:rsidP="00DF442E">
      <w:pPr>
        <w:pStyle w:val="Body"/>
        <w:spacing w:after="0" w:line="276" w:lineRule="auto"/>
        <w:jc w:val="both"/>
        <w:rPr>
          <w:rFonts w:eastAsia="Arial" w:cs="Arial"/>
          <w:b/>
          <w:bCs/>
          <w:sz w:val="24"/>
          <w:szCs w:val="24"/>
        </w:rPr>
      </w:pPr>
      <w:r w:rsidRPr="00DF442E">
        <w:rPr>
          <w:b/>
          <w:bCs/>
          <w:sz w:val="24"/>
          <w:szCs w:val="24"/>
        </w:rPr>
        <w:t xml:space="preserve">Extreme </w:t>
      </w:r>
      <w:r w:rsidRPr="00DF442E">
        <w:rPr>
          <w:b/>
          <w:bCs/>
          <w:sz w:val="24"/>
          <w:szCs w:val="24"/>
          <w:lang w:val="it-IT"/>
        </w:rPr>
        <w:t>risk</w:t>
      </w:r>
      <w:r w:rsidR="00AB1B7E" w:rsidRPr="00DF442E">
        <w:rPr>
          <w:b/>
          <w:bCs/>
          <w:sz w:val="24"/>
          <w:szCs w:val="24"/>
        </w:rPr>
        <w:t xml:space="preserve"> (CE)</w:t>
      </w:r>
    </w:p>
    <w:p w14:paraId="4CBD6B62" w14:textId="77777777" w:rsidR="002750DF" w:rsidRPr="00DF442E" w:rsidRDefault="00AB1B7E" w:rsidP="00DF442E">
      <w:pPr>
        <w:pStyle w:val="Body"/>
        <w:spacing w:after="0" w:line="276" w:lineRule="auto"/>
        <w:jc w:val="both"/>
        <w:rPr>
          <w:rFonts w:eastAsia="Arial" w:cs="Arial"/>
          <w:sz w:val="24"/>
          <w:szCs w:val="24"/>
        </w:rPr>
      </w:pPr>
      <w:r w:rsidRPr="00DF442E">
        <w:rPr>
          <w:sz w:val="24"/>
          <w:szCs w:val="24"/>
          <w:lang w:val="en-US"/>
        </w:rPr>
        <w:t xml:space="preserve">Clients who are undergoing head and neck radiotherapy, cancer therapy, major social or mental disability, chronic substance abuse, Sjogren’s syndrome, uncontrolled diabetes etc., require specialised care and a senior dentist must be consulted in the management plan.  These clients will, in general, have xerostomia. A more integrated plan and specialised management will usually be required to address these clients’ ongoing risk and treatment needs. </w:t>
      </w:r>
      <w:r w:rsidR="002C37DD" w:rsidRPr="00DF442E">
        <w:rPr>
          <w:sz w:val="24"/>
          <w:szCs w:val="24"/>
          <w:lang w:val="en-US"/>
        </w:rPr>
        <w:t xml:space="preserve">Recalls and reviews for this category is mostly determined on a case-by case basis. </w:t>
      </w:r>
      <w:r w:rsidRPr="00DF442E">
        <w:rPr>
          <w:sz w:val="24"/>
          <w:szCs w:val="24"/>
          <w:lang w:val="en-US"/>
        </w:rPr>
        <w:t>Short-term expectations and outcomes will vary for these clients dependin</w:t>
      </w:r>
      <w:r w:rsidR="002C6E2B" w:rsidRPr="00DF442E">
        <w:rPr>
          <w:sz w:val="24"/>
          <w:szCs w:val="24"/>
          <w:lang w:val="en-US"/>
        </w:rPr>
        <w:t xml:space="preserve">g on the risk factors </w:t>
      </w:r>
      <w:r w:rsidR="002C37DD" w:rsidRPr="00DF442E">
        <w:rPr>
          <w:sz w:val="24"/>
          <w:szCs w:val="24"/>
          <w:lang w:val="en-US"/>
        </w:rPr>
        <w:t>involved;</w:t>
      </w:r>
      <w:r w:rsidR="002C6E2B" w:rsidRPr="00DF442E">
        <w:rPr>
          <w:sz w:val="24"/>
          <w:szCs w:val="24"/>
          <w:lang w:val="en-US"/>
        </w:rPr>
        <w:t xml:space="preserve"> however, it is unlikely that these client’s will move to a lower risk category given their special circumstances.</w:t>
      </w:r>
    </w:p>
    <w:p w14:paraId="19CD7CD3" w14:textId="77777777" w:rsidR="002750DF" w:rsidRPr="00DF442E" w:rsidRDefault="002750DF" w:rsidP="00DF442E">
      <w:pPr>
        <w:pStyle w:val="Body"/>
        <w:spacing w:after="0" w:line="276" w:lineRule="auto"/>
        <w:jc w:val="both"/>
        <w:rPr>
          <w:rFonts w:eastAsia="Arial" w:cs="Arial"/>
          <w:sz w:val="24"/>
          <w:szCs w:val="24"/>
        </w:rPr>
      </w:pPr>
    </w:p>
    <w:p w14:paraId="7B3A658B" w14:textId="77777777" w:rsidR="002750DF" w:rsidRPr="00DF442E" w:rsidRDefault="00AB1B7E" w:rsidP="00DF442E">
      <w:pPr>
        <w:pStyle w:val="Body"/>
        <w:spacing w:after="0" w:line="276" w:lineRule="auto"/>
        <w:jc w:val="both"/>
        <w:rPr>
          <w:rFonts w:eastAsia="Arial" w:cs="Arial"/>
          <w:b/>
          <w:bCs/>
          <w:sz w:val="24"/>
          <w:szCs w:val="24"/>
        </w:rPr>
      </w:pPr>
      <w:r w:rsidRPr="00DF442E">
        <w:rPr>
          <w:b/>
          <w:bCs/>
          <w:sz w:val="24"/>
          <w:szCs w:val="24"/>
          <w:lang w:val="en-US"/>
        </w:rPr>
        <w:t xml:space="preserve"> High Caries/High Perio Management</w:t>
      </w:r>
      <w:r w:rsidRPr="00DF442E">
        <w:rPr>
          <w:b/>
          <w:bCs/>
          <w:sz w:val="24"/>
          <w:szCs w:val="24"/>
        </w:rPr>
        <w:t xml:space="preserve"> (C1P1)</w:t>
      </w:r>
    </w:p>
    <w:p w14:paraId="0A567CDC" w14:textId="50C0E6FD" w:rsidR="002750DF" w:rsidRPr="00DF442E" w:rsidRDefault="00AB1B7E" w:rsidP="00DF442E">
      <w:pPr>
        <w:pStyle w:val="ListParagraph"/>
        <w:numPr>
          <w:ilvl w:val="0"/>
          <w:numId w:val="20"/>
        </w:numPr>
        <w:tabs>
          <w:tab w:val="num" w:pos="360"/>
        </w:tabs>
        <w:spacing w:after="0" w:line="276" w:lineRule="auto"/>
        <w:ind w:left="360" w:hanging="360"/>
        <w:jc w:val="both"/>
        <w:rPr>
          <w:rFonts w:eastAsia="Arial" w:cs="Arial"/>
          <w:sz w:val="24"/>
          <w:szCs w:val="24"/>
        </w:rPr>
      </w:pPr>
      <w:r w:rsidRPr="00DF442E">
        <w:rPr>
          <w:sz w:val="24"/>
          <w:szCs w:val="24"/>
        </w:rPr>
        <w:t xml:space="preserve">Preventive Phase: The OHE manages the oral hygiene and dietary risk factors. An oral hygiene plan is developed with the client and includes monitoring, plaque scores, oral hygiene instruction, and nutritional and quit smoking advice with additional dedicated smoking cessation </w:t>
      </w:r>
      <w:r w:rsidR="008A5EB9" w:rsidRPr="00DF442E">
        <w:rPr>
          <w:sz w:val="24"/>
          <w:szCs w:val="24"/>
        </w:rPr>
        <w:t>staff available</w:t>
      </w:r>
      <w:r w:rsidRPr="00DF442E">
        <w:rPr>
          <w:sz w:val="24"/>
          <w:szCs w:val="24"/>
        </w:rPr>
        <w:t xml:space="preserve"> on referral.</w:t>
      </w:r>
    </w:p>
    <w:p w14:paraId="3300C509" w14:textId="77777777" w:rsidR="002750DF" w:rsidRPr="00DF442E" w:rsidRDefault="00AB1B7E" w:rsidP="00DF442E">
      <w:pPr>
        <w:pStyle w:val="ListParagraph"/>
        <w:numPr>
          <w:ilvl w:val="0"/>
          <w:numId w:val="21"/>
        </w:numPr>
        <w:tabs>
          <w:tab w:val="num" w:pos="360"/>
        </w:tabs>
        <w:spacing w:after="0" w:line="276" w:lineRule="auto"/>
        <w:ind w:left="360" w:hanging="360"/>
        <w:jc w:val="both"/>
        <w:rPr>
          <w:rFonts w:eastAsia="Arial" w:cs="Arial"/>
          <w:sz w:val="24"/>
          <w:szCs w:val="24"/>
        </w:rPr>
      </w:pPr>
      <w:r w:rsidRPr="00DF442E">
        <w:rPr>
          <w:sz w:val="24"/>
          <w:szCs w:val="24"/>
        </w:rPr>
        <w:lastRenderedPageBreak/>
        <w:t xml:space="preserve">Periodontal management requires full charting and initial </w:t>
      </w:r>
      <w:proofErr w:type="spellStart"/>
      <w:r w:rsidRPr="00DF442E">
        <w:rPr>
          <w:sz w:val="24"/>
          <w:szCs w:val="24"/>
        </w:rPr>
        <w:t>supragingival</w:t>
      </w:r>
      <w:proofErr w:type="spellEnd"/>
      <w:r w:rsidRPr="00DF442E">
        <w:rPr>
          <w:sz w:val="24"/>
          <w:szCs w:val="24"/>
        </w:rPr>
        <w:t xml:space="preserve"> debridement by the hygienist. A specialist periodontist referral is included as appropriate.</w:t>
      </w:r>
    </w:p>
    <w:p w14:paraId="3F93BE31" w14:textId="4124F451" w:rsidR="002750DF" w:rsidRPr="00DF442E" w:rsidRDefault="00AB1B7E" w:rsidP="00DF442E">
      <w:pPr>
        <w:pStyle w:val="ListParagraph"/>
        <w:numPr>
          <w:ilvl w:val="0"/>
          <w:numId w:val="22"/>
        </w:numPr>
        <w:tabs>
          <w:tab w:val="num" w:pos="360"/>
        </w:tabs>
        <w:spacing w:after="0" w:line="276" w:lineRule="auto"/>
        <w:ind w:left="360" w:hanging="360"/>
        <w:jc w:val="both"/>
        <w:rPr>
          <w:rFonts w:eastAsia="Arial" w:cs="Arial"/>
          <w:sz w:val="24"/>
          <w:szCs w:val="24"/>
        </w:rPr>
      </w:pPr>
      <w:r w:rsidRPr="00DF442E">
        <w:rPr>
          <w:sz w:val="24"/>
          <w:szCs w:val="24"/>
        </w:rPr>
        <w:t xml:space="preserve">Caries control: The dental practitioner may choose </w:t>
      </w:r>
      <w:proofErr w:type="spellStart"/>
      <w:r w:rsidRPr="00DF442E">
        <w:rPr>
          <w:sz w:val="24"/>
          <w:szCs w:val="24"/>
        </w:rPr>
        <w:t>stabilisation</w:t>
      </w:r>
      <w:proofErr w:type="spellEnd"/>
      <w:r w:rsidRPr="00DF442E">
        <w:rPr>
          <w:sz w:val="24"/>
          <w:szCs w:val="24"/>
        </w:rPr>
        <w:t xml:space="preserve"> of active carious lesions via At</w:t>
      </w:r>
      <w:r w:rsidR="00E34FF1" w:rsidRPr="00DF442E">
        <w:rPr>
          <w:sz w:val="24"/>
          <w:szCs w:val="24"/>
        </w:rPr>
        <w:t xml:space="preserve">raumatic Restorative Treatment - </w:t>
      </w:r>
      <w:r w:rsidRPr="00DF442E">
        <w:rPr>
          <w:sz w:val="24"/>
          <w:szCs w:val="24"/>
        </w:rPr>
        <w:t>ART</w:t>
      </w:r>
      <w:r w:rsidR="00E34FF1" w:rsidRPr="00DF442E">
        <w:rPr>
          <w:sz w:val="24"/>
          <w:szCs w:val="24"/>
        </w:rPr>
        <w:t xml:space="preserve"> </w:t>
      </w:r>
      <w:r w:rsidRPr="00DF442E">
        <w:rPr>
          <w:sz w:val="24"/>
          <w:szCs w:val="24"/>
        </w:rPr>
        <w:t xml:space="preserve"> and/or application of silver diamine fluoride (SDF) during this initial preventive phase.</w:t>
      </w:r>
    </w:p>
    <w:p w14:paraId="21F42210" w14:textId="77777777" w:rsidR="002750DF" w:rsidRPr="00DF442E" w:rsidRDefault="00AB1B7E" w:rsidP="00DF442E">
      <w:pPr>
        <w:pStyle w:val="ListParagraph"/>
        <w:numPr>
          <w:ilvl w:val="0"/>
          <w:numId w:val="23"/>
        </w:numPr>
        <w:tabs>
          <w:tab w:val="num" w:pos="360"/>
        </w:tabs>
        <w:spacing w:after="0" w:line="276" w:lineRule="auto"/>
        <w:ind w:left="360" w:hanging="360"/>
        <w:jc w:val="both"/>
        <w:rPr>
          <w:rFonts w:eastAsia="Arial" w:cs="Arial"/>
          <w:sz w:val="24"/>
          <w:szCs w:val="24"/>
        </w:rPr>
      </w:pPr>
      <w:r w:rsidRPr="00DF442E">
        <w:rPr>
          <w:sz w:val="24"/>
          <w:szCs w:val="24"/>
        </w:rPr>
        <w:t>The OHE reviews the client for ongoing dietary analysis and nutritional support and when plaque scores meet minimum standards refers to the dental practitioner.</w:t>
      </w:r>
    </w:p>
    <w:p w14:paraId="2DCB857F" w14:textId="0BD9DA1E" w:rsidR="002750DF" w:rsidRPr="00DF442E" w:rsidRDefault="00AB1B7E" w:rsidP="00DF442E">
      <w:pPr>
        <w:pStyle w:val="ListParagraph"/>
        <w:numPr>
          <w:ilvl w:val="0"/>
          <w:numId w:val="24"/>
        </w:numPr>
        <w:tabs>
          <w:tab w:val="num" w:pos="360"/>
        </w:tabs>
        <w:spacing w:after="0" w:line="276" w:lineRule="auto"/>
        <w:ind w:left="360" w:hanging="360"/>
        <w:jc w:val="both"/>
        <w:rPr>
          <w:rFonts w:eastAsia="Arial" w:cs="Arial"/>
          <w:sz w:val="24"/>
          <w:szCs w:val="24"/>
        </w:rPr>
      </w:pPr>
      <w:r w:rsidRPr="00DF442E">
        <w:rPr>
          <w:sz w:val="24"/>
          <w:szCs w:val="24"/>
        </w:rPr>
        <w:t>Restorative and prosthetic phases. The dental practitioner has the option to return the client to the OHE for further visits or can opt to continue to finish depending on client’</w:t>
      </w:r>
      <w:r w:rsidR="00C72F65">
        <w:rPr>
          <w:sz w:val="24"/>
          <w:szCs w:val="24"/>
        </w:rPr>
        <w:t>s compliance.</w:t>
      </w:r>
    </w:p>
    <w:p w14:paraId="73CD3020" w14:textId="77777777" w:rsidR="002750DF" w:rsidRPr="00C72F65" w:rsidRDefault="00AB1B7E" w:rsidP="00DF442E">
      <w:pPr>
        <w:pStyle w:val="ListParagraph"/>
        <w:numPr>
          <w:ilvl w:val="0"/>
          <w:numId w:val="25"/>
        </w:numPr>
        <w:tabs>
          <w:tab w:val="num" w:pos="360"/>
        </w:tabs>
        <w:spacing w:after="0" w:line="276" w:lineRule="auto"/>
        <w:ind w:left="360" w:hanging="360"/>
        <w:jc w:val="both"/>
        <w:rPr>
          <w:rFonts w:eastAsia="Arial" w:cs="Arial"/>
          <w:sz w:val="24"/>
          <w:szCs w:val="24"/>
        </w:rPr>
      </w:pPr>
      <w:r w:rsidRPr="00DF442E">
        <w:rPr>
          <w:sz w:val="24"/>
          <w:szCs w:val="24"/>
        </w:rPr>
        <w:t>Further reviews take place with the OHE and/or short recall with the dental practitioner.</w:t>
      </w:r>
    </w:p>
    <w:p w14:paraId="3F916EDD" w14:textId="77777777" w:rsidR="00C72F65" w:rsidRPr="00DF442E" w:rsidRDefault="00C72F65" w:rsidP="00C72F65">
      <w:pPr>
        <w:pStyle w:val="ListParagraph"/>
        <w:spacing w:after="0" w:line="276" w:lineRule="auto"/>
        <w:ind w:left="360"/>
        <w:jc w:val="both"/>
        <w:rPr>
          <w:rFonts w:eastAsia="Arial" w:cs="Arial"/>
          <w:sz w:val="24"/>
          <w:szCs w:val="24"/>
        </w:rPr>
      </w:pPr>
    </w:p>
    <w:p w14:paraId="21BC3769" w14:textId="77777777" w:rsidR="002750DF" w:rsidRPr="00DF442E" w:rsidRDefault="00AB1B7E" w:rsidP="00DF442E">
      <w:pPr>
        <w:pStyle w:val="Body"/>
        <w:spacing w:after="0" w:line="276" w:lineRule="auto"/>
        <w:jc w:val="both"/>
        <w:rPr>
          <w:rFonts w:eastAsia="Arial" w:cs="Arial"/>
          <w:b/>
          <w:bCs/>
          <w:sz w:val="24"/>
          <w:szCs w:val="24"/>
        </w:rPr>
      </w:pPr>
      <w:r w:rsidRPr="00DF442E">
        <w:rPr>
          <w:b/>
          <w:bCs/>
          <w:sz w:val="24"/>
          <w:szCs w:val="24"/>
          <w:lang w:val="en-US"/>
        </w:rPr>
        <w:t xml:space="preserve"> High Caries/ Low Perio Management</w:t>
      </w:r>
      <w:r w:rsidRPr="00DF442E">
        <w:rPr>
          <w:b/>
          <w:bCs/>
          <w:sz w:val="24"/>
          <w:szCs w:val="24"/>
        </w:rPr>
        <w:t xml:space="preserve"> (C1P2)</w:t>
      </w:r>
    </w:p>
    <w:p w14:paraId="4CA66D51" w14:textId="77777777" w:rsidR="002750DF" w:rsidRPr="00DF442E" w:rsidRDefault="00AB1B7E" w:rsidP="00DF442E">
      <w:pPr>
        <w:pStyle w:val="ListParagraph"/>
        <w:numPr>
          <w:ilvl w:val="0"/>
          <w:numId w:val="26"/>
        </w:numPr>
        <w:tabs>
          <w:tab w:val="num" w:pos="360"/>
        </w:tabs>
        <w:spacing w:after="0" w:line="276" w:lineRule="auto"/>
        <w:ind w:left="360" w:hanging="360"/>
        <w:jc w:val="both"/>
        <w:rPr>
          <w:rFonts w:eastAsia="Arial" w:cs="Arial"/>
          <w:sz w:val="24"/>
          <w:szCs w:val="24"/>
        </w:rPr>
      </w:pPr>
      <w:r w:rsidRPr="00DF442E">
        <w:rPr>
          <w:sz w:val="24"/>
          <w:szCs w:val="24"/>
        </w:rPr>
        <w:t>Preventive Phase: The OHE manages the oral hygiene and diet risk factors. An oral hygiene plan is developed with the client.</w:t>
      </w:r>
    </w:p>
    <w:p w14:paraId="27BCA2C8" w14:textId="77777777" w:rsidR="002750DF" w:rsidRPr="00DF442E" w:rsidRDefault="00AB1B7E" w:rsidP="00DF442E">
      <w:pPr>
        <w:pStyle w:val="ListParagraph"/>
        <w:numPr>
          <w:ilvl w:val="0"/>
          <w:numId w:val="27"/>
        </w:numPr>
        <w:tabs>
          <w:tab w:val="num" w:pos="360"/>
        </w:tabs>
        <w:spacing w:after="0" w:line="276" w:lineRule="auto"/>
        <w:ind w:left="360" w:hanging="360"/>
        <w:jc w:val="both"/>
        <w:rPr>
          <w:rFonts w:eastAsia="Arial" w:cs="Arial"/>
          <w:sz w:val="24"/>
          <w:szCs w:val="24"/>
        </w:rPr>
      </w:pPr>
      <w:r w:rsidRPr="00DF442E">
        <w:rPr>
          <w:sz w:val="24"/>
          <w:szCs w:val="24"/>
        </w:rPr>
        <w:t xml:space="preserve">Caries control: Dental Operator may choose </w:t>
      </w:r>
      <w:proofErr w:type="spellStart"/>
      <w:r w:rsidRPr="00DF442E">
        <w:rPr>
          <w:sz w:val="24"/>
          <w:szCs w:val="24"/>
        </w:rPr>
        <w:t>stabilisation</w:t>
      </w:r>
      <w:proofErr w:type="spellEnd"/>
      <w:r w:rsidRPr="00DF442E">
        <w:rPr>
          <w:sz w:val="24"/>
          <w:szCs w:val="24"/>
        </w:rPr>
        <w:t xml:space="preserve">, ART, </w:t>
      </w:r>
      <w:proofErr w:type="spellStart"/>
      <w:r w:rsidRPr="00DF442E">
        <w:rPr>
          <w:sz w:val="24"/>
          <w:szCs w:val="24"/>
        </w:rPr>
        <w:t>SDF</w:t>
      </w:r>
      <w:proofErr w:type="spellEnd"/>
      <w:r w:rsidRPr="00DF442E">
        <w:rPr>
          <w:sz w:val="24"/>
          <w:szCs w:val="24"/>
        </w:rPr>
        <w:t xml:space="preserve"> during the initial preventive phase.</w:t>
      </w:r>
    </w:p>
    <w:p w14:paraId="0ABD8AC8" w14:textId="77777777" w:rsidR="002750DF" w:rsidRPr="00DF442E" w:rsidRDefault="00AB1B7E" w:rsidP="00DF442E">
      <w:pPr>
        <w:pStyle w:val="ListParagraph"/>
        <w:numPr>
          <w:ilvl w:val="0"/>
          <w:numId w:val="28"/>
        </w:numPr>
        <w:tabs>
          <w:tab w:val="num" w:pos="360"/>
        </w:tabs>
        <w:spacing w:after="0" w:line="276" w:lineRule="auto"/>
        <w:ind w:left="360" w:hanging="360"/>
        <w:jc w:val="both"/>
        <w:rPr>
          <w:rFonts w:eastAsia="Arial" w:cs="Arial"/>
          <w:sz w:val="24"/>
          <w:szCs w:val="24"/>
        </w:rPr>
      </w:pPr>
      <w:r w:rsidRPr="00DF442E">
        <w:rPr>
          <w:sz w:val="24"/>
          <w:szCs w:val="24"/>
        </w:rPr>
        <w:t>The OHE reviews client for ongoing dietary analysis and nutritional support and when plaque scores meet minimum standards refers to the dental practitioner.</w:t>
      </w:r>
    </w:p>
    <w:p w14:paraId="2481D002" w14:textId="283924F2" w:rsidR="002750DF" w:rsidRPr="00DF442E" w:rsidRDefault="00AB1B7E" w:rsidP="00DF442E">
      <w:pPr>
        <w:pStyle w:val="ListParagraph"/>
        <w:numPr>
          <w:ilvl w:val="0"/>
          <w:numId w:val="29"/>
        </w:numPr>
        <w:tabs>
          <w:tab w:val="num" w:pos="360"/>
        </w:tabs>
        <w:spacing w:after="0" w:line="276" w:lineRule="auto"/>
        <w:ind w:left="360" w:hanging="360"/>
        <w:rPr>
          <w:rFonts w:eastAsia="Arial" w:cs="Arial"/>
          <w:sz w:val="24"/>
          <w:szCs w:val="24"/>
        </w:rPr>
      </w:pPr>
      <w:r w:rsidRPr="00DF442E">
        <w:rPr>
          <w:sz w:val="24"/>
          <w:szCs w:val="24"/>
        </w:rPr>
        <w:t>Restorative and prosthetic phases. The dental practitioner has the option to return the client to the OHE for further visits or</w:t>
      </w:r>
      <w:r w:rsidR="00C72F65">
        <w:rPr>
          <w:sz w:val="24"/>
          <w:szCs w:val="24"/>
        </w:rPr>
        <w:t xml:space="preserve"> can opt to continue to finish</w:t>
      </w:r>
    </w:p>
    <w:p w14:paraId="0F2CD6D7" w14:textId="10B473FA" w:rsidR="002750DF" w:rsidRPr="00C72F65" w:rsidRDefault="00AB1B7E" w:rsidP="00D877CB">
      <w:pPr>
        <w:pStyle w:val="ListParagraph"/>
        <w:numPr>
          <w:ilvl w:val="0"/>
          <w:numId w:val="30"/>
        </w:numPr>
        <w:tabs>
          <w:tab w:val="num" w:pos="360"/>
        </w:tabs>
        <w:spacing w:after="0" w:line="276" w:lineRule="auto"/>
        <w:ind w:left="360" w:hanging="360"/>
        <w:jc w:val="both"/>
        <w:rPr>
          <w:rFonts w:eastAsia="Arial" w:cs="Arial"/>
          <w:sz w:val="24"/>
          <w:szCs w:val="24"/>
        </w:rPr>
      </w:pPr>
      <w:r w:rsidRPr="00C72F65">
        <w:rPr>
          <w:sz w:val="24"/>
          <w:szCs w:val="24"/>
        </w:rPr>
        <w:t>Further reviews take place with the OHE and/or short recall with the dental practitioner.</w:t>
      </w:r>
      <w:r w:rsidRPr="00C72F65">
        <w:rPr>
          <w:sz w:val="24"/>
          <w:szCs w:val="24"/>
        </w:rPr>
        <w:br/>
      </w:r>
    </w:p>
    <w:p w14:paraId="463AA755" w14:textId="77777777" w:rsidR="002750DF" w:rsidRPr="00DF442E" w:rsidRDefault="00AB1B7E" w:rsidP="00DF442E">
      <w:pPr>
        <w:pStyle w:val="Body"/>
        <w:spacing w:after="0" w:line="276" w:lineRule="auto"/>
        <w:jc w:val="both"/>
        <w:rPr>
          <w:rFonts w:eastAsia="Arial" w:cs="Arial"/>
          <w:b/>
          <w:bCs/>
          <w:sz w:val="24"/>
          <w:szCs w:val="24"/>
        </w:rPr>
      </w:pPr>
      <w:r w:rsidRPr="00DF442E">
        <w:rPr>
          <w:b/>
          <w:bCs/>
          <w:sz w:val="24"/>
          <w:szCs w:val="24"/>
          <w:lang w:val="en-US"/>
        </w:rPr>
        <w:t>Low Caries/ High Perio Management</w:t>
      </w:r>
      <w:r w:rsidRPr="00DF442E">
        <w:rPr>
          <w:b/>
          <w:bCs/>
          <w:sz w:val="24"/>
          <w:szCs w:val="24"/>
        </w:rPr>
        <w:t xml:space="preserve"> (C2P1)</w:t>
      </w:r>
    </w:p>
    <w:p w14:paraId="53324EAE" w14:textId="77777777" w:rsidR="002750DF" w:rsidRPr="00DF442E" w:rsidRDefault="00AB1B7E" w:rsidP="00DF442E">
      <w:pPr>
        <w:pStyle w:val="ListParagraph"/>
        <w:numPr>
          <w:ilvl w:val="0"/>
          <w:numId w:val="31"/>
        </w:numPr>
        <w:tabs>
          <w:tab w:val="num" w:pos="360"/>
        </w:tabs>
        <w:spacing w:after="0" w:line="276" w:lineRule="auto"/>
        <w:ind w:left="360" w:hanging="360"/>
        <w:jc w:val="both"/>
        <w:rPr>
          <w:rFonts w:eastAsia="Arial" w:cs="Arial"/>
          <w:sz w:val="24"/>
          <w:szCs w:val="24"/>
        </w:rPr>
      </w:pPr>
      <w:r w:rsidRPr="00DF442E">
        <w:rPr>
          <w:sz w:val="24"/>
          <w:szCs w:val="24"/>
        </w:rPr>
        <w:t>Any routine restorative work is performed.</w:t>
      </w:r>
    </w:p>
    <w:p w14:paraId="4C014B24" w14:textId="77777777" w:rsidR="002750DF" w:rsidRPr="00DF442E" w:rsidRDefault="00AB1B7E" w:rsidP="00DF442E">
      <w:pPr>
        <w:pStyle w:val="ListParagraph"/>
        <w:numPr>
          <w:ilvl w:val="0"/>
          <w:numId w:val="32"/>
        </w:numPr>
        <w:tabs>
          <w:tab w:val="num" w:pos="360"/>
        </w:tabs>
        <w:spacing w:after="0" w:line="276" w:lineRule="auto"/>
        <w:ind w:left="360" w:hanging="360"/>
        <w:jc w:val="both"/>
        <w:rPr>
          <w:rFonts w:eastAsia="Arial" w:cs="Arial"/>
          <w:sz w:val="24"/>
          <w:szCs w:val="24"/>
        </w:rPr>
      </w:pPr>
      <w:r w:rsidRPr="00DF442E">
        <w:rPr>
          <w:sz w:val="24"/>
          <w:szCs w:val="24"/>
        </w:rPr>
        <w:t>Preventive Phase: managed by the OHE.</w:t>
      </w:r>
    </w:p>
    <w:p w14:paraId="68AC8D6D" w14:textId="77777777" w:rsidR="002750DF" w:rsidRPr="00DF442E" w:rsidRDefault="00AB1B7E" w:rsidP="00DF442E">
      <w:pPr>
        <w:pStyle w:val="ListParagraph"/>
        <w:numPr>
          <w:ilvl w:val="0"/>
          <w:numId w:val="33"/>
        </w:numPr>
        <w:tabs>
          <w:tab w:val="num" w:pos="360"/>
        </w:tabs>
        <w:spacing w:after="0" w:line="276" w:lineRule="auto"/>
        <w:ind w:left="360" w:hanging="360"/>
        <w:jc w:val="both"/>
        <w:rPr>
          <w:rFonts w:eastAsia="Arial" w:cs="Arial"/>
          <w:sz w:val="24"/>
          <w:szCs w:val="24"/>
        </w:rPr>
      </w:pPr>
      <w:r w:rsidRPr="00DF442E">
        <w:rPr>
          <w:sz w:val="24"/>
          <w:szCs w:val="24"/>
        </w:rPr>
        <w:t xml:space="preserve">Periodontal management requires full charting and initial </w:t>
      </w:r>
      <w:proofErr w:type="spellStart"/>
      <w:r w:rsidRPr="00DF442E">
        <w:rPr>
          <w:sz w:val="24"/>
          <w:szCs w:val="24"/>
        </w:rPr>
        <w:t>supragingival</w:t>
      </w:r>
      <w:proofErr w:type="spellEnd"/>
      <w:r w:rsidRPr="00DF442E">
        <w:rPr>
          <w:sz w:val="24"/>
          <w:szCs w:val="24"/>
        </w:rPr>
        <w:t xml:space="preserve"> debridement by the hygienist. A specialist periodontist referral is included as appropriate.</w:t>
      </w:r>
    </w:p>
    <w:p w14:paraId="3EBA7746" w14:textId="77777777" w:rsidR="002750DF" w:rsidRPr="00DF442E" w:rsidRDefault="00AB1B7E" w:rsidP="00DF442E">
      <w:pPr>
        <w:pStyle w:val="ListParagraph"/>
        <w:numPr>
          <w:ilvl w:val="0"/>
          <w:numId w:val="34"/>
        </w:numPr>
        <w:tabs>
          <w:tab w:val="num" w:pos="360"/>
        </w:tabs>
        <w:spacing w:after="0" w:line="276" w:lineRule="auto"/>
        <w:ind w:left="360" w:hanging="360"/>
        <w:jc w:val="both"/>
        <w:rPr>
          <w:rFonts w:eastAsia="Arial" w:cs="Arial"/>
          <w:sz w:val="24"/>
          <w:szCs w:val="24"/>
        </w:rPr>
      </w:pPr>
      <w:r w:rsidRPr="00DF442E">
        <w:rPr>
          <w:sz w:val="24"/>
          <w:szCs w:val="24"/>
        </w:rPr>
        <w:t>Further reviews take place with OHE and/or short recall with the dental practitioner.</w:t>
      </w:r>
    </w:p>
    <w:p w14:paraId="127E88C2" w14:textId="77777777" w:rsidR="002750DF" w:rsidRPr="00DF442E" w:rsidRDefault="002750DF" w:rsidP="00DF442E">
      <w:pPr>
        <w:pStyle w:val="ListParagraph"/>
        <w:spacing w:after="0" w:line="276" w:lineRule="auto"/>
        <w:ind w:left="360"/>
        <w:jc w:val="both"/>
        <w:rPr>
          <w:rFonts w:eastAsia="Arial" w:cs="Arial"/>
          <w:sz w:val="24"/>
          <w:szCs w:val="24"/>
        </w:rPr>
      </w:pPr>
    </w:p>
    <w:p w14:paraId="1B51232A" w14:textId="77777777" w:rsidR="002750DF" w:rsidRPr="00DF442E" w:rsidRDefault="00AB1B7E" w:rsidP="00DF442E">
      <w:pPr>
        <w:pStyle w:val="Body"/>
        <w:spacing w:after="0" w:line="276" w:lineRule="auto"/>
        <w:jc w:val="both"/>
        <w:rPr>
          <w:rFonts w:eastAsia="Arial" w:cs="Arial"/>
          <w:b/>
          <w:bCs/>
          <w:sz w:val="24"/>
          <w:szCs w:val="24"/>
        </w:rPr>
      </w:pPr>
      <w:r w:rsidRPr="00DF442E">
        <w:rPr>
          <w:b/>
          <w:bCs/>
          <w:sz w:val="24"/>
          <w:szCs w:val="24"/>
          <w:lang w:val="en-US"/>
        </w:rPr>
        <w:t>Low Caries/ Low Perio Management</w:t>
      </w:r>
      <w:r w:rsidRPr="00DF442E">
        <w:rPr>
          <w:b/>
          <w:bCs/>
          <w:sz w:val="24"/>
          <w:szCs w:val="24"/>
        </w:rPr>
        <w:t xml:space="preserve"> (C2P2)</w:t>
      </w:r>
    </w:p>
    <w:p w14:paraId="12BECDF0" w14:textId="77777777" w:rsidR="002750DF" w:rsidRPr="00DF442E" w:rsidRDefault="00AB1B7E" w:rsidP="00DF442E">
      <w:pPr>
        <w:pStyle w:val="ListParagraph"/>
        <w:numPr>
          <w:ilvl w:val="0"/>
          <w:numId w:val="35"/>
        </w:numPr>
        <w:tabs>
          <w:tab w:val="num" w:pos="360"/>
        </w:tabs>
        <w:spacing w:after="0" w:line="276" w:lineRule="auto"/>
        <w:ind w:left="360" w:hanging="360"/>
        <w:jc w:val="both"/>
        <w:rPr>
          <w:rFonts w:eastAsia="Arial" w:cs="Arial"/>
          <w:sz w:val="24"/>
          <w:szCs w:val="24"/>
        </w:rPr>
      </w:pPr>
      <w:r w:rsidRPr="00DF442E">
        <w:rPr>
          <w:sz w:val="24"/>
          <w:szCs w:val="24"/>
        </w:rPr>
        <w:t>The dental practitioner develops a management plan with the client.</w:t>
      </w:r>
    </w:p>
    <w:p w14:paraId="3CEF3532" w14:textId="0D1EDF26" w:rsidR="00F962E4" w:rsidRDefault="00F962E4">
      <w:pPr>
        <w:rPr>
          <w:rFonts w:ascii="Arial" w:eastAsia="Arial" w:hAnsi="Arial" w:cs="Arial"/>
          <w:color w:val="000000"/>
          <w:sz w:val="22"/>
          <w:szCs w:val="22"/>
          <w:u w:color="000000"/>
          <w:lang w:val="en-AU" w:eastAsia="en-AU"/>
        </w:rPr>
      </w:pPr>
      <w:r>
        <w:rPr>
          <w:rFonts w:ascii="Arial" w:eastAsia="Arial" w:hAnsi="Arial" w:cs="Arial"/>
        </w:rPr>
        <w:br w:type="page"/>
      </w:r>
    </w:p>
    <w:p w14:paraId="74635B51" w14:textId="77777777" w:rsidR="002750DF" w:rsidRDefault="002750DF">
      <w:pPr>
        <w:pStyle w:val="Body"/>
        <w:spacing w:after="0" w:line="360" w:lineRule="auto"/>
        <w:rPr>
          <w:rFonts w:ascii="Arial" w:eastAsia="Arial" w:hAnsi="Arial" w:cs="Arial"/>
        </w:rPr>
      </w:pPr>
    </w:p>
    <w:p w14:paraId="602EAEFB" w14:textId="77777777" w:rsidR="002750DF" w:rsidRDefault="00AB1B7E">
      <w:pPr>
        <w:pStyle w:val="Body"/>
        <w:spacing w:after="0" w:line="360" w:lineRule="auto"/>
        <w:rPr>
          <w:rFonts w:ascii="Arial" w:eastAsia="Arial" w:hAnsi="Arial" w:cs="Arial"/>
        </w:rPr>
      </w:pPr>
      <w:r>
        <w:rPr>
          <w:rFonts w:ascii="Arial"/>
        </w:rPr>
        <w:t>Table 2: Management strategies by risk status.</w:t>
      </w:r>
    </w:p>
    <w:tbl>
      <w:tblPr>
        <w:tblW w:w="10357" w:type="dxa"/>
        <w:tblInd w:w="-6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7"/>
        <w:gridCol w:w="1418"/>
        <w:gridCol w:w="1560"/>
        <w:gridCol w:w="1983"/>
        <w:gridCol w:w="1843"/>
        <w:gridCol w:w="1275"/>
        <w:gridCol w:w="1431"/>
      </w:tblGrid>
      <w:tr w:rsidR="002750DF" w14:paraId="125B9646" w14:textId="77777777" w:rsidTr="00127093">
        <w:trPr>
          <w:trHeight w:val="475"/>
        </w:trPr>
        <w:tc>
          <w:tcPr>
            <w:tcW w:w="847"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79FBB93C" w14:textId="77777777" w:rsidR="002750DF" w:rsidRDefault="00AB1B7E">
            <w:pPr>
              <w:pStyle w:val="Body"/>
            </w:pPr>
            <w:r>
              <w:rPr>
                <w:rFonts w:ascii="Arial"/>
                <w:b/>
                <w:bCs/>
                <w:sz w:val="20"/>
                <w:szCs w:val="20"/>
                <w:lang w:val="en-US"/>
              </w:rPr>
              <w:t>Code</w:t>
            </w:r>
          </w:p>
        </w:tc>
        <w:tc>
          <w:tcPr>
            <w:tcW w:w="1418"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48FE1BC5" w14:textId="77777777" w:rsidR="002750DF" w:rsidRDefault="00AB1B7E">
            <w:pPr>
              <w:pStyle w:val="Body"/>
              <w:spacing w:after="0" w:line="240" w:lineRule="auto"/>
            </w:pPr>
            <w:r>
              <w:rPr>
                <w:rFonts w:ascii="Arial"/>
                <w:b/>
                <w:bCs/>
                <w:sz w:val="20"/>
                <w:szCs w:val="20"/>
                <w:lang w:val="en-US"/>
              </w:rPr>
              <w:t>Description</w:t>
            </w:r>
          </w:p>
        </w:tc>
        <w:tc>
          <w:tcPr>
            <w:tcW w:w="1560"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577C40D6" w14:textId="77777777" w:rsidR="002750DF" w:rsidRDefault="00AB1B7E">
            <w:pPr>
              <w:pStyle w:val="Body"/>
              <w:spacing w:after="200" w:line="276" w:lineRule="auto"/>
            </w:pPr>
            <w:r>
              <w:rPr>
                <w:rFonts w:ascii="Arial"/>
                <w:b/>
                <w:bCs/>
                <w:sz w:val="20"/>
                <w:szCs w:val="20"/>
                <w:lang w:val="en-US"/>
              </w:rPr>
              <w:t>OH Educator</w:t>
            </w:r>
          </w:p>
        </w:tc>
        <w:tc>
          <w:tcPr>
            <w:tcW w:w="1983"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54D03DA3" w14:textId="77777777" w:rsidR="002750DF" w:rsidRDefault="00AB1B7E">
            <w:pPr>
              <w:pStyle w:val="Body"/>
              <w:spacing w:after="0" w:line="240" w:lineRule="auto"/>
            </w:pPr>
            <w:r>
              <w:rPr>
                <w:rFonts w:ascii="Arial"/>
                <w:b/>
                <w:bCs/>
                <w:sz w:val="20"/>
                <w:szCs w:val="20"/>
                <w:lang w:val="en-US"/>
              </w:rPr>
              <w:t>Restorative</w:t>
            </w:r>
          </w:p>
        </w:tc>
        <w:tc>
          <w:tcPr>
            <w:tcW w:w="1843"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53D985A2" w14:textId="136A56B3" w:rsidR="002750DF" w:rsidRDefault="00AB1B7E" w:rsidP="00EE6E91">
            <w:pPr>
              <w:pStyle w:val="Body"/>
              <w:spacing w:after="0" w:line="240" w:lineRule="auto"/>
            </w:pPr>
            <w:r>
              <w:rPr>
                <w:rFonts w:ascii="Arial"/>
                <w:b/>
                <w:bCs/>
                <w:sz w:val="20"/>
                <w:szCs w:val="20"/>
                <w:lang w:val="en-US"/>
              </w:rPr>
              <w:t>Perio</w:t>
            </w:r>
            <w:r w:rsidR="008A5EB9">
              <w:rPr>
                <w:rFonts w:ascii="Arial"/>
                <w:b/>
                <w:bCs/>
                <w:sz w:val="20"/>
                <w:szCs w:val="20"/>
                <w:lang w:val="en-US"/>
              </w:rPr>
              <w:t>dontal</w:t>
            </w:r>
            <w:r>
              <w:rPr>
                <w:rFonts w:ascii="Arial"/>
                <w:b/>
                <w:bCs/>
                <w:sz w:val="20"/>
                <w:szCs w:val="20"/>
                <w:lang w:val="en-US"/>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5AE87583" w14:textId="77777777" w:rsidR="002750DF" w:rsidRDefault="00AB1B7E">
            <w:pPr>
              <w:pStyle w:val="Body"/>
              <w:spacing w:after="0" w:line="240" w:lineRule="auto"/>
            </w:pPr>
            <w:r>
              <w:rPr>
                <w:rFonts w:ascii="Arial"/>
                <w:b/>
                <w:bCs/>
                <w:sz w:val="20"/>
                <w:szCs w:val="20"/>
                <w:lang w:val="en-US"/>
              </w:rPr>
              <w:t>Prosthetic</w:t>
            </w:r>
          </w:p>
        </w:tc>
        <w:tc>
          <w:tcPr>
            <w:tcW w:w="1431"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22F0FE61" w14:textId="77777777" w:rsidR="002750DF" w:rsidRDefault="00AB1B7E">
            <w:pPr>
              <w:pStyle w:val="Body"/>
              <w:spacing w:after="0" w:line="240" w:lineRule="auto"/>
            </w:pPr>
            <w:r>
              <w:rPr>
                <w:rFonts w:ascii="Arial"/>
                <w:b/>
                <w:bCs/>
                <w:sz w:val="20"/>
                <w:szCs w:val="20"/>
                <w:lang w:val="en-US"/>
              </w:rPr>
              <w:t>Recall</w:t>
            </w:r>
          </w:p>
        </w:tc>
      </w:tr>
      <w:tr w:rsidR="002750DF" w14:paraId="2137AAC0" w14:textId="77777777" w:rsidTr="00127093">
        <w:trPr>
          <w:trHeight w:val="443"/>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A0B666" w14:textId="77777777" w:rsidR="002750DF" w:rsidRDefault="00AB1B7E">
            <w:pPr>
              <w:pStyle w:val="Body"/>
              <w:spacing w:after="0" w:line="240" w:lineRule="auto"/>
              <w:jc w:val="center"/>
            </w:pPr>
            <w:r>
              <w:rPr>
                <w:rFonts w:ascii="Arial"/>
                <w:b/>
                <w:bCs/>
                <w:sz w:val="20"/>
                <w:szCs w:val="20"/>
                <w:lang w:val="en-US"/>
              </w:rPr>
              <w:t>CE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823F05" w14:textId="77777777" w:rsidR="002750DF" w:rsidRDefault="00AB1B7E">
            <w:pPr>
              <w:pStyle w:val="Body"/>
              <w:spacing w:after="0" w:line="240" w:lineRule="auto"/>
            </w:pPr>
            <w:r>
              <w:rPr>
                <w:rFonts w:ascii="Arial"/>
                <w:b/>
                <w:bCs/>
                <w:sz w:val="20"/>
                <w:szCs w:val="20"/>
                <w:lang w:val="en-US"/>
              </w:rPr>
              <w:t>Extreme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B88618" w14:textId="77777777" w:rsidR="002750DF" w:rsidRDefault="00AB1B7E">
            <w:pPr>
              <w:pStyle w:val="Body"/>
              <w:spacing w:after="0" w:line="240" w:lineRule="auto"/>
            </w:pPr>
            <w:r>
              <w:rPr>
                <w:rFonts w:ascii="Arial"/>
                <w:sz w:val="20"/>
                <w:szCs w:val="20"/>
                <w:lang w:val="en-US"/>
              </w:rPr>
              <w:t>Depends on risk factors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FD3A69" w14:textId="77777777" w:rsidR="002750DF" w:rsidRDefault="00AB1B7E">
            <w:pPr>
              <w:pStyle w:val="Body"/>
              <w:spacing w:after="0" w:line="240" w:lineRule="auto"/>
            </w:pPr>
            <w:r>
              <w:rPr>
                <w:rFonts w:ascii="Arial"/>
                <w:sz w:val="20"/>
                <w:szCs w:val="20"/>
                <w:lang w:val="en-US"/>
              </w:rPr>
              <w:t>Caries Control/ART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B69301" w14:textId="77777777" w:rsidR="002750DF" w:rsidRDefault="00AB1B7E">
            <w:pPr>
              <w:pStyle w:val="Body"/>
              <w:spacing w:after="0" w:line="240" w:lineRule="auto"/>
            </w:pPr>
            <w:r>
              <w:rPr>
                <w:rFonts w:ascii="Arial"/>
                <w:sz w:val="20"/>
                <w:szCs w:val="20"/>
                <w:lang w:val="en-US"/>
              </w:rPr>
              <w:t>Depends on risk factors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32646F" w14:textId="77777777" w:rsidR="002750DF" w:rsidRDefault="00AB1B7E">
            <w:pPr>
              <w:pStyle w:val="Body"/>
              <w:spacing w:after="0" w:line="240" w:lineRule="auto"/>
            </w:pPr>
            <w:r>
              <w:rPr>
                <w:rFonts w:ascii="Arial"/>
                <w:sz w:val="20"/>
                <w:szCs w:val="20"/>
                <w:lang w:val="en-US"/>
              </w:rPr>
              <w:t>Full denture</w:t>
            </w: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43AC59" w14:textId="77777777" w:rsidR="002750DF" w:rsidRDefault="00AB1B7E">
            <w:pPr>
              <w:pStyle w:val="Body"/>
              <w:spacing w:after="0" w:line="240" w:lineRule="auto"/>
            </w:pPr>
            <w:r>
              <w:rPr>
                <w:rFonts w:ascii="Arial"/>
                <w:sz w:val="20"/>
                <w:szCs w:val="20"/>
                <w:lang w:val="en-US"/>
              </w:rPr>
              <w:t>Ongoing or ad hoc</w:t>
            </w:r>
          </w:p>
        </w:tc>
      </w:tr>
      <w:tr w:rsidR="002750DF" w14:paraId="7507483B" w14:textId="77777777" w:rsidTr="00127093">
        <w:trPr>
          <w:trHeight w:val="1763"/>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9E481C" w14:textId="77777777" w:rsidR="002750DF" w:rsidRDefault="002750DF">
            <w:pPr>
              <w:pStyle w:val="Body"/>
              <w:spacing w:after="0" w:line="240" w:lineRule="auto"/>
              <w:jc w:val="center"/>
              <w:rPr>
                <w:rFonts w:ascii="Arial" w:eastAsia="Arial" w:hAnsi="Arial" w:cs="Arial"/>
                <w:b/>
                <w:bCs/>
                <w:sz w:val="20"/>
                <w:szCs w:val="20"/>
                <w:lang w:val="en-US"/>
              </w:rPr>
            </w:pPr>
          </w:p>
          <w:p w14:paraId="26415B80" w14:textId="77777777" w:rsidR="002750DF" w:rsidRDefault="00AB1B7E">
            <w:pPr>
              <w:pStyle w:val="Body"/>
              <w:spacing w:after="0" w:line="240" w:lineRule="auto"/>
              <w:jc w:val="center"/>
            </w:pPr>
            <w:r>
              <w:rPr>
                <w:rFonts w:ascii="Arial"/>
                <w:b/>
                <w:bCs/>
                <w:sz w:val="20"/>
                <w:szCs w:val="20"/>
                <w:lang w:val="en-US"/>
              </w:rPr>
              <w:t>C1P1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6004C2" w14:textId="77777777" w:rsidR="002750DF" w:rsidRDefault="002750DF">
            <w:pPr>
              <w:pStyle w:val="Body"/>
              <w:spacing w:after="0" w:line="240" w:lineRule="auto"/>
              <w:rPr>
                <w:rFonts w:ascii="Arial" w:eastAsia="Arial" w:hAnsi="Arial" w:cs="Arial"/>
                <w:b/>
                <w:bCs/>
                <w:sz w:val="20"/>
                <w:szCs w:val="20"/>
                <w:lang w:val="en-US"/>
              </w:rPr>
            </w:pPr>
          </w:p>
          <w:p w14:paraId="62A35659" w14:textId="77777777" w:rsidR="002750DF" w:rsidRDefault="00AB1B7E">
            <w:pPr>
              <w:pStyle w:val="Body"/>
              <w:spacing w:after="0" w:line="240" w:lineRule="auto"/>
              <w:rPr>
                <w:rFonts w:ascii="Arial" w:eastAsia="Arial" w:hAnsi="Arial" w:cs="Arial"/>
                <w:b/>
                <w:bCs/>
                <w:sz w:val="20"/>
                <w:szCs w:val="20"/>
                <w:lang w:val="en-US"/>
              </w:rPr>
            </w:pPr>
            <w:r>
              <w:rPr>
                <w:rFonts w:ascii="Arial"/>
                <w:b/>
                <w:bCs/>
                <w:sz w:val="20"/>
                <w:szCs w:val="20"/>
                <w:lang w:val="en-US"/>
              </w:rPr>
              <w:t>High Caries</w:t>
            </w:r>
          </w:p>
          <w:p w14:paraId="2F34864D" w14:textId="77777777" w:rsidR="002750DF" w:rsidRDefault="00AB1B7E">
            <w:pPr>
              <w:pStyle w:val="Body"/>
              <w:spacing w:after="0" w:line="240" w:lineRule="auto"/>
            </w:pPr>
            <w:r>
              <w:rPr>
                <w:rFonts w:ascii="Arial"/>
                <w:b/>
                <w:bCs/>
                <w:sz w:val="20"/>
                <w:szCs w:val="20"/>
                <w:lang w:val="en-US"/>
              </w:rPr>
              <w:t>High Perio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10F604" w14:textId="77777777" w:rsidR="002750DF" w:rsidRDefault="00AB1B7E">
            <w:pPr>
              <w:pStyle w:val="Body"/>
              <w:spacing w:after="0" w:line="240" w:lineRule="auto"/>
              <w:rPr>
                <w:rFonts w:ascii="Arial" w:eastAsia="Arial" w:hAnsi="Arial" w:cs="Arial"/>
                <w:sz w:val="20"/>
                <w:szCs w:val="20"/>
                <w:lang w:val="en-US"/>
              </w:rPr>
            </w:pPr>
            <w:r>
              <w:rPr>
                <w:rFonts w:ascii="Arial"/>
                <w:sz w:val="20"/>
                <w:szCs w:val="20"/>
                <w:lang w:val="en-US"/>
              </w:rPr>
              <w:t>OH education</w:t>
            </w:r>
          </w:p>
          <w:p w14:paraId="5EBABA36" w14:textId="77777777" w:rsidR="002750DF" w:rsidRDefault="00AB1B7E">
            <w:pPr>
              <w:pStyle w:val="Body"/>
              <w:spacing w:after="0" w:line="240" w:lineRule="auto"/>
              <w:rPr>
                <w:rFonts w:ascii="Arial" w:eastAsia="Arial" w:hAnsi="Arial" w:cs="Arial"/>
                <w:sz w:val="20"/>
                <w:szCs w:val="20"/>
                <w:lang w:val="en-US"/>
              </w:rPr>
            </w:pPr>
            <w:r>
              <w:rPr>
                <w:rFonts w:ascii="Arial"/>
                <w:sz w:val="20"/>
                <w:szCs w:val="20"/>
                <w:lang w:val="en-US"/>
              </w:rPr>
              <w:t>Plaque scores</w:t>
            </w:r>
          </w:p>
          <w:p w14:paraId="3C86A3C0" w14:textId="77777777" w:rsidR="002750DF" w:rsidRDefault="00AB1B7E">
            <w:pPr>
              <w:pStyle w:val="Body"/>
              <w:spacing w:after="0" w:line="240" w:lineRule="auto"/>
              <w:rPr>
                <w:rFonts w:ascii="Arial" w:eastAsia="Arial" w:hAnsi="Arial" w:cs="Arial"/>
                <w:sz w:val="20"/>
                <w:szCs w:val="20"/>
                <w:lang w:val="en-US"/>
              </w:rPr>
            </w:pPr>
            <w:r>
              <w:rPr>
                <w:rFonts w:ascii="Arial"/>
                <w:sz w:val="20"/>
                <w:szCs w:val="20"/>
                <w:lang w:val="en-US"/>
              </w:rPr>
              <w:t>Saliva Testing</w:t>
            </w:r>
          </w:p>
          <w:p w14:paraId="1444D970" w14:textId="77777777" w:rsidR="002750DF" w:rsidRDefault="00AB1B7E">
            <w:pPr>
              <w:pStyle w:val="Body"/>
              <w:spacing w:after="0" w:line="240" w:lineRule="auto"/>
              <w:rPr>
                <w:rFonts w:ascii="Arial" w:eastAsia="Arial" w:hAnsi="Arial" w:cs="Arial"/>
                <w:sz w:val="20"/>
                <w:szCs w:val="20"/>
                <w:lang w:val="en-US"/>
              </w:rPr>
            </w:pPr>
            <w:r>
              <w:rPr>
                <w:rFonts w:ascii="Arial"/>
                <w:sz w:val="20"/>
                <w:szCs w:val="20"/>
                <w:lang w:val="en-US"/>
              </w:rPr>
              <w:t>QUIT</w:t>
            </w:r>
          </w:p>
          <w:p w14:paraId="30566B9D" w14:textId="77777777" w:rsidR="002750DF" w:rsidRDefault="00AB1B7E">
            <w:pPr>
              <w:pStyle w:val="Body"/>
              <w:spacing w:after="0" w:line="240" w:lineRule="auto"/>
            </w:pPr>
            <w:r>
              <w:rPr>
                <w:rFonts w:ascii="Arial"/>
                <w:sz w:val="20"/>
                <w:szCs w:val="20"/>
                <w:lang w:val="en-US"/>
              </w:rPr>
              <w:t>Reviews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6B3C46" w14:textId="77777777" w:rsidR="002750DF" w:rsidRDefault="00AB1B7E">
            <w:pPr>
              <w:pStyle w:val="Body"/>
              <w:spacing w:after="0" w:line="240" w:lineRule="auto"/>
              <w:rPr>
                <w:rFonts w:ascii="Arial" w:eastAsia="Arial" w:hAnsi="Arial" w:cs="Arial"/>
                <w:sz w:val="20"/>
                <w:szCs w:val="20"/>
                <w:lang w:val="en-US"/>
              </w:rPr>
            </w:pPr>
            <w:r>
              <w:rPr>
                <w:rFonts w:ascii="Arial"/>
                <w:sz w:val="20"/>
                <w:szCs w:val="20"/>
                <w:lang w:val="en-US"/>
              </w:rPr>
              <w:t>Caries Control/ART until risk reduced</w:t>
            </w:r>
          </w:p>
          <w:p w14:paraId="72F44C40" w14:textId="77777777" w:rsidR="002750DF" w:rsidRDefault="002750DF">
            <w:pPr>
              <w:pStyle w:val="Body"/>
              <w:spacing w:after="0" w:line="240" w:lineRule="auto"/>
              <w:rPr>
                <w:rFonts w:ascii="Arial" w:eastAsia="Arial" w:hAnsi="Arial" w:cs="Arial"/>
                <w:sz w:val="20"/>
                <w:szCs w:val="20"/>
                <w:lang w:val="en-US"/>
              </w:rPr>
            </w:pPr>
          </w:p>
          <w:p w14:paraId="211E3926" w14:textId="77777777" w:rsidR="002750DF" w:rsidRDefault="00AB1B7E">
            <w:pPr>
              <w:pStyle w:val="Body"/>
              <w:spacing w:after="0" w:line="240" w:lineRule="auto"/>
            </w:pPr>
            <w:r>
              <w:rPr>
                <w:rFonts w:ascii="Arial"/>
                <w:sz w:val="20"/>
                <w:szCs w:val="20"/>
                <w:lang w:val="en-US"/>
              </w:rPr>
              <w:t>Routine care  &amp; MID</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833110" w14:textId="77777777" w:rsidR="002750DF" w:rsidRDefault="00AB1B7E">
            <w:pPr>
              <w:pStyle w:val="Body"/>
              <w:spacing w:after="0" w:line="240" w:lineRule="auto"/>
              <w:rPr>
                <w:rFonts w:ascii="Arial" w:eastAsia="Arial" w:hAnsi="Arial" w:cs="Arial"/>
                <w:sz w:val="20"/>
                <w:szCs w:val="20"/>
                <w:lang w:val="en-US"/>
              </w:rPr>
            </w:pPr>
            <w:r>
              <w:rPr>
                <w:rFonts w:ascii="Arial"/>
                <w:sz w:val="20"/>
                <w:szCs w:val="20"/>
                <w:lang w:val="en-US"/>
              </w:rPr>
              <w:t>Perio Chart/OPG</w:t>
            </w:r>
          </w:p>
          <w:p w14:paraId="06FDE684" w14:textId="77777777" w:rsidR="002750DF" w:rsidRDefault="00AB1B7E">
            <w:pPr>
              <w:pStyle w:val="Body"/>
              <w:spacing w:after="0" w:line="240" w:lineRule="auto"/>
              <w:rPr>
                <w:rFonts w:ascii="Arial" w:eastAsia="Arial" w:hAnsi="Arial" w:cs="Arial"/>
                <w:sz w:val="20"/>
                <w:szCs w:val="20"/>
                <w:lang w:val="en-US"/>
              </w:rPr>
            </w:pPr>
            <w:r>
              <w:rPr>
                <w:rFonts w:ascii="Arial"/>
                <w:sz w:val="20"/>
                <w:szCs w:val="20"/>
                <w:lang w:val="en-US"/>
              </w:rPr>
              <w:t>Initial therapy</w:t>
            </w:r>
          </w:p>
          <w:p w14:paraId="5581162A" w14:textId="77777777" w:rsidR="002750DF" w:rsidRDefault="00AB1B7E">
            <w:pPr>
              <w:pStyle w:val="Body"/>
              <w:spacing w:after="0" w:line="240" w:lineRule="auto"/>
            </w:pPr>
            <w:r>
              <w:rPr>
                <w:rFonts w:ascii="Arial"/>
                <w:sz w:val="20"/>
                <w:szCs w:val="20"/>
                <w:lang w:val="en-US"/>
              </w:rPr>
              <w:t>Referral RMDH</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3C3CA5" w14:textId="77777777" w:rsidR="002750DF" w:rsidRDefault="002750DF">
            <w:pPr>
              <w:pStyle w:val="Body"/>
              <w:spacing w:after="0" w:line="240" w:lineRule="auto"/>
              <w:rPr>
                <w:rFonts w:ascii="Arial" w:eastAsia="Arial" w:hAnsi="Arial" w:cs="Arial"/>
                <w:sz w:val="20"/>
                <w:szCs w:val="20"/>
                <w:lang w:val="en-US"/>
              </w:rPr>
            </w:pPr>
          </w:p>
          <w:p w14:paraId="25EF7BA8" w14:textId="77777777" w:rsidR="002750DF" w:rsidRDefault="00AB1B7E">
            <w:pPr>
              <w:pStyle w:val="Body"/>
              <w:spacing w:after="0" w:line="240" w:lineRule="auto"/>
            </w:pPr>
            <w:r>
              <w:rPr>
                <w:rFonts w:ascii="Arial"/>
                <w:sz w:val="20"/>
                <w:szCs w:val="20"/>
                <w:lang w:val="en-US"/>
              </w:rPr>
              <w:t>Only when maintaining adequate OH</w:t>
            </w: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679D37" w14:textId="77777777" w:rsidR="002750DF" w:rsidRDefault="00AB1B7E">
            <w:pPr>
              <w:pStyle w:val="Body"/>
              <w:spacing w:after="0" w:line="240" w:lineRule="auto"/>
            </w:pPr>
            <w:r>
              <w:rPr>
                <w:rFonts w:ascii="Arial"/>
                <w:sz w:val="20"/>
                <w:szCs w:val="20"/>
                <w:lang w:val="en-US"/>
              </w:rPr>
              <w:t>6-12 months</w:t>
            </w:r>
          </w:p>
        </w:tc>
      </w:tr>
      <w:tr w:rsidR="002750DF" w14:paraId="567CF8AC" w14:textId="77777777" w:rsidTr="00127093">
        <w:trPr>
          <w:trHeight w:val="1543"/>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6AE603" w14:textId="77777777" w:rsidR="002750DF" w:rsidRDefault="002750DF">
            <w:pPr>
              <w:pStyle w:val="Body"/>
              <w:spacing w:after="0" w:line="240" w:lineRule="auto"/>
              <w:jc w:val="center"/>
              <w:rPr>
                <w:rFonts w:ascii="Arial" w:eastAsia="Arial" w:hAnsi="Arial" w:cs="Arial"/>
                <w:b/>
                <w:bCs/>
                <w:sz w:val="20"/>
                <w:szCs w:val="20"/>
                <w:lang w:val="en-US"/>
              </w:rPr>
            </w:pPr>
          </w:p>
          <w:p w14:paraId="2706CE31" w14:textId="77777777" w:rsidR="002750DF" w:rsidRDefault="00AB1B7E">
            <w:pPr>
              <w:pStyle w:val="Body"/>
              <w:spacing w:after="0" w:line="240" w:lineRule="auto"/>
              <w:jc w:val="center"/>
            </w:pPr>
            <w:r>
              <w:rPr>
                <w:rFonts w:ascii="Arial"/>
                <w:b/>
                <w:bCs/>
                <w:sz w:val="20"/>
                <w:szCs w:val="20"/>
                <w:lang w:val="en-US"/>
              </w:rPr>
              <w:t>C1P2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21041E" w14:textId="77777777" w:rsidR="002750DF" w:rsidRDefault="002750DF">
            <w:pPr>
              <w:pStyle w:val="Body"/>
              <w:spacing w:after="0" w:line="240" w:lineRule="auto"/>
              <w:rPr>
                <w:rFonts w:ascii="Arial" w:eastAsia="Arial" w:hAnsi="Arial" w:cs="Arial"/>
                <w:b/>
                <w:bCs/>
                <w:sz w:val="20"/>
                <w:szCs w:val="20"/>
                <w:lang w:val="en-US"/>
              </w:rPr>
            </w:pPr>
          </w:p>
          <w:p w14:paraId="4CA7D654" w14:textId="77777777" w:rsidR="002750DF" w:rsidRDefault="00AB1B7E">
            <w:pPr>
              <w:pStyle w:val="Body"/>
              <w:spacing w:after="0" w:line="240" w:lineRule="auto"/>
              <w:rPr>
                <w:rFonts w:ascii="Arial" w:eastAsia="Arial" w:hAnsi="Arial" w:cs="Arial"/>
                <w:b/>
                <w:bCs/>
                <w:sz w:val="20"/>
                <w:szCs w:val="20"/>
                <w:lang w:val="en-US"/>
              </w:rPr>
            </w:pPr>
            <w:r>
              <w:rPr>
                <w:rFonts w:ascii="Arial"/>
                <w:b/>
                <w:bCs/>
                <w:sz w:val="20"/>
                <w:szCs w:val="20"/>
                <w:lang w:val="en-US"/>
              </w:rPr>
              <w:t>High Caries</w:t>
            </w:r>
          </w:p>
          <w:p w14:paraId="5DD62FC7" w14:textId="77777777" w:rsidR="002750DF" w:rsidRDefault="00AB1B7E">
            <w:pPr>
              <w:pStyle w:val="Body"/>
              <w:spacing w:after="0" w:line="240" w:lineRule="auto"/>
            </w:pPr>
            <w:r>
              <w:rPr>
                <w:rFonts w:ascii="Arial"/>
                <w:b/>
                <w:bCs/>
                <w:sz w:val="20"/>
                <w:szCs w:val="20"/>
                <w:lang w:val="en-US"/>
              </w:rPr>
              <w:t>Low Perio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F3C845" w14:textId="77777777" w:rsidR="002750DF" w:rsidRDefault="00AB1B7E">
            <w:pPr>
              <w:pStyle w:val="Body"/>
              <w:spacing w:after="0" w:line="240" w:lineRule="auto"/>
              <w:rPr>
                <w:rFonts w:ascii="Arial" w:eastAsia="Arial" w:hAnsi="Arial" w:cs="Arial"/>
                <w:sz w:val="20"/>
                <w:szCs w:val="20"/>
                <w:lang w:val="en-US"/>
              </w:rPr>
            </w:pPr>
            <w:r>
              <w:rPr>
                <w:rFonts w:ascii="Arial"/>
                <w:sz w:val="20"/>
                <w:szCs w:val="20"/>
                <w:lang w:val="en-US"/>
              </w:rPr>
              <w:t>OH Education</w:t>
            </w:r>
          </w:p>
          <w:p w14:paraId="2F56FD3F" w14:textId="77777777" w:rsidR="002750DF" w:rsidRDefault="00AB1B7E">
            <w:pPr>
              <w:pStyle w:val="Body"/>
              <w:spacing w:after="0" w:line="240" w:lineRule="auto"/>
              <w:rPr>
                <w:rFonts w:ascii="Arial" w:eastAsia="Arial" w:hAnsi="Arial" w:cs="Arial"/>
                <w:sz w:val="20"/>
                <w:szCs w:val="20"/>
                <w:lang w:val="en-US"/>
              </w:rPr>
            </w:pPr>
            <w:r>
              <w:rPr>
                <w:rFonts w:ascii="Arial"/>
                <w:sz w:val="20"/>
                <w:szCs w:val="20"/>
                <w:lang w:val="en-US"/>
              </w:rPr>
              <w:t>Plaque scores</w:t>
            </w:r>
          </w:p>
          <w:p w14:paraId="373E2F3B" w14:textId="77777777" w:rsidR="002750DF" w:rsidRDefault="00AB1B7E">
            <w:pPr>
              <w:pStyle w:val="Body"/>
              <w:spacing w:after="0" w:line="240" w:lineRule="auto"/>
              <w:rPr>
                <w:rFonts w:ascii="Arial" w:eastAsia="Arial" w:hAnsi="Arial" w:cs="Arial"/>
                <w:sz w:val="20"/>
                <w:szCs w:val="20"/>
                <w:lang w:val="en-US"/>
              </w:rPr>
            </w:pPr>
            <w:r>
              <w:rPr>
                <w:rFonts w:ascii="Arial"/>
                <w:sz w:val="20"/>
                <w:szCs w:val="20"/>
                <w:lang w:val="en-US"/>
              </w:rPr>
              <w:t>Saliva Testing</w:t>
            </w:r>
          </w:p>
          <w:p w14:paraId="67A6C000" w14:textId="77777777" w:rsidR="002750DF" w:rsidRDefault="00AB1B7E">
            <w:pPr>
              <w:pStyle w:val="Body"/>
              <w:spacing w:after="0" w:line="240" w:lineRule="auto"/>
            </w:pPr>
            <w:r>
              <w:rPr>
                <w:rFonts w:ascii="Arial"/>
                <w:sz w:val="20"/>
                <w:szCs w:val="20"/>
                <w:lang w:val="en-US"/>
              </w:rPr>
              <w:t>Reviews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20AA7A" w14:textId="77777777" w:rsidR="002750DF" w:rsidRDefault="00AB1B7E">
            <w:pPr>
              <w:pStyle w:val="Body"/>
              <w:spacing w:after="0" w:line="240" w:lineRule="auto"/>
              <w:rPr>
                <w:rFonts w:ascii="Arial" w:eastAsia="Arial" w:hAnsi="Arial" w:cs="Arial"/>
                <w:sz w:val="20"/>
                <w:szCs w:val="20"/>
                <w:lang w:val="en-US"/>
              </w:rPr>
            </w:pPr>
            <w:r>
              <w:rPr>
                <w:rFonts w:ascii="Arial"/>
                <w:sz w:val="20"/>
                <w:szCs w:val="20"/>
                <w:lang w:val="en-US"/>
              </w:rPr>
              <w:t>Caries Control/ART until risk reduced</w:t>
            </w:r>
          </w:p>
          <w:p w14:paraId="1738C212" w14:textId="77777777" w:rsidR="002750DF" w:rsidRDefault="002750DF">
            <w:pPr>
              <w:pStyle w:val="Body"/>
              <w:spacing w:after="0" w:line="240" w:lineRule="auto"/>
              <w:rPr>
                <w:rFonts w:ascii="Arial" w:eastAsia="Arial" w:hAnsi="Arial" w:cs="Arial"/>
                <w:sz w:val="20"/>
                <w:szCs w:val="20"/>
                <w:lang w:val="en-US"/>
              </w:rPr>
            </w:pPr>
          </w:p>
          <w:p w14:paraId="7779E569" w14:textId="77777777" w:rsidR="002750DF" w:rsidRDefault="00AB1B7E">
            <w:pPr>
              <w:pStyle w:val="Body"/>
              <w:spacing w:after="0" w:line="240" w:lineRule="auto"/>
            </w:pPr>
            <w:r>
              <w:rPr>
                <w:rFonts w:ascii="Arial"/>
                <w:sz w:val="20"/>
                <w:szCs w:val="20"/>
                <w:lang w:val="en-US"/>
              </w:rPr>
              <w:t>Routine care  &amp; MID</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62D8D2" w14:textId="77777777" w:rsidR="002750DF" w:rsidRDefault="00AB1B7E">
            <w:pPr>
              <w:pStyle w:val="Body"/>
              <w:spacing w:after="0" w:line="240" w:lineRule="auto"/>
            </w:pPr>
            <w:r>
              <w:rPr>
                <w:rFonts w:ascii="Arial"/>
                <w:sz w:val="20"/>
                <w:szCs w:val="20"/>
                <w:lang w:val="en-US"/>
              </w:rPr>
              <w:t>Routine scale and clean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24A483" w14:textId="77777777" w:rsidR="002750DF" w:rsidRDefault="00AB1B7E">
            <w:pPr>
              <w:pStyle w:val="Body"/>
              <w:spacing w:after="0" w:line="240" w:lineRule="auto"/>
            </w:pPr>
            <w:r>
              <w:rPr>
                <w:rFonts w:ascii="Arial"/>
                <w:sz w:val="20"/>
                <w:szCs w:val="20"/>
                <w:lang w:val="en-US"/>
              </w:rPr>
              <w:t>Only when maintaining adequate OH</w:t>
            </w: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C82694" w14:textId="77777777" w:rsidR="002750DF" w:rsidRDefault="00AB1B7E">
            <w:pPr>
              <w:pStyle w:val="Body"/>
              <w:spacing w:after="0" w:line="240" w:lineRule="auto"/>
            </w:pPr>
            <w:r>
              <w:rPr>
                <w:rFonts w:ascii="Arial"/>
                <w:sz w:val="20"/>
                <w:szCs w:val="20"/>
                <w:lang w:val="en-US"/>
              </w:rPr>
              <w:t>6-12 months</w:t>
            </w:r>
          </w:p>
        </w:tc>
      </w:tr>
      <w:tr w:rsidR="002750DF" w14:paraId="76D37AE9" w14:textId="77777777" w:rsidTr="00127093">
        <w:trPr>
          <w:trHeight w:val="1323"/>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5CB075" w14:textId="77777777" w:rsidR="002750DF" w:rsidRDefault="002750DF">
            <w:pPr>
              <w:pStyle w:val="Body"/>
              <w:spacing w:after="0" w:line="240" w:lineRule="auto"/>
              <w:jc w:val="center"/>
              <w:rPr>
                <w:rFonts w:ascii="Arial" w:eastAsia="Arial" w:hAnsi="Arial" w:cs="Arial"/>
                <w:b/>
                <w:bCs/>
                <w:sz w:val="20"/>
                <w:szCs w:val="20"/>
                <w:lang w:val="en-US"/>
              </w:rPr>
            </w:pPr>
          </w:p>
          <w:p w14:paraId="65EA4767" w14:textId="77777777" w:rsidR="002750DF" w:rsidRDefault="00AB1B7E">
            <w:pPr>
              <w:pStyle w:val="Body"/>
              <w:spacing w:after="0" w:line="240" w:lineRule="auto"/>
              <w:jc w:val="center"/>
            </w:pPr>
            <w:r>
              <w:rPr>
                <w:rFonts w:ascii="Arial"/>
                <w:b/>
                <w:bCs/>
                <w:sz w:val="20"/>
                <w:szCs w:val="20"/>
                <w:lang w:val="en-US"/>
              </w:rPr>
              <w:t>C2P1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C21E85" w14:textId="77777777" w:rsidR="002750DF" w:rsidRDefault="002750DF">
            <w:pPr>
              <w:pStyle w:val="Body"/>
              <w:spacing w:after="0" w:line="240" w:lineRule="auto"/>
              <w:rPr>
                <w:rFonts w:ascii="Arial" w:eastAsia="Arial" w:hAnsi="Arial" w:cs="Arial"/>
                <w:b/>
                <w:bCs/>
                <w:sz w:val="20"/>
                <w:szCs w:val="20"/>
                <w:lang w:val="en-US"/>
              </w:rPr>
            </w:pPr>
          </w:p>
          <w:p w14:paraId="1D19C7EF" w14:textId="77777777" w:rsidR="002750DF" w:rsidRDefault="00AB1B7E">
            <w:pPr>
              <w:pStyle w:val="Body"/>
              <w:spacing w:after="0" w:line="240" w:lineRule="auto"/>
              <w:rPr>
                <w:rFonts w:ascii="Arial" w:eastAsia="Arial" w:hAnsi="Arial" w:cs="Arial"/>
                <w:b/>
                <w:bCs/>
                <w:sz w:val="20"/>
                <w:szCs w:val="20"/>
                <w:lang w:val="en-US"/>
              </w:rPr>
            </w:pPr>
            <w:r>
              <w:rPr>
                <w:rFonts w:ascii="Arial"/>
                <w:b/>
                <w:bCs/>
                <w:sz w:val="20"/>
                <w:szCs w:val="20"/>
                <w:lang w:val="en-US"/>
              </w:rPr>
              <w:t>Low Caries</w:t>
            </w:r>
          </w:p>
          <w:p w14:paraId="0117D9B8" w14:textId="77777777" w:rsidR="002750DF" w:rsidRDefault="00AB1B7E">
            <w:pPr>
              <w:pStyle w:val="Body"/>
              <w:spacing w:after="0" w:line="240" w:lineRule="auto"/>
            </w:pPr>
            <w:r>
              <w:rPr>
                <w:rFonts w:ascii="Arial"/>
                <w:b/>
                <w:bCs/>
                <w:sz w:val="20"/>
                <w:szCs w:val="20"/>
                <w:lang w:val="en-US"/>
              </w:rPr>
              <w:t>High Perio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081CAC" w14:textId="77777777" w:rsidR="002750DF" w:rsidRDefault="00AB1B7E">
            <w:pPr>
              <w:pStyle w:val="Body"/>
              <w:spacing w:after="0" w:line="240" w:lineRule="auto"/>
              <w:rPr>
                <w:rFonts w:ascii="Arial" w:eastAsia="Arial" w:hAnsi="Arial" w:cs="Arial"/>
                <w:sz w:val="20"/>
                <w:szCs w:val="20"/>
                <w:lang w:val="en-US"/>
              </w:rPr>
            </w:pPr>
            <w:r>
              <w:rPr>
                <w:rFonts w:ascii="Arial"/>
                <w:sz w:val="20"/>
                <w:szCs w:val="20"/>
                <w:lang w:val="en-US"/>
              </w:rPr>
              <w:t>OH Education</w:t>
            </w:r>
          </w:p>
          <w:p w14:paraId="5140A822" w14:textId="77777777" w:rsidR="002750DF" w:rsidRDefault="00AB1B7E">
            <w:pPr>
              <w:pStyle w:val="Body"/>
              <w:spacing w:after="0" w:line="240" w:lineRule="auto"/>
              <w:rPr>
                <w:rFonts w:ascii="Arial" w:eastAsia="Arial" w:hAnsi="Arial" w:cs="Arial"/>
                <w:sz w:val="20"/>
                <w:szCs w:val="20"/>
                <w:lang w:val="en-US"/>
              </w:rPr>
            </w:pPr>
            <w:r>
              <w:rPr>
                <w:rFonts w:ascii="Arial"/>
                <w:sz w:val="20"/>
                <w:szCs w:val="20"/>
                <w:lang w:val="en-US"/>
              </w:rPr>
              <w:t>Plaque scores</w:t>
            </w:r>
          </w:p>
          <w:p w14:paraId="387F07CA" w14:textId="77777777" w:rsidR="002750DF" w:rsidRDefault="00AB1B7E">
            <w:pPr>
              <w:pStyle w:val="Body"/>
              <w:spacing w:after="0" w:line="240" w:lineRule="auto"/>
              <w:rPr>
                <w:rFonts w:ascii="Arial" w:eastAsia="Arial" w:hAnsi="Arial" w:cs="Arial"/>
                <w:sz w:val="20"/>
                <w:szCs w:val="20"/>
                <w:lang w:val="en-US"/>
              </w:rPr>
            </w:pPr>
            <w:r>
              <w:rPr>
                <w:rFonts w:ascii="Arial"/>
                <w:sz w:val="20"/>
                <w:szCs w:val="20"/>
                <w:lang w:val="en-US"/>
              </w:rPr>
              <w:t>QUIT</w:t>
            </w:r>
          </w:p>
          <w:p w14:paraId="7C5AB409" w14:textId="77777777" w:rsidR="002750DF" w:rsidRDefault="00AB1B7E">
            <w:pPr>
              <w:pStyle w:val="Body"/>
              <w:spacing w:after="0" w:line="240" w:lineRule="auto"/>
            </w:pPr>
            <w:r>
              <w:rPr>
                <w:rFonts w:ascii="Arial"/>
                <w:sz w:val="20"/>
                <w:szCs w:val="20"/>
                <w:lang w:val="en-US"/>
              </w:rPr>
              <w:t>Reviews</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B9AD70" w14:textId="77777777" w:rsidR="002750DF" w:rsidRDefault="00AB1B7E">
            <w:pPr>
              <w:pStyle w:val="Body"/>
              <w:spacing w:after="0" w:line="240" w:lineRule="auto"/>
            </w:pPr>
            <w:r>
              <w:rPr>
                <w:rFonts w:ascii="Arial"/>
                <w:sz w:val="20"/>
                <w:szCs w:val="20"/>
                <w:lang w:val="en-US"/>
              </w:rPr>
              <w:t>Routine care &amp; MID</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3F7860" w14:textId="77777777" w:rsidR="002750DF" w:rsidRDefault="00AB1B7E">
            <w:pPr>
              <w:pStyle w:val="Body"/>
              <w:spacing w:after="0" w:line="240" w:lineRule="auto"/>
              <w:rPr>
                <w:rFonts w:ascii="Arial" w:eastAsia="Arial" w:hAnsi="Arial" w:cs="Arial"/>
                <w:sz w:val="20"/>
                <w:szCs w:val="20"/>
                <w:lang w:val="en-US"/>
              </w:rPr>
            </w:pPr>
            <w:r>
              <w:rPr>
                <w:rFonts w:ascii="Arial"/>
                <w:sz w:val="20"/>
                <w:szCs w:val="20"/>
                <w:lang w:val="en-US"/>
              </w:rPr>
              <w:t>Perio Chart/OPG</w:t>
            </w:r>
          </w:p>
          <w:p w14:paraId="41FA0126" w14:textId="77777777" w:rsidR="002750DF" w:rsidRDefault="00AB1B7E">
            <w:pPr>
              <w:pStyle w:val="Body"/>
              <w:spacing w:after="0" w:line="240" w:lineRule="auto"/>
              <w:rPr>
                <w:rFonts w:ascii="Arial" w:eastAsia="Arial" w:hAnsi="Arial" w:cs="Arial"/>
                <w:sz w:val="20"/>
                <w:szCs w:val="20"/>
                <w:lang w:val="en-US"/>
              </w:rPr>
            </w:pPr>
            <w:r>
              <w:rPr>
                <w:rFonts w:ascii="Arial"/>
                <w:sz w:val="20"/>
                <w:szCs w:val="20"/>
                <w:lang w:val="en-US"/>
              </w:rPr>
              <w:t>Initial therapy</w:t>
            </w:r>
          </w:p>
          <w:p w14:paraId="2F0AD577" w14:textId="77777777" w:rsidR="002750DF" w:rsidRDefault="00AB1B7E">
            <w:pPr>
              <w:pStyle w:val="Body"/>
              <w:spacing w:after="0" w:line="240" w:lineRule="auto"/>
            </w:pPr>
            <w:r>
              <w:rPr>
                <w:rFonts w:ascii="Arial"/>
                <w:sz w:val="20"/>
                <w:szCs w:val="20"/>
                <w:lang w:val="en-US"/>
              </w:rPr>
              <w:t>Referral RMDH</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ABF4B8" w14:textId="77777777" w:rsidR="002750DF" w:rsidRDefault="00AB1B7E">
            <w:pPr>
              <w:pStyle w:val="Body"/>
              <w:spacing w:after="0" w:line="240" w:lineRule="auto"/>
            </w:pPr>
            <w:r>
              <w:rPr>
                <w:rFonts w:ascii="Arial"/>
                <w:sz w:val="20"/>
                <w:szCs w:val="20"/>
                <w:lang w:val="en-US"/>
              </w:rPr>
              <w:t>Only when maintaining adequate OH</w:t>
            </w: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D8236A" w14:textId="77777777" w:rsidR="002750DF" w:rsidRDefault="00AB1B7E">
            <w:pPr>
              <w:pStyle w:val="Body"/>
              <w:spacing w:after="0" w:line="240" w:lineRule="auto"/>
            </w:pPr>
            <w:r>
              <w:rPr>
                <w:rFonts w:ascii="Arial"/>
                <w:sz w:val="20"/>
                <w:szCs w:val="20"/>
                <w:lang w:val="en-US"/>
              </w:rPr>
              <w:t>6-12 months</w:t>
            </w:r>
          </w:p>
        </w:tc>
      </w:tr>
      <w:tr w:rsidR="002750DF" w14:paraId="7EC4910D" w14:textId="77777777" w:rsidTr="00127093">
        <w:trPr>
          <w:trHeight w:val="663"/>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1F41F2" w14:textId="77777777" w:rsidR="002750DF" w:rsidRDefault="002750DF">
            <w:pPr>
              <w:pStyle w:val="Body"/>
              <w:spacing w:after="0" w:line="240" w:lineRule="auto"/>
              <w:jc w:val="center"/>
              <w:rPr>
                <w:rFonts w:ascii="Arial" w:eastAsia="Arial" w:hAnsi="Arial" w:cs="Arial"/>
                <w:b/>
                <w:bCs/>
                <w:sz w:val="20"/>
                <w:szCs w:val="20"/>
                <w:lang w:val="en-US"/>
              </w:rPr>
            </w:pPr>
          </w:p>
          <w:p w14:paraId="0C3199CA" w14:textId="77777777" w:rsidR="002750DF" w:rsidRDefault="00AB1B7E">
            <w:pPr>
              <w:pStyle w:val="Body"/>
              <w:spacing w:after="0" w:line="240" w:lineRule="auto"/>
              <w:jc w:val="center"/>
            </w:pPr>
            <w:r>
              <w:rPr>
                <w:rFonts w:ascii="Arial"/>
                <w:b/>
                <w:bCs/>
                <w:sz w:val="20"/>
                <w:szCs w:val="20"/>
                <w:lang w:val="en-US"/>
              </w:rPr>
              <w:t>C2P2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E588B0" w14:textId="77777777" w:rsidR="002750DF" w:rsidRDefault="00AB1B7E">
            <w:pPr>
              <w:pStyle w:val="Body"/>
              <w:spacing w:after="0" w:line="240" w:lineRule="auto"/>
              <w:rPr>
                <w:rFonts w:ascii="Arial" w:eastAsia="Arial" w:hAnsi="Arial" w:cs="Arial"/>
                <w:b/>
                <w:bCs/>
                <w:sz w:val="20"/>
                <w:szCs w:val="20"/>
                <w:lang w:val="en-US"/>
              </w:rPr>
            </w:pPr>
            <w:r>
              <w:rPr>
                <w:rFonts w:ascii="Arial"/>
                <w:b/>
                <w:bCs/>
                <w:sz w:val="20"/>
                <w:szCs w:val="20"/>
                <w:lang w:val="en-US"/>
              </w:rPr>
              <w:t>Low Caries</w:t>
            </w:r>
          </w:p>
          <w:p w14:paraId="31B9AB85" w14:textId="77777777" w:rsidR="002750DF" w:rsidRDefault="00AB1B7E">
            <w:pPr>
              <w:pStyle w:val="Body"/>
              <w:spacing w:after="0" w:line="240" w:lineRule="auto"/>
            </w:pPr>
            <w:r>
              <w:rPr>
                <w:rFonts w:ascii="Arial"/>
                <w:b/>
                <w:bCs/>
                <w:sz w:val="20"/>
                <w:szCs w:val="20"/>
                <w:lang w:val="en-US"/>
              </w:rPr>
              <w:t>Low Perio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F5D027" w14:textId="77777777" w:rsidR="002750DF" w:rsidRDefault="00AB1B7E">
            <w:pPr>
              <w:pStyle w:val="Body"/>
              <w:spacing w:after="0" w:line="240" w:lineRule="auto"/>
            </w:pPr>
            <w:r>
              <w:rPr>
                <w:rFonts w:ascii="Arial"/>
                <w:sz w:val="20"/>
                <w:szCs w:val="20"/>
                <w:lang w:val="en-US"/>
              </w:rPr>
              <w: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3F42E9" w14:textId="77777777" w:rsidR="002750DF" w:rsidRDefault="00AB1B7E">
            <w:pPr>
              <w:pStyle w:val="Body"/>
              <w:spacing w:after="0" w:line="240" w:lineRule="auto"/>
            </w:pPr>
            <w:r>
              <w:rPr>
                <w:rFonts w:ascii="Arial"/>
                <w:sz w:val="20"/>
                <w:szCs w:val="20"/>
                <w:lang w:val="en-US"/>
              </w:rPr>
              <w:t>Routine care &amp; MID</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F696D9" w14:textId="77777777" w:rsidR="002750DF" w:rsidRDefault="00AB1B7E">
            <w:pPr>
              <w:pStyle w:val="Body"/>
              <w:spacing w:after="0" w:line="240" w:lineRule="auto"/>
            </w:pPr>
            <w:r>
              <w:rPr>
                <w:rFonts w:ascii="Arial"/>
                <w:sz w:val="20"/>
                <w:szCs w:val="20"/>
                <w:lang w:val="en-US"/>
              </w:rPr>
              <w:t>Routine scale and clean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05D123" w14:textId="77777777" w:rsidR="002750DF" w:rsidRDefault="00AB1B7E">
            <w:pPr>
              <w:pStyle w:val="Body"/>
              <w:spacing w:after="0" w:line="240" w:lineRule="auto"/>
            </w:pPr>
            <w:r>
              <w:rPr>
                <w:rFonts w:ascii="Arial"/>
                <w:sz w:val="20"/>
                <w:szCs w:val="20"/>
                <w:lang w:val="en-US"/>
              </w:rPr>
              <w:t>Yes</w:t>
            </w: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34EF12" w14:textId="77777777" w:rsidR="002750DF" w:rsidRDefault="00AB1B7E">
            <w:pPr>
              <w:pStyle w:val="Body"/>
              <w:spacing w:after="0" w:line="240" w:lineRule="auto"/>
            </w:pPr>
            <w:r>
              <w:rPr>
                <w:rFonts w:ascii="Arial"/>
                <w:sz w:val="20"/>
                <w:szCs w:val="20"/>
                <w:lang w:val="en-US"/>
              </w:rPr>
              <w:t>Onto waiting list after 12 months.</w:t>
            </w:r>
          </w:p>
        </w:tc>
      </w:tr>
    </w:tbl>
    <w:p w14:paraId="55FDA851" w14:textId="77777777" w:rsidR="002750DF" w:rsidRDefault="002750DF">
      <w:pPr>
        <w:pStyle w:val="Body"/>
        <w:spacing w:after="0" w:line="240" w:lineRule="auto"/>
        <w:jc w:val="both"/>
        <w:rPr>
          <w:rFonts w:ascii="Arial" w:eastAsia="Arial" w:hAnsi="Arial" w:cs="Arial"/>
          <w:b/>
          <w:bCs/>
          <w:i/>
          <w:iCs/>
        </w:rPr>
      </w:pPr>
    </w:p>
    <w:p w14:paraId="02F8B000" w14:textId="77777777" w:rsidR="00F962E4" w:rsidRDefault="00AB1B7E" w:rsidP="00F962E4">
      <w:pPr>
        <w:pStyle w:val="Body"/>
        <w:spacing w:after="0" w:line="276" w:lineRule="auto"/>
        <w:jc w:val="both"/>
        <w:rPr>
          <w:sz w:val="24"/>
          <w:szCs w:val="24"/>
          <w:lang w:val="en-US"/>
        </w:rPr>
      </w:pPr>
      <w:r w:rsidRPr="00F962E4">
        <w:rPr>
          <w:b/>
          <w:bCs/>
          <w:i/>
          <w:iCs/>
          <w:sz w:val="24"/>
          <w:szCs w:val="24"/>
          <w:lang w:val="en-US"/>
        </w:rPr>
        <w:t>Recalls and reviews</w:t>
      </w:r>
      <w:r w:rsidRPr="00F962E4">
        <w:rPr>
          <w:b/>
          <w:bCs/>
          <w:sz w:val="24"/>
          <w:szCs w:val="24"/>
        </w:rPr>
        <w:t xml:space="preserve">: </w:t>
      </w:r>
      <w:r w:rsidRPr="00F962E4">
        <w:rPr>
          <w:sz w:val="24"/>
          <w:szCs w:val="24"/>
          <w:lang w:val="en-US"/>
        </w:rPr>
        <w:t xml:space="preserve">The frequency and type of oral health care a client needs depends on the likelihood of disease developing. The ability to assign an appropriate recall interval will improve over time as the dental practitioner builds an accurate picture of the client and determines the rate at which disease is progressing. </w:t>
      </w:r>
    </w:p>
    <w:p w14:paraId="4F4BED06" w14:textId="77777777" w:rsidR="00F962E4" w:rsidRDefault="00AB1B7E" w:rsidP="00367B30">
      <w:pPr>
        <w:pStyle w:val="Body"/>
        <w:numPr>
          <w:ilvl w:val="0"/>
          <w:numId w:val="39"/>
        </w:numPr>
        <w:spacing w:after="0" w:line="276" w:lineRule="auto"/>
        <w:jc w:val="both"/>
        <w:rPr>
          <w:rFonts w:eastAsia="Arial" w:cs="Arial"/>
          <w:sz w:val="24"/>
          <w:szCs w:val="24"/>
          <w:lang w:val="en-US"/>
        </w:rPr>
      </w:pPr>
      <w:r w:rsidRPr="00F962E4">
        <w:rPr>
          <w:sz w:val="24"/>
          <w:szCs w:val="24"/>
          <w:lang w:val="en-US"/>
        </w:rPr>
        <w:t xml:space="preserve">Records will not exist for new or recent clients, and there may be some uncertainty about what recall interval is appropriate. In these cases a conservative review interval (6-12months) is assigned and progressively altered over time on the basis of the risk assessment performed at each assessment visit. For example, how can it be determined if a ‘white spot lesion’ in a new client has recently appeared or has been present without progressing for years? An appropriate course of action is to take a clinical photograph, apply topical fluoride, give preventive advice and assign a short review interval to monitor the lesion. If the lesion fails to progress over time, the review interval can be increased. Government policy dictates that all children will be assigned a risk status that automatically determines recall settings at low, moderate and high risk (24, 18 &amp; 12 months). The NRCH </w:t>
      </w:r>
      <w:r w:rsidR="008A5EB9" w:rsidRPr="00F962E4">
        <w:rPr>
          <w:sz w:val="24"/>
          <w:szCs w:val="24"/>
          <w:lang w:val="en-US"/>
        </w:rPr>
        <w:t>MoC prefers</w:t>
      </w:r>
      <w:r w:rsidRPr="00F962E4">
        <w:rPr>
          <w:sz w:val="24"/>
          <w:szCs w:val="24"/>
          <w:lang w:val="en-US"/>
        </w:rPr>
        <w:t xml:space="preserve"> to commit to either high or low risk to avoid clients delegated to the “safe option” of the moderate classification. It is advisable to inform a </w:t>
      </w:r>
      <w:r w:rsidRPr="00F962E4">
        <w:rPr>
          <w:sz w:val="24"/>
          <w:szCs w:val="24"/>
          <w:lang w:val="en-US"/>
        </w:rPr>
        <w:lastRenderedPageBreak/>
        <w:t>child as well as their parents, guardians or caregivers that the same interval may not be appropriate at every stage of their life – it will vary if their risk and protective factors alter.</w:t>
      </w:r>
    </w:p>
    <w:p w14:paraId="1DE01DF5" w14:textId="77777777" w:rsidR="00F962E4" w:rsidRPr="00F962E4" w:rsidRDefault="00AB1B7E" w:rsidP="00367B30">
      <w:pPr>
        <w:pStyle w:val="Body"/>
        <w:numPr>
          <w:ilvl w:val="0"/>
          <w:numId w:val="39"/>
        </w:numPr>
        <w:spacing w:after="0" w:line="276" w:lineRule="auto"/>
        <w:jc w:val="both"/>
        <w:rPr>
          <w:rFonts w:eastAsia="Arial" w:cs="Arial"/>
          <w:sz w:val="24"/>
          <w:szCs w:val="24"/>
          <w:lang w:val="en-US"/>
        </w:rPr>
      </w:pPr>
      <w:r w:rsidRPr="00F962E4">
        <w:rPr>
          <w:sz w:val="24"/>
          <w:szCs w:val="24"/>
          <w:lang w:val="en-US"/>
        </w:rPr>
        <w:t xml:space="preserve">In an effort to be family-centred, families are recalled together using the child with the highest risk rather than unnecessarily separating the family. There are advantages when educational advice is given in a family group as a common understanding is more likely and repetition is avoided. Adults are assessed along with their children which enables families to plan and receive their management in a consolidated way.  </w:t>
      </w:r>
    </w:p>
    <w:p w14:paraId="4AAD4A95" w14:textId="30BE0523" w:rsidR="002750DF" w:rsidRPr="00F962E4" w:rsidRDefault="00AB1B7E" w:rsidP="00367B30">
      <w:pPr>
        <w:pStyle w:val="Body"/>
        <w:numPr>
          <w:ilvl w:val="0"/>
          <w:numId w:val="39"/>
        </w:numPr>
        <w:spacing w:after="0" w:line="276" w:lineRule="auto"/>
        <w:jc w:val="both"/>
        <w:rPr>
          <w:rFonts w:eastAsia="Arial" w:cs="Arial"/>
          <w:sz w:val="24"/>
          <w:szCs w:val="24"/>
          <w:lang w:val="en-US"/>
        </w:rPr>
      </w:pPr>
      <w:r w:rsidRPr="00F962E4">
        <w:rPr>
          <w:sz w:val="24"/>
          <w:szCs w:val="24"/>
          <w:lang w:val="en-US"/>
        </w:rPr>
        <w:t xml:space="preserve">Adult recalls can be a contentious issue and </w:t>
      </w:r>
      <w:r w:rsidR="003941BE" w:rsidRPr="00F962E4">
        <w:rPr>
          <w:sz w:val="24"/>
          <w:szCs w:val="24"/>
          <w:lang w:val="en-US"/>
        </w:rPr>
        <w:t xml:space="preserve">Government </w:t>
      </w:r>
      <w:r w:rsidRPr="00F962E4">
        <w:rPr>
          <w:sz w:val="24"/>
          <w:szCs w:val="24"/>
          <w:lang w:val="en-US"/>
        </w:rPr>
        <w:t xml:space="preserve">policy is that adults are not recalled but that they should approach the service in 12 months to go onto the waiting list, which can be at least another 12 months wait. However, in the preventive minimally-invasive NRCH-OH MoC, which involves MID approach to active carious lesions, duty of care requires that clients return for regular checks to monitor arresting and remineralisation of those lesions, periodontal healing and </w:t>
      </w:r>
      <w:r w:rsidR="00EC77B0" w:rsidRPr="00F962E4">
        <w:rPr>
          <w:sz w:val="24"/>
          <w:szCs w:val="24"/>
          <w:lang w:val="en-US"/>
        </w:rPr>
        <w:t>reinforcing</w:t>
      </w:r>
      <w:r w:rsidRPr="00F962E4">
        <w:rPr>
          <w:sz w:val="24"/>
          <w:szCs w:val="24"/>
          <w:lang w:val="en-US"/>
        </w:rPr>
        <w:t xml:space="preserve"> oral hygiene information. It is within this duty of care to follow-up with these clients until their</w:t>
      </w:r>
      <w:r w:rsidR="00F962E4">
        <w:rPr>
          <w:sz w:val="24"/>
          <w:szCs w:val="24"/>
          <w:lang w:val="en-US"/>
        </w:rPr>
        <w:t xml:space="preserve"> risk status drops to low risk.</w:t>
      </w:r>
      <w:r w:rsidRPr="00F962E4">
        <w:rPr>
          <w:sz w:val="24"/>
          <w:szCs w:val="24"/>
          <w:lang w:val="en-US"/>
        </w:rPr>
        <w:t xml:space="preserve"> Therefore, recall periods determined by mutual agreement with high risk clients and dental practitioners are used. NRCH-OH takes the responsibility to contact clients placed on recall inviting them to attend.</w:t>
      </w:r>
    </w:p>
    <w:p w14:paraId="751303FA" w14:textId="77777777" w:rsidR="002750DF" w:rsidRPr="00F962E4" w:rsidRDefault="00AB1B7E" w:rsidP="00F962E4">
      <w:pPr>
        <w:pStyle w:val="Body"/>
        <w:spacing w:after="0" w:line="276" w:lineRule="auto"/>
        <w:jc w:val="both"/>
        <w:rPr>
          <w:rFonts w:eastAsia="Arial" w:cs="Arial"/>
          <w:sz w:val="24"/>
          <w:szCs w:val="24"/>
          <w:lang w:val="en-US"/>
        </w:rPr>
      </w:pPr>
      <w:r w:rsidRPr="00F962E4">
        <w:rPr>
          <w:sz w:val="24"/>
          <w:szCs w:val="24"/>
          <w:lang w:val="en-US"/>
        </w:rPr>
        <w:t xml:space="preserve">For adults, reviews are not intended for full examinations or specific treatment planning. The Titanium data base has provision for adult reviews and can be used for high risk clients involved in an individual prevention program. </w:t>
      </w:r>
    </w:p>
    <w:p w14:paraId="758C8374" w14:textId="77777777" w:rsidR="002750DF" w:rsidRPr="00F962E4" w:rsidRDefault="002750DF" w:rsidP="00F962E4">
      <w:pPr>
        <w:pStyle w:val="Body"/>
        <w:spacing w:after="0" w:line="276" w:lineRule="auto"/>
        <w:jc w:val="both"/>
        <w:rPr>
          <w:rFonts w:eastAsia="Arial" w:cs="Arial"/>
          <w:sz w:val="24"/>
          <w:szCs w:val="24"/>
          <w:lang w:val="en-US"/>
        </w:rPr>
      </w:pPr>
    </w:p>
    <w:p w14:paraId="2716FDB2" w14:textId="04D7CA76" w:rsidR="002750DF" w:rsidRPr="00F962E4" w:rsidRDefault="00AB1B7E" w:rsidP="00F962E4">
      <w:pPr>
        <w:pStyle w:val="Body"/>
        <w:spacing w:after="0" w:line="276" w:lineRule="auto"/>
        <w:jc w:val="both"/>
        <w:rPr>
          <w:rFonts w:eastAsia="Arial" w:cs="Arial"/>
          <w:sz w:val="24"/>
          <w:szCs w:val="24"/>
          <w:lang w:val="en-US"/>
        </w:rPr>
      </w:pPr>
      <w:r w:rsidRPr="00F962E4">
        <w:rPr>
          <w:b/>
          <w:bCs/>
          <w:i/>
          <w:iCs/>
          <w:sz w:val="24"/>
          <w:szCs w:val="24"/>
          <w:lang w:val="en-US"/>
        </w:rPr>
        <w:t>Program evaluation</w:t>
      </w:r>
      <w:r w:rsidRPr="00F962E4">
        <w:rPr>
          <w:b/>
          <w:bCs/>
          <w:sz w:val="24"/>
          <w:szCs w:val="24"/>
        </w:rPr>
        <w:t xml:space="preserve"> - </w:t>
      </w:r>
      <w:r w:rsidRPr="00F962E4">
        <w:rPr>
          <w:sz w:val="24"/>
          <w:szCs w:val="24"/>
          <w:lang w:val="en-US"/>
        </w:rPr>
        <w:t>Ongoing and methodologically sound evaluation is necessary to determine the worth of any program or policy. Program evaluation specifically aims to understand what works, for whom and in what context and is guided by the program logic model (Fig. 2).</w:t>
      </w:r>
      <w:r w:rsidRPr="00F962E4">
        <w:rPr>
          <w:sz w:val="24"/>
          <w:szCs w:val="24"/>
          <w:vertAlign w:val="superscript"/>
        </w:rPr>
        <w:t>30</w:t>
      </w:r>
      <w:r w:rsidRPr="00F962E4">
        <w:rPr>
          <w:sz w:val="24"/>
          <w:szCs w:val="24"/>
          <w:lang w:val="en-US"/>
        </w:rPr>
        <w:t xml:space="preserve"> Process and outcome evaluation</w:t>
      </w:r>
      <w:r w:rsidR="00A968DF" w:rsidRPr="00F962E4">
        <w:rPr>
          <w:sz w:val="24"/>
          <w:szCs w:val="24"/>
          <w:lang w:val="en-US"/>
        </w:rPr>
        <w:t xml:space="preserve"> (including economics)</w:t>
      </w:r>
      <w:r w:rsidRPr="00F962E4">
        <w:rPr>
          <w:sz w:val="24"/>
          <w:szCs w:val="24"/>
          <w:lang w:val="en-US"/>
        </w:rPr>
        <w:t xml:space="preserve"> approaches will be used to study the NRCH-OH MoC. Process evaluation, is an ongoing approach that, helps determine if the program is being implemented as planned and identifies components of the program that could be modified for improved efficiency and effectiveness. Outcome evaluation helps determine if the program is achieving its intended goals and objectives.</w:t>
      </w:r>
      <w:r w:rsidRPr="00F962E4">
        <w:rPr>
          <w:sz w:val="24"/>
          <w:szCs w:val="24"/>
          <w:vertAlign w:val="superscript"/>
        </w:rPr>
        <w:t>30</w:t>
      </w:r>
      <w:r w:rsidRPr="00F962E4">
        <w:rPr>
          <w:sz w:val="24"/>
          <w:szCs w:val="24"/>
          <w:lang w:val="en-US"/>
        </w:rPr>
        <w:t xml:space="preserve"> </w:t>
      </w:r>
    </w:p>
    <w:p w14:paraId="380F4E3C" w14:textId="77777777" w:rsidR="002750DF" w:rsidRDefault="002750DF">
      <w:pPr>
        <w:pStyle w:val="Body"/>
        <w:spacing w:after="0" w:line="360" w:lineRule="auto"/>
        <w:jc w:val="both"/>
        <w:rPr>
          <w:rFonts w:ascii="Arial" w:eastAsia="Arial" w:hAnsi="Arial" w:cs="Arial"/>
          <w:lang w:val="en-US"/>
        </w:rPr>
      </w:pPr>
    </w:p>
    <w:p w14:paraId="3E3932F5" w14:textId="77777777" w:rsidR="002750DF" w:rsidRDefault="002750DF">
      <w:pPr>
        <w:pStyle w:val="Body"/>
        <w:spacing w:after="0" w:line="360" w:lineRule="auto"/>
        <w:jc w:val="both"/>
        <w:rPr>
          <w:rFonts w:ascii="Arial" w:eastAsia="Arial" w:hAnsi="Arial" w:cs="Arial"/>
          <w:lang w:val="en-US"/>
        </w:rPr>
      </w:pPr>
    </w:p>
    <w:p w14:paraId="3364AEB5" w14:textId="77777777" w:rsidR="002750DF" w:rsidRDefault="002750DF">
      <w:pPr>
        <w:pStyle w:val="Body"/>
        <w:spacing w:after="0" w:line="360" w:lineRule="auto"/>
        <w:sectPr w:rsidR="002750DF">
          <w:footerReference w:type="default" r:id="rId17"/>
          <w:pgSz w:w="11900" w:h="16840"/>
          <w:pgMar w:top="1440" w:right="1440" w:bottom="1440" w:left="1440" w:header="708" w:footer="708" w:gutter="0"/>
          <w:cols w:space="720"/>
        </w:sectPr>
      </w:pPr>
    </w:p>
    <w:p w14:paraId="388F1718" w14:textId="77777777" w:rsidR="002750DF" w:rsidRDefault="002750DF"/>
    <w:p w14:paraId="6475B62E" w14:textId="77777777" w:rsidR="002750DF" w:rsidRDefault="00AB1B7E">
      <w:pPr>
        <w:pStyle w:val="Body"/>
        <w:spacing w:after="0" w:line="360" w:lineRule="auto"/>
        <w:rPr>
          <w:rFonts w:ascii="Arial" w:eastAsia="Arial" w:hAnsi="Arial" w:cs="Arial"/>
          <w:sz w:val="20"/>
          <w:szCs w:val="20"/>
        </w:rPr>
      </w:pPr>
      <w:r>
        <w:rPr>
          <w:rFonts w:ascii="Arial"/>
          <w:sz w:val="20"/>
          <w:szCs w:val="20"/>
          <w:lang w:val="en-US"/>
        </w:rPr>
        <w:t>Figure 2: Program Logic Model</w:t>
      </w:r>
      <w:r>
        <w:rPr>
          <w:rFonts w:ascii="Arial" w:eastAsia="Arial" w:hAnsi="Arial" w:cs="Arial"/>
          <w:sz w:val="20"/>
          <w:szCs w:val="20"/>
        </w:rPr>
        <w:br/>
      </w:r>
    </w:p>
    <w:p w14:paraId="12DAE0F9" w14:textId="77777777" w:rsidR="002750DF" w:rsidRDefault="00AB1B7E">
      <w:pPr>
        <w:pStyle w:val="Body"/>
        <w:spacing w:after="0" w:line="360" w:lineRule="auto"/>
        <w:rPr>
          <w:rFonts w:ascii="Arial" w:eastAsia="Arial" w:hAnsi="Arial" w:cs="Arial"/>
          <w:sz w:val="20"/>
          <w:szCs w:val="20"/>
        </w:rPr>
      </w:pPr>
      <w:r>
        <w:rPr>
          <w:noProof/>
        </w:rPr>
        <w:drawing>
          <wp:inline distT="0" distB="0" distL="0" distR="0" wp14:anchorId="78098E7B" wp14:editId="21AC03EA">
            <wp:extent cx="8863330" cy="4855845"/>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png"/>
                    <pic:cNvPicPr/>
                  </pic:nvPicPr>
                  <pic:blipFill>
                    <a:blip r:embed="rId18">
                      <a:extLst/>
                    </a:blip>
                    <a:stretch>
                      <a:fillRect/>
                    </a:stretch>
                  </pic:blipFill>
                  <pic:spPr>
                    <a:xfrm>
                      <a:off x="0" y="0"/>
                      <a:ext cx="8863330" cy="4855845"/>
                    </a:xfrm>
                    <a:prstGeom prst="rect">
                      <a:avLst/>
                    </a:prstGeom>
                    <a:ln w="12700" cap="flat">
                      <a:noFill/>
                      <a:miter lim="400000"/>
                    </a:ln>
                    <a:effectLst/>
                  </pic:spPr>
                </pic:pic>
              </a:graphicData>
            </a:graphic>
          </wp:inline>
        </w:drawing>
      </w:r>
    </w:p>
    <w:p w14:paraId="71F57743" w14:textId="77777777" w:rsidR="002750DF" w:rsidRDefault="002750DF">
      <w:pPr>
        <w:pStyle w:val="Body"/>
        <w:spacing w:after="0" w:line="360" w:lineRule="auto"/>
        <w:jc w:val="both"/>
        <w:rPr>
          <w:rFonts w:ascii="Arial" w:eastAsia="Arial" w:hAnsi="Arial" w:cs="Arial"/>
          <w:lang w:val="en-US"/>
        </w:rPr>
      </w:pPr>
    </w:p>
    <w:p w14:paraId="70ED3821" w14:textId="77777777" w:rsidR="002750DF" w:rsidRDefault="002750DF">
      <w:pPr>
        <w:pStyle w:val="Body"/>
        <w:spacing w:after="0" w:line="360" w:lineRule="auto"/>
        <w:jc w:val="both"/>
        <w:sectPr w:rsidR="002750DF" w:rsidSect="002A3DAF">
          <w:pgSz w:w="16840" w:h="11900" w:orient="landscape"/>
          <w:pgMar w:top="1440" w:right="1440" w:bottom="1440" w:left="1440" w:header="709" w:footer="709" w:gutter="0"/>
          <w:cols w:space="720"/>
        </w:sectPr>
      </w:pPr>
    </w:p>
    <w:p w14:paraId="578F2E51" w14:textId="77777777" w:rsidR="002750DF" w:rsidRDefault="00AB1B7E" w:rsidP="00F962E4">
      <w:pPr>
        <w:pStyle w:val="Body"/>
        <w:spacing w:after="0" w:line="276" w:lineRule="auto"/>
        <w:jc w:val="both"/>
        <w:rPr>
          <w:b/>
          <w:bCs/>
          <w:sz w:val="24"/>
          <w:szCs w:val="24"/>
          <w:lang w:val="en-US"/>
        </w:rPr>
      </w:pPr>
      <w:r w:rsidRPr="00F962E4">
        <w:rPr>
          <w:b/>
          <w:bCs/>
          <w:sz w:val="24"/>
          <w:szCs w:val="24"/>
          <w:lang w:val="en-US"/>
        </w:rPr>
        <w:lastRenderedPageBreak/>
        <w:t>DISCUSSION AND CONCLUSION</w:t>
      </w:r>
    </w:p>
    <w:p w14:paraId="1209D0E9" w14:textId="77777777" w:rsidR="00F962E4" w:rsidRDefault="00F962E4" w:rsidP="00F962E4">
      <w:pPr>
        <w:pStyle w:val="Body"/>
        <w:spacing w:after="0" w:line="276" w:lineRule="auto"/>
        <w:jc w:val="both"/>
        <w:rPr>
          <w:rFonts w:eastAsia="Arial" w:cs="Arial"/>
          <w:b/>
          <w:bCs/>
          <w:sz w:val="24"/>
          <w:szCs w:val="24"/>
          <w:lang w:val="en-US"/>
        </w:rPr>
      </w:pPr>
    </w:p>
    <w:p w14:paraId="2AF0BBA9" w14:textId="6DB2F421" w:rsidR="002750DF" w:rsidRPr="00F962E4" w:rsidRDefault="00AB1B7E" w:rsidP="00F962E4">
      <w:pPr>
        <w:pStyle w:val="Body"/>
        <w:spacing w:after="0" w:line="276" w:lineRule="auto"/>
        <w:jc w:val="both"/>
        <w:rPr>
          <w:rFonts w:eastAsia="Arial" w:cs="Arial"/>
          <w:sz w:val="24"/>
          <w:szCs w:val="24"/>
          <w:lang w:val="en-US"/>
        </w:rPr>
      </w:pPr>
      <w:r w:rsidRPr="00F962E4">
        <w:rPr>
          <w:sz w:val="24"/>
          <w:szCs w:val="24"/>
          <w:lang w:val="en-US"/>
        </w:rPr>
        <w:t>There will be many challenges and complexities to overcome, when delivering a new model of care.</w:t>
      </w:r>
      <w:r w:rsidR="008A5EB9" w:rsidRPr="00F962E4">
        <w:rPr>
          <w:sz w:val="24"/>
          <w:szCs w:val="24"/>
          <w:lang w:val="en-US"/>
        </w:rPr>
        <w:t xml:space="preserve"> </w:t>
      </w:r>
      <w:r w:rsidRPr="00F962E4">
        <w:rPr>
          <w:sz w:val="24"/>
          <w:szCs w:val="24"/>
          <w:lang w:val="en-US"/>
        </w:rPr>
        <w:t xml:space="preserve">Public oral health programs, </w:t>
      </w:r>
      <w:r w:rsidR="00395F44">
        <w:rPr>
          <w:sz w:val="24"/>
          <w:szCs w:val="24"/>
          <w:lang w:val="en-US"/>
        </w:rPr>
        <w:t>including</w:t>
      </w:r>
      <w:r w:rsidRPr="00F962E4">
        <w:rPr>
          <w:sz w:val="24"/>
          <w:szCs w:val="24"/>
          <w:lang w:val="en-US"/>
        </w:rPr>
        <w:t xml:space="preserve"> </w:t>
      </w:r>
      <w:r w:rsidR="00395F44">
        <w:rPr>
          <w:sz w:val="24"/>
          <w:szCs w:val="24"/>
          <w:lang w:val="en-US"/>
        </w:rPr>
        <w:t xml:space="preserve">NRCH OH </w:t>
      </w:r>
      <w:r w:rsidRPr="00F962E4">
        <w:rPr>
          <w:sz w:val="24"/>
          <w:szCs w:val="24"/>
          <w:lang w:val="en-US"/>
        </w:rPr>
        <w:t xml:space="preserve">operate on a limited budget and programs need to be dynamic and innovative to ensure efficient and cost- effective use of these limited </w:t>
      </w:r>
      <w:r w:rsidR="008A5EB9" w:rsidRPr="00F962E4">
        <w:rPr>
          <w:sz w:val="24"/>
          <w:szCs w:val="24"/>
          <w:lang w:val="en-US"/>
        </w:rPr>
        <w:t xml:space="preserve">funds. </w:t>
      </w:r>
      <w:r w:rsidR="00CB4922">
        <w:rPr>
          <w:sz w:val="24"/>
          <w:szCs w:val="24"/>
          <w:lang w:val="en-US"/>
        </w:rPr>
        <w:t xml:space="preserve">Using first principle of quality of care in the most appropriate model of care. </w:t>
      </w:r>
      <w:r w:rsidRPr="00F962E4">
        <w:rPr>
          <w:sz w:val="24"/>
          <w:szCs w:val="24"/>
          <w:lang w:val="en-US"/>
        </w:rPr>
        <w:t xml:space="preserve">The NRCH-OH program achieves this by utilising: public health principles, oral health promotion strategies, innovative use of staff, risk-based management and minimally invasive dentistry; yet, the program continues to be challenged with a finite budget. As a result the program is always exploring ways to deliver </w:t>
      </w:r>
      <w:r w:rsidR="00B378BC" w:rsidRPr="00F962E4">
        <w:rPr>
          <w:sz w:val="24"/>
          <w:szCs w:val="24"/>
          <w:lang w:val="en-US"/>
        </w:rPr>
        <w:t xml:space="preserve">high value </w:t>
      </w:r>
      <w:r w:rsidRPr="00F962E4">
        <w:rPr>
          <w:sz w:val="24"/>
          <w:szCs w:val="24"/>
          <w:lang w:val="en-US"/>
        </w:rPr>
        <w:t xml:space="preserve">outcomes </w:t>
      </w:r>
      <w:r w:rsidR="000B2F1E" w:rsidRPr="00F962E4">
        <w:rPr>
          <w:sz w:val="24"/>
          <w:szCs w:val="24"/>
          <w:lang w:val="en-US"/>
        </w:rPr>
        <w:t>within those budgetary constraints</w:t>
      </w:r>
      <w:r w:rsidRPr="00F962E4">
        <w:rPr>
          <w:sz w:val="24"/>
          <w:szCs w:val="24"/>
          <w:lang w:val="en-US"/>
        </w:rPr>
        <w:t xml:space="preserve">. </w:t>
      </w:r>
    </w:p>
    <w:p w14:paraId="5EAD33E8" w14:textId="50FF8AB5" w:rsidR="00D91CC2" w:rsidRDefault="00AB1B7E" w:rsidP="00D91CC2">
      <w:pPr>
        <w:pStyle w:val="Body"/>
        <w:spacing w:after="0" w:line="276" w:lineRule="auto"/>
        <w:jc w:val="both"/>
        <w:rPr>
          <w:sz w:val="24"/>
          <w:szCs w:val="24"/>
          <w:lang w:val="en-US"/>
        </w:rPr>
      </w:pPr>
      <w:r w:rsidRPr="00F962E4">
        <w:rPr>
          <w:sz w:val="24"/>
          <w:szCs w:val="24"/>
          <w:lang w:val="en-US"/>
        </w:rPr>
        <w:t xml:space="preserve">The current public dental service system in Australia is output driven, and there is no evidence that this system and associated policies are delivering the intended health outcomes. To ensure </w:t>
      </w:r>
      <w:r w:rsidR="000B2F1E" w:rsidRPr="00F962E4">
        <w:rPr>
          <w:sz w:val="24"/>
          <w:szCs w:val="24"/>
          <w:lang w:val="en-US"/>
        </w:rPr>
        <w:t xml:space="preserve">high </w:t>
      </w:r>
      <w:r w:rsidR="00B378BC" w:rsidRPr="00F962E4">
        <w:rPr>
          <w:sz w:val="24"/>
          <w:szCs w:val="24"/>
          <w:lang w:val="en-US"/>
        </w:rPr>
        <w:t xml:space="preserve">value </w:t>
      </w:r>
      <w:r w:rsidRPr="00F962E4">
        <w:rPr>
          <w:sz w:val="24"/>
          <w:szCs w:val="24"/>
          <w:lang w:val="en-US"/>
        </w:rPr>
        <w:t xml:space="preserve">services, new models of oral health care will need to move away from being output driven to one that focuses on </w:t>
      </w:r>
      <w:r w:rsidR="000B2F1E" w:rsidRPr="00F962E4">
        <w:rPr>
          <w:sz w:val="24"/>
          <w:szCs w:val="24"/>
          <w:lang w:val="en-US"/>
        </w:rPr>
        <w:t xml:space="preserve">value and </w:t>
      </w:r>
      <w:r w:rsidRPr="00F962E4">
        <w:rPr>
          <w:sz w:val="24"/>
          <w:szCs w:val="24"/>
          <w:lang w:val="en-US"/>
        </w:rPr>
        <w:t>outcomes</w:t>
      </w:r>
      <w:r w:rsidRPr="00F962E4">
        <w:rPr>
          <w:sz w:val="24"/>
          <w:szCs w:val="24"/>
          <w:vertAlign w:val="superscript"/>
        </w:rPr>
        <w:t>31</w:t>
      </w:r>
      <w:r w:rsidRPr="00F962E4">
        <w:rPr>
          <w:sz w:val="24"/>
          <w:szCs w:val="24"/>
          <w:lang w:val="en-US"/>
        </w:rPr>
        <w:t>. Achieving positive health outcomes in the most cost-eff</w:t>
      </w:r>
      <w:r w:rsidR="00EC77B0" w:rsidRPr="00F962E4">
        <w:rPr>
          <w:sz w:val="24"/>
          <w:szCs w:val="24"/>
          <w:lang w:val="en-US"/>
        </w:rPr>
        <w:t>ective</w:t>
      </w:r>
      <w:r w:rsidRPr="00F962E4">
        <w:rPr>
          <w:sz w:val="24"/>
          <w:szCs w:val="24"/>
          <w:lang w:val="en-US"/>
        </w:rPr>
        <w:t xml:space="preserve"> approach should be the end goal for any health service provider, yet, outcomes are rarely measured or reported on and existing services tend to be </w:t>
      </w:r>
      <w:r w:rsidR="000B2F1E" w:rsidRPr="00F962E4">
        <w:rPr>
          <w:sz w:val="24"/>
          <w:szCs w:val="24"/>
          <w:lang w:val="en-US"/>
        </w:rPr>
        <w:t>output</w:t>
      </w:r>
      <w:r w:rsidR="00B378BC" w:rsidRPr="00F962E4">
        <w:rPr>
          <w:sz w:val="24"/>
          <w:szCs w:val="24"/>
          <w:lang w:val="en-US"/>
        </w:rPr>
        <w:t xml:space="preserve"> and</w:t>
      </w:r>
      <w:r w:rsidR="000B2F1E" w:rsidRPr="00F962E4">
        <w:rPr>
          <w:sz w:val="24"/>
          <w:szCs w:val="24"/>
          <w:lang w:val="en-US"/>
        </w:rPr>
        <w:t xml:space="preserve"> target </w:t>
      </w:r>
      <w:r w:rsidRPr="00F962E4">
        <w:rPr>
          <w:sz w:val="24"/>
          <w:szCs w:val="24"/>
          <w:lang w:val="en-US"/>
        </w:rPr>
        <w:t xml:space="preserve">driven </w:t>
      </w:r>
      <w:r w:rsidRPr="00F962E4">
        <w:rPr>
          <w:sz w:val="24"/>
          <w:szCs w:val="24"/>
          <w:vertAlign w:val="superscript"/>
        </w:rPr>
        <w:t>31</w:t>
      </w:r>
      <w:r w:rsidRPr="00F962E4">
        <w:rPr>
          <w:sz w:val="24"/>
          <w:szCs w:val="24"/>
          <w:lang w:val="en-US"/>
        </w:rPr>
        <w:t>.In addition, with costs and expenditures for health care increasing</w:t>
      </w:r>
      <w:r w:rsidRPr="00F962E4">
        <w:rPr>
          <w:rFonts w:eastAsia="Arial" w:cs="Arial"/>
          <w:sz w:val="24"/>
          <w:szCs w:val="24"/>
          <w:vertAlign w:val="superscript"/>
        </w:rPr>
        <w:fldChar w:fldCharType="begin"/>
      </w:r>
      <w:r w:rsidRPr="00F962E4">
        <w:rPr>
          <w:rFonts w:eastAsia="Arial" w:cs="Arial"/>
          <w:sz w:val="24"/>
          <w:szCs w:val="24"/>
          <w:vertAlign w:val="superscript"/>
        </w:rPr>
        <w:instrText xml:space="preserve"> ADDIN EN.CITE &lt;EndNote&gt;&lt;Cite&gt;&lt;DisplayText&gt;32&lt;/DisplayText&gt;&lt;record&gt;&lt;/record&gt;&lt;/Cite&gt;&lt;/EndNote&gt;</w:instrText>
      </w:r>
      <w:r w:rsidRPr="00F962E4">
        <w:rPr>
          <w:rFonts w:eastAsia="Arial" w:cs="Arial"/>
          <w:sz w:val="24"/>
          <w:szCs w:val="24"/>
          <w:vertAlign w:val="superscript"/>
        </w:rPr>
        <w:fldChar w:fldCharType="separate"/>
      </w:r>
      <w:r w:rsidRPr="00F962E4">
        <w:rPr>
          <w:sz w:val="24"/>
          <w:szCs w:val="24"/>
          <w:vertAlign w:val="superscript"/>
        </w:rPr>
        <w:t>32</w:t>
      </w:r>
      <w:r w:rsidRPr="00F962E4">
        <w:rPr>
          <w:rFonts w:eastAsia="Arial" w:cs="Arial"/>
          <w:sz w:val="24"/>
          <w:szCs w:val="24"/>
          <w:vertAlign w:val="superscript"/>
        </w:rPr>
        <w:fldChar w:fldCharType="end"/>
      </w:r>
      <w:r w:rsidRPr="00F962E4">
        <w:rPr>
          <w:sz w:val="24"/>
          <w:szCs w:val="24"/>
          <w:lang w:val="en-US"/>
        </w:rPr>
        <w:t xml:space="preserve">, it is necessary for services to remain viable and efficient by delivering the best outcomes at the least cost </w:t>
      </w:r>
      <w:r w:rsidRPr="00F962E4">
        <w:rPr>
          <w:sz w:val="24"/>
          <w:szCs w:val="24"/>
          <w:vertAlign w:val="superscript"/>
        </w:rPr>
        <w:t>33</w:t>
      </w:r>
      <w:r w:rsidRPr="00F962E4">
        <w:rPr>
          <w:sz w:val="24"/>
          <w:szCs w:val="24"/>
          <w:lang w:val="en-US"/>
        </w:rPr>
        <w:t xml:space="preserve">. In an outcome focused community health system this can be achieved using a client-centered approach, where the aim is to support and enable people with high levels of clinical need to improve their health literacy and ability to take care of their health. </w:t>
      </w:r>
    </w:p>
    <w:p w14:paraId="705BFAE3" w14:textId="35AD360E" w:rsidR="002750DF" w:rsidRPr="00F962E4" w:rsidRDefault="00AB1B7E" w:rsidP="00D91CC2">
      <w:pPr>
        <w:pStyle w:val="Body"/>
        <w:spacing w:after="0" w:line="276" w:lineRule="auto"/>
        <w:jc w:val="both"/>
        <w:rPr>
          <w:rFonts w:eastAsia="Arial" w:cs="Arial"/>
          <w:sz w:val="24"/>
          <w:szCs w:val="24"/>
          <w:lang w:val="en-US"/>
        </w:rPr>
      </w:pPr>
      <w:r w:rsidRPr="00F962E4">
        <w:rPr>
          <w:sz w:val="24"/>
          <w:szCs w:val="24"/>
          <w:lang w:val="en-US"/>
        </w:rPr>
        <w:t xml:space="preserve">This will also require integration with other health and care providers to </w:t>
      </w:r>
      <w:r w:rsidR="003E1472">
        <w:rPr>
          <w:sz w:val="24"/>
          <w:szCs w:val="24"/>
          <w:lang w:val="en-US"/>
        </w:rPr>
        <w:t>ensure the best client outcomes</w:t>
      </w:r>
      <w:r w:rsidRPr="00F962E4">
        <w:rPr>
          <w:sz w:val="24"/>
          <w:szCs w:val="24"/>
          <w:vertAlign w:val="superscript"/>
        </w:rPr>
        <w:t>31</w:t>
      </w:r>
      <w:r w:rsidRPr="00F962E4">
        <w:rPr>
          <w:rFonts w:eastAsia="NeueSans-Normal" w:cs="NeueSans-Normal"/>
          <w:color w:val="58595B"/>
          <w:sz w:val="24"/>
          <w:szCs w:val="24"/>
          <w:u w:color="58595B"/>
        </w:rPr>
        <w:t>.</w:t>
      </w:r>
      <w:r w:rsidRPr="00F962E4">
        <w:rPr>
          <w:rFonts w:eastAsia="Arial" w:cs="Arial"/>
          <w:sz w:val="24"/>
          <w:szCs w:val="24"/>
          <w:lang w:val="en-US"/>
        </w:rPr>
        <w:br/>
      </w:r>
    </w:p>
    <w:p w14:paraId="13B4D506" w14:textId="77777777" w:rsidR="002750DF" w:rsidRPr="00F962E4" w:rsidRDefault="000B2F1E" w:rsidP="00F962E4">
      <w:pPr>
        <w:pStyle w:val="Body"/>
        <w:spacing w:after="0" w:line="276" w:lineRule="auto"/>
        <w:jc w:val="both"/>
        <w:rPr>
          <w:rFonts w:eastAsia="Arial" w:cs="Arial"/>
          <w:sz w:val="24"/>
          <w:szCs w:val="24"/>
          <w:lang w:val="en-US"/>
        </w:rPr>
      </w:pPr>
      <w:r w:rsidRPr="00F962E4">
        <w:rPr>
          <w:sz w:val="24"/>
          <w:szCs w:val="24"/>
          <w:lang w:val="en-US"/>
        </w:rPr>
        <w:t>E</w:t>
      </w:r>
      <w:r w:rsidR="00AB1B7E" w:rsidRPr="00F962E4">
        <w:rPr>
          <w:sz w:val="24"/>
          <w:szCs w:val="24"/>
          <w:lang w:val="en-US"/>
        </w:rPr>
        <w:t xml:space="preserve">fficiency and effectiveness in the health care system can be improved by the innovative use of </w:t>
      </w:r>
      <w:r w:rsidRPr="00F962E4">
        <w:rPr>
          <w:sz w:val="24"/>
          <w:szCs w:val="24"/>
          <w:lang w:val="en-US"/>
        </w:rPr>
        <w:t xml:space="preserve">modern </w:t>
      </w:r>
      <w:r w:rsidR="00AB1B7E" w:rsidRPr="00F962E4">
        <w:rPr>
          <w:sz w:val="24"/>
          <w:szCs w:val="24"/>
          <w:lang w:val="en-US"/>
        </w:rPr>
        <w:t xml:space="preserve">information technology </w:t>
      </w:r>
      <w:r w:rsidR="00AB1B7E" w:rsidRPr="00F962E4">
        <w:rPr>
          <w:sz w:val="24"/>
          <w:szCs w:val="24"/>
          <w:vertAlign w:val="superscript"/>
          <w:lang w:val="ru-RU"/>
        </w:rPr>
        <w:t>34</w:t>
      </w:r>
      <w:r w:rsidR="00AB1B7E" w:rsidRPr="00F962E4">
        <w:rPr>
          <w:sz w:val="24"/>
          <w:szCs w:val="24"/>
          <w:lang w:val="en-US"/>
        </w:rPr>
        <w:t xml:space="preserve">, with application such as: electronic record systems, handheld electronic devices, electronics to support clinical decision making, practice-based data for research to build evidence-base, advanced data analytics to inform decision making and electronic patient self-monitoring systems </w:t>
      </w:r>
      <w:r w:rsidR="00AB1B7E" w:rsidRPr="00F962E4">
        <w:rPr>
          <w:sz w:val="24"/>
          <w:szCs w:val="24"/>
          <w:vertAlign w:val="superscript"/>
          <w:lang w:val="ru-RU"/>
        </w:rPr>
        <w:t>34</w:t>
      </w:r>
      <w:r w:rsidR="00AB1B7E" w:rsidRPr="00F962E4">
        <w:rPr>
          <w:sz w:val="24"/>
          <w:szCs w:val="24"/>
          <w:lang w:val="en-US"/>
        </w:rPr>
        <w:t xml:space="preserve">. The health service delivery system will need to adapt to and adopt these new information technologies to be relevant to the times, and to ensure that clients are receiving the best </w:t>
      </w:r>
      <w:r w:rsidRPr="00F962E4">
        <w:rPr>
          <w:sz w:val="24"/>
          <w:szCs w:val="24"/>
          <w:lang w:val="en-US"/>
        </w:rPr>
        <w:t xml:space="preserve">value </w:t>
      </w:r>
      <w:r w:rsidR="00AB1B7E" w:rsidRPr="00F962E4">
        <w:rPr>
          <w:sz w:val="24"/>
          <w:szCs w:val="24"/>
          <w:lang w:val="en-US"/>
        </w:rPr>
        <w:t>care possible.</w:t>
      </w:r>
    </w:p>
    <w:p w14:paraId="1B5CF2B7" w14:textId="77777777" w:rsidR="002750DF" w:rsidRPr="00F962E4" w:rsidRDefault="00AB1B7E" w:rsidP="00F962E4">
      <w:pPr>
        <w:pStyle w:val="Body"/>
        <w:spacing w:after="0" w:line="276" w:lineRule="auto"/>
        <w:jc w:val="both"/>
        <w:rPr>
          <w:rFonts w:eastAsia="Arial" w:cs="Arial"/>
          <w:sz w:val="24"/>
          <w:szCs w:val="24"/>
          <w:lang w:val="en-US"/>
        </w:rPr>
      </w:pPr>
      <w:r w:rsidRPr="00F962E4">
        <w:rPr>
          <w:sz w:val="24"/>
          <w:szCs w:val="24"/>
          <w:lang w:val="en-US"/>
        </w:rPr>
        <w:t xml:space="preserve">There will also be considerable challenges and complexities to re-orient the dental </w:t>
      </w:r>
      <w:r w:rsidR="000B2F1E" w:rsidRPr="00F962E4">
        <w:rPr>
          <w:sz w:val="24"/>
          <w:szCs w:val="24"/>
          <w:lang w:val="en-US"/>
        </w:rPr>
        <w:t xml:space="preserve">system </w:t>
      </w:r>
      <w:r w:rsidRPr="00F962E4">
        <w:rPr>
          <w:sz w:val="24"/>
          <w:szCs w:val="24"/>
          <w:lang w:val="en-US"/>
        </w:rPr>
        <w:t xml:space="preserve">away from the traditional surgical model of care to a more preventive-based approach. Some key barriers to this change are: economics, lack of time, education system focused on surgical intervention, healthcare systems oriented towards surgical intervention, and peer’s opinion valued higher than research </w:t>
      </w:r>
      <w:r w:rsidRPr="00F962E4">
        <w:rPr>
          <w:rFonts w:eastAsia="Arial" w:cs="Arial"/>
          <w:sz w:val="24"/>
          <w:szCs w:val="24"/>
          <w:vertAlign w:val="superscript"/>
        </w:rPr>
        <w:fldChar w:fldCharType="begin"/>
      </w:r>
      <w:r w:rsidRPr="00F962E4">
        <w:rPr>
          <w:rFonts w:eastAsia="Arial" w:cs="Arial"/>
          <w:sz w:val="24"/>
          <w:szCs w:val="24"/>
          <w:vertAlign w:val="superscript"/>
        </w:rPr>
        <w:instrText xml:space="preserve"> ADDIN EN.CITE &lt;EndNote&gt;&lt;Cite&gt;&lt;DisplayText&gt;35, 36&lt;/DisplayText&gt;&lt;record&gt;&lt;/record&gt;&lt;/Cite&gt;&lt;/EndNote&gt;</w:instrText>
      </w:r>
      <w:r w:rsidRPr="00F962E4">
        <w:rPr>
          <w:rFonts w:eastAsia="Arial" w:cs="Arial"/>
          <w:sz w:val="24"/>
          <w:szCs w:val="24"/>
          <w:vertAlign w:val="superscript"/>
        </w:rPr>
        <w:fldChar w:fldCharType="separate"/>
      </w:r>
      <w:r w:rsidRPr="00F962E4">
        <w:rPr>
          <w:sz w:val="24"/>
          <w:szCs w:val="24"/>
          <w:vertAlign w:val="superscript"/>
        </w:rPr>
        <w:t>35, 36</w:t>
      </w:r>
      <w:r w:rsidRPr="00F962E4">
        <w:rPr>
          <w:rFonts w:eastAsia="Arial" w:cs="Arial"/>
          <w:sz w:val="24"/>
          <w:szCs w:val="24"/>
          <w:vertAlign w:val="superscript"/>
        </w:rPr>
        <w:fldChar w:fldCharType="end"/>
      </w:r>
      <w:r w:rsidRPr="00F962E4">
        <w:rPr>
          <w:sz w:val="24"/>
          <w:szCs w:val="24"/>
          <w:lang w:val="en-US"/>
        </w:rPr>
        <w:t xml:space="preserve">. Research has also shown, that while </w:t>
      </w:r>
      <w:r w:rsidR="000B2F1E" w:rsidRPr="00F962E4">
        <w:rPr>
          <w:sz w:val="24"/>
          <w:szCs w:val="24"/>
          <w:lang w:val="en-US"/>
        </w:rPr>
        <w:t xml:space="preserve">practitioners </w:t>
      </w:r>
      <w:r w:rsidRPr="00F962E4">
        <w:rPr>
          <w:sz w:val="24"/>
          <w:szCs w:val="24"/>
          <w:lang w:val="en-US"/>
        </w:rPr>
        <w:t xml:space="preserve">are good at attending </w:t>
      </w:r>
      <w:r w:rsidR="0069381E" w:rsidRPr="00F962E4">
        <w:rPr>
          <w:sz w:val="24"/>
          <w:szCs w:val="24"/>
          <w:lang w:val="en-US"/>
        </w:rPr>
        <w:t>professional development opportunities</w:t>
      </w:r>
      <w:r w:rsidRPr="00F962E4">
        <w:rPr>
          <w:sz w:val="24"/>
          <w:szCs w:val="24"/>
          <w:lang w:val="en-US"/>
        </w:rPr>
        <w:t xml:space="preserve">, they take a long time to implement innovative evidence-informed practices </w:t>
      </w:r>
      <w:r w:rsidRPr="00F962E4">
        <w:rPr>
          <w:rFonts w:eastAsia="Arial" w:cs="Arial"/>
          <w:sz w:val="24"/>
          <w:szCs w:val="24"/>
          <w:vertAlign w:val="superscript"/>
        </w:rPr>
        <w:fldChar w:fldCharType="begin"/>
      </w:r>
      <w:r w:rsidRPr="00F962E4">
        <w:rPr>
          <w:rFonts w:eastAsia="Arial" w:cs="Arial"/>
          <w:sz w:val="24"/>
          <w:szCs w:val="24"/>
          <w:vertAlign w:val="superscript"/>
        </w:rPr>
        <w:instrText xml:space="preserve"> ADDIN EN.CITE &lt;EndNote&gt;&lt;Cite&gt;&lt;DisplayText&gt;37, 38&lt;/DisplayText&gt;&lt;record&gt;&lt;/record&gt;&lt;/Cite&gt;&lt;/EndNote&gt;</w:instrText>
      </w:r>
      <w:r w:rsidRPr="00F962E4">
        <w:rPr>
          <w:rFonts w:eastAsia="Arial" w:cs="Arial"/>
          <w:sz w:val="24"/>
          <w:szCs w:val="24"/>
          <w:vertAlign w:val="superscript"/>
        </w:rPr>
        <w:fldChar w:fldCharType="separate"/>
      </w:r>
      <w:r w:rsidRPr="00F962E4">
        <w:rPr>
          <w:sz w:val="24"/>
          <w:szCs w:val="24"/>
          <w:vertAlign w:val="superscript"/>
        </w:rPr>
        <w:t>37, 38</w:t>
      </w:r>
      <w:r w:rsidRPr="00F962E4">
        <w:rPr>
          <w:rFonts w:eastAsia="Arial" w:cs="Arial"/>
          <w:sz w:val="24"/>
          <w:szCs w:val="24"/>
          <w:vertAlign w:val="superscript"/>
        </w:rPr>
        <w:fldChar w:fldCharType="end"/>
      </w:r>
      <w:r w:rsidRPr="00F962E4">
        <w:rPr>
          <w:sz w:val="24"/>
          <w:szCs w:val="24"/>
          <w:lang w:val="en-US"/>
        </w:rPr>
        <w:t>.</w:t>
      </w:r>
    </w:p>
    <w:p w14:paraId="44CAB771" w14:textId="77777777" w:rsidR="003E1472" w:rsidRDefault="00AB1B7E" w:rsidP="00F962E4">
      <w:pPr>
        <w:pStyle w:val="Body"/>
        <w:spacing w:line="276" w:lineRule="auto"/>
        <w:jc w:val="both"/>
        <w:rPr>
          <w:sz w:val="24"/>
          <w:szCs w:val="24"/>
          <w:lang w:val="en-US"/>
        </w:rPr>
      </w:pPr>
      <w:r w:rsidRPr="00F962E4">
        <w:rPr>
          <w:sz w:val="24"/>
          <w:szCs w:val="24"/>
          <w:lang w:val="en-US"/>
        </w:rPr>
        <w:lastRenderedPageBreak/>
        <w:t xml:space="preserve">It is time for change, and the Oral Health Program at North Richmond Community Health looks forward to addressing some of these challenges through the next phase in the development and refinement of this model of care, through an evaluation of the model's processes. </w:t>
      </w:r>
    </w:p>
    <w:p w14:paraId="5D92C816" w14:textId="2FEC4564" w:rsidR="00D312FF" w:rsidRPr="00F962E4" w:rsidRDefault="00AB1B7E" w:rsidP="00F962E4">
      <w:pPr>
        <w:pStyle w:val="Body"/>
        <w:spacing w:line="276" w:lineRule="auto"/>
        <w:jc w:val="both"/>
        <w:rPr>
          <w:sz w:val="24"/>
          <w:szCs w:val="24"/>
          <w:lang w:val="en-US"/>
        </w:rPr>
      </w:pPr>
      <w:r w:rsidRPr="00F962E4">
        <w:rPr>
          <w:sz w:val="24"/>
          <w:szCs w:val="24"/>
          <w:lang w:val="en-US"/>
        </w:rPr>
        <w:t xml:space="preserve"> </w:t>
      </w:r>
      <w:r w:rsidR="00D312FF" w:rsidRPr="00F962E4">
        <w:rPr>
          <w:sz w:val="24"/>
          <w:szCs w:val="24"/>
          <w:lang w:val="en-US"/>
        </w:rPr>
        <w:t>Dr. Martin Hall</w:t>
      </w:r>
    </w:p>
    <w:p w14:paraId="6312D4B9" w14:textId="77777777" w:rsidR="00D312FF" w:rsidRPr="00F962E4" w:rsidRDefault="00D312FF" w:rsidP="00F962E4">
      <w:pPr>
        <w:pStyle w:val="Body"/>
        <w:spacing w:line="276" w:lineRule="auto"/>
        <w:ind w:firstLine="720"/>
        <w:jc w:val="both"/>
        <w:rPr>
          <w:sz w:val="24"/>
          <w:szCs w:val="24"/>
          <w:lang w:val="en-US"/>
        </w:rPr>
      </w:pPr>
      <w:r w:rsidRPr="00F962E4">
        <w:rPr>
          <w:sz w:val="24"/>
          <w:szCs w:val="24"/>
          <w:lang w:val="en-US"/>
        </w:rPr>
        <w:t>North Richmond Community Health Limited</w:t>
      </w:r>
    </w:p>
    <w:p w14:paraId="6477AA27" w14:textId="77777777" w:rsidR="00D312FF" w:rsidRPr="00F962E4" w:rsidRDefault="00D312FF" w:rsidP="00F962E4">
      <w:pPr>
        <w:pStyle w:val="Body"/>
        <w:spacing w:line="276" w:lineRule="auto"/>
        <w:ind w:firstLine="720"/>
        <w:jc w:val="both"/>
        <w:rPr>
          <w:sz w:val="24"/>
          <w:szCs w:val="24"/>
          <w:lang w:val="en-US"/>
        </w:rPr>
      </w:pPr>
      <w:r w:rsidRPr="00F962E4">
        <w:rPr>
          <w:sz w:val="24"/>
          <w:szCs w:val="24"/>
          <w:lang w:val="en-US"/>
        </w:rPr>
        <w:t xml:space="preserve">23 Lennox Street, Richmond, Victoria 3121  </w:t>
      </w:r>
    </w:p>
    <w:p w14:paraId="19138A5F" w14:textId="70143F4B" w:rsidR="004C140C" w:rsidRDefault="004C140C">
      <w:pPr>
        <w:rPr>
          <w:rFonts w:ascii="Arial" w:eastAsia="Arial" w:hAnsi="Arial" w:cs="Arial"/>
          <w:b/>
          <w:bCs/>
          <w:color w:val="000000"/>
          <w:sz w:val="22"/>
          <w:szCs w:val="22"/>
          <w:u w:val="single" w:color="000000"/>
          <w:lang w:val="en-AU" w:eastAsia="en-AU"/>
        </w:rPr>
      </w:pPr>
      <w:r>
        <w:rPr>
          <w:rFonts w:ascii="Arial" w:eastAsia="Arial" w:hAnsi="Arial" w:cs="Arial"/>
          <w:b/>
          <w:bCs/>
          <w:u w:val="single"/>
        </w:rPr>
        <w:br w:type="page"/>
      </w:r>
    </w:p>
    <w:p w14:paraId="53CD0373" w14:textId="77777777" w:rsidR="002750DF" w:rsidRDefault="002750DF">
      <w:pPr>
        <w:pStyle w:val="Body"/>
        <w:spacing w:after="0" w:line="360" w:lineRule="auto"/>
        <w:rPr>
          <w:rFonts w:ascii="Arial" w:eastAsia="Arial" w:hAnsi="Arial" w:cs="Arial"/>
          <w:b/>
          <w:bCs/>
          <w:u w:val="single"/>
        </w:rPr>
      </w:pPr>
    </w:p>
    <w:p w14:paraId="1DB02B64" w14:textId="77777777" w:rsidR="002750DF" w:rsidRDefault="00AB1B7E">
      <w:pPr>
        <w:pStyle w:val="Body"/>
        <w:spacing w:after="0" w:line="360" w:lineRule="auto"/>
        <w:rPr>
          <w:rFonts w:ascii="Arial" w:eastAsia="Arial" w:hAnsi="Arial" w:cs="Arial"/>
          <w:b/>
          <w:bCs/>
          <w:u w:val="single"/>
        </w:rPr>
      </w:pPr>
      <w:r>
        <w:rPr>
          <w:rFonts w:ascii="Arial"/>
          <w:b/>
          <w:bCs/>
          <w:u w:val="single"/>
          <w:lang w:val="de-DE"/>
        </w:rPr>
        <w:t>REFERENCES</w:t>
      </w:r>
    </w:p>
    <w:p w14:paraId="0A7D5CBE" w14:textId="77777777" w:rsidR="002750DF" w:rsidRDefault="002750DF">
      <w:pPr>
        <w:pStyle w:val="Body"/>
        <w:spacing w:after="0" w:line="360" w:lineRule="auto"/>
        <w:rPr>
          <w:rFonts w:ascii="Arial" w:eastAsia="Arial" w:hAnsi="Arial" w:cs="Arial"/>
          <w:sz w:val="20"/>
          <w:szCs w:val="20"/>
        </w:rPr>
      </w:pPr>
    </w:p>
    <w:p w14:paraId="716CFB56" w14:textId="5DC2BAEC" w:rsidR="002750DF" w:rsidRPr="004C140C" w:rsidRDefault="00250840" w:rsidP="004C140C">
      <w:pPr>
        <w:pStyle w:val="EndNoteBibliography"/>
        <w:spacing w:after="0"/>
        <w:ind w:left="709" w:hanging="567"/>
        <w:rPr>
          <w:sz w:val="20"/>
        </w:rPr>
      </w:pPr>
      <w:hyperlink r:id="rId19" w:history="1">
        <w:r w:rsidR="00AB1B7E" w:rsidRPr="004C140C">
          <w:rPr>
            <w:rStyle w:val="Hyperlink3"/>
            <w:rFonts w:ascii="Trebuchet MS"/>
            <w:sz w:val="20"/>
            <w:lang w:val="en-US"/>
          </w:rPr>
          <w:t>1.</w:t>
        </w:r>
        <w:r w:rsidR="00AB1B7E" w:rsidRPr="004C140C">
          <w:rPr>
            <w:rStyle w:val="Hyperlink3"/>
            <w:rFonts w:ascii="Trebuchet MS"/>
            <w:sz w:val="20"/>
            <w:lang w:val="en-US"/>
          </w:rPr>
          <w:tab/>
          <w:t>Brennan DS. Oral health of adults in the public dental sector. Canberra: Australian Institute of Health and Welfare, 2008.</w:t>
        </w:r>
        <w:r w:rsidR="00AB1B7E" w:rsidRPr="004C140C">
          <w:rPr>
            <w:rStyle w:val="Hyperlink3"/>
            <w:rFonts w:ascii="Trebuchet MS"/>
            <w:sz w:val="20"/>
            <w:lang w:val="en-US"/>
          </w:rPr>
          <w:br/>
        </w:r>
      </w:hyperlink>
      <w:r w:rsidR="00AB1B7E" w:rsidRPr="004C140C">
        <w:rPr>
          <w:rFonts w:ascii="Trebuchet MS"/>
          <w:sz w:val="20"/>
          <w:lang w:val="en-US"/>
        </w:rPr>
        <w:t>5.</w:t>
      </w:r>
      <w:r w:rsidR="00AB1B7E" w:rsidRPr="004C140C">
        <w:rPr>
          <w:rFonts w:ascii="Trebuchet MS"/>
          <w:sz w:val="20"/>
          <w:lang w:val="en-US"/>
        </w:rPr>
        <w:tab/>
        <w:t>Australian Institute of Health and Welfare. Australia's Health 2014. Ageing and the health system: challenges, opportunities and adaptations. Canberra: AIHW, 2014  Contract No.: Cat. no. AUS 178.</w:t>
      </w:r>
    </w:p>
    <w:p w14:paraId="7CF30182" w14:textId="77777777" w:rsidR="002750DF" w:rsidRPr="004C140C" w:rsidRDefault="00AB1B7E" w:rsidP="004C140C">
      <w:pPr>
        <w:pStyle w:val="EndNoteBibliography"/>
        <w:spacing w:after="0"/>
        <w:ind w:left="709" w:hanging="567"/>
        <w:rPr>
          <w:sz w:val="20"/>
        </w:rPr>
      </w:pPr>
      <w:r w:rsidRPr="004C140C">
        <w:rPr>
          <w:rFonts w:ascii="Trebuchet MS"/>
          <w:sz w:val="20"/>
          <w:lang w:val="en-US"/>
        </w:rPr>
        <w:t>6.</w:t>
      </w:r>
      <w:r w:rsidRPr="004C140C">
        <w:rPr>
          <w:rFonts w:ascii="Trebuchet MS"/>
          <w:sz w:val="20"/>
          <w:lang w:val="en-US"/>
        </w:rPr>
        <w:tab/>
        <w:t>Australian Institute of Health and Welfare. Australia's health 2014. Canberra: AIHW, 2014  Contract No.: Cat. no. AUS 178.</w:t>
      </w:r>
    </w:p>
    <w:p w14:paraId="118DCE64" w14:textId="77777777" w:rsidR="002750DF" w:rsidRPr="004C140C" w:rsidRDefault="00AB1B7E" w:rsidP="004C140C">
      <w:pPr>
        <w:pStyle w:val="EndNoteBibliography"/>
        <w:spacing w:after="0"/>
        <w:ind w:left="709" w:hanging="567"/>
        <w:rPr>
          <w:sz w:val="20"/>
        </w:rPr>
      </w:pPr>
      <w:r w:rsidRPr="004C140C">
        <w:rPr>
          <w:rFonts w:ascii="Trebuchet MS"/>
          <w:sz w:val="20"/>
          <w:lang w:val="en-US"/>
        </w:rPr>
        <w:t>7.</w:t>
      </w:r>
      <w:r w:rsidRPr="004C140C">
        <w:rPr>
          <w:rFonts w:ascii="Trebuchet MS"/>
          <w:sz w:val="20"/>
          <w:lang w:val="en-US"/>
        </w:rPr>
        <w:tab/>
        <w:t>Australian Institute of Health and Welfare. Dementia in Australia. Canberra: AIHW, 2012  Contract No.: Cat. no. AGE 70.</w:t>
      </w:r>
    </w:p>
    <w:p w14:paraId="0833970B" w14:textId="77777777" w:rsidR="002750DF" w:rsidRPr="004C140C" w:rsidRDefault="00AB1B7E" w:rsidP="004C140C">
      <w:pPr>
        <w:pStyle w:val="EndNoteBibliography"/>
        <w:spacing w:after="0"/>
        <w:ind w:left="709" w:hanging="567"/>
        <w:rPr>
          <w:sz w:val="20"/>
        </w:rPr>
      </w:pPr>
      <w:r w:rsidRPr="004C140C">
        <w:rPr>
          <w:rFonts w:ascii="Trebuchet MS"/>
          <w:sz w:val="20"/>
          <w:lang w:val="en-US"/>
        </w:rPr>
        <w:t>8.</w:t>
      </w:r>
      <w:r w:rsidRPr="004C140C">
        <w:rPr>
          <w:rFonts w:ascii="Trebuchet MS"/>
          <w:sz w:val="20"/>
          <w:lang w:val="en-US"/>
        </w:rPr>
        <w:tab/>
        <w:t xml:space="preserve">Christian B, Chattopadhyay A, Kingman A, et al. Oral health care services </w:t>
      </w:r>
      <w:proofErr w:type="spellStart"/>
      <w:r w:rsidRPr="004C140C">
        <w:rPr>
          <w:rFonts w:ascii="Trebuchet MS"/>
          <w:sz w:val="20"/>
          <w:lang w:val="en-US"/>
        </w:rPr>
        <w:t>utilisation</w:t>
      </w:r>
      <w:proofErr w:type="spellEnd"/>
      <w:r w:rsidRPr="004C140C">
        <w:rPr>
          <w:rFonts w:ascii="Trebuchet MS"/>
          <w:sz w:val="20"/>
          <w:lang w:val="en-US"/>
        </w:rPr>
        <w:t xml:space="preserve"> in the adult US population: Medical Expenditure Panel Survey 2006. Community dental health 2013;30(3):161-7.</w:t>
      </w:r>
    </w:p>
    <w:p w14:paraId="3E3623C3" w14:textId="77777777" w:rsidR="002750DF" w:rsidRPr="004C140C" w:rsidRDefault="00AB1B7E" w:rsidP="004C140C">
      <w:pPr>
        <w:pStyle w:val="EndNoteBibliography"/>
        <w:spacing w:after="0"/>
        <w:ind w:left="709" w:hanging="567"/>
        <w:rPr>
          <w:sz w:val="20"/>
        </w:rPr>
      </w:pPr>
      <w:r w:rsidRPr="004C140C">
        <w:rPr>
          <w:rFonts w:ascii="Trebuchet MS"/>
          <w:sz w:val="20"/>
          <w:lang w:val="en-US"/>
        </w:rPr>
        <w:t>9.</w:t>
      </w:r>
      <w:r w:rsidRPr="004C140C">
        <w:rPr>
          <w:rFonts w:ascii="Trebuchet MS"/>
          <w:sz w:val="20"/>
          <w:lang w:val="en-US"/>
        </w:rPr>
        <w:tab/>
        <w:t xml:space="preserve">U. S. Department of Health and Human Services. Oral health in America: A report of the Surgeon General Rockville: U.S. Department of Health and Human Services, National Institute of Dental and Craniofacial Research, Health </w:t>
      </w:r>
      <w:proofErr w:type="spellStart"/>
      <w:r w:rsidRPr="004C140C">
        <w:rPr>
          <w:rFonts w:ascii="Trebuchet MS"/>
          <w:sz w:val="20"/>
          <w:lang w:val="en-US"/>
        </w:rPr>
        <w:t>NIo</w:t>
      </w:r>
      <w:proofErr w:type="spellEnd"/>
      <w:r w:rsidRPr="004C140C">
        <w:rPr>
          <w:rFonts w:ascii="Trebuchet MS"/>
          <w:sz w:val="20"/>
          <w:lang w:val="en-US"/>
        </w:rPr>
        <w:t>; 2000.</w:t>
      </w:r>
    </w:p>
    <w:p w14:paraId="3E06D478" w14:textId="77777777" w:rsidR="002750DF" w:rsidRPr="004C140C" w:rsidRDefault="00AB1B7E" w:rsidP="004C140C">
      <w:pPr>
        <w:pStyle w:val="EndNoteBibliography"/>
        <w:spacing w:after="0"/>
        <w:ind w:left="709" w:hanging="567"/>
        <w:rPr>
          <w:sz w:val="20"/>
        </w:rPr>
      </w:pPr>
      <w:r w:rsidRPr="004C140C">
        <w:rPr>
          <w:rFonts w:ascii="Trebuchet MS"/>
          <w:sz w:val="20"/>
          <w:lang w:val="en-US"/>
        </w:rPr>
        <w:t>10.</w:t>
      </w:r>
      <w:r w:rsidRPr="004C140C">
        <w:rPr>
          <w:rFonts w:ascii="Trebuchet MS"/>
          <w:sz w:val="20"/>
          <w:lang w:val="en-US"/>
        </w:rPr>
        <w:tab/>
        <w:t>Davidson N, Skull S, Calache H, Murray SS, Chalmers J. Holes a plenty: oral health status a major issue for newly arrived refugees in Australia. Australian Dental Journal 2006;51(4):306-11.</w:t>
      </w:r>
    </w:p>
    <w:p w14:paraId="2711D743" w14:textId="77777777" w:rsidR="002750DF" w:rsidRPr="004C140C" w:rsidRDefault="00AB1B7E" w:rsidP="004C140C">
      <w:pPr>
        <w:pStyle w:val="EndNoteBibliography"/>
        <w:spacing w:after="0"/>
        <w:ind w:left="709" w:hanging="567"/>
        <w:rPr>
          <w:sz w:val="20"/>
        </w:rPr>
      </w:pPr>
      <w:r w:rsidRPr="004C140C">
        <w:rPr>
          <w:rFonts w:ascii="Trebuchet MS"/>
          <w:sz w:val="20"/>
          <w:lang w:val="en-US"/>
        </w:rPr>
        <w:t>11.</w:t>
      </w:r>
      <w:r w:rsidRPr="004C140C">
        <w:rPr>
          <w:rFonts w:ascii="Trebuchet MS"/>
          <w:sz w:val="20"/>
          <w:lang w:val="en-US"/>
        </w:rPr>
        <w:tab/>
        <w:t>Christian B, Hall M, Martin R. A paradigm shift in models of oral health care: An example and a call to action. Family Medicine and Community Health 2015;3(4):32-7.</w:t>
      </w:r>
    </w:p>
    <w:p w14:paraId="727BECBE" w14:textId="77777777" w:rsidR="002750DF" w:rsidRPr="004C140C" w:rsidRDefault="00AB1B7E" w:rsidP="004C140C">
      <w:pPr>
        <w:pStyle w:val="EndNoteBibliography"/>
        <w:spacing w:after="0"/>
        <w:ind w:left="709" w:hanging="567"/>
        <w:rPr>
          <w:sz w:val="20"/>
        </w:rPr>
      </w:pPr>
      <w:r w:rsidRPr="004C140C">
        <w:rPr>
          <w:rFonts w:ascii="Trebuchet MS"/>
          <w:sz w:val="20"/>
          <w:lang w:val="en-US"/>
        </w:rPr>
        <w:t>12.</w:t>
      </w:r>
      <w:r w:rsidRPr="004C140C">
        <w:rPr>
          <w:rFonts w:ascii="Trebuchet MS"/>
          <w:sz w:val="20"/>
          <w:lang w:val="en-US"/>
        </w:rPr>
        <w:tab/>
        <w:t>Dental Health Services Victoria. Establishing innovative models of care: A discussion paper. Melbourne: DHSV, 2012.</w:t>
      </w:r>
    </w:p>
    <w:p w14:paraId="17363933" w14:textId="77777777" w:rsidR="002750DF" w:rsidRPr="004C140C" w:rsidRDefault="00AB1B7E" w:rsidP="004C140C">
      <w:pPr>
        <w:pStyle w:val="EndNoteBibliography"/>
        <w:spacing w:after="0"/>
        <w:ind w:left="709" w:hanging="567"/>
        <w:rPr>
          <w:sz w:val="20"/>
        </w:rPr>
      </w:pPr>
      <w:r w:rsidRPr="004C140C">
        <w:rPr>
          <w:rFonts w:ascii="Trebuchet MS"/>
          <w:sz w:val="20"/>
          <w:lang w:val="en-US"/>
        </w:rPr>
        <w:t>13.</w:t>
      </w:r>
      <w:r w:rsidRPr="004C140C">
        <w:rPr>
          <w:rFonts w:ascii="Trebuchet MS"/>
          <w:sz w:val="20"/>
          <w:lang w:val="en-US"/>
        </w:rPr>
        <w:tab/>
      </w:r>
      <w:proofErr w:type="spellStart"/>
      <w:r w:rsidRPr="004C140C">
        <w:rPr>
          <w:rFonts w:ascii="Trebuchet MS"/>
          <w:sz w:val="20"/>
          <w:lang w:val="en-US"/>
        </w:rPr>
        <w:t>Nadanovsky</w:t>
      </w:r>
      <w:proofErr w:type="spellEnd"/>
      <w:r w:rsidRPr="004C140C">
        <w:rPr>
          <w:rFonts w:ascii="Trebuchet MS"/>
          <w:sz w:val="20"/>
          <w:lang w:val="en-US"/>
        </w:rPr>
        <w:t xml:space="preserve"> P, </w:t>
      </w:r>
      <w:proofErr w:type="spellStart"/>
      <w:r w:rsidRPr="004C140C">
        <w:rPr>
          <w:rFonts w:ascii="Trebuchet MS"/>
          <w:sz w:val="20"/>
          <w:lang w:val="en-US"/>
        </w:rPr>
        <w:t>Sheiham</w:t>
      </w:r>
      <w:proofErr w:type="spellEnd"/>
      <w:r w:rsidRPr="004C140C">
        <w:rPr>
          <w:rFonts w:ascii="Trebuchet MS"/>
          <w:sz w:val="20"/>
          <w:lang w:val="en-US"/>
        </w:rPr>
        <w:t xml:space="preserve"> A. Relative contribution of dental services to the changes in caries levels of 12-year-old children in 18 industrialized countries in the 1970s and early 1980s. Community Dent Oral </w:t>
      </w:r>
      <w:proofErr w:type="spellStart"/>
      <w:r w:rsidRPr="004C140C">
        <w:rPr>
          <w:rFonts w:ascii="Trebuchet MS"/>
          <w:sz w:val="20"/>
          <w:lang w:val="en-US"/>
        </w:rPr>
        <w:t>Epidemiol</w:t>
      </w:r>
      <w:proofErr w:type="spellEnd"/>
      <w:r w:rsidRPr="004C140C">
        <w:rPr>
          <w:rFonts w:ascii="Trebuchet MS"/>
          <w:sz w:val="20"/>
          <w:lang w:val="en-US"/>
        </w:rPr>
        <w:t xml:space="preserve"> 1995;23(6):331-9.</w:t>
      </w:r>
    </w:p>
    <w:p w14:paraId="163D1CE4" w14:textId="77777777" w:rsidR="002750DF" w:rsidRPr="004C140C" w:rsidRDefault="00AB1B7E" w:rsidP="004C140C">
      <w:pPr>
        <w:pStyle w:val="EndNoteBibliography"/>
        <w:spacing w:after="0"/>
        <w:ind w:left="709" w:hanging="567"/>
        <w:rPr>
          <w:sz w:val="20"/>
        </w:rPr>
      </w:pPr>
      <w:r w:rsidRPr="004C140C">
        <w:rPr>
          <w:rFonts w:ascii="Trebuchet MS"/>
          <w:sz w:val="20"/>
          <w:lang w:val="en-US"/>
        </w:rPr>
        <w:t>14.</w:t>
      </w:r>
      <w:r w:rsidRPr="004C140C">
        <w:rPr>
          <w:rFonts w:ascii="Trebuchet MS"/>
          <w:sz w:val="20"/>
          <w:lang w:val="en-US"/>
        </w:rPr>
        <w:tab/>
        <w:t xml:space="preserve">Calache H, Hopcraft MS, Martin JM. Minimum intervention dentistry--a new horizon in public oral health care. </w:t>
      </w:r>
      <w:proofErr w:type="spellStart"/>
      <w:r w:rsidRPr="004C140C">
        <w:rPr>
          <w:rFonts w:ascii="Trebuchet MS"/>
          <w:sz w:val="20"/>
          <w:lang w:val="en-US"/>
        </w:rPr>
        <w:t>Aust</w:t>
      </w:r>
      <w:proofErr w:type="spellEnd"/>
      <w:r w:rsidRPr="004C140C">
        <w:rPr>
          <w:rFonts w:ascii="Trebuchet MS"/>
          <w:sz w:val="20"/>
          <w:lang w:val="en-US"/>
        </w:rPr>
        <w:t xml:space="preserve"> Dent J 2013;58 </w:t>
      </w:r>
      <w:proofErr w:type="spellStart"/>
      <w:r w:rsidRPr="004C140C">
        <w:rPr>
          <w:rFonts w:ascii="Trebuchet MS"/>
          <w:sz w:val="20"/>
          <w:lang w:val="en-US"/>
        </w:rPr>
        <w:t>Suppl</w:t>
      </w:r>
      <w:proofErr w:type="spellEnd"/>
      <w:r w:rsidRPr="004C140C">
        <w:rPr>
          <w:rFonts w:ascii="Trebuchet MS"/>
          <w:sz w:val="20"/>
          <w:lang w:val="en-US"/>
        </w:rPr>
        <w:t xml:space="preserve"> 1:17-25.</w:t>
      </w:r>
    </w:p>
    <w:p w14:paraId="418A159E" w14:textId="77777777" w:rsidR="002750DF" w:rsidRPr="004C140C" w:rsidRDefault="00AB1B7E" w:rsidP="004C140C">
      <w:pPr>
        <w:pStyle w:val="EndNoteBibliography"/>
        <w:spacing w:after="0"/>
        <w:ind w:left="709" w:hanging="567"/>
        <w:rPr>
          <w:sz w:val="20"/>
        </w:rPr>
      </w:pPr>
      <w:r w:rsidRPr="004C140C">
        <w:rPr>
          <w:rFonts w:ascii="Trebuchet MS"/>
          <w:sz w:val="20"/>
          <w:lang w:val="en-US"/>
        </w:rPr>
        <w:t>15.</w:t>
      </w:r>
      <w:r w:rsidRPr="004C140C">
        <w:rPr>
          <w:rFonts w:ascii="Trebuchet MS"/>
          <w:sz w:val="20"/>
          <w:lang w:val="en-US"/>
        </w:rPr>
        <w:tab/>
        <w:t xml:space="preserve">Featherstone JD. The caries balance: the basis for caries management by risk assessment. Oral Health </w:t>
      </w:r>
      <w:proofErr w:type="spellStart"/>
      <w:r w:rsidRPr="004C140C">
        <w:rPr>
          <w:rFonts w:ascii="Trebuchet MS"/>
          <w:sz w:val="20"/>
          <w:lang w:val="en-US"/>
        </w:rPr>
        <w:t>Prev</w:t>
      </w:r>
      <w:proofErr w:type="spellEnd"/>
      <w:r w:rsidRPr="004C140C">
        <w:rPr>
          <w:rFonts w:ascii="Trebuchet MS"/>
          <w:sz w:val="20"/>
          <w:lang w:val="en-US"/>
        </w:rPr>
        <w:t xml:space="preserve"> Dent 2004;2 </w:t>
      </w:r>
      <w:proofErr w:type="spellStart"/>
      <w:r w:rsidRPr="004C140C">
        <w:rPr>
          <w:rFonts w:ascii="Trebuchet MS"/>
          <w:sz w:val="20"/>
          <w:lang w:val="en-US"/>
        </w:rPr>
        <w:t>Suppl</w:t>
      </w:r>
      <w:proofErr w:type="spellEnd"/>
      <w:r w:rsidRPr="004C140C">
        <w:rPr>
          <w:rFonts w:ascii="Trebuchet MS"/>
          <w:sz w:val="20"/>
          <w:lang w:val="en-US"/>
        </w:rPr>
        <w:t xml:space="preserve"> 1:259-64.</w:t>
      </w:r>
    </w:p>
    <w:p w14:paraId="696C307A" w14:textId="77777777" w:rsidR="002750DF" w:rsidRPr="004C140C" w:rsidRDefault="00AB1B7E" w:rsidP="004C140C">
      <w:pPr>
        <w:pStyle w:val="EndNoteBibliography"/>
        <w:spacing w:after="0"/>
        <w:ind w:left="709" w:hanging="567"/>
        <w:rPr>
          <w:sz w:val="20"/>
        </w:rPr>
      </w:pPr>
      <w:r w:rsidRPr="004C140C">
        <w:rPr>
          <w:rFonts w:ascii="Trebuchet MS"/>
          <w:sz w:val="20"/>
          <w:lang w:val="en-US"/>
        </w:rPr>
        <w:t>16.</w:t>
      </w:r>
      <w:r w:rsidRPr="004C140C">
        <w:rPr>
          <w:rFonts w:ascii="Trebuchet MS"/>
          <w:sz w:val="20"/>
          <w:lang w:val="en-US"/>
        </w:rPr>
        <w:tab/>
        <w:t>Department of Health &amp; Human Services. Action plan for oral health promotion - 2013-2017. Melbourne: Department of Health &amp; Human Services, 2013.</w:t>
      </w:r>
    </w:p>
    <w:p w14:paraId="768CAF9A" w14:textId="77777777" w:rsidR="002750DF" w:rsidRPr="004C140C" w:rsidRDefault="00AB1B7E" w:rsidP="004C140C">
      <w:pPr>
        <w:pStyle w:val="EndNoteBibliography"/>
        <w:spacing w:after="0"/>
        <w:ind w:left="709" w:hanging="567"/>
        <w:rPr>
          <w:sz w:val="20"/>
        </w:rPr>
      </w:pPr>
      <w:r w:rsidRPr="004C140C">
        <w:rPr>
          <w:rFonts w:ascii="Trebuchet MS"/>
          <w:sz w:val="20"/>
          <w:lang w:val="en-US"/>
        </w:rPr>
        <w:t>17.</w:t>
      </w:r>
      <w:r w:rsidRPr="004C140C">
        <w:rPr>
          <w:rFonts w:ascii="Trebuchet MS"/>
          <w:sz w:val="20"/>
          <w:lang w:val="en-US"/>
        </w:rPr>
        <w:tab/>
        <w:t>Why it's hard to change unhealthy behavior--and why you should keep trying. Researchers say successful change comes only in stages. How long it takes is an individual matter. Harvard women's health watch 2007;14(5):4-5.</w:t>
      </w:r>
    </w:p>
    <w:p w14:paraId="0E39ADBF" w14:textId="77777777" w:rsidR="002750DF" w:rsidRPr="004C140C" w:rsidRDefault="00AB1B7E" w:rsidP="004C140C">
      <w:pPr>
        <w:pStyle w:val="EndNoteBibliography"/>
        <w:spacing w:after="0"/>
        <w:ind w:left="709" w:hanging="567"/>
        <w:rPr>
          <w:sz w:val="20"/>
        </w:rPr>
      </w:pPr>
      <w:r w:rsidRPr="004C140C">
        <w:rPr>
          <w:rFonts w:ascii="Trebuchet MS"/>
          <w:sz w:val="20"/>
          <w:lang w:val="en-US"/>
        </w:rPr>
        <w:t>18.</w:t>
      </w:r>
      <w:r w:rsidRPr="004C140C">
        <w:rPr>
          <w:rFonts w:ascii="Trebuchet MS"/>
          <w:sz w:val="20"/>
          <w:lang w:val="en-US"/>
        </w:rPr>
        <w:tab/>
        <w:t xml:space="preserve">Wallerstein NB, Duran B. Using community-based participatory research to address health disparities. Health </w:t>
      </w:r>
      <w:proofErr w:type="spellStart"/>
      <w:r w:rsidRPr="004C140C">
        <w:rPr>
          <w:rFonts w:ascii="Trebuchet MS"/>
          <w:sz w:val="20"/>
          <w:lang w:val="en-US"/>
        </w:rPr>
        <w:t>Promot</w:t>
      </w:r>
      <w:proofErr w:type="spellEnd"/>
      <w:r w:rsidRPr="004C140C">
        <w:rPr>
          <w:rFonts w:ascii="Trebuchet MS"/>
          <w:sz w:val="20"/>
          <w:lang w:val="en-US"/>
        </w:rPr>
        <w:t xml:space="preserve"> </w:t>
      </w:r>
      <w:proofErr w:type="spellStart"/>
      <w:r w:rsidRPr="004C140C">
        <w:rPr>
          <w:rFonts w:ascii="Trebuchet MS"/>
          <w:sz w:val="20"/>
          <w:lang w:val="en-US"/>
        </w:rPr>
        <w:t>Pract</w:t>
      </w:r>
      <w:proofErr w:type="spellEnd"/>
      <w:r w:rsidRPr="004C140C">
        <w:rPr>
          <w:rFonts w:ascii="Trebuchet MS"/>
          <w:sz w:val="20"/>
          <w:lang w:val="en-US"/>
        </w:rPr>
        <w:t xml:space="preserve"> 2006;7(3):312-23.</w:t>
      </w:r>
    </w:p>
    <w:p w14:paraId="55CB232B" w14:textId="77777777" w:rsidR="002750DF" w:rsidRPr="004C140C" w:rsidRDefault="00AB1B7E" w:rsidP="004C140C">
      <w:pPr>
        <w:pStyle w:val="EndNoteBibliography"/>
        <w:spacing w:after="0"/>
        <w:ind w:left="709" w:hanging="567"/>
        <w:rPr>
          <w:sz w:val="20"/>
        </w:rPr>
      </w:pPr>
      <w:r w:rsidRPr="004C140C">
        <w:rPr>
          <w:rFonts w:ascii="Trebuchet MS"/>
          <w:sz w:val="20"/>
          <w:lang w:val="en-US"/>
        </w:rPr>
        <w:t>19.</w:t>
      </w:r>
      <w:r w:rsidRPr="004C140C">
        <w:rPr>
          <w:rFonts w:ascii="Trebuchet MS"/>
          <w:sz w:val="20"/>
          <w:lang w:val="en-US"/>
        </w:rPr>
        <w:tab/>
        <w:t xml:space="preserve">Champion VL, Skinner CS. The Health Belief Model. In: </w:t>
      </w:r>
      <w:proofErr w:type="spellStart"/>
      <w:r w:rsidRPr="004C140C">
        <w:rPr>
          <w:rFonts w:ascii="Trebuchet MS"/>
          <w:sz w:val="20"/>
          <w:lang w:val="en-US"/>
        </w:rPr>
        <w:t>Glanz</w:t>
      </w:r>
      <w:proofErr w:type="spellEnd"/>
      <w:r w:rsidRPr="004C140C">
        <w:rPr>
          <w:rFonts w:ascii="Trebuchet MS"/>
          <w:sz w:val="20"/>
          <w:lang w:val="en-US"/>
        </w:rPr>
        <w:t xml:space="preserve"> K, </w:t>
      </w:r>
      <w:proofErr w:type="spellStart"/>
      <w:r w:rsidRPr="004C140C">
        <w:rPr>
          <w:rFonts w:ascii="Trebuchet MS"/>
          <w:sz w:val="20"/>
          <w:lang w:val="en-US"/>
        </w:rPr>
        <w:t>Rimer</w:t>
      </w:r>
      <w:proofErr w:type="spellEnd"/>
      <w:r w:rsidRPr="004C140C">
        <w:rPr>
          <w:rFonts w:ascii="Trebuchet MS"/>
          <w:sz w:val="20"/>
          <w:lang w:val="en-US"/>
        </w:rPr>
        <w:t xml:space="preserve"> BK, </w:t>
      </w:r>
      <w:proofErr w:type="spellStart"/>
      <w:r w:rsidRPr="004C140C">
        <w:rPr>
          <w:rFonts w:ascii="Trebuchet MS"/>
          <w:sz w:val="20"/>
          <w:lang w:val="en-US"/>
        </w:rPr>
        <w:t>Viswanath</w:t>
      </w:r>
      <w:proofErr w:type="spellEnd"/>
      <w:r w:rsidRPr="004C140C">
        <w:rPr>
          <w:rFonts w:ascii="Trebuchet MS"/>
          <w:sz w:val="20"/>
          <w:lang w:val="en-US"/>
        </w:rPr>
        <w:t xml:space="preserve"> K, editors. Health Behavior and Health Education: Theory, Research and Practice. San Francisco: </w:t>
      </w:r>
      <w:proofErr w:type="spellStart"/>
      <w:r w:rsidRPr="004C140C">
        <w:rPr>
          <w:rFonts w:ascii="Trebuchet MS"/>
          <w:sz w:val="20"/>
          <w:lang w:val="en-US"/>
        </w:rPr>
        <w:t>Jossey</w:t>
      </w:r>
      <w:proofErr w:type="spellEnd"/>
      <w:r w:rsidRPr="004C140C">
        <w:rPr>
          <w:rFonts w:ascii="Trebuchet MS"/>
          <w:sz w:val="20"/>
          <w:lang w:val="en-US"/>
        </w:rPr>
        <w:t>-Bass; 2008.</w:t>
      </w:r>
    </w:p>
    <w:p w14:paraId="6D111DF5" w14:textId="77777777" w:rsidR="002750DF" w:rsidRPr="004C140C" w:rsidRDefault="00AB1B7E" w:rsidP="004C140C">
      <w:pPr>
        <w:pStyle w:val="EndNoteBibliography"/>
        <w:spacing w:after="0"/>
        <w:ind w:left="709" w:hanging="567"/>
        <w:rPr>
          <w:sz w:val="20"/>
        </w:rPr>
      </w:pPr>
      <w:r w:rsidRPr="004C140C">
        <w:rPr>
          <w:rFonts w:ascii="Trebuchet MS"/>
          <w:sz w:val="20"/>
          <w:lang w:val="en-US"/>
        </w:rPr>
        <w:t>20.</w:t>
      </w:r>
      <w:r w:rsidRPr="004C140C">
        <w:rPr>
          <w:rFonts w:ascii="Trebuchet MS"/>
          <w:sz w:val="20"/>
          <w:lang w:val="en-US"/>
        </w:rPr>
        <w:tab/>
      </w:r>
      <w:proofErr w:type="spellStart"/>
      <w:r w:rsidRPr="004C140C">
        <w:rPr>
          <w:rFonts w:ascii="Trebuchet MS"/>
          <w:sz w:val="20"/>
          <w:lang w:val="en-US"/>
        </w:rPr>
        <w:t>Hochbaum</w:t>
      </w:r>
      <w:proofErr w:type="spellEnd"/>
      <w:r w:rsidRPr="004C140C">
        <w:rPr>
          <w:rFonts w:ascii="Trebuchet MS"/>
          <w:sz w:val="20"/>
          <w:lang w:val="en-US"/>
        </w:rPr>
        <w:t xml:space="preserve"> GM. Public participation in medical screening programs: A socio-psychological study. Washington, </w:t>
      </w:r>
      <w:proofErr w:type="spellStart"/>
      <w:r w:rsidRPr="004C140C">
        <w:rPr>
          <w:rFonts w:ascii="Trebuchet MS"/>
          <w:sz w:val="20"/>
          <w:lang w:val="en-US"/>
        </w:rPr>
        <w:t>D.C</w:t>
      </w:r>
      <w:proofErr w:type="spellEnd"/>
      <w:r w:rsidRPr="004C140C">
        <w:rPr>
          <w:rFonts w:ascii="Trebuchet MS"/>
          <w:sz w:val="20"/>
          <w:lang w:val="en-US"/>
        </w:rPr>
        <w:t xml:space="preserve">: U.S. </w:t>
      </w:r>
      <w:proofErr w:type="spellStart"/>
      <w:r w:rsidRPr="004C140C">
        <w:rPr>
          <w:rFonts w:ascii="Trebuchet MS"/>
          <w:sz w:val="20"/>
          <w:lang w:val="en-US"/>
        </w:rPr>
        <w:t>Deptartment</w:t>
      </w:r>
      <w:proofErr w:type="spellEnd"/>
      <w:r w:rsidRPr="004C140C">
        <w:rPr>
          <w:rFonts w:ascii="Trebuchet MS"/>
          <w:sz w:val="20"/>
          <w:lang w:val="en-US"/>
        </w:rPr>
        <w:t xml:space="preserve"> of Health, Education, and Welfare; 1958.</w:t>
      </w:r>
    </w:p>
    <w:p w14:paraId="44B72B14" w14:textId="77777777" w:rsidR="002750DF" w:rsidRPr="004C140C" w:rsidRDefault="00AB1B7E" w:rsidP="004C140C">
      <w:pPr>
        <w:pStyle w:val="EndNoteBibliography"/>
        <w:spacing w:after="0"/>
        <w:ind w:left="709" w:hanging="567"/>
        <w:rPr>
          <w:sz w:val="20"/>
        </w:rPr>
      </w:pPr>
      <w:r w:rsidRPr="004C140C">
        <w:rPr>
          <w:rFonts w:ascii="Trebuchet MS"/>
          <w:sz w:val="20"/>
          <w:lang w:val="en-US"/>
        </w:rPr>
        <w:t>21.</w:t>
      </w:r>
      <w:r w:rsidRPr="004C140C">
        <w:rPr>
          <w:rFonts w:ascii="Trebuchet MS"/>
          <w:sz w:val="20"/>
          <w:lang w:val="en-US"/>
        </w:rPr>
        <w:tab/>
        <w:t xml:space="preserve">Australian Government Department of Health. Dental. Canberra: The Department of Health; 2015 [cited 2016]. Available from: </w:t>
      </w:r>
      <w:hyperlink r:id="rId20" w:history="1">
        <w:r w:rsidRPr="004C140C">
          <w:rPr>
            <w:rStyle w:val="Hyperlink4"/>
            <w:rFonts w:ascii="Trebuchet MS"/>
            <w:sz w:val="20"/>
            <w:lang w:val="en-US"/>
          </w:rPr>
          <w:t>http://health.gov.au/dental</w:t>
        </w:r>
      </w:hyperlink>
      <w:r w:rsidRPr="004C140C">
        <w:rPr>
          <w:rFonts w:ascii="Trebuchet MS"/>
          <w:sz w:val="20"/>
        </w:rPr>
        <w:t>.</w:t>
      </w:r>
    </w:p>
    <w:p w14:paraId="41FC6779" w14:textId="77777777" w:rsidR="002750DF" w:rsidRPr="004C140C" w:rsidRDefault="00AB1B7E" w:rsidP="004C140C">
      <w:pPr>
        <w:pStyle w:val="EndNoteBibliography"/>
        <w:spacing w:after="0"/>
        <w:ind w:left="709" w:hanging="567"/>
        <w:rPr>
          <w:sz w:val="20"/>
        </w:rPr>
      </w:pPr>
      <w:r w:rsidRPr="004C140C">
        <w:rPr>
          <w:rFonts w:ascii="Trebuchet MS"/>
          <w:sz w:val="20"/>
          <w:lang w:val="en-US"/>
        </w:rPr>
        <w:t>22.</w:t>
      </w:r>
      <w:r w:rsidRPr="004C140C">
        <w:rPr>
          <w:rFonts w:ascii="Trebuchet MS"/>
          <w:sz w:val="20"/>
          <w:lang w:val="en-US"/>
        </w:rPr>
        <w:tab/>
        <w:t>House of Representatives Standing Committee on Health and Ageing. Bridging the Dental Gap: Report on the inquiry into adult dental services. Canberra: Commonwealth of Australia, 2013.</w:t>
      </w:r>
    </w:p>
    <w:p w14:paraId="0B1A5232" w14:textId="77777777" w:rsidR="002750DF" w:rsidRPr="004C140C" w:rsidRDefault="00AB1B7E" w:rsidP="004C140C">
      <w:pPr>
        <w:pStyle w:val="EndNoteBibliography"/>
        <w:spacing w:after="0"/>
        <w:ind w:left="709" w:hanging="567"/>
        <w:rPr>
          <w:sz w:val="20"/>
        </w:rPr>
      </w:pPr>
      <w:r w:rsidRPr="004C140C">
        <w:rPr>
          <w:rFonts w:ascii="Trebuchet MS"/>
          <w:sz w:val="20"/>
          <w:lang w:val="en-US"/>
        </w:rPr>
        <w:t>23.</w:t>
      </w:r>
      <w:r w:rsidRPr="004C140C">
        <w:rPr>
          <w:rFonts w:ascii="Trebuchet MS"/>
          <w:sz w:val="20"/>
          <w:lang w:val="en-US"/>
        </w:rPr>
        <w:tab/>
        <w:t xml:space="preserve">Dental Health Services Victoria. Dental Health Services Victoria Melbourne: DHSV; 2016 [cited 2016]. Available from: </w:t>
      </w:r>
      <w:hyperlink r:id="rId21" w:history="1">
        <w:r w:rsidRPr="004C140C">
          <w:rPr>
            <w:rStyle w:val="Hyperlink4"/>
            <w:rFonts w:ascii="Trebuchet MS"/>
            <w:sz w:val="20"/>
          </w:rPr>
          <w:t>https://www.dhsv.org.au/</w:t>
        </w:r>
      </w:hyperlink>
      <w:r w:rsidRPr="004C140C">
        <w:rPr>
          <w:rFonts w:ascii="Trebuchet MS"/>
          <w:sz w:val="20"/>
        </w:rPr>
        <w:t>.</w:t>
      </w:r>
    </w:p>
    <w:p w14:paraId="0BCFF559" w14:textId="77777777" w:rsidR="002750DF" w:rsidRPr="004C140C" w:rsidRDefault="00AB1B7E" w:rsidP="004C140C">
      <w:pPr>
        <w:pStyle w:val="EndNoteBibliography"/>
        <w:spacing w:after="0"/>
        <w:ind w:left="709" w:hanging="567"/>
        <w:rPr>
          <w:sz w:val="20"/>
        </w:rPr>
      </w:pPr>
      <w:r w:rsidRPr="004C140C">
        <w:rPr>
          <w:rFonts w:ascii="Trebuchet MS"/>
          <w:sz w:val="20"/>
          <w:lang w:val="en-US"/>
        </w:rPr>
        <w:t>24.</w:t>
      </w:r>
      <w:r w:rsidRPr="004C140C">
        <w:rPr>
          <w:rFonts w:ascii="Trebuchet MS"/>
          <w:sz w:val="20"/>
          <w:lang w:val="en-US"/>
        </w:rPr>
        <w:tab/>
        <w:t xml:space="preserve">Dental Board of Australia. Guidelines for scope of practice Melbourne: Australian Health </w:t>
      </w:r>
      <w:proofErr w:type="spellStart"/>
      <w:r w:rsidRPr="004C140C">
        <w:rPr>
          <w:rFonts w:ascii="Trebuchet MS"/>
          <w:sz w:val="20"/>
          <w:lang w:val="en-US"/>
        </w:rPr>
        <w:t>Practitoner</w:t>
      </w:r>
      <w:proofErr w:type="spellEnd"/>
      <w:r w:rsidRPr="004C140C">
        <w:rPr>
          <w:rFonts w:ascii="Trebuchet MS"/>
          <w:sz w:val="20"/>
          <w:lang w:val="en-US"/>
        </w:rPr>
        <w:t xml:space="preserve"> Regulation Agency (</w:t>
      </w:r>
      <w:proofErr w:type="spellStart"/>
      <w:r w:rsidRPr="004C140C">
        <w:rPr>
          <w:rFonts w:ascii="Trebuchet MS"/>
          <w:sz w:val="20"/>
          <w:lang w:val="en-US"/>
        </w:rPr>
        <w:t>AHPRA</w:t>
      </w:r>
      <w:proofErr w:type="spellEnd"/>
      <w:r w:rsidRPr="004C140C">
        <w:rPr>
          <w:rFonts w:ascii="Trebuchet MS"/>
          <w:sz w:val="20"/>
          <w:lang w:val="en-US"/>
        </w:rPr>
        <w:t xml:space="preserve">); 2014 [cited 2014]. Available from: </w:t>
      </w:r>
      <w:hyperlink r:id="rId22" w:history="1">
        <w:r w:rsidRPr="004C140C">
          <w:rPr>
            <w:rStyle w:val="Hyperlink4"/>
            <w:rFonts w:ascii="Trebuchet MS"/>
            <w:sz w:val="20"/>
            <w:lang w:val="en-US"/>
          </w:rPr>
          <w:t>http://www.dentalboard.gov.au/</w:t>
        </w:r>
      </w:hyperlink>
      <w:r w:rsidRPr="004C140C">
        <w:rPr>
          <w:rFonts w:ascii="Trebuchet MS"/>
          <w:sz w:val="20"/>
        </w:rPr>
        <w:t>.</w:t>
      </w:r>
    </w:p>
    <w:p w14:paraId="44041F1D" w14:textId="77777777" w:rsidR="002750DF" w:rsidRPr="004C140C" w:rsidRDefault="00AB1B7E" w:rsidP="004C140C">
      <w:pPr>
        <w:pStyle w:val="EndNoteBibliography"/>
        <w:spacing w:after="0"/>
        <w:ind w:left="709" w:hanging="567"/>
        <w:rPr>
          <w:sz w:val="20"/>
        </w:rPr>
      </w:pPr>
      <w:r w:rsidRPr="004C140C">
        <w:rPr>
          <w:rFonts w:ascii="Trebuchet MS"/>
          <w:sz w:val="20"/>
          <w:lang w:val="en-US"/>
        </w:rPr>
        <w:t>25.</w:t>
      </w:r>
      <w:r w:rsidRPr="004C140C">
        <w:rPr>
          <w:rFonts w:ascii="Trebuchet MS"/>
          <w:sz w:val="20"/>
          <w:lang w:val="en-US"/>
        </w:rPr>
        <w:tab/>
        <w:t>Health Issues Centre. "Was I still on the waiting list?" A study about people waiting for public dental care. Melbourne: Health Issues Centre, 2009.</w:t>
      </w:r>
    </w:p>
    <w:p w14:paraId="6D2A75D2" w14:textId="77777777" w:rsidR="002750DF" w:rsidRPr="004C140C" w:rsidRDefault="00AB1B7E" w:rsidP="004C140C">
      <w:pPr>
        <w:pStyle w:val="EndNoteBibliography"/>
        <w:spacing w:after="0"/>
        <w:ind w:left="709" w:hanging="567"/>
        <w:rPr>
          <w:sz w:val="20"/>
        </w:rPr>
      </w:pPr>
      <w:r w:rsidRPr="004C140C">
        <w:rPr>
          <w:rFonts w:ascii="Trebuchet MS"/>
          <w:sz w:val="20"/>
          <w:lang w:val="en-US"/>
        </w:rPr>
        <w:t>26.</w:t>
      </w:r>
      <w:r w:rsidRPr="004C140C">
        <w:rPr>
          <w:rFonts w:ascii="Trebuchet MS"/>
          <w:sz w:val="20"/>
          <w:lang w:val="en-US"/>
        </w:rPr>
        <w:tab/>
        <w:t>Kruger E, Tennant M. Ten years of hospitalisation for oral health-related conditions in Western Australia: an unjust dichotomy. Australian journal of primary health 2015.</w:t>
      </w:r>
    </w:p>
    <w:p w14:paraId="10F6F4C6" w14:textId="77777777" w:rsidR="002750DF" w:rsidRPr="004C140C" w:rsidRDefault="00AB1B7E" w:rsidP="004C140C">
      <w:pPr>
        <w:pStyle w:val="EndNoteBibliography"/>
        <w:spacing w:after="0"/>
        <w:ind w:left="709" w:hanging="567"/>
        <w:rPr>
          <w:sz w:val="20"/>
        </w:rPr>
      </w:pPr>
      <w:r w:rsidRPr="004C140C">
        <w:rPr>
          <w:rFonts w:ascii="Trebuchet MS"/>
          <w:sz w:val="20"/>
          <w:lang w:val="en-US"/>
        </w:rPr>
        <w:lastRenderedPageBreak/>
        <w:t>27.</w:t>
      </w:r>
      <w:r w:rsidRPr="004C140C">
        <w:rPr>
          <w:rFonts w:ascii="Trebuchet MS"/>
          <w:sz w:val="20"/>
          <w:lang w:val="en-US"/>
        </w:rPr>
        <w:tab/>
      </w:r>
      <w:proofErr w:type="spellStart"/>
      <w:r w:rsidRPr="004C140C">
        <w:rPr>
          <w:rFonts w:ascii="Trebuchet MS"/>
          <w:sz w:val="20"/>
          <w:lang w:val="en-US"/>
        </w:rPr>
        <w:t>Cutress</w:t>
      </w:r>
      <w:proofErr w:type="spellEnd"/>
      <w:r w:rsidRPr="004C140C">
        <w:rPr>
          <w:rFonts w:ascii="Trebuchet MS"/>
          <w:sz w:val="20"/>
          <w:lang w:val="en-US"/>
        </w:rPr>
        <w:t xml:space="preserve"> TW, </w:t>
      </w:r>
      <w:proofErr w:type="spellStart"/>
      <w:r w:rsidRPr="004C140C">
        <w:rPr>
          <w:rFonts w:ascii="Trebuchet MS"/>
          <w:sz w:val="20"/>
          <w:lang w:val="en-US"/>
        </w:rPr>
        <w:t>Ainamo</w:t>
      </w:r>
      <w:proofErr w:type="spellEnd"/>
      <w:r w:rsidRPr="004C140C">
        <w:rPr>
          <w:rFonts w:ascii="Trebuchet MS"/>
          <w:sz w:val="20"/>
          <w:lang w:val="en-US"/>
        </w:rPr>
        <w:t xml:space="preserve"> J, </w:t>
      </w:r>
      <w:proofErr w:type="spellStart"/>
      <w:r w:rsidRPr="004C140C">
        <w:rPr>
          <w:rFonts w:ascii="Trebuchet MS"/>
          <w:sz w:val="20"/>
          <w:lang w:val="en-US"/>
        </w:rPr>
        <w:t>Sardo-Infirri</w:t>
      </w:r>
      <w:proofErr w:type="spellEnd"/>
      <w:r w:rsidRPr="004C140C">
        <w:rPr>
          <w:rFonts w:ascii="Trebuchet MS"/>
          <w:sz w:val="20"/>
          <w:lang w:val="en-US"/>
        </w:rPr>
        <w:t xml:space="preserve"> J. The community periodontal index of treatment needs (CPITN) procedure for population groups and individuals. </w:t>
      </w:r>
      <w:proofErr w:type="spellStart"/>
      <w:r w:rsidRPr="004C140C">
        <w:rPr>
          <w:rFonts w:ascii="Trebuchet MS"/>
          <w:sz w:val="20"/>
          <w:lang w:val="en-US"/>
        </w:rPr>
        <w:t>Int</w:t>
      </w:r>
      <w:proofErr w:type="spellEnd"/>
      <w:r w:rsidRPr="004C140C">
        <w:rPr>
          <w:rFonts w:ascii="Trebuchet MS"/>
          <w:sz w:val="20"/>
          <w:lang w:val="en-US"/>
        </w:rPr>
        <w:t xml:space="preserve"> Dent J 1987;37(4):222-33.</w:t>
      </w:r>
    </w:p>
    <w:p w14:paraId="6D191097" w14:textId="77777777" w:rsidR="002750DF" w:rsidRPr="004C140C" w:rsidRDefault="00AB1B7E" w:rsidP="004C140C">
      <w:pPr>
        <w:pStyle w:val="EndNoteBibliography"/>
        <w:spacing w:after="0"/>
        <w:ind w:left="709" w:hanging="567"/>
        <w:rPr>
          <w:sz w:val="20"/>
        </w:rPr>
      </w:pPr>
      <w:r w:rsidRPr="004C140C">
        <w:rPr>
          <w:rFonts w:ascii="Trebuchet MS"/>
          <w:sz w:val="20"/>
          <w:lang w:val="en-US"/>
        </w:rPr>
        <w:t>28.</w:t>
      </w:r>
      <w:r w:rsidRPr="004C140C">
        <w:rPr>
          <w:rFonts w:ascii="Trebuchet MS"/>
          <w:sz w:val="20"/>
          <w:lang w:val="en-US"/>
        </w:rPr>
        <w:tab/>
        <w:t xml:space="preserve">Tellez M, Gomez J, Pretty I, Ellwood R, Ismail AI. Evidence on existing caries risk assessment systems: are they predictive of future caries? Community Dent Oral </w:t>
      </w:r>
      <w:proofErr w:type="spellStart"/>
      <w:r w:rsidRPr="004C140C">
        <w:rPr>
          <w:rFonts w:ascii="Trebuchet MS"/>
          <w:sz w:val="20"/>
          <w:lang w:val="en-US"/>
        </w:rPr>
        <w:t>Epidemiol</w:t>
      </w:r>
      <w:proofErr w:type="spellEnd"/>
      <w:r w:rsidRPr="004C140C">
        <w:rPr>
          <w:rFonts w:ascii="Trebuchet MS"/>
          <w:sz w:val="20"/>
          <w:lang w:val="en-US"/>
        </w:rPr>
        <w:t xml:space="preserve"> 2013;41(1):67-78.</w:t>
      </w:r>
    </w:p>
    <w:p w14:paraId="759E67B0" w14:textId="77777777" w:rsidR="002750DF" w:rsidRPr="004C140C" w:rsidRDefault="00AB1B7E" w:rsidP="004C140C">
      <w:pPr>
        <w:pStyle w:val="EndNoteBibliography"/>
        <w:spacing w:after="0"/>
        <w:ind w:left="709" w:hanging="567"/>
        <w:rPr>
          <w:sz w:val="20"/>
        </w:rPr>
      </w:pPr>
      <w:r w:rsidRPr="004C140C">
        <w:rPr>
          <w:rFonts w:ascii="Trebuchet MS"/>
          <w:sz w:val="20"/>
          <w:lang w:val="en-US"/>
        </w:rPr>
        <w:t>29.</w:t>
      </w:r>
      <w:r w:rsidRPr="004C140C">
        <w:rPr>
          <w:rFonts w:ascii="Trebuchet MS"/>
          <w:sz w:val="20"/>
          <w:lang w:val="en-US"/>
        </w:rPr>
        <w:tab/>
      </w:r>
      <w:proofErr w:type="spellStart"/>
      <w:r w:rsidRPr="004C140C">
        <w:rPr>
          <w:rFonts w:ascii="Trebuchet MS"/>
          <w:sz w:val="20"/>
          <w:lang w:val="en-US"/>
        </w:rPr>
        <w:t>Lauritsen</w:t>
      </w:r>
      <w:proofErr w:type="spellEnd"/>
      <w:r w:rsidRPr="004C140C">
        <w:rPr>
          <w:rFonts w:ascii="Trebuchet MS"/>
          <w:sz w:val="20"/>
          <w:lang w:val="en-US"/>
        </w:rPr>
        <w:t xml:space="preserve"> JM. </w:t>
      </w:r>
      <w:proofErr w:type="spellStart"/>
      <w:r w:rsidRPr="004C140C">
        <w:rPr>
          <w:rFonts w:ascii="Trebuchet MS"/>
          <w:sz w:val="20"/>
          <w:lang w:val="en-US"/>
        </w:rPr>
        <w:t>EpiData</w:t>
      </w:r>
      <w:proofErr w:type="spellEnd"/>
      <w:r w:rsidRPr="004C140C">
        <w:rPr>
          <w:rFonts w:ascii="Trebuchet MS"/>
          <w:sz w:val="20"/>
          <w:lang w:val="en-US"/>
        </w:rPr>
        <w:t xml:space="preserve"> Data Entry, Data Management and basic Statistical Analysis System Odense Denmark: </w:t>
      </w:r>
      <w:proofErr w:type="spellStart"/>
      <w:r w:rsidRPr="004C140C">
        <w:rPr>
          <w:rFonts w:ascii="Trebuchet MS"/>
          <w:sz w:val="20"/>
          <w:lang w:val="en-US"/>
        </w:rPr>
        <w:t>EpiData</w:t>
      </w:r>
      <w:proofErr w:type="spellEnd"/>
      <w:r w:rsidRPr="004C140C">
        <w:rPr>
          <w:rFonts w:ascii="Trebuchet MS"/>
          <w:sz w:val="20"/>
          <w:lang w:val="en-US"/>
        </w:rPr>
        <w:t xml:space="preserve"> Association; 2000-2008 [cited 2014]. Available from: </w:t>
      </w:r>
      <w:r w:rsidRPr="004C140C">
        <w:rPr>
          <w:rFonts w:ascii="Trebuchet MS"/>
          <w:sz w:val="20"/>
        </w:rPr>
        <w:t>Http://www.epidata.dk.</w:t>
      </w:r>
    </w:p>
    <w:p w14:paraId="58FCCE6F" w14:textId="77777777" w:rsidR="002750DF" w:rsidRPr="004C140C" w:rsidRDefault="00AB1B7E" w:rsidP="004C140C">
      <w:pPr>
        <w:pStyle w:val="EndNoteBibliography"/>
        <w:spacing w:after="0"/>
        <w:ind w:left="709" w:hanging="567"/>
        <w:rPr>
          <w:sz w:val="20"/>
        </w:rPr>
      </w:pPr>
      <w:r w:rsidRPr="004C140C">
        <w:rPr>
          <w:rFonts w:ascii="Trebuchet MS"/>
          <w:sz w:val="20"/>
          <w:lang w:val="en-US"/>
        </w:rPr>
        <w:t>30.</w:t>
      </w:r>
      <w:r w:rsidRPr="004C140C">
        <w:rPr>
          <w:rFonts w:ascii="Trebuchet MS"/>
          <w:sz w:val="20"/>
          <w:lang w:val="en-US"/>
        </w:rPr>
        <w:tab/>
        <w:t xml:space="preserve">Harris MJ. Evaluating public and community health programs. San Francisco: </w:t>
      </w:r>
      <w:proofErr w:type="spellStart"/>
      <w:r w:rsidRPr="004C140C">
        <w:rPr>
          <w:rFonts w:ascii="Trebuchet MS"/>
          <w:sz w:val="20"/>
          <w:lang w:val="en-US"/>
        </w:rPr>
        <w:t>Jossey</w:t>
      </w:r>
      <w:proofErr w:type="spellEnd"/>
      <w:r w:rsidRPr="004C140C">
        <w:rPr>
          <w:rFonts w:ascii="Trebuchet MS"/>
          <w:sz w:val="20"/>
          <w:lang w:val="en-US"/>
        </w:rPr>
        <w:t>-Bass; 2010.</w:t>
      </w:r>
    </w:p>
    <w:p w14:paraId="75887022" w14:textId="77777777" w:rsidR="002750DF" w:rsidRPr="004C140C" w:rsidRDefault="00AB1B7E" w:rsidP="004C140C">
      <w:pPr>
        <w:pStyle w:val="EndNoteBibliography"/>
        <w:spacing w:after="0"/>
        <w:ind w:left="709" w:hanging="567"/>
        <w:rPr>
          <w:sz w:val="20"/>
        </w:rPr>
      </w:pPr>
      <w:r w:rsidRPr="004C140C">
        <w:rPr>
          <w:rFonts w:ascii="Trebuchet MS"/>
          <w:sz w:val="20"/>
          <w:lang w:val="en-US"/>
        </w:rPr>
        <w:t>31.</w:t>
      </w:r>
      <w:r w:rsidRPr="004C140C">
        <w:rPr>
          <w:rFonts w:ascii="Trebuchet MS"/>
          <w:sz w:val="20"/>
          <w:lang w:val="en-US"/>
        </w:rPr>
        <w:tab/>
        <w:t>Community Health Services Forum. Briefing: Beginning with the end in mind. How outcomes-based commissioning can help unlock the potential of community services. London: NHS Confederation, 2014.</w:t>
      </w:r>
    </w:p>
    <w:p w14:paraId="0E42B334" w14:textId="77777777" w:rsidR="002750DF" w:rsidRPr="004C140C" w:rsidRDefault="00AB1B7E" w:rsidP="004C140C">
      <w:pPr>
        <w:pStyle w:val="EndNoteBibliography"/>
        <w:spacing w:after="0"/>
        <w:ind w:left="709" w:hanging="567"/>
        <w:rPr>
          <w:sz w:val="20"/>
        </w:rPr>
      </w:pPr>
      <w:r w:rsidRPr="004C140C">
        <w:rPr>
          <w:rFonts w:ascii="Trebuchet MS"/>
          <w:sz w:val="20"/>
          <w:lang w:val="en-US"/>
        </w:rPr>
        <w:t>32.</w:t>
      </w:r>
      <w:r w:rsidRPr="004C140C">
        <w:rPr>
          <w:rFonts w:ascii="Trebuchet MS"/>
          <w:sz w:val="20"/>
          <w:lang w:val="en-US"/>
        </w:rPr>
        <w:tab/>
        <w:t>Christian B, Chattopadhyay A. Determinants and trends in dental expenditures in the adult US population: Medical Expenditure Panel Survey 1996-2006. Community dental health 2014;31(2):99-104.</w:t>
      </w:r>
    </w:p>
    <w:p w14:paraId="2FE18644" w14:textId="77777777" w:rsidR="002750DF" w:rsidRPr="004C140C" w:rsidRDefault="00AB1B7E" w:rsidP="004C140C">
      <w:pPr>
        <w:pStyle w:val="EndNoteBibliography"/>
        <w:spacing w:after="0"/>
        <w:ind w:left="709" w:hanging="567"/>
        <w:rPr>
          <w:sz w:val="20"/>
        </w:rPr>
      </w:pPr>
      <w:r w:rsidRPr="004C140C">
        <w:rPr>
          <w:rFonts w:ascii="Trebuchet MS"/>
          <w:sz w:val="20"/>
          <w:lang w:val="en-US"/>
        </w:rPr>
        <w:t>33.</w:t>
      </w:r>
      <w:r w:rsidRPr="004C140C">
        <w:rPr>
          <w:rFonts w:ascii="Trebuchet MS"/>
          <w:sz w:val="20"/>
          <w:lang w:val="en-US"/>
        </w:rPr>
        <w:tab/>
        <w:t>Productivity Commission. Efficiency in Health: Research Paper. Canberra: 2015.</w:t>
      </w:r>
    </w:p>
    <w:p w14:paraId="79E8B744" w14:textId="77777777" w:rsidR="002750DF" w:rsidRPr="004C140C" w:rsidRDefault="00AB1B7E" w:rsidP="004C140C">
      <w:pPr>
        <w:pStyle w:val="EndNoteBibliography"/>
        <w:spacing w:after="0"/>
        <w:ind w:left="709" w:hanging="567"/>
        <w:rPr>
          <w:sz w:val="20"/>
        </w:rPr>
      </w:pPr>
      <w:r w:rsidRPr="004C140C">
        <w:rPr>
          <w:rFonts w:ascii="Trebuchet MS"/>
          <w:sz w:val="20"/>
          <w:lang w:val="en-US"/>
        </w:rPr>
        <w:t>34.</w:t>
      </w:r>
      <w:r w:rsidRPr="004C140C">
        <w:rPr>
          <w:rFonts w:ascii="Trebuchet MS"/>
          <w:sz w:val="20"/>
          <w:lang w:val="en-US"/>
        </w:rPr>
        <w:tab/>
        <w:t>Ortiz E, Clancy CM. Use of information technology to improve the quality of health care in the United States. Health services research 2003;38(2):xi-xxii.</w:t>
      </w:r>
    </w:p>
    <w:p w14:paraId="6FCBA05D" w14:textId="77777777" w:rsidR="002750DF" w:rsidRPr="004C140C" w:rsidRDefault="00AB1B7E" w:rsidP="004C140C">
      <w:pPr>
        <w:pStyle w:val="EndNoteBibliography"/>
        <w:spacing w:after="0"/>
        <w:ind w:left="709" w:hanging="567"/>
        <w:rPr>
          <w:sz w:val="20"/>
        </w:rPr>
      </w:pPr>
      <w:r w:rsidRPr="004C140C">
        <w:rPr>
          <w:rFonts w:ascii="Trebuchet MS"/>
          <w:sz w:val="20"/>
          <w:lang w:val="en-US"/>
        </w:rPr>
        <w:t>35.</w:t>
      </w:r>
      <w:r w:rsidRPr="004C140C">
        <w:rPr>
          <w:rFonts w:ascii="Trebuchet MS"/>
          <w:sz w:val="20"/>
          <w:lang w:val="en-US"/>
        </w:rPr>
        <w:tab/>
      </w:r>
      <w:proofErr w:type="spellStart"/>
      <w:r w:rsidRPr="004C140C">
        <w:rPr>
          <w:rFonts w:ascii="Trebuchet MS"/>
          <w:sz w:val="20"/>
          <w:lang w:val="en-US"/>
        </w:rPr>
        <w:t>Sbaraini</w:t>
      </w:r>
      <w:proofErr w:type="spellEnd"/>
      <w:r w:rsidRPr="004C140C">
        <w:rPr>
          <w:rFonts w:ascii="Trebuchet MS"/>
          <w:sz w:val="20"/>
          <w:lang w:val="en-US"/>
        </w:rPr>
        <w:t xml:space="preserve"> A, Carter SM, Evans RW, Blinkhorn A. How do dentists and their teams incorporate evidence about preventive care? An empirical study. Community Dent Oral </w:t>
      </w:r>
      <w:proofErr w:type="spellStart"/>
      <w:r w:rsidRPr="004C140C">
        <w:rPr>
          <w:rFonts w:ascii="Trebuchet MS"/>
          <w:sz w:val="20"/>
          <w:lang w:val="en-US"/>
        </w:rPr>
        <w:t>Epidemiol</w:t>
      </w:r>
      <w:proofErr w:type="spellEnd"/>
      <w:r w:rsidRPr="004C140C">
        <w:rPr>
          <w:rFonts w:ascii="Trebuchet MS"/>
          <w:sz w:val="20"/>
          <w:lang w:val="en-US"/>
        </w:rPr>
        <w:t xml:space="preserve"> 2013;41(5):401-14.</w:t>
      </w:r>
    </w:p>
    <w:p w14:paraId="71D408F1" w14:textId="77777777" w:rsidR="002750DF" w:rsidRPr="004C140C" w:rsidRDefault="00AB1B7E" w:rsidP="004C140C">
      <w:pPr>
        <w:pStyle w:val="EndNoteBibliography"/>
        <w:spacing w:after="0"/>
        <w:ind w:left="709" w:hanging="567"/>
        <w:rPr>
          <w:sz w:val="20"/>
        </w:rPr>
      </w:pPr>
      <w:r w:rsidRPr="004C140C">
        <w:rPr>
          <w:rFonts w:ascii="Trebuchet MS"/>
          <w:sz w:val="20"/>
          <w:lang w:val="en-US"/>
        </w:rPr>
        <w:t>36.</w:t>
      </w:r>
      <w:r w:rsidRPr="004C140C">
        <w:rPr>
          <w:rFonts w:ascii="Trebuchet MS"/>
          <w:sz w:val="20"/>
          <w:lang w:val="en-US"/>
        </w:rPr>
        <w:tab/>
        <w:t xml:space="preserve">Watt R, </w:t>
      </w:r>
      <w:proofErr w:type="spellStart"/>
      <w:r w:rsidRPr="004C140C">
        <w:rPr>
          <w:rFonts w:ascii="Trebuchet MS"/>
          <w:sz w:val="20"/>
          <w:lang w:val="en-US"/>
        </w:rPr>
        <w:t>McGlone</w:t>
      </w:r>
      <w:proofErr w:type="spellEnd"/>
      <w:r w:rsidRPr="004C140C">
        <w:rPr>
          <w:rFonts w:ascii="Trebuchet MS"/>
          <w:sz w:val="20"/>
          <w:lang w:val="en-US"/>
        </w:rPr>
        <w:t xml:space="preserve"> P, Evans D, et al. The facilitating factors and barriers influencing change in dental practice in a sample of English general dental practitioners. Br Dent J 2004;197(8):485-9; discussion 75.</w:t>
      </w:r>
    </w:p>
    <w:p w14:paraId="6E67FAD0" w14:textId="77777777" w:rsidR="002750DF" w:rsidRPr="004C140C" w:rsidRDefault="00AB1B7E" w:rsidP="004C140C">
      <w:pPr>
        <w:pStyle w:val="EndNoteBibliography"/>
        <w:spacing w:after="0"/>
        <w:ind w:left="709" w:hanging="567"/>
        <w:rPr>
          <w:sz w:val="20"/>
        </w:rPr>
      </w:pPr>
      <w:r w:rsidRPr="004C140C">
        <w:rPr>
          <w:rFonts w:ascii="Trebuchet MS"/>
          <w:sz w:val="20"/>
          <w:lang w:val="en-US"/>
        </w:rPr>
        <w:t>37.</w:t>
      </w:r>
      <w:r w:rsidRPr="004C140C">
        <w:rPr>
          <w:rFonts w:ascii="Trebuchet MS"/>
          <w:sz w:val="20"/>
          <w:lang w:val="en-US"/>
        </w:rPr>
        <w:tab/>
      </w:r>
      <w:proofErr w:type="spellStart"/>
      <w:r w:rsidRPr="004C140C">
        <w:rPr>
          <w:rFonts w:ascii="Trebuchet MS"/>
          <w:sz w:val="20"/>
          <w:lang w:val="en-US"/>
        </w:rPr>
        <w:t>Chapko</w:t>
      </w:r>
      <w:proofErr w:type="spellEnd"/>
      <w:r w:rsidRPr="004C140C">
        <w:rPr>
          <w:rFonts w:ascii="Trebuchet MS"/>
          <w:sz w:val="20"/>
          <w:lang w:val="en-US"/>
        </w:rPr>
        <w:t xml:space="preserve"> MK. Time to adoption of an innovation by dentists in private practice: sealant utilization. J Public Health Dent 1991;51(3):144-51.</w:t>
      </w:r>
    </w:p>
    <w:p w14:paraId="260DE1BE" w14:textId="77777777" w:rsidR="002750DF" w:rsidRPr="004C140C" w:rsidRDefault="00AB1B7E" w:rsidP="004C140C">
      <w:pPr>
        <w:pStyle w:val="EndNoteBibliography"/>
        <w:ind w:left="709" w:hanging="567"/>
        <w:rPr>
          <w:sz w:val="20"/>
        </w:rPr>
      </w:pPr>
      <w:r w:rsidRPr="004C140C">
        <w:rPr>
          <w:sz w:val="20"/>
          <w:lang w:val="en-US"/>
        </w:rPr>
        <w:t>38.</w:t>
      </w:r>
      <w:r w:rsidRPr="004C140C">
        <w:rPr>
          <w:sz w:val="20"/>
          <w:lang w:val="en-US"/>
        </w:rPr>
        <w:tab/>
      </w:r>
      <w:proofErr w:type="spellStart"/>
      <w:r w:rsidRPr="004C140C">
        <w:rPr>
          <w:sz w:val="20"/>
          <w:lang w:val="en-US"/>
        </w:rPr>
        <w:t>Fiset</w:t>
      </w:r>
      <w:proofErr w:type="spellEnd"/>
      <w:r w:rsidRPr="004C140C">
        <w:rPr>
          <w:sz w:val="20"/>
          <w:lang w:val="en-US"/>
        </w:rPr>
        <w:t xml:space="preserve"> L, </w:t>
      </w:r>
      <w:proofErr w:type="spellStart"/>
      <w:r w:rsidRPr="004C140C">
        <w:rPr>
          <w:sz w:val="20"/>
          <w:lang w:val="en-US"/>
        </w:rPr>
        <w:t>Grembowski</w:t>
      </w:r>
      <w:proofErr w:type="spellEnd"/>
      <w:r w:rsidRPr="004C140C">
        <w:rPr>
          <w:sz w:val="20"/>
          <w:lang w:val="en-US"/>
        </w:rPr>
        <w:t xml:space="preserve"> D. Adoption of innovative caries-control services in dental practice: a survey of Washington State dentists. Journal of the American Dental Association (1939) 1997;128(3):337-45.</w:t>
      </w:r>
    </w:p>
    <w:sectPr w:rsidR="002750DF" w:rsidRPr="004C140C">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DD5657" w14:textId="77777777" w:rsidR="002468E3" w:rsidRDefault="002468E3">
      <w:r>
        <w:separator/>
      </w:r>
    </w:p>
  </w:endnote>
  <w:endnote w:type="continuationSeparator" w:id="0">
    <w:p w14:paraId="373CA09C" w14:textId="77777777" w:rsidR="002468E3" w:rsidRDefault="00246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NeueSans-Normal">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69C45" w14:textId="77777777" w:rsidR="00AB3112" w:rsidRDefault="00AB3112">
    <w:pPr>
      <w:pStyle w:val="Footer"/>
      <w:tabs>
        <w:tab w:val="clear" w:pos="9026"/>
        <w:tab w:val="right" w:pos="9000"/>
      </w:tabs>
      <w:jc w:val="right"/>
    </w:pPr>
    <w:r>
      <w:fldChar w:fldCharType="begin"/>
    </w:r>
    <w:r>
      <w:instrText xml:space="preserve"> PAGE </w:instrText>
    </w:r>
    <w:r>
      <w:fldChar w:fldCharType="separate"/>
    </w:r>
    <w:r w:rsidR="00250840">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8101B3" w14:textId="77777777" w:rsidR="002468E3" w:rsidRDefault="002468E3">
      <w:r>
        <w:separator/>
      </w:r>
    </w:p>
  </w:footnote>
  <w:footnote w:type="continuationSeparator" w:id="0">
    <w:p w14:paraId="4677DCC2" w14:textId="77777777" w:rsidR="002468E3" w:rsidRDefault="002468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734"/>
    <w:multiLevelType w:val="hybridMultilevel"/>
    <w:tmpl w:val="DB46B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3812AC"/>
    <w:multiLevelType w:val="multilevel"/>
    <w:tmpl w:val="1A3A8D88"/>
    <w:lvl w:ilvl="0">
      <w:numFmt w:val="bullet"/>
      <w:lvlText w:val="•"/>
      <w:lvlJc w:val="left"/>
      <w:rPr>
        <w:rFonts w:ascii="Arial" w:eastAsia="Arial" w:hAnsi="Arial" w:cs="Arial"/>
        <w:position w:val="0"/>
        <w:lang w:val="en-US"/>
      </w:rPr>
    </w:lvl>
    <w:lvl w:ilvl="1">
      <w:start w:val="1"/>
      <w:numFmt w:val="bullet"/>
      <w:lvlText w:val="o"/>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start w:val="1"/>
      <w:numFmt w:val="bullet"/>
      <w:lvlText w:val="•"/>
      <w:lvlJc w:val="left"/>
      <w:rPr>
        <w:rFonts w:ascii="Arial" w:eastAsia="Arial" w:hAnsi="Arial" w:cs="Arial"/>
        <w:position w:val="0"/>
        <w:lang w:val="en-US"/>
      </w:rPr>
    </w:lvl>
    <w:lvl w:ilvl="4">
      <w:start w:val="1"/>
      <w:numFmt w:val="bullet"/>
      <w:lvlText w:val="o"/>
      <w:lvlJc w:val="left"/>
      <w:rPr>
        <w:rFonts w:ascii="Arial" w:eastAsia="Arial" w:hAnsi="Arial" w:cs="Arial"/>
        <w:position w:val="0"/>
        <w:lang w:val="en-US"/>
      </w:rPr>
    </w:lvl>
    <w:lvl w:ilvl="5">
      <w:start w:val="1"/>
      <w:numFmt w:val="bullet"/>
      <w:lvlText w:val="▪"/>
      <w:lvlJc w:val="left"/>
      <w:rPr>
        <w:rFonts w:ascii="Arial" w:eastAsia="Arial" w:hAnsi="Arial" w:cs="Arial"/>
        <w:position w:val="0"/>
        <w:lang w:val="en-US"/>
      </w:rPr>
    </w:lvl>
    <w:lvl w:ilvl="6">
      <w:start w:val="1"/>
      <w:numFmt w:val="bullet"/>
      <w:lvlText w:val="•"/>
      <w:lvlJc w:val="left"/>
      <w:rPr>
        <w:rFonts w:ascii="Arial" w:eastAsia="Arial" w:hAnsi="Arial" w:cs="Arial"/>
        <w:position w:val="0"/>
        <w:lang w:val="en-US"/>
      </w:rPr>
    </w:lvl>
    <w:lvl w:ilvl="7">
      <w:start w:val="1"/>
      <w:numFmt w:val="bullet"/>
      <w:lvlText w:val="o"/>
      <w:lvlJc w:val="left"/>
      <w:rPr>
        <w:rFonts w:ascii="Arial" w:eastAsia="Arial" w:hAnsi="Arial" w:cs="Arial"/>
        <w:position w:val="0"/>
        <w:lang w:val="en-US"/>
      </w:rPr>
    </w:lvl>
    <w:lvl w:ilvl="8">
      <w:start w:val="1"/>
      <w:numFmt w:val="bullet"/>
      <w:lvlText w:val="▪"/>
      <w:lvlJc w:val="left"/>
      <w:rPr>
        <w:rFonts w:ascii="Arial" w:eastAsia="Arial" w:hAnsi="Arial" w:cs="Arial"/>
        <w:position w:val="0"/>
        <w:lang w:val="en-US"/>
      </w:rPr>
    </w:lvl>
  </w:abstractNum>
  <w:abstractNum w:abstractNumId="2">
    <w:nsid w:val="053E5D72"/>
    <w:multiLevelType w:val="multilevel"/>
    <w:tmpl w:val="69B00C82"/>
    <w:lvl w:ilvl="0">
      <w:numFmt w:val="bullet"/>
      <w:lvlText w:val="•"/>
      <w:lvlJc w:val="left"/>
      <w:rPr>
        <w:rFonts w:ascii="Arial" w:eastAsia="Arial" w:hAnsi="Arial" w:cs="Arial"/>
        <w:position w:val="0"/>
        <w:lang w:val="en-US"/>
      </w:rPr>
    </w:lvl>
    <w:lvl w:ilvl="1">
      <w:start w:val="1"/>
      <w:numFmt w:val="bullet"/>
      <w:lvlText w:val="o"/>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start w:val="1"/>
      <w:numFmt w:val="bullet"/>
      <w:lvlText w:val="•"/>
      <w:lvlJc w:val="left"/>
      <w:rPr>
        <w:rFonts w:ascii="Arial" w:eastAsia="Arial" w:hAnsi="Arial" w:cs="Arial"/>
        <w:position w:val="0"/>
        <w:lang w:val="en-US"/>
      </w:rPr>
    </w:lvl>
    <w:lvl w:ilvl="4">
      <w:start w:val="1"/>
      <w:numFmt w:val="bullet"/>
      <w:lvlText w:val="o"/>
      <w:lvlJc w:val="left"/>
      <w:rPr>
        <w:rFonts w:ascii="Arial" w:eastAsia="Arial" w:hAnsi="Arial" w:cs="Arial"/>
        <w:position w:val="0"/>
        <w:lang w:val="en-US"/>
      </w:rPr>
    </w:lvl>
    <w:lvl w:ilvl="5">
      <w:start w:val="1"/>
      <w:numFmt w:val="bullet"/>
      <w:lvlText w:val="▪"/>
      <w:lvlJc w:val="left"/>
      <w:rPr>
        <w:rFonts w:ascii="Arial" w:eastAsia="Arial" w:hAnsi="Arial" w:cs="Arial"/>
        <w:position w:val="0"/>
        <w:lang w:val="en-US"/>
      </w:rPr>
    </w:lvl>
    <w:lvl w:ilvl="6">
      <w:start w:val="1"/>
      <w:numFmt w:val="bullet"/>
      <w:lvlText w:val="•"/>
      <w:lvlJc w:val="left"/>
      <w:rPr>
        <w:rFonts w:ascii="Arial" w:eastAsia="Arial" w:hAnsi="Arial" w:cs="Arial"/>
        <w:position w:val="0"/>
        <w:lang w:val="en-US"/>
      </w:rPr>
    </w:lvl>
    <w:lvl w:ilvl="7">
      <w:start w:val="1"/>
      <w:numFmt w:val="bullet"/>
      <w:lvlText w:val="o"/>
      <w:lvlJc w:val="left"/>
      <w:rPr>
        <w:rFonts w:ascii="Arial" w:eastAsia="Arial" w:hAnsi="Arial" w:cs="Arial"/>
        <w:position w:val="0"/>
        <w:lang w:val="en-US"/>
      </w:rPr>
    </w:lvl>
    <w:lvl w:ilvl="8">
      <w:start w:val="1"/>
      <w:numFmt w:val="bullet"/>
      <w:lvlText w:val="▪"/>
      <w:lvlJc w:val="left"/>
      <w:rPr>
        <w:rFonts w:ascii="Arial" w:eastAsia="Arial" w:hAnsi="Arial" w:cs="Arial"/>
        <w:position w:val="0"/>
        <w:lang w:val="en-US"/>
      </w:rPr>
    </w:lvl>
  </w:abstractNum>
  <w:abstractNum w:abstractNumId="3">
    <w:nsid w:val="058144B3"/>
    <w:multiLevelType w:val="hybridMultilevel"/>
    <w:tmpl w:val="8FE4C0D6"/>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08997457"/>
    <w:multiLevelType w:val="multilevel"/>
    <w:tmpl w:val="DA72CA14"/>
    <w:lvl w:ilvl="0">
      <w:numFmt w:val="bullet"/>
      <w:lvlText w:val="•"/>
      <w:lvlJc w:val="left"/>
      <w:rPr>
        <w:rFonts w:ascii="Arial" w:eastAsia="Arial" w:hAnsi="Arial" w:cs="Arial"/>
        <w:position w:val="0"/>
        <w:lang w:val="en-US"/>
      </w:rPr>
    </w:lvl>
    <w:lvl w:ilvl="1">
      <w:start w:val="1"/>
      <w:numFmt w:val="bullet"/>
      <w:lvlText w:val="o"/>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start w:val="1"/>
      <w:numFmt w:val="bullet"/>
      <w:lvlText w:val="•"/>
      <w:lvlJc w:val="left"/>
      <w:rPr>
        <w:rFonts w:ascii="Arial" w:eastAsia="Arial" w:hAnsi="Arial" w:cs="Arial"/>
        <w:position w:val="0"/>
        <w:lang w:val="en-US"/>
      </w:rPr>
    </w:lvl>
    <w:lvl w:ilvl="4">
      <w:start w:val="1"/>
      <w:numFmt w:val="bullet"/>
      <w:lvlText w:val="o"/>
      <w:lvlJc w:val="left"/>
      <w:rPr>
        <w:rFonts w:ascii="Arial" w:eastAsia="Arial" w:hAnsi="Arial" w:cs="Arial"/>
        <w:position w:val="0"/>
        <w:lang w:val="en-US"/>
      </w:rPr>
    </w:lvl>
    <w:lvl w:ilvl="5">
      <w:start w:val="1"/>
      <w:numFmt w:val="bullet"/>
      <w:lvlText w:val="▪"/>
      <w:lvlJc w:val="left"/>
      <w:rPr>
        <w:rFonts w:ascii="Arial" w:eastAsia="Arial" w:hAnsi="Arial" w:cs="Arial"/>
        <w:position w:val="0"/>
        <w:lang w:val="en-US"/>
      </w:rPr>
    </w:lvl>
    <w:lvl w:ilvl="6">
      <w:start w:val="1"/>
      <w:numFmt w:val="bullet"/>
      <w:lvlText w:val="•"/>
      <w:lvlJc w:val="left"/>
      <w:rPr>
        <w:rFonts w:ascii="Arial" w:eastAsia="Arial" w:hAnsi="Arial" w:cs="Arial"/>
        <w:position w:val="0"/>
        <w:lang w:val="en-US"/>
      </w:rPr>
    </w:lvl>
    <w:lvl w:ilvl="7">
      <w:start w:val="1"/>
      <w:numFmt w:val="bullet"/>
      <w:lvlText w:val="o"/>
      <w:lvlJc w:val="left"/>
      <w:rPr>
        <w:rFonts w:ascii="Arial" w:eastAsia="Arial" w:hAnsi="Arial" w:cs="Arial"/>
        <w:position w:val="0"/>
        <w:lang w:val="en-US"/>
      </w:rPr>
    </w:lvl>
    <w:lvl w:ilvl="8">
      <w:start w:val="1"/>
      <w:numFmt w:val="bullet"/>
      <w:lvlText w:val="▪"/>
      <w:lvlJc w:val="left"/>
      <w:rPr>
        <w:rFonts w:ascii="Arial" w:eastAsia="Arial" w:hAnsi="Arial" w:cs="Arial"/>
        <w:position w:val="0"/>
        <w:lang w:val="en-US"/>
      </w:rPr>
    </w:lvl>
  </w:abstractNum>
  <w:abstractNum w:abstractNumId="5">
    <w:nsid w:val="0BE90F98"/>
    <w:multiLevelType w:val="multilevel"/>
    <w:tmpl w:val="C59682FC"/>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6">
    <w:nsid w:val="0CBD5B07"/>
    <w:multiLevelType w:val="hybridMultilevel"/>
    <w:tmpl w:val="0AE09820"/>
    <w:lvl w:ilvl="0" w:tplc="3A68FAE0">
      <w:start w:val="1"/>
      <w:numFmt w:val="decimal"/>
      <w:lvlText w:val="%1."/>
      <w:lvlJc w:val="left"/>
      <w:pPr>
        <w:ind w:left="360" w:hanging="360"/>
      </w:pPr>
      <w:rPr>
        <w:rFonts w:eastAsia="Calibri" w:cs="Calibri"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0F10027B"/>
    <w:multiLevelType w:val="hybridMultilevel"/>
    <w:tmpl w:val="90A6BB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0FC05948"/>
    <w:multiLevelType w:val="multilevel"/>
    <w:tmpl w:val="C0E6E62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9">
    <w:nsid w:val="128778E9"/>
    <w:multiLevelType w:val="multilevel"/>
    <w:tmpl w:val="8AA0A53E"/>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0">
    <w:nsid w:val="1A41736E"/>
    <w:multiLevelType w:val="multilevel"/>
    <w:tmpl w:val="3FC857B4"/>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1">
    <w:nsid w:val="1DBE2C25"/>
    <w:multiLevelType w:val="multilevel"/>
    <w:tmpl w:val="92AA2176"/>
    <w:styleLink w:val="List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2">
    <w:nsid w:val="205A5656"/>
    <w:multiLevelType w:val="multilevel"/>
    <w:tmpl w:val="CC3006F0"/>
    <w:styleLink w:val="List5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3">
    <w:nsid w:val="227357F9"/>
    <w:multiLevelType w:val="multilevel"/>
    <w:tmpl w:val="862EF81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4">
    <w:nsid w:val="22E97BA0"/>
    <w:multiLevelType w:val="multilevel"/>
    <w:tmpl w:val="ECE24BB2"/>
    <w:styleLink w:val="List31"/>
    <w:lvl w:ilvl="0">
      <w:numFmt w:val="bullet"/>
      <w:lvlText w:val="•"/>
      <w:lvlJc w:val="left"/>
      <w:rPr>
        <w:rFonts w:ascii="Arial" w:eastAsia="Arial" w:hAnsi="Arial" w:cs="Arial"/>
        <w:position w:val="0"/>
        <w:lang w:val="en-US"/>
      </w:rPr>
    </w:lvl>
    <w:lvl w:ilvl="1">
      <w:start w:val="1"/>
      <w:numFmt w:val="bullet"/>
      <w:lvlText w:val="o"/>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start w:val="1"/>
      <w:numFmt w:val="bullet"/>
      <w:lvlText w:val="•"/>
      <w:lvlJc w:val="left"/>
      <w:rPr>
        <w:rFonts w:ascii="Arial" w:eastAsia="Arial" w:hAnsi="Arial" w:cs="Arial"/>
        <w:position w:val="0"/>
        <w:lang w:val="en-US"/>
      </w:rPr>
    </w:lvl>
    <w:lvl w:ilvl="4">
      <w:start w:val="1"/>
      <w:numFmt w:val="bullet"/>
      <w:lvlText w:val="o"/>
      <w:lvlJc w:val="left"/>
      <w:rPr>
        <w:rFonts w:ascii="Arial" w:eastAsia="Arial" w:hAnsi="Arial" w:cs="Arial"/>
        <w:position w:val="0"/>
        <w:lang w:val="en-US"/>
      </w:rPr>
    </w:lvl>
    <w:lvl w:ilvl="5">
      <w:start w:val="1"/>
      <w:numFmt w:val="bullet"/>
      <w:lvlText w:val="▪"/>
      <w:lvlJc w:val="left"/>
      <w:rPr>
        <w:rFonts w:ascii="Arial" w:eastAsia="Arial" w:hAnsi="Arial" w:cs="Arial"/>
        <w:position w:val="0"/>
        <w:lang w:val="en-US"/>
      </w:rPr>
    </w:lvl>
    <w:lvl w:ilvl="6">
      <w:start w:val="1"/>
      <w:numFmt w:val="bullet"/>
      <w:lvlText w:val="•"/>
      <w:lvlJc w:val="left"/>
      <w:rPr>
        <w:rFonts w:ascii="Arial" w:eastAsia="Arial" w:hAnsi="Arial" w:cs="Arial"/>
        <w:position w:val="0"/>
        <w:lang w:val="en-US"/>
      </w:rPr>
    </w:lvl>
    <w:lvl w:ilvl="7">
      <w:start w:val="1"/>
      <w:numFmt w:val="bullet"/>
      <w:lvlText w:val="o"/>
      <w:lvlJc w:val="left"/>
      <w:rPr>
        <w:rFonts w:ascii="Arial" w:eastAsia="Arial" w:hAnsi="Arial" w:cs="Arial"/>
        <w:position w:val="0"/>
        <w:lang w:val="en-US"/>
      </w:rPr>
    </w:lvl>
    <w:lvl w:ilvl="8">
      <w:start w:val="1"/>
      <w:numFmt w:val="bullet"/>
      <w:lvlText w:val="▪"/>
      <w:lvlJc w:val="left"/>
      <w:rPr>
        <w:rFonts w:ascii="Arial" w:eastAsia="Arial" w:hAnsi="Arial" w:cs="Arial"/>
        <w:position w:val="0"/>
        <w:lang w:val="en-US"/>
      </w:rPr>
    </w:lvl>
  </w:abstractNum>
  <w:abstractNum w:abstractNumId="15">
    <w:nsid w:val="26BA5A16"/>
    <w:multiLevelType w:val="multilevel"/>
    <w:tmpl w:val="9F8C2B9C"/>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6">
    <w:nsid w:val="295E3F2C"/>
    <w:multiLevelType w:val="hybridMultilevel"/>
    <w:tmpl w:val="59D259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2F4472AC"/>
    <w:multiLevelType w:val="multilevel"/>
    <w:tmpl w:val="26C8123A"/>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8">
    <w:nsid w:val="2F4A617C"/>
    <w:multiLevelType w:val="hybridMultilevel"/>
    <w:tmpl w:val="239ED6D2"/>
    <w:lvl w:ilvl="0" w:tplc="0C090017">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3095770A"/>
    <w:multiLevelType w:val="multilevel"/>
    <w:tmpl w:val="0A38441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0">
    <w:nsid w:val="351643D6"/>
    <w:multiLevelType w:val="multilevel"/>
    <w:tmpl w:val="5212110C"/>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1">
    <w:nsid w:val="41DB2527"/>
    <w:multiLevelType w:val="multilevel"/>
    <w:tmpl w:val="EDA0DB9C"/>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2">
    <w:nsid w:val="465274B3"/>
    <w:multiLevelType w:val="multilevel"/>
    <w:tmpl w:val="9704D8B4"/>
    <w:lvl w:ilvl="0">
      <w:numFmt w:val="bullet"/>
      <w:lvlText w:val="•"/>
      <w:lvlJc w:val="left"/>
      <w:rPr>
        <w:rFonts w:ascii="Arial" w:eastAsia="Arial" w:hAnsi="Arial" w:cs="Arial"/>
        <w:position w:val="0"/>
        <w:lang w:val="en-US"/>
      </w:rPr>
    </w:lvl>
    <w:lvl w:ilvl="1">
      <w:start w:val="1"/>
      <w:numFmt w:val="bullet"/>
      <w:lvlText w:val="o"/>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start w:val="1"/>
      <w:numFmt w:val="bullet"/>
      <w:lvlText w:val="•"/>
      <w:lvlJc w:val="left"/>
      <w:rPr>
        <w:rFonts w:ascii="Arial" w:eastAsia="Arial" w:hAnsi="Arial" w:cs="Arial"/>
        <w:position w:val="0"/>
        <w:lang w:val="en-US"/>
      </w:rPr>
    </w:lvl>
    <w:lvl w:ilvl="4">
      <w:start w:val="1"/>
      <w:numFmt w:val="bullet"/>
      <w:lvlText w:val="o"/>
      <w:lvlJc w:val="left"/>
      <w:rPr>
        <w:rFonts w:ascii="Arial" w:eastAsia="Arial" w:hAnsi="Arial" w:cs="Arial"/>
        <w:position w:val="0"/>
        <w:lang w:val="en-US"/>
      </w:rPr>
    </w:lvl>
    <w:lvl w:ilvl="5">
      <w:start w:val="1"/>
      <w:numFmt w:val="bullet"/>
      <w:lvlText w:val="▪"/>
      <w:lvlJc w:val="left"/>
      <w:rPr>
        <w:rFonts w:ascii="Arial" w:eastAsia="Arial" w:hAnsi="Arial" w:cs="Arial"/>
        <w:position w:val="0"/>
        <w:lang w:val="en-US"/>
      </w:rPr>
    </w:lvl>
    <w:lvl w:ilvl="6">
      <w:start w:val="1"/>
      <w:numFmt w:val="bullet"/>
      <w:lvlText w:val="•"/>
      <w:lvlJc w:val="left"/>
      <w:rPr>
        <w:rFonts w:ascii="Arial" w:eastAsia="Arial" w:hAnsi="Arial" w:cs="Arial"/>
        <w:position w:val="0"/>
        <w:lang w:val="en-US"/>
      </w:rPr>
    </w:lvl>
    <w:lvl w:ilvl="7">
      <w:start w:val="1"/>
      <w:numFmt w:val="bullet"/>
      <w:lvlText w:val="o"/>
      <w:lvlJc w:val="left"/>
      <w:rPr>
        <w:rFonts w:ascii="Arial" w:eastAsia="Arial" w:hAnsi="Arial" w:cs="Arial"/>
        <w:position w:val="0"/>
        <w:lang w:val="en-US"/>
      </w:rPr>
    </w:lvl>
    <w:lvl w:ilvl="8">
      <w:start w:val="1"/>
      <w:numFmt w:val="bullet"/>
      <w:lvlText w:val="▪"/>
      <w:lvlJc w:val="left"/>
      <w:rPr>
        <w:rFonts w:ascii="Arial" w:eastAsia="Arial" w:hAnsi="Arial" w:cs="Arial"/>
        <w:position w:val="0"/>
        <w:lang w:val="en-US"/>
      </w:rPr>
    </w:lvl>
  </w:abstractNum>
  <w:abstractNum w:abstractNumId="23">
    <w:nsid w:val="499E7410"/>
    <w:multiLevelType w:val="multilevel"/>
    <w:tmpl w:val="C262C430"/>
    <w:styleLink w:val="List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4">
    <w:nsid w:val="4C702D1F"/>
    <w:multiLevelType w:val="multilevel"/>
    <w:tmpl w:val="64C2FC32"/>
    <w:styleLink w:val="List21"/>
    <w:lvl w:ilvl="0">
      <w:start w:val="1"/>
      <w:numFmt w:val="decimal"/>
      <w:lvlText w:val="%1."/>
      <w:lvlJc w:val="left"/>
      <w:rPr>
        <w:rFonts w:ascii="Arial" w:eastAsia="Arial" w:hAnsi="Arial" w:cs="Arial"/>
        <w:position w:val="0"/>
        <w:lang w:val="en-US"/>
      </w:rPr>
    </w:lvl>
    <w:lvl w:ilvl="1">
      <w:start w:val="1"/>
      <w:numFmt w:val="lowerLetter"/>
      <w:lvlText w:val="%2."/>
      <w:lvlJc w:val="left"/>
      <w:rPr>
        <w:rFonts w:ascii="Arial" w:eastAsia="Arial" w:hAnsi="Arial" w:cs="Arial"/>
        <w:position w:val="0"/>
        <w:lang w:val="en-US"/>
      </w:rPr>
    </w:lvl>
    <w:lvl w:ilvl="2">
      <w:start w:val="1"/>
      <w:numFmt w:val="lowerRoman"/>
      <w:lvlText w:val="%3."/>
      <w:lvlJc w:val="left"/>
      <w:rPr>
        <w:rFonts w:ascii="Arial" w:eastAsia="Arial" w:hAnsi="Arial" w:cs="Arial"/>
        <w:position w:val="0"/>
        <w:lang w:val="en-US"/>
      </w:rPr>
    </w:lvl>
    <w:lvl w:ilvl="3">
      <w:start w:val="1"/>
      <w:numFmt w:val="decimal"/>
      <w:lvlText w:val="%4."/>
      <w:lvlJc w:val="left"/>
      <w:rPr>
        <w:rFonts w:ascii="Arial" w:eastAsia="Arial" w:hAnsi="Arial" w:cs="Arial"/>
        <w:position w:val="0"/>
        <w:lang w:val="en-US"/>
      </w:rPr>
    </w:lvl>
    <w:lvl w:ilvl="4">
      <w:start w:val="1"/>
      <w:numFmt w:val="lowerLetter"/>
      <w:lvlText w:val="%5."/>
      <w:lvlJc w:val="left"/>
      <w:rPr>
        <w:rFonts w:ascii="Arial" w:eastAsia="Arial" w:hAnsi="Arial" w:cs="Arial"/>
        <w:position w:val="0"/>
        <w:lang w:val="en-US"/>
      </w:rPr>
    </w:lvl>
    <w:lvl w:ilvl="5">
      <w:start w:val="1"/>
      <w:numFmt w:val="lowerRoman"/>
      <w:lvlText w:val="%6."/>
      <w:lvlJc w:val="left"/>
      <w:rPr>
        <w:rFonts w:ascii="Arial" w:eastAsia="Arial" w:hAnsi="Arial" w:cs="Arial"/>
        <w:position w:val="0"/>
        <w:lang w:val="en-US"/>
      </w:rPr>
    </w:lvl>
    <w:lvl w:ilvl="6">
      <w:start w:val="1"/>
      <w:numFmt w:val="decimal"/>
      <w:lvlText w:val="%7."/>
      <w:lvlJc w:val="left"/>
      <w:rPr>
        <w:rFonts w:ascii="Arial" w:eastAsia="Arial" w:hAnsi="Arial" w:cs="Arial"/>
        <w:position w:val="0"/>
        <w:lang w:val="en-US"/>
      </w:rPr>
    </w:lvl>
    <w:lvl w:ilvl="7">
      <w:start w:val="1"/>
      <w:numFmt w:val="lowerLetter"/>
      <w:lvlText w:val="%8."/>
      <w:lvlJc w:val="left"/>
      <w:rPr>
        <w:rFonts w:ascii="Arial" w:eastAsia="Arial" w:hAnsi="Arial" w:cs="Arial"/>
        <w:position w:val="0"/>
        <w:lang w:val="en-US"/>
      </w:rPr>
    </w:lvl>
    <w:lvl w:ilvl="8">
      <w:start w:val="1"/>
      <w:numFmt w:val="lowerRoman"/>
      <w:lvlText w:val="%9."/>
      <w:lvlJc w:val="left"/>
      <w:rPr>
        <w:rFonts w:ascii="Arial" w:eastAsia="Arial" w:hAnsi="Arial" w:cs="Arial"/>
        <w:position w:val="0"/>
        <w:lang w:val="en-US"/>
      </w:rPr>
    </w:lvl>
  </w:abstractNum>
  <w:abstractNum w:abstractNumId="25">
    <w:nsid w:val="51666BFD"/>
    <w:multiLevelType w:val="multilevel"/>
    <w:tmpl w:val="1D2468EA"/>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6">
    <w:nsid w:val="58132BAA"/>
    <w:multiLevelType w:val="multilevel"/>
    <w:tmpl w:val="976C7E0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7">
    <w:nsid w:val="588351CE"/>
    <w:multiLevelType w:val="multilevel"/>
    <w:tmpl w:val="3ED4AA6E"/>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8">
    <w:nsid w:val="58841B04"/>
    <w:multiLevelType w:val="multilevel"/>
    <w:tmpl w:val="2C74E1BC"/>
    <w:lvl w:ilvl="0">
      <w:numFmt w:val="bullet"/>
      <w:lvlText w:val="•"/>
      <w:lvlJc w:val="left"/>
      <w:rPr>
        <w:rFonts w:ascii="Arial" w:eastAsia="Arial" w:hAnsi="Arial" w:cs="Arial"/>
        <w:position w:val="0"/>
        <w:lang w:val="en-US"/>
      </w:rPr>
    </w:lvl>
    <w:lvl w:ilvl="1">
      <w:start w:val="1"/>
      <w:numFmt w:val="bullet"/>
      <w:lvlText w:val="o"/>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start w:val="1"/>
      <w:numFmt w:val="bullet"/>
      <w:lvlText w:val="•"/>
      <w:lvlJc w:val="left"/>
      <w:rPr>
        <w:rFonts w:ascii="Arial" w:eastAsia="Arial" w:hAnsi="Arial" w:cs="Arial"/>
        <w:position w:val="0"/>
        <w:lang w:val="en-US"/>
      </w:rPr>
    </w:lvl>
    <w:lvl w:ilvl="4">
      <w:start w:val="1"/>
      <w:numFmt w:val="bullet"/>
      <w:lvlText w:val="o"/>
      <w:lvlJc w:val="left"/>
      <w:rPr>
        <w:rFonts w:ascii="Arial" w:eastAsia="Arial" w:hAnsi="Arial" w:cs="Arial"/>
        <w:position w:val="0"/>
        <w:lang w:val="en-US"/>
      </w:rPr>
    </w:lvl>
    <w:lvl w:ilvl="5">
      <w:start w:val="1"/>
      <w:numFmt w:val="bullet"/>
      <w:lvlText w:val="▪"/>
      <w:lvlJc w:val="left"/>
      <w:rPr>
        <w:rFonts w:ascii="Arial" w:eastAsia="Arial" w:hAnsi="Arial" w:cs="Arial"/>
        <w:position w:val="0"/>
        <w:lang w:val="en-US"/>
      </w:rPr>
    </w:lvl>
    <w:lvl w:ilvl="6">
      <w:start w:val="1"/>
      <w:numFmt w:val="bullet"/>
      <w:lvlText w:val="•"/>
      <w:lvlJc w:val="left"/>
      <w:rPr>
        <w:rFonts w:ascii="Arial" w:eastAsia="Arial" w:hAnsi="Arial" w:cs="Arial"/>
        <w:position w:val="0"/>
        <w:lang w:val="en-US"/>
      </w:rPr>
    </w:lvl>
    <w:lvl w:ilvl="7">
      <w:start w:val="1"/>
      <w:numFmt w:val="bullet"/>
      <w:lvlText w:val="o"/>
      <w:lvlJc w:val="left"/>
      <w:rPr>
        <w:rFonts w:ascii="Arial" w:eastAsia="Arial" w:hAnsi="Arial" w:cs="Arial"/>
        <w:position w:val="0"/>
        <w:lang w:val="en-US"/>
      </w:rPr>
    </w:lvl>
    <w:lvl w:ilvl="8">
      <w:start w:val="1"/>
      <w:numFmt w:val="bullet"/>
      <w:lvlText w:val="▪"/>
      <w:lvlJc w:val="left"/>
      <w:rPr>
        <w:rFonts w:ascii="Arial" w:eastAsia="Arial" w:hAnsi="Arial" w:cs="Arial"/>
        <w:position w:val="0"/>
        <w:lang w:val="en-US"/>
      </w:rPr>
    </w:lvl>
  </w:abstractNum>
  <w:abstractNum w:abstractNumId="29">
    <w:nsid w:val="592948CD"/>
    <w:multiLevelType w:val="multilevel"/>
    <w:tmpl w:val="26F26A58"/>
    <w:styleLink w:val="List7"/>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0">
    <w:nsid w:val="5AD27F47"/>
    <w:multiLevelType w:val="multilevel"/>
    <w:tmpl w:val="2C56659A"/>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1">
    <w:nsid w:val="5BC43463"/>
    <w:multiLevelType w:val="multilevel"/>
    <w:tmpl w:val="DAE661EE"/>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2">
    <w:nsid w:val="5E116D72"/>
    <w:multiLevelType w:val="multilevel"/>
    <w:tmpl w:val="E8DCF62A"/>
    <w:styleLink w:val="List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3">
    <w:nsid w:val="5E744BB9"/>
    <w:multiLevelType w:val="multilevel"/>
    <w:tmpl w:val="7DE6610C"/>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4">
    <w:nsid w:val="5ECE50E7"/>
    <w:multiLevelType w:val="multilevel"/>
    <w:tmpl w:val="E8827CF8"/>
    <w:lvl w:ilvl="0">
      <w:numFmt w:val="bullet"/>
      <w:lvlText w:val="•"/>
      <w:lvlJc w:val="left"/>
      <w:rPr>
        <w:rFonts w:ascii="Arial" w:eastAsia="Arial" w:hAnsi="Arial" w:cs="Arial"/>
        <w:position w:val="0"/>
        <w:lang w:val="en-US"/>
      </w:rPr>
    </w:lvl>
    <w:lvl w:ilvl="1">
      <w:start w:val="1"/>
      <w:numFmt w:val="bullet"/>
      <w:lvlText w:val="o"/>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start w:val="1"/>
      <w:numFmt w:val="bullet"/>
      <w:lvlText w:val="•"/>
      <w:lvlJc w:val="left"/>
      <w:rPr>
        <w:rFonts w:ascii="Arial" w:eastAsia="Arial" w:hAnsi="Arial" w:cs="Arial"/>
        <w:position w:val="0"/>
        <w:lang w:val="en-US"/>
      </w:rPr>
    </w:lvl>
    <w:lvl w:ilvl="4">
      <w:start w:val="1"/>
      <w:numFmt w:val="bullet"/>
      <w:lvlText w:val="o"/>
      <w:lvlJc w:val="left"/>
      <w:rPr>
        <w:rFonts w:ascii="Arial" w:eastAsia="Arial" w:hAnsi="Arial" w:cs="Arial"/>
        <w:position w:val="0"/>
        <w:lang w:val="en-US"/>
      </w:rPr>
    </w:lvl>
    <w:lvl w:ilvl="5">
      <w:start w:val="1"/>
      <w:numFmt w:val="bullet"/>
      <w:lvlText w:val="▪"/>
      <w:lvlJc w:val="left"/>
      <w:rPr>
        <w:rFonts w:ascii="Arial" w:eastAsia="Arial" w:hAnsi="Arial" w:cs="Arial"/>
        <w:position w:val="0"/>
        <w:lang w:val="en-US"/>
      </w:rPr>
    </w:lvl>
    <w:lvl w:ilvl="6">
      <w:start w:val="1"/>
      <w:numFmt w:val="bullet"/>
      <w:lvlText w:val="•"/>
      <w:lvlJc w:val="left"/>
      <w:rPr>
        <w:rFonts w:ascii="Arial" w:eastAsia="Arial" w:hAnsi="Arial" w:cs="Arial"/>
        <w:position w:val="0"/>
        <w:lang w:val="en-US"/>
      </w:rPr>
    </w:lvl>
    <w:lvl w:ilvl="7">
      <w:start w:val="1"/>
      <w:numFmt w:val="bullet"/>
      <w:lvlText w:val="o"/>
      <w:lvlJc w:val="left"/>
      <w:rPr>
        <w:rFonts w:ascii="Arial" w:eastAsia="Arial" w:hAnsi="Arial" w:cs="Arial"/>
        <w:position w:val="0"/>
        <w:lang w:val="en-US"/>
      </w:rPr>
    </w:lvl>
    <w:lvl w:ilvl="8">
      <w:start w:val="1"/>
      <w:numFmt w:val="bullet"/>
      <w:lvlText w:val="▪"/>
      <w:lvlJc w:val="left"/>
      <w:rPr>
        <w:rFonts w:ascii="Arial" w:eastAsia="Arial" w:hAnsi="Arial" w:cs="Arial"/>
        <w:position w:val="0"/>
        <w:lang w:val="en-US"/>
      </w:rPr>
    </w:lvl>
  </w:abstractNum>
  <w:abstractNum w:abstractNumId="35">
    <w:nsid w:val="674D36E0"/>
    <w:multiLevelType w:val="multilevel"/>
    <w:tmpl w:val="B5D8BEC2"/>
    <w:styleLink w:val="List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6">
    <w:nsid w:val="68EB4266"/>
    <w:multiLevelType w:val="multilevel"/>
    <w:tmpl w:val="1EA64450"/>
    <w:styleLink w:val="List41"/>
    <w:lvl w:ilvl="0">
      <w:numFmt w:val="bullet"/>
      <w:lvlText w:val="•"/>
      <w:lvlJc w:val="left"/>
      <w:rPr>
        <w:rFonts w:ascii="Arial" w:eastAsia="Arial" w:hAnsi="Arial" w:cs="Arial"/>
        <w:position w:val="0"/>
        <w:lang w:val="en-US"/>
      </w:rPr>
    </w:lvl>
    <w:lvl w:ilvl="1">
      <w:start w:val="1"/>
      <w:numFmt w:val="bullet"/>
      <w:lvlText w:val="o"/>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start w:val="1"/>
      <w:numFmt w:val="bullet"/>
      <w:lvlText w:val="•"/>
      <w:lvlJc w:val="left"/>
      <w:rPr>
        <w:rFonts w:ascii="Arial" w:eastAsia="Arial" w:hAnsi="Arial" w:cs="Arial"/>
        <w:position w:val="0"/>
        <w:lang w:val="en-US"/>
      </w:rPr>
    </w:lvl>
    <w:lvl w:ilvl="4">
      <w:start w:val="1"/>
      <w:numFmt w:val="bullet"/>
      <w:lvlText w:val="o"/>
      <w:lvlJc w:val="left"/>
      <w:rPr>
        <w:rFonts w:ascii="Arial" w:eastAsia="Arial" w:hAnsi="Arial" w:cs="Arial"/>
        <w:position w:val="0"/>
        <w:lang w:val="en-US"/>
      </w:rPr>
    </w:lvl>
    <w:lvl w:ilvl="5">
      <w:start w:val="1"/>
      <w:numFmt w:val="bullet"/>
      <w:lvlText w:val="▪"/>
      <w:lvlJc w:val="left"/>
      <w:rPr>
        <w:rFonts w:ascii="Arial" w:eastAsia="Arial" w:hAnsi="Arial" w:cs="Arial"/>
        <w:position w:val="0"/>
        <w:lang w:val="en-US"/>
      </w:rPr>
    </w:lvl>
    <w:lvl w:ilvl="6">
      <w:start w:val="1"/>
      <w:numFmt w:val="bullet"/>
      <w:lvlText w:val="•"/>
      <w:lvlJc w:val="left"/>
      <w:rPr>
        <w:rFonts w:ascii="Arial" w:eastAsia="Arial" w:hAnsi="Arial" w:cs="Arial"/>
        <w:position w:val="0"/>
        <w:lang w:val="en-US"/>
      </w:rPr>
    </w:lvl>
    <w:lvl w:ilvl="7">
      <w:start w:val="1"/>
      <w:numFmt w:val="bullet"/>
      <w:lvlText w:val="o"/>
      <w:lvlJc w:val="left"/>
      <w:rPr>
        <w:rFonts w:ascii="Arial" w:eastAsia="Arial" w:hAnsi="Arial" w:cs="Arial"/>
        <w:position w:val="0"/>
        <w:lang w:val="en-US"/>
      </w:rPr>
    </w:lvl>
    <w:lvl w:ilvl="8">
      <w:start w:val="1"/>
      <w:numFmt w:val="bullet"/>
      <w:lvlText w:val="▪"/>
      <w:lvlJc w:val="left"/>
      <w:rPr>
        <w:rFonts w:ascii="Arial" w:eastAsia="Arial" w:hAnsi="Arial" w:cs="Arial"/>
        <w:position w:val="0"/>
        <w:lang w:val="en-US"/>
      </w:rPr>
    </w:lvl>
  </w:abstractNum>
  <w:abstractNum w:abstractNumId="37">
    <w:nsid w:val="68F009F5"/>
    <w:multiLevelType w:val="hybridMultilevel"/>
    <w:tmpl w:val="5D3C4CFC"/>
    <w:lvl w:ilvl="0" w:tplc="0C090013">
      <w:start w:val="1"/>
      <w:numFmt w:val="upperRoman"/>
      <w:lvlText w:val="%1."/>
      <w:lvlJc w:val="righ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nsid w:val="77EE4707"/>
    <w:multiLevelType w:val="multilevel"/>
    <w:tmpl w:val="4D4CCAA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9">
    <w:nsid w:val="788D0A4A"/>
    <w:multiLevelType w:val="multilevel"/>
    <w:tmpl w:val="C9869FC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0">
    <w:nsid w:val="7C1751D1"/>
    <w:multiLevelType w:val="hybridMultilevel"/>
    <w:tmpl w:val="433A95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nsid w:val="7E985779"/>
    <w:multiLevelType w:val="multilevel"/>
    <w:tmpl w:val="304AD402"/>
    <w:lvl w:ilvl="0">
      <w:numFmt w:val="bullet"/>
      <w:lvlText w:val="•"/>
      <w:lvlJc w:val="left"/>
      <w:rPr>
        <w:rFonts w:ascii="Arial" w:eastAsia="Arial" w:hAnsi="Arial" w:cs="Arial"/>
        <w:position w:val="0"/>
        <w:lang w:val="en-US"/>
      </w:rPr>
    </w:lvl>
    <w:lvl w:ilvl="1">
      <w:start w:val="1"/>
      <w:numFmt w:val="bullet"/>
      <w:lvlText w:val="o"/>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start w:val="1"/>
      <w:numFmt w:val="bullet"/>
      <w:lvlText w:val="•"/>
      <w:lvlJc w:val="left"/>
      <w:rPr>
        <w:rFonts w:ascii="Arial" w:eastAsia="Arial" w:hAnsi="Arial" w:cs="Arial"/>
        <w:position w:val="0"/>
        <w:lang w:val="en-US"/>
      </w:rPr>
    </w:lvl>
    <w:lvl w:ilvl="4">
      <w:start w:val="1"/>
      <w:numFmt w:val="bullet"/>
      <w:lvlText w:val="o"/>
      <w:lvlJc w:val="left"/>
      <w:rPr>
        <w:rFonts w:ascii="Arial" w:eastAsia="Arial" w:hAnsi="Arial" w:cs="Arial"/>
        <w:position w:val="0"/>
        <w:lang w:val="en-US"/>
      </w:rPr>
    </w:lvl>
    <w:lvl w:ilvl="5">
      <w:start w:val="1"/>
      <w:numFmt w:val="bullet"/>
      <w:lvlText w:val="▪"/>
      <w:lvlJc w:val="left"/>
      <w:rPr>
        <w:rFonts w:ascii="Arial" w:eastAsia="Arial" w:hAnsi="Arial" w:cs="Arial"/>
        <w:position w:val="0"/>
        <w:lang w:val="en-US"/>
      </w:rPr>
    </w:lvl>
    <w:lvl w:ilvl="6">
      <w:start w:val="1"/>
      <w:numFmt w:val="bullet"/>
      <w:lvlText w:val="•"/>
      <w:lvlJc w:val="left"/>
      <w:rPr>
        <w:rFonts w:ascii="Arial" w:eastAsia="Arial" w:hAnsi="Arial" w:cs="Arial"/>
        <w:position w:val="0"/>
        <w:lang w:val="en-US"/>
      </w:rPr>
    </w:lvl>
    <w:lvl w:ilvl="7">
      <w:start w:val="1"/>
      <w:numFmt w:val="bullet"/>
      <w:lvlText w:val="o"/>
      <w:lvlJc w:val="left"/>
      <w:rPr>
        <w:rFonts w:ascii="Arial" w:eastAsia="Arial" w:hAnsi="Arial" w:cs="Arial"/>
        <w:position w:val="0"/>
        <w:lang w:val="en-US"/>
      </w:rPr>
    </w:lvl>
    <w:lvl w:ilvl="8">
      <w:start w:val="1"/>
      <w:numFmt w:val="bullet"/>
      <w:lvlText w:val="▪"/>
      <w:lvlJc w:val="left"/>
      <w:rPr>
        <w:rFonts w:ascii="Arial" w:eastAsia="Arial" w:hAnsi="Arial" w:cs="Arial"/>
        <w:position w:val="0"/>
        <w:lang w:val="en-US"/>
      </w:rPr>
    </w:lvl>
  </w:abstractNum>
  <w:abstractNum w:abstractNumId="42">
    <w:nsid w:val="7F7330ED"/>
    <w:multiLevelType w:val="multilevel"/>
    <w:tmpl w:val="4C4C8F0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num w:numId="1">
    <w:abstractNumId w:val="11"/>
  </w:num>
  <w:num w:numId="2">
    <w:abstractNumId w:val="25"/>
  </w:num>
  <w:num w:numId="3">
    <w:abstractNumId w:val="17"/>
  </w:num>
  <w:num w:numId="4">
    <w:abstractNumId w:val="26"/>
  </w:num>
  <w:num w:numId="5">
    <w:abstractNumId w:val="10"/>
  </w:num>
  <w:num w:numId="6">
    <w:abstractNumId w:val="39"/>
  </w:num>
  <w:num w:numId="7">
    <w:abstractNumId w:val="38"/>
  </w:num>
  <w:num w:numId="8">
    <w:abstractNumId w:val="5"/>
  </w:num>
  <w:num w:numId="9">
    <w:abstractNumId w:val="23"/>
  </w:num>
  <w:num w:numId="10">
    <w:abstractNumId w:val="24"/>
  </w:num>
  <w:num w:numId="11">
    <w:abstractNumId w:val="2"/>
  </w:num>
  <w:num w:numId="12">
    <w:abstractNumId w:val="4"/>
  </w:num>
  <w:num w:numId="13">
    <w:abstractNumId w:val="1"/>
  </w:num>
  <w:num w:numId="14">
    <w:abstractNumId w:val="14"/>
  </w:num>
  <w:num w:numId="15">
    <w:abstractNumId w:val="34"/>
  </w:num>
  <w:num w:numId="16">
    <w:abstractNumId w:val="28"/>
  </w:num>
  <w:num w:numId="17">
    <w:abstractNumId w:val="22"/>
  </w:num>
  <w:num w:numId="18">
    <w:abstractNumId w:val="41"/>
  </w:num>
  <w:num w:numId="19">
    <w:abstractNumId w:val="36"/>
  </w:num>
  <w:num w:numId="20">
    <w:abstractNumId w:val="13"/>
  </w:num>
  <w:num w:numId="21">
    <w:abstractNumId w:val="15"/>
  </w:num>
  <w:num w:numId="22">
    <w:abstractNumId w:val="19"/>
  </w:num>
  <w:num w:numId="23">
    <w:abstractNumId w:val="33"/>
  </w:num>
  <w:num w:numId="24">
    <w:abstractNumId w:val="20"/>
  </w:num>
  <w:num w:numId="25">
    <w:abstractNumId w:val="12"/>
  </w:num>
  <w:num w:numId="26">
    <w:abstractNumId w:val="30"/>
  </w:num>
  <w:num w:numId="27">
    <w:abstractNumId w:val="8"/>
  </w:num>
  <w:num w:numId="28">
    <w:abstractNumId w:val="9"/>
  </w:num>
  <w:num w:numId="29">
    <w:abstractNumId w:val="27"/>
  </w:num>
  <w:num w:numId="30">
    <w:abstractNumId w:val="35"/>
  </w:num>
  <w:num w:numId="31">
    <w:abstractNumId w:val="42"/>
  </w:num>
  <w:num w:numId="32">
    <w:abstractNumId w:val="31"/>
  </w:num>
  <w:num w:numId="33">
    <w:abstractNumId w:val="21"/>
  </w:num>
  <w:num w:numId="34">
    <w:abstractNumId w:val="29"/>
  </w:num>
  <w:num w:numId="35">
    <w:abstractNumId w:val="32"/>
  </w:num>
  <w:num w:numId="36">
    <w:abstractNumId w:val="40"/>
  </w:num>
  <w:num w:numId="37">
    <w:abstractNumId w:val="16"/>
  </w:num>
  <w:num w:numId="38">
    <w:abstractNumId w:val="6"/>
  </w:num>
  <w:num w:numId="39">
    <w:abstractNumId w:val="7"/>
  </w:num>
  <w:num w:numId="40">
    <w:abstractNumId w:val="3"/>
  </w:num>
  <w:num w:numId="41">
    <w:abstractNumId w:val="37"/>
  </w:num>
  <w:num w:numId="42">
    <w:abstractNumId w:val="18"/>
  </w:num>
  <w:num w:numId="43">
    <w:abstractNumId w:val="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0DF"/>
    <w:rsid w:val="00015179"/>
    <w:rsid w:val="000544B1"/>
    <w:rsid w:val="000574F7"/>
    <w:rsid w:val="000B2F1E"/>
    <w:rsid w:val="001218D3"/>
    <w:rsid w:val="00127093"/>
    <w:rsid w:val="00127BC0"/>
    <w:rsid w:val="001650F7"/>
    <w:rsid w:val="00187C35"/>
    <w:rsid w:val="001E505F"/>
    <w:rsid w:val="00242464"/>
    <w:rsid w:val="002468E3"/>
    <w:rsid w:val="00250840"/>
    <w:rsid w:val="002537AD"/>
    <w:rsid w:val="002573FE"/>
    <w:rsid w:val="002750DF"/>
    <w:rsid w:val="002A3DAF"/>
    <w:rsid w:val="002B0E9D"/>
    <w:rsid w:val="002B5043"/>
    <w:rsid w:val="002C37DD"/>
    <w:rsid w:val="002C6E2B"/>
    <w:rsid w:val="002D3D7E"/>
    <w:rsid w:val="002D73A4"/>
    <w:rsid w:val="00310DB1"/>
    <w:rsid w:val="00353F08"/>
    <w:rsid w:val="00367B30"/>
    <w:rsid w:val="003941BE"/>
    <w:rsid w:val="00395F44"/>
    <w:rsid w:val="003E1472"/>
    <w:rsid w:val="00412B40"/>
    <w:rsid w:val="00454F4A"/>
    <w:rsid w:val="00480AA9"/>
    <w:rsid w:val="004C0141"/>
    <w:rsid w:val="004C140C"/>
    <w:rsid w:val="004F05A8"/>
    <w:rsid w:val="00525A5F"/>
    <w:rsid w:val="0054279D"/>
    <w:rsid w:val="005444A2"/>
    <w:rsid w:val="005801EC"/>
    <w:rsid w:val="00595ED8"/>
    <w:rsid w:val="005C2973"/>
    <w:rsid w:val="00607B1A"/>
    <w:rsid w:val="006244BE"/>
    <w:rsid w:val="00661BAE"/>
    <w:rsid w:val="00676BB3"/>
    <w:rsid w:val="00686538"/>
    <w:rsid w:val="00690A7C"/>
    <w:rsid w:val="0069381E"/>
    <w:rsid w:val="006A0685"/>
    <w:rsid w:val="00721CDF"/>
    <w:rsid w:val="007421FF"/>
    <w:rsid w:val="00751FF4"/>
    <w:rsid w:val="0075605A"/>
    <w:rsid w:val="007A18D6"/>
    <w:rsid w:val="007B0859"/>
    <w:rsid w:val="007C4D67"/>
    <w:rsid w:val="007D2BD5"/>
    <w:rsid w:val="007D3FBC"/>
    <w:rsid w:val="00802F23"/>
    <w:rsid w:val="00814D31"/>
    <w:rsid w:val="0087295C"/>
    <w:rsid w:val="008A5EB9"/>
    <w:rsid w:val="00900950"/>
    <w:rsid w:val="00915740"/>
    <w:rsid w:val="009664B6"/>
    <w:rsid w:val="00975FC0"/>
    <w:rsid w:val="009953C6"/>
    <w:rsid w:val="009C5F1A"/>
    <w:rsid w:val="00A87D70"/>
    <w:rsid w:val="00A968DF"/>
    <w:rsid w:val="00AB1B7E"/>
    <w:rsid w:val="00AB3112"/>
    <w:rsid w:val="00AB53E7"/>
    <w:rsid w:val="00AD035C"/>
    <w:rsid w:val="00AE0FEF"/>
    <w:rsid w:val="00B378BC"/>
    <w:rsid w:val="00B96AAA"/>
    <w:rsid w:val="00BA5306"/>
    <w:rsid w:val="00BE69CA"/>
    <w:rsid w:val="00C250D1"/>
    <w:rsid w:val="00C72F65"/>
    <w:rsid w:val="00CB29F2"/>
    <w:rsid w:val="00CB4922"/>
    <w:rsid w:val="00CD1169"/>
    <w:rsid w:val="00CD5205"/>
    <w:rsid w:val="00CD6201"/>
    <w:rsid w:val="00D312FF"/>
    <w:rsid w:val="00D91CC2"/>
    <w:rsid w:val="00DA54AB"/>
    <w:rsid w:val="00DE0686"/>
    <w:rsid w:val="00DF442E"/>
    <w:rsid w:val="00E34FF1"/>
    <w:rsid w:val="00E62DB0"/>
    <w:rsid w:val="00E6567E"/>
    <w:rsid w:val="00EC77B0"/>
    <w:rsid w:val="00EE5196"/>
    <w:rsid w:val="00EE6E91"/>
    <w:rsid w:val="00F1742C"/>
    <w:rsid w:val="00F21245"/>
    <w:rsid w:val="00F33048"/>
    <w:rsid w:val="00F366BC"/>
    <w:rsid w:val="00F60A6C"/>
    <w:rsid w:val="00F948CC"/>
    <w:rsid w:val="00F962E4"/>
    <w:rsid w:val="00FA1205"/>
    <w:rsid w:val="00FF2E1C"/>
    <w:rsid w:val="00FF77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5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FF2E1C"/>
    <w:pPr>
      <w:keepNext/>
      <w:keepLines/>
      <w:spacing w:before="240"/>
      <w:outlineLvl w:val="0"/>
    </w:pPr>
    <w:rPr>
      <w:rFonts w:asciiTheme="majorHAnsi" w:eastAsiaTheme="majorEastAsia" w:hAnsiTheme="majorHAnsi" w:cstheme="majorBidi"/>
      <w:color w:val="2F759E"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513"/>
        <w:tab w:val="right" w:pos="9026"/>
      </w:tabs>
    </w:pPr>
    <w:rPr>
      <w:rFonts w:ascii="Calibri" w:eastAsia="Calibri" w:hAnsi="Calibri" w:cs="Calibri"/>
      <w:color w:val="000000"/>
      <w:sz w:val="22"/>
      <w:szCs w:val="22"/>
      <w:u w:color="000000"/>
      <w:lang w:val="en-US"/>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Arial" w:eastAsia="Arial" w:hAnsi="Arial" w:cs="Arial"/>
      <w:sz w:val="20"/>
      <w:szCs w:val="20"/>
    </w:rPr>
  </w:style>
  <w:style w:type="paragraph" w:styleId="ListParagraph">
    <w:name w:val="List Paragraph"/>
    <w:pPr>
      <w:spacing w:after="160" w:line="259" w:lineRule="auto"/>
      <w:ind w:left="720"/>
    </w:pPr>
    <w:rPr>
      <w:rFonts w:ascii="Calibri" w:eastAsia="Calibri" w:hAnsi="Calibri" w:cs="Calibri"/>
      <w:color w:val="000000"/>
      <w:sz w:val="22"/>
      <w:szCs w:val="22"/>
      <w:u w:color="000000"/>
      <w:lang w:val="en-US"/>
    </w:rPr>
  </w:style>
  <w:style w:type="numbering" w:customStyle="1" w:styleId="List0">
    <w:name w:val="List 0"/>
    <w:basedOn w:val="ImportedStyle1"/>
    <w:pPr>
      <w:numPr>
        <w:numId w:val="1"/>
      </w:numPr>
    </w:pPr>
  </w:style>
  <w:style w:type="numbering" w:customStyle="1" w:styleId="ImportedStyle1">
    <w:name w:val="Imported Style 1"/>
  </w:style>
  <w:style w:type="paragraph" w:customStyle="1" w:styleId="Default">
    <w:name w:val="Default"/>
    <w:rPr>
      <w:rFonts w:ascii="Helvetica" w:eastAsia="Helvetica" w:hAnsi="Helvetica" w:cs="Helvetica"/>
      <w:color w:val="000000"/>
      <w:sz w:val="22"/>
      <w:szCs w:val="22"/>
    </w:rPr>
  </w:style>
  <w:style w:type="character" w:customStyle="1" w:styleId="Hyperlink1">
    <w:name w:val="Hyperlink.1"/>
    <w:basedOn w:val="None"/>
    <w:rPr>
      <w:rFonts w:ascii="Arial" w:eastAsia="Arial" w:hAnsi="Arial" w:cs="Arial"/>
    </w:rPr>
  </w:style>
  <w:style w:type="numbering" w:customStyle="1" w:styleId="List1">
    <w:name w:val="List 1"/>
    <w:basedOn w:val="ImportedStyle2"/>
    <w:pPr>
      <w:numPr>
        <w:numId w:val="9"/>
      </w:numPr>
    </w:pPr>
  </w:style>
  <w:style w:type="numbering" w:customStyle="1" w:styleId="ImportedStyle2">
    <w:name w:val="Imported Style 2"/>
  </w:style>
  <w:style w:type="numbering" w:customStyle="1" w:styleId="List21">
    <w:name w:val="List 21"/>
    <w:basedOn w:val="ImportedStyle3"/>
    <w:pPr>
      <w:numPr>
        <w:numId w:val="10"/>
      </w:numPr>
    </w:pPr>
  </w:style>
  <w:style w:type="numbering" w:customStyle="1" w:styleId="ImportedStyle3">
    <w:name w:val="Imported Style 3"/>
  </w:style>
  <w:style w:type="numbering" w:customStyle="1" w:styleId="List31">
    <w:name w:val="List 31"/>
    <w:basedOn w:val="ImportedStyle4"/>
    <w:pPr>
      <w:numPr>
        <w:numId w:val="14"/>
      </w:numPr>
    </w:pPr>
  </w:style>
  <w:style w:type="numbering" w:customStyle="1" w:styleId="ImportedStyle4">
    <w:name w:val="Imported Style 4"/>
  </w:style>
  <w:style w:type="numbering" w:customStyle="1" w:styleId="List41">
    <w:name w:val="List 41"/>
    <w:basedOn w:val="ImportedStyle5"/>
    <w:pPr>
      <w:numPr>
        <w:numId w:val="19"/>
      </w:numPr>
    </w:pPr>
  </w:style>
  <w:style w:type="numbering" w:customStyle="1" w:styleId="ImportedStyle5">
    <w:name w:val="Imported Style 5"/>
  </w:style>
  <w:style w:type="numbering" w:customStyle="1" w:styleId="List51">
    <w:name w:val="List 51"/>
    <w:basedOn w:val="ImportedStyle6"/>
    <w:pPr>
      <w:numPr>
        <w:numId w:val="25"/>
      </w:numPr>
    </w:pPr>
  </w:style>
  <w:style w:type="numbering" w:customStyle="1" w:styleId="ImportedStyle6">
    <w:name w:val="Imported Style 6"/>
  </w:style>
  <w:style w:type="numbering" w:customStyle="1" w:styleId="List6">
    <w:name w:val="List 6"/>
    <w:basedOn w:val="ImportedStyle7"/>
    <w:pPr>
      <w:numPr>
        <w:numId w:val="30"/>
      </w:numPr>
    </w:pPr>
  </w:style>
  <w:style w:type="numbering" w:customStyle="1" w:styleId="ImportedStyle7">
    <w:name w:val="Imported Style 7"/>
  </w:style>
  <w:style w:type="numbering" w:customStyle="1" w:styleId="List7">
    <w:name w:val="List 7"/>
    <w:basedOn w:val="ImportedStyle8"/>
    <w:pPr>
      <w:numPr>
        <w:numId w:val="34"/>
      </w:numPr>
    </w:pPr>
  </w:style>
  <w:style w:type="numbering" w:customStyle="1" w:styleId="ImportedStyle8">
    <w:name w:val="Imported Style 8"/>
  </w:style>
  <w:style w:type="numbering" w:customStyle="1" w:styleId="List8">
    <w:name w:val="List 8"/>
    <w:basedOn w:val="ImportedStyle9"/>
    <w:pPr>
      <w:numPr>
        <w:numId w:val="35"/>
      </w:numPr>
    </w:pPr>
  </w:style>
  <w:style w:type="numbering" w:customStyle="1" w:styleId="ImportedStyle9">
    <w:name w:val="Imported Style 9"/>
  </w:style>
  <w:style w:type="character" w:customStyle="1" w:styleId="Hyperlink2">
    <w:name w:val="Hyperlink.2"/>
    <w:basedOn w:val="None"/>
    <w:rPr>
      <w:rFonts w:ascii="Arial" w:eastAsia="Arial" w:hAnsi="Arial" w:cs="Arial"/>
      <w:lang w:val="en-US"/>
    </w:rPr>
  </w:style>
  <w:style w:type="character" w:customStyle="1" w:styleId="Hyperlink3">
    <w:name w:val="Hyperlink.3"/>
    <w:basedOn w:val="None"/>
  </w:style>
  <w:style w:type="paragraph" w:customStyle="1" w:styleId="EndNoteBibliography">
    <w:name w:val="EndNote Bibliography"/>
    <w:pPr>
      <w:spacing w:after="160"/>
    </w:pPr>
    <w:rPr>
      <w:rFonts w:ascii="Calibri" w:eastAsia="Calibri" w:hAnsi="Calibri" w:cs="Calibri"/>
      <w:color w:val="000000"/>
      <w:sz w:val="22"/>
      <w:szCs w:val="22"/>
      <w:u w:color="000000"/>
    </w:rPr>
  </w:style>
  <w:style w:type="character" w:customStyle="1" w:styleId="Link">
    <w:name w:val="Link"/>
    <w:rPr>
      <w:color w:val="0000FF"/>
      <w:u w:val="single" w:color="0000FF"/>
    </w:rPr>
  </w:style>
  <w:style w:type="character" w:customStyle="1" w:styleId="Hyperlink4">
    <w:name w:val="Hyperlink.4"/>
    <w:basedOn w:val="Link"/>
    <w:rPr>
      <w:color w:val="0000FF"/>
      <w:u w:val="single" w:color="0000FF"/>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948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8CC"/>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6A0685"/>
    <w:rPr>
      <w:b/>
      <w:bCs/>
    </w:rPr>
  </w:style>
  <w:style w:type="character" w:customStyle="1" w:styleId="CommentSubjectChar">
    <w:name w:val="Comment Subject Char"/>
    <w:basedOn w:val="CommentTextChar"/>
    <w:link w:val="CommentSubject"/>
    <w:uiPriority w:val="99"/>
    <w:semiHidden/>
    <w:rsid w:val="006A0685"/>
    <w:rPr>
      <w:b/>
      <w:bCs/>
      <w:lang w:val="en-US" w:eastAsia="en-US"/>
    </w:rPr>
  </w:style>
  <w:style w:type="paragraph" w:styleId="Revision">
    <w:name w:val="Revision"/>
    <w:hidden/>
    <w:uiPriority w:val="99"/>
    <w:semiHidden/>
    <w:rsid w:val="00A87D7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FF2E1C"/>
    <w:rPr>
      <w:rFonts w:asciiTheme="majorHAnsi" w:eastAsiaTheme="majorEastAsia" w:hAnsiTheme="majorHAnsi" w:cstheme="majorBidi"/>
      <w:color w:val="2F759E" w:themeColor="accent1" w:themeShade="BF"/>
      <w:sz w:val="32"/>
      <w:szCs w:val="3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FF2E1C"/>
    <w:pPr>
      <w:keepNext/>
      <w:keepLines/>
      <w:spacing w:before="240"/>
      <w:outlineLvl w:val="0"/>
    </w:pPr>
    <w:rPr>
      <w:rFonts w:asciiTheme="majorHAnsi" w:eastAsiaTheme="majorEastAsia" w:hAnsiTheme="majorHAnsi" w:cstheme="majorBidi"/>
      <w:color w:val="2F759E"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513"/>
        <w:tab w:val="right" w:pos="9026"/>
      </w:tabs>
    </w:pPr>
    <w:rPr>
      <w:rFonts w:ascii="Calibri" w:eastAsia="Calibri" w:hAnsi="Calibri" w:cs="Calibri"/>
      <w:color w:val="000000"/>
      <w:sz w:val="22"/>
      <w:szCs w:val="22"/>
      <w:u w:color="000000"/>
      <w:lang w:val="en-US"/>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Arial" w:eastAsia="Arial" w:hAnsi="Arial" w:cs="Arial"/>
      <w:sz w:val="20"/>
      <w:szCs w:val="20"/>
    </w:rPr>
  </w:style>
  <w:style w:type="paragraph" w:styleId="ListParagraph">
    <w:name w:val="List Paragraph"/>
    <w:pPr>
      <w:spacing w:after="160" w:line="259" w:lineRule="auto"/>
      <w:ind w:left="720"/>
    </w:pPr>
    <w:rPr>
      <w:rFonts w:ascii="Calibri" w:eastAsia="Calibri" w:hAnsi="Calibri" w:cs="Calibri"/>
      <w:color w:val="000000"/>
      <w:sz w:val="22"/>
      <w:szCs w:val="22"/>
      <w:u w:color="000000"/>
      <w:lang w:val="en-US"/>
    </w:rPr>
  </w:style>
  <w:style w:type="numbering" w:customStyle="1" w:styleId="List0">
    <w:name w:val="List 0"/>
    <w:basedOn w:val="ImportedStyle1"/>
    <w:pPr>
      <w:numPr>
        <w:numId w:val="1"/>
      </w:numPr>
    </w:pPr>
  </w:style>
  <w:style w:type="numbering" w:customStyle="1" w:styleId="ImportedStyle1">
    <w:name w:val="Imported Style 1"/>
  </w:style>
  <w:style w:type="paragraph" w:customStyle="1" w:styleId="Default">
    <w:name w:val="Default"/>
    <w:rPr>
      <w:rFonts w:ascii="Helvetica" w:eastAsia="Helvetica" w:hAnsi="Helvetica" w:cs="Helvetica"/>
      <w:color w:val="000000"/>
      <w:sz w:val="22"/>
      <w:szCs w:val="22"/>
    </w:rPr>
  </w:style>
  <w:style w:type="character" w:customStyle="1" w:styleId="Hyperlink1">
    <w:name w:val="Hyperlink.1"/>
    <w:basedOn w:val="None"/>
    <w:rPr>
      <w:rFonts w:ascii="Arial" w:eastAsia="Arial" w:hAnsi="Arial" w:cs="Arial"/>
    </w:rPr>
  </w:style>
  <w:style w:type="numbering" w:customStyle="1" w:styleId="List1">
    <w:name w:val="List 1"/>
    <w:basedOn w:val="ImportedStyle2"/>
    <w:pPr>
      <w:numPr>
        <w:numId w:val="9"/>
      </w:numPr>
    </w:pPr>
  </w:style>
  <w:style w:type="numbering" w:customStyle="1" w:styleId="ImportedStyle2">
    <w:name w:val="Imported Style 2"/>
  </w:style>
  <w:style w:type="numbering" w:customStyle="1" w:styleId="List21">
    <w:name w:val="List 21"/>
    <w:basedOn w:val="ImportedStyle3"/>
    <w:pPr>
      <w:numPr>
        <w:numId w:val="10"/>
      </w:numPr>
    </w:pPr>
  </w:style>
  <w:style w:type="numbering" w:customStyle="1" w:styleId="ImportedStyle3">
    <w:name w:val="Imported Style 3"/>
  </w:style>
  <w:style w:type="numbering" w:customStyle="1" w:styleId="List31">
    <w:name w:val="List 31"/>
    <w:basedOn w:val="ImportedStyle4"/>
    <w:pPr>
      <w:numPr>
        <w:numId w:val="14"/>
      </w:numPr>
    </w:pPr>
  </w:style>
  <w:style w:type="numbering" w:customStyle="1" w:styleId="ImportedStyle4">
    <w:name w:val="Imported Style 4"/>
  </w:style>
  <w:style w:type="numbering" w:customStyle="1" w:styleId="List41">
    <w:name w:val="List 41"/>
    <w:basedOn w:val="ImportedStyle5"/>
    <w:pPr>
      <w:numPr>
        <w:numId w:val="19"/>
      </w:numPr>
    </w:pPr>
  </w:style>
  <w:style w:type="numbering" w:customStyle="1" w:styleId="ImportedStyle5">
    <w:name w:val="Imported Style 5"/>
  </w:style>
  <w:style w:type="numbering" w:customStyle="1" w:styleId="List51">
    <w:name w:val="List 51"/>
    <w:basedOn w:val="ImportedStyle6"/>
    <w:pPr>
      <w:numPr>
        <w:numId w:val="25"/>
      </w:numPr>
    </w:pPr>
  </w:style>
  <w:style w:type="numbering" w:customStyle="1" w:styleId="ImportedStyle6">
    <w:name w:val="Imported Style 6"/>
  </w:style>
  <w:style w:type="numbering" w:customStyle="1" w:styleId="List6">
    <w:name w:val="List 6"/>
    <w:basedOn w:val="ImportedStyle7"/>
    <w:pPr>
      <w:numPr>
        <w:numId w:val="30"/>
      </w:numPr>
    </w:pPr>
  </w:style>
  <w:style w:type="numbering" w:customStyle="1" w:styleId="ImportedStyle7">
    <w:name w:val="Imported Style 7"/>
  </w:style>
  <w:style w:type="numbering" w:customStyle="1" w:styleId="List7">
    <w:name w:val="List 7"/>
    <w:basedOn w:val="ImportedStyle8"/>
    <w:pPr>
      <w:numPr>
        <w:numId w:val="34"/>
      </w:numPr>
    </w:pPr>
  </w:style>
  <w:style w:type="numbering" w:customStyle="1" w:styleId="ImportedStyle8">
    <w:name w:val="Imported Style 8"/>
  </w:style>
  <w:style w:type="numbering" w:customStyle="1" w:styleId="List8">
    <w:name w:val="List 8"/>
    <w:basedOn w:val="ImportedStyle9"/>
    <w:pPr>
      <w:numPr>
        <w:numId w:val="35"/>
      </w:numPr>
    </w:pPr>
  </w:style>
  <w:style w:type="numbering" w:customStyle="1" w:styleId="ImportedStyle9">
    <w:name w:val="Imported Style 9"/>
  </w:style>
  <w:style w:type="character" w:customStyle="1" w:styleId="Hyperlink2">
    <w:name w:val="Hyperlink.2"/>
    <w:basedOn w:val="None"/>
    <w:rPr>
      <w:rFonts w:ascii="Arial" w:eastAsia="Arial" w:hAnsi="Arial" w:cs="Arial"/>
      <w:lang w:val="en-US"/>
    </w:rPr>
  </w:style>
  <w:style w:type="character" w:customStyle="1" w:styleId="Hyperlink3">
    <w:name w:val="Hyperlink.3"/>
    <w:basedOn w:val="None"/>
  </w:style>
  <w:style w:type="paragraph" w:customStyle="1" w:styleId="EndNoteBibliography">
    <w:name w:val="EndNote Bibliography"/>
    <w:pPr>
      <w:spacing w:after="160"/>
    </w:pPr>
    <w:rPr>
      <w:rFonts w:ascii="Calibri" w:eastAsia="Calibri" w:hAnsi="Calibri" w:cs="Calibri"/>
      <w:color w:val="000000"/>
      <w:sz w:val="22"/>
      <w:szCs w:val="22"/>
      <w:u w:color="000000"/>
    </w:rPr>
  </w:style>
  <w:style w:type="character" w:customStyle="1" w:styleId="Link">
    <w:name w:val="Link"/>
    <w:rPr>
      <w:color w:val="0000FF"/>
      <w:u w:val="single" w:color="0000FF"/>
    </w:rPr>
  </w:style>
  <w:style w:type="character" w:customStyle="1" w:styleId="Hyperlink4">
    <w:name w:val="Hyperlink.4"/>
    <w:basedOn w:val="Link"/>
    <w:rPr>
      <w:color w:val="0000FF"/>
      <w:u w:val="single" w:color="0000FF"/>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948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8CC"/>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6A0685"/>
    <w:rPr>
      <w:b/>
      <w:bCs/>
    </w:rPr>
  </w:style>
  <w:style w:type="character" w:customStyle="1" w:styleId="CommentSubjectChar">
    <w:name w:val="Comment Subject Char"/>
    <w:basedOn w:val="CommentTextChar"/>
    <w:link w:val="CommentSubject"/>
    <w:uiPriority w:val="99"/>
    <w:semiHidden/>
    <w:rsid w:val="006A0685"/>
    <w:rPr>
      <w:b/>
      <w:bCs/>
      <w:lang w:val="en-US" w:eastAsia="en-US"/>
    </w:rPr>
  </w:style>
  <w:style w:type="paragraph" w:styleId="Revision">
    <w:name w:val="Revision"/>
    <w:hidden/>
    <w:uiPriority w:val="99"/>
    <w:semiHidden/>
    <w:rsid w:val="00A87D7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FF2E1C"/>
    <w:rPr>
      <w:rFonts w:asciiTheme="majorHAnsi" w:eastAsiaTheme="majorEastAsia" w:hAnsiTheme="majorHAnsi" w:cstheme="majorBidi"/>
      <w:color w:val="2F759E"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www.dhsv.org.a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health.gov.au/denta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ncbi.nlm.nih.gov/pubmed/?term=Sheiham%2520A%255BAuthor%255D&amp;cauthor=true&amp;cauthor_uid=8681514"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abs.gov.au/ausstats/abs@.nsf/Lookup/3222.0main+features42012%2520(base)%2520to%25202101"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ncbi.nlm.nih.gov/pubmed/?term=Nadanovsky%2520P%255BAuthor%255D&amp;cauthor=true&amp;cauthor_uid=8681514" TargetMode="External"/><Relationship Id="rId22" Type="http://schemas.openxmlformats.org/officeDocument/2006/relationships/hyperlink" Target="http://www.dentalboard.gov.au/"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85c498d88901ec64627ff9e7e93131b">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bbefac06b4241f8d8c2044c94b692d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04576F-268B-4A53-AE58-420324E7780F}">
  <ds:schemaRefs>
    <ds:schemaRef ds:uri="http://purl.org/dc/dcmitype/"/>
    <ds:schemaRef ds:uri="http://purl.org/dc/elements/1.1/"/>
    <ds:schemaRef ds:uri="http://schemas.openxmlformats.org/package/2006/metadata/core-properties"/>
    <ds:schemaRef ds:uri="3f4bcce7-ac1a-4c9d-aa3e-7e77695652db"/>
    <ds:schemaRef ds:uri="http://schemas.microsoft.com/office/2006/documentManagement/types"/>
    <ds:schemaRef ds:uri="http://schemas.microsoft.com/office/2006/metadata/properties"/>
    <ds:schemaRef ds:uri="http://schemas.microsoft.com/office/infopath/2007/PartnerControls"/>
    <ds:schemaRef ds:uri="8044c801-d84b-4ee1-a77e-678f8dcdee17"/>
    <ds:schemaRef ds:uri="http://www.w3.org/XML/1998/namespace"/>
    <ds:schemaRef ds:uri="http://purl.org/dc/terms/"/>
  </ds:schemaRefs>
</ds:datastoreItem>
</file>

<file path=customXml/itemProps2.xml><?xml version="1.0" encoding="utf-8"?>
<ds:datastoreItem xmlns:ds="http://schemas.openxmlformats.org/officeDocument/2006/customXml" ds:itemID="{C5C91229-D1B9-457A-B7C8-7AB443E2750C}">
  <ds:schemaRefs>
    <ds:schemaRef ds:uri="Microsoft.SharePoint.Taxonomy.ContentTypeSync"/>
  </ds:schemaRefs>
</ds:datastoreItem>
</file>

<file path=customXml/itemProps3.xml><?xml version="1.0" encoding="utf-8"?>
<ds:datastoreItem xmlns:ds="http://schemas.openxmlformats.org/officeDocument/2006/customXml" ds:itemID="{51C6EEBA-9049-4058-9180-0C8CFCCE1298}">
  <ds:schemaRefs>
    <ds:schemaRef ds:uri="http://schemas.microsoft.com/office/2006/metadata/customXsn"/>
  </ds:schemaRefs>
</ds:datastoreItem>
</file>

<file path=customXml/itemProps4.xml><?xml version="1.0" encoding="utf-8"?>
<ds:datastoreItem xmlns:ds="http://schemas.openxmlformats.org/officeDocument/2006/customXml" ds:itemID="{A5A875D3-747A-4F70-B96E-480EAC5A83E0}">
  <ds:schemaRefs>
    <ds:schemaRef ds:uri="http://schemas.microsoft.com/sharepoint/events"/>
  </ds:schemaRefs>
</ds:datastoreItem>
</file>

<file path=customXml/itemProps5.xml><?xml version="1.0" encoding="utf-8"?>
<ds:datastoreItem xmlns:ds="http://schemas.openxmlformats.org/officeDocument/2006/customXml" ds:itemID="{D3DDF35E-05FD-4EE5-B02F-39DF4B5A0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9805A56-F92D-4A0E-9D42-786BE3FD76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18</Pages>
  <Words>6903</Words>
  <Characters>39142</Characters>
  <Application>Microsoft Office Word</Application>
  <DocSecurity>0</DocSecurity>
  <Lines>724</Lines>
  <Paragraphs>257</Paragraphs>
  <ScaleCrop>false</ScaleCrop>
  <HeadingPairs>
    <vt:vector size="2" baseType="variant">
      <vt:variant>
        <vt:lpstr>Title</vt:lpstr>
      </vt:variant>
      <vt:variant>
        <vt:i4>1</vt:i4>
      </vt:variant>
    </vt:vector>
  </HeadingPairs>
  <TitlesOfParts>
    <vt:vector size="1" baseType="lpstr">
      <vt:lpstr>Submission PFR320 - Attachment 1: The NRCH-OH Model of Oral Health Care - North Richmond Community Health (NRCH) - Identifying Sectors for Reform - 1st Stage of the Human Services public inquiry</vt:lpstr>
    </vt:vector>
  </TitlesOfParts>
  <Company>North Richmond Community Health (NRCH)</Company>
  <LinksUpToDate>false</LinksUpToDate>
  <CharactersWithSpaces>45788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PFR320 - Attachment 1: The NRCH-OH Model of Oral Health Care - North Richmond Community Health (NRCH) - Identifying Sectors for Reform - 1st Stage of the Human Services public inquiry</dc:title>
  <dc:creator>North Richmond Community Health (NRCH)</dc:creator>
  <cp:keywords/>
  <cp:lastModifiedBy>Productivity Commission</cp:lastModifiedBy>
  <cp:revision>20</cp:revision>
  <dcterms:created xsi:type="dcterms:W3CDTF">2016-10-26T03:03:00Z</dcterms:created>
  <dcterms:modified xsi:type="dcterms:W3CDTF">2016-10-27T22:18:00Z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