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34" w:rsidRDefault="00503534">
      <w:pPr>
        <w:rPr>
          <w:rFonts w:ascii="Garamond" w:hAnsi="Garamond"/>
          <w:sz w:val="24"/>
          <w:szCs w:val="24"/>
        </w:rPr>
      </w:pPr>
      <w:bookmarkStart w:id="0" w:name="_GoBack"/>
      <w:bookmarkEnd w:id="0"/>
      <w:r>
        <w:rPr>
          <w:noProof/>
          <w:lang w:eastAsia="en-AU"/>
        </w:rPr>
        <w:drawing>
          <wp:inline distT="0" distB="0" distL="0" distR="0" wp14:anchorId="7694719A" wp14:editId="53FCD684">
            <wp:extent cx="573405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4050" cy="1866900"/>
                    </a:xfrm>
                    <a:prstGeom prst="rect">
                      <a:avLst/>
                    </a:prstGeom>
                  </pic:spPr>
                </pic:pic>
              </a:graphicData>
            </a:graphic>
          </wp:inline>
        </w:drawing>
      </w:r>
    </w:p>
    <w:p w:rsidR="00503534" w:rsidRPr="00503534" w:rsidRDefault="00503534">
      <w:pPr>
        <w:rPr>
          <w:rFonts w:ascii="Garamond" w:hAnsi="Garamond"/>
          <w:sz w:val="24"/>
          <w:szCs w:val="24"/>
        </w:rPr>
      </w:pPr>
      <w:r>
        <w:rPr>
          <w:noProof/>
          <w:lang w:eastAsia="en-AU"/>
        </w:rPr>
        <w:drawing>
          <wp:inline distT="0" distB="0" distL="0" distR="0" wp14:anchorId="0350EC31" wp14:editId="3FE514C3">
            <wp:extent cx="573405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24350" cy="290250"/>
                    </a:xfrm>
                    <a:prstGeom prst="rect">
                      <a:avLst/>
                    </a:prstGeom>
                  </pic:spPr>
                </pic:pic>
              </a:graphicData>
            </a:graphic>
          </wp:inline>
        </w:drawing>
      </w:r>
    </w:p>
    <w:p w:rsidR="000218D1" w:rsidRDefault="000218D1">
      <w:pPr>
        <w:rPr>
          <w:rFonts w:ascii="Garamond" w:hAnsi="Garamond"/>
          <w:sz w:val="24"/>
          <w:szCs w:val="24"/>
        </w:rPr>
      </w:pPr>
    </w:p>
    <w:p w:rsidR="00C84870" w:rsidRDefault="00503534">
      <w:pPr>
        <w:rPr>
          <w:rFonts w:ascii="Garamond" w:hAnsi="Garamond"/>
          <w:b/>
          <w:sz w:val="28"/>
          <w:szCs w:val="28"/>
        </w:rPr>
      </w:pPr>
      <w:r w:rsidRPr="00503534">
        <w:rPr>
          <w:rFonts w:ascii="Garamond" w:hAnsi="Garamond"/>
          <w:b/>
          <w:sz w:val="28"/>
          <w:szCs w:val="28"/>
        </w:rPr>
        <w:t xml:space="preserve">Submission to the Productivity Commission </w:t>
      </w:r>
      <w:r w:rsidR="00C84870">
        <w:rPr>
          <w:rFonts w:ascii="Garamond" w:hAnsi="Garamond"/>
          <w:b/>
          <w:sz w:val="28"/>
          <w:szCs w:val="28"/>
        </w:rPr>
        <w:t>Position</w:t>
      </w:r>
      <w:r w:rsidRPr="00503534">
        <w:rPr>
          <w:rFonts w:ascii="Garamond" w:hAnsi="Garamond"/>
          <w:b/>
          <w:sz w:val="28"/>
          <w:szCs w:val="28"/>
        </w:rPr>
        <w:t xml:space="preserve"> Paper: National Disability Insurance Scheme (NDIS) Costs</w:t>
      </w:r>
    </w:p>
    <w:p w:rsidR="00503534" w:rsidRPr="00503534" w:rsidRDefault="00C84870" w:rsidP="00C84870">
      <w:pPr>
        <w:jc w:val="center"/>
        <w:rPr>
          <w:rFonts w:ascii="Garamond" w:hAnsi="Garamond"/>
          <w:b/>
          <w:sz w:val="28"/>
          <w:szCs w:val="28"/>
        </w:rPr>
      </w:pPr>
      <w:r>
        <w:rPr>
          <w:rFonts w:ascii="Garamond" w:hAnsi="Garamond"/>
          <w:b/>
          <w:sz w:val="28"/>
          <w:szCs w:val="28"/>
        </w:rPr>
        <w:t>Dr Kylie Burns</w:t>
      </w:r>
      <w:r w:rsidR="008E3809">
        <w:rPr>
          <w:rFonts w:ascii="Garamond" w:hAnsi="Garamond"/>
          <w:b/>
          <w:sz w:val="28"/>
          <w:szCs w:val="28"/>
        </w:rPr>
        <w:t>, Griffith Law School</w:t>
      </w:r>
    </w:p>
    <w:p w:rsidR="000218D1" w:rsidRDefault="00C84870" w:rsidP="00306053">
      <w:pPr>
        <w:rPr>
          <w:rFonts w:ascii="Garamond" w:hAnsi="Garamond"/>
          <w:sz w:val="24"/>
          <w:szCs w:val="24"/>
        </w:rPr>
      </w:pPr>
      <w:r>
        <w:rPr>
          <w:rFonts w:ascii="Garamond" w:hAnsi="Garamond"/>
          <w:sz w:val="24"/>
          <w:szCs w:val="24"/>
        </w:rPr>
        <w:t xml:space="preserve">I am a member </w:t>
      </w:r>
      <w:r w:rsidR="004C7116">
        <w:rPr>
          <w:rFonts w:ascii="Garamond" w:hAnsi="Garamond"/>
          <w:sz w:val="24"/>
          <w:szCs w:val="24"/>
        </w:rPr>
        <w:t xml:space="preserve">of </w:t>
      </w:r>
      <w:r w:rsidR="00503534">
        <w:rPr>
          <w:rFonts w:ascii="Garamond" w:hAnsi="Garamond"/>
          <w:sz w:val="24"/>
          <w:szCs w:val="24"/>
        </w:rPr>
        <w:t>Hopkins Centre Research for Rehabilitation and Resilience</w:t>
      </w:r>
      <w:r w:rsidR="00503534">
        <w:rPr>
          <w:rStyle w:val="FootnoteReference"/>
          <w:rFonts w:ascii="Garamond" w:hAnsi="Garamond"/>
          <w:sz w:val="24"/>
          <w:szCs w:val="24"/>
        </w:rPr>
        <w:footnoteReference w:id="1"/>
      </w:r>
      <w:r w:rsidR="00503534">
        <w:rPr>
          <w:rFonts w:ascii="Garamond" w:hAnsi="Garamond"/>
          <w:sz w:val="24"/>
          <w:szCs w:val="24"/>
        </w:rPr>
        <w:t xml:space="preserve"> </w:t>
      </w:r>
      <w:r>
        <w:rPr>
          <w:rFonts w:ascii="Garamond" w:hAnsi="Garamond"/>
          <w:sz w:val="24"/>
          <w:szCs w:val="24"/>
        </w:rPr>
        <w:t xml:space="preserve">and am </w:t>
      </w:r>
      <w:r w:rsidR="00503534">
        <w:rPr>
          <w:rFonts w:ascii="Garamond" w:hAnsi="Garamond"/>
          <w:sz w:val="24"/>
          <w:szCs w:val="24"/>
        </w:rPr>
        <w:t>pleased to have the opportunity</w:t>
      </w:r>
      <w:r>
        <w:rPr>
          <w:rFonts w:ascii="Garamond" w:hAnsi="Garamond"/>
          <w:sz w:val="24"/>
          <w:szCs w:val="24"/>
        </w:rPr>
        <w:t xml:space="preserve"> </w:t>
      </w:r>
      <w:r w:rsidR="00503534">
        <w:rPr>
          <w:rFonts w:ascii="Garamond" w:hAnsi="Garamond"/>
          <w:sz w:val="24"/>
          <w:szCs w:val="24"/>
        </w:rPr>
        <w:t xml:space="preserve">to provide submissions in response to the </w:t>
      </w:r>
      <w:r w:rsidR="00BB42E7">
        <w:rPr>
          <w:rFonts w:ascii="Garamond" w:hAnsi="Garamond"/>
          <w:sz w:val="24"/>
          <w:szCs w:val="24"/>
        </w:rPr>
        <w:t>P</w:t>
      </w:r>
      <w:r>
        <w:rPr>
          <w:rFonts w:ascii="Garamond" w:hAnsi="Garamond"/>
          <w:sz w:val="24"/>
          <w:szCs w:val="24"/>
        </w:rPr>
        <w:t>osition</w:t>
      </w:r>
      <w:r w:rsidR="00503534">
        <w:rPr>
          <w:rFonts w:ascii="Garamond" w:hAnsi="Garamond"/>
          <w:sz w:val="24"/>
          <w:szCs w:val="24"/>
        </w:rPr>
        <w:t xml:space="preserve"> </w:t>
      </w:r>
      <w:r w:rsidR="00BB42E7">
        <w:rPr>
          <w:rFonts w:ascii="Garamond" w:hAnsi="Garamond"/>
          <w:sz w:val="24"/>
          <w:szCs w:val="24"/>
        </w:rPr>
        <w:t>P</w:t>
      </w:r>
      <w:r w:rsidR="00503534">
        <w:rPr>
          <w:rFonts w:ascii="Garamond" w:hAnsi="Garamond"/>
          <w:sz w:val="24"/>
          <w:szCs w:val="24"/>
        </w:rPr>
        <w:t>aper</w:t>
      </w:r>
      <w:r w:rsidR="00AD42D9">
        <w:rPr>
          <w:rStyle w:val="FootnoteReference"/>
          <w:rFonts w:ascii="Garamond" w:hAnsi="Garamond"/>
          <w:sz w:val="24"/>
          <w:szCs w:val="24"/>
        </w:rPr>
        <w:footnoteReference w:id="2"/>
      </w:r>
      <w:r w:rsidR="00503534">
        <w:rPr>
          <w:rFonts w:ascii="Garamond" w:hAnsi="Garamond"/>
          <w:sz w:val="24"/>
          <w:szCs w:val="24"/>
        </w:rPr>
        <w:t xml:space="preserve"> on costs of the National Disability Insurance Scheme. </w:t>
      </w:r>
      <w:r w:rsidR="00306053" w:rsidRPr="00306053">
        <w:rPr>
          <w:rFonts w:ascii="Garamond" w:hAnsi="Garamond"/>
          <w:sz w:val="24"/>
          <w:szCs w:val="24"/>
        </w:rPr>
        <w:t>Hopkins Centre Research for Rehabilitation and Resilience</w:t>
      </w:r>
      <w:r w:rsidR="00306053">
        <w:rPr>
          <w:rFonts w:ascii="Garamond" w:hAnsi="Garamond"/>
          <w:sz w:val="24"/>
          <w:szCs w:val="24"/>
        </w:rPr>
        <w:t xml:space="preserve"> is </w:t>
      </w:r>
      <w:r w:rsidR="00306053" w:rsidRPr="00306053">
        <w:rPr>
          <w:rFonts w:ascii="Garamond" w:hAnsi="Garamond"/>
          <w:sz w:val="24"/>
          <w:szCs w:val="24"/>
        </w:rPr>
        <w:t>committed to improving disability and rehabilitation practices, service delivery and systems by developing, translating and implementing interdisciplinary research evidence about real world problems.</w:t>
      </w:r>
      <w:r w:rsidR="00306053">
        <w:rPr>
          <w:rFonts w:ascii="Garamond" w:hAnsi="Garamond"/>
          <w:sz w:val="24"/>
          <w:szCs w:val="24"/>
        </w:rPr>
        <w:t xml:space="preserve"> </w:t>
      </w:r>
      <w:r w:rsidR="00306053" w:rsidRPr="00306053">
        <w:rPr>
          <w:rFonts w:ascii="Garamond" w:hAnsi="Garamond"/>
          <w:sz w:val="24"/>
          <w:szCs w:val="24"/>
        </w:rPr>
        <w:t>The Centre is located at Griffith University, Logan campus and Princess Alexandra Hospital, Metro Health South to facilitate opportunities for research exchange and excellence between clinical experts, practitioner researcher and academics.</w:t>
      </w:r>
      <w:r w:rsidR="00306053">
        <w:rPr>
          <w:rFonts w:ascii="Garamond" w:hAnsi="Garamond"/>
          <w:sz w:val="24"/>
          <w:szCs w:val="24"/>
        </w:rPr>
        <w:t xml:space="preserve"> </w:t>
      </w:r>
      <w:r w:rsidR="00306053" w:rsidRPr="00306053">
        <w:rPr>
          <w:rFonts w:ascii="Garamond" w:hAnsi="Garamond"/>
          <w:sz w:val="24"/>
          <w:szCs w:val="24"/>
        </w:rPr>
        <w:t>The Centre focuses on research of relevance to people living with the long-term consequences of acquired brain injury, amputation, persistent pain, and spinal cord injury as well as developmental, age-related and other life-long disabling conditions.</w:t>
      </w:r>
    </w:p>
    <w:p w:rsidR="004C7116" w:rsidRDefault="004C7116" w:rsidP="00306053">
      <w:pPr>
        <w:rPr>
          <w:rFonts w:ascii="Garamond" w:hAnsi="Garamond"/>
          <w:sz w:val="24"/>
          <w:szCs w:val="24"/>
        </w:rPr>
      </w:pPr>
      <w:r>
        <w:rPr>
          <w:rFonts w:ascii="Garamond" w:hAnsi="Garamond"/>
          <w:sz w:val="24"/>
          <w:szCs w:val="24"/>
        </w:rPr>
        <w:t xml:space="preserve">As a legal researcher with particular expertise in the operation of compensation systems and the legal framework of the NDIS I have recently conducted a study of the reported NDIS </w:t>
      </w:r>
      <w:r w:rsidR="00E7028E">
        <w:rPr>
          <w:rFonts w:ascii="Garamond" w:hAnsi="Garamond"/>
          <w:sz w:val="24"/>
          <w:szCs w:val="24"/>
        </w:rPr>
        <w:t>review</w:t>
      </w:r>
      <w:r>
        <w:rPr>
          <w:rFonts w:ascii="Garamond" w:hAnsi="Garamond"/>
          <w:sz w:val="24"/>
          <w:szCs w:val="24"/>
        </w:rPr>
        <w:t xml:space="preserve"> cases which have been</w:t>
      </w:r>
      <w:r w:rsidR="00E7028E">
        <w:rPr>
          <w:rFonts w:ascii="Garamond" w:hAnsi="Garamond"/>
          <w:sz w:val="24"/>
          <w:szCs w:val="24"/>
        </w:rPr>
        <w:t xml:space="preserve"> decided by the</w:t>
      </w:r>
      <w:r>
        <w:rPr>
          <w:rFonts w:ascii="Garamond" w:hAnsi="Garamond"/>
          <w:sz w:val="24"/>
          <w:szCs w:val="24"/>
        </w:rPr>
        <w:t xml:space="preserve"> Administrative Appeals Tribunal (AAT) </w:t>
      </w:r>
      <w:r w:rsidR="00923ADB">
        <w:rPr>
          <w:rFonts w:ascii="Garamond" w:hAnsi="Garamond"/>
          <w:sz w:val="24"/>
          <w:szCs w:val="24"/>
        </w:rPr>
        <w:t xml:space="preserve">and Federal Court </w:t>
      </w:r>
      <w:r>
        <w:rPr>
          <w:rFonts w:ascii="Garamond" w:hAnsi="Garamond"/>
          <w:sz w:val="24"/>
          <w:szCs w:val="24"/>
        </w:rPr>
        <w:t>since the commencement of the NDIS.</w:t>
      </w:r>
      <w:r>
        <w:rPr>
          <w:rStyle w:val="FootnoteReference"/>
          <w:rFonts w:ascii="Garamond" w:hAnsi="Garamond"/>
          <w:sz w:val="24"/>
          <w:szCs w:val="24"/>
        </w:rPr>
        <w:footnoteReference w:id="3"/>
      </w:r>
      <w:r>
        <w:rPr>
          <w:rFonts w:ascii="Garamond" w:hAnsi="Garamond"/>
          <w:sz w:val="24"/>
          <w:szCs w:val="24"/>
        </w:rPr>
        <w:t xml:space="preserve"> I have particularly examined those cases which have </w:t>
      </w:r>
      <w:r w:rsidR="00923ADB">
        <w:rPr>
          <w:rFonts w:ascii="Garamond" w:hAnsi="Garamond"/>
          <w:sz w:val="24"/>
          <w:szCs w:val="24"/>
        </w:rPr>
        <w:t xml:space="preserve">specifically </w:t>
      </w:r>
      <w:r>
        <w:rPr>
          <w:rFonts w:ascii="Garamond" w:hAnsi="Garamond"/>
          <w:sz w:val="24"/>
          <w:szCs w:val="24"/>
        </w:rPr>
        <w:t xml:space="preserve">considered the meaning of ‘reasonable and necessary support’ within the context of s 34 of the </w:t>
      </w:r>
      <w:r w:rsidRPr="004C7116">
        <w:rPr>
          <w:rFonts w:ascii="Garamond" w:hAnsi="Garamond"/>
          <w:i/>
          <w:sz w:val="24"/>
          <w:szCs w:val="24"/>
        </w:rPr>
        <w:t xml:space="preserve">National Disability Insurance Scheme Act </w:t>
      </w:r>
      <w:r w:rsidRPr="004C7116">
        <w:rPr>
          <w:rFonts w:ascii="Garamond" w:hAnsi="Garamond"/>
          <w:sz w:val="24"/>
          <w:szCs w:val="24"/>
        </w:rPr>
        <w:t>2013</w:t>
      </w:r>
      <w:r>
        <w:rPr>
          <w:rFonts w:ascii="Garamond" w:hAnsi="Garamond"/>
          <w:sz w:val="24"/>
          <w:szCs w:val="24"/>
        </w:rPr>
        <w:t xml:space="preserve">. A summary of these </w:t>
      </w:r>
      <w:r w:rsidR="00113E7C">
        <w:rPr>
          <w:rFonts w:ascii="Garamond" w:hAnsi="Garamond"/>
          <w:sz w:val="24"/>
          <w:szCs w:val="24"/>
        </w:rPr>
        <w:t xml:space="preserve">11 </w:t>
      </w:r>
      <w:r w:rsidR="00DA08CD">
        <w:rPr>
          <w:rFonts w:ascii="Garamond" w:hAnsi="Garamond"/>
          <w:sz w:val="24"/>
          <w:szCs w:val="24"/>
        </w:rPr>
        <w:t xml:space="preserve">‘reasonable and necessary’ </w:t>
      </w:r>
      <w:r>
        <w:rPr>
          <w:rFonts w:ascii="Garamond" w:hAnsi="Garamond"/>
          <w:sz w:val="24"/>
          <w:szCs w:val="24"/>
        </w:rPr>
        <w:t>cases is included as Appendix 1 to this submission.</w:t>
      </w:r>
      <w:r w:rsidR="00113E7C">
        <w:rPr>
          <w:rFonts w:ascii="Garamond" w:hAnsi="Garamond"/>
          <w:sz w:val="24"/>
          <w:szCs w:val="24"/>
        </w:rPr>
        <w:t xml:space="preserve"> There are several key points of significance to the Productivity Commission’</w:t>
      </w:r>
      <w:r w:rsidR="00247055">
        <w:rPr>
          <w:rFonts w:ascii="Garamond" w:hAnsi="Garamond"/>
          <w:sz w:val="24"/>
          <w:szCs w:val="24"/>
        </w:rPr>
        <w:t>s Position Paper that emerge</w:t>
      </w:r>
      <w:r w:rsidR="00113E7C">
        <w:rPr>
          <w:rFonts w:ascii="Garamond" w:hAnsi="Garamond"/>
          <w:sz w:val="24"/>
          <w:szCs w:val="24"/>
        </w:rPr>
        <w:t xml:space="preserve"> from my study:</w:t>
      </w:r>
    </w:p>
    <w:p w:rsidR="00113E7C" w:rsidRPr="00DA08CD" w:rsidRDefault="00247055" w:rsidP="00DA08CD">
      <w:pPr>
        <w:pStyle w:val="ListParagraph"/>
        <w:numPr>
          <w:ilvl w:val="0"/>
          <w:numId w:val="6"/>
        </w:numPr>
        <w:rPr>
          <w:rFonts w:ascii="Garamond" w:hAnsi="Garamond"/>
          <w:sz w:val="24"/>
          <w:szCs w:val="24"/>
        </w:rPr>
      </w:pPr>
      <w:r>
        <w:rPr>
          <w:rFonts w:ascii="Garamond" w:hAnsi="Garamond"/>
          <w:sz w:val="24"/>
          <w:szCs w:val="24"/>
        </w:rPr>
        <w:lastRenderedPageBreak/>
        <w:t xml:space="preserve">The </w:t>
      </w:r>
      <w:r w:rsidR="00113E7C" w:rsidRPr="00DA08CD">
        <w:rPr>
          <w:rFonts w:ascii="Garamond" w:hAnsi="Garamond"/>
          <w:sz w:val="24"/>
          <w:szCs w:val="24"/>
        </w:rPr>
        <w:t xml:space="preserve">majority of all </w:t>
      </w:r>
      <w:r w:rsidR="00DA08CD" w:rsidRPr="00DA08CD">
        <w:rPr>
          <w:rFonts w:ascii="Garamond" w:hAnsi="Garamond"/>
          <w:sz w:val="24"/>
          <w:szCs w:val="24"/>
        </w:rPr>
        <w:t xml:space="preserve">NDIS </w:t>
      </w:r>
      <w:r w:rsidR="00113E7C" w:rsidRPr="00DA08CD">
        <w:rPr>
          <w:rFonts w:ascii="Garamond" w:hAnsi="Garamond"/>
          <w:sz w:val="24"/>
          <w:szCs w:val="24"/>
        </w:rPr>
        <w:t xml:space="preserve">cases appealed </w:t>
      </w:r>
      <w:r w:rsidR="00BB42E7">
        <w:rPr>
          <w:rFonts w:ascii="Garamond" w:hAnsi="Garamond"/>
          <w:sz w:val="24"/>
          <w:szCs w:val="24"/>
        </w:rPr>
        <w:t xml:space="preserve">on review </w:t>
      </w:r>
      <w:r w:rsidR="00113E7C" w:rsidRPr="00DA08CD">
        <w:rPr>
          <w:rFonts w:ascii="Garamond" w:hAnsi="Garamond"/>
          <w:sz w:val="24"/>
          <w:szCs w:val="24"/>
        </w:rPr>
        <w:t>to the AAT</w:t>
      </w:r>
      <w:r w:rsidR="00113E7C">
        <w:rPr>
          <w:rStyle w:val="FootnoteReference"/>
          <w:rFonts w:ascii="Garamond" w:hAnsi="Garamond"/>
          <w:sz w:val="24"/>
          <w:szCs w:val="24"/>
        </w:rPr>
        <w:footnoteReference w:id="4"/>
      </w:r>
      <w:r w:rsidR="00E339DB">
        <w:rPr>
          <w:rFonts w:ascii="Garamond" w:hAnsi="Garamond"/>
          <w:sz w:val="24"/>
          <w:szCs w:val="24"/>
        </w:rPr>
        <w:t xml:space="preserve"> appear to be </w:t>
      </w:r>
      <w:r w:rsidR="00113E7C" w:rsidRPr="00DA08CD">
        <w:rPr>
          <w:rFonts w:ascii="Garamond" w:hAnsi="Garamond"/>
          <w:sz w:val="24"/>
          <w:szCs w:val="24"/>
        </w:rPr>
        <w:t xml:space="preserve">resolved </w:t>
      </w:r>
      <w:r>
        <w:rPr>
          <w:rFonts w:ascii="Garamond" w:hAnsi="Garamond"/>
          <w:sz w:val="24"/>
          <w:szCs w:val="24"/>
        </w:rPr>
        <w:t xml:space="preserve">by agreement between the NDIA and applicants </w:t>
      </w:r>
      <w:r w:rsidR="00E339DB">
        <w:rPr>
          <w:rFonts w:ascii="Garamond" w:hAnsi="Garamond"/>
          <w:sz w:val="24"/>
          <w:szCs w:val="24"/>
        </w:rPr>
        <w:t>at the case conference, conciliation phase, or during the pre-hearing phase</w:t>
      </w:r>
      <w:r w:rsidR="00E339DB">
        <w:rPr>
          <w:rStyle w:val="FootnoteReference"/>
          <w:rFonts w:ascii="Garamond" w:hAnsi="Garamond"/>
          <w:sz w:val="24"/>
          <w:szCs w:val="24"/>
        </w:rPr>
        <w:footnoteReference w:id="5"/>
      </w:r>
      <w:r w:rsidR="00E339DB">
        <w:rPr>
          <w:rFonts w:ascii="Garamond" w:hAnsi="Garamond"/>
          <w:sz w:val="24"/>
          <w:szCs w:val="24"/>
        </w:rPr>
        <w:t xml:space="preserve">  </w:t>
      </w:r>
      <w:r>
        <w:rPr>
          <w:rFonts w:ascii="Garamond" w:hAnsi="Garamond"/>
          <w:sz w:val="24"/>
          <w:szCs w:val="24"/>
        </w:rPr>
        <w:t>or are dismissed or withdrawn</w:t>
      </w:r>
      <w:r w:rsidR="00E339DB">
        <w:rPr>
          <w:rFonts w:ascii="Garamond" w:hAnsi="Garamond"/>
          <w:sz w:val="24"/>
          <w:szCs w:val="24"/>
        </w:rPr>
        <w:t>.</w:t>
      </w:r>
      <w:r>
        <w:rPr>
          <w:rStyle w:val="FootnoteReference"/>
          <w:rFonts w:ascii="Garamond" w:hAnsi="Garamond"/>
          <w:sz w:val="24"/>
          <w:szCs w:val="24"/>
        </w:rPr>
        <w:footnoteReference w:id="6"/>
      </w:r>
      <w:r w:rsidR="00E339DB">
        <w:rPr>
          <w:rFonts w:ascii="Garamond" w:hAnsi="Garamond"/>
          <w:sz w:val="24"/>
          <w:szCs w:val="24"/>
        </w:rPr>
        <w:t xml:space="preserve"> Only a relatively small percentage of all </w:t>
      </w:r>
      <w:r w:rsidR="007F4626">
        <w:rPr>
          <w:rFonts w:ascii="Garamond" w:hAnsi="Garamond"/>
          <w:sz w:val="24"/>
          <w:szCs w:val="24"/>
        </w:rPr>
        <w:t xml:space="preserve">NDIS </w:t>
      </w:r>
      <w:r w:rsidR="00E339DB">
        <w:rPr>
          <w:rFonts w:ascii="Garamond" w:hAnsi="Garamond"/>
          <w:sz w:val="24"/>
          <w:szCs w:val="24"/>
        </w:rPr>
        <w:t xml:space="preserve">cases appealed to the AAT proceed to </w:t>
      </w:r>
      <w:r w:rsidR="007F4626">
        <w:rPr>
          <w:rFonts w:ascii="Garamond" w:hAnsi="Garamond"/>
          <w:sz w:val="24"/>
          <w:szCs w:val="24"/>
        </w:rPr>
        <w:t xml:space="preserve">ultimate </w:t>
      </w:r>
      <w:r w:rsidR="00E339DB">
        <w:rPr>
          <w:rFonts w:ascii="Garamond" w:hAnsi="Garamond"/>
          <w:sz w:val="24"/>
          <w:szCs w:val="24"/>
        </w:rPr>
        <w:t>determination by the AAT</w:t>
      </w:r>
      <w:r w:rsidR="007F4626">
        <w:rPr>
          <w:rFonts w:ascii="Garamond" w:hAnsi="Garamond"/>
          <w:sz w:val="24"/>
          <w:szCs w:val="24"/>
        </w:rPr>
        <w:t xml:space="preserve"> on review</w:t>
      </w:r>
      <w:r w:rsidR="00E339DB">
        <w:rPr>
          <w:rFonts w:ascii="Garamond" w:hAnsi="Garamond"/>
          <w:sz w:val="24"/>
          <w:szCs w:val="24"/>
        </w:rPr>
        <w:t>.</w:t>
      </w:r>
      <w:r w:rsidR="00E7028E">
        <w:rPr>
          <w:rFonts w:ascii="Garamond" w:hAnsi="Garamond"/>
          <w:sz w:val="24"/>
          <w:szCs w:val="24"/>
        </w:rPr>
        <w:t xml:space="preserve"> </w:t>
      </w:r>
      <w:r w:rsidR="00BB42E7">
        <w:rPr>
          <w:rFonts w:ascii="Garamond" w:hAnsi="Garamond"/>
          <w:sz w:val="24"/>
          <w:szCs w:val="24"/>
        </w:rPr>
        <w:t xml:space="preserve"> The P</w:t>
      </w:r>
      <w:r w:rsidR="00E7028E">
        <w:rPr>
          <w:rFonts w:ascii="Garamond" w:hAnsi="Garamond"/>
          <w:sz w:val="24"/>
          <w:szCs w:val="24"/>
        </w:rPr>
        <w:t xml:space="preserve">osition </w:t>
      </w:r>
      <w:r w:rsidR="00BB42E7">
        <w:rPr>
          <w:rFonts w:ascii="Garamond" w:hAnsi="Garamond"/>
          <w:sz w:val="24"/>
          <w:szCs w:val="24"/>
        </w:rPr>
        <w:t>P</w:t>
      </w:r>
      <w:r w:rsidR="00E7028E">
        <w:rPr>
          <w:rFonts w:ascii="Garamond" w:hAnsi="Garamond"/>
          <w:sz w:val="24"/>
          <w:szCs w:val="24"/>
        </w:rPr>
        <w:t>aper notes that in the</w:t>
      </w:r>
      <w:r w:rsidR="007F4626">
        <w:rPr>
          <w:rFonts w:ascii="Garamond" w:hAnsi="Garamond"/>
          <w:sz w:val="24"/>
          <w:szCs w:val="24"/>
        </w:rPr>
        <w:t xml:space="preserve"> ’77 (out of a total of 112 ) appeals that were resolved by 31 December 2016, the NDIA’s decision in about half was varied or set aside (the participant was successful).’</w:t>
      </w:r>
      <w:r w:rsidR="007F4626">
        <w:rPr>
          <w:rStyle w:val="FootnoteReference"/>
          <w:rFonts w:ascii="Garamond" w:hAnsi="Garamond"/>
          <w:sz w:val="24"/>
          <w:szCs w:val="24"/>
        </w:rPr>
        <w:footnoteReference w:id="7"/>
      </w:r>
      <w:r w:rsidR="007F4626">
        <w:rPr>
          <w:rFonts w:ascii="Garamond" w:hAnsi="Garamond"/>
          <w:sz w:val="24"/>
          <w:szCs w:val="24"/>
        </w:rPr>
        <w:t xml:space="preserve"> Where the NDIA’s decision was varied or set aside, that did not occur for the most part as a result of determination by the AAT, but presumably in the pre-hearing phase with the consent of the NDIA.</w:t>
      </w:r>
    </w:p>
    <w:p w:rsidR="00113E7C" w:rsidRPr="00DA08CD" w:rsidRDefault="00113E7C" w:rsidP="00DA08CD">
      <w:pPr>
        <w:pStyle w:val="ListParagraph"/>
        <w:numPr>
          <w:ilvl w:val="0"/>
          <w:numId w:val="6"/>
        </w:numPr>
        <w:rPr>
          <w:rFonts w:ascii="Garamond" w:hAnsi="Garamond"/>
          <w:sz w:val="24"/>
          <w:szCs w:val="24"/>
        </w:rPr>
      </w:pPr>
      <w:r w:rsidRPr="00DA08CD">
        <w:rPr>
          <w:rFonts w:ascii="Garamond" w:hAnsi="Garamond"/>
          <w:sz w:val="24"/>
          <w:szCs w:val="24"/>
        </w:rPr>
        <w:t xml:space="preserve">There is no evidence that the AAT is adopting an expansionary approach to the meaning of </w:t>
      </w:r>
      <w:r w:rsidR="00E7028E">
        <w:rPr>
          <w:rFonts w:ascii="Garamond" w:hAnsi="Garamond"/>
          <w:sz w:val="24"/>
          <w:szCs w:val="24"/>
        </w:rPr>
        <w:t>‘</w:t>
      </w:r>
      <w:r w:rsidRPr="00DA08CD">
        <w:rPr>
          <w:rFonts w:ascii="Garamond" w:hAnsi="Garamond"/>
          <w:sz w:val="24"/>
          <w:szCs w:val="24"/>
        </w:rPr>
        <w:t>reasonable and necessary supports</w:t>
      </w:r>
      <w:r w:rsidR="00E7028E">
        <w:rPr>
          <w:rFonts w:ascii="Garamond" w:hAnsi="Garamond"/>
          <w:sz w:val="24"/>
          <w:szCs w:val="24"/>
        </w:rPr>
        <w:t>’</w:t>
      </w:r>
      <w:r w:rsidRPr="00DA08CD">
        <w:rPr>
          <w:rFonts w:ascii="Garamond" w:hAnsi="Garamond"/>
          <w:sz w:val="24"/>
          <w:szCs w:val="24"/>
        </w:rPr>
        <w:t xml:space="preserve"> in the cases it has ultimately determined</w:t>
      </w:r>
      <w:r w:rsidR="00DA08CD" w:rsidRPr="00DA08CD">
        <w:rPr>
          <w:rFonts w:ascii="Garamond" w:hAnsi="Garamond"/>
          <w:sz w:val="24"/>
          <w:szCs w:val="24"/>
        </w:rPr>
        <w:t xml:space="preserve">, or that there is </w:t>
      </w:r>
      <w:r w:rsidR="00431F52">
        <w:rPr>
          <w:rFonts w:ascii="Garamond" w:hAnsi="Garamond"/>
          <w:sz w:val="24"/>
          <w:szCs w:val="24"/>
        </w:rPr>
        <w:t xml:space="preserve">presently </w:t>
      </w:r>
      <w:r w:rsidR="00DA08CD" w:rsidRPr="00DA08CD">
        <w:rPr>
          <w:rFonts w:ascii="Garamond" w:hAnsi="Garamond"/>
          <w:sz w:val="24"/>
          <w:szCs w:val="24"/>
        </w:rPr>
        <w:t>likely significant impact on financial sustainability of the NDIS</w:t>
      </w:r>
      <w:r w:rsidRPr="00DA08CD">
        <w:rPr>
          <w:rFonts w:ascii="Garamond" w:hAnsi="Garamond"/>
          <w:sz w:val="24"/>
          <w:szCs w:val="24"/>
        </w:rPr>
        <w:t xml:space="preserve">. In the 11 </w:t>
      </w:r>
      <w:r w:rsidR="006C1DEC" w:rsidRPr="00DA08CD">
        <w:rPr>
          <w:rFonts w:ascii="Garamond" w:hAnsi="Garamond"/>
          <w:sz w:val="24"/>
          <w:szCs w:val="24"/>
        </w:rPr>
        <w:t xml:space="preserve">‘reasonable and necessary’ </w:t>
      </w:r>
      <w:r w:rsidRPr="00DA08CD">
        <w:rPr>
          <w:rFonts w:ascii="Garamond" w:hAnsi="Garamond"/>
          <w:sz w:val="24"/>
          <w:szCs w:val="24"/>
        </w:rPr>
        <w:t xml:space="preserve">cases heard to date the NDIA was successful in 5 cases and partially successful in a sixth case. In addition, in a further case the applicant was successful after the NDIA made concessions </w:t>
      </w:r>
      <w:r w:rsidR="006C1DEC" w:rsidRPr="00DA08CD">
        <w:rPr>
          <w:rFonts w:ascii="Garamond" w:hAnsi="Garamond"/>
          <w:sz w:val="24"/>
          <w:szCs w:val="24"/>
        </w:rPr>
        <w:t xml:space="preserve">before the AAT </w:t>
      </w:r>
      <w:r w:rsidRPr="00DA08CD">
        <w:rPr>
          <w:rFonts w:ascii="Garamond" w:hAnsi="Garamond"/>
          <w:sz w:val="24"/>
          <w:szCs w:val="24"/>
        </w:rPr>
        <w:t>and did not lead medical evidence that contradicted the need for support.</w:t>
      </w:r>
    </w:p>
    <w:p w:rsidR="006C1DEC" w:rsidRPr="00DA08CD" w:rsidRDefault="006C1DEC" w:rsidP="00DA08CD">
      <w:pPr>
        <w:pStyle w:val="ListParagraph"/>
        <w:numPr>
          <w:ilvl w:val="0"/>
          <w:numId w:val="6"/>
        </w:numPr>
        <w:rPr>
          <w:rFonts w:ascii="Garamond" w:hAnsi="Garamond"/>
          <w:sz w:val="24"/>
          <w:szCs w:val="24"/>
        </w:rPr>
      </w:pPr>
      <w:r w:rsidRPr="00DA08CD">
        <w:rPr>
          <w:rFonts w:ascii="Garamond" w:hAnsi="Garamond"/>
          <w:sz w:val="24"/>
          <w:szCs w:val="24"/>
        </w:rPr>
        <w:t>A number of cases where the applicant was successful raised the interpretation of key issues of statutory interpretation of the scheme for the first time before the AAT or the Federal Court. This is to be entirely expected in the first several years of new and complex legislation. These included whether partial funding of reasonable and necessary support is possible</w:t>
      </w:r>
      <w:r w:rsidR="006A12F7">
        <w:rPr>
          <w:rFonts w:ascii="Garamond" w:hAnsi="Garamond"/>
          <w:sz w:val="24"/>
          <w:szCs w:val="24"/>
        </w:rPr>
        <w:t>.</w:t>
      </w:r>
      <w:r>
        <w:rPr>
          <w:rStyle w:val="FootnoteReference"/>
          <w:rFonts w:ascii="Garamond" w:hAnsi="Garamond"/>
          <w:sz w:val="24"/>
          <w:szCs w:val="24"/>
        </w:rPr>
        <w:footnoteReference w:id="8"/>
      </w:r>
    </w:p>
    <w:p w:rsidR="00113E7C" w:rsidRPr="00DA08CD" w:rsidRDefault="00113E7C" w:rsidP="00DA08CD">
      <w:pPr>
        <w:pStyle w:val="ListParagraph"/>
        <w:numPr>
          <w:ilvl w:val="0"/>
          <w:numId w:val="6"/>
        </w:numPr>
        <w:rPr>
          <w:rFonts w:ascii="Garamond" w:hAnsi="Garamond"/>
          <w:sz w:val="24"/>
          <w:szCs w:val="24"/>
        </w:rPr>
      </w:pPr>
      <w:r w:rsidRPr="00DA08CD">
        <w:rPr>
          <w:rFonts w:ascii="Garamond" w:hAnsi="Garamond"/>
          <w:sz w:val="24"/>
          <w:szCs w:val="24"/>
        </w:rPr>
        <w:t xml:space="preserve">There are a number of </w:t>
      </w:r>
      <w:r w:rsidR="006C1DEC" w:rsidRPr="00DA08CD">
        <w:rPr>
          <w:rFonts w:ascii="Garamond" w:hAnsi="Garamond"/>
          <w:sz w:val="24"/>
          <w:szCs w:val="24"/>
        </w:rPr>
        <w:t xml:space="preserve">‘reasonable and necessary’ </w:t>
      </w:r>
      <w:r w:rsidRPr="00DA08CD">
        <w:rPr>
          <w:rFonts w:ascii="Garamond" w:hAnsi="Garamond"/>
          <w:sz w:val="24"/>
          <w:szCs w:val="24"/>
        </w:rPr>
        <w:t xml:space="preserve">cases where issues in the </w:t>
      </w:r>
      <w:r w:rsidR="006C1DEC" w:rsidRPr="00DA08CD">
        <w:rPr>
          <w:rFonts w:ascii="Garamond" w:hAnsi="Garamond"/>
          <w:sz w:val="24"/>
          <w:szCs w:val="24"/>
        </w:rPr>
        <w:t xml:space="preserve">NDIA </w:t>
      </w:r>
      <w:r w:rsidRPr="00DA08CD">
        <w:rPr>
          <w:rFonts w:ascii="Garamond" w:hAnsi="Garamond"/>
          <w:sz w:val="24"/>
          <w:szCs w:val="24"/>
        </w:rPr>
        <w:t>planning and review process ultimately lead to the appeal by the applicant</w:t>
      </w:r>
      <w:r w:rsidR="006C1DEC" w:rsidRPr="00DA08CD">
        <w:rPr>
          <w:rFonts w:ascii="Garamond" w:hAnsi="Garamond"/>
          <w:sz w:val="24"/>
          <w:szCs w:val="24"/>
        </w:rPr>
        <w:t>. Much of this was</w:t>
      </w:r>
      <w:r w:rsidRPr="00DA08CD">
        <w:rPr>
          <w:rFonts w:ascii="Garamond" w:hAnsi="Garamond"/>
          <w:sz w:val="24"/>
          <w:szCs w:val="24"/>
        </w:rPr>
        <w:t xml:space="preserve"> avoidable- for example through a better </w:t>
      </w:r>
      <w:r w:rsidR="00DA08CD" w:rsidRPr="00DA08CD">
        <w:rPr>
          <w:rFonts w:ascii="Garamond" w:hAnsi="Garamond"/>
          <w:sz w:val="24"/>
          <w:szCs w:val="24"/>
        </w:rPr>
        <w:t xml:space="preserve">initial evidence based </w:t>
      </w:r>
      <w:r w:rsidRPr="00DA08CD">
        <w:rPr>
          <w:rFonts w:ascii="Garamond" w:hAnsi="Garamond"/>
          <w:sz w:val="24"/>
          <w:szCs w:val="24"/>
        </w:rPr>
        <w:t>planning process</w:t>
      </w:r>
      <w:r w:rsidR="00DA08CD" w:rsidRPr="00DA08CD">
        <w:rPr>
          <w:rFonts w:ascii="Garamond" w:hAnsi="Garamond"/>
          <w:sz w:val="24"/>
          <w:szCs w:val="24"/>
        </w:rPr>
        <w:t>, clear</w:t>
      </w:r>
      <w:r w:rsidRPr="00DA08CD">
        <w:rPr>
          <w:rFonts w:ascii="Garamond" w:hAnsi="Garamond"/>
          <w:sz w:val="24"/>
          <w:szCs w:val="24"/>
        </w:rPr>
        <w:t xml:space="preserve"> communication with the applicant</w:t>
      </w:r>
      <w:r w:rsidR="00DA08CD" w:rsidRPr="00DA08CD">
        <w:rPr>
          <w:rFonts w:ascii="Garamond" w:hAnsi="Garamond"/>
          <w:sz w:val="24"/>
          <w:szCs w:val="24"/>
        </w:rPr>
        <w:t>,</w:t>
      </w:r>
      <w:r w:rsidRPr="00DA08CD">
        <w:rPr>
          <w:rFonts w:ascii="Garamond" w:hAnsi="Garamond"/>
          <w:sz w:val="24"/>
          <w:szCs w:val="24"/>
        </w:rPr>
        <w:t xml:space="preserve"> or through a proper </w:t>
      </w:r>
      <w:r w:rsidR="00DA08CD" w:rsidRPr="00DA08CD">
        <w:rPr>
          <w:rFonts w:ascii="Garamond" w:hAnsi="Garamond"/>
          <w:sz w:val="24"/>
          <w:szCs w:val="24"/>
        </w:rPr>
        <w:t xml:space="preserve">internal </w:t>
      </w:r>
      <w:r w:rsidRPr="00DA08CD">
        <w:rPr>
          <w:rFonts w:ascii="Garamond" w:hAnsi="Garamond"/>
          <w:sz w:val="24"/>
          <w:szCs w:val="24"/>
        </w:rPr>
        <w:t>review process.</w:t>
      </w:r>
    </w:p>
    <w:p w:rsidR="006C1DEC" w:rsidRPr="00DA08CD" w:rsidRDefault="00DA08CD" w:rsidP="00DA08CD">
      <w:pPr>
        <w:pStyle w:val="ListParagraph"/>
        <w:numPr>
          <w:ilvl w:val="0"/>
          <w:numId w:val="6"/>
        </w:numPr>
        <w:rPr>
          <w:rFonts w:ascii="Garamond" w:hAnsi="Garamond"/>
          <w:sz w:val="24"/>
          <w:szCs w:val="24"/>
        </w:rPr>
      </w:pPr>
      <w:r w:rsidRPr="00DA08CD">
        <w:rPr>
          <w:rFonts w:ascii="Garamond" w:hAnsi="Garamond"/>
          <w:sz w:val="24"/>
          <w:szCs w:val="24"/>
        </w:rPr>
        <w:t xml:space="preserve">There are </w:t>
      </w:r>
      <w:r w:rsidR="00AD42D9">
        <w:rPr>
          <w:rFonts w:ascii="Garamond" w:hAnsi="Garamond"/>
          <w:sz w:val="24"/>
          <w:szCs w:val="24"/>
        </w:rPr>
        <w:t xml:space="preserve">some </w:t>
      </w:r>
      <w:r w:rsidRPr="00DA08CD">
        <w:rPr>
          <w:rFonts w:ascii="Garamond" w:hAnsi="Garamond"/>
          <w:sz w:val="24"/>
          <w:szCs w:val="24"/>
        </w:rPr>
        <w:t>significant</w:t>
      </w:r>
      <w:r w:rsidR="006C1DEC" w:rsidRPr="00DA08CD">
        <w:rPr>
          <w:rFonts w:ascii="Garamond" w:hAnsi="Garamond"/>
          <w:sz w:val="24"/>
          <w:szCs w:val="24"/>
        </w:rPr>
        <w:t xml:space="preserve"> issues in the review process as conducted within the NDIA.</w:t>
      </w:r>
      <w:r w:rsidR="00AD42D9">
        <w:rPr>
          <w:rStyle w:val="FootnoteReference"/>
          <w:rFonts w:ascii="Garamond" w:hAnsi="Garamond"/>
          <w:sz w:val="24"/>
          <w:szCs w:val="24"/>
        </w:rPr>
        <w:footnoteReference w:id="9"/>
      </w:r>
      <w:r w:rsidR="006C1DEC" w:rsidRPr="00DA08CD">
        <w:rPr>
          <w:rFonts w:ascii="Garamond" w:hAnsi="Garamond"/>
          <w:sz w:val="24"/>
          <w:szCs w:val="24"/>
        </w:rPr>
        <w:t xml:space="preserve"> I identified 5 additional AAT cases</w:t>
      </w:r>
      <w:r w:rsidR="00FB24B7">
        <w:rPr>
          <w:rStyle w:val="FootnoteReference"/>
          <w:rFonts w:ascii="Garamond" w:hAnsi="Garamond"/>
          <w:sz w:val="24"/>
          <w:szCs w:val="24"/>
        </w:rPr>
        <w:footnoteReference w:id="10"/>
      </w:r>
      <w:r w:rsidR="006C1DEC" w:rsidRPr="00DA08CD">
        <w:rPr>
          <w:rFonts w:ascii="Garamond" w:hAnsi="Garamond"/>
          <w:sz w:val="24"/>
          <w:szCs w:val="24"/>
        </w:rPr>
        <w:t xml:space="preserve"> where the essential complaint of the applicant was that they had not received reasonable and necessary supports within t</w:t>
      </w:r>
      <w:r w:rsidR="00336FA2">
        <w:rPr>
          <w:rFonts w:ascii="Garamond" w:hAnsi="Garamond"/>
          <w:sz w:val="24"/>
          <w:szCs w:val="24"/>
        </w:rPr>
        <w:t>heir plan. However, their review</w:t>
      </w:r>
      <w:r w:rsidR="006C1DEC" w:rsidRPr="00DA08CD">
        <w:rPr>
          <w:rFonts w:ascii="Garamond" w:hAnsi="Garamond"/>
          <w:sz w:val="24"/>
          <w:szCs w:val="24"/>
        </w:rPr>
        <w:t xml:space="preserve"> to the AAT to have their supports re</w:t>
      </w:r>
      <w:r w:rsidR="00BB42E7">
        <w:rPr>
          <w:rFonts w:ascii="Garamond" w:hAnsi="Garamond"/>
          <w:sz w:val="24"/>
          <w:szCs w:val="24"/>
        </w:rPr>
        <w:t>viewed</w:t>
      </w:r>
      <w:r w:rsidR="006C1DEC" w:rsidRPr="00DA08CD">
        <w:rPr>
          <w:rFonts w:ascii="Garamond" w:hAnsi="Garamond"/>
          <w:sz w:val="24"/>
          <w:szCs w:val="24"/>
        </w:rPr>
        <w:t xml:space="preserve"> was denied on the basis that </w:t>
      </w:r>
      <w:r w:rsidR="006C1DEC" w:rsidRPr="00DA08CD">
        <w:rPr>
          <w:rFonts w:ascii="Garamond" w:hAnsi="Garamond"/>
          <w:sz w:val="24"/>
          <w:szCs w:val="24"/>
        </w:rPr>
        <w:lastRenderedPageBreak/>
        <w:t>the</w:t>
      </w:r>
      <w:r w:rsidR="00E7028E">
        <w:rPr>
          <w:rFonts w:ascii="Garamond" w:hAnsi="Garamond"/>
          <w:sz w:val="24"/>
          <w:szCs w:val="24"/>
        </w:rPr>
        <w:t>re was no technical review</w:t>
      </w:r>
      <w:r w:rsidRPr="00DA08CD">
        <w:rPr>
          <w:rFonts w:ascii="Garamond" w:hAnsi="Garamond"/>
          <w:sz w:val="24"/>
          <w:szCs w:val="24"/>
        </w:rPr>
        <w:t xml:space="preserve"> to the </w:t>
      </w:r>
      <w:r w:rsidR="006C1DEC" w:rsidRPr="00DA08CD">
        <w:rPr>
          <w:rFonts w:ascii="Garamond" w:hAnsi="Garamond"/>
          <w:sz w:val="24"/>
          <w:szCs w:val="24"/>
        </w:rPr>
        <w:t xml:space="preserve">AAT </w:t>
      </w:r>
      <w:r w:rsidRPr="00DA08CD">
        <w:rPr>
          <w:rFonts w:ascii="Garamond" w:hAnsi="Garamond"/>
          <w:sz w:val="24"/>
          <w:szCs w:val="24"/>
        </w:rPr>
        <w:t>available. This was be</w:t>
      </w:r>
      <w:r w:rsidR="006C1DEC" w:rsidRPr="00DA08CD">
        <w:rPr>
          <w:rFonts w:ascii="Garamond" w:hAnsi="Garamond"/>
          <w:sz w:val="24"/>
          <w:szCs w:val="24"/>
        </w:rPr>
        <w:t>cause the NDIA ha</w:t>
      </w:r>
      <w:r w:rsidRPr="00DA08CD">
        <w:rPr>
          <w:rFonts w:ascii="Garamond" w:hAnsi="Garamond"/>
          <w:sz w:val="24"/>
          <w:szCs w:val="24"/>
        </w:rPr>
        <w:t xml:space="preserve">d not </w:t>
      </w:r>
      <w:r w:rsidR="006C1DEC" w:rsidRPr="00DA08CD">
        <w:rPr>
          <w:rFonts w:ascii="Garamond" w:hAnsi="Garamond"/>
          <w:sz w:val="24"/>
          <w:szCs w:val="24"/>
        </w:rPr>
        <w:t xml:space="preserve">correctly </w:t>
      </w:r>
      <w:r w:rsidRPr="00DA08CD">
        <w:rPr>
          <w:rFonts w:ascii="Garamond" w:hAnsi="Garamond"/>
          <w:sz w:val="24"/>
          <w:szCs w:val="24"/>
        </w:rPr>
        <w:t xml:space="preserve">conducted </w:t>
      </w:r>
      <w:r w:rsidR="006C1DEC" w:rsidRPr="00DA08CD">
        <w:rPr>
          <w:rFonts w:ascii="Garamond" w:hAnsi="Garamond"/>
          <w:sz w:val="24"/>
          <w:szCs w:val="24"/>
        </w:rPr>
        <w:t>the first internal review</w:t>
      </w:r>
      <w:r w:rsidR="00247055">
        <w:rPr>
          <w:rFonts w:ascii="Garamond" w:hAnsi="Garamond"/>
          <w:sz w:val="24"/>
          <w:szCs w:val="24"/>
        </w:rPr>
        <w:t xml:space="preserve"> or had conducted a plan review rather than an internal review</w:t>
      </w:r>
      <w:r w:rsidR="006C1DEC" w:rsidRPr="00DA08CD">
        <w:rPr>
          <w:rFonts w:ascii="Garamond" w:hAnsi="Garamond"/>
          <w:sz w:val="24"/>
          <w:szCs w:val="24"/>
        </w:rPr>
        <w:t>. In</w:t>
      </w:r>
      <w:r w:rsidR="00202B06">
        <w:rPr>
          <w:rFonts w:ascii="Garamond" w:hAnsi="Garamond"/>
          <w:sz w:val="24"/>
          <w:szCs w:val="24"/>
        </w:rPr>
        <w:t xml:space="preserve"> a</w:t>
      </w:r>
      <w:r w:rsidR="006A12F7">
        <w:rPr>
          <w:rFonts w:ascii="Garamond" w:hAnsi="Garamond"/>
          <w:sz w:val="24"/>
          <w:szCs w:val="24"/>
        </w:rPr>
        <w:t xml:space="preserve"> number of cases the NDIA had</w:t>
      </w:r>
      <w:r w:rsidR="006C1DEC" w:rsidRPr="00DA08CD">
        <w:rPr>
          <w:rFonts w:ascii="Garamond" w:hAnsi="Garamond"/>
          <w:sz w:val="24"/>
          <w:szCs w:val="24"/>
        </w:rPr>
        <w:t xml:space="preserve"> mislead or </w:t>
      </w:r>
      <w:r w:rsidRPr="00DA08CD">
        <w:rPr>
          <w:rFonts w:ascii="Garamond" w:hAnsi="Garamond"/>
          <w:sz w:val="24"/>
          <w:szCs w:val="24"/>
        </w:rPr>
        <w:t>wrongly advised the applicant leading to the applicant wasting time, cost and energy on a fruitless review to the AAT.</w:t>
      </w:r>
    </w:p>
    <w:p w:rsidR="00DA08CD" w:rsidRPr="00DA08CD" w:rsidRDefault="00DA08CD" w:rsidP="00DA08CD">
      <w:pPr>
        <w:pStyle w:val="ListParagraph"/>
        <w:numPr>
          <w:ilvl w:val="0"/>
          <w:numId w:val="6"/>
        </w:numPr>
        <w:rPr>
          <w:rFonts w:ascii="Garamond" w:hAnsi="Garamond"/>
          <w:sz w:val="24"/>
          <w:szCs w:val="24"/>
        </w:rPr>
      </w:pPr>
      <w:r w:rsidRPr="00DA08CD">
        <w:rPr>
          <w:rFonts w:ascii="Garamond" w:hAnsi="Garamond"/>
          <w:sz w:val="24"/>
          <w:szCs w:val="24"/>
        </w:rPr>
        <w:t>The definition and role of ‘financial sustainability’ in the determination of ‘reasonable and necessary support’ within the legislation is unclear. The term is not defined, it is not clear whether it is a separate and overriding consideration to be applied in addition to s34 considerations</w:t>
      </w:r>
      <w:r w:rsidR="00431F52">
        <w:rPr>
          <w:rFonts w:ascii="Garamond" w:hAnsi="Garamond"/>
          <w:sz w:val="24"/>
          <w:szCs w:val="24"/>
        </w:rPr>
        <w:t>, and the nature of the evidence necessary to determine financial sustainability is unclear</w:t>
      </w:r>
      <w:r w:rsidRPr="00DA08CD">
        <w:rPr>
          <w:rFonts w:ascii="Garamond" w:hAnsi="Garamond"/>
          <w:sz w:val="24"/>
          <w:szCs w:val="24"/>
        </w:rPr>
        <w:t xml:space="preserve">.  </w:t>
      </w:r>
    </w:p>
    <w:p w:rsidR="00C84870" w:rsidRDefault="006A12F7" w:rsidP="00306053">
      <w:pPr>
        <w:rPr>
          <w:rFonts w:ascii="Garamond" w:hAnsi="Garamond"/>
          <w:sz w:val="24"/>
          <w:szCs w:val="24"/>
        </w:rPr>
      </w:pPr>
      <w:r>
        <w:rPr>
          <w:rFonts w:ascii="Garamond" w:hAnsi="Garamond"/>
          <w:sz w:val="24"/>
          <w:szCs w:val="24"/>
        </w:rPr>
        <w:t xml:space="preserve">I make the following </w:t>
      </w:r>
      <w:r w:rsidR="00431F52">
        <w:rPr>
          <w:rFonts w:ascii="Garamond" w:hAnsi="Garamond"/>
          <w:sz w:val="24"/>
          <w:szCs w:val="24"/>
        </w:rPr>
        <w:t xml:space="preserve">specific </w:t>
      </w:r>
      <w:r>
        <w:rPr>
          <w:rFonts w:ascii="Garamond" w:hAnsi="Garamond"/>
          <w:sz w:val="24"/>
          <w:szCs w:val="24"/>
        </w:rPr>
        <w:t>submissions based on my study:</w:t>
      </w:r>
    </w:p>
    <w:p w:rsidR="00C84870" w:rsidRPr="00C84870" w:rsidRDefault="00C84870" w:rsidP="00306053">
      <w:pPr>
        <w:rPr>
          <w:rFonts w:ascii="Garamond" w:hAnsi="Garamond"/>
          <w:b/>
          <w:i/>
          <w:sz w:val="24"/>
          <w:szCs w:val="24"/>
        </w:rPr>
      </w:pPr>
      <w:r w:rsidRPr="00C84870">
        <w:rPr>
          <w:rFonts w:ascii="Garamond" w:hAnsi="Garamond"/>
          <w:b/>
          <w:i/>
          <w:sz w:val="24"/>
          <w:szCs w:val="24"/>
        </w:rPr>
        <w:t>Information Request 4.1 ‘Reasonable and Necessary’ Supports</w:t>
      </w:r>
    </w:p>
    <w:p w:rsidR="00C84870" w:rsidRDefault="00C13854" w:rsidP="00306053">
      <w:pPr>
        <w:rPr>
          <w:rFonts w:ascii="Garamond" w:hAnsi="Garamond"/>
          <w:sz w:val="24"/>
          <w:szCs w:val="24"/>
        </w:rPr>
      </w:pPr>
      <w:r>
        <w:rPr>
          <w:rFonts w:ascii="Garamond" w:hAnsi="Garamond"/>
          <w:sz w:val="24"/>
          <w:szCs w:val="24"/>
        </w:rPr>
        <w:t>Given the individualised nature of support funding under the NDIS, it would likely be impossible to prescribe what would be ‘reasonable and necessary support’ in all cases. This is particularly given that the supports provided to participants must be responsive to their own individualised ‘goals, objectives and aspirations’ and their ‘environmental and personal context’. (s 33 (1)).</w:t>
      </w:r>
    </w:p>
    <w:p w:rsidR="00C13854" w:rsidRDefault="00C13854" w:rsidP="00306053">
      <w:pPr>
        <w:rPr>
          <w:rFonts w:ascii="Garamond" w:hAnsi="Garamond"/>
          <w:sz w:val="24"/>
          <w:szCs w:val="24"/>
        </w:rPr>
      </w:pPr>
      <w:r>
        <w:rPr>
          <w:rFonts w:ascii="Garamond" w:hAnsi="Garamond"/>
          <w:sz w:val="24"/>
          <w:szCs w:val="24"/>
        </w:rPr>
        <w:t>There is no significant evidence in most of the decided cases that further prescriptive legislative definition of the term ‘reasonable and necessary’ would have given mor</w:t>
      </w:r>
      <w:r w:rsidR="00BB42E7">
        <w:rPr>
          <w:rFonts w:ascii="Garamond" w:hAnsi="Garamond"/>
          <w:sz w:val="24"/>
          <w:szCs w:val="24"/>
        </w:rPr>
        <w:t>e clarity or prevented a review</w:t>
      </w:r>
      <w:r>
        <w:rPr>
          <w:rFonts w:ascii="Garamond" w:hAnsi="Garamond"/>
          <w:sz w:val="24"/>
          <w:szCs w:val="24"/>
        </w:rPr>
        <w:t>. Most of the cases depend on the nature of evidence base for the relevant support</w:t>
      </w:r>
      <w:r w:rsidR="00D44544">
        <w:rPr>
          <w:rFonts w:ascii="Garamond" w:hAnsi="Garamond"/>
          <w:sz w:val="24"/>
          <w:szCs w:val="24"/>
        </w:rPr>
        <w:t xml:space="preserve"> proposed</w:t>
      </w:r>
      <w:r>
        <w:rPr>
          <w:rFonts w:ascii="Garamond" w:hAnsi="Garamond"/>
          <w:sz w:val="24"/>
          <w:szCs w:val="24"/>
        </w:rPr>
        <w:t xml:space="preserve"> in the particular case and whether in the individual</w:t>
      </w:r>
      <w:r w:rsidR="00BB42E7">
        <w:rPr>
          <w:rFonts w:ascii="Garamond" w:hAnsi="Garamond"/>
          <w:sz w:val="24"/>
          <w:szCs w:val="24"/>
        </w:rPr>
        <w:t xml:space="preserve"> factual</w:t>
      </w:r>
      <w:r>
        <w:rPr>
          <w:rFonts w:ascii="Garamond" w:hAnsi="Garamond"/>
          <w:sz w:val="24"/>
          <w:szCs w:val="24"/>
        </w:rPr>
        <w:t xml:space="preserve"> circumstances of the applicant the requirements of s 34 could be satisfied.</w:t>
      </w:r>
    </w:p>
    <w:p w:rsidR="00C13854" w:rsidRDefault="005640B8" w:rsidP="00306053">
      <w:pPr>
        <w:rPr>
          <w:rFonts w:ascii="Garamond" w:hAnsi="Garamond"/>
          <w:sz w:val="24"/>
          <w:szCs w:val="24"/>
        </w:rPr>
      </w:pPr>
      <w:r>
        <w:rPr>
          <w:rFonts w:ascii="Garamond" w:hAnsi="Garamond"/>
          <w:sz w:val="24"/>
          <w:szCs w:val="24"/>
        </w:rPr>
        <w:t>There are several possible matters that could be further clarified to avoid confusion:</w:t>
      </w:r>
    </w:p>
    <w:p w:rsidR="005640B8" w:rsidRDefault="005640B8" w:rsidP="005640B8">
      <w:pPr>
        <w:pStyle w:val="ListParagraph"/>
        <w:numPr>
          <w:ilvl w:val="0"/>
          <w:numId w:val="7"/>
        </w:numPr>
        <w:rPr>
          <w:rFonts w:ascii="Garamond" w:hAnsi="Garamond"/>
          <w:sz w:val="24"/>
          <w:szCs w:val="24"/>
        </w:rPr>
      </w:pPr>
      <w:r>
        <w:rPr>
          <w:rFonts w:ascii="Garamond" w:hAnsi="Garamond"/>
          <w:sz w:val="24"/>
          <w:szCs w:val="24"/>
        </w:rPr>
        <w:t>‘</w:t>
      </w:r>
      <w:r w:rsidR="00BB42E7">
        <w:rPr>
          <w:rFonts w:ascii="Garamond" w:hAnsi="Garamond"/>
          <w:sz w:val="24"/>
          <w:szCs w:val="24"/>
        </w:rPr>
        <w:t>R</w:t>
      </w:r>
      <w:r>
        <w:rPr>
          <w:rFonts w:ascii="Garamond" w:hAnsi="Garamond"/>
          <w:sz w:val="24"/>
          <w:szCs w:val="24"/>
        </w:rPr>
        <w:t xml:space="preserve">easonable and necessary supports’ could be defined in the </w:t>
      </w:r>
      <w:r w:rsidRPr="004C7116">
        <w:rPr>
          <w:rFonts w:ascii="Garamond" w:hAnsi="Garamond"/>
          <w:i/>
          <w:sz w:val="24"/>
          <w:szCs w:val="24"/>
        </w:rPr>
        <w:t xml:space="preserve">National Disability Insurance Scheme Act </w:t>
      </w:r>
      <w:r w:rsidRPr="004C7116">
        <w:rPr>
          <w:rFonts w:ascii="Garamond" w:hAnsi="Garamond"/>
          <w:sz w:val="24"/>
          <w:szCs w:val="24"/>
        </w:rPr>
        <w:t>2013</w:t>
      </w:r>
      <w:r>
        <w:rPr>
          <w:rFonts w:ascii="Garamond" w:hAnsi="Garamond"/>
          <w:sz w:val="24"/>
          <w:szCs w:val="24"/>
        </w:rPr>
        <w:t xml:space="preserve"> </w:t>
      </w:r>
      <w:r w:rsidR="00D44544">
        <w:rPr>
          <w:rFonts w:ascii="Garamond" w:hAnsi="Garamond"/>
          <w:sz w:val="24"/>
          <w:szCs w:val="24"/>
        </w:rPr>
        <w:t xml:space="preserve">Part 4 </w:t>
      </w:r>
      <w:r>
        <w:rPr>
          <w:rFonts w:ascii="Garamond" w:hAnsi="Garamond"/>
          <w:sz w:val="24"/>
          <w:szCs w:val="24"/>
        </w:rPr>
        <w:t>as supports which satisfy the criteria provided in s 34(1).  It would also likely assist to consider more clearly distinguishing reasonable and necessary supports from ‘genera</w:t>
      </w:r>
      <w:r w:rsidR="00D44544">
        <w:rPr>
          <w:rFonts w:ascii="Garamond" w:hAnsi="Garamond"/>
          <w:sz w:val="24"/>
          <w:szCs w:val="24"/>
        </w:rPr>
        <w:t>l</w:t>
      </w:r>
      <w:r>
        <w:rPr>
          <w:rFonts w:ascii="Garamond" w:hAnsi="Garamond"/>
          <w:sz w:val="24"/>
          <w:szCs w:val="24"/>
        </w:rPr>
        <w:t>’ supports.</w:t>
      </w:r>
    </w:p>
    <w:p w:rsidR="005640B8" w:rsidRDefault="005640B8" w:rsidP="005640B8">
      <w:pPr>
        <w:pStyle w:val="ListParagraph"/>
        <w:numPr>
          <w:ilvl w:val="0"/>
          <w:numId w:val="7"/>
        </w:numPr>
        <w:rPr>
          <w:rFonts w:ascii="Garamond" w:hAnsi="Garamond"/>
          <w:sz w:val="24"/>
          <w:szCs w:val="24"/>
        </w:rPr>
      </w:pPr>
      <w:r>
        <w:rPr>
          <w:rFonts w:ascii="Garamond" w:hAnsi="Garamond"/>
          <w:sz w:val="24"/>
          <w:szCs w:val="24"/>
        </w:rPr>
        <w:t xml:space="preserve">Section 34 does not presently include an additional and separate </w:t>
      </w:r>
      <w:r w:rsidR="00841A0D">
        <w:rPr>
          <w:rFonts w:ascii="Garamond" w:hAnsi="Garamond"/>
          <w:sz w:val="24"/>
          <w:szCs w:val="24"/>
        </w:rPr>
        <w:t>criteria that</w:t>
      </w:r>
      <w:r>
        <w:rPr>
          <w:rFonts w:ascii="Garamond" w:hAnsi="Garamond"/>
          <w:sz w:val="24"/>
          <w:szCs w:val="24"/>
        </w:rPr>
        <w:t xml:space="preserve"> requires consideration of ‘financial sustainability’</w:t>
      </w:r>
      <w:r w:rsidR="00841A0D">
        <w:rPr>
          <w:rFonts w:ascii="Garamond" w:hAnsi="Garamond"/>
          <w:sz w:val="24"/>
          <w:szCs w:val="24"/>
        </w:rPr>
        <w:t xml:space="preserve"> of the applicant’s supports in the context of the whole scheme</w:t>
      </w:r>
      <w:r>
        <w:rPr>
          <w:rFonts w:ascii="Garamond" w:hAnsi="Garamond"/>
          <w:sz w:val="24"/>
          <w:szCs w:val="24"/>
        </w:rPr>
        <w:t xml:space="preserve">. There are two current views </w:t>
      </w:r>
      <w:r w:rsidR="00BB42E7">
        <w:rPr>
          <w:rFonts w:ascii="Garamond" w:hAnsi="Garamond"/>
          <w:sz w:val="24"/>
          <w:szCs w:val="24"/>
        </w:rPr>
        <w:t xml:space="preserve">on the relevance of financial sustainability </w:t>
      </w:r>
      <w:r>
        <w:rPr>
          <w:rFonts w:ascii="Garamond" w:hAnsi="Garamond"/>
          <w:sz w:val="24"/>
          <w:szCs w:val="24"/>
        </w:rPr>
        <w:t>that can</w:t>
      </w:r>
      <w:r w:rsidR="00BB42E7">
        <w:rPr>
          <w:rFonts w:ascii="Garamond" w:hAnsi="Garamond"/>
          <w:sz w:val="24"/>
          <w:szCs w:val="24"/>
        </w:rPr>
        <w:t xml:space="preserve"> be identified in the AAT cases, </w:t>
      </w:r>
      <w:r>
        <w:rPr>
          <w:rFonts w:ascii="Garamond" w:hAnsi="Garamond"/>
          <w:sz w:val="24"/>
          <w:szCs w:val="24"/>
        </w:rPr>
        <w:t xml:space="preserve">and in </w:t>
      </w:r>
      <w:r w:rsidRPr="00BE0339">
        <w:rPr>
          <w:rFonts w:ascii="Garamond" w:hAnsi="Garamond"/>
          <w:i/>
          <w:sz w:val="24"/>
          <w:szCs w:val="24"/>
        </w:rPr>
        <w:t>McGarrigle v National Disability Insurance Agency</w:t>
      </w:r>
      <w:r w:rsidRPr="00BE0339">
        <w:rPr>
          <w:rFonts w:ascii="Garamond" w:hAnsi="Garamond"/>
          <w:sz w:val="24"/>
          <w:szCs w:val="24"/>
        </w:rPr>
        <w:t xml:space="preserve"> [2017] FCA 308</w:t>
      </w:r>
      <w:r>
        <w:rPr>
          <w:rFonts w:ascii="Garamond" w:hAnsi="Garamond"/>
          <w:sz w:val="24"/>
          <w:szCs w:val="24"/>
        </w:rPr>
        <w:t xml:space="preserve"> (currently on appeal to the Full Federal Court). The  first is that the s 34 (1) criteria already incorporate the object of financial sustainability  (</w:t>
      </w:r>
      <w:r w:rsidR="00D44544">
        <w:rPr>
          <w:rFonts w:ascii="Garamond" w:hAnsi="Garamond"/>
          <w:sz w:val="24"/>
          <w:szCs w:val="24"/>
        </w:rPr>
        <w:t>s 3 (3) (b)) such that neither a</w:t>
      </w:r>
      <w:r>
        <w:rPr>
          <w:rFonts w:ascii="Garamond" w:hAnsi="Garamond"/>
          <w:sz w:val="24"/>
          <w:szCs w:val="24"/>
        </w:rPr>
        <w:t xml:space="preserve">pplicants nor the NDIA need to </w:t>
      </w:r>
      <w:r w:rsidR="00841A0D">
        <w:rPr>
          <w:rFonts w:ascii="Garamond" w:hAnsi="Garamond"/>
          <w:sz w:val="24"/>
          <w:szCs w:val="24"/>
        </w:rPr>
        <w:t xml:space="preserve">separately prove how the individual’s supports also need to be measured in </w:t>
      </w:r>
      <w:r w:rsidR="00D44544">
        <w:rPr>
          <w:rFonts w:ascii="Garamond" w:hAnsi="Garamond"/>
          <w:sz w:val="24"/>
          <w:szCs w:val="24"/>
        </w:rPr>
        <w:t xml:space="preserve">the </w:t>
      </w:r>
      <w:r w:rsidR="00841A0D">
        <w:rPr>
          <w:rFonts w:ascii="Garamond" w:hAnsi="Garamond"/>
          <w:sz w:val="24"/>
          <w:szCs w:val="24"/>
        </w:rPr>
        <w:t>context of the financial sustainability of the whole scheme.  Other cases have however proceeded on the basis that there is a separate and additional requirement, even once the s 34 (1) criteria are satisfied, to consider the whole financial sustainability of the scheme. Given the scheme is individualised, person-centred and insurance based, this does not seem a correct approach. This issue should be resolved within the legislation to give clear gui</w:t>
      </w:r>
      <w:r w:rsidR="00BB42E7">
        <w:rPr>
          <w:rFonts w:ascii="Garamond" w:hAnsi="Garamond"/>
          <w:sz w:val="24"/>
          <w:szCs w:val="24"/>
        </w:rPr>
        <w:t>dance to the NDIA and a</w:t>
      </w:r>
      <w:r w:rsidR="00841A0D">
        <w:rPr>
          <w:rFonts w:ascii="Garamond" w:hAnsi="Garamond"/>
          <w:sz w:val="24"/>
          <w:szCs w:val="24"/>
        </w:rPr>
        <w:t>pplicants.</w:t>
      </w:r>
    </w:p>
    <w:p w:rsidR="00841A0D" w:rsidRDefault="00841A0D" w:rsidP="005640B8">
      <w:pPr>
        <w:pStyle w:val="ListParagraph"/>
        <w:numPr>
          <w:ilvl w:val="0"/>
          <w:numId w:val="7"/>
        </w:numPr>
        <w:rPr>
          <w:rFonts w:ascii="Garamond" w:hAnsi="Garamond"/>
          <w:sz w:val="24"/>
          <w:szCs w:val="24"/>
        </w:rPr>
      </w:pPr>
      <w:r>
        <w:rPr>
          <w:rFonts w:ascii="Garamond" w:hAnsi="Garamond"/>
          <w:sz w:val="24"/>
          <w:szCs w:val="24"/>
        </w:rPr>
        <w:lastRenderedPageBreak/>
        <w:t xml:space="preserve">If ‘financial sustainability’ is to be considered a separate additional requirement to prove in order to show a support is reasonable and necessary, the term should be specifically defined in the legislation. </w:t>
      </w:r>
    </w:p>
    <w:p w:rsidR="00841A0D" w:rsidRDefault="00841A0D" w:rsidP="005640B8">
      <w:pPr>
        <w:pStyle w:val="ListParagraph"/>
        <w:numPr>
          <w:ilvl w:val="0"/>
          <w:numId w:val="7"/>
        </w:numPr>
        <w:rPr>
          <w:rFonts w:ascii="Garamond" w:hAnsi="Garamond"/>
          <w:sz w:val="24"/>
          <w:szCs w:val="24"/>
        </w:rPr>
      </w:pPr>
      <w:r>
        <w:rPr>
          <w:rFonts w:ascii="Garamond" w:hAnsi="Garamond"/>
          <w:sz w:val="24"/>
          <w:szCs w:val="24"/>
        </w:rPr>
        <w:t>The definition of the term ‘financial sustainability’  should reflect the NDIA’s current view that the term balances both the achievement of measures of economic and social participation, independence and services to provide quality of life for</w:t>
      </w:r>
      <w:r w:rsidR="00622F5A">
        <w:rPr>
          <w:rFonts w:ascii="Garamond" w:hAnsi="Garamond"/>
          <w:sz w:val="24"/>
          <w:szCs w:val="24"/>
        </w:rPr>
        <w:t xml:space="preserve"> participants</w:t>
      </w:r>
      <w:r>
        <w:rPr>
          <w:rFonts w:ascii="Garamond" w:hAnsi="Garamond"/>
          <w:sz w:val="24"/>
          <w:szCs w:val="24"/>
        </w:rPr>
        <w:t xml:space="preserve">; and the </w:t>
      </w:r>
      <w:r w:rsidR="00622F5A">
        <w:rPr>
          <w:rFonts w:ascii="Garamond" w:hAnsi="Garamond"/>
          <w:sz w:val="24"/>
          <w:szCs w:val="24"/>
        </w:rPr>
        <w:t>affordability</w:t>
      </w:r>
      <w:r>
        <w:rPr>
          <w:rFonts w:ascii="Garamond" w:hAnsi="Garamond"/>
          <w:sz w:val="24"/>
          <w:szCs w:val="24"/>
        </w:rPr>
        <w:t xml:space="preserve"> of costs and value of money to contributors to the scheme. </w:t>
      </w:r>
      <w:r w:rsidR="00622F5A">
        <w:rPr>
          <w:rFonts w:ascii="Garamond" w:hAnsi="Garamond"/>
          <w:sz w:val="24"/>
          <w:szCs w:val="24"/>
        </w:rPr>
        <w:t xml:space="preserve"> There is evidence in the AAT cases decided to date that where ‘financial sustainability’ is raised it is normally only understand as involving imprecise estimations of rough costs of provision of services more broadly with little to no discussion of the financial and other benefits that will flow from the provision of services (eg broader economic participation of people with a disability). </w:t>
      </w:r>
    </w:p>
    <w:p w:rsidR="00622F5A" w:rsidRDefault="00622F5A" w:rsidP="005640B8">
      <w:pPr>
        <w:pStyle w:val="ListParagraph"/>
        <w:numPr>
          <w:ilvl w:val="0"/>
          <w:numId w:val="7"/>
        </w:numPr>
        <w:rPr>
          <w:rFonts w:ascii="Garamond" w:hAnsi="Garamond"/>
          <w:sz w:val="24"/>
          <w:szCs w:val="24"/>
        </w:rPr>
      </w:pPr>
      <w:r>
        <w:rPr>
          <w:rFonts w:ascii="Garamond" w:hAnsi="Garamond"/>
          <w:sz w:val="24"/>
          <w:szCs w:val="24"/>
        </w:rPr>
        <w:t>There has been some discussion in several AAT cases of the role of NDIA policy material, including operational guidelines, in determining the meaning of ‘reasonable and necessary’ in the context of s 34. That matter is currently unresolved. However, there are a number of issues in NDIA policy documents that are likely to prompt AAT reviews in the future.  For example, the use of capped transport costs</w:t>
      </w:r>
      <w:r w:rsidR="00D44544">
        <w:rPr>
          <w:rStyle w:val="FootnoteReference"/>
          <w:rFonts w:ascii="Garamond" w:hAnsi="Garamond"/>
          <w:sz w:val="24"/>
          <w:szCs w:val="24"/>
        </w:rPr>
        <w:footnoteReference w:id="11"/>
      </w:r>
      <w:r>
        <w:rPr>
          <w:rFonts w:ascii="Garamond" w:hAnsi="Garamond"/>
          <w:sz w:val="24"/>
          <w:szCs w:val="24"/>
        </w:rPr>
        <w:t xml:space="preserve"> in planning seems potentially inconsistent with s </w:t>
      </w:r>
      <w:r w:rsidR="00D44544">
        <w:rPr>
          <w:rFonts w:ascii="Garamond" w:hAnsi="Garamond"/>
          <w:sz w:val="24"/>
          <w:szCs w:val="24"/>
        </w:rPr>
        <w:t>31, 33 and s 34</w:t>
      </w:r>
      <w:r>
        <w:rPr>
          <w:rFonts w:ascii="Garamond" w:hAnsi="Garamond"/>
          <w:sz w:val="24"/>
          <w:szCs w:val="24"/>
        </w:rPr>
        <w:t xml:space="preserve">. In addition, the current First Plan process may also produce outcomes which lead to reviews where </w:t>
      </w:r>
      <w:r w:rsidR="009059BB">
        <w:rPr>
          <w:rFonts w:ascii="Garamond" w:hAnsi="Garamond"/>
          <w:sz w:val="24"/>
          <w:szCs w:val="24"/>
        </w:rPr>
        <w:t>reference</w:t>
      </w:r>
      <w:r>
        <w:rPr>
          <w:rFonts w:ascii="Garamond" w:hAnsi="Garamond"/>
          <w:sz w:val="24"/>
          <w:szCs w:val="24"/>
        </w:rPr>
        <w:t xml:space="preserve"> packages are not sufficiently individualised and do not, for example, appropriately respond to participant’s statements of goals and aspirations. </w:t>
      </w:r>
    </w:p>
    <w:p w:rsidR="00622F5A" w:rsidRPr="005640B8" w:rsidRDefault="00622F5A" w:rsidP="00622F5A">
      <w:pPr>
        <w:pStyle w:val="ListParagraph"/>
        <w:rPr>
          <w:rFonts w:ascii="Garamond" w:hAnsi="Garamond"/>
          <w:sz w:val="24"/>
          <w:szCs w:val="24"/>
        </w:rPr>
      </w:pPr>
    </w:p>
    <w:p w:rsidR="00C84870" w:rsidRDefault="00C84870" w:rsidP="00935CB6">
      <w:pPr>
        <w:rPr>
          <w:rFonts w:ascii="Garamond" w:hAnsi="Garamond"/>
          <w:b/>
          <w:i/>
          <w:sz w:val="24"/>
          <w:szCs w:val="24"/>
        </w:rPr>
      </w:pPr>
      <w:r w:rsidRPr="00C84870">
        <w:rPr>
          <w:rFonts w:ascii="Garamond" w:hAnsi="Garamond"/>
          <w:b/>
          <w:i/>
          <w:sz w:val="24"/>
          <w:szCs w:val="24"/>
        </w:rPr>
        <w:t>Information Request 4.2 Delegation of Approval Function to LACs</w:t>
      </w:r>
    </w:p>
    <w:p w:rsidR="00C84870" w:rsidRDefault="00632BEA" w:rsidP="00935CB6">
      <w:pPr>
        <w:rPr>
          <w:rFonts w:ascii="Garamond" w:hAnsi="Garamond"/>
          <w:sz w:val="24"/>
          <w:szCs w:val="24"/>
        </w:rPr>
      </w:pPr>
      <w:r w:rsidRPr="00632BEA">
        <w:rPr>
          <w:rFonts w:ascii="Garamond" w:hAnsi="Garamond"/>
          <w:sz w:val="24"/>
          <w:szCs w:val="24"/>
        </w:rPr>
        <w:t xml:space="preserve">The Position Paper and many of the submissions to the Inquiry note difficulties with the current planning process, and issues arising from the delegation of planning function to inexperienced LACs. </w:t>
      </w:r>
      <w:r>
        <w:rPr>
          <w:rFonts w:ascii="Garamond" w:hAnsi="Garamond"/>
          <w:sz w:val="24"/>
          <w:szCs w:val="24"/>
        </w:rPr>
        <w:t xml:space="preserve">While there may be some efficiency in planning time to give delegation to approve plans </w:t>
      </w:r>
      <w:r w:rsidR="00D44544">
        <w:rPr>
          <w:rFonts w:ascii="Garamond" w:hAnsi="Garamond"/>
          <w:sz w:val="24"/>
          <w:szCs w:val="24"/>
        </w:rPr>
        <w:t xml:space="preserve">to </w:t>
      </w:r>
      <w:r>
        <w:rPr>
          <w:rFonts w:ascii="Garamond" w:hAnsi="Garamond"/>
          <w:sz w:val="24"/>
          <w:szCs w:val="24"/>
        </w:rPr>
        <w:t xml:space="preserve">LACS, the risks and potential costs of this are substantial. It would be poor process to delegate this form of governmental function to bodies outside government. It would reduce governmental oversight, reduce the ability to ensure consistency in planning across the NDIS, and potentially reduce public confidence in the NDIS. The experience </w:t>
      </w:r>
      <w:r w:rsidR="00D44544">
        <w:rPr>
          <w:rFonts w:ascii="Garamond" w:hAnsi="Garamond"/>
          <w:sz w:val="24"/>
          <w:szCs w:val="24"/>
        </w:rPr>
        <w:t xml:space="preserve">of planning </w:t>
      </w:r>
      <w:r>
        <w:rPr>
          <w:rFonts w:ascii="Garamond" w:hAnsi="Garamond"/>
          <w:sz w:val="24"/>
          <w:szCs w:val="24"/>
        </w:rPr>
        <w:t>to date suggests that there should be more execution of planning within the NDIA</w:t>
      </w:r>
      <w:r w:rsidR="00BB42E7">
        <w:rPr>
          <w:rFonts w:ascii="Garamond" w:hAnsi="Garamond"/>
          <w:sz w:val="24"/>
          <w:szCs w:val="24"/>
        </w:rPr>
        <w:t xml:space="preserve"> (including in specialised planning panels) </w:t>
      </w:r>
      <w:r>
        <w:rPr>
          <w:rFonts w:ascii="Garamond" w:hAnsi="Garamond"/>
          <w:sz w:val="24"/>
          <w:szCs w:val="24"/>
        </w:rPr>
        <w:t>rather than more delegation of planning outside the NDIA.</w:t>
      </w:r>
      <w:r w:rsidR="00D44544">
        <w:rPr>
          <w:rFonts w:ascii="Garamond" w:hAnsi="Garamond"/>
          <w:sz w:val="24"/>
          <w:szCs w:val="24"/>
        </w:rPr>
        <w:t xml:space="preserve"> In addition, the shift of pre-planning to LAC’s would likely much more greatly benefit the planning process than delegation </w:t>
      </w:r>
      <w:r w:rsidR="00BB42E7">
        <w:rPr>
          <w:rFonts w:ascii="Garamond" w:hAnsi="Garamond"/>
          <w:sz w:val="24"/>
          <w:szCs w:val="24"/>
        </w:rPr>
        <w:t xml:space="preserve">of planning </w:t>
      </w:r>
      <w:r w:rsidR="00D44544">
        <w:rPr>
          <w:rFonts w:ascii="Garamond" w:hAnsi="Garamond"/>
          <w:sz w:val="24"/>
          <w:szCs w:val="24"/>
        </w:rPr>
        <w:t>to LACs.</w:t>
      </w:r>
    </w:p>
    <w:p w:rsidR="00C84870" w:rsidRDefault="00C84870" w:rsidP="00935CB6">
      <w:pPr>
        <w:rPr>
          <w:rFonts w:ascii="Garamond" w:hAnsi="Garamond"/>
          <w:b/>
          <w:i/>
          <w:sz w:val="24"/>
          <w:szCs w:val="24"/>
        </w:rPr>
      </w:pPr>
      <w:r>
        <w:rPr>
          <w:rFonts w:ascii="Garamond" w:hAnsi="Garamond"/>
          <w:b/>
          <w:i/>
          <w:sz w:val="24"/>
          <w:szCs w:val="24"/>
        </w:rPr>
        <w:t>Draft Recommendation 4.1 Planning Process</w:t>
      </w:r>
    </w:p>
    <w:p w:rsidR="00C84870" w:rsidRPr="009059BB" w:rsidRDefault="00632BEA" w:rsidP="009059BB">
      <w:pPr>
        <w:pStyle w:val="ListParagraph"/>
        <w:numPr>
          <w:ilvl w:val="0"/>
          <w:numId w:val="8"/>
        </w:numPr>
        <w:rPr>
          <w:rFonts w:ascii="Garamond" w:hAnsi="Garamond"/>
          <w:sz w:val="24"/>
          <w:szCs w:val="24"/>
        </w:rPr>
      </w:pPr>
      <w:r w:rsidRPr="009059BB">
        <w:rPr>
          <w:rFonts w:ascii="Garamond" w:hAnsi="Garamond"/>
          <w:sz w:val="24"/>
          <w:szCs w:val="24"/>
        </w:rPr>
        <w:t>As I note above</w:t>
      </w:r>
      <w:r w:rsidR="00D44544">
        <w:rPr>
          <w:rFonts w:ascii="Garamond" w:hAnsi="Garamond"/>
          <w:sz w:val="24"/>
          <w:szCs w:val="24"/>
        </w:rPr>
        <w:t xml:space="preserve">, issues in the planning process </w:t>
      </w:r>
      <w:r w:rsidRPr="009059BB">
        <w:rPr>
          <w:rFonts w:ascii="Garamond" w:hAnsi="Garamond"/>
          <w:sz w:val="24"/>
          <w:szCs w:val="24"/>
        </w:rPr>
        <w:t>are evident in the cases that have been reviewed to date in the AAT.</w:t>
      </w:r>
    </w:p>
    <w:p w:rsidR="00632BEA" w:rsidRPr="009059BB" w:rsidRDefault="00632BEA" w:rsidP="009059BB">
      <w:pPr>
        <w:pStyle w:val="ListParagraph"/>
        <w:numPr>
          <w:ilvl w:val="0"/>
          <w:numId w:val="8"/>
        </w:numPr>
        <w:rPr>
          <w:rFonts w:ascii="Garamond" w:hAnsi="Garamond"/>
          <w:sz w:val="24"/>
          <w:szCs w:val="24"/>
        </w:rPr>
      </w:pPr>
      <w:r w:rsidRPr="009059BB">
        <w:rPr>
          <w:rFonts w:ascii="Garamond" w:hAnsi="Garamond"/>
          <w:sz w:val="24"/>
          <w:szCs w:val="24"/>
        </w:rPr>
        <w:t xml:space="preserve">I also note above my concern that the First Plan process and use of </w:t>
      </w:r>
      <w:r w:rsidR="009059BB">
        <w:rPr>
          <w:rFonts w:ascii="Garamond" w:hAnsi="Garamond"/>
          <w:sz w:val="24"/>
          <w:szCs w:val="24"/>
        </w:rPr>
        <w:t>reference</w:t>
      </w:r>
      <w:r w:rsidRPr="009059BB">
        <w:rPr>
          <w:rFonts w:ascii="Garamond" w:hAnsi="Garamond"/>
          <w:sz w:val="24"/>
          <w:szCs w:val="24"/>
        </w:rPr>
        <w:t xml:space="preserve"> packages by the NDIA may lead to reviews and may breach s </w:t>
      </w:r>
      <w:r w:rsidR="00D44544">
        <w:rPr>
          <w:rFonts w:ascii="Garamond" w:hAnsi="Garamond"/>
          <w:sz w:val="24"/>
          <w:szCs w:val="24"/>
        </w:rPr>
        <w:t xml:space="preserve">31, </w:t>
      </w:r>
      <w:r w:rsidRPr="009059BB">
        <w:rPr>
          <w:rFonts w:ascii="Garamond" w:hAnsi="Garamond"/>
          <w:sz w:val="24"/>
          <w:szCs w:val="24"/>
        </w:rPr>
        <w:t xml:space="preserve">33 and s 34 of the legislation if they are not sufficiently individualised for applicants. </w:t>
      </w:r>
      <w:r w:rsidR="009059BB">
        <w:rPr>
          <w:rFonts w:ascii="Garamond" w:hAnsi="Garamond"/>
          <w:sz w:val="24"/>
          <w:szCs w:val="24"/>
        </w:rPr>
        <w:t xml:space="preserve">Reference packages are based on </w:t>
      </w:r>
      <w:r w:rsidR="009059BB">
        <w:rPr>
          <w:rFonts w:ascii="Garamond" w:hAnsi="Garamond"/>
          <w:sz w:val="24"/>
          <w:szCs w:val="24"/>
        </w:rPr>
        <w:lastRenderedPageBreak/>
        <w:t xml:space="preserve">‘typical’ support packages, however it is clear that s </w:t>
      </w:r>
      <w:r w:rsidR="00D44544">
        <w:rPr>
          <w:rFonts w:ascii="Garamond" w:hAnsi="Garamond"/>
          <w:sz w:val="24"/>
          <w:szCs w:val="24"/>
        </w:rPr>
        <w:t xml:space="preserve">31, </w:t>
      </w:r>
      <w:r w:rsidR="009059BB">
        <w:rPr>
          <w:rFonts w:ascii="Garamond" w:hAnsi="Garamond"/>
          <w:sz w:val="24"/>
          <w:szCs w:val="24"/>
        </w:rPr>
        <w:t xml:space="preserve">33 and s34 operate on the basis of packages which are individualised to the participant. </w:t>
      </w:r>
      <w:r w:rsidR="00BB42E7">
        <w:rPr>
          <w:rFonts w:ascii="Garamond" w:hAnsi="Garamond"/>
          <w:sz w:val="24"/>
          <w:szCs w:val="24"/>
        </w:rPr>
        <w:t xml:space="preserve"> The use of reference packages which are not transparent and available to applicants may also </w:t>
      </w:r>
      <w:r w:rsidR="009D4A59">
        <w:rPr>
          <w:rFonts w:ascii="Garamond" w:hAnsi="Garamond"/>
          <w:sz w:val="24"/>
          <w:szCs w:val="24"/>
        </w:rPr>
        <w:t>create confusion and resentment in participants who legitimately understand the planning process to be highly individualised based on the provisions of legislation and the NDIS rules (which do not make reference to reference packages).</w:t>
      </w:r>
    </w:p>
    <w:p w:rsidR="00632BEA" w:rsidRPr="009059BB" w:rsidRDefault="00632BEA" w:rsidP="009059BB">
      <w:pPr>
        <w:pStyle w:val="ListParagraph"/>
        <w:numPr>
          <w:ilvl w:val="0"/>
          <w:numId w:val="8"/>
        </w:numPr>
        <w:rPr>
          <w:rFonts w:ascii="Garamond" w:hAnsi="Garamond"/>
          <w:sz w:val="24"/>
          <w:szCs w:val="24"/>
        </w:rPr>
      </w:pPr>
      <w:r w:rsidRPr="009059BB">
        <w:rPr>
          <w:rFonts w:ascii="Garamond" w:hAnsi="Garamond"/>
          <w:sz w:val="24"/>
          <w:szCs w:val="24"/>
        </w:rPr>
        <w:t xml:space="preserve">I agree it would desirable to implement a minor amendment or adjustment to plan process without triggering review.  This would assist in ensuring cases are not unnecessarily sent to the AAT for review (particularly where no technical review exists).  </w:t>
      </w:r>
      <w:r w:rsidR="009059BB" w:rsidRPr="009059BB">
        <w:rPr>
          <w:rFonts w:ascii="Garamond" w:hAnsi="Garamond"/>
          <w:sz w:val="24"/>
          <w:szCs w:val="24"/>
        </w:rPr>
        <w:t>More effective pre-planning and the ability for participants to check and comment on draft plans would also assist to prevent multiple plans having to be prepared</w:t>
      </w:r>
      <w:r w:rsidR="009D4A59">
        <w:rPr>
          <w:rFonts w:ascii="Garamond" w:hAnsi="Garamond"/>
          <w:sz w:val="24"/>
          <w:szCs w:val="24"/>
        </w:rPr>
        <w:t xml:space="preserve"> and ultimately may prevent unnecessary reviews</w:t>
      </w:r>
      <w:r w:rsidR="009059BB" w:rsidRPr="009059BB">
        <w:rPr>
          <w:rFonts w:ascii="Garamond" w:hAnsi="Garamond"/>
          <w:sz w:val="24"/>
          <w:szCs w:val="24"/>
        </w:rPr>
        <w:t xml:space="preserve">. The preparation of multiple ‘new’ plans is a feature </w:t>
      </w:r>
      <w:r w:rsidR="00D44544">
        <w:rPr>
          <w:rFonts w:ascii="Garamond" w:hAnsi="Garamond"/>
          <w:sz w:val="24"/>
          <w:szCs w:val="24"/>
        </w:rPr>
        <w:t>in</w:t>
      </w:r>
      <w:r w:rsidR="009059BB" w:rsidRPr="009059BB">
        <w:rPr>
          <w:rFonts w:ascii="Garamond" w:hAnsi="Garamond"/>
          <w:sz w:val="24"/>
          <w:szCs w:val="24"/>
        </w:rPr>
        <w:t xml:space="preserve"> a number of the AAT cases I considered. This also creates difficulty in the AAT in determining exactly what </w:t>
      </w:r>
      <w:r w:rsidR="00D44544">
        <w:rPr>
          <w:rFonts w:ascii="Garamond" w:hAnsi="Garamond"/>
          <w:sz w:val="24"/>
          <w:szCs w:val="24"/>
        </w:rPr>
        <w:t xml:space="preserve">decision </w:t>
      </w:r>
      <w:r w:rsidR="009059BB" w:rsidRPr="009059BB">
        <w:rPr>
          <w:rFonts w:ascii="Garamond" w:hAnsi="Garamond"/>
          <w:sz w:val="24"/>
          <w:szCs w:val="24"/>
        </w:rPr>
        <w:t xml:space="preserve">is under review </w:t>
      </w:r>
      <w:r w:rsidR="009D4A59">
        <w:rPr>
          <w:rFonts w:ascii="Garamond" w:hAnsi="Garamond"/>
          <w:sz w:val="24"/>
          <w:szCs w:val="24"/>
        </w:rPr>
        <w:t xml:space="preserve">(particularly where significant time has passed before the AAT hears a review) </w:t>
      </w:r>
      <w:r w:rsidR="009059BB" w:rsidRPr="009059BB">
        <w:rPr>
          <w:rFonts w:ascii="Garamond" w:hAnsi="Garamond"/>
          <w:sz w:val="24"/>
          <w:szCs w:val="24"/>
        </w:rPr>
        <w:t>and whether a technical review by the AAT is possible.</w:t>
      </w:r>
    </w:p>
    <w:p w:rsidR="00C84870" w:rsidRPr="009059BB" w:rsidRDefault="00C84870" w:rsidP="00935CB6">
      <w:pPr>
        <w:rPr>
          <w:rFonts w:ascii="Garamond" w:hAnsi="Garamond"/>
          <w:sz w:val="24"/>
          <w:szCs w:val="24"/>
        </w:rPr>
      </w:pPr>
    </w:p>
    <w:p w:rsidR="00C84870" w:rsidRDefault="00C84870" w:rsidP="00935CB6">
      <w:pPr>
        <w:rPr>
          <w:rFonts w:ascii="Garamond" w:hAnsi="Garamond"/>
          <w:b/>
          <w:i/>
          <w:sz w:val="24"/>
          <w:szCs w:val="24"/>
        </w:rPr>
      </w:pPr>
      <w:r>
        <w:rPr>
          <w:rFonts w:ascii="Garamond" w:hAnsi="Garamond"/>
          <w:b/>
          <w:i/>
          <w:sz w:val="24"/>
          <w:szCs w:val="24"/>
        </w:rPr>
        <w:t>Draft Recommendation 9.3 Plan Reviews and Review Process</w:t>
      </w:r>
    </w:p>
    <w:p w:rsidR="006A12F7" w:rsidRDefault="009059BB" w:rsidP="00935CB6">
      <w:pPr>
        <w:rPr>
          <w:rFonts w:ascii="Garamond" w:hAnsi="Garamond"/>
          <w:sz w:val="24"/>
          <w:szCs w:val="24"/>
        </w:rPr>
      </w:pPr>
      <w:r>
        <w:rPr>
          <w:rFonts w:ascii="Garamond" w:hAnsi="Garamond"/>
          <w:sz w:val="24"/>
          <w:szCs w:val="24"/>
        </w:rPr>
        <w:t>I suggest that s</w:t>
      </w:r>
      <w:r w:rsidR="008E3809" w:rsidRPr="008E3809">
        <w:rPr>
          <w:rFonts w:ascii="Garamond" w:hAnsi="Garamond"/>
          <w:sz w:val="24"/>
          <w:szCs w:val="24"/>
        </w:rPr>
        <w:t xml:space="preserve">ystematic data on AAT </w:t>
      </w:r>
      <w:r>
        <w:rPr>
          <w:rFonts w:ascii="Garamond" w:hAnsi="Garamond"/>
          <w:sz w:val="24"/>
          <w:szCs w:val="24"/>
        </w:rPr>
        <w:t xml:space="preserve">and Federal Court reviews/ </w:t>
      </w:r>
      <w:r w:rsidR="008E3809" w:rsidRPr="008E3809">
        <w:rPr>
          <w:rFonts w:ascii="Garamond" w:hAnsi="Garamond"/>
          <w:sz w:val="24"/>
          <w:szCs w:val="24"/>
        </w:rPr>
        <w:t xml:space="preserve">appeals </w:t>
      </w:r>
      <w:r>
        <w:rPr>
          <w:rFonts w:ascii="Garamond" w:hAnsi="Garamond"/>
          <w:sz w:val="24"/>
          <w:szCs w:val="24"/>
        </w:rPr>
        <w:t xml:space="preserve">and their outcomes </w:t>
      </w:r>
      <w:r w:rsidR="008E3809" w:rsidRPr="008E3809">
        <w:rPr>
          <w:rFonts w:ascii="Garamond" w:hAnsi="Garamond"/>
          <w:sz w:val="24"/>
          <w:szCs w:val="24"/>
        </w:rPr>
        <w:t>should be kept</w:t>
      </w:r>
      <w:r>
        <w:rPr>
          <w:rFonts w:ascii="Garamond" w:hAnsi="Garamond"/>
          <w:sz w:val="24"/>
          <w:szCs w:val="24"/>
        </w:rPr>
        <w:t>. This will allow on-going analysis of whether further legislative changes are required.</w:t>
      </w:r>
    </w:p>
    <w:p w:rsidR="009059BB" w:rsidRDefault="009059BB" w:rsidP="00935CB6">
      <w:pPr>
        <w:rPr>
          <w:rFonts w:ascii="Garamond" w:hAnsi="Garamond"/>
          <w:sz w:val="24"/>
          <w:szCs w:val="24"/>
        </w:rPr>
      </w:pPr>
    </w:p>
    <w:p w:rsidR="00C84870" w:rsidRDefault="00C84870" w:rsidP="00935CB6">
      <w:pPr>
        <w:rPr>
          <w:rFonts w:ascii="Garamond" w:hAnsi="Garamond"/>
          <w:sz w:val="24"/>
          <w:szCs w:val="24"/>
        </w:rPr>
      </w:pPr>
    </w:p>
    <w:p w:rsidR="00EE0B04" w:rsidRDefault="00EE0B04" w:rsidP="00935CB6">
      <w:pPr>
        <w:rPr>
          <w:rFonts w:ascii="Garamond" w:hAnsi="Garamond"/>
          <w:sz w:val="24"/>
          <w:szCs w:val="24"/>
        </w:rPr>
      </w:pPr>
      <w:r>
        <w:rPr>
          <w:rFonts w:ascii="Garamond" w:hAnsi="Garamond"/>
          <w:sz w:val="24"/>
          <w:szCs w:val="24"/>
        </w:rPr>
        <w:t>Dr Kylie Burns, Griffith Law School, Griffith University</w:t>
      </w:r>
    </w:p>
    <w:p w:rsidR="0050691A" w:rsidRDefault="0050691A" w:rsidP="00AE1A9F">
      <w:pPr>
        <w:rPr>
          <w:rFonts w:ascii="Garamond" w:hAnsi="Garamond"/>
          <w:sz w:val="24"/>
          <w:szCs w:val="24"/>
        </w:rPr>
      </w:pPr>
    </w:p>
    <w:p w:rsidR="0050691A" w:rsidRPr="0050691A" w:rsidRDefault="00C84870" w:rsidP="00AE1A9F">
      <w:pPr>
        <w:rPr>
          <w:rFonts w:ascii="Garamond" w:hAnsi="Garamond"/>
          <w:b/>
          <w:sz w:val="24"/>
          <w:szCs w:val="24"/>
          <w:u w:val="single"/>
        </w:rPr>
      </w:pPr>
      <w:r>
        <w:rPr>
          <w:rFonts w:ascii="Garamond" w:hAnsi="Garamond"/>
          <w:b/>
          <w:sz w:val="24"/>
          <w:szCs w:val="24"/>
          <w:u w:val="single"/>
        </w:rPr>
        <w:t>12 July 2017</w:t>
      </w:r>
    </w:p>
    <w:sectPr w:rsidR="0050691A" w:rsidRPr="0050691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7D3" w:rsidRDefault="007F17D3" w:rsidP="00AE1A9F">
      <w:pPr>
        <w:spacing w:after="0" w:line="240" w:lineRule="auto"/>
      </w:pPr>
      <w:r>
        <w:separator/>
      </w:r>
    </w:p>
  </w:endnote>
  <w:endnote w:type="continuationSeparator" w:id="0">
    <w:p w:rsidR="007F17D3" w:rsidRDefault="007F17D3" w:rsidP="00AE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315461"/>
      <w:docPartObj>
        <w:docPartGallery w:val="Page Numbers (Bottom of Page)"/>
        <w:docPartUnique/>
      </w:docPartObj>
    </w:sdtPr>
    <w:sdtEndPr>
      <w:rPr>
        <w:noProof/>
      </w:rPr>
    </w:sdtEndPr>
    <w:sdtContent>
      <w:p w:rsidR="003347D6" w:rsidRDefault="003347D6">
        <w:pPr>
          <w:pStyle w:val="Footer"/>
          <w:jc w:val="center"/>
        </w:pPr>
        <w:r>
          <w:fldChar w:fldCharType="begin"/>
        </w:r>
        <w:r>
          <w:instrText xml:space="preserve"> PAGE   \* MERGEFORMAT </w:instrText>
        </w:r>
        <w:r>
          <w:fldChar w:fldCharType="separate"/>
        </w:r>
        <w:r w:rsidR="00096F6E">
          <w:rPr>
            <w:noProof/>
          </w:rPr>
          <w:t>1</w:t>
        </w:r>
        <w:r>
          <w:rPr>
            <w:noProof/>
          </w:rPr>
          <w:fldChar w:fldCharType="end"/>
        </w:r>
      </w:p>
    </w:sdtContent>
  </w:sdt>
  <w:p w:rsidR="003347D6" w:rsidRDefault="00334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7D3" w:rsidRDefault="007F17D3" w:rsidP="00AE1A9F">
      <w:pPr>
        <w:spacing w:after="0" w:line="240" w:lineRule="auto"/>
      </w:pPr>
      <w:r>
        <w:separator/>
      </w:r>
    </w:p>
  </w:footnote>
  <w:footnote w:type="continuationSeparator" w:id="0">
    <w:p w:rsidR="007F17D3" w:rsidRDefault="007F17D3" w:rsidP="00AE1A9F">
      <w:pPr>
        <w:spacing w:after="0" w:line="240" w:lineRule="auto"/>
      </w:pPr>
      <w:r>
        <w:continuationSeparator/>
      </w:r>
    </w:p>
  </w:footnote>
  <w:footnote w:id="1">
    <w:p w:rsidR="00503534" w:rsidRPr="00FB24B7" w:rsidRDefault="00503534">
      <w:pPr>
        <w:pStyle w:val="FootnoteText"/>
        <w:rPr>
          <w:rFonts w:ascii="Garamond" w:hAnsi="Garamond"/>
        </w:rPr>
      </w:pPr>
      <w:r w:rsidRPr="00FB24B7">
        <w:rPr>
          <w:rStyle w:val="FootnoteReference"/>
          <w:rFonts w:ascii="Garamond" w:hAnsi="Garamond"/>
        </w:rPr>
        <w:footnoteRef/>
      </w:r>
      <w:r w:rsidRPr="00FB24B7">
        <w:rPr>
          <w:rFonts w:ascii="Garamond" w:hAnsi="Garamond"/>
        </w:rPr>
        <w:t xml:space="preserve"> http://www.hopkinscentre.edu.au/</w:t>
      </w:r>
    </w:p>
  </w:footnote>
  <w:footnote w:id="2">
    <w:p w:rsidR="00AD42D9" w:rsidRPr="00FB24B7" w:rsidRDefault="00AD42D9">
      <w:pPr>
        <w:pStyle w:val="FootnoteText"/>
        <w:rPr>
          <w:rFonts w:ascii="Garamond" w:hAnsi="Garamond"/>
        </w:rPr>
      </w:pPr>
      <w:r w:rsidRPr="00FB24B7">
        <w:rPr>
          <w:rStyle w:val="FootnoteReference"/>
          <w:rFonts w:ascii="Garamond" w:hAnsi="Garamond"/>
        </w:rPr>
        <w:footnoteRef/>
      </w:r>
      <w:r w:rsidRPr="00FB24B7">
        <w:rPr>
          <w:rFonts w:ascii="Garamond" w:hAnsi="Garamond"/>
        </w:rPr>
        <w:t xml:space="preserve"> </w:t>
      </w:r>
      <w:hyperlink r:id="rId1" w:history="1">
        <w:r w:rsidRPr="00FB24B7">
          <w:rPr>
            <w:rStyle w:val="Hyperlink"/>
            <w:rFonts w:ascii="Garamond" w:hAnsi="Garamond"/>
          </w:rPr>
          <w:t>http://www.pc.gov.au/inquiries/current/ndis-costs/position</w:t>
        </w:r>
      </w:hyperlink>
      <w:r w:rsidRPr="00FB24B7">
        <w:rPr>
          <w:rFonts w:ascii="Garamond" w:hAnsi="Garamond"/>
        </w:rPr>
        <w:t xml:space="preserve"> (‘</w:t>
      </w:r>
      <w:r w:rsidR="00BB42E7">
        <w:rPr>
          <w:rFonts w:ascii="Garamond" w:hAnsi="Garamond"/>
        </w:rPr>
        <w:t>P</w:t>
      </w:r>
      <w:r w:rsidRPr="00FB24B7">
        <w:rPr>
          <w:rFonts w:ascii="Garamond" w:hAnsi="Garamond"/>
        </w:rPr>
        <w:t xml:space="preserve">osition </w:t>
      </w:r>
      <w:r w:rsidR="00BB42E7">
        <w:rPr>
          <w:rFonts w:ascii="Garamond" w:hAnsi="Garamond"/>
        </w:rPr>
        <w:t>P</w:t>
      </w:r>
      <w:r w:rsidRPr="00FB24B7">
        <w:rPr>
          <w:rFonts w:ascii="Garamond" w:hAnsi="Garamond"/>
        </w:rPr>
        <w:t>aper’)</w:t>
      </w:r>
    </w:p>
  </w:footnote>
  <w:footnote w:id="3">
    <w:p w:rsidR="004C7116" w:rsidRPr="00FB24B7" w:rsidRDefault="004C7116">
      <w:pPr>
        <w:pStyle w:val="FootnoteText"/>
        <w:rPr>
          <w:rFonts w:ascii="Garamond" w:hAnsi="Garamond"/>
        </w:rPr>
      </w:pPr>
      <w:r w:rsidRPr="00FB24B7">
        <w:rPr>
          <w:rStyle w:val="FootnoteReference"/>
          <w:rFonts w:ascii="Garamond" w:hAnsi="Garamond"/>
        </w:rPr>
        <w:footnoteRef/>
      </w:r>
      <w:r w:rsidRPr="00FB24B7">
        <w:rPr>
          <w:rFonts w:ascii="Garamond" w:hAnsi="Garamond"/>
        </w:rPr>
        <w:t xml:space="preserve"> My research was carried out on all publicly available </w:t>
      </w:r>
      <w:r w:rsidR="00BB42E7">
        <w:rPr>
          <w:rFonts w:ascii="Garamond" w:hAnsi="Garamond"/>
        </w:rPr>
        <w:t>N</w:t>
      </w:r>
      <w:r w:rsidR="00E7028E" w:rsidRPr="00FB24B7">
        <w:rPr>
          <w:rFonts w:ascii="Garamond" w:hAnsi="Garamond"/>
        </w:rPr>
        <w:t>D</w:t>
      </w:r>
      <w:r w:rsidR="00BB42E7">
        <w:rPr>
          <w:rFonts w:ascii="Garamond" w:hAnsi="Garamond"/>
        </w:rPr>
        <w:t>I</w:t>
      </w:r>
      <w:r w:rsidR="00E7028E" w:rsidRPr="00FB24B7">
        <w:rPr>
          <w:rFonts w:ascii="Garamond" w:hAnsi="Garamond"/>
        </w:rPr>
        <w:t xml:space="preserve">S </w:t>
      </w:r>
      <w:r w:rsidRPr="00FB24B7">
        <w:rPr>
          <w:rFonts w:ascii="Garamond" w:hAnsi="Garamond"/>
        </w:rPr>
        <w:t xml:space="preserve">cases </w:t>
      </w:r>
      <w:r w:rsidR="007F4626" w:rsidRPr="00FB24B7">
        <w:rPr>
          <w:rFonts w:ascii="Garamond" w:hAnsi="Garamond"/>
        </w:rPr>
        <w:t xml:space="preserve">on AUSTLII </w:t>
      </w:r>
      <w:r w:rsidR="00AD42D9" w:rsidRPr="00FB24B7">
        <w:rPr>
          <w:rFonts w:ascii="Garamond" w:hAnsi="Garamond"/>
        </w:rPr>
        <w:t>(</w:t>
      </w:r>
      <w:hyperlink r:id="rId2" w:history="1">
        <w:r w:rsidR="00AD42D9" w:rsidRPr="00FB24B7">
          <w:rPr>
            <w:rStyle w:val="Hyperlink"/>
            <w:rFonts w:ascii="Garamond" w:hAnsi="Garamond"/>
          </w:rPr>
          <w:t>http://www.austlii.edu.au/</w:t>
        </w:r>
      </w:hyperlink>
      <w:r w:rsidR="00AD42D9" w:rsidRPr="00FB24B7">
        <w:rPr>
          <w:rFonts w:ascii="Garamond" w:hAnsi="Garamond"/>
        </w:rPr>
        <w:t xml:space="preserve">) </w:t>
      </w:r>
      <w:r w:rsidR="00E7028E" w:rsidRPr="00FB24B7">
        <w:rPr>
          <w:rFonts w:ascii="Garamond" w:hAnsi="Garamond"/>
        </w:rPr>
        <w:t>decided</w:t>
      </w:r>
      <w:r w:rsidRPr="00FB24B7">
        <w:rPr>
          <w:rFonts w:ascii="Garamond" w:hAnsi="Garamond"/>
        </w:rPr>
        <w:t xml:space="preserve"> in the AAT or Federal Court since the commencement</w:t>
      </w:r>
      <w:r w:rsidR="00E7028E" w:rsidRPr="00FB24B7">
        <w:rPr>
          <w:rFonts w:ascii="Garamond" w:hAnsi="Garamond"/>
        </w:rPr>
        <w:t xml:space="preserve"> of the NDIS. There have been 2 Federal Court cases and</w:t>
      </w:r>
      <w:r w:rsidRPr="00FB24B7">
        <w:rPr>
          <w:rFonts w:ascii="Garamond" w:hAnsi="Garamond"/>
        </w:rPr>
        <w:t xml:space="preserve"> </w:t>
      </w:r>
      <w:r w:rsidR="00E7028E" w:rsidRPr="00FB24B7">
        <w:rPr>
          <w:rFonts w:ascii="Garamond" w:hAnsi="Garamond"/>
        </w:rPr>
        <w:t xml:space="preserve">19 </w:t>
      </w:r>
      <w:r w:rsidR="00113E7C" w:rsidRPr="00FB24B7">
        <w:rPr>
          <w:rFonts w:ascii="Garamond" w:hAnsi="Garamond"/>
        </w:rPr>
        <w:t xml:space="preserve">AAT </w:t>
      </w:r>
      <w:r w:rsidRPr="00FB24B7">
        <w:rPr>
          <w:rFonts w:ascii="Garamond" w:hAnsi="Garamond"/>
        </w:rPr>
        <w:t xml:space="preserve">cases </w:t>
      </w:r>
      <w:r w:rsidR="00113E7C" w:rsidRPr="00FB24B7">
        <w:rPr>
          <w:rFonts w:ascii="Garamond" w:hAnsi="Garamond"/>
        </w:rPr>
        <w:t xml:space="preserve">related to the NDIS </w:t>
      </w:r>
      <w:r w:rsidR="00E7028E" w:rsidRPr="00FB24B7">
        <w:rPr>
          <w:rFonts w:ascii="Garamond" w:hAnsi="Garamond"/>
        </w:rPr>
        <w:t xml:space="preserve">decided </w:t>
      </w:r>
      <w:r w:rsidRPr="00FB24B7">
        <w:rPr>
          <w:rFonts w:ascii="Garamond" w:hAnsi="Garamond"/>
        </w:rPr>
        <w:t>since 2014.</w:t>
      </w:r>
    </w:p>
  </w:footnote>
  <w:footnote w:id="4">
    <w:p w:rsidR="00113E7C" w:rsidRPr="00FB24B7" w:rsidRDefault="00113E7C">
      <w:pPr>
        <w:pStyle w:val="FootnoteText"/>
        <w:rPr>
          <w:rFonts w:ascii="Garamond" w:hAnsi="Garamond"/>
        </w:rPr>
      </w:pPr>
      <w:r w:rsidRPr="00FB24B7">
        <w:rPr>
          <w:rStyle w:val="FootnoteReference"/>
          <w:rFonts w:ascii="Garamond" w:hAnsi="Garamond"/>
        </w:rPr>
        <w:footnoteRef/>
      </w:r>
      <w:r w:rsidRPr="00FB24B7">
        <w:rPr>
          <w:rFonts w:ascii="Garamond" w:hAnsi="Garamond"/>
        </w:rPr>
        <w:t xml:space="preserve"> </w:t>
      </w:r>
      <w:r w:rsidR="008E3809" w:rsidRPr="00FB24B7">
        <w:rPr>
          <w:rFonts w:ascii="Garamond" w:hAnsi="Garamond"/>
        </w:rPr>
        <w:t xml:space="preserve">The </w:t>
      </w:r>
      <w:r w:rsidR="00E339DB" w:rsidRPr="00FB24B7">
        <w:rPr>
          <w:rFonts w:ascii="Garamond" w:hAnsi="Garamond"/>
        </w:rPr>
        <w:t>P</w:t>
      </w:r>
      <w:r w:rsidR="008E3809" w:rsidRPr="00FB24B7">
        <w:rPr>
          <w:rFonts w:ascii="Garamond" w:hAnsi="Garamond"/>
        </w:rPr>
        <w:t xml:space="preserve">osition </w:t>
      </w:r>
      <w:r w:rsidR="00E339DB" w:rsidRPr="00FB24B7">
        <w:rPr>
          <w:rFonts w:ascii="Garamond" w:hAnsi="Garamond"/>
        </w:rPr>
        <w:t>P</w:t>
      </w:r>
      <w:r w:rsidR="008E3809" w:rsidRPr="00FB24B7">
        <w:rPr>
          <w:rFonts w:ascii="Garamond" w:hAnsi="Garamond"/>
        </w:rPr>
        <w:t xml:space="preserve">aper notes at </w:t>
      </w:r>
      <w:r w:rsidR="00E339DB" w:rsidRPr="00FB24B7">
        <w:rPr>
          <w:rFonts w:ascii="Garamond" w:hAnsi="Garamond"/>
        </w:rPr>
        <w:t xml:space="preserve">p </w:t>
      </w:r>
      <w:r w:rsidR="008E3809" w:rsidRPr="00FB24B7">
        <w:rPr>
          <w:rFonts w:ascii="Garamond" w:hAnsi="Garamond"/>
        </w:rPr>
        <w:t xml:space="preserve">306 that </w:t>
      </w:r>
      <w:r w:rsidR="00247055" w:rsidRPr="00FB24B7">
        <w:rPr>
          <w:rFonts w:ascii="Garamond" w:hAnsi="Garamond"/>
        </w:rPr>
        <w:t xml:space="preserve">as </w:t>
      </w:r>
      <w:r w:rsidR="008E3809" w:rsidRPr="00FB24B7">
        <w:rPr>
          <w:rFonts w:ascii="Garamond" w:hAnsi="Garamond"/>
        </w:rPr>
        <w:t>at 31 May 20</w:t>
      </w:r>
      <w:r w:rsidR="00AD42D9" w:rsidRPr="00FB24B7">
        <w:rPr>
          <w:rFonts w:ascii="Garamond" w:hAnsi="Garamond"/>
        </w:rPr>
        <w:t>1</w:t>
      </w:r>
      <w:r w:rsidR="008E3809" w:rsidRPr="00FB24B7">
        <w:rPr>
          <w:rFonts w:ascii="Garamond" w:hAnsi="Garamond"/>
        </w:rPr>
        <w:t>7 there had been 161 external appeals to the AAT. My search of</w:t>
      </w:r>
      <w:r w:rsidR="00E7028E" w:rsidRPr="00FB24B7">
        <w:rPr>
          <w:rFonts w:ascii="Garamond" w:hAnsi="Garamond"/>
        </w:rPr>
        <w:t xml:space="preserve"> AAT NDIS cases </w:t>
      </w:r>
      <w:r w:rsidR="00AD42D9" w:rsidRPr="00FB24B7">
        <w:rPr>
          <w:rFonts w:ascii="Garamond" w:hAnsi="Garamond"/>
        </w:rPr>
        <w:t xml:space="preserve">on AUSTLII </w:t>
      </w:r>
      <w:r w:rsidR="00E7028E" w:rsidRPr="00FB24B7">
        <w:rPr>
          <w:rFonts w:ascii="Garamond" w:hAnsi="Garamond"/>
        </w:rPr>
        <w:t xml:space="preserve">revealed only 19 </w:t>
      </w:r>
      <w:r w:rsidR="008E3809" w:rsidRPr="00FB24B7">
        <w:rPr>
          <w:rFonts w:ascii="Garamond" w:hAnsi="Garamond"/>
        </w:rPr>
        <w:t xml:space="preserve"> cases have been </w:t>
      </w:r>
      <w:r w:rsidR="00AD42D9" w:rsidRPr="00FB24B7">
        <w:rPr>
          <w:rFonts w:ascii="Garamond" w:hAnsi="Garamond"/>
        </w:rPr>
        <w:t>determined</w:t>
      </w:r>
      <w:r w:rsidR="008E3809" w:rsidRPr="00FB24B7">
        <w:rPr>
          <w:rFonts w:ascii="Garamond" w:hAnsi="Garamond"/>
        </w:rPr>
        <w:t xml:space="preserve"> by the AAT since 2014.</w:t>
      </w:r>
    </w:p>
  </w:footnote>
  <w:footnote w:id="5">
    <w:p w:rsidR="00E339DB" w:rsidRPr="00FB24B7" w:rsidRDefault="00E339DB">
      <w:pPr>
        <w:pStyle w:val="FootnoteText"/>
        <w:rPr>
          <w:rFonts w:ascii="Garamond" w:hAnsi="Garamond"/>
        </w:rPr>
      </w:pPr>
      <w:r w:rsidRPr="00FB24B7">
        <w:rPr>
          <w:rStyle w:val="FootnoteReference"/>
          <w:rFonts w:ascii="Garamond" w:hAnsi="Garamond"/>
        </w:rPr>
        <w:footnoteRef/>
      </w:r>
      <w:r w:rsidRPr="00FB24B7">
        <w:rPr>
          <w:rFonts w:ascii="Garamond" w:hAnsi="Garamond"/>
        </w:rPr>
        <w:t xml:space="preserve"> http://www.aat.gov.au/AAT/media/AAT/Files/Directions%20and%20guides/Practice-Direction-Review-of-National-Disability-Insurance-Scheme-Decisions.pdf</w:t>
      </w:r>
    </w:p>
  </w:footnote>
  <w:footnote w:id="6">
    <w:p w:rsidR="00247055" w:rsidRPr="00FB24B7" w:rsidRDefault="00247055">
      <w:pPr>
        <w:pStyle w:val="FootnoteText"/>
        <w:rPr>
          <w:rFonts w:ascii="Garamond" w:hAnsi="Garamond"/>
        </w:rPr>
      </w:pPr>
      <w:r w:rsidRPr="00FB24B7">
        <w:rPr>
          <w:rStyle w:val="FootnoteReference"/>
          <w:rFonts w:ascii="Garamond" w:hAnsi="Garamond"/>
        </w:rPr>
        <w:footnoteRef/>
      </w:r>
      <w:r w:rsidRPr="00FB24B7">
        <w:rPr>
          <w:rFonts w:ascii="Garamond" w:hAnsi="Garamond"/>
        </w:rPr>
        <w:t xml:space="preserve"> The AAT noted in its 2015-2016 Annual Report that ‘since the trial phase commenced on 1 July 2013, the NDIS has been rolled out to some 30,000 people. Over the three-year period to 30 June 2016, 85 applications have been lodged with the AAT and 58 applications finalised: 28 by parties reaching an agreement, seven finalised by way of a Tribunal decision following a hearing and 23 applications withdrawn or dismissed.’ </w:t>
      </w:r>
      <w:hyperlink r:id="rId3" w:history="1">
        <w:r w:rsidRPr="00FB24B7">
          <w:rPr>
            <w:rStyle w:val="Hyperlink"/>
            <w:rFonts w:ascii="Garamond" w:hAnsi="Garamond"/>
          </w:rPr>
          <w:t>http://www.aat.gov.au/AAT/media/AAT/Files/Reports/AR201516/AATAnnualReport2015-16-Chapter-3.pdf</w:t>
        </w:r>
      </w:hyperlink>
      <w:r w:rsidRPr="00FB24B7">
        <w:rPr>
          <w:rFonts w:ascii="Garamond" w:hAnsi="Garamond"/>
        </w:rPr>
        <w:t>, p 27.</w:t>
      </w:r>
    </w:p>
  </w:footnote>
  <w:footnote w:id="7">
    <w:p w:rsidR="007F4626" w:rsidRPr="00FB24B7" w:rsidRDefault="007F4626">
      <w:pPr>
        <w:pStyle w:val="FootnoteText"/>
        <w:rPr>
          <w:rFonts w:ascii="Garamond" w:hAnsi="Garamond"/>
        </w:rPr>
      </w:pPr>
      <w:r w:rsidRPr="00FB24B7">
        <w:rPr>
          <w:rStyle w:val="FootnoteReference"/>
          <w:rFonts w:ascii="Garamond" w:hAnsi="Garamond"/>
        </w:rPr>
        <w:footnoteRef/>
      </w:r>
      <w:r w:rsidRPr="00FB24B7">
        <w:rPr>
          <w:rFonts w:ascii="Garamond" w:hAnsi="Garamond"/>
        </w:rPr>
        <w:t xml:space="preserve"> Position Paper, p 306.</w:t>
      </w:r>
    </w:p>
  </w:footnote>
  <w:footnote w:id="8">
    <w:p w:rsidR="006C1DEC" w:rsidRPr="00BB42E7" w:rsidRDefault="006C1DEC">
      <w:pPr>
        <w:pStyle w:val="FootnoteText"/>
        <w:rPr>
          <w:rFonts w:ascii="Garamond" w:hAnsi="Garamond"/>
        </w:rPr>
      </w:pPr>
      <w:r w:rsidRPr="00FB24B7">
        <w:rPr>
          <w:rStyle w:val="FootnoteReference"/>
          <w:rFonts w:ascii="Garamond" w:hAnsi="Garamond"/>
        </w:rPr>
        <w:footnoteRef/>
      </w:r>
      <w:r w:rsidRPr="00FB24B7">
        <w:rPr>
          <w:rFonts w:ascii="Garamond" w:hAnsi="Garamond"/>
        </w:rPr>
        <w:t xml:space="preserve"> </w:t>
      </w:r>
      <w:r w:rsidRPr="00BB42E7">
        <w:rPr>
          <w:rFonts w:ascii="Garamond" w:hAnsi="Garamond"/>
          <w:i/>
        </w:rPr>
        <w:t>McGarrigle v National Disability Insurance Agency</w:t>
      </w:r>
      <w:r w:rsidRPr="00BB42E7">
        <w:rPr>
          <w:rFonts w:ascii="Garamond" w:hAnsi="Garamond"/>
        </w:rPr>
        <w:t xml:space="preserve"> [2017] FCA 308 (currently on appeal to the Full Federal Court); </w:t>
      </w:r>
      <w:r w:rsidRPr="00BB42E7">
        <w:rPr>
          <w:rFonts w:ascii="Garamond" w:hAnsi="Garamond"/>
          <w:i/>
        </w:rPr>
        <w:t>McGarrigle and National Disability Insurance Agency</w:t>
      </w:r>
      <w:r w:rsidRPr="00BB42E7">
        <w:rPr>
          <w:rFonts w:ascii="Garamond" w:hAnsi="Garamond"/>
        </w:rPr>
        <w:t xml:space="preserve"> [2016] AATA 498.</w:t>
      </w:r>
    </w:p>
  </w:footnote>
  <w:footnote w:id="9">
    <w:p w:rsidR="00AD42D9" w:rsidRPr="00FB24B7" w:rsidRDefault="00AD42D9">
      <w:pPr>
        <w:pStyle w:val="FootnoteText"/>
        <w:rPr>
          <w:rFonts w:ascii="Garamond" w:hAnsi="Garamond"/>
        </w:rPr>
      </w:pPr>
      <w:r w:rsidRPr="00FB24B7">
        <w:rPr>
          <w:rStyle w:val="FootnoteReference"/>
          <w:rFonts w:ascii="Garamond" w:hAnsi="Garamond"/>
        </w:rPr>
        <w:footnoteRef/>
      </w:r>
      <w:r w:rsidRPr="00FB24B7">
        <w:rPr>
          <w:rFonts w:ascii="Garamond" w:hAnsi="Garamond"/>
        </w:rPr>
        <w:t xml:space="preserve"> These are </w:t>
      </w:r>
      <w:r w:rsidR="00202B06" w:rsidRPr="00FB24B7">
        <w:rPr>
          <w:rFonts w:ascii="Garamond" w:hAnsi="Garamond"/>
        </w:rPr>
        <w:t>further</w:t>
      </w:r>
      <w:r w:rsidRPr="00FB24B7">
        <w:rPr>
          <w:rFonts w:ascii="Garamond" w:hAnsi="Garamond"/>
        </w:rPr>
        <w:t xml:space="preserve"> discussion of the emerging issues in relation to the review process  in the Position Paper, p 303-307.  </w:t>
      </w:r>
    </w:p>
  </w:footnote>
  <w:footnote w:id="10">
    <w:p w:rsidR="00FB24B7" w:rsidRPr="00FB24B7" w:rsidRDefault="00FB24B7">
      <w:pPr>
        <w:pStyle w:val="FootnoteText"/>
        <w:rPr>
          <w:rFonts w:ascii="Garamond" w:hAnsi="Garamond"/>
        </w:rPr>
      </w:pPr>
      <w:r w:rsidRPr="00FB24B7">
        <w:rPr>
          <w:rStyle w:val="FootnoteReference"/>
          <w:rFonts w:ascii="Garamond" w:hAnsi="Garamond"/>
        </w:rPr>
        <w:footnoteRef/>
      </w:r>
      <w:r w:rsidRPr="00FB24B7">
        <w:rPr>
          <w:rFonts w:ascii="Garamond" w:hAnsi="Garamond"/>
        </w:rPr>
        <w:t xml:space="preserve"> </w:t>
      </w:r>
      <w:r w:rsidRPr="00FB24B7">
        <w:rPr>
          <w:rFonts w:ascii="Garamond" w:hAnsi="Garamond"/>
          <w:i/>
        </w:rPr>
        <w:t>Nairn and National Disability Insurance Scheme Agency</w:t>
      </w:r>
      <w:r w:rsidRPr="00FB24B7">
        <w:rPr>
          <w:rFonts w:ascii="Garamond" w:hAnsi="Garamond"/>
        </w:rPr>
        <w:t xml:space="preserve"> [2017] AATA 242 (28 February 2017); </w:t>
      </w:r>
      <w:r w:rsidRPr="00FB24B7">
        <w:rPr>
          <w:rFonts w:ascii="Garamond" w:hAnsi="Garamond"/>
          <w:i/>
        </w:rPr>
        <w:t>Bridgland and National Disability Insurance Agency</w:t>
      </w:r>
      <w:r w:rsidRPr="00FB24B7">
        <w:rPr>
          <w:rFonts w:ascii="Garamond" w:hAnsi="Garamond"/>
        </w:rPr>
        <w:t xml:space="preserve"> [2017] AATA 69 (16 January 2017); </w:t>
      </w:r>
      <w:r w:rsidRPr="00FB24B7">
        <w:rPr>
          <w:rFonts w:ascii="Garamond" w:hAnsi="Garamond"/>
          <w:i/>
        </w:rPr>
        <w:t>Rodrigues and National Disability Insurance Agency</w:t>
      </w:r>
      <w:r w:rsidRPr="00FB24B7">
        <w:rPr>
          <w:rFonts w:ascii="Garamond" w:hAnsi="Garamond"/>
        </w:rPr>
        <w:t xml:space="preserve"> [2016] AATA 1095 (20 December 2016); </w:t>
      </w:r>
      <w:r w:rsidRPr="00FB24B7">
        <w:rPr>
          <w:rFonts w:ascii="Garamond" w:hAnsi="Garamond"/>
          <w:i/>
        </w:rPr>
        <w:t>QQNH and National Disability Insurance Agency</w:t>
      </w:r>
      <w:r w:rsidRPr="00FB24B7">
        <w:rPr>
          <w:rFonts w:ascii="Garamond" w:hAnsi="Garamond"/>
        </w:rPr>
        <w:t xml:space="preserve"> [2016] AATA 220 (23 February 2016); </w:t>
      </w:r>
      <w:r w:rsidRPr="00FB24B7">
        <w:rPr>
          <w:rFonts w:ascii="Garamond" w:hAnsi="Garamond"/>
          <w:i/>
        </w:rPr>
        <w:t>Burston and National Disability Insurance Agency</w:t>
      </w:r>
      <w:r w:rsidRPr="00FB24B7">
        <w:rPr>
          <w:rFonts w:ascii="Garamond" w:hAnsi="Garamond"/>
        </w:rPr>
        <w:t xml:space="preserve"> [2014] AATA 456 (4 July 2014)</w:t>
      </w:r>
    </w:p>
  </w:footnote>
  <w:footnote w:id="11">
    <w:p w:rsidR="00D44544" w:rsidRPr="00FB24B7" w:rsidRDefault="00D44544">
      <w:pPr>
        <w:pStyle w:val="FootnoteText"/>
        <w:rPr>
          <w:rFonts w:ascii="Garamond" w:hAnsi="Garamond"/>
        </w:rPr>
      </w:pPr>
      <w:r w:rsidRPr="00FB24B7">
        <w:rPr>
          <w:rStyle w:val="FootnoteReference"/>
          <w:rFonts w:ascii="Garamond" w:hAnsi="Garamond"/>
        </w:rPr>
        <w:footnoteRef/>
      </w:r>
      <w:r w:rsidRPr="00FB24B7">
        <w:rPr>
          <w:rFonts w:ascii="Garamond" w:hAnsi="Garamond"/>
        </w:rPr>
        <w:t xml:space="preserve"> https://www.ndis.gov.au/document/participant-transport-funding-informati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4E7D"/>
    <w:multiLevelType w:val="hybridMultilevel"/>
    <w:tmpl w:val="9530F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100191"/>
    <w:multiLevelType w:val="hybridMultilevel"/>
    <w:tmpl w:val="682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0A275D"/>
    <w:multiLevelType w:val="hybridMultilevel"/>
    <w:tmpl w:val="D21887E8"/>
    <w:lvl w:ilvl="0" w:tplc="8A78C64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FF1E44"/>
    <w:multiLevelType w:val="hybridMultilevel"/>
    <w:tmpl w:val="47C85824"/>
    <w:lvl w:ilvl="0" w:tplc="759EB6F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E67B42"/>
    <w:multiLevelType w:val="hybridMultilevel"/>
    <w:tmpl w:val="2564CB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6933F7"/>
    <w:multiLevelType w:val="hybridMultilevel"/>
    <w:tmpl w:val="9600E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9C3526"/>
    <w:multiLevelType w:val="hybridMultilevel"/>
    <w:tmpl w:val="6F6861A8"/>
    <w:lvl w:ilvl="0" w:tplc="0C090013">
      <w:start w:val="1"/>
      <w:numFmt w:val="upperRoman"/>
      <w:lvlText w:val="%1."/>
      <w:lvlJc w:val="right"/>
      <w:pPr>
        <w:ind w:left="720" w:hanging="360"/>
      </w:pPr>
    </w:lvl>
    <w:lvl w:ilvl="1" w:tplc="DF320300">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64162E9"/>
    <w:multiLevelType w:val="hybridMultilevel"/>
    <w:tmpl w:val="7C3C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D1"/>
    <w:rsid w:val="00012651"/>
    <w:rsid w:val="00015517"/>
    <w:rsid w:val="000218D1"/>
    <w:rsid w:val="000924FC"/>
    <w:rsid w:val="00096F6E"/>
    <w:rsid w:val="00113E7C"/>
    <w:rsid w:val="001A34A6"/>
    <w:rsid w:val="00202B06"/>
    <w:rsid w:val="002219D8"/>
    <w:rsid w:val="00247055"/>
    <w:rsid w:val="002755CC"/>
    <w:rsid w:val="00306053"/>
    <w:rsid w:val="00321469"/>
    <w:rsid w:val="003347D6"/>
    <w:rsid w:val="00336FA2"/>
    <w:rsid w:val="00366341"/>
    <w:rsid w:val="004272E1"/>
    <w:rsid w:val="00431F52"/>
    <w:rsid w:val="00461B28"/>
    <w:rsid w:val="004C7116"/>
    <w:rsid w:val="004D7578"/>
    <w:rsid w:val="00503534"/>
    <w:rsid w:val="0050691A"/>
    <w:rsid w:val="005640B8"/>
    <w:rsid w:val="005B12BF"/>
    <w:rsid w:val="00607950"/>
    <w:rsid w:val="00622F5A"/>
    <w:rsid w:val="00632BEA"/>
    <w:rsid w:val="006A12F7"/>
    <w:rsid w:val="006C1DEC"/>
    <w:rsid w:val="00760051"/>
    <w:rsid w:val="007D7AAD"/>
    <w:rsid w:val="007F17D3"/>
    <w:rsid w:val="007F4626"/>
    <w:rsid w:val="008127FC"/>
    <w:rsid w:val="00841A0D"/>
    <w:rsid w:val="008A7BFF"/>
    <w:rsid w:val="008E3809"/>
    <w:rsid w:val="009059BB"/>
    <w:rsid w:val="00923ADB"/>
    <w:rsid w:val="00935CB6"/>
    <w:rsid w:val="0098462A"/>
    <w:rsid w:val="009B11D0"/>
    <w:rsid w:val="009D4A59"/>
    <w:rsid w:val="00A60699"/>
    <w:rsid w:val="00AD42D9"/>
    <w:rsid w:val="00AE1A9F"/>
    <w:rsid w:val="00BA118C"/>
    <w:rsid w:val="00BB0409"/>
    <w:rsid w:val="00BB42E7"/>
    <w:rsid w:val="00BD1DA4"/>
    <w:rsid w:val="00C13854"/>
    <w:rsid w:val="00C72354"/>
    <w:rsid w:val="00C84870"/>
    <w:rsid w:val="00D44544"/>
    <w:rsid w:val="00D7216D"/>
    <w:rsid w:val="00D910C1"/>
    <w:rsid w:val="00DA0512"/>
    <w:rsid w:val="00DA08CD"/>
    <w:rsid w:val="00E339DB"/>
    <w:rsid w:val="00E7028E"/>
    <w:rsid w:val="00EE0B04"/>
    <w:rsid w:val="00F95F07"/>
    <w:rsid w:val="00FB194E"/>
    <w:rsid w:val="00FB24B7"/>
    <w:rsid w:val="00FF0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A875A-0252-44A7-91C9-8819A87A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A9F"/>
    <w:pPr>
      <w:ind w:left="720"/>
      <w:contextualSpacing/>
    </w:pPr>
  </w:style>
  <w:style w:type="paragraph" w:styleId="FootnoteText">
    <w:name w:val="footnote text"/>
    <w:basedOn w:val="Normal"/>
    <w:link w:val="FootnoteTextChar"/>
    <w:uiPriority w:val="99"/>
    <w:semiHidden/>
    <w:unhideWhenUsed/>
    <w:rsid w:val="00AE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A9F"/>
    <w:rPr>
      <w:sz w:val="20"/>
      <w:szCs w:val="20"/>
    </w:rPr>
  </w:style>
  <w:style w:type="character" w:styleId="FootnoteReference">
    <w:name w:val="footnote reference"/>
    <w:basedOn w:val="DefaultParagraphFont"/>
    <w:uiPriority w:val="99"/>
    <w:semiHidden/>
    <w:unhideWhenUsed/>
    <w:rsid w:val="00AE1A9F"/>
    <w:rPr>
      <w:vertAlign w:val="superscript"/>
    </w:rPr>
  </w:style>
  <w:style w:type="paragraph" w:styleId="BalloonText">
    <w:name w:val="Balloon Text"/>
    <w:basedOn w:val="Normal"/>
    <w:link w:val="BalloonTextChar"/>
    <w:uiPriority w:val="99"/>
    <w:semiHidden/>
    <w:unhideWhenUsed/>
    <w:rsid w:val="0050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34"/>
    <w:rPr>
      <w:rFonts w:ascii="Tahoma" w:hAnsi="Tahoma" w:cs="Tahoma"/>
      <w:sz w:val="16"/>
      <w:szCs w:val="16"/>
    </w:rPr>
  </w:style>
  <w:style w:type="character" w:styleId="Hyperlink">
    <w:name w:val="Hyperlink"/>
    <w:basedOn w:val="DefaultParagraphFont"/>
    <w:uiPriority w:val="99"/>
    <w:unhideWhenUsed/>
    <w:rsid w:val="00DA0512"/>
    <w:rPr>
      <w:color w:val="0000FF" w:themeColor="hyperlink"/>
      <w:u w:val="single"/>
    </w:rPr>
  </w:style>
  <w:style w:type="character" w:styleId="FollowedHyperlink">
    <w:name w:val="FollowedHyperlink"/>
    <w:basedOn w:val="DefaultParagraphFont"/>
    <w:uiPriority w:val="99"/>
    <w:semiHidden/>
    <w:unhideWhenUsed/>
    <w:rsid w:val="0050691A"/>
    <w:rPr>
      <w:color w:val="800080" w:themeColor="followedHyperlink"/>
      <w:u w:val="single"/>
    </w:rPr>
  </w:style>
  <w:style w:type="paragraph" w:styleId="Header">
    <w:name w:val="header"/>
    <w:basedOn w:val="Normal"/>
    <w:link w:val="HeaderChar"/>
    <w:uiPriority w:val="99"/>
    <w:unhideWhenUsed/>
    <w:rsid w:val="00334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7D6"/>
  </w:style>
  <w:style w:type="paragraph" w:styleId="Footer">
    <w:name w:val="footer"/>
    <w:basedOn w:val="Normal"/>
    <w:link w:val="FooterChar"/>
    <w:uiPriority w:val="99"/>
    <w:unhideWhenUsed/>
    <w:rsid w:val="00334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aat.gov.au/AAT/media/AAT/Files/Reports/AR201516/AATAnnualReport2015-16-Chapter-3.pdf" TargetMode="External"/><Relationship Id="rId2" Type="http://schemas.openxmlformats.org/officeDocument/2006/relationships/hyperlink" Target="http://www.austlii.edu.au/" TargetMode="External"/><Relationship Id="rId1" Type="http://schemas.openxmlformats.org/officeDocument/2006/relationships/hyperlink" Target="http://www.pc.gov.au/inquiries/current/ndis-costs/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983E2-93D5-49E9-8DD9-FA2D1327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5</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Submission PP315 - Kylie Burns - National Disability Insurance Scheme (NDIS) Costs - Commissioned study</vt:lpstr>
    </vt:vector>
  </TitlesOfParts>
  <Company/>
  <LinksUpToDate>false</LinksUpToDate>
  <CharactersWithSpaces>12213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PP315 - Kylie Burns - National Disability Insurance Scheme (NDIS) Costs - Commissioned study</dc:title>
  <dc:creator>Kylie Burns</dc:creator>
  <cp:lastModifiedBy>Pimperl, Mark</cp:lastModifiedBy>
  <cp:revision>13</cp:revision>
  <dcterms:created xsi:type="dcterms:W3CDTF">2017-07-11T01:40:00Z</dcterms:created>
  <dcterms:modified xsi:type="dcterms:W3CDTF">2017-07-17T03:56:00Z</dcterms:modified>
</cp:coreProperties>
</file>