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98DCBD" w14:textId="3D032354" w:rsidR="00A15368" w:rsidRDefault="00F67AEB" w:rsidP="00D07AB5">
      <w:pPr>
        <w:pStyle w:val="Title"/>
        <w:rPr>
          <w:rStyle w:val="TitleChar"/>
          <w:b/>
        </w:rPr>
      </w:pPr>
      <w:sdt>
        <w:sdtPr>
          <w:rPr>
            <w:rStyle w:val="TitleChar"/>
            <w:b/>
          </w:rPr>
          <w:alias w:val="Title"/>
          <w:tag w:val=""/>
          <w:id w:val="-749429962"/>
          <w:placeholder>
            <w:docPart w:val="29B7FB84D51C4424ADE55B04280229E4"/>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Pr>
              <w:rStyle w:val="TitleChar"/>
              <w:b/>
            </w:rPr>
            <w:t>Submission 29 - Reserve Bank of Australia (RBA) - Competition in the Australian Financial System - Public inquiry</w:t>
          </w:r>
        </w:sdtContent>
      </w:sdt>
    </w:p>
    <w:p w14:paraId="5098DCBE" w14:textId="77777777" w:rsidR="00D03C5E" w:rsidRPr="00D03C5E" w:rsidRDefault="00490081" w:rsidP="00D03C5E">
      <w:pPr>
        <w:pStyle w:val="Subtitle"/>
      </w:pPr>
      <w:r>
        <w:t>Submission to the Productivity Commission Inquiry</w:t>
      </w:r>
    </w:p>
    <w:p w14:paraId="5098DCBF" w14:textId="77777777" w:rsidR="00C715AE" w:rsidRDefault="00F67AEB" w:rsidP="00942586">
      <w:pPr>
        <w:pStyle w:val="Subtitle"/>
        <w:tabs>
          <w:tab w:val="right" w:pos="8720"/>
        </w:tabs>
        <w:jc w:val="left"/>
      </w:pPr>
      <w:sdt>
        <w:sdtPr>
          <w:alias w:val="RBA_Draft"/>
          <w:tag w:val="RBA_Draft"/>
          <w:id w:val="-185518148"/>
          <w:placeholder>
            <w:docPart w:val="F9D0D1D3574249A6A812E2F3A6660920"/>
          </w:placeholder>
          <w:text/>
        </w:sdtPr>
        <w:sdtEndPr/>
        <w:sdtContent>
          <w:r w:rsidR="002019B8">
            <w:t xml:space="preserve"> </w:t>
          </w:r>
        </w:sdtContent>
      </w:sdt>
      <w:r w:rsidR="002019B8">
        <w:tab/>
      </w:r>
      <w:sdt>
        <w:sdtPr>
          <w:alias w:val="RBA_Date"/>
          <w:tag w:val="RBA_Date"/>
          <w:id w:val="-1113744285"/>
          <w:placeholder>
            <w:docPart w:val="85BC8E3006C846699516C754671D70B8"/>
          </w:placeholder>
          <w:date w:fullDate="2017-09-15T00:00:00Z">
            <w:dateFormat w:val="MMMM yyyy"/>
            <w:lid w:val="en-AU"/>
            <w:storeMappedDataAs w:val="dateTime"/>
            <w:calendar w:val="gregorian"/>
          </w:date>
        </w:sdtPr>
        <w:sdtEndPr/>
        <w:sdtContent>
          <w:r w:rsidR="00490081">
            <w:t>September 2017</w:t>
          </w:r>
        </w:sdtContent>
      </w:sdt>
    </w:p>
    <w:p w14:paraId="5098DCC0" w14:textId="057C10D2" w:rsidR="00490081" w:rsidRPr="00490081" w:rsidRDefault="00490081" w:rsidP="00160D25">
      <w:pPr>
        <w:pStyle w:val="Heading1"/>
        <w:numPr>
          <w:ilvl w:val="0"/>
          <w:numId w:val="39"/>
        </w:numPr>
      </w:pPr>
      <w:r>
        <w:t>Introduction</w:t>
      </w:r>
    </w:p>
    <w:p w14:paraId="2E4D6223" w14:textId="57887069" w:rsidR="00EC3294" w:rsidRDefault="00126D20" w:rsidP="00490081">
      <w:pPr>
        <w:pStyle w:val="BodyText"/>
      </w:pPr>
      <w:r>
        <w:t xml:space="preserve">The Reserve Bank welcomes the opportunity to provide a submission to the Productivity Commission’s Inquiry into Competition in the Financial System. </w:t>
      </w:r>
      <w:r w:rsidR="00C10D64">
        <w:t>T</w:t>
      </w:r>
      <w:r>
        <w:t xml:space="preserve">he scope of the </w:t>
      </w:r>
      <w:r w:rsidR="00940487">
        <w:t>T</w:t>
      </w:r>
      <w:r>
        <w:t xml:space="preserve">erms of </w:t>
      </w:r>
      <w:r w:rsidR="00940487">
        <w:t>R</w:t>
      </w:r>
      <w:r>
        <w:t>efe</w:t>
      </w:r>
      <w:r w:rsidR="00940487">
        <w:t>re</w:t>
      </w:r>
      <w:r>
        <w:t>nce is broad</w:t>
      </w:r>
      <w:r w:rsidR="00C10D64">
        <w:t xml:space="preserve"> and so</w:t>
      </w:r>
      <w:r>
        <w:t xml:space="preserve"> this submission focuses on those areas </w:t>
      </w:r>
      <w:r w:rsidR="00F96937">
        <w:t>that most closely relate to the Bank’s mandate</w:t>
      </w:r>
      <w:r>
        <w:t>. In particular</w:t>
      </w:r>
      <w:r w:rsidR="007648CA">
        <w:t>,</w:t>
      </w:r>
      <w:r>
        <w:t xml:space="preserve"> it </w:t>
      </w:r>
      <w:r w:rsidR="008E58F1">
        <w:t xml:space="preserve">largely </w:t>
      </w:r>
      <w:r>
        <w:t xml:space="preserve">draws on </w:t>
      </w:r>
      <w:r w:rsidR="008E58F1">
        <w:t>a view of</w:t>
      </w:r>
      <w:r w:rsidR="00F96937">
        <w:t xml:space="preserve"> the financial system </w:t>
      </w:r>
      <w:r w:rsidR="008E58F1">
        <w:t xml:space="preserve">gained </w:t>
      </w:r>
      <w:r w:rsidR="00F96937">
        <w:t>by the Bank through its monitoring of</w:t>
      </w:r>
      <w:r>
        <w:t xml:space="preserve"> </w:t>
      </w:r>
      <w:r w:rsidR="00940487">
        <w:t xml:space="preserve">financial intermediation </w:t>
      </w:r>
      <w:r w:rsidR="00F96937">
        <w:t>and</w:t>
      </w:r>
      <w:r w:rsidR="00940487">
        <w:t xml:space="preserve"> </w:t>
      </w:r>
      <w:r>
        <w:t>the prom</w:t>
      </w:r>
      <w:r w:rsidR="00AA7097">
        <w:t>otion of financial stability. As</w:t>
      </w:r>
      <w:r>
        <w:t xml:space="preserve"> a consequence, the focus of </w:t>
      </w:r>
      <w:r w:rsidR="008E58F1">
        <w:t xml:space="preserve">much of the submission is </w:t>
      </w:r>
      <w:r w:rsidR="00AA7097">
        <w:t>the banking system</w:t>
      </w:r>
      <w:r w:rsidR="00C10D64">
        <w:t xml:space="preserve"> as a whole</w:t>
      </w:r>
      <w:r w:rsidR="00AA7097">
        <w:t xml:space="preserve">. </w:t>
      </w:r>
      <w:r w:rsidR="00EC3294">
        <w:t xml:space="preserve">In line with the specific markets highlighted in the Terms of Reference, the submission examines mortgage lending, consumer deposits and </w:t>
      </w:r>
      <w:r w:rsidR="0024589B">
        <w:t>small and medium enterprise (</w:t>
      </w:r>
      <w:r w:rsidR="00EC3294">
        <w:t>SME</w:t>
      </w:r>
      <w:r w:rsidR="0024589B">
        <w:t>)</w:t>
      </w:r>
      <w:r w:rsidR="00EC3294">
        <w:t xml:space="preserve"> lending in more detail. </w:t>
      </w:r>
    </w:p>
    <w:p w14:paraId="5098DCC1" w14:textId="2E028502" w:rsidR="00490081" w:rsidRDefault="00AA7097" w:rsidP="00490081">
      <w:pPr>
        <w:pStyle w:val="BodyText"/>
      </w:pPr>
      <w:r>
        <w:t>The Bank (and its Payments System Board) is also the primary regulator of the payments system in Australia. The submission provides some perspectives on competition in the payments system</w:t>
      </w:r>
      <w:r w:rsidR="00EC3294">
        <w:t xml:space="preserve"> and describes the Bank’s activities in this area</w:t>
      </w:r>
      <w:r>
        <w:t>.</w:t>
      </w:r>
    </w:p>
    <w:p w14:paraId="04633C1F" w14:textId="369410F4" w:rsidR="00AA7097" w:rsidRDefault="00940487" w:rsidP="00490081">
      <w:pPr>
        <w:pStyle w:val="BodyText"/>
      </w:pPr>
      <w:r>
        <w:t>T</w:t>
      </w:r>
      <w:r w:rsidR="00AA7097">
        <w:t xml:space="preserve">he </w:t>
      </w:r>
      <w:r w:rsidR="00D02B35">
        <w:t xml:space="preserve">Australian banking system is relatively concentrated by international standards, but in line with countries such as Canada and Sweden. The </w:t>
      </w:r>
      <w:r w:rsidR="00AA7097">
        <w:t>major Australian banks are more profitable tha</w:t>
      </w:r>
      <w:r w:rsidR="004451D4">
        <w:t>n</w:t>
      </w:r>
      <w:r w:rsidR="00AA7097">
        <w:t xml:space="preserve"> many of their peers internationally, though </w:t>
      </w:r>
      <w:r w:rsidR="00F96937">
        <w:t xml:space="preserve">this </w:t>
      </w:r>
      <w:r w:rsidR="008E5591">
        <w:t xml:space="preserve">partly </w:t>
      </w:r>
      <w:r w:rsidR="00D02B35">
        <w:t>reflect</w:t>
      </w:r>
      <w:r w:rsidR="008E5591">
        <w:t>s</w:t>
      </w:r>
      <w:r w:rsidR="00AA7097">
        <w:t xml:space="preserve"> </w:t>
      </w:r>
      <w:r w:rsidR="004A7B8A">
        <w:t>the more favourable economic conditions that prevailed in Australia</w:t>
      </w:r>
      <w:r w:rsidR="00AA7097">
        <w:t xml:space="preserve"> </w:t>
      </w:r>
      <w:r w:rsidR="004A7B8A">
        <w:t xml:space="preserve">in the period following the </w:t>
      </w:r>
      <w:r w:rsidR="00AA7097">
        <w:t xml:space="preserve">global financial crisis and a </w:t>
      </w:r>
      <w:r w:rsidR="00E4680C" w:rsidRPr="00E4680C">
        <w:t>comparatively simple asset mix</w:t>
      </w:r>
      <w:r w:rsidR="00E4680C">
        <w:t xml:space="preserve">, with </w:t>
      </w:r>
      <w:r w:rsidR="00E4680C" w:rsidRPr="00E4680C">
        <w:t>lower exposure to trading and institutional bank</w:t>
      </w:r>
      <w:r w:rsidR="00E4680C">
        <w:t>ing</w:t>
      </w:r>
      <w:r w:rsidR="00AA7097">
        <w:t xml:space="preserve">. </w:t>
      </w:r>
      <w:r w:rsidR="00E02A36">
        <w:t>Net interest margins are</w:t>
      </w:r>
      <w:r w:rsidR="00D33194">
        <w:t>,</w:t>
      </w:r>
      <w:r w:rsidR="00E02A36">
        <w:t xml:space="preserve"> however</w:t>
      </w:r>
      <w:r w:rsidR="00D33194">
        <w:t>,</w:t>
      </w:r>
      <w:r w:rsidR="00E02A36">
        <w:t xml:space="preserve"> higher than in a number of other countries. </w:t>
      </w:r>
      <w:r w:rsidR="001347EF">
        <w:t xml:space="preserve">On some measures, </w:t>
      </w:r>
      <w:r w:rsidR="004A7B8A">
        <w:t>t</w:t>
      </w:r>
      <w:r w:rsidR="00D02B35">
        <w:t>he Australian banks</w:t>
      </w:r>
      <w:r w:rsidR="00EC3294">
        <w:t xml:space="preserve"> </w:t>
      </w:r>
      <w:r w:rsidR="00D02B35">
        <w:t xml:space="preserve">also appear to </w:t>
      </w:r>
      <w:r w:rsidR="00EC3294">
        <w:t>operate more efficiently</w:t>
      </w:r>
      <w:r w:rsidR="00D02B35">
        <w:t xml:space="preserve"> than many overseas banks</w:t>
      </w:r>
      <w:r w:rsidR="00EC3294">
        <w:t>.</w:t>
      </w:r>
      <w:r w:rsidR="00F96937">
        <w:t xml:space="preserve"> </w:t>
      </w:r>
    </w:p>
    <w:p w14:paraId="5B25F644" w14:textId="4D7ABDDB" w:rsidR="00E02A36" w:rsidRDefault="00E02A36" w:rsidP="00490081">
      <w:pPr>
        <w:pStyle w:val="BodyText"/>
      </w:pPr>
      <w:r>
        <w:t xml:space="preserve">The major banks have generally been more profitable than smaller authorised deposit-taking institutions (ADIs) since the global financial crisis, but the gap has narrowed recently. This partly reflects </w:t>
      </w:r>
      <w:r w:rsidR="00431EB2">
        <w:t xml:space="preserve">the lower </w:t>
      </w:r>
      <w:r>
        <w:t>funding cost</w:t>
      </w:r>
      <w:r w:rsidR="00431EB2">
        <w:t>s</w:t>
      </w:r>
      <w:r>
        <w:t xml:space="preserve"> </w:t>
      </w:r>
      <w:r w:rsidR="006D3C8A">
        <w:t>of</w:t>
      </w:r>
      <w:r>
        <w:t xml:space="preserve"> the major banks, </w:t>
      </w:r>
      <w:r w:rsidR="005A53F6">
        <w:t xml:space="preserve">with the </w:t>
      </w:r>
      <w:r w:rsidR="00431EB2">
        <w:t xml:space="preserve">difference </w:t>
      </w:r>
      <w:r w:rsidR="005A53F6">
        <w:t xml:space="preserve">narrowing </w:t>
      </w:r>
      <w:r w:rsidR="00431EB2">
        <w:t xml:space="preserve">recently </w:t>
      </w:r>
      <w:r>
        <w:t xml:space="preserve">through a combination of an easing in </w:t>
      </w:r>
      <w:r w:rsidR="00B55376">
        <w:t xml:space="preserve">financial </w:t>
      </w:r>
      <w:r>
        <w:t>conditions and regulatory changes.</w:t>
      </w:r>
    </w:p>
    <w:p w14:paraId="0C310B30" w14:textId="7F1C4856" w:rsidR="00E02A36" w:rsidRDefault="006D3C8A" w:rsidP="00490081">
      <w:pPr>
        <w:pStyle w:val="BodyText"/>
      </w:pPr>
      <w:r>
        <w:t>Competitive influences and conditions vary from market to market. In particular:</w:t>
      </w:r>
    </w:p>
    <w:p w14:paraId="5C6DE5F8" w14:textId="3BBF828F" w:rsidR="006D3C8A" w:rsidRDefault="00AF5BDE" w:rsidP="00543236">
      <w:pPr>
        <w:pStyle w:val="BodyText"/>
        <w:numPr>
          <w:ilvl w:val="0"/>
          <w:numId w:val="53"/>
        </w:numPr>
        <w:ind w:left="360"/>
      </w:pPr>
      <w:r>
        <w:t>Even though there have been no significant new entrants</w:t>
      </w:r>
      <w:r w:rsidR="001347EF">
        <w:t xml:space="preserve"> in recent years</w:t>
      </w:r>
      <w:r>
        <w:t>, c</w:t>
      </w:r>
      <w:r w:rsidR="006D3C8A">
        <w:t xml:space="preserve">ompetition in deposit markets has been relatively strong since the </w:t>
      </w:r>
      <w:r w:rsidR="006432C4">
        <w:t xml:space="preserve">financial </w:t>
      </w:r>
      <w:r w:rsidR="006D3C8A">
        <w:t>crisis</w:t>
      </w:r>
      <w:r>
        <w:t xml:space="preserve"> as </w:t>
      </w:r>
      <w:r w:rsidR="006D3C8A">
        <w:t xml:space="preserve">ADIs </w:t>
      </w:r>
      <w:r w:rsidR="001347EF">
        <w:t xml:space="preserve">have </w:t>
      </w:r>
      <w:r w:rsidR="00B870AF">
        <w:t>sourc</w:t>
      </w:r>
      <w:r w:rsidR="001347EF">
        <w:t>ed</w:t>
      </w:r>
      <w:r w:rsidR="00B870AF">
        <w:t xml:space="preserve"> a</w:t>
      </w:r>
      <w:r w:rsidR="004F19A3">
        <w:t xml:space="preserve"> </w:t>
      </w:r>
      <w:r w:rsidR="006D3C8A">
        <w:t xml:space="preserve">greater </w:t>
      </w:r>
      <w:r w:rsidR="00B870AF">
        <w:t>share of funding from</w:t>
      </w:r>
      <w:r w:rsidR="004F19A3">
        <w:t xml:space="preserve"> </w:t>
      </w:r>
      <w:r w:rsidR="006D3C8A">
        <w:t xml:space="preserve">deposits rather than wholesale </w:t>
      </w:r>
      <w:r w:rsidR="00B870AF">
        <w:t>debt securities</w:t>
      </w:r>
      <w:r w:rsidR="006D3C8A">
        <w:t xml:space="preserve">. Regulatory changes have also </w:t>
      </w:r>
      <w:r w:rsidR="001347EF">
        <w:t xml:space="preserve">encouraged </w:t>
      </w:r>
      <w:r w:rsidR="006D3C8A">
        <w:t xml:space="preserve">this trend. While the effects </w:t>
      </w:r>
      <w:r w:rsidR="004A7B8A">
        <w:t>have varied between deposit products,</w:t>
      </w:r>
      <w:r w:rsidR="006D3C8A">
        <w:t xml:space="preserve"> average deposit rates </w:t>
      </w:r>
      <w:r w:rsidR="006B6C75">
        <w:t xml:space="preserve">relative to the cash rate </w:t>
      </w:r>
      <w:r w:rsidR="006D3C8A">
        <w:t>have risen</w:t>
      </w:r>
      <w:r w:rsidR="006B6C75">
        <w:t>,</w:t>
      </w:r>
      <w:r w:rsidR="006D3C8A">
        <w:t xml:space="preserve"> while average account fees have fallen; competition has also occurred through related services, such as payments technology.</w:t>
      </w:r>
    </w:p>
    <w:p w14:paraId="01BA4BAA" w14:textId="21ED86DE" w:rsidR="006D3C8A" w:rsidRDefault="00AF5BDE" w:rsidP="00543236">
      <w:pPr>
        <w:pStyle w:val="BodyText"/>
        <w:numPr>
          <w:ilvl w:val="0"/>
          <w:numId w:val="53"/>
        </w:numPr>
        <w:ind w:left="360"/>
      </w:pPr>
      <w:r>
        <w:t>The major banks gained market share in the mortgage market in the aftermath of the crisis</w:t>
      </w:r>
      <w:r w:rsidR="00DF68EC">
        <w:t>, in part reflecting their better access to funding (</w:t>
      </w:r>
      <w:r w:rsidR="0077270C">
        <w:t xml:space="preserve">as non-bank lenders in particular lost access to </w:t>
      </w:r>
      <w:r w:rsidR="00C338AD">
        <w:t>low</w:t>
      </w:r>
      <w:r w:rsidR="000047A3">
        <w:t>-</w:t>
      </w:r>
      <w:r w:rsidR="00C338AD">
        <w:lastRenderedPageBreak/>
        <w:t xml:space="preserve">cost wholesale </w:t>
      </w:r>
      <w:r w:rsidR="0077270C">
        <w:t>funding markets</w:t>
      </w:r>
      <w:r w:rsidR="00DF68EC">
        <w:t xml:space="preserve">) </w:t>
      </w:r>
      <w:r w:rsidR="0077270C">
        <w:t>along with</w:t>
      </w:r>
      <w:r w:rsidR="00DF68EC">
        <w:t xml:space="preserve"> mergers by two of the majors with smaller </w:t>
      </w:r>
      <w:r w:rsidR="0077270C">
        <w:t>institutions</w:t>
      </w:r>
      <w:r w:rsidR="009B04D3">
        <w:t>.</w:t>
      </w:r>
      <w:r>
        <w:t xml:space="preserve"> However, even though there have been no new </w:t>
      </w:r>
      <w:r w:rsidR="0019547C">
        <w:t xml:space="preserve">major </w:t>
      </w:r>
      <w:r>
        <w:t xml:space="preserve">entrants, a narrowing </w:t>
      </w:r>
      <w:r w:rsidR="00C10D64">
        <w:t xml:space="preserve">of </w:t>
      </w:r>
      <w:r>
        <w:t>funding cost differential</w:t>
      </w:r>
      <w:r w:rsidR="00BC0AF7">
        <w:t>s</w:t>
      </w:r>
      <w:r>
        <w:t xml:space="preserve">, increased use of brokers and consolidation </w:t>
      </w:r>
      <w:r w:rsidR="0019547C">
        <w:t xml:space="preserve">among smaller institutions </w:t>
      </w:r>
      <w:r>
        <w:t xml:space="preserve">appear to have boosted competitive pressures more recently. There </w:t>
      </w:r>
      <w:r w:rsidR="00BC0AF7">
        <w:t xml:space="preserve">is </w:t>
      </w:r>
      <w:r>
        <w:t xml:space="preserve">some evidence </w:t>
      </w:r>
      <w:r w:rsidR="00BC0AF7">
        <w:t xml:space="preserve">that </w:t>
      </w:r>
      <w:r>
        <w:t>competition le</w:t>
      </w:r>
      <w:r w:rsidR="00C0465E">
        <w:t>d</w:t>
      </w:r>
      <w:r>
        <w:t xml:space="preserve"> to </w:t>
      </w:r>
      <w:r w:rsidR="000646BD">
        <w:t xml:space="preserve">some </w:t>
      </w:r>
      <w:r>
        <w:t xml:space="preserve">weakening in lending standards </w:t>
      </w:r>
      <w:r w:rsidR="00EC6F22">
        <w:t>in the period leading up</w:t>
      </w:r>
      <w:r>
        <w:t xml:space="preserve"> to the end of 2014, but an increased regulatory focus has seen this reversed; smaller lenders have gained market share as a result.</w:t>
      </w:r>
    </w:p>
    <w:p w14:paraId="49A5DC79" w14:textId="6D6FBDA1" w:rsidR="00AF5BDE" w:rsidRDefault="00AF5BDE" w:rsidP="00543236">
      <w:pPr>
        <w:pStyle w:val="BodyText"/>
        <w:numPr>
          <w:ilvl w:val="0"/>
          <w:numId w:val="53"/>
        </w:numPr>
        <w:ind w:left="360"/>
      </w:pPr>
      <w:r>
        <w:t>While there has recently been strong competition</w:t>
      </w:r>
      <w:r w:rsidR="00606A5A">
        <w:t xml:space="preserve"> for large business lending as a consequence of the entry of new foreign banks</w:t>
      </w:r>
      <w:r w:rsidR="00CB66CD">
        <w:t xml:space="preserve"> and expansion in activity by some existing foreign banks</w:t>
      </w:r>
      <w:r w:rsidR="00606A5A">
        <w:t xml:space="preserve">, competition appears to be less vigorous for small business lending – reflecting the complexity of this market. There is potential for </w:t>
      </w:r>
      <w:r w:rsidR="00E03EC5">
        <w:t>g</w:t>
      </w:r>
      <w:r w:rsidR="00606A5A">
        <w:t xml:space="preserve">overnment initiatives on open banking and comprehensive credit reporting to influence this market. </w:t>
      </w:r>
    </w:p>
    <w:p w14:paraId="44DE4E2C" w14:textId="3B63F003" w:rsidR="00934791" w:rsidRDefault="00CB269C" w:rsidP="00490081">
      <w:pPr>
        <w:pStyle w:val="BodyText"/>
      </w:pPr>
      <w:r>
        <w:t xml:space="preserve">Competition in the </w:t>
      </w:r>
      <w:r w:rsidR="00373EFD">
        <w:t xml:space="preserve">retail </w:t>
      </w:r>
      <w:r>
        <w:t>payments system, in which financial institutions are significant players, is reasonably strong. Nevertheless, in some areas of the payments system competition can result in perverse outcomes. The Bank has therefore taken regulatory action over the past 15 years to address some of these anomalies and it continues to monitor competition closely.</w:t>
      </w:r>
    </w:p>
    <w:p w14:paraId="731E3F85" w14:textId="56A62BF9" w:rsidR="00606A5A" w:rsidRDefault="00606A5A" w:rsidP="00490081">
      <w:pPr>
        <w:pStyle w:val="BodyText"/>
      </w:pPr>
      <w:r>
        <w:t>A number of themes in this submission are likely to be relevant to the Commission’s work:</w:t>
      </w:r>
    </w:p>
    <w:p w14:paraId="431E2BFE" w14:textId="1A3D9AC9" w:rsidR="00606A5A" w:rsidRDefault="00386073" w:rsidP="00543236">
      <w:pPr>
        <w:pStyle w:val="BodyText"/>
        <w:numPr>
          <w:ilvl w:val="0"/>
          <w:numId w:val="54"/>
        </w:numPr>
        <w:ind w:left="360"/>
      </w:pPr>
      <w:r>
        <w:t xml:space="preserve">Periods of heightened competition in the Australian financial system have </w:t>
      </w:r>
      <w:r w:rsidR="00A856AB">
        <w:t>typically</w:t>
      </w:r>
      <w:r>
        <w:t xml:space="preserve"> been driven</w:t>
      </w:r>
      <w:r w:rsidR="00CB269C">
        <w:t xml:space="preserve"> by new entrants</w:t>
      </w:r>
      <w:r>
        <w:t xml:space="preserve"> rather than established players</w:t>
      </w:r>
      <w:r w:rsidR="00CB269C">
        <w:t xml:space="preserve">. </w:t>
      </w:r>
      <w:r>
        <w:t>The entry of mortgage originators,</w:t>
      </w:r>
      <w:r w:rsidR="00A856AB">
        <w:t xml:space="preserve"> </w:t>
      </w:r>
      <w:r>
        <w:t>foreign banks offering online deposit accounts</w:t>
      </w:r>
      <w:r w:rsidR="00817BF0">
        <w:t xml:space="preserve"> </w:t>
      </w:r>
      <w:r>
        <w:t>and</w:t>
      </w:r>
      <w:r w:rsidR="00C5528D">
        <w:t>,</w:t>
      </w:r>
      <w:r>
        <w:t xml:space="preserve"> </w:t>
      </w:r>
      <w:r w:rsidR="00A856AB">
        <w:t>recently</w:t>
      </w:r>
      <w:r w:rsidR="00C5528D">
        <w:t>,</w:t>
      </w:r>
      <w:r w:rsidR="00A856AB">
        <w:t xml:space="preserve"> </w:t>
      </w:r>
      <w:r>
        <w:t xml:space="preserve">Asian banks offering large business loans have all had a </w:t>
      </w:r>
      <w:r w:rsidR="00B92219">
        <w:t>significant</w:t>
      </w:r>
      <w:r>
        <w:t xml:space="preserve"> effect on competition in their respective markets. </w:t>
      </w:r>
    </w:p>
    <w:p w14:paraId="03CDE790" w14:textId="3D2D35D6" w:rsidR="006F177B" w:rsidRDefault="000646BD" w:rsidP="00543236">
      <w:pPr>
        <w:pStyle w:val="BodyText"/>
        <w:numPr>
          <w:ilvl w:val="0"/>
          <w:numId w:val="54"/>
        </w:numPr>
        <w:ind w:left="360"/>
      </w:pPr>
      <w:r>
        <w:t xml:space="preserve">Smaller banks experienced a rise in </w:t>
      </w:r>
      <w:r w:rsidR="006F177B">
        <w:t>funding cost</w:t>
      </w:r>
      <w:r>
        <w:t>s relative to the major banks through the financial crisis</w:t>
      </w:r>
      <w:r w:rsidR="006F177B">
        <w:t xml:space="preserve">, but </w:t>
      </w:r>
      <w:r>
        <w:t xml:space="preserve">this </w:t>
      </w:r>
      <w:r w:rsidR="006F177B">
        <w:t>has narrowed in recent times.</w:t>
      </w:r>
    </w:p>
    <w:p w14:paraId="62938464" w14:textId="77D1C823" w:rsidR="006F177B" w:rsidRDefault="006F177B" w:rsidP="00543236">
      <w:pPr>
        <w:pStyle w:val="BodyText"/>
        <w:numPr>
          <w:ilvl w:val="0"/>
          <w:numId w:val="54"/>
        </w:numPr>
        <w:ind w:left="360"/>
      </w:pPr>
      <w:r>
        <w:t>Bundling of products can be convenient for consumers, but can make switching of individual products difficult</w:t>
      </w:r>
      <w:r w:rsidR="00B20CBC">
        <w:t xml:space="preserve"> </w:t>
      </w:r>
      <w:r w:rsidR="00B20CBC" w:rsidRPr="00B20CBC">
        <w:t>and, by obscuring the pricing of individual products, it can support cross-subsidisation between more and less competitive markets</w:t>
      </w:r>
      <w:r>
        <w:t>.</w:t>
      </w:r>
    </w:p>
    <w:p w14:paraId="624B8D7F" w14:textId="338BE209" w:rsidR="006F177B" w:rsidRDefault="006F177B" w:rsidP="00543236">
      <w:pPr>
        <w:pStyle w:val="BodyText"/>
        <w:numPr>
          <w:ilvl w:val="0"/>
          <w:numId w:val="54"/>
        </w:numPr>
        <w:ind w:left="360"/>
      </w:pPr>
      <w:r>
        <w:t xml:space="preserve">Information problems – both in relation to </w:t>
      </w:r>
      <w:r w:rsidR="00033ACD">
        <w:t xml:space="preserve">lenders’ </w:t>
      </w:r>
      <w:r>
        <w:t xml:space="preserve">knowledge of </w:t>
      </w:r>
      <w:r w:rsidR="00033ACD">
        <w:t xml:space="preserve">the riskiness of </w:t>
      </w:r>
      <w:r>
        <w:t xml:space="preserve">potential borrowers and customers’ awareness of </w:t>
      </w:r>
      <w:r w:rsidR="00B92219">
        <w:t>alternative products</w:t>
      </w:r>
      <w:r>
        <w:t xml:space="preserve"> – inhibit competition. Measures aimed at open banking and comprehensive credit reporting </w:t>
      </w:r>
      <w:r w:rsidR="008E5591">
        <w:t xml:space="preserve">are likely to </w:t>
      </w:r>
      <w:r>
        <w:t>be beneficial, along with measures to increase transparency of interest rates.</w:t>
      </w:r>
    </w:p>
    <w:p w14:paraId="74B65364" w14:textId="6DA15E82" w:rsidR="001D5E00" w:rsidRDefault="001A2B34" w:rsidP="00543236">
      <w:pPr>
        <w:pStyle w:val="BodyText"/>
        <w:numPr>
          <w:ilvl w:val="0"/>
          <w:numId w:val="54"/>
        </w:numPr>
        <w:ind w:left="360"/>
      </w:pPr>
      <w:r>
        <w:t>Differential pricing</w:t>
      </w:r>
      <w:r w:rsidR="00B33EF6">
        <w:t xml:space="preserve"> between customers</w:t>
      </w:r>
      <w:r w:rsidR="006F177B">
        <w:t>, particularly in favour of new customers</w:t>
      </w:r>
      <w:r w:rsidR="00CA316B">
        <w:t>,</w:t>
      </w:r>
      <w:r w:rsidR="006F177B">
        <w:t xml:space="preserve"> is relatively common</w:t>
      </w:r>
      <w:r w:rsidR="00CA316B">
        <w:t xml:space="preserve">. </w:t>
      </w:r>
      <w:r w:rsidR="00334323">
        <w:t>Differential pricing can re</w:t>
      </w:r>
      <w:r w:rsidR="00576761">
        <w:t>f</w:t>
      </w:r>
      <w:r w:rsidR="00334323">
        <w:t xml:space="preserve">lect risks, but it is also likely </w:t>
      </w:r>
      <w:r w:rsidR="00CA316B">
        <w:t xml:space="preserve">that </w:t>
      </w:r>
      <w:r w:rsidR="00576761">
        <w:t xml:space="preserve">some </w:t>
      </w:r>
      <w:r w:rsidR="00CA316B">
        <w:t>customers are not sufficiently aware of the possibility of a better deal or are reluctant to switch providers</w:t>
      </w:r>
      <w:r w:rsidR="006F177B">
        <w:t>.</w:t>
      </w:r>
      <w:r w:rsidR="001D5E00" w:rsidRPr="001D5E00">
        <w:t xml:space="preserve"> </w:t>
      </w:r>
      <w:r w:rsidR="00CA316B">
        <w:t>Measures to increase transparency or reduce switching costs could help to address this.</w:t>
      </w:r>
    </w:p>
    <w:p w14:paraId="02EADD47" w14:textId="064CFE11" w:rsidR="006F177B" w:rsidRDefault="007E1B92" w:rsidP="00543236">
      <w:pPr>
        <w:pStyle w:val="BodyText"/>
        <w:numPr>
          <w:ilvl w:val="0"/>
          <w:numId w:val="54"/>
        </w:numPr>
        <w:ind w:left="360"/>
      </w:pPr>
      <w:r>
        <w:t>F</w:t>
      </w:r>
      <w:r w:rsidRPr="007E1B92">
        <w:t xml:space="preserve">inancial technology </w:t>
      </w:r>
      <w:r>
        <w:t>(f</w:t>
      </w:r>
      <w:r w:rsidR="001D5E00">
        <w:t>intech</w:t>
      </w:r>
      <w:r>
        <w:t>)</w:t>
      </w:r>
      <w:r w:rsidR="001D5E00">
        <w:t xml:space="preserve"> providers have </w:t>
      </w:r>
      <w:r w:rsidR="00B33EF6">
        <w:t xml:space="preserve">the </w:t>
      </w:r>
      <w:r w:rsidR="001D5E00">
        <w:t>potential to increase competition</w:t>
      </w:r>
      <w:r w:rsidR="00B33EF6">
        <w:t xml:space="preserve"> in a variety of ways, including by </w:t>
      </w:r>
      <w:r w:rsidR="00650C29">
        <w:t>competing directly</w:t>
      </w:r>
      <w:r w:rsidR="001D5E00">
        <w:t xml:space="preserve"> in under-served markets</w:t>
      </w:r>
      <w:r w:rsidR="009C5869">
        <w:t>, facilitating greater transparency and reducing the cost of switching providers</w:t>
      </w:r>
      <w:r w:rsidR="00B33EF6">
        <w:t>.</w:t>
      </w:r>
      <w:r w:rsidR="001D5E00">
        <w:t xml:space="preserve"> </w:t>
      </w:r>
      <w:r w:rsidR="009C5869">
        <w:t>However</w:t>
      </w:r>
      <w:r w:rsidR="00604FF7">
        <w:t>,</w:t>
      </w:r>
      <w:r w:rsidR="009C5869">
        <w:t xml:space="preserve"> </w:t>
      </w:r>
      <w:r w:rsidR="001D5E00">
        <w:t xml:space="preserve">at this stage </w:t>
      </w:r>
      <w:r w:rsidR="00AD521C">
        <w:t xml:space="preserve">fintech firms generally </w:t>
      </w:r>
      <w:r w:rsidR="001D5E00">
        <w:t xml:space="preserve">remain small and their performance </w:t>
      </w:r>
      <w:r w:rsidR="00AD521C">
        <w:t>is</w:t>
      </w:r>
      <w:r w:rsidR="001D5E00">
        <w:t xml:space="preserve"> untested over a full cycle. Significant efforts </w:t>
      </w:r>
      <w:r w:rsidR="00215D1E">
        <w:t xml:space="preserve">have been made </w:t>
      </w:r>
      <w:r w:rsidR="001D5E00">
        <w:t xml:space="preserve">by </w:t>
      </w:r>
      <w:r w:rsidR="00215D1E">
        <w:t xml:space="preserve">the </w:t>
      </w:r>
      <w:r w:rsidR="00604FF7">
        <w:t>g</w:t>
      </w:r>
      <w:r w:rsidR="001D5E00">
        <w:t xml:space="preserve">overnment </w:t>
      </w:r>
      <w:r w:rsidR="00215D1E">
        <w:t xml:space="preserve">and </w:t>
      </w:r>
      <w:r w:rsidR="00EC6F22">
        <w:t>the Australian Securities and Investments Commission (</w:t>
      </w:r>
      <w:r w:rsidR="00215D1E">
        <w:t>ASIC</w:t>
      </w:r>
      <w:r w:rsidR="00EC6F22">
        <w:t>)</w:t>
      </w:r>
      <w:r w:rsidR="00215D1E">
        <w:t xml:space="preserve"> </w:t>
      </w:r>
      <w:r w:rsidR="001D5E00">
        <w:t xml:space="preserve">to facilitate these providers. </w:t>
      </w:r>
    </w:p>
    <w:p w14:paraId="648375C6" w14:textId="2D7F639C" w:rsidR="00934791" w:rsidRDefault="00934791" w:rsidP="00490081">
      <w:pPr>
        <w:pStyle w:val="BodyText"/>
      </w:pPr>
      <w:r>
        <w:t xml:space="preserve">The remainder of this submission consists of the following sections. </w:t>
      </w:r>
      <w:r w:rsidR="00C302DC">
        <w:t xml:space="preserve">Chapter </w:t>
      </w:r>
      <w:r>
        <w:t>2</w:t>
      </w:r>
      <w:r w:rsidR="00940487">
        <w:t xml:space="preserve"> revisits the Financial System Inquiry and </w:t>
      </w:r>
      <w:r w:rsidR="00F96937">
        <w:t xml:space="preserve">identifies </w:t>
      </w:r>
      <w:r w:rsidR="00940487">
        <w:t>developments since that time.</w:t>
      </w:r>
      <w:r>
        <w:t xml:space="preserve"> </w:t>
      </w:r>
      <w:r w:rsidR="00C302DC">
        <w:t xml:space="preserve">Chapter </w:t>
      </w:r>
      <w:r>
        <w:t xml:space="preserve">3 makes some general </w:t>
      </w:r>
      <w:r>
        <w:lastRenderedPageBreak/>
        <w:t xml:space="preserve">observations about the nature of competition in the finance sector, highlights some of the complexities in assessing competition, and presents some </w:t>
      </w:r>
      <w:r w:rsidR="003558E4">
        <w:t>high-</w:t>
      </w:r>
      <w:r>
        <w:t xml:space="preserve">level indicators relevant to assessing competition. </w:t>
      </w:r>
      <w:r w:rsidR="00C302DC">
        <w:t xml:space="preserve">Chapter </w:t>
      </w:r>
      <w:r>
        <w:t xml:space="preserve">4 </w:t>
      </w:r>
      <w:r w:rsidR="000B1036">
        <w:t>discusses several important recent influences on competition, while</w:t>
      </w:r>
      <w:r>
        <w:t xml:space="preserve"> </w:t>
      </w:r>
      <w:r w:rsidR="00C302DC">
        <w:t>Chapter </w:t>
      </w:r>
      <w:r>
        <w:t xml:space="preserve">5 </w:t>
      </w:r>
      <w:r w:rsidR="000B1036">
        <w:t xml:space="preserve">examines the mortgage, deposit and lending markets. </w:t>
      </w:r>
      <w:r w:rsidR="00C302DC">
        <w:t xml:space="preserve">Chapter </w:t>
      </w:r>
      <w:r>
        <w:t>6 discusses competition in the payments system and the role of the Reserve Bank as regulator.</w:t>
      </w:r>
      <w:r w:rsidR="000B1036">
        <w:t xml:space="preserve"> </w:t>
      </w:r>
      <w:r w:rsidR="00C302DC">
        <w:t xml:space="preserve">Chapter </w:t>
      </w:r>
      <w:r w:rsidR="000B1036">
        <w:t>7 draws together some key theme</w:t>
      </w:r>
      <w:r w:rsidR="007E4AF8">
        <w:t>s.</w:t>
      </w:r>
    </w:p>
    <w:p w14:paraId="20B30AAE" w14:textId="68B1D75F" w:rsidR="0099744A" w:rsidRDefault="0099744A">
      <w:pPr>
        <w:rPr>
          <w:rFonts w:ascii="Palatino Linotype" w:hAnsi="Palatino Linotype"/>
          <w:b/>
          <w:color w:val="007698"/>
          <w:sz w:val="28"/>
          <w:szCs w:val="28"/>
        </w:rPr>
      </w:pPr>
      <w:r>
        <w:br w:type="page"/>
      </w:r>
    </w:p>
    <w:p w14:paraId="5098DCC5" w14:textId="255749B2" w:rsidR="00942586" w:rsidRDefault="00490081" w:rsidP="00160D25">
      <w:pPr>
        <w:pStyle w:val="Heading1"/>
        <w:numPr>
          <w:ilvl w:val="0"/>
          <w:numId w:val="39"/>
        </w:numPr>
      </w:pPr>
      <w:r>
        <w:lastRenderedPageBreak/>
        <w:t xml:space="preserve">Developments </w:t>
      </w:r>
      <w:r w:rsidR="00AB0662">
        <w:t>s</w:t>
      </w:r>
      <w:r>
        <w:t>ince the Financial System Inquiry</w:t>
      </w:r>
    </w:p>
    <w:p w14:paraId="0ACF1AAD" w14:textId="2207426A" w:rsidR="008721C0" w:rsidRDefault="005D6571" w:rsidP="00472602">
      <w:pPr>
        <w:pStyle w:val="BodyText"/>
      </w:pPr>
      <w:r>
        <w:t>Competition in the financial system was last considered by the Financial System Inquiry</w:t>
      </w:r>
      <w:r w:rsidR="008721C0">
        <w:t xml:space="preserve"> </w:t>
      </w:r>
      <w:r w:rsidR="00F6032C">
        <w:t>(FSI)</w:t>
      </w:r>
      <w:r>
        <w:t xml:space="preserve">, which reported in 2014. </w:t>
      </w:r>
      <w:r w:rsidR="008721C0">
        <w:t>This provides a useful benchmark for recent progress on competition.</w:t>
      </w:r>
    </w:p>
    <w:p w14:paraId="4ACEEC83" w14:textId="0A9A2742" w:rsidR="008721C0" w:rsidRDefault="008721C0" w:rsidP="00472602">
      <w:pPr>
        <w:pStyle w:val="BodyText"/>
      </w:pPr>
      <w:r>
        <w:t xml:space="preserve">The FSI Final Report concluded that competition </w:t>
      </w:r>
      <w:r w:rsidR="00940487">
        <w:t>wa</w:t>
      </w:r>
      <w:r>
        <w:t>s generally adequate, but noted that high concentration and increasing vertical integration in some parts of the financial system had the potential to limit the benefits of competition</w:t>
      </w:r>
      <w:sdt>
        <w:sdtPr>
          <w:id w:val="1702130408"/>
          <w:citation/>
        </w:sdtPr>
        <w:sdtEndPr/>
        <w:sdtContent>
          <w:r w:rsidR="00482EAE">
            <w:fldChar w:fldCharType="begin"/>
          </w:r>
          <w:r w:rsidR="00482EAE">
            <w:instrText xml:space="preserve">CITATION Fin14 \l 3081 </w:instrText>
          </w:r>
          <w:r w:rsidR="00482EAE">
            <w:fldChar w:fldCharType="separate"/>
          </w:r>
          <w:r w:rsidR="0018397C">
            <w:rPr>
              <w:noProof/>
            </w:rPr>
            <w:t xml:space="preserve"> (Financial System Inquiry 2014)</w:t>
          </w:r>
          <w:r w:rsidR="00482EAE">
            <w:fldChar w:fldCharType="end"/>
          </w:r>
        </w:sdtContent>
      </w:sdt>
      <w:r>
        <w:t xml:space="preserve">.  </w:t>
      </w:r>
      <w:r w:rsidR="00F66ACF">
        <w:t>S</w:t>
      </w:r>
      <w:r>
        <w:t xml:space="preserve">ince 2014, concentration in some banking markets has declined </w:t>
      </w:r>
      <w:r w:rsidR="0099744A">
        <w:t xml:space="preserve">modestly </w:t>
      </w:r>
      <w:r>
        <w:t>(</w:t>
      </w:r>
      <w:r w:rsidR="0099744A">
        <w:t xml:space="preserve">see </w:t>
      </w:r>
      <w:r w:rsidR="00110F5E">
        <w:t>the ‘</w:t>
      </w:r>
      <w:r w:rsidR="0099744A" w:rsidRPr="0019547C">
        <w:t>Assessing Competition in the Financial System</w:t>
      </w:r>
      <w:r w:rsidR="00110F5E">
        <w:t>’</w:t>
      </w:r>
      <w:r w:rsidR="0099744A" w:rsidRPr="003E4108">
        <w:t xml:space="preserve"> </w:t>
      </w:r>
      <w:r w:rsidR="0099744A">
        <w:t>chapter</w:t>
      </w:r>
      <w:r>
        <w:t>)</w:t>
      </w:r>
      <w:r w:rsidR="00F01ABB">
        <w:t>.</w:t>
      </w:r>
      <w:r>
        <w:t xml:space="preserve"> </w:t>
      </w:r>
      <w:r w:rsidR="00F01ABB">
        <w:t>V</w:t>
      </w:r>
      <w:r>
        <w:t>ertical integration has also reduced somewhat as the major banks have divested</w:t>
      </w:r>
      <w:r w:rsidR="00167C02">
        <w:t xml:space="preserve"> some wealth management businesses.</w:t>
      </w:r>
      <w:r w:rsidR="00167C02">
        <w:rPr>
          <w:rStyle w:val="FootnoteReference"/>
        </w:rPr>
        <w:footnoteReference w:id="2"/>
      </w:r>
      <w:r w:rsidR="00167C02">
        <w:t xml:space="preserve"> </w:t>
      </w:r>
    </w:p>
    <w:p w14:paraId="339E7178" w14:textId="3A5DA6EF" w:rsidR="00F16D5A" w:rsidRDefault="00F6032C" w:rsidP="00472602">
      <w:pPr>
        <w:pStyle w:val="BodyText"/>
      </w:pPr>
      <w:r>
        <w:t>A number of FSI recommendations ha</w:t>
      </w:r>
      <w:r w:rsidR="00D24B7D">
        <w:t>d</w:t>
      </w:r>
      <w:r>
        <w:t xml:space="preserve"> a bearing on competition. </w:t>
      </w:r>
      <w:r w:rsidR="00100A0D">
        <w:t xml:space="preserve">Some were focused on the regulatory system, given the FSI’s observation that </w:t>
      </w:r>
      <w:r w:rsidR="004859C7">
        <w:t xml:space="preserve">policy settings with respect to Australia’s financial system </w:t>
      </w:r>
      <w:r w:rsidR="00100A0D">
        <w:t xml:space="preserve">did </w:t>
      </w:r>
      <w:r w:rsidR="004859C7">
        <w:t xml:space="preserve">not focus on the benefits of competition. </w:t>
      </w:r>
      <w:r w:rsidR="00F16D5A">
        <w:t xml:space="preserve">The FSI recommended making competition a specific focus of </w:t>
      </w:r>
      <w:r w:rsidR="00EC6F22">
        <w:t>ASIC</w:t>
      </w:r>
      <w:r w:rsidR="00F16D5A">
        <w:t xml:space="preserve"> and encourag</w:t>
      </w:r>
      <w:r w:rsidR="00E82BAE">
        <w:t>ed</w:t>
      </w:r>
      <w:r w:rsidR="00F16D5A">
        <w:t xml:space="preserve"> regulators to clearly explain in annual reports how competition was considered in their decision making processes.</w:t>
      </w:r>
      <w:r w:rsidR="00063B8D">
        <w:t xml:space="preserve"> It recommended that the state of competition in </w:t>
      </w:r>
      <w:r w:rsidR="00940487">
        <w:t>t</w:t>
      </w:r>
      <w:r w:rsidR="00063B8D">
        <w:t>he financial system be reviewed every three years</w:t>
      </w:r>
      <w:r w:rsidR="00C0465E">
        <w:t xml:space="preserve"> (leading to the current inquiry)</w:t>
      </w:r>
      <w:r w:rsidR="00063B8D">
        <w:t>.</w:t>
      </w:r>
    </w:p>
    <w:p w14:paraId="5702DC9B" w14:textId="645E76F1" w:rsidR="004859C7" w:rsidRDefault="00F16D5A" w:rsidP="00472602">
      <w:pPr>
        <w:pStyle w:val="BodyText"/>
      </w:pPr>
      <w:r>
        <w:t xml:space="preserve">The </w:t>
      </w:r>
      <w:r w:rsidR="00482EAE">
        <w:t>FSI</w:t>
      </w:r>
      <w:r>
        <w:t xml:space="preserve"> noted that reforms </w:t>
      </w:r>
      <w:r w:rsidR="00063B8D">
        <w:t>that</w:t>
      </w:r>
      <w:r>
        <w:t xml:space="preserve"> increased the resilience of the financial system, especially for the larger banks, would work to </w:t>
      </w:r>
      <w:r w:rsidR="0077270C">
        <w:t xml:space="preserve">reduce </w:t>
      </w:r>
      <w:r>
        <w:t xml:space="preserve">the perception of </w:t>
      </w:r>
      <w:r w:rsidR="00F66ACF">
        <w:t xml:space="preserve">an </w:t>
      </w:r>
      <w:r>
        <w:t xml:space="preserve">implicit guarantee, thereby </w:t>
      </w:r>
      <w:r w:rsidR="0077270C">
        <w:t xml:space="preserve">reducing </w:t>
      </w:r>
      <w:r>
        <w:t xml:space="preserve">competitive distortions. It </w:t>
      </w:r>
      <w:r w:rsidR="00E82BAE">
        <w:t>recommended regulatory settings that would</w:t>
      </w:r>
      <w:r>
        <w:t xml:space="preserve"> lower the probability of </w:t>
      </w:r>
      <w:r w:rsidR="00A56D17">
        <w:t xml:space="preserve">a bank failure </w:t>
      </w:r>
      <w:r>
        <w:t xml:space="preserve">through ensuring Australian bank capital ratios are unquestionably strong, and reduce the cost of failure, </w:t>
      </w:r>
      <w:r w:rsidR="00F66ACF">
        <w:t xml:space="preserve">by </w:t>
      </w:r>
      <w:r>
        <w:t>ensuring banks maintain</w:t>
      </w:r>
      <w:r w:rsidR="00F66ACF">
        <w:t>ed</w:t>
      </w:r>
      <w:r>
        <w:t xml:space="preserve"> sufficient loss</w:t>
      </w:r>
      <w:r w:rsidR="00BB4170">
        <w:t>-</w:t>
      </w:r>
      <w:r>
        <w:t xml:space="preserve">absorbing capacity. </w:t>
      </w:r>
      <w:r w:rsidR="00E82BAE">
        <w:t xml:space="preserve">The Inquiry </w:t>
      </w:r>
      <w:r w:rsidR="00063B8D">
        <w:t>similarly recommended r</w:t>
      </w:r>
      <w:r w:rsidR="004859C7">
        <w:t xml:space="preserve">educing the differences in risk weights </w:t>
      </w:r>
      <w:r w:rsidR="00063B8D">
        <w:t xml:space="preserve">on mortgage lending between banks using model-based weights (the large banks) and </w:t>
      </w:r>
      <w:r w:rsidR="00AA3B53">
        <w:t xml:space="preserve">other </w:t>
      </w:r>
      <w:r w:rsidR="004859C7">
        <w:t xml:space="preserve">ADIs. </w:t>
      </w:r>
    </w:p>
    <w:p w14:paraId="66284D8B" w14:textId="75183BD5" w:rsidR="00C827DC" w:rsidRDefault="00C827DC" w:rsidP="00472602">
      <w:pPr>
        <w:pStyle w:val="BodyText"/>
      </w:pPr>
      <w:r>
        <w:t>Other competition-focused recommendations included:</w:t>
      </w:r>
    </w:p>
    <w:p w14:paraId="397DE7CD" w14:textId="56B7BE40" w:rsidR="007302DD" w:rsidRPr="00472602" w:rsidRDefault="00F66ACF" w:rsidP="00543236">
      <w:pPr>
        <w:pStyle w:val="ListBullet"/>
      </w:pPr>
      <w:r w:rsidRPr="00472602">
        <w:t>d</w:t>
      </w:r>
      <w:r w:rsidR="004938A4" w:rsidRPr="00472602">
        <w:t>eveloping a national strategy for a federated style model of trusted digital identities</w:t>
      </w:r>
      <w:r w:rsidR="007302DD" w:rsidRPr="00472602">
        <w:t xml:space="preserve"> </w:t>
      </w:r>
    </w:p>
    <w:p w14:paraId="0154D7AC" w14:textId="03C6DEB9" w:rsidR="007302DD" w:rsidRPr="00472602" w:rsidRDefault="00F66ACF" w:rsidP="00543236">
      <w:pPr>
        <w:pStyle w:val="ListBullet"/>
      </w:pPr>
      <w:r w:rsidRPr="00472602">
        <w:t>g</w:t>
      </w:r>
      <w:r w:rsidR="004938A4" w:rsidRPr="00472602">
        <w:t>raduating fundraising regula</w:t>
      </w:r>
      <w:r w:rsidR="00EC6F22">
        <w:t>tion to facilitate crowdfunding</w:t>
      </w:r>
      <w:r w:rsidR="004938A4" w:rsidRPr="00472602">
        <w:t xml:space="preserve"> for both debt and equity</w:t>
      </w:r>
    </w:p>
    <w:p w14:paraId="647A1BD8" w14:textId="58CD59B4" w:rsidR="004859C7" w:rsidRPr="00472602" w:rsidRDefault="00F66ACF" w:rsidP="00543236">
      <w:pPr>
        <w:pStyle w:val="ListBullet"/>
      </w:pPr>
      <w:r w:rsidRPr="00472602">
        <w:t>s</w:t>
      </w:r>
      <w:r w:rsidR="004859C7" w:rsidRPr="00472602">
        <w:t xml:space="preserve">upporting </w:t>
      </w:r>
      <w:r w:rsidR="007302DD" w:rsidRPr="00472602">
        <w:t xml:space="preserve">data-driven business models through </w:t>
      </w:r>
      <w:r w:rsidR="004938A4" w:rsidRPr="00472602">
        <w:t>an inquiry into the costs and benefits of increasing data access</w:t>
      </w:r>
    </w:p>
    <w:p w14:paraId="048F2AE7" w14:textId="06DEF69C" w:rsidR="004C67B9" w:rsidRPr="00FA6FA7" w:rsidRDefault="00F66ACF" w:rsidP="00543236">
      <w:pPr>
        <w:pStyle w:val="ListBullet"/>
      </w:pPr>
      <w:r w:rsidRPr="00472602">
        <w:t>s</w:t>
      </w:r>
      <w:r w:rsidR="00302215" w:rsidRPr="00472602">
        <w:t xml:space="preserve">upporting expanded </w:t>
      </w:r>
      <w:r w:rsidR="00940487" w:rsidRPr="00472602">
        <w:t xml:space="preserve">positive </w:t>
      </w:r>
      <w:r w:rsidR="00302215" w:rsidRPr="00472602">
        <w:t>credit data sharing and</w:t>
      </w:r>
      <w:r w:rsidR="00940487" w:rsidRPr="00472602">
        <w:t>,</w:t>
      </w:r>
      <w:r w:rsidR="00302215" w:rsidRPr="00472602">
        <w:t xml:space="preserve"> if voluntary participation is inadequate, consider</w:t>
      </w:r>
      <w:r w:rsidRPr="00472602">
        <w:t xml:space="preserve">ing </w:t>
      </w:r>
      <w:r w:rsidR="00302215" w:rsidRPr="00472602">
        <w:t>mandat</w:t>
      </w:r>
      <w:r w:rsidRPr="00472602">
        <w:t>ed</w:t>
      </w:r>
      <w:r w:rsidR="00302215" w:rsidRPr="00472602">
        <w:t xml:space="preserve"> participation.</w:t>
      </w:r>
    </w:p>
    <w:p w14:paraId="0FF55734" w14:textId="4388A65F" w:rsidR="0077270C" w:rsidRPr="00472602" w:rsidRDefault="0077270C" w:rsidP="0077270C">
      <w:pPr>
        <w:rPr>
          <w:sz w:val="21"/>
          <w:szCs w:val="21"/>
        </w:rPr>
      </w:pPr>
      <w:r w:rsidRPr="00472602">
        <w:rPr>
          <w:sz w:val="21"/>
          <w:szCs w:val="21"/>
        </w:rPr>
        <w:t>In respect of the payments system, the Inquiry recommended:</w:t>
      </w:r>
    </w:p>
    <w:p w14:paraId="382B619D" w14:textId="4D5596D2" w:rsidR="0077270C" w:rsidRPr="00472602" w:rsidRDefault="0077270C" w:rsidP="00543236">
      <w:pPr>
        <w:pStyle w:val="ListBullet"/>
      </w:pPr>
      <w:r w:rsidRPr="00472602">
        <w:t>enhancing graduation of retail payments regulation by clarifying thresholds for regulation</w:t>
      </w:r>
    </w:p>
    <w:p w14:paraId="0AEB9459" w14:textId="5B4DCCCC" w:rsidR="0077270C" w:rsidRPr="00472602" w:rsidRDefault="0077270C" w:rsidP="00543236">
      <w:pPr>
        <w:pStyle w:val="ListBullet"/>
      </w:pPr>
      <w:r w:rsidRPr="00472602">
        <w:t>clarifying and broadening card interchange regulation and lowering interchange fees.</w:t>
      </w:r>
    </w:p>
    <w:p w14:paraId="331DF100" w14:textId="77777777" w:rsidR="00B60F40" w:rsidRDefault="00B60F40">
      <w:pPr>
        <w:rPr>
          <w:sz w:val="21"/>
          <w:szCs w:val="21"/>
        </w:rPr>
      </w:pPr>
      <w:r>
        <w:rPr>
          <w:sz w:val="21"/>
          <w:szCs w:val="21"/>
        </w:rPr>
        <w:br w:type="page"/>
      </w:r>
    </w:p>
    <w:p w14:paraId="4A26C4FC" w14:textId="045B06BB" w:rsidR="004859C7" w:rsidRPr="00472602" w:rsidRDefault="00302215" w:rsidP="00482EAE">
      <w:pPr>
        <w:jc w:val="both"/>
        <w:rPr>
          <w:sz w:val="21"/>
          <w:szCs w:val="21"/>
        </w:rPr>
      </w:pPr>
      <w:r w:rsidRPr="00472602">
        <w:rPr>
          <w:sz w:val="21"/>
          <w:szCs w:val="21"/>
        </w:rPr>
        <w:lastRenderedPageBreak/>
        <w:t xml:space="preserve">The </w:t>
      </w:r>
      <w:r w:rsidR="003E4108">
        <w:rPr>
          <w:sz w:val="21"/>
          <w:szCs w:val="21"/>
        </w:rPr>
        <w:t>g</w:t>
      </w:r>
      <w:r w:rsidRPr="00472602">
        <w:rPr>
          <w:sz w:val="21"/>
          <w:szCs w:val="21"/>
        </w:rPr>
        <w:t xml:space="preserve">overnment’s response to the FSI Final Report </w:t>
      </w:r>
      <w:r w:rsidR="00D24B7D" w:rsidRPr="00472602">
        <w:rPr>
          <w:sz w:val="21"/>
          <w:szCs w:val="21"/>
        </w:rPr>
        <w:t xml:space="preserve">followed </w:t>
      </w:r>
      <w:r w:rsidRPr="00472602">
        <w:rPr>
          <w:sz w:val="21"/>
          <w:szCs w:val="21"/>
        </w:rPr>
        <w:t>most of the recommendations</w:t>
      </w:r>
      <w:sdt>
        <w:sdtPr>
          <w:rPr>
            <w:sz w:val="21"/>
            <w:szCs w:val="21"/>
          </w:rPr>
          <w:id w:val="1409264686"/>
          <w:citation/>
        </w:sdtPr>
        <w:sdtEndPr/>
        <w:sdtContent>
          <w:r w:rsidR="00482EAE">
            <w:rPr>
              <w:sz w:val="21"/>
              <w:szCs w:val="21"/>
            </w:rPr>
            <w:fldChar w:fldCharType="begin"/>
          </w:r>
          <w:r w:rsidR="00482EAE">
            <w:rPr>
              <w:sz w:val="21"/>
              <w:szCs w:val="21"/>
            </w:rPr>
            <w:instrText xml:space="preserve"> CITATION The15 \l 3081 </w:instrText>
          </w:r>
          <w:r w:rsidR="00482EAE">
            <w:rPr>
              <w:sz w:val="21"/>
              <w:szCs w:val="21"/>
            </w:rPr>
            <w:fldChar w:fldCharType="separate"/>
          </w:r>
          <w:r w:rsidR="0018397C">
            <w:rPr>
              <w:noProof/>
              <w:sz w:val="21"/>
              <w:szCs w:val="21"/>
            </w:rPr>
            <w:t xml:space="preserve"> </w:t>
          </w:r>
          <w:r w:rsidR="0018397C" w:rsidRPr="0018397C">
            <w:rPr>
              <w:noProof/>
              <w:sz w:val="21"/>
              <w:szCs w:val="21"/>
            </w:rPr>
            <w:t>(The Australian Government 2015)</w:t>
          </w:r>
          <w:r w:rsidR="00482EAE">
            <w:rPr>
              <w:sz w:val="21"/>
              <w:szCs w:val="21"/>
            </w:rPr>
            <w:fldChar w:fldCharType="end"/>
          </w:r>
        </w:sdtContent>
      </w:sdt>
      <w:r w:rsidR="00A56D17" w:rsidRPr="00472602">
        <w:rPr>
          <w:sz w:val="21"/>
          <w:szCs w:val="21"/>
        </w:rPr>
        <w:t>. S</w:t>
      </w:r>
      <w:r w:rsidR="004859C7" w:rsidRPr="00472602">
        <w:rPr>
          <w:sz w:val="21"/>
          <w:szCs w:val="21"/>
        </w:rPr>
        <w:t xml:space="preserve">ignificant progress has been </w:t>
      </w:r>
      <w:r w:rsidR="00C0465E" w:rsidRPr="00472602">
        <w:rPr>
          <w:sz w:val="21"/>
          <w:szCs w:val="21"/>
        </w:rPr>
        <w:t xml:space="preserve">made </w:t>
      </w:r>
      <w:r w:rsidR="00F66ACF" w:rsidRPr="00472602">
        <w:rPr>
          <w:sz w:val="21"/>
          <w:szCs w:val="21"/>
        </w:rPr>
        <w:t>on</w:t>
      </w:r>
      <w:r w:rsidR="004859C7" w:rsidRPr="00472602">
        <w:rPr>
          <w:sz w:val="21"/>
          <w:szCs w:val="21"/>
        </w:rPr>
        <w:t xml:space="preserve"> </w:t>
      </w:r>
      <w:r w:rsidR="00A56D17" w:rsidRPr="00472602">
        <w:rPr>
          <w:sz w:val="21"/>
          <w:szCs w:val="21"/>
        </w:rPr>
        <w:t xml:space="preserve">implementation </w:t>
      </w:r>
      <w:r w:rsidR="00B830B4" w:rsidRPr="00472602">
        <w:rPr>
          <w:sz w:val="21"/>
          <w:szCs w:val="21"/>
        </w:rPr>
        <w:t>since that time</w:t>
      </w:r>
      <w:r w:rsidR="004859C7" w:rsidRPr="00472602">
        <w:rPr>
          <w:sz w:val="21"/>
          <w:szCs w:val="21"/>
        </w:rPr>
        <w:t>, including:</w:t>
      </w:r>
    </w:p>
    <w:p w14:paraId="44A04970" w14:textId="72A35ABD" w:rsidR="00360F4B" w:rsidRPr="00472602" w:rsidRDefault="00215D1E" w:rsidP="00543236">
      <w:pPr>
        <w:pStyle w:val="ListBullet"/>
      </w:pPr>
      <w:r w:rsidRPr="00472602">
        <w:t xml:space="preserve">implementation </w:t>
      </w:r>
      <w:r w:rsidR="00360F4B" w:rsidRPr="00472602">
        <w:t xml:space="preserve">by </w:t>
      </w:r>
      <w:r w:rsidR="00EC6F22">
        <w:t>the Australian Prudential Regulation Authority (</w:t>
      </w:r>
      <w:r w:rsidR="00360F4B" w:rsidRPr="00472602">
        <w:t>APRA</w:t>
      </w:r>
      <w:r w:rsidR="00EC6F22">
        <w:t>)</w:t>
      </w:r>
      <w:r w:rsidR="00360F4B" w:rsidRPr="00472602">
        <w:t xml:space="preserve"> in 201</w:t>
      </w:r>
      <w:r w:rsidRPr="00472602">
        <w:t>6</w:t>
      </w:r>
      <w:r w:rsidR="00360F4B" w:rsidRPr="00472602">
        <w:t xml:space="preserve"> </w:t>
      </w:r>
      <w:r w:rsidR="00EE39DF" w:rsidRPr="00472602">
        <w:t>of changes to mortgage risk weights for ADIs using model-based weights</w:t>
      </w:r>
      <w:sdt>
        <w:sdtPr>
          <w:id w:val="-789822347"/>
          <w:citation/>
        </w:sdtPr>
        <w:sdtEndPr/>
        <w:sdtContent>
          <w:r w:rsidR="00482EAE">
            <w:fldChar w:fldCharType="begin"/>
          </w:r>
          <w:r w:rsidR="00482EAE">
            <w:instrText xml:space="preserve"> CITATION APR15 \l 3081 </w:instrText>
          </w:r>
          <w:r w:rsidR="00482EAE">
            <w:fldChar w:fldCharType="separate"/>
          </w:r>
          <w:r w:rsidR="0018397C">
            <w:rPr>
              <w:noProof/>
            </w:rPr>
            <w:t xml:space="preserve"> (APRA 2015)</w:t>
          </w:r>
          <w:r w:rsidR="00482EAE">
            <w:fldChar w:fldCharType="end"/>
          </w:r>
        </w:sdtContent>
      </w:sdt>
    </w:p>
    <w:p w14:paraId="582245F3" w14:textId="47913FFD" w:rsidR="0038488C" w:rsidRPr="00472602" w:rsidRDefault="00F66ACF" w:rsidP="00543236">
      <w:pPr>
        <w:pStyle w:val="ListBullet"/>
      </w:pPr>
      <w:r w:rsidRPr="00472602">
        <w:t>the r</w:t>
      </w:r>
      <w:r w:rsidR="0038488C" w:rsidRPr="00472602">
        <w:t>ecent announcement by APRA of changes to capital requirements to ensure that Australia’s banks are ‘unquestionabl</w:t>
      </w:r>
      <w:r w:rsidR="00E90274">
        <w:t>y</w:t>
      </w:r>
      <w:r w:rsidR="0038488C" w:rsidRPr="00472602">
        <w:t xml:space="preserve"> strong</w:t>
      </w:r>
      <w:r w:rsidR="00EE39DF" w:rsidRPr="00472602">
        <w:t>’</w:t>
      </w:r>
      <w:sdt>
        <w:sdtPr>
          <w:id w:val="-1255733859"/>
          <w:citation/>
        </w:sdtPr>
        <w:sdtEndPr/>
        <w:sdtContent>
          <w:r w:rsidR="00482EAE">
            <w:fldChar w:fldCharType="begin"/>
          </w:r>
          <w:r w:rsidR="00482EAE">
            <w:instrText xml:space="preserve"> CITATION APR17 \l 3081 </w:instrText>
          </w:r>
          <w:r w:rsidR="00482EAE">
            <w:fldChar w:fldCharType="separate"/>
          </w:r>
          <w:r w:rsidR="0018397C">
            <w:rPr>
              <w:noProof/>
            </w:rPr>
            <w:t xml:space="preserve"> (APRA 2017a)</w:t>
          </w:r>
          <w:r w:rsidR="00482EAE">
            <w:fldChar w:fldCharType="end"/>
          </w:r>
        </w:sdtContent>
      </w:sdt>
    </w:p>
    <w:p w14:paraId="4C8B7855" w14:textId="324F3084" w:rsidR="00302215" w:rsidRPr="00472602" w:rsidRDefault="00D26570" w:rsidP="00543236">
      <w:pPr>
        <w:pStyle w:val="ListBullet"/>
      </w:pPr>
      <w:r>
        <w:t xml:space="preserve">establishing </w:t>
      </w:r>
      <w:r w:rsidR="00F66ACF" w:rsidRPr="00472602">
        <w:t>an expectation</w:t>
      </w:r>
      <w:r w:rsidR="00360F4B" w:rsidRPr="00472602">
        <w:t xml:space="preserve"> that </w:t>
      </w:r>
      <w:r w:rsidR="00F66ACF" w:rsidRPr="00472602">
        <w:t xml:space="preserve">regulators </w:t>
      </w:r>
      <w:r w:rsidR="00302215" w:rsidRPr="00472602">
        <w:t>report each year on how they have taken account of competition in their decisions</w:t>
      </w:r>
    </w:p>
    <w:p w14:paraId="4C5FE265" w14:textId="4441ED4B" w:rsidR="004859C7" w:rsidRPr="00472602" w:rsidRDefault="004859C7" w:rsidP="00543236">
      <w:pPr>
        <w:pStyle w:val="ListBullet"/>
      </w:pPr>
      <w:r w:rsidRPr="00472602">
        <w:t>establishing a regulatory framework for crowdsourced equity funding</w:t>
      </w:r>
      <w:r w:rsidR="00360F4B" w:rsidRPr="00472602">
        <w:t xml:space="preserve">, </w:t>
      </w:r>
      <w:r w:rsidRPr="00472602">
        <w:t xml:space="preserve">allowing small business greater access to capital – the </w:t>
      </w:r>
      <w:r w:rsidR="00EE70AF">
        <w:t>g</w:t>
      </w:r>
      <w:r w:rsidRPr="00472602">
        <w:t>overnment is currently seeking to extend the framework to proprietary companies</w:t>
      </w:r>
    </w:p>
    <w:p w14:paraId="157D1748" w14:textId="579EA75C" w:rsidR="004859C7" w:rsidRPr="00472602" w:rsidRDefault="006F72BE" w:rsidP="00543236">
      <w:pPr>
        <w:pStyle w:val="ListBullet"/>
      </w:pPr>
      <w:r w:rsidRPr="00472602">
        <w:t>establishing an independent review to recommend an approach to establishing an open banking regime in Australia</w:t>
      </w:r>
      <w:sdt>
        <w:sdtPr>
          <w:id w:val="-1272469207"/>
          <w:citation/>
        </w:sdtPr>
        <w:sdtEndPr/>
        <w:sdtContent>
          <w:r w:rsidR="00482EAE">
            <w:fldChar w:fldCharType="begin"/>
          </w:r>
          <w:r w:rsidR="00482EAE">
            <w:instrText xml:space="preserve"> CITATION The \l 3081 </w:instrText>
          </w:r>
          <w:r w:rsidR="00482EAE">
            <w:fldChar w:fldCharType="separate"/>
          </w:r>
          <w:r w:rsidR="0018397C">
            <w:rPr>
              <w:noProof/>
            </w:rPr>
            <w:t xml:space="preserve"> (The Treasury 2017)</w:t>
          </w:r>
          <w:r w:rsidR="00482EAE">
            <w:fldChar w:fldCharType="end"/>
          </w:r>
        </w:sdtContent>
      </w:sdt>
    </w:p>
    <w:p w14:paraId="7AF2EFC8" w14:textId="2741D9CC" w:rsidR="004859C7" w:rsidRPr="00472602" w:rsidRDefault="004859C7" w:rsidP="00543236">
      <w:pPr>
        <w:pStyle w:val="ListBullet"/>
      </w:pPr>
      <w:r w:rsidRPr="00472602">
        <w:t xml:space="preserve">supporting the uptake of the current voluntary comprehensive credit reporting regime; a failure to meet </w:t>
      </w:r>
      <w:r w:rsidR="009F0E72" w:rsidRPr="00472602">
        <w:t xml:space="preserve">a target of 40 per cent voluntary reporting </w:t>
      </w:r>
      <w:r w:rsidR="00360F4B" w:rsidRPr="00472602">
        <w:t>by</w:t>
      </w:r>
      <w:r w:rsidR="00EE70AF">
        <w:t xml:space="preserve"> the</w:t>
      </w:r>
      <w:r w:rsidR="00360F4B" w:rsidRPr="00472602">
        <w:t xml:space="preserve"> end </w:t>
      </w:r>
      <w:r w:rsidR="00EE70AF">
        <w:t xml:space="preserve">of </w:t>
      </w:r>
      <w:r w:rsidR="00360F4B" w:rsidRPr="00472602">
        <w:t xml:space="preserve">2017 </w:t>
      </w:r>
      <w:r w:rsidRPr="00472602">
        <w:t xml:space="preserve">will result in the </w:t>
      </w:r>
      <w:r w:rsidR="00EE70AF">
        <w:t>g</w:t>
      </w:r>
      <w:r w:rsidRPr="00472602">
        <w:t>overnment legislating a mandatory regime</w:t>
      </w:r>
      <w:sdt>
        <w:sdtPr>
          <w:id w:val="-470754091"/>
          <w:citation/>
        </w:sdtPr>
        <w:sdtEndPr/>
        <w:sdtContent>
          <w:r w:rsidR="00482EAE">
            <w:fldChar w:fldCharType="begin"/>
          </w:r>
          <w:r w:rsidR="00482EAE">
            <w:instrText xml:space="preserve">CITATION Bui17 \l 3081 </w:instrText>
          </w:r>
          <w:r w:rsidR="00482EAE">
            <w:fldChar w:fldCharType="separate"/>
          </w:r>
          <w:r w:rsidR="0018397C">
            <w:rPr>
              <w:noProof/>
            </w:rPr>
            <w:t xml:space="preserve"> (The Australian Government 2017)</w:t>
          </w:r>
          <w:r w:rsidR="00482EAE">
            <w:fldChar w:fldCharType="end"/>
          </w:r>
        </w:sdtContent>
      </w:sdt>
    </w:p>
    <w:p w14:paraId="6C63579C" w14:textId="1FC1BE16" w:rsidR="0077270C" w:rsidRPr="00472602" w:rsidRDefault="0077270C" w:rsidP="00543236">
      <w:pPr>
        <w:pStyle w:val="ListBullet"/>
      </w:pPr>
      <w:r w:rsidRPr="00472602">
        <w:t xml:space="preserve">establishment by the Reserve Bank of a revised regime for interchange regulation, which has broadened the application of regulation and lowered interchange fees (see </w:t>
      </w:r>
      <w:r w:rsidR="00EE70AF">
        <w:t>the ‘</w:t>
      </w:r>
      <w:r w:rsidR="00D26570" w:rsidRPr="0019547C">
        <w:t>Competition in the Payments System</w:t>
      </w:r>
      <w:r w:rsidR="00EE70AF">
        <w:t>’</w:t>
      </w:r>
      <w:r w:rsidRPr="00472602">
        <w:t xml:space="preserve"> chapter)</w:t>
      </w:r>
      <w:sdt>
        <w:sdtPr>
          <w:id w:val="-1438900497"/>
          <w:citation/>
        </w:sdtPr>
        <w:sdtEndPr/>
        <w:sdtContent>
          <w:r w:rsidR="00482EAE">
            <w:fldChar w:fldCharType="begin"/>
          </w:r>
          <w:r w:rsidR="00482EAE">
            <w:instrText xml:space="preserve"> CITATION Con16 \l 3081 </w:instrText>
          </w:r>
          <w:r w:rsidR="00482EAE">
            <w:fldChar w:fldCharType="separate"/>
          </w:r>
          <w:r w:rsidR="0018397C">
            <w:rPr>
              <w:noProof/>
            </w:rPr>
            <w:t xml:space="preserve"> (RBA 2016b)</w:t>
          </w:r>
          <w:r w:rsidR="00482EAE">
            <w:fldChar w:fldCharType="end"/>
          </w:r>
        </w:sdtContent>
      </w:sdt>
      <w:r w:rsidRPr="00472602">
        <w:t>.</w:t>
      </w:r>
    </w:p>
    <w:p w14:paraId="0E4C0E5D" w14:textId="2C7C3D16" w:rsidR="004859C7" w:rsidRPr="00472602" w:rsidRDefault="004859C7" w:rsidP="004859C7">
      <w:pPr>
        <w:rPr>
          <w:sz w:val="21"/>
          <w:szCs w:val="21"/>
        </w:rPr>
      </w:pPr>
      <w:r w:rsidRPr="00472602">
        <w:rPr>
          <w:sz w:val="21"/>
          <w:szCs w:val="21"/>
        </w:rPr>
        <w:t>In addition, as part of the 2017</w:t>
      </w:r>
      <w:r w:rsidR="008671AA">
        <w:rPr>
          <w:sz w:val="21"/>
          <w:szCs w:val="21"/>
        </w:rPr>
        <w:t>/</w:t>
      </w:r>
      <w:r w:rsidRPr="00472602">
        <w:rPr>
          <w:sz w:val="21"/>
          <w:szCs w:val="21"/>
        </w:rPr>
        <w:t xml:space="preserve">18 Budget, the </w:t>
      </w:r>
      <w:r w:rsidR="008671AA">
        <w:rPr>
          <w:sz w:val="21"/>
          <w:szCs w:val="21"/>
        </w:rPr>
        <w:t xml:space="preserve">Australian </w:t>
      </w:r>
      <w:r w:rsidRPr="00472602">
        <w:rPr>
          <w:sz w:val="21"/>
          <w:szCs w:val="21"/>
        </w:rPr>
        <w:t>Government announced measures:</w:t>
      </w:r>
    </w:p>
    <w:p w14:paraId="396AB7DE" w14:textId="58EF1B2F" w:rsidR="004859C7" w:rsidRPr="00472602" w:rsidRDefault="004859C7" w:rsidP="00543236">
      <w:pPr>
        <w:pStyle w:val="ListBullet"/>
      </w:pPr>
      <w:r w:rsidRPr="00472602">
        <w:t xml:space="preserve">establishing a dedicated unit within the Australian and Competition and Consumer Commission to undertake regular in-depth inquiries into specific financial system competition issues </w:t>
      </w:r>
    </w:p>
    <w:p w14:paraId="4E1C8D46" w14:textId="7E931941" w:rsidR="004859C7" w:rsidRPr="00472602" w:rsidRDefault="004859C7" w:rsidP="00543236">
      <w:pPr>
        <w:pStyle w:val="ListBullet"/>
      </w:pPr>
      <w:r w:rsidRPr="00472602">
        <w:t xml:space="preserve">legislating an enhanced </w:t>
      </w:r>
      <w:r w:rsidR="008D3EF7">
        <w:t>‘</w:t>
      </w:r>
      <w:r w:rsidRPr="00472602">
        <w:t>regulatory sandbox</w:t>
      </w:r>
      <w:r w:rsidR="008D3EF7">
        <w:t>’</w:t>
      </w:r>
      <w:r w:rsidRPr="00472602">
        <w:t xml:space="preserve"> to allow businesses to test for a period of </w:t>
      </w:r>
      <w:r w:rsidR="00E907CB" w:rsidRPr="00472602">
        <w:t>24 </w:t>
      </w:r>
      <w:r w:rsidRPr="00472602">
        <w:t>months a wide range of new financial products and services</w:t>
      </w:r>
      <w:r w:rsidR="00B60F40" w:rsidRPr="00B60F40">
        <w:rPr>
          <w:szCs w:val="21"/>
        </w:rPr>
        <w:t xml:space="preserve"> </w:t>
      </w:r>
      <w:sdt>
        <w:sdtPr>
          <w:rPr>
            <w:szCs w:val="21"/>
          </w:rPr>
          <w:id w:val="-1605799528"/>
          <w:citation/>
        </w:sdtPr>
        <w:sdtEndPr/>
        <w:sdtContent>
          <w:r w:rsidR="00B60F40">
            <w:rPr>
              <w:szCs w:val="21"/>
            </w:rPr>
            <w:fldChar w:fldCharType="begin"/>
          </w:r>
          <w:r w:rsidR="00B60F40">
            <w:rPr>
              <w:szCs w:val="21"/>
            </w:rPr>
            <w:instrText xml:space="preserve"> CITATION Bui17 \l 3081 </w:instrText>
          </w:r>
          <w:r w:rsidR="00B60F40">
            <w:rPr>
              <w:szCs w:val="21"/>
            </w:rPr>
            <w:fldChar w:fldCharType="separate"/>
          </w:r>
          <w:r w:rsidR="00B60F40">
            <w:rPr>
              <w:noProof/>
              <w:szCs w:val="21"/>
            </w:rPr>
            <w:t xml:space="preserve"> </w:t>
          </w:r>
          <w:r w:rsidR="00B60F40" w:rsidRPr="0018397C">
            <w:rPr>
              <w:noProof/>
              <w:szCs w:val="21"/>
            </w:rPr>
            <w:t>(The Australian Government 2017)</w:t>
          </w:r>
          <w:r w:rsidR="00B60F40">
            <w:rPr>
              <w:szCs w:val="21"/>
            </w:rPr>
            <w:fldChar w:fldCharType="end"/>
          </w:r>
        </w:sdtContent>
      </w:sdt>
      <w:r w:rsidRPr="00472602">
        <w:t>.</w:t>
      </w:r>
    </w:p>
    <w:p w14:paraId="0607ECD8" w14:textId="5322F773" w:rsidR="004859C7" w:rsidRPr="00472602" w:rsidRDefault="005328C4" w:rsidP="00AB346F">
      <w:pPr>
        <w:jc w:val="both"/>
        <w:rPr>
          <w:sz w:val="21"/>
          <w:szCs w:val="21"/>
        </w:rPr>
      </w:pPr>
      <w:r w:rsidRPr="00472602">
        <w:rPr>
          <w:sz w:val="21"/>
          <w:szCs w:val="21"/>
        </w:rPr>
        <w:t>Further</w:t>
      </w:r>
      <w:r w:rsidR="00EE39DF" w:rsidRPr="00472602">
        <w:rPr>
          <w:sz w:val="21"/>
          <w:szCs w:val="21"/>
        </w:rPr>
        <w:t>,</w:t>
      </w:r>
      <w:r w:rsidR="00A97164">
        <w:rPr>
          <w:sz w:val="21"/>
          <w:szCs w:val="21"/>
        </w:rPr>
        <w:t xml:space="preserve"> in August</w:t>
      </w:r>
      <w:r w:rsidR="00BD409C" w:rsidRPr="00472602">
        <w:rPr>
          <w:sz w:val="21"/>
          <w:szCs w:val="21"/>
        </w:rPr>
        <w:t xml:space="preserve"> </w:t>
      </w:r>
      <w:r w:rsidR="00EE39DF" w:rsidRPr="00472602">
        <w:rPr>
          <w:sz w:val="21"/>
          <w:szCs w:val="21"/>
        </w:rPr>
        <w:t xml:space="preserve">APRA initiated a consultation on </w:t>
      </w:r>
      <w:r w:rsidR="00BD409C" w:rsidRPr="00472602">
        <w:rPr>
          <w:sz w:val="21"/>
          <w:szCs w:val="21"/>
        </w:rPr>
        <w:t xml:space="preserve">the possibility of introducing a phased approach to authorisation, which would provide a restricted licence while an entity </w:t>
      </w:r>
      <w:r w:rsidR="00563D1B" w:rsidRPr="00472602">
        <w:rPr>
          <w:sz w:val="21"/>
          <w:szCs w:val="21"/>
        </w:rPr>
        <w:t xml:space="preserve">is </w:t>
      </w:r>
      <w:r w:rsidR="00BD409C" w:rsidRPr="00472602">
        <w:rPr>
          <w:sz w:val="21"/>
          <w:szCs w:val="21"/>
        </w:rPr>
        <w:t>developing the full range of resources and capabilities necessary to meet the requirements of the prudential framework</w:t>
      </w:r>
      <w:sdt>
        <w:sdtPr>
          <w:rPr>
            <w:sz w:val="21"/>
            <w:szCs w:val="21"/>
          </w:rPr>
          <w:id w:val="1484356392"/>
          <w:citation/>
        </w:sdtPr>
        <w:sdtEndPr/>
        <w:sdtContent>
          <w:r w:rsidR="00482EAE">
            <w:rPr>
              <w:sz w:val="21"/>
              <w:szCs w:val="21"/>
            </w:rPr>
            <w:fldChar w:fldCharType="begin"/>
          </w:r>
          <w:r w:rsidR="00482EAE">
            <w:rPr>
              <w:sz w:val="21"/>
              <w:szCs w:val="21"/>
            </w:rPr>
            <w:instrText xml:space="preserve"> CITATION APR171 \l 3081 </w:instrText>
          </w:r>
          <w:r w:rsidR="00482EAE">
            <w:rPr>
              <w:sz w:val="21"/>
              <w:szCs w:val="21"/>
            </w:rPr>
            <w:fldChar w:fldCharType="separate"/>
          </w:r>
          <w:r w:rsidR="0018397C">
            <w:rPr>
              <w:noProof/>
              <w:sz w:val="21"/>
              <w:szCs w:val="21"/>
            </w:rPr>
            <w:t xml:space="preserve"> </w:t>
          </w:r>
          <w:r w:rsidR="0018397C" w:rsidRPr="0018397C">
            <w:rPr>
              <w:noProof/>
              <w:sz w:val="21"/>
              <w:szCs w:val="21"/>
            </w:rPr>
            <w:t>(APRA 2017b)</w:t>
          </w:r>
          <w:r w:rsidR="00482EAE">
            <w:rPr>
              <w:sz w:val="21"/>
              <w:szCs w:val="21"/>
            </w:rPr>
            <w:fldChar w:fldCharType="end"/>
          </w:r>
        </w:sdtContent>
      </w:sdt>
      <w:r w:rsidR="004859C7" w:rsidRPr="00472602">
        <w:rPr>
          <w:sz w:val="21"/>
          <w:szCs w:val="21"/>
        </w:rPr>
        <w:t xml:space="preserve">. </w:t>
      </w:r>
    </w:p>
    <w:p w14:paraId="374C473F" w14:textId="3379C77A" w:rsidR="005328C4" w:rsidRPr="00472602" w:rsidRDefault="005328C4" w:rsidP="005328C4">
      <w:pPr>
        <w:rPr>
          <w:sz w:val="21"/>
          <w:szCs w:val="21"/>
        </w:rPr>
      </w:pPr>
      <w:r w:rsidRPr="00472602">
        <w:rPr>
          <w:sz w:val="21"/>
          <w:szCs w:val="21"/>
        </w:rPr>
        <w:t xml:space="preserve">Collectively these measures suggest substantial progress on further enhancing competition in the financial system since the 2014 FSI Final </w:t>
      </w:r>
      <w:r w:rsidR="00D26570">
        <w:rPr>
          <w:sz w:val="21"/>
          <w:szCs w:val="21"/>
        </w:rPr>
        <w:t>R</w:t>
      </w:r>
      <w:r w:rsidRPr="00472602">
        <w:rPr>
          <w:sz w:val="21"/>
          <w:szCs w:val="21"/>
        </w:rPr>
        <w:t>eport.</w:t>
      </w:r>
    </w:p>
    <w:p w14:paraId="62565712" w14:textId="77777777" w:rsidR="0099744A" w:rsidRDefault="0099744A">
      <w:pPr>
        <w:rPr>
          <w:rFonts w:ascii="Palatino Linotype" w:hAnsi="Palatino Linotype"/>
          <w:b/>
          <w:color w:val="007698"/>
          <w:sz w:val="28"/>
          <w:szCs w:val="28"/>
        </w:rPr>
      </w:pPr>
      <w:r>
        <w:br w:type="page"/>
      </w:r>
    </w:p>
    <w:p w14:paraId="5098DCCA" w14:textId="3E3069C4" w:rsidR="00490081" w:rsidRDefault="003434D0" w:rsidP="00160D25">
      <w:pPr>
        <w:pStyle w:val="Heading1"/>
        <w:numPr>
          <w:ilvl w:val="0"/>
          <w:numId w:val="39"/>
        </w:numPr>
      </w:pPr>
      <w:r>
        <w:lastRenderedPageBreak/>
        <w:t>Assessing Competition in the Financial System</w:t>
      </w:r>
    </w:p>
    <w:p w14:paraId="3B9430E9" w14:textId="4038D544" w:rsidR="004B55BE" w:rsidRDefault="004B55BE" w:rsidP="00C976F5">
      <w:pPr>
        <w:pStyle w:val="BodyText"/>
      </w:pPr>
      <w:r>
        <w:t xml:space="preserve">This section </w:t>
      </w:r>
      <w:r w:rsidR="00A66462">
        <w:t>takes a system-wide perspective of competition. It examines the broad trends in the sector and characteristics that have a bearing on competition. It then notes challenges in assessing competition before presenting available indicators for Australia.</w:t>
      </w:r>
    </w:p>
    <w:p w14:paraId="54EF4BB6" w14:textId="517766F9" w:rsidR="00C25042" w:rsidRDefault="00B26243" w:rsidP="00805527">
      <w:pPr>
        <w:pStyle w:val="Heading2"/>
      </w:pPr>
      <w:r>
        <w:t xml:space="preserve">Long-term trends </w:t>
      </w:r>
    </w:p>
    <w:p w14:paraId="116D97DC" w14:textId="36B1A349" w:rsidR="001C1199" w:rsidRDefault="00C70D99" w:rsidP="007D1772">
      <w:pPr>
        <w:pStyle w:val="BodyText"/>
      </w:pPr>
      <w:r>
        <w:t xml:space="preserve">The Australian financial system has changed significantly since the period of financial deregulation in the 1980s. </w:t>
      </w:r>
      <w:r w:rsidR="005D79C1">
        <w:t>T</w:t>
      </w:r>
      <w:r w:rsidR="0051136F">
        <w:t>h</w:t>
      </w:r>
      <w:r>
        <w:t>is</w:t>
      </w:r>
      <w:r w:rsidR="0051136F">
        <w:t xml:space="preserve"> </w:t>
      </w:r>
      <w:r w:rsidR="00B021DA">
        <w:t>is evident in</w:t>
      </w:r>
      <w:r w:rsidR="007D1772">
        <w:t xml:space="preserve"> </w:t>
      </w:r>
      <w:r w:rsidR="008B7995">
        <w:t>two important trends</w:t>
      </w:r>
      <w:r w:rsidR="007D1772">
        <w:t>.</w:t>
      </w:r>
      <w:r w:rsidR="00B021DA">
        <w:rPr>
          <w:rStyle w:val="FootnoteReference"/>
        </w:rPr>
        <w:footnoteReference w:id="3"/>
      </w:r>
      <w:r w:rsidR="00B021DA">
        <w:t xml:space="preserve"> </w:t>
      </w:r>
      <w:r w:rsidR="003803F7">
        <w:t>First, t</w:t>
      </w:r>
      <w:r w:rsidR="007D1772">
        <w:t xml:space="preserve">he financial sector has increased in importance, </w:t>
      </w:r>
      <w:r w:rsidR="00E907CB">
        <w:t xml:space="preserve">with assets </w:t>
      </w:r>
      <w:r w:rsidR="007D1772">
        <w:t xml:space="preserve">rising from </w:t>
      </w:r>
      <w:r w:rsidR="003803F7">
        <w:t>around the level of</w:t>
      </w:r>
      <w:r w:rsidR="007D1772">
        <w:t xml:space="preserve"> annual GDP</w:t>
      </w:r>
      <w:r w:rsidR="003803F7">
        <w:t xml:space="preserve"> prior to</w:t>
      </w:r>
      <w:r w:rsidR="007D1772">
        <w:t xml:space="preserve"> </w:t>
      </w:r>
      <w:r w:rsidR="003803F7">
        <w:t xml:space="preserve">the period of deregulation, </w:t>
      </w:r>
      <w:r w:rsidR="007D1772">
        <w:t>to be approaching four times GDP today</w:t>
      </w:r>
      <w:r w:rsidR="009449B4">
        <w:t xml:space="preserve"> (</w:t>
      </w:r>
      <w:r w:rsidR="009449B4">
        <w:fldChar w:fldCharType="begin"/>
      </w:r>
      <w:r w:rsidR="009449B4">
        <w:instrText xml:space="preserve"> REF _Ref492390266 \h </w:instrText>
      </w:r>
      <w:r w:rsidR="009449B4">
        <w:fldChar w:fldCharType="separate"/>
      </w:r>
      <w:r w:rsidR="00032843">
        <w:t>Graph </w:t>
      </w:r>
      <w:r w:rsidR="00032843">
        <w:rPr>
          <w:noProof/>
        </w:rPr>
        <w:t>1</w:t>
      </w:r>
      <w:r w:rsidR="009449B4">
        <w:fldChar w:fldCharType="end"/>
      </w:r>
      <w:r w:rsidR="009449B4">
        <w:t>)</w:t>
      </w:r>
      <w:r w:rsidR="007D1772">
        <w:t xml:space="preserve">. </w:t>
      </w:r>
      <w:r w:rsidR="003803F7">
        <w:t xml:space="preserve">Second, </w:t>
      </w:r>
      <w:r>
        <w:t xml:space="preserve">the institutional structure of the financial system has changed, with </w:t>
      </w:r>
      <w:r w:rsidR="007D1772">
        <w:t>the importance of banks</w:t>
      </w:r>
      <w:r w:rsidR="003803F7">
        <w:t xml:space="preserve"> </w:t>
      </w:r>
      <w:r w:rsidR="007D1772">
        <w:t xml:space="preserve">steadily </w:t>
      </w:r>
      <w:r>
        <w:t>growing</w:t>
      </w:r>
      <w:r w:rsidR="007D1772">
        <w:t xml:space="preserve">. Today banks account for more than half of the total assets of the financial system, up from </w:t>
      </w:r>
      <w:r w:rsidR="004451D4">
        <w:t>one-third</w:t>
      </w:r>
      <w:r w:rsidR="007D1772">
        <w:t xml:space="preserve"> in </w:t>
      </w:r>
      <w:r w:rsidR="004451D4">
        <w:t>1980</w:t>
      </w:r>
      <w:r w:rsidR="007D1772">
        <w:t>, and their lending accounts for around 90 per cent of total credit</w:t>
      </w:r>
      <w:r w:rsidR="008B7995">
        <w:t xml:space="preserve"> (</w:t>
      </w:r>
      <w:r w:rsidR="008B7995">
        <w:fldChar w:fldCharType="begin"/>
      </w:r>
      <w:r w:rsidR="008B7995">
        <w:instrText xml:space="preserve"> REF _Ref492390335 \h </w:instrText>
      </w:r>
      <w:r w:rsidR="008B7995">
        <w:fldChar w:fldCharType="separate"/>
      </w:r>
      <w:r w:rsidR="00032843">
        <w:rPr>
          <w:noProof/>
        </w:rPr>
        <w:t>Graph 2</w:t>
      </w:r>
      <w:r w:rsidR="008B7995">
        <w:fldChar w:fldCharType="end"/>
      </w:r>
      <w:r w:rsidR="008B7995">
        <w:t>)</w:t>
      </w:r>
      <w:r w:rsidR="007D1772">
        <w:t xml:space="preserve">. </w:t>
      </w:r>
      <w:r>
        <w:t>Over the same period, the relative importance of non</w:t>
      </w:r>
      <w:r w:rsidR="00A81665">
        <w:t>-bank financial in</w:t>
      </w:r>
      <w:r w:rsidR="006B6C75">
        <w:t>termediaries</w:t>
      </w:r>
      <w:r w:rsidR="00A81665">
        <w:t xml:space="preserve"> </w:t>
      </w:r>
      <w:r w:rsidR="00C302DC">
        <w:t xml:space="preserve">has declined </w:t>
      </w:r>
      <w:r w:rsidR="00A81665">
        <w:t>(including credit unions, building societies and registered financial corporations</w:t>
      </w:r>
      <w:r w:rsidR="00B021DA">
        <w:t xml:space="preserve"> – institutions that grew strongly prior to the 1980s</w:t>
      </w:r>
      <w:r w:rsidR="007C46BC">
        <w:t>, partly as a result of being subject to fewer regulations than banks</w:t>
      </w:r>
      <w:r w:rsidR="00A81665">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5C1EDC" w14:paraId="37A08ECF" w14:textId="77777777" w:rsidTr="00EC6F22">
        <w:trPr>
          <w:jc w:val="center"/>
        </w:trPr>
        <w:tc>
          <w:tcPr>
            <w:tcW w:w="4365" w:type="dxa"/>
          </w:tcPr>
          <w:p w14:paraId="5E2990DE" w14:textId="77777777" w:rsidR="005C1EDC" w:rsidRDefault="005C1EDC" w:rsidP="00EC6F22">
            <w:pPr>
              <w:pStyle w:val="GraphTitle"/>
              <w:rPr>
                <w:noProof/>
              </w:rPr>
            </w:pPr>
            <w:bookmarkStart w:id="1" w:name="_Ref492390266"/>
            <w:r>
              <w:t>Graph </w:t>
            </w:r>
            <w:fldSimple w:instr=" SEQ Graph \* ARABIC \* MERGEFORMAT ">
              <w:r w:rsidR="00032843">
                <w:rPr>
                  <w:noProof/>
                </w:rPr>
                <w:t>1</w:t>
              </w:r>
            </w:fldSimple>
            <w:bookmarkEnd w:id="1"/>
          </w:p>
          <w:p w14:paraId="7BA7814B" w14:textId="77777777" w:rsidR="005C1EDC" w:rsidRDefault="005C1EDC" w:rsidP="00EC6F22">
            <w:pPr>
              <w:pStyle w:val="GraphTitle"/>
              <w:spacing w:before="0" w:after="0"/>
            </w:pPr>
            <w:r>
              <w:rPr>
                <w:noProof/>
              </w:rPr>
              <w:drawing>
                <wp:inline distT="0" distB="0" distL="0" distR="0" wp14:anchorId="25936142" wp14:editId="2206F473">
                  <wp:extent cx="2768400" cy="2520000"/>
                  <wp:effectExtent l="0" t="0" r="0" b="0"/>
                  <wp:docPr id="11" name="Picture 11" descr="G:\FS\_Dropbox\Assets of Financial Institution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FS\_Dropbox\Assets of Financial Institutions.emf"/>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c>
          <w:tcPr>
            <w:tcW w:w="4365" w:type="dxa"/>
          </w:tcPr>
          <w:p w14:paraId="6418029F" w14:textId="77777777" w:rsidR="005C1EDC" w:rsidRDefault="005C1EDC" w:rsidP="00EC6F22">
            <w:pPr>
              <w:pStyle w:val="GraphTitle"/>
              <w:rPr>
                <w:noProof/>
              </w:rPr>
            </w:pPr>
            <w:bookmarkStart w:id="2" w:name="_Ref492390335"/>
            <w:r>
              <w:rPr>
                <w:noProof/>
              </w:rPr>
              <w:t>Graph </w:t>
            </w:r>
            <w:r>
              <w:rPr>
                <w:noProof/>
              </w:rPr>
              <w:fldChar w:fldCharType="begin"/>
            </w:r>
            <w:r>
              <w:rPr>
                <w:noProof/>
              </w:rPr>
              <w:instrText xml:space="preserve"> SEQ Graph \* ARABIC \* MERGEFORMAT </w:instrText>
            </w:r>
            <w:r>
              <w:rPr>
                <w:noProof/>
              </w:rPr>
              <w:fldChar w:fldCharType="separate"/>
            </w:r>
            <w:r w:rsidR="00032843">
              <w:rPr>
                <w:noProof/>
              </w:rPr>
              <w:t>2</w:t>
            </w:r>
            <w:r>
              <w:rPr>
                <w:noProof/>
              </w:rPr>
              <w:fldChar w:fldCharType="end"/>
            </w:r>
            <w:bookmarkEnd w:id="2"/>
          </w:p>
          <w:p w14:paraId="082968A7" w14:textId="77777777" w:rsidR="005C1EDC" w:rsidRDefault="005C1EDC" w:rsidP="00EC6F22">
            <w:pPr>
              <w:pStyle w:val="BodyText"/>
              <w:spacing w:after="0"/>
              <w:jc w:val="center"/>
            </w:pPr>
            <w:r>
              <w:rPr>
                <w:noProof/>
              </w:rPr>
              <w:drawing>
                <wp:inline distT="0" distB="0" distL="0" distR="0" wp14:anchorId="7FDCA096" wp14:editId="7ABA69FD">
                  <wp:extent cx="2775600" cy="2232000"/>
                  <wp:effectExtent l="0" t="0" r="5715" b="0"/>
                  <wp:docPr id="17" name="Picture 17" descr="G:\FS\_Dropbox\Bank Lending.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FS\_Dropbox\Bank Lending.emf"/>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5600" cy="2232000"/>
                          </a:xfrm>
                          <a:prstGeom prst="rect">
                            <a:avLst/>
                          </a:prstGeom>
                          <a:noFill/>
                          <a:ln>
                            <a:noFill/>
                          </a:ln>
                        </pic:spPr>
                      </pic:pic>
                    </a:graphicData>
                  </a:graphic>
                </wp:inline>
              </w:drawing>
            </w:r>
          </w:p>
        </w:tc>
      </w:tr>
    </w:tbl>
    <w:p w14:paraId="251C13EF" w14:textId="54E1C765" w:rsidR="00A81665" w:rsidRDefault="00A81665" w:rsidP="00AB4285">
      <w:pPr>
        <w:pStyle w:val="BodyText"/>
        <w:spacing w:before="120"/>
      </w:pPr>
      <w:r>
        <w:t>There has been a considerable rationalisation of credit unions and building societies</w:t>
      </w:r>
      <w:r w:rsidR="00B021DA">
        <w:t xml:space="preserve"> </w:t>
      </w:r>
      <w:r w:rsidR="007C46BC">
        <w:t xml:space="preserve">(which are now prudentially regulated as </w:t>
      </w:r>
      <w:r w:rsidR="007C340B">
        <w:t>ADIs</w:t>
      </w:r>
      <w:r w:rsidR="007C46BC">
        <w:t>),</w:t>
      </w:r>
      <w:r>
        <w:t xml:space="preserve"> associated with regulatory changes and competitive pressures. </w:t>
      </w:r>
      <w:r w:rsidR="00B021DA">
        <w:t xml:space="preserve">This </w:t>
      </w:r>
      <w:r w:rsidR="007C46BC">
        <w:t>rationalisation has</w:t>
      </w:r>
      <w:r w:rsidR="00B021DA">
        <w:t xml:space="preserve"> occurred through a number of mergers and acquisitions within the sector, as well as a number of </w:t>
      </w:r>
      <w:r w:rsidR="00C302DC">
        <w:t xml:space="preserve">credit unions and building societies </w:t>
      </w:r>
      <w:r w:rsidR="00B021DA">
        <w:t xml:space="preserve">converting to mutual banks. </w:t>
      </w:r>
      <w:r w:rsidR="007D1772">
        <w:t>T</w:t>
      </w:r>
      <w:r w:rsidR="00B021DA">
        <w:t>oday t</w:t>
      </w:r>
      <w:r w:rsidR="007D1772">
        <w:t xml:space="preserve">he share of financial intermediation outside the prudentially regulated sectors is very small. </w:t>
      </w:r>
    </w:p>
    <w:p w14:paraId="15C47B92" w14:textId="74AB47AD" w:rsidR="007D1772" w:rsidRPr="005771B7" w:rsidRDefault="00D81DF2" w:rsidP="007D1772">
      <w:pPr>
        <w:pStyle w:val="BodyText"/>
      </w:pPr>
      <w:r>
        <w:t>This section focuses predominantly on competition in the ba</w:t>
      </w:r>
      <w:r w:rsidR="007752D7">
        <w:t>n</w:t>
      </w:r>
      <w:r>
        <w:t xml:space="preserve">king system, but, as will be discussed, competitive outcomes </w:t>
      </w:r>
      <w:r w:rsidR="008E5591">
        <w:t xml:space="preserve">can </w:t>
      </w:r>
      <w:r>
        <w:t xml:space="preserve">be significantly influenced by competition from outside the sector. </w:t>
      </w:r>
    </w:p>
    <w:p w14:paraId="3B5DC243" w14:textId="6426B254" w:rsidR="00B26243" w:rsidRDefault="0023432F" w:rsidP="00C976F5">
      <w:pPr>
        <w:pStyle w:val="Heading2"/>
      </w:pPr>
      <w:r>
        <w:t>Characteristics</w:t>
      </w:r>
      <w:r w:rsidR="004B55BE">
        <w:t xml:space="preserve"> </w:t>
      </w:r>
      <w:r>
        <w:t>of the finance sector</w:t>
      </w:r>
      <w:r w:rsidR="00B1458B">
        <w:t xml:space="preserve"> </w:t>
      </w:r>
    </w:p>
    <w:p w14:paraId="60A7F79D" w14:textId="69E9BDD1" w:rsidR="00667788" w:rsidRDefault="00667788" w:rsidP="005771B7">
      <w:pPr>
        <w:pStyle w:val="BodyText"/>
      </w:pPr>
      <w:r>
        <w:t xml:space="preserve">Competition can generally be expected to deliver </w:t>
      </w:r>
      <w:r w:rsidR="00702E28">
        <w:t>a range o</w:t>
      </w:r>
      <w:r>
        <w:t>f benefits, including: better allocation of resources; more technically efficient</w:t>
      </w:r>
      <w:r w:rsidR="00D24B7D">
        <w:t xml:space="preserve"> and low</w:t>
      </w:r>
      <w:r w:rsidR="00FB5335">
        <w:t>-</w:t>
      </w:r>
      <w:r w:rsidR="00D24B7D">
        <w:t>cost</w:t>
      </w:r>
      <w:r>
        <w:t xml:space="preserve"> production; better quality and variety of services; greater adaptability and, in the finance sector’s case, greater availability of credit. However, there are a number of </w:t>
      </w:r>
      <w:r w:rsidR="00B1458B">
        <w:t>characteristics and behaviours</w:t>
      </w:r>
      <w:r>
        <w:t xml:space="preserve"> that have a bearing on the level and nature of competition in the finance sector</w:t>
      </w:r>
      <w:r w:rsidR="00B1458B">
        <w:t>.</w:t>
      </w:r>
      <w:r>
        <w:t xml:space="preserve"> Some of the more important </w:t>
      </w:r>
      <w:r w:rsidR="00B1458B">
        <w:t>are outlined below.</w:t>
      </w:r>
    </w:p>
    <w:p w14:paraId="4DFBE037" w14:textId="3A7E6D53" w:rsidR="00667788" w:rsidRDefault="00DE2793" w:rsidP="00543236">
      <w:pPr>
        <w:pStyle w:val="BodyText"/>
        <w:numPr>
          <w:ilvl w:val="0"/>
          <w:numId w:val="51"/>
        </w:numPr>
        <w:ind w:left="360"/>
      </w:pPr>
      <w:r w:rsidRPr="00C976F5">
        <w:rPr>
          <w:b/>
        </w:rPr>
        <w:t>Economies o</w:t>
      </w:r>
      <w:r w:rsidR="0076465B" w:rsidRPr="00C976F5">
        <w:rPr>
          <w:b/>
        </w:rPr>
        <w:t>f scale.</w:t>
      </w:r>
      <w:r w:rsidR="0076465B">
        <w:t xml:space="preserve"> </w:t>
      </w:r>
      <w:r w:rsidR="00D26570">
        <w:t>Large</w:t>
      </w:r>
      <w:r w:rsidR="00D24B7D">
        <w:t xml:space="preserve"> </w:t>
      </w:r>
      <w:r>
        <w:t>institution</w:t>
      </w:r>
      <w:r w:rsidR="00D24B7D">
        <w:t>s</w:t>
      </w:r>
      <w:r>
        <w:t xml:space="preserve"> </w:t>
      </w:r>
      <w:r w:rsidR="008E5591">
        <w:t>can</w:t>
      </w:r>
      <w:r>
        <w:t xml:space="preserve"> operate more efficiently</w:t>
      </w:r>
      <w:r w:rsidR="00D26570">
        <w:t xml:space="preserve"> than smaller institutions</w:t>
      </w:r>
      <w:r w:rsidR="008E5591">
        <w:t xml:space="preserve"> in some regards</w:t>
      </w:r>
      <w:r>
        <w:t xml:space="preserve">, for instance by spreading fixed costs </w:t>
      </w:r>
      <w:r w:rsidR="0076465B">
        <w:t>(e.g.</w:t>
      </w:r>
      <w:r w:rsidR="009D3667">
        <w:t xml:space="preserve"> branch networks,</w:t>
      </w:r>
      <w:r w:rsidR="0076465B">
        <w:t xml:space="preserve"> </w:t>
      </w:r>
      <w:r w:rsidR="00B94CC3">
        <w:t xml:space="preserve">information technology </w:t>
      </w:r>
      <w:r w:rsidR="00B36B27">
        <w:t xml:space="preserve">(IT) </w:t>
      </w:r>
      <w:r w:rsidR="00B94CC3">
        <w:t xml:space="preserve">and </w:t>
      </w:r>
      <w:r w:rsidR="0019547C">
        <w:t>investment in brand recognition</w:t>
      </w:r>
      <w:r w:rsidR="00B94CC3">
        <w:t xml:space="preserve">) </w:t>
      </w:r>
      <w:r w:rsidRPr="006B4907">
        <w:t xml:space="preserve">across a larger </w:t>
      </w:r>
      <w:r w:rsidR="006B4907" w:rsidRPr="006B4907">
        <w:t>asset</w:t>
      </w:r>
      <w:r w:rsidR="00891D0B" w:rsidRPr="006B4907">
        <w:t xml:space="preserve"> </w:t>
      </w:r>
      <w:r w:rsidR="0076465B" w:rsidRPr="006B4907">
        <w:t xml:space="preserve">or </w:t>
      </w:r>
      <w:r w:rsidR="00D26570" w:rsidRPr="006B4907">
        <w:t>revenue</w:t>
      </w:r>
      <w:r w:rsidR="006B4907" w:rsidRPr="006B4907">
        <w:t xml:space="preserve"> base</w:t>
      </w:r>
      <w:r w:rsidRPr="006B4907">
        <w:t>.</w:t>
      </w:r>
      <w:r>
        <w:t xml:space="preserve"> This mean</w:t>
      </w:r>
      <w:r w:rsidR="008E5591">
        <w:t>s</w:t>
      </w:r>
      <w:r>
        <w:t xml:space="preserve"> that a small number of large banks </w:t>
      </w:r>
      <w:r w:rsidR="008E5591">
        <w:t xml:space="preserve">might be </w:t>
      </w:r>
      <w:r>
        <w:t>an efficient</w:t>
      </w:r>
      <w:r w:rsidR="00D24B7D">
        <w:t>, low</w:t>
      </w:r>
      <w:r w:rsidR="00C302DC">
        <w:t>-</w:t>
      </w:r>
      <w:r w:rsidR="00D24B7D">
        <w:t>cost</w:t>
      </w:r>
      <w:r>
        <w:t xml:space="preserve"> market structure</w:t>
      </w:r>
      <w:sdt>
        <w:sdtPr>
          <w:id w:val="-220831399"/>
          <w:citation/>
        </w:sdtPr>
        <w:sdtEndPr/>
        <w:sdtContent>
          <w:r w:rsidR="00BE2F50">
            <w:fldChar w:fldCharType="begin"/>
          </w:r>
          <w:r w:rsidR="00BE2F50">
            <w:instrText xml:space="preserve"> CITATION Jay98 \l 3081 </w:instrText>
          </w:r>
          <w:r w:rsidR="00BE2F50">
            <w:fldChar w:fldCharType="separate"/>
          </w:r>
          <w:r w:rsidR="0018397C">
            <w:rPr>
              <w:noProof/>
            </w:rPr>
            <w:t xml:space="preserve"> (Jayaratne, J and P 1998)</w:t>
          </w:r>
          <w:r w:rsidR="00BE2F50">
            <w:fldChar w:fldCharType="end"/>
          </w:r>
        </w:sdtContent>
      </w:sdt>
      <w:r>
        <w:t>. Scale also helps the major banks achieve lower funding costs because they are more diversified and</w:t>
      </w:r>
      <w:r w:rsidR="00561317">
        <w:t>,</w:t>
      </w:r>
      <w:r>
        <w:t xml:space="preserve"> therefore</w:t>
      </w:r>
      <w:r w:rsidR="00561317">
        <w:t>,</w:t>
      </w:r>
      <w:r>
        <w:t xml:space="preserve"> less risky</w:t>
      </w:r>
      <w:r w:rsidR="00D24B7D">
        <w:t xml:space="preserve"> and</w:t>
      </w:r>
      <w:r>
        <w:t xml:space="preserve"> they are better recognised by potential investors</w:t>
      </w:r>
      <w:r w:rsidR="00891D0B">
        <w:t xml:space="preserve"> resulting in debt that is more liquid</w:t>
      </w:r>
      <w:r w:rsidR="00D24B7D">
        <w:t>. T</w:t>
      </w:r>
      <w:r>
        <w:t xml:space="preserve">here </w:t>
      </w:r>
      <w:r w:rsidR="00D24B7D">
        <w:t xml:space="preserve">is also </w:t>
      </w:r>
      <w:r>
        <w:t>the perception of an implicit government gu</w:t>
      </w:r>
      <w:r w:rsidR="00E90A70">
        <w:t>a</w:t>
      </w:r>
      <w:r>
        <w:t xml:space="preserve">rantee on the basis that they </w:t>
      </w:r>
      <w:r w:rsidR="00891D0B">
        <w:t xml:space="preserve">could </w:t>
      </w:r>
      <w:r>
        <w:t>be ‘too big to fail’.</w:t>
      </w:r>
      <w:r w:rsidR="00E90A70">
        <w:t xml:space="preserve"> The higher the fixed costs in a particular </w:t>
      </w:r>
      <w:r w:rsidR="00891D0B">
        <w:t xml:space="preserve">area of </w:t>
      </w:r>
      <w:r w:rsidR="00E90A70">
        <w:t xml:space="preserve">business (e.g. SME credit assessment capabilities or </w:t>
      </w:r>
      <w:r w:rsidR="00561317" w:rsidRPr="00561317">
        <w:t>res</w:t>
      </w:r>
      <w:r w:rsidR="00EC6F22">
        <w:t>earch and development</w:t>
      </w:r>
      <w:r w:rsidR="00E90A70">
        <w:t>), the greater the advantage to scale.</w:t>
      </w:r>
    </w:p>
    <w:p w14:paraId="69E5F767" w14:textId="5ECA6D53" w:rsidR="00DE2793" w:rsidRDefault="00DE2793" w:rsidP="00543236">
      <w:pPr>
        <w:pStyle w:val="BodyText"/>
        <w:numPr>
          <w:ilvl w:val="0"/>
          <w:numId w:val="51"/>
        </w:numPr>
        <w:ind w:left="360"/>
      </w:pPr>
      <w:r w:rsidRPr="00C976F5">
        <w:rPr>
          <w:b/>
        </w:rPr>
        <w:t>Economies of scope</w:t>
      </w:r>
      <w:r w:rsidR="00891D0B">
        <w:rPr>
          <w:b/>
        </w:rPr>
        <w:t xml:space="preserve"> and product bundling</w:t>
      </w:r>
      <w:r w:rsidRPr="00C976F5">
        <w:rPr>
          <w:b/>
        </w:rPr>
        <w:t>.</w:t>
      </w:r>
      <w:r w:rsidR="00B94CC3">
        <w:t xml:space="preserve"> </w:t>
      </w:r>
      <w:r w:rsidR="00E90A70">
        <w:t xml:space="preserve">Institutions can </w:t>
      </w:r>
      <w:r w:rsidR="0076465B">
        <w:t xml:space="preserve">also </w:t>
      </w:r>
      <w:r w:rsidR="00E90A70">
        <w:t>reduce costs by offerin</w:t>
      </w:r>
      <w:r w:rsidR="00EE1BE0">
        <w:t>g a number of related products.</w:t>
      </w:r>
      <w:r w:rsidR="00B94CC3">
        <w:t xml:space="preserve"> </w:t>
      </w:r>
      <w:r w:rsidR="0076465B">
        <w:t xml:space="preserve">The major banks provide a full suite of intermediation and transactional products across a wide range of customer types. They </w:t>
      </w:r>
      <w:r w:rsidR="00EE1BE0">
        <w:t xml:space="preserve">have also diversified into mortgage broking, stockbroking, wealth management and advisory services, in part to take advantage of shared distribution channels. </w:t>
      </w:r>
      <w:r w:rsidR="00702E28">
        <w:t>This diversification is ac</w:t>
      </w:r>
      <w:r w:rsidR="002A761F">
        <w:t xml:space="preserve">companied by </w:t>
      </w:r>
      <w:r w:rsidR="00841A4A">
        <w:t xml:space="preserve">cross-selling and </w:t>
      </w:r>
      <w:r w:rsidR="002A761F">
        <w:t xml:space="preserve">the bundling of products into a package for customers, for example an offset account and a credit card with a home loan or card acquiring services with a business </w:t>
      </w:r>
      <w:r w:rsidR="00841A4A">
        <w:t>loan</w:t>
      </w:r>
      <w:r w:rsidR="002A761F">
        <w:t xml:space="preserve">. </w:t>
      </w:r>
      <w:r w:rsidR="00EE1BE0">
        <w:t xml:space="preserve">While </w:t>
      </w:r>
      <w:r w:rsidR="008421A9">
        <w:t xml:space="preserve">bundling </w:t>
      </w:r>
      <w:r w:rsidR="008E5591">
        <w:t xml:space="preserve">can </w:t>
      </w:r>
      <w:r w:rsidR="00EE1BE0">
        <w:t xml:space="preserve">be </w:t>
      </w:r>
      <w:r w:rsidR="00B92219">
        <w:t>beneficial</w:t>
      </w:r>
      <w:r w:rsidR="00EE1BE0">
        <w:t xml:space="preserve"> for customers, </w:t>
      </w:r>
      <w:r w:rsidR="00B20CBC">
        <w:t xml:space="preserve">it </w:t>
      </w:r>
      <w:r w:rsidR="00EE1BE0">
        <w:t xml:space="preserve">can also reduce competition in individual product markets by </w:t>
      </w:r>
      <w:r w:rsidR="006252A9">
        <w:t xml:space="preserve">making customers less willing to switch providers, particularly if there is a degree of cross-subsidisation between </w:t>
      </w:r>
      <w:r w:rsidR="00841A4A">
        <w:t>products</w:t>
      </w:r>
      <w:r w:rsidR="006252A9">
        <w:t>.</w:t>
      </w:r>
    </w:p>
    <w:p w14:paraId="67327174" w14:textId="065B2DA9" w:rsidR="00CB66CD" w:rsidRDefault="00B26243" w:rsidP="00543236">
      <w:pPr>
        <w:pStyle w:val="BodyText"/>
        <w:numPr>
          <w:ilvl w:val="0"/>
          <w:numId w:val="51"/>
        </w:numPr>
        <w:ind w:left="360"/>
      </w:pPr>
      <w:r w:rsidRPr="00C976F5">
        <w:rPr>
          <w:b/>
        </w:rPr>
        <w:t>Information problems.</w:t>
      </w:r>
      <w:r>
        <w:t xml:space="preserve"> </w:t>
      </w:r>
      <w:r w:rsidR="00891D0B">
        <w:t>One of the main roles played by</w:t>
      </w:r>
      <w:r>
        <w:t xml:space="preserve"> financial intermediaries is to </w:t>
      </w:r>
      <w:r w:rsidR="00645F22">
        <w:t>efficiently gather</w:t>
      </w:r>
      <w:r>
        <w:t xml:space="preserve"> information about the </w:t>
      </w:r>
      <w:r w:rsidR="0018128E">
        <w:t xml:space="preserve">credit risk </w:t>
      </w:r>
      <w:r>
        <w:t>of potential borrowers. However</w:t>
      </w:r>
      <w:r w:rsidR="00862E1B">
        <w:t>,</w:t>
      </w:r>
      <w:r>
        <w:t xml:space="preserve"> their knowledge of the borrower increases with the length </w:t>
      </w:r>
      <w:r w:rsidR="00645F22">
        <w:t xml:space="preserve">and breadth </w:t>
      </w:r>
      <w:r>
        <w:t xml:space="preserve">of </w:t>
      </w:r>
      <w:r w:rsidR="00645F22">
        <w:t xml:space="preserve">the </w:t>
      </w:r>
      <w:r>
        <w:t>relationship between the institution and the borrower</w:t>
      </w:r>
      <w:sdt>
        <w:sdtPr>
          <w:id w:val="-667171664"/>
          <w:citation/>
        </w:sdtPr>
        <w:sdtEndPr/>
        <w:sdtContent>
          <w:r w:rsidR="00BE2F50">
            <w:fldChar w:fldCharType="begin"/>
          </w:r>
          <w:r w:rsidR="00912733">
            <w:instrText xml:space="preserve">CITATION Del01 \l 3081 </w:instrText>
          </w:r>
          <w:r w:rsidR="00BE2F50">
            <w:fldChar w:fldCharType="separate"/>
          </w:r>
          <w:r w:rsidR="0018397C">
            <w:rPr>
              <w:noProof/>
            </w:rPr>
            <w:t xml:space="preserve"> (Dell’Ariccia and Marquez 2001)</w:t>
          </w:r>
          <w:r w:rsidR="00BE2F50">
            <w:fldChar w:fldCharType="end"/>
          </w:r>
        </w:sdtContent>
      </w:sdt>
      <w:r w:rsidR="00D24FE7">
        <w:t>.</w:t>
      </w:r>
      <w:r>
        <w:t xml:space="preserve"> </w:t>
      </w:r>
      <w:r w:rsidR="00D24FE7">
        <w:t>T</w:t>
      </w:r>
      <w:r>
        <w:t xml:space="preserve">he borrower may </w:t>
      </w:r>
      <w:r w:rsidR="00D24FE7">
        <w:t xml:space="preserve">therefore </w:t>
      </w:r>
      <w:r w:rsidR="00EC6F22">
        <w:t>find it difficult</w:t>
      </w:r>
      <w:r>
        <w:t xml:space="preserve"> to switch to another institution that has less information and might be less willing to l</w:t>
      </w:r>
      <w:r w:rsidR="00702E28">
        <w:t xml:space="preserve">end. </w:t>
      </w:r>
      <w:r w:rsidR="00D24FE7">
        <w:t>The c</w:t>
      </w:r>
      <w:r w:rsidR="0018128E">
        <w:t xml:space="preserve">hallenges </w:t>
      </w:r>
      <w:r w:rsidR="00D24FE7">
        <w:t xml:space="preserve">intermediaries face </w:t>
      </w:r>
      <w:r w:rsidR="0018128E">
        <w:t>with assessing credit risk</w:t>
      </w:r>
      <w:r w:rsidR="00702E28">
        <w:t xml:space="preserve"> are particula</w:t>
      </w:r>
      <w:r>
        <w:t xml:space="preserve">rly acute for SME </w:t>
      </w:r>
      <w:r w:rsidR="006B4907">
        <w:t>loans. Assessment of SME loans require</w:t>
      </w:r>
      <w:r w:rsidR="008E5591">
        <w:t>s</w:t>
      </w:r>
      <w:r w:rsidR="006B4907">
        <w:t xml:space="preserve"> evaluations across a</w:t>
      </w:r>
      <w:r>
        <w:t xml:space="preserve"> large variety </w:t>
      </w:r>
      <w:r w:rsidR="00D24FE7">
        <w:t>of markets,</w:t>
      </w:r>
      <w:r w:rsidR="0018128E">
        <w:t xml:space="preserve"> business models</w:t>
      </w:r>
      <w:r>
        <w:t xml:space="preserve"> </w:t>
      </w:r>
      <w:r w:rsidR="00D24FE7">
        <w:t>and other id</w:t>
      </w:r>
      <w:r w:rsidR="00912CB3">
        <w:t>i</w:t>
      </w:r>
      <w:r w:rsidR="00D24FE7">
        <w:t>osy</w:t>
      </w:r>
      <w:r w:rsidR="00912CB3">
        <w:t>n</w:t>
      </w:r>
      <w:r w:rsidR="00D24FE7">
        <w:t>cratic factors</w:t>
      </w:r>
      <w:r w:rsidR="006B4907">
        <w:t>, while available information will be limited compared with larger firms</w:t>
      </w:r>
      <w:r>
        <w:t xml:space="preserve">. Initiatives that </w:t>
      </w:r>
      <w:r w:rsidR="00912CB3">
        <w:t>make information about the borrower more readily available to other potential lenders</w:t>
      </w:r>
      <w:r>
        <w:t xml:space="preserve"> (such as those on comprehensive credit reporting and open data) </w:t>
      </w:r>
      <w:r w:rsidR="00A5258A">
        <w:t xml:space="preserve">therefore </w:t>
      </w:r>
      <w:r>
        <w:t>have the potential to increase competition.</w:t>
      </w:r>
    </w:p>
    <w:p w14:paraId="6B3C4B82" w14:textId="117F92AE" w:rsidR="00B26243" w:rsidRDefault="00693E5E" w:rsidP="00543236">
      <w:pPr>
        <w:pStyle w:val="BodyText"/>
        <w:ind w:left="360"/>
      </w:pPr>
      <w:r>
        <w:t>Another form of information problem is that customers might not have full information about the products and prices offered by other providers, preventing them from making an informed choice.</w:t>
      </w:r>
      <w:r w:rsidR="0023432F" w:rsidRPr="0023432F">
        <w:t xml:space="preserve"> </w:t>
      </w:r>
      <w:r w:rsidR="0023432F">
        <w:t>For instance</w:t>
      </w:r>
      <w:r w:rsidR="009D3667">
        <w:t>,</w:t>
      </w:r>
      <w:r w:rsidR="0023432F">
        <w:t xml:space="preserve"> transparency in the </w:t>
      </w:r>
      <w:r w:rsidR="00645F22">
        <w:t xml:space="preserve">small business and </w:t>
      </w:r>
      <w:r w:rsidR="0023432F">
        <w:t>home loan market</w:t>
      </w:r>
      <w:r w:rsidR="00645F22">
        <w:t>s</w:t>
      </w:r>
      <w:r w:rsidR="0023432F">
        <w:t xml:space="preserve"> can be poor given the prevalence of </w:t>
      </w:r>
      <w:r w:rsidR="009D3667">
        <w:t xml:space="preserve">unadvertised </w:t>
      </w:r>
      <w:r w:rsidR="0023432F">
        <w:t xml:space="preserve">discounts to the standard variable rate, in many cases negotiated directly. Under these circumstances a customer will have difficulty </w:t>
      </w:r>
      <w:r w:rsidR="006B4907">
        <w:t>determining the</w:t>
      </w:r>
      <w:r w:rsidR="0023432F">
        <w:t xml:space="preserve"> competitive price without incurring large search costs.</w:t>
      </w:r>
    </w:p>
    <w:p w14:paraId="4CA6121B" w14:textId="4D3E4883" w:rsidR="00702E28" w:rsidRDefault="00702E28" w:rsidP="00543236">
      <w:pPr>
        <w:pStyle w:val="BodyText"/>
        <w:numPr>
          <w:ilvl w:val="0"/>
          <w:numId w:val="51"/>
        </w:numPr>
        <w:ind w:left="360"/>
      </w:pPr>
      <w:r>
        <w:rPr>
          <w:b/>
        </w:rPr>
        <w:t>Switching costs.</w:t>
      </w:r>
      <w:r>
        <w:t xml:space="preserve"> </w:t>
      </w:r>
      <w:r w:rsidR="00693E5E">
        <w:t>The perceived cost of switching between financial institutions limit</w:t>
      </w:r>
      <w:r w:rsidR="00C302DC">
        <w:t>s</w:t>
      </w:r>
      <w:r w:rsidR="00693E5E">
        <w:t xml:space="preserve"> competition. Costs include search</w:t>
      </w:r>
      <w:r w:rsidR="00A5258A">
        <w:t>ing</w:t>
      </w:r>
      <w:r w:rsidR="00693E5E">
        <w:t xml:space="preserve"> </w:t>
      </w:r>
      <w:r w:rsidR="00A5258A">
        <w:t>for</w:t>
      </w:r>
      <w:r w:rsidR="00693E5E">
        <w:t xml:space="preserve"> a suitable new provider, proving identity to the new institution and redirecting existing payment arrangements. Product bundling and information problems also make switching more difficult.</w:t>
      </w:r>
    </w:p>
    <w:p w14:paraId="69D9493C" w14:textId="2137A4C4" w:rsidR="0026153F" w:rsidRDefault="00CA316B" w:rsidP="00543236">
      <w:pPr>
        <w:pStyle w:val="BodyText"/>
        <w:numPr>
          <w:ilvl w:val="0"/>
          <w:numId w:val="51"/>
        </w:numPr>
        <w:ind w:left="360"/>
      </w:pPr>
      <w:r>
        <w:rPr>
          <w:b/>
        </w:rPr>
        <w:t>Differential p</w:t>
      </w:r>
      <w:r w:rsidRPr="00C976F5">
        <w:rPr>
          <w:b/>
        </w:rPr>
        <w:t>ric</w:t>
      </w:r>
      <w:r>
        <w:rPr>
          <w:b/>
        </w:rPr>
        <w:t>ing between customers</w:t>
      </w:r>
      <w:r w:rsidR="0026153F">
        <w:t xml:space="preserve">. Institutions </w:t>
      </w:r>
      <w:r w:rsidR="00B26243">
        <w:t>take advantage of</w:t>
      </w:r>
      <w:r w:rsidR="00693E5E">
        <w:t xml:space="preserve"> a lack of transparency or switching costs</w:t>
      </w:r>
      <w:r w:rsidR="00B26243">
        <w:t xml:space="preserve"> </w:t>
      </w:r>
      <w:r w:rsidR="0026153F">
        <w:t xml:space="preserve">to charge </w:t>
      </w:r>
      <w:r w:rsidR="008644F2">
        <w:t>different customers different prices,</w:t>
      </w:r>
      <w:r w:rsidR="0026153F">
        <w:t xml:space="preserve"> regardless of the cost of providing the service</w:t>
      </w:r>
      <w:r w:rsidR="00645F22">
        <w:t xml:space="preserve"> or the risks involved</w:t>
      </w:r>
      <w:r w:rsidR="0026153F">
        <w:t xml:space="preserve">. It is common to provide lower </w:t>
      </w:r>
      <w:r w:rsidR="00F24BE5">
        <w:t xml:space="preserve">loan </w:t>
      </w:r>
      <w:r w:rsidR="0026153F">
        <w:t xml:space="preserve">pricing </w:t>
      </w:r>
      <w:r w:rsidR="00F24BE5">
        <w:t xml:space="preserve">or higher deposit pricing </w:t>
      </w:r>
      <w:r w:rsidR="0026153F">
        <w:t xml:space="preserve">to new customers than established customers on the assumption that established customers might be less informed or unwilling to </w:t>
      </w:r>
      <w:r w:rsidR="0023432F">
        <w:t>switch</w:t>
      </w:r>
      <w:r w:rsidR="0026153F">
        <w:t xml:space="preserve">. Examples are ‘honeymoon’ </w:t>
      </w:r>
      <w:r w:rsidR="00B26243">
        <w:t>mortgage</w:t>
      </w:r>
      <w:r w:rsidR="0026153F">
        <w:t xml:space="preserve"> rates, reduced rates on credit card balance transfers </w:t>
      </w:r>
      <w:r w:rsidR="002C0886">
        <w:t>and bonus interest rates offered for an initial period on new deposit accounts</w:t>
      </w:r>
      <w:r w:rsidR="0026153F">
        <w:t xml:space="preserve">. </w:t>
      </w:r>
      <w:r w:rsidR="005B6748">
        <w:t>In this case, established and less mobile c</w:t>
      </w:r>
      <w:r>
        <w:t>ustomers are subsidising low margins (or loss leaders) for new customers.</w:t>
      </w:r>
    </w:p>
    <w:p w14:paraId="0216DB0E" w14:textId="106E86AE" w:rsidR="00396CB3" w:rsidRPr="0064163C" w:rsidRDefault="00C31E44" w:rsidP="005771B7">
      <w:pPr>
        <w:pStyle w:val="BodyText"/>
      </w:pPr>
      <w:r>
        <w:t xml:space="preserve">A further </w:t>
      </w:r>
      <w:r w:rsidR="00B1458B">
        <w:t>important</w:t>
      </w:r>
      <w:r>
        <w:t xml:space="preserve"> feature of the finance sector is </w:t>
      </w:r>
      <w:r w:rsidR="005D79C1">
        <w:t>that it</w:t>
      </w:r>
      <w:r w:rsidR="00C708D6" w:rsidRPr="0064163C">
        <w:t xml:space="preserve"> carries inherent </w:t>
      </w:r>
      <w:r w:rsidR="00644E46" w:rsidRPr="0064163C">
        <w:t xml:space="preserve">risks and </w:t>
      </w:r>
      <w:r w:rsidR="00C708D6" w:rsidRPr="0064163C">
        <w:t>vulnerabilities</w:t>
      </w:r>
      <w:r w:rsidR="00A11DBB" w:rsidRPr="0064163C">
        <w:t xml:space="preserve">, which, as demonstrated by the global financial crisis, can have a </w:t>
      </w:r>
      <w:r w:rsidR="00CF30B3" w:rsidRPr="0064163C">
        <w:t xml:space="preserve">large </w:t>
      </w:r>
      <w:r w:rsidR="0051136F">
        <w:t xml:space="preserve">negative </w:t>
      </w:r>
      <w:r w:rsidR="00A11DBB" w:rsidRPr="0064163C">
        <w:t>effect on the real economy</w:t>
      </w:r>
      <w:r w:rsidR="00645F22">
        <w:t xml:space="preserve"> if not managed well</w:t>
      </w:r>
      <w:r w:rsidR="00A11DBB" w:rsidRPr="0064163C">
        <w:t xml:space="preserve">. </w:t>
      </w:r>
      <w:r w:rsidR="00144283">
        <w:t>C</w:t>
      </w:r>
      <w:r w:rsidR="00654634" w:rsidRPr="00654634">
        <w:t xml:space="preserve">ompetitive forces </w:t>
      </w:r>
      <w:r w:rsidR="00144283">
        <w:t>can</w:t>
      </w:r>
      <w:r w:rsidR="00654634" w:rsidRPr="00654634">
        <w:t xml:space="preserve"> aggravate these vulnerabilities</w:t>
      </w:r>
      <w:r w:rsidR="00144283">
        <w:t xml:space="preserve"> if they encourage a weakening of lending </w:t>
      </w:r>
      <w:r w:rsidR="00144283" w:rsidRPr="00E00E43">
        <w:t>standards</w:t>
      </w:r>
      <w:sdt>
        <w:sdtPr>
          <w:id w:val="1413661676"/>
          <w:citation/>
        </w:sdtPr>
        <w:sdtEndPr/>
        <w:sdtContent>
          <w:r w:rsidR="00BE2F50">
            <w:fldChar w:fldCharType="begin"/>
          </w:r>
          <w:r w:rsidR="00BE2F50">
            <w:instrText xml:space="preserve"> CITATION Ber09 \l 3081 </w:instrText>
          </w:r>
          <w:r w:rsidR="00BE2F50">
            <w:fldChar w:fldCharType="separate"/>
          </w:r>
          <w:r w:rsidR="0018397C">
            <w:rPr>
              <w:noProof/>
            </w:rPr>
            <w:t xml:space="preserve"> (Berger, Klapper and Turk-Ariss 2009)</w:t>
          </w:r>
          <w:r w:rsidR="00BE2F50">
            <w:fldChar w:fldCharType="end"/>
          </w:r>
        </w:sdtContent>
      </w:sdt>
      <w:r w:rsidR="00654634" w:rsidRPr="00E00E43">
        <w:t xml:space="preserve">. Prudential regulation can address this </w:t>
      </w:r>
      <w:r w:rsidR="00144283" w:rsidRPr="00E00E43">
        <w:t>effect by constraining banks’</w:t>
      </w:r>
      <w:r w:rsidR="00654634" w:rsidRPr="00E00E43">
        <w:t xml:space="preserve"> behaviour</w:t>
      </w:r>
      <w:sdt>
        <w:sdtPr>
          <w:id w:val="114183328"/>
          <w:citation/>
        </w:sdtPr>
        <w:sdtEndPr/>
        <w:sdtContent>
          <w:r w:rsidR="00BE2F50">
            <w:fldChar w:fldCharType="begin"/>
          </w:r>
          <w:r w:rsidR="00BE2F50">
            <w:instrText xml:space="preserve"> CITATION Ago11 \l 3081 </w:instrText>
          </w:r>
          <w:r w:rsidR="00BE2F50">
            <w:fldChar w:fldCharType="separate"/>
          </w:r>
          <w:r w:rsidR="0018397C">
            <w:rPr>
              <w:noProof/>
            </w:rPr>
            <w:t xml:space="preserve"> (Agoraki, Delis and Pasiouras 2011)</w:t>
          </w:r>
          <w:r w:rsidR="00BE2F50">
            <w:fldChar w:fldCharType="end"/>
          </w:r>
        </w:sdtContent>
      </w:sdt>
      <w:r w:rsidR="00654634" w:rsidRPr="00E00E43">
        <w:t>,</w:t>
      </w:r>
      <w:r w:rsidR="00654634" w:rsidRPr="00654634">
        <w:t xml:space="preserve"> and in doing so may place some constraints on competition. Given the ability of regulatory requirements to moderate the </w:t>
      </w:r>
      <w:r w:rsidR="00144283">
        <w:t>effect</w:t>
      </w:r>
      <w:r w:rsidR="00144283" w:rsidRPr="00654634">
        <w:t xml:space="preserve"> </w:t>
      </w:r>
      <w:r w:rsidR="00654634" w:rsidRPr="00654634">
        <w:t xml:space="preserve">of increased competition on </w:t>
      </w:r>
      <w:r w:rsidR="00144283">
        <w:t>lending standards</w:t>
      </w:r>
      <w:r w:rsidR="00654634" w:rsidRPr="00654634">
        <w:t xml:space="preserve">, it </w:t>
      </w:r>
      <w:r w:rsidR="00144283">
        <w:t>is</w:t>
      </w:r>
      <w:r w:rsidR="00144283" w:rsidRPr="00654634">
        <w:t xml:space="preserve"> </w:t>
      </w:r>
      <w:r w:rsidR="00654634" w:rsidRPr="00654634">
        <w:t xml:space="preserve">reasonable to </w:t>
      </w:r>
      <w:r w:rsidR="00144283">
        <w:t>expect</w:t>
      </w:r>
      <w:r w:rsidR="00144283" w:rsidRPr="00654634">
        <w:t xml:space="preserve"> </w:t>
      </w:r>
      <w:r w:rsidR="00654634" w:rsidRPr="00654634">
        <w:t xml:space="preserve">that well-considered enhancements to competition are likely to be sustainable (i.e. not offset by </w:t>
      </w:r>
      <w:r w:rsidR="00144283">
        <w:t>an increase in risks</w:t>
      </w:r>
      <w:r w:rsidR="00654634" w:rsidRPr="00654634">
        <w:t xml:space="preserve">). </w:t>
      </w:r>
      <w:r w:rsidR="0010150B">
        <w:t>Nonetheless, the broader effects of measures to promote competition should be considered.</w:t>
      </w:r>
    </w:p>
    <w:p w14:paraId="4FBB6EE6" w14:textId="649A46B8" w:rsidR="00E03D53" w:rsidRDefault="00E03D53" w:rsidP="00C976F5">
      <w:pPr>
        <w:pStyle w:val="Heading2"/>
      </w:pPr>
      <w:r>
        <w:t>Challenges in assessing competition</w:t>
      </w:r>
    </w:p>
    <w:p w14:paraId="6551B97D" w14:textId="6EB8AA59" w:rsidR="00387B53" w:rsidRDefault="00E03D53" w:rsidP="005771B7">
      <w:pPr>
        <w:pStyle w:val="BodyText"/>
      </w:pPr>
      <w:r>
        <w:t>T</w:t>
      </w:r>
      <w:r w:rsidR="001920CB" w:rsidRPr="0064163C">
        <w:t xml:space="preserve">here are a number of challenges in </w:t>
      </w:r>
      <w:r w:rsidR="00011987">
        <w:t xml:space="preserve">making an </w:t>
      </w:r>
      <w:r w:rsidR="001920CB" w:rsidRPr="0064163C">
        <w:t>assess</w:t>
      </w:r>
      <w:r w:rsidR="00011987">
        <w:t>ment of</w:t>
      </w:r>
      <w:r w:rsidR="001920CB" w:rsidRPr="0064163C">
        <w:t xml:space="preserve"> competition in the financial system. One is that competition </w:t>
      </w:r>
      <w:r w:rsidR="00711C52" w:rsidRPr="0064163C">
        <w:t>tends to be procyclical</w:t>
      </w:r>
      <w:r w:rsidR="001920CB" w:rsidRPr="0064163C">
        <w:t xml:space="preserve">. </w:t>
      </w:r>
      <w:r w:rsidR="00711C52" w:rsidRPr="0064163C">
        <w:t xml:space="preserve">In times of optimism, new competitors are attracted to the market by the </w:t>
      </w:r>
      <w:r w:rsidR="004D0A9C" w:rsidRPr="0064163C">
        <w:t>expectation</w:t>
      </w:r>
      <w:r w:rsidR="00711C52" w:rsidRPr="0064163C">
        <w:t xml:space="preserve"> of high returns</w:t>
      </w:r>
      <w:r w:rsidR="00117889">
        <w:t xml:space="preserve"> in an environment where demand is strong</w:t>
      </w:r>
      <w:r w:rsidR="00011987">
        <w:t>.</w:t>
      </w:r>
      <w:r w:rsidR="00711C52" w:rsidRPr="0064163C">
        <w:t xml:space="preserve"> </w:t>
      </w:r>
      <w:r w:rsidR="00011987">
        <w:t>I</w:t>
      </w:r>
      <w:r w:rsidR="00711C52" w:rsidRPr="0064163C">
        <w:t xml:space="preserve">nnovation </w:t>
      </w:r>
      <w:r w:rsidR="00387B53">
        <w:t>is likely also</w:t>
      </w:r>
      <w:r w:rsidR="00387B53" w:rsidRPr="0064163C">
        <w:t xml:space="preserve"> </w:t>
      </w:r>
      <w:r w:rsidR="00387B53">
        <w:t xml:space="preserve">to </w:t>
      </w:r>
      <w:r w:rsidR="00011987">
        <w:t xml:space="preserve">be strong </w:t>
      </w:r>
      <w:r w:rsidR="00202602" w:rsidRPr="0064163C">
        <w:t>and</w:t>
      </w:r>
      <w:r w:rsidR="00011987">
        <w:t xml:space="preserve"> the</w:t>
      </w:r>
      <w:r w:rsidR="004D0A9C" w:rsidRPr="0064163C">
        <w:t xml:space="preserve"> market share of established players </w:t>
      </w:r>
      <w:r w:rsidR="00387B53">
        <w:t>will</w:t>
      </w:r>
      <w:r w:rsidR="00387B53" w:rsidRPr="0064163C">
        <w:t xml:space="preserve"> </w:t>
      </w:r>
      <w:r w:rsidR="004D0A9C" w:rsidRPr="0064163C">
        <w:t xml:space="preserve">be eroded. </w:t>
      </w:r>
      <w:r w:rsidR="00202602" w:rsidRPr="0064163C">
        <w:t xml:space="preserve">A tendency to underprice risk </w:t>
      </w:r>
      <w:r w:rsidR="003C1E93" w:rsidRPr="0064163C">
        <w:t>at such times</w:t>
      </w:r>
      <w:r w:rsidR="00202602" w:rsidRPr="0064163C">
        <w:t xml:space="preserve"> </w:t>
      </w:r>
      <w:r w:rsidR="00387B53">
        <w:t>often</w:t>
      </w:r>
      <w:r w:rsidR="00387B53" w:rsidRPr="0064163C">
        <w:t xml:space="preserve"> </w:t>
      </w:r>
      <w:r w:rsidR="00202602" w:rsidRPr="0064163C">
        <w:t>contribute</w:t>
      </w:r>
      <w:r w:rsidR="00387B53">
        <w:t>s</w:t>
      </w:r>
      <w:r w:rsidR="00202602" w:rsidRPr="0064163C">
        <w:t xml:space="preserve"> to this dynamic. </w:t>
      </w:r>
      <w:r w:rsidR="004D0A9C" w:rsidRPr="0064163C">
        <w:t>However</w:t>
      </w:r>
      <w:r w:rsidR="00084FF5">
        <w:t>,</w:t>
      </w:r>
      <w:r w:rsidR="004D0A9C" w:rsidRPr="0064163C">
        <w:t xml:space="preserve"> </w:t>
      </w:r>
      <w:r w:rsidR="00011987">
        <w:t>this level of competition</w:t>
      </w:r>
      <w:r w:rsidR="004D0A9C" w:rsidRPr="0064163C">
        <w:t xml:space="preserve"> </w:t>
      </w:r>
      <w:r w:rsidR="00107FBD">
        <w:t>tends</w:t>
      </w:r>
      <w:r w:rsidR="00107FBD" w:rsidRPr="0064163C">
        <w:t xml:space="preserve"> </w:t>
      </w:r>
      <w:r w:rsidR="00011987">
        <w:t xml:space="preserve">not </w:t>
      </w:r>
      <w:r w:rsidR="00107FBD">
        <w:t xml:space="preserve">to </w:t>
      </w:r>
      <w:r w:rsidR="00011987">
        <w:t>be</w:t>
      </w:r>
      <w:r w:rsidR="00011987" w:rsidRPr="0064163C">
        <w:t xml:space="preserve"> </w:t>
      </w:r>
      <w:r w:rsidR="003C1E93" w:rsidRPr="0064163C">
        <w:t>sustainable</w:t>
      </w:r>
      <w:r w:rsidR="00F44BF8" w:rsidRPr="0064163C">
        <w:t xml:space="preserve"> in more challenging times</w:t>
      </w:r>
      <w:r w:rsidR="004D0A9C" w:rsidRPr="0064163C">
        <w:t xml:space="preserve">, </w:t>
      </w:r>
      <w:r w:rsidR="00202602" w:rsidRPr="0064163C">
        <w:t>resulting in</w:t>
      </w:r>
      <w:r w:rsidR="004D0A9C" w:rsidRPr="0064163C">
        <w:t xml:space="preserve"> a period </w:t>
      </w:r>
      <w:r w:rsidR="00202602" w:rsidRPr="0064163C">
        <w:t xml:space="preserve">of consolidation. </w:t>
      </w:r>
      <w:r w:rsidR="00794980" w:rsidRPr="0064163C">
        <w:t xml:space="preserve">For instance, </w:t>
      </w:r>
      <w:r w:rsidR="00011987">
        <w:t xml:space="preserve">new entry and strong competition in the housing credit market prior to the financial crisis </w:t>
      </w:r>
      <w:r w:rsidR="00D80BE3">
        <w:t>resulted</w:t>
      </w:r>
      <w:r w:rsidR="00011987">
        <w:t xml:space="preserve"> </w:t>
      </w:r>
      <w:r w:rsidR="00AB07B3">
        <w:t xml:space="preserve">in </w:t>
      </w:r>
      <w:r w:rsidR="00D80BE3">
        <w:t xml:space="preserve">an increasing market share for </w:t>
      </w:r>
      <w:r w:rsidR="00AB07B3">
        <w:t>smaller players</w:t>
      </w:r>
      <w:r>
        <w:t xml:space="preserve"> up until</w:t>
      </w:r>
      <w:r w:rsidR="00794980" w:rsidRPr="0064163C">
        <w:t xml:space="preserve"> 2008</w:t>
      </w:r>
      <w:r w:rsidR="00AB07B3">
        <w:t xml:space="preserve">. </w:t>
      </w:r>
      <w:r w:rsidR="00387B53">
        <w:t>However</w:t>
      </w:r>
      <w:r w:rsidR="00F83FE9">
        <w:t>,</w:t>
      </w:r>
      <w:r w:rsidR="00387B53">
        <w:t xml:space="preserve"> they were unable to maintain that share in the more difficult market conditions that followed</w:t>
      </w:r>
      <w:r w:rsidR="00387B53" w:rsidRPr="0064163C">
        <w:t>.</w:t>
      </w:r>
    </w:p>
    <w:p w14:paraId="72356882" w14:textId="33EDB5D2" w:rsidR="001920CB" w:rsidRPr="0064163C" w:rsidRDefault="001B28CC" w:rsidP="005771B7">
      <w:pPr>
        <w:pStyle w:val="BodyText"/>
      </w:pPr>
      <w:r>
        <w:t>This period also highlights</w:t>
      </w:r>
      <w:r w:rsidR="00387B53">
        <w:t xml:space="preserve"> the fact that the locus of competition can change with the financial cycle. As competition for lending eased during the crisis, competition strengthened in deposit markets in response to </w:t>
      </w:r>
      <w:r>
        <w:t>tighter funding conditions</w:t>
      </w:r>
      <w:r w:rsidR="00387B53">
        <w:t xml:space="preserve">. </w:t>
      </w:r>
      <w:r w:rsidR="00202602" w:rsidRPr="0064163C">
        <w:t>An assessment of competition at any point in time should be mindful of these dynamics.</w:t>
      </w:r>
    </w:p>
    <w:p w14:paraId="0244BF5F" w14:textId="6EB7A877" w:rsidR="00B67665" w:rsidRDefault="00B67665" w:rsidP="005771B7">
      <w:pPr>
        <w:pStyle w:val="BodyText"/>
      </w:pPr>
      <w:r>
        <w:t>A number of additional challenges arise when seeking to examine specific markets:</w:t>
      </w:r>
      <w:r w:rsidR="00794980" w:rsidRPr="0064163C">
        <w:t xml:space="preserve"> </w:t>
      </w:r>
    </w:p>
    <w:p w14:paraId="7E9A9843" w14:textId="752A2635" w:rsidR="00B67665" w:rsidRDefault="00BF1EBF" w:rsidP="00543236">
      <w:pPr>
        <w:pStyle w:val="BodyText"/>
        <w:numPr>
          <w:ilvl w:val="0"/>
          <w:numId w:val="48"/>
        </w:numPr>
        <w:ind w:left="360"/>
      </w:pPr>
      <w:r>
        <w:rPr>
          <w:b/>
        </w:rPr>
        <w:t>S</w:t>
      </w:r>
      <w:r w:rsidRPr="00C976F5">
        <w:rPr>
          <w:b/>
        </w:rPr>
        <w:t xml:space="preserve">uitably </w:t>
      </w:r>
      <w:r w:rsidR="00B67665" w:rsidRPr="00C976F5">
        <w:rPr>
          <w:b/>
        </w:rPr>
        <w:t xml:space="preserve">defining the market in which </w:t>
      </w:r>
      <w:r w:rsidR="00C26D05" w:rsidRPr="00C976F5">
        <w:rPr>
          <w:b/>
        </w:rPr>
        <w:t>parties compete</w:t>
      </w:r>
      <w:r w:rsidR="00B67665" w:rsidRPr="00C976F5">
        <w:rPr>
          <w:b/>
        </w:rPr>
        <w:t>.</w:t>
      </w:r>
      <w:r w:rsidR="00B67665" w:rsidRPr="00643790">
        <w:t xml:space="preserve"> For instance, the market for loans </w:t>
      </w:r>
      <w:r w:rsidR="00AF29BA">
        <w:t xml:space="preserve">to large corporates </w:t>
      </w:r>
      <w:r w:rsidR="00B67665" w:rsidRPr="00643790">
        <w:t>is part of a broader market for finance with clearly available non-intermediated alternatives. Similarly, the market for deposits as an investment (</w:t>
      </w:r>
      <w:r w:rsidR="00462807">
        <w:t>rather than</w:t>
      </w:r>
      <w:r w:rsidR="00B67665" w:rsidRPr="00643790">
        <w:t xml:space="preserve"> </w:t>
      </w:r>
      <w:r w:rsidR="00421C93">
        <w:t xml:space="preserve">for </w:t>
      </w:r>
      <w:r w:rsidR="00B67665" w:rsidRPr="00643790">
        <w:t>transaction</w:t>
      </w:r>
      <w:r w:rsidR="00421C93">
        <w:t>al purposes</w:t>
      </w:r>
      <w:r w:rsidR="00B67665" w:rsidRPr="00643790">
        <w:t>) is part of a broader investment market</w:t>
      </w:r>
      <w:r w:rsidR="00421C93">
        <w:t>,</w:t>
      </w:r>
      <w:r w:rsidR="00B67665" w:rsidRPr="00643790">
        <w:t xml:space="preserve"> including superannuation, investment funds and direct investment in securities or </w:t>
      </w:r>
      <w:r w:rsidR="008C5399" w:rsidRPr="00643790">
        <w:t>higher</w:t>
      </w:r>
      <w:r w:rsidR="008C5399">
        <w:t>-</w:t>
      </w:r>
      <w:r w:rsidR="00B67665" w:rsidRPr="00643790">
        <w:t>risk options such as shares or property.</w:t>
      </w:r>
    </w:p>
    <w:p w14:paraId="07D70D9A" w14:textId="4E1EDB94" w:rsidR="00840950" w:rsidRDefault="00BF1EBF" w:rsidP="00543236">
      <w:pPr>
        <w:pStyle w:val="BodyText"/>
        <w:numPr>
          <w:ilvl w:val="0"/>
          <w:numId w:val="48"/>
        </w:numPr>
        <w:ind w:left="360"/>
      </w:pPr>
      <w:r>
        <w:rPr>
          <w:b/>
        </w:rPr>
        <w:t>B</w:t>
      </w:r>
      <w:r w:rsidR="00840950" w:rsidRPr="00C976F5">
        <w:rPr>
          <w:b/>
        </w:rPr>
        <w:t xml:space="preserve">anks’ </w:t>
      </w:r>
      <w:r w:rsidR="0049134A" w:rsidRPr="00C976F5">
        <w:rPr>
          <w:b/>
        </w:rPr>
        <w:t>abilit</w:t>
      </w:r>
      <w:r w:rsidR="0049134A">
        <w:rPr>
          <w:b/>
        </w:rPr>
        <w:t>ies</w:t>
      </w:r>
      <w:r w:rsidR="0049134A" w:rsidRPr="00C976F5">
        <w:rPr>
          <w:b/>
        </w:rPr>
        <w:t xml:space="preserve"> </w:t>
      </w:r>
      <w:r w:rsidR="00840950" w:rsidRPr="00C976F5">
        <w:rPr>
          <w:b/>
        </w:rPr>
        <w:t>to substitute fee and non-fee income.</w:t>
      </w:r>
      <w:r w:rsidR="00840950">
        <w:t xml:space="preserve"> F</w:t>
      </w:r>
      <w:r w:rsidR="00840950" w:rsidRPr="00306482">
        <w:t>or example</w:t>
      </w:r>
      <w:r w:rsidR="00463F15">
        <w:t>,</w:t>
      </w:r>
      <w:r w:rsidR="00840950" w:rsidRPr="00306482">
        <w:t xml:space="preserve"> </w:t>
      </w:r>
      <w:r w:rsidR="00E03D53">
        <w:t>banks might compete for housing loans by waiving application fees rather than lowering interest rates, making it difficult to assess competition on interest rates alone</w:t>
      </w:r>
      <w:r w:rsidR="00421C93">
        <w:t>.</w:t>
      </w:r>
      <w:r w:rsidR="00E03D53">
        <w:t xml:space="preserve"> A</w:t>
      </w:r>
      <w:r w:rsidR="00E03D53" w:rsidRPr="00306482">
        <w:t xml:space="preserve"> bank’s revenue on a credit card product can include interest paid by cardholders, fees paid by cardholders</w:t>
      </w:r>
      <w:r w:rsidR="00AF29BA">
        <w:t xml:space="preserve"> (offset by any rewards paid)</w:t>
      </w:r>
      <w:r w:rsidR="00E03D53" w:rsidRPr="00306482">
        <w:t xml:space="preserve"> and fees paid indirectly by merchants</w:t>
      </w:r>
      <w:r w:rsidR="00E03D53">
        <w:t xml:space="preserve">, all of which can be rebalanced to maximise the profitability of </w:t>
      </w:r>
      <w:r w:rsidR="00702E28">
        <w:t>t</w:t>
      </w:r>
      <w:r w:rsidR="00E03D53">
        <w:t>he product.</w:t>
      </w:r>
    </w:p>
    <w:p w14:paraId="67645DC2" w14:textId="10DA94A9" w:rsidR="00C37186" w:rsidRDefault="00BF1EBF" w:rsidP="00543236">
      <w:pPr>
        <w:pStyle w:val="BodyText"/>
        <w:numPr>
          <w:ilvl w:val="0"/>
          <w:numId w:val="48"/>
        </w:numPr>
        <w:ind w:left="360"/>
      </w:pPr>
      <w:r>
        <w:rPr>
          <w:b/>
        </w:rPr>
        <w:t>I</w:t>
      </w:r>
      <w:r w:rsidR="00C37186" w:rsidRPr="00C976F5">
        <w:rPr>
          <w:b/>
        </w:rPr>
        <w:t>solating competition effects</w:t>
      </w:r>
      <w:r w:rsidR="00992BBA" w:rsidRPr="00C976F5">
        <w:rPr>
          <w:b/>
        </w:rPr>
        <w:t xml:space="preserve"> in lending and pricing</w:t>
      </w:r>
      <w:r w:rsidR="00C37186" w:rsidRPr="00C976F5">
        <w:rPr>
          <w:b/>
        </w:rPr>
        <w:t>.</w:t>
      </w:r>
      <w:r w:rsidR="00C37186">
        <w:t xml:space="preserve"> L</w:t>
      </w:r>
      <w:r w:rsidR="00C37186" w:rsidRPr="00306482">
        <w:t xml:space="preserve">ending </w:t>
      </w:r>
      <w:r w:rsidR="00992BBA">
        <w:t>volumes</w:t>
      </w:r>
      <w:r w:rsidR="00992BBA" w:rsidRPr="00306482">
        <w:t xml:space="preserve"> </w:t>
      </w:r>
      <w:r w:rsidR="00C37186" w:rsidRPr="00306482">
        <w:t>and interest rates contain information about risk and liquidity, as well</w:t>
      </w:r>
      <w:r w:rsidR="00C37186">
        <w:t xml:space="preserve"> as competition. These can vary over time and across jurisdictions; d</w:t>
      </w:r>
      <w:r w:rsidR="00C37186" w:rsidRPr="00306482">
        <w:t xml:space="preserve">isentangling these effects </w:t>
      </w:r>
      <w:r w:rsidR="00C26D05">
        <w:t>can be challenging</w:t>
      </w:r>
      <w:r w:rsidR="00C37186" w:rsidRPr="00306482">
        <w:t xml:space="preserve">. </w:t>
      </w:r>
    </w:p>
    <w:p w14:paraId="3226E7C7" w14:textId="2F994D7A" w:rsidR="005C0840" w:rsidRDefault="00702E28" w:rsidP="00FD58CB">
      <w:pPr>
        <w:pStyle w:val="Heading2"/>
      </w:pPr>
      <w:r>
        <w:t>Competition i</w:t>
      </w:r>
      <w:r w:rsidR="005C0840">
        <w:t>ndicators for the Australian banking system</w:t>
      </w:r>
    </w:p>
    <w:p w14:paraId="24804EF1" w14:textId="359B7BC1" w:rsidR="00C25042" w:rsidRDefault="00C25042" w:rsidP="0064163C">
      <w:pPr>
        <w:pStyle w:val="BodyText"/>
      </w:pPr>
      <w:r>
        <w:t>This section considers a range of indicators that could provide some insights on competition in the financial system, including concentration, operational efficiency, profitability and margins</w:t>
      </w:r>
      <w:r w:rsidR="00C302DC">
        <w:t>.</w:t>
      </w:r>
    </w:p>
    <w:p w14:paraId="32C63FF4" w14:textId="1982FF90" w:rsidR="00C25042" w:rsidRDefault="00C25042" w:rsidP="00805527">
      <w:pPr>
        <w:pStyle w:val="Heading3"/>
      </w:pPr>
      <w:r>
        <w:t>Concentration</w:t>
      </w:r>
    </w:p>
    <w:p w14:paraId="7F27BC11" w14:textId="33A350C8" w:rsidR="005C0840" w:rsidRDefault="005C0840" w:rsidP="0064163C">
      <w:pPr>
        <w:pStyle w:val="BodyText"/>
      </w:pPr>
      <w:r>
        <w:t xml:space="preserve">A common starting point for considering competition is the level of concentration within a market. </w:t>
      </w:r>
    </w:p>
    <w:p w14:paraId="2EEF4E55" w14:textId="2B53CE8C" w:rsidR="005C0840" w:rsidRDefault="005C0840" w:rsidP="0064163C">
      <w:pPr>
        <w:pStyle w:val="BodyText"/>
      </w:pPr>
      <w:r w:rsidRPr="007A416C">
        <w:t>Australia has always had a fairly concentrated banking system</w:t>
      </w:r>
      <w:r w:rsidR="001D669E">
        <w:t xml:space="preserve"> (</w:t>
      </w:r>
      <w:r w:rsidR="001D669E">
        <w:fldChar w:fldCharType="begin"/>
      </w:r>
      <w:r w:rsidR="001D669E">
        <w:instrText xml:space="preserve"> REF _Ref492390356 \h </w:instrText>
      </w:r>
      <w:r w:rsidR="001D669E">
        <w:fldChar w:fldCharType="separate"/>
      </w:r>
      <w:r w:rsidR="00032843">
        <w:t>Graph </w:t>
      </w:r>
      <w:r w:rsidR="00032843">
        <w:rPr>
          <w:noProof/>
        </w:rPr>
        <w:t>3</w:t>
      </w:r>
      <w:r w:rsidR="001D669E">
        <w:fldChar w:fldCharType="end"/>
      </w:r>
      <w:r w:rsidR="001D669E">
        <w:t>)</w:t>
      </w:r>
      <w:r w:rsidRPr="007A416C">
        <w:t>. Through the 1960s and 1970s, the major banking groups, of which there were up to eight, accounted for around 80 per cent of ban</w:t>
      </w:r>
      <w:r w:rsidR="008B7995">
        <w:t>king assets in Australia</w:t>
      </w:r>
      <w:r w:rsidRPr="007A416C">
        <w:t xml:space="preserve">. This share declined to around 65 per cent following deregulation and the entry of foreign banks in the mid 1980s. It remained around this level until the global financial crisis when the share of the major banks </w:t>
      </w:r>
      <w:r w:rsidR="000B39D6">
        <w:t>(which had been reduced to four through consolidation)</w:t>
      </w:r>
      <w:r w:rsidRPr="007A416C">
        <w:t xml:space="preserve"> rose back to around 80 per cent.</w:t>
      </w:r>
    </w:p>
    <w:p w14:paraId="2EC245DC" w14:textId="6767F1DA" w:rsidR="005C0840" w:rsidRDefault="005C0840" w:rsidP="0064163C">
      <w:pPr>
        <w:pStyle w:val="BodyText"/>
      </w:pPr>
      <w:r>
        <w:t>This level of concentration is high relative to some jurisdictions, but is also not unusual internationally</w:t>
      </w:r>
      <w:r w:rsidR="001D669E">
        <w:t xml:space="preserve"> (</w:t>
      </w:r>
      <w:r w:rsidR="001D669E">
        <w:fldChar w:fldCharType="begin"/>
      </w:r>
      <w:r w:rsidR="001D669E">
        <w:instrText xml:space="preserve"> REF _Ref492390368 \h </w:instrText>
      </w:r>
      <w:r w:rsidR="001D669E">
        <w:fldChar w:fldCharType="separate"/>
      </w:r>
      <w:r w:rsidR="00032843">
        <w:t>Graph </w:t>
      </w:r>
      <w:r w:rsidR="00032843">
        <w:rPr>
          <w:noProof/>
        </w:rPr>
        <w:t>4</w:t>
      </w:r>
      <w:r w:rsidR="001D669E">
        <w:fldChar w:fldCharType="end"/>
      </w:r>
      <w:r w:rsidR="001D669E">
        <w:t>)</w:t>
      </w:r>
      <w:r>
        <w:t>. For example, the five largest Australian banks hold around 80 per cent of total bank loans in Australia, which is similar to banking systems in Canada, th</w:t>
      </w:r>
      <w:r w:rsidR="008B7995">
        <w:t>e Netherlands and Sweden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5C0840" w14:paraId="478129F2" w14:textId="77777777" w:rsidTr="008A18B9">
        <w:tc>
          <w:tcPr>
            <w:tcW w:w="4365" w:type="dxa"/>
          </w:tcPr>
          <w:p w14:paraId="6637258B" w14:textId="0369B999" w:rsidR="005C0840" w:rsidRPr="006827D0" w:rsidRDefault="00D90C1E" w:rsidP="001D669E">
            <w:pPr>
              <w:pStyle w:val="GraphTitle"/>
              <w:spacing w:after="0"/>
            </w:pPr>
            <w:bookmarkStart w:id="3" w:name="_Ref492390356"/>
            <w:r>
              <w:t>Graph </w:t>
            </w:r>
            <w:fldSimple w:instr=" SEQ Graph \* ARABIC \* MERGEFORMAT ">
              <w:r w:rsidR="00032843">
                <w:rPr>
                  <w:noProof/>
                </w:rPr>
                <w:t>3</w:t>
              </w:r>
            </w:fldSimple>
            <w:bookmarkEnd w:id="3"/>
            <w:r w:rsidR="008154DA">
              <w:rPr>
                <w:noProof/>
              </w:rPr>
              <w:drawing>
                <wp:inline distT="0" distB="0" distL="0" distR="0" wp14:anchorId="6A720010" wp14:editId="14597C20">
                  <wp:extent cx="2768400" cy="2520000"/>
                  <wp:effectExtent l="0" t="0" r="0" b="0"/>
                  <wp:docPr id="18" name="Picture 18" descr="G:\FS\_Dropbox\Market Concentration – Major Bank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FS\_Dropbox\Market Concentration – Major Banks.emf"/>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c>
          <w:tcPr>
            <w:tcW w:w="4365" w:type="dxa"/>
          </w:tcPr>
          <w:p w14:paraId="0DA67FCA" w14:textId="6ECAF7C0" w:rsidR="005C0840" w:rsidRDefault="00D90C1E" w:rsidP="001D669E">
            <w:pPr>
              <w:pStyle w:val="GraphTitle"/>
              <w:spacing w:after="0"/>
            </w:pPr>
            <w:bookmarkStart w:id="4" w:name="_Ref492390368"/>
            <w:r>
              <w:t>Graph </w:t>
            </w:r>
            <w:fldSimple w:instr=" SEQ Graph \* ARABIC \* MERGEFORMAT ">
              <w:r w:rsidR="00032843">
                <w:rPr>
                  <w:noProof/>
                </w:rPr>
                <w:t>4</w:t>
              </w:r>
            </w:fldSimple>
            <w:bookmarkEnd w:id="4"/>
            <w:r w:rsidR="001558E2">
              <w:rPr>
                <w:noProof/>
              </w:rPr>
              <w:drawing>
                <wp:inline distT="0" distB="0" distL="0" distR="0" wp14:anchorId="77CE2FF7" wp14:editId="775E24F0">
                  <wp:extent cx="2772000" cy="2520000"/>
                  <wp:effectExtent l="0" t="0" r="0" b="0"/>
                  <wp:docPr id="21" name="Picture 21" descr="G:\FS\_Dropbox\Banking System Concentratio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FS\_Dropbox\Banking System Concentration.emf"/>
                          <pic:cNvPicPr preferRelativeResize="0">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3457012E" w14:textId="5305A03C" w:rsidR="00AC70D4" w:rsidRDefault="002B0202" w:rsidP="00AB4285">
      <w:pPr>
        <w:pStyle w:val="BodyText"/>
        <w:spacing w:before="120"/>
      </w:pPr>
      <w:r>
        <w:t>Across individual market segments, the</w:t>
      </w:r>
      <w:r w:rsidR="00914040">
        <w:t xml:space="preserve"> major banks </w:t>
      </w:r>
      <w:r>
        <w:t>typically</w:t>
      </w:r>
      <w:r w:rsidR="00914040">
        <w:t xml:space="preserve"> account for around three-quarters </w:t>
      </w:r>
      <w:r>
        <w:t xml:space="preserve">of the </w:t>
      </w:r>
      <w:r w:rsidR="00FE6D37">
        <w:t xml:space="preserve">Australian </w:t>
      </w:r>
      <w:r>
        <w:t>market, but</w:t>
      </w:r>
      <w:r w:rsidR="00914040">
        <w:t xml:space="preserve"> there is some noticeable variation</w:t>
      </w:r>
      <w:r w:rsidR="009939F2">
        <w:t xml:space="preserve"> (</w:t>
      </w:r>
      <w:r w:rsidR="009939F2" w:rsidRPr="009939F2">
        <w:fldChar w:fldCharType="begin"/>
      </w:r>
      <w:r w:rsidR="009939F2" w:rsidRPr="009939F2">
        <w:instrText xml:space="preserve"> REF _Ref493061687 \h  \* MERGEFORMAT </w:instrText>
      </w:r>
      <w:r w:rsidR="009939F2" w:rsidRPr="009939F2">
        <w:fldChar w:fldCharType="separate"/>
      </w:r>
      <w:r w:rsidR="00032843" w:rsidRPr="00032843">
        <w:t>Table 1</w:t>
      </w:r>
      <w:r w:rsidR="009939F2" w:rsidRPr="009939F2">
        <w:fldChar w:fldCharType="end"/>
      </w:r>
      <w:r w:rsidR="009939F2">
        <w:t>)</w:t>
      </w:r>
      <w:r w:rsidR="004B16B8">
        <w:t>.</w:t>
      </w:r>
      <w:r w:rsidR="007A4B19">
        <w:t xml:space="preserve"> </w:t>
      </w:r>
      <w:r w:rsidR="00914040">
        <w:t xml:space="preserve">In particular they hold lower shares of the market for large business loans (where foreign banks are more active) and personal loans </w:t>
      </w:r>
      <w:r w:rsidR="00C302DC">
        <w:t>(</w:t>
      </w:r>
      <w:r w:rsidR="00914040" w:rsidRPr="0010150B">
        <w:t>where</w:t>
      </w:r>
      <w:r w:rsidR="00E00E43">
        <w:t xml:space="preserve"> vehicle finance companies hold a significant share</w:t>
      </w:r>
      <w:r w:rsidR="00C302DC">
        <w:t>)</w:t>
      </w:r>
      <w:r w:rsidR="00914040">
        <w:t>. By contrast, the</w:t>
      </w:r>
      <w:r w:rsidR="0006318C">
        <w:t>re are fewer competitors in</w:t>
      </w:r>
      <w:r w:rsidR="00914040">
        <w:t xml:space="preserve"> </w:t>
      </w:r>
      <w:r w:rsidR="0006318C">
        <w:t xml:space="preserve">the small business loan market, where the </w:t>
      </w:r>
      <w:r w:rsidR="00914040">
        <w:t xml:space="preserve">majors currently hold </w:t>
      </w:r>
      <w:r w:rsidR="0006318C">
        <w:t xml:space="preserve">an </w:t>
      </w:r>
      <w:r w:rsidR="00914040">
        <w:t>83</w:t>
      </w:r>
      <w:r w:rsidR="0006318C">
        <w:t> </w:t>
      </w:r>
      <w:r w:rsidR="00914040">
        <w:t xml:space="preserve">per cent </w:t>
      </w:r>
      <w:r w:rsidR="0006318C">
        <w:t>share.</w:t>
      </w:r>
      <w:r w:rsidR="00914040">
        <w:t xml:space="preserve"> </w:t>
      </w:r>
    </w:p>
    <w:p w14:paraId="1C464EB4" w14:textId="008267F7" w:rsidR="002B0202" w:rsidRDefault="0006318C" w:rsidP="0010150B">
      <w:pPr>
        <w:pStyle w:val="BodyText"/>
      </w:pPr>
      <w:r>
        <w:t xml:space="preserve">Concentration in individual markets has also varied over time. Similar to the pattern discussed above, it tended to </w:t>
      </w:r>
      <w:r w:rsidR="002B0202">
        <w:t>fall</w:t>
      </w:r>
      <w:r>
        <w:t xml:space="preserve"> in the lead-up to the crisis and </w:t>
      </w:r>
      <w:r w:rsidR="002B0202">
        <w:t>rise</w:t>
      </w:r>
      <w:r>
        <w:t xml:space="preserve"> afterwards. </w:t>
      </w:r>
      <w:r w:rsidR="00FE6D37">
        <w:t>Concentration</w:t>
      </w:r>
      <w:r w:rsidR="002B0202">
        <w:t xml:space="preserve"> has subsequently declined modestly in</w:t>
      </w:r>
      <w:r w:rsidR="00FE6D37">
        <w:t xml:space="preserve"> the</w:t>
      </w:r>
      <w:r w:rsidR="002B0202">
        <w:t xml:space="preserve"> housing </w:t>
      </w:r>
      <w:r w:rsidR="00FE6D37">
        <w:t xml:space="preserve">loan, </w:t>
      </w:r>
      <w:r w:rsidR="002B0202">
        <w:t xml:space="preserve">business loan </w:t>
      </w:r>
      <w:r w:rsidR="00FE6D37">
        <w:t>and</w:t>
      </w:r>
      <w:r w:rsidR="002B0202">
        <w:t xml:space="preserve"> card acquiring</w:t>
      </w:r>
      <w:r w:rsidR="00FE6D37">
        <w:t xml:space="preserve"> markets, while it has fallen more noticeably in the market for large business loans.</w:t>
      </w:r>
    </w:p>
    <w:p w14:paraId="1D920C9B" w14:textId="13C17A6D" w:rsidR="004B16B8" w:rsidRPr="008B1FB6" w:rsidRDefault="004B16B8" w:rsidP="00470436">
      <w:pPr>
        <w:pStyle w:val="BodyText"/>
        <w:spacing w:before="120" w:after="60" w:line="240" w:lineRule="auto"/>
        <w:jc w:val="center"/>
        <w:rPr>
          <w:b/>
        </w:rPr>
      </w:pPr>
      <w:bookmarkStart w:id="5" w:name="_Ref493061687"/>
      <w:r w:rsidRPr="008B1FB6">
        <w:rPr>
          <w:b/>
        </w:rPr>
        <w:t>Table </w:t>
      </w:r>
      <w:r w:rsidR="00EB3A96" w:rsidRPr="008B1FB6">
        <w:rPr>
          <w:b/>
        </w:rPr>
        <w:fldChar w:fldCharType="begin"/>
      </w:r>
      <w:r w:rsidR="00EB3A96" w:rsidRPr="008B1FB6">
        <w:rPr>
          <w:b/>
        </w:rPr>
        <w:instrText xml:space="preserve"> SEQ Table \* ARABIC \* MERGEFORMAT </w:instrText>
      </w:r>
      <w:r w:rsidR="00EB3A96" w:rsidRPr="008B1FB6">
        <w:rPr>
          <w:b/>
        </w:rPr>
        <w:fldChar w:fldCharType="separate"/>
      </w:r>
      <w:r w:rsidR="00032843">
        <w:rPr>
          <w:b/>
          <w:noProof/>
        </w:rPr>
        <w:t>1</w:t>
      </w:r>
      <w:r w:rsidR="00EB3A96" w:rsidRPr="008B1FB6">
        <w:rPr>
          <w:b/>
          <w:noProof/>
        </w:rPr>
        <w:fldChar w:fldCharType="end"/>
      </w:r>
      <w:bookmarkEnd w:id="5"/>
      <w:r w:rsidRPr="008B1FB6">
        <w:rPr>
          <w:b/>
        </w:rPr>
        <w:t>: Concentration in Australian Banking Products</w:t>
      </w:r>
    </w:p>
    <w:p w14:paraId="06FA4EA9" w14:textId="08D9AF34" w:rsidR="004B16B8" w:rsidRPr="00272DBF" w:rsidRDefault="00AC70D4" w:rsidP="00272DBF">
      <w:pPr>
        <w:pStyle w:val="TableSubtitle"/>
      </w:pPr>
      <w:r>
        <w:t>S</w:t>
      </w:r>
      <w:r w:rsidR="004B16B8">
        <w:t>hare of major banks</w:t>
      </w:r>
      <w:r>
        <w:t>, annual average</w:t>
      </w:r>
    </w:p>
    <w:tbl>
      <w:tblPr>
        <w:tblStyle w:val="TableGrid21"/>
        <w:tblW w:w="4392" w:type="pct"/>
        <w:jc w:val="center"/>
        <w:tblCellMar>
          <w:top w:w="85" w:type="dxa"/>
          <w:left w:w="170" w:type="dxa"/>
          <w:bottom w:w="57" w:type="dxa"/>
          <w:right w:w="170" w:type="dxa"/>
        </w:tblCellMar>
        <w:tblLook w:val="04A0" w:firstRow="1" w:lastRow="0" w:firstColumn="1" w:lastColumn="0" w:noHBand="0" w:noVBand="1"/>
      </w:tblPr>
      <w:tblGrid>
        <w:gridCol w:w="1814"/>
        <w:gridCol w:w="1618"/>
        <w:gridCol w:w="1560"/>
        <w:gridCol w:w="1417"/>
        <w:gridCol w:w="1558"/>
      </w:tblGrid>
      <w:tr w:rsidR="003D6D27" w:rsidRPr="00BA29E3" w14:paraId="2D2C1CC5" w14:textId="77777777" w:rsidTr="000C7D5F">
        <w:trPr>
          <w:cantSplit/>
          <w:trHeight w:val="247"/>
          <w:tblHeader/>
          <w:jc w:val="center"/>
        </w:trPr>
        <w:tc>
          <w:tcPr>
            <w:tcW w:w="1138" w:type="pct"/>
            <w:tcBorders>
              <w:top w:val="single" w:sz="4" w:space="0" w:color="007698"/>
              <w:left w:val="nil"/>
              <w:bottom w:val="single" w:sz="4" w:space="0" w:color="007698"/>
              <w:right w:val="nil"/>
            </w:tcBorders>
            <w:shd w:val="clear" w:color="auto" w:fill="F2F8FA"/>
          </w:tcPr>
          <w:p w14:paraId="4BA84D49" w14:textId="36ADBA6C" w:rsidR="003D6D27" w:rsidRPr="00BA29E3" w:rsidRDefault="003D6D27" w:rsidP="00145915">
            <w:pPr>
              <w:pStyle w:val="ColumnHeading2"/>
              <w:jc w:val="left"/>
              <w:rPr>
                <w:b/>
                <w:sz w:val="16"/>
              </w:rPr>
            </w:pPr>
          </w:p>
        </w:tc>
        <w:tc>
          <w:tcPr>
            <w:tcW w:w="1015" w:type="pct"/>
            <w:tcBorders>
              <w:top w:val="single" w:sz="4" w:space="0" w:color="007698"/>
              <w:left w:val="nil"/>
              <w:bottom w:val="single" w:sz="4" w:space="0" w:color="007698"/>
              <w:right w:val="nil"/>
            </w:tcBorders>
            <w:shd w:val="clear" w:color="auto" w:fill="F2F8FA"/>
          </w:tcPr>
          <w:p w14:paraId="74F35380" w14:textId="2FA7F3FC" w:rsidR="003D6D27" w:rsidRDefault="003D6D27" w:rsidP="00145915">
            <w:pPr>
              <w:pStyle w:val="ColumnHeading1"/>
            </w:pPr>
            <w:r>
              <w:t>200</w:t>
            </w:r>
            <w:r w:rsidR="00A52D71">
              <w:t>3</w:t>
            </w:r>
            <w:r w:rsidR="00AC70D4" w:rsidRPr="009F13BF">
              <w:rPr>
                <w:vertAlign w:val="superscript"/>
              </w:rPr>
              <w:t>(a)</w:t>
            </w:r>
          </w:p>
          <w:p w14:paraId="1D9B378F" w14:textId="4E2554D8" w:rsidR="00AC70D4" w:rsidRPr="00AA14FD" w:rsidRDefault="00AC70D4" w:rsidP="009F13BF">
            <w:pPr>
              <w:pStyle w:val="ColumnHeading2"/>
            </w:pPr>
            <w:r>
              <w:t>Per cent</w:t>
            </w:r>
          </w:p>
        </w:tc>
        <w:tc>
          <w:tcPr>
            <w:tcW w:w="979" w:type="pct"/>
            <w:tcBorders>
              <w:top w:val="single" w:sz="4" w:space="0" w:color="007698"/>
              <w:left w:val="nil"/>
              <w:bottom w:val="single" w:sz="4" w:space="0" w:color="007698"/>
              <w:right w:val="nil"/>
            </w:tcBorders>
            <w:shd w:val="clear" w:color="auto" w:fill="F2F8FA"/>
          </w:tcPr>
          <w:p w14:paraId="12A9C396" w14:textId="685EF2F3" w:rsidR="003D6D27" w:rsidRPr="006C0648" w:rsidRDefault="003D6D27" w:rsidP="00145915">
            <w:pPr>
              <w:pStyle w:val="ColumnHeading1"/>
            </w:pPr>
            <w:r>
              <w:t>2008</w:t>
            </w:r>
          </w:p>
          <w:p w14:paraId="15C111B5" w14:textId="7BFCF63F" w:rsidR="003D6D27" w:rsidRPr="00760F4D" w:rsidRDefault="00AC70D4" w:rsidP="00145915">
            <w:pPr>
              <w:pStyle w:val="ColumnHeading2"/>
            </w:pPr>
            <w:r>
              <w:t>Per cent</w:t>
            </w:r>
          </w:p>
        </w:tc>
        <w:tc>
          <w:tcPr>
            <w:tcW w:w="889" w:type="pct"/>
            <w:tcBorders>
              <w:top w:val="single" w:sz="4" w:space="0" w:color="007698"/>
              <w:left w:val="nil"/>
              <w:bottom w:val="single" w:sz="4" w:space="0" w:color="007698"/>
              <w:right w:val="nil"/>
            </w:tcBorders>
            <w:shd w:val="clear" w:color="auto" w:fill="F2F8FA"/>
          </w:tcPr>
          <w:p w14:paraId="2AD119C8" w14:textId="0594FFE8" w:rsidR="003D6D27" w:rsidRDefault="003D6D27" w:rsidP="00145915">
            <w:pPr>
              <w:pStyle w:val="ColumnHeading1"/>
            </w:pPr>
            <w:r>
              <w:t>2014</w:t>
            </w:r>
          </w:p>
          <w:p w14:paraId="32D6DD02" w14:textId="58149DD0" w:rsidR="003D6D27" w:rsidRPr="008E52C3" w:rsidRDefault="00AC70D4" w:rsidP="00145915">
            <w:pPr>
              <w:pStyle w:val="ColumnHeading2"/>
            </w:pPr>
            <w:r>
              <w:t>Per cent</w:t>
            </w:r>
          </w:p>
        </w:tc>
        <w:tc>
          <w:tcPr>
            <w:tcW w:w="978" w:type="pct"/>
            <w:tcBorders>
              <w:top w:val="single" w:sz="4" w:space="0" w:color="007698"/>
              <w:left w:val="nil"/>
              <w:bottom w:val="single" w:sz="4" w:space="0" w:color="007698"/>
              <w:right w:val="nil"/>
            </w:tcBorders>
            <w:shd w:val="clear" w:color="auto" w:fill="F2F8FA"/>
          </w:tcPr>
          <w:p w14:paraId="77E956E9" w14:textId="68871E98" w:rsidR="003D6D27" w:rsidRDefault="003D6D27" w:rsidP="00145915">
            <w:pPr>
              <w:pStyle w:val="ColumnHeading1"/>
            </w:pPr>
            <w:r>
              <w:t>2016/17</w:t>
            </w:r>
          </w:p>
          <w:p w14:paraId="4DB829E5" w14:textId="00EDBF7E" w:rsidR="003D6D27" w:rsidRPr="009F13BF" w:rsidRDefault="00AC70D4" w:rsidP="00145915">
            <w:pPr>
              <w:pStyle w:val="ColumnHeading2"/>
            </w:pPr>
            <w:r>
              <w:t>Per</w:t>
            </w:r>
            <w:r w:rsidRPr="009F13BF">
              <w:t xml:space="preserve"> cent</w:t>
            </w:r>
          </w:p>
        </w:tc>
      </w:tr>
      <w:tr w:rsidR="003D6D27" w:rsidRPr="00BA29E3" w14:paraId="19AEC8AD" w14:textId="77777777" w:rsidTr="000C7D5F">
        <w:trPr>
          <w:cantSplit/>
          <w:jc w:val="center"/>
        </w:trPr>
        <w:tc>
          <w:tcPr>
            <w:tcW w:w="1138" w:type="pct"/>
            <w:tcBorders>
              <w:top w:val="single" w:sz="4" w:space="0" w:color="007698"/>
              <w:left w:val="nil"/>
              <w:bottom w:val="single" w:sz="4" w:space="0" w:color="A6A6A6" w:themeColor="background1" w:themeShade="A6"/>
              <w:right w:val="nil"/>
            </w:tcBorders>
          </w:tcPr>
          <w:p w14:paraId="289217B2" w14:textId="43D3FAD8" w:rsidR="003D6D27" w:rsidRDefault="003D6D27" w:rsidP="003D6D27">
            <w:pPr>
              <w:pStyle w:val="TableBody"/>
              <w:ind w:left="142" w:hanging="142"/>
            </w:pPr>
            <w:r>
              <w:t>Personal deposits</w:t>
            </w:r>
          </w:p>
        </w:tc>
        <w:tc>
          <w:tcPr>
            <w:tcW w:w="1015" w:type="pct"/>
            <w:tcBorders>
              <w:top w:val="single" w:sz="4" w:space="0" w:color="007698"/>
              <w:left w:val="nil"/>
              <w:bottom w:val="single" w:sz="4" w:space="0" w:color="A6A6A6" w:themeColor="background1" w:themeShade="A6"/>
              <w:right w:val="nil"/>
            </w:tcBorders>
          </w:tcPr>
          <w:p w14:paraId="07A3C9AE" w14:textId="3666DC58" w:rsidR="003D6D27" w:rsidRPr="009F4861" w:rsidRDefault="00A52D71" w:rsidP="00145915">
            <w:pPr>
              <w:pStyle w:val="TableBody"/>
              <w:jc w:val="right"/>
              <w:rPr>
                <w:szCs w:val="18"/>
              </w:rPr>
            </w:pPr>
            <w:r>
              <w:rPr>
                <w:szCs w:val="18"/>
              </w:rPr>
              <w:t>75</w:t>
            </w:r>
          </w:p>
        </w:tc>
        <w:tc>
          <w:tcPr>
            <w:tcW w:w="979" w:type="pct"/>
            <w:tcBorders>
              <w:top w:val="single" w:sz="4" w:space="0" w:color="007698"/>
              <w:left w:val="nil"/>
              <w:bottom w:val="single" w:sz="4" w:space="0" w:color="A6A6A6" w:themeColor="background1" w:themeShade="A6"/>
              <w:right w:val="nil"/>
            </w:tcBorders>
            <w:vAlign w:val="bottom"/>
          </w:tcPr>
          <w:p w14:paraId="317CCCA9" w14:textId="231FDDC2" w:rsidR="003D6D27" w:rsidRPr="009F4861" w:rsidRDefault="00A52D71" w:rsidP="00145915">
            <w:pPr>
              <w:pStyle w:val="TableBody"/>
              <w:jc w:val="right"/>
              <w:rPr>
                <w:szCs w:val="18"/>
              </w:rPr>
            </w:pPr>
            <w:r>
              <w:rPr>
                <w:szCs w:val="18"/>
              </w:rPr>
              <w:t>73</w:t>
            </w:r>
          </w:p>
        </w:tc>
        <w:tc>
          <w:tcPr>
            <w:tcW w:w="889" w:type="pct"/>
            <w:tcBorders>
              <w:top w:val="single" w:sz="4" w:space="0" w:color="007698"/>
              <w:left w:val="nil"/>
              <w:bottom w:val="single" w:sz="4" w:space="0" w:color="A6A6A6" w:themeColor="background1" w:themeShade="A6"/>
              <w:right w:val="nil"/>
            </w:tcBorders>
            <w:vAlign w:val="bottom"/>
          </w:tcPr>
          <w:p w14:paraId="1BC44EEE" w14:textId="188B2163" w:rsidR="003D6D27" w:rsidRPr="009F4861" w:rsidRDefault="00A52D71" w:rsidP="00145915">
            <w:pPr>
              <w:pStyle w:val="TableBody"/>
              <w:jc w:val="right"/>
              <w:rPr>
                <w:szCs w:val="18"/>
              </w:rPr>
            </w:pPr>
            <w:r>
              <w:rPr>
                <w:szCs w:val="18"/>
              </w:rPr>
              <w:t>76</w:t>
            </w:r>
          </w:p>
        </w:tc>
        <w:tc>
          <w:tcPr>
            <w:tcW w:w="978" w:type="pct"/>
            <w:tcBorders>
              <w:top w:val="single" w:sz="4" w:space="0" w:color="007698"/>
              <w:left w:val="nil"/>
              <w:bottom w:val="single" w:sz="4" w:space="0" w:color="A6A6A6" w:themeColor="background1" w:themeShade="A6"/>
              <w:right w:val="nil"/>
            </w:tcBorders>
            <w:vAlign w:val="bottom"/>
          </w:tcPr>
          <w:p w14:paraId="5514CAA4" w14:textId="2C8C9880" w:rsidR="003D6D27" w:rsidRPr="009F4861" w:rsidRDefault="00A52D71" w:rsidP="00145915">
            <w:pPr>
              <w:pStyle w:val="TableBody"/>
              <w:jc w:val="right"/>
              <w:rPr>
                <w:szCs w:val="18"/>
              </w:rPr>
            </w:pPr>
            <w:r>
              <w:rPr>
                <w:szCs w:val="18"/>
              </w:rPr>
              <w:t>77</w:t>
            </w:r>
          </w:p>
        </w:tc>
      </w:tr>
      <w:tr w:rsidR="003D6D27" w:rsidRPr="00BA29E3" w14:paraId="0C451A96" w14:textId="77777777" w:rsidTr="000C7D5F">
        <w:trPr>
          <w:cantSplit/>
          <w:jc w:val="center"/>
        </w:trPr>
        <w:tc>
          <w:tcPr>
            <w:tcW w:w="1138" w:type="pct"/>
            <w:tcBorders>
              <w:top w:val="single" w:sz="4" w:space="0" w:color="007698"/>
              <w:left w:val="nil"/>
              <w:bottom w:val="single" w:sz="4" w:space="0" w:color="A6A6A6" w:themeColor="background1" w:themeShade="A6"/>
              <w:right w:val="nil"/>
            </w:tcBorders>
          </w:tcPr>
          <w:p w14:paraId="10587E99" w14:textId="7FEF6774" w:rsidR="003D6D27" w:rsidRPr="008E52C3" w:rsidRDefault="003D6D27" w:rsidP="009F13BF">
            <w:pPr>
              <w:pStyle w:val="TableBody"/>
              <w:ind w:left="142" w:hanging="142"/>
            </w:pPr>
            <w:r>
              <w:t>Personal loans</w:t>
            </w:r>
          </w:p>
        </w:tc>
        <w:tc>
          <w:tcPr>
            <w:tcW w:w="1015" w:type="pct"/>
            <w:tcBorders>
              <w:top w:val="single" w:sz="4" w:space="0" w:color="007698"/>
              <w:left w:val="nil"/>
              <w:bottom w:val="single" w:sz="4" w:space="0" w:color="A6A6A6" w:themeColor="background1" w:themeShade="A6"/>
              <w:right w:val="nil"/>
            </w:tcBorders>
          </w:tcPr>
          <w:p w14:paraId="6AC206A6" w14:textId="28C32F8F" w:rsidR="003D6D27" w:rsidRPr="009F4861" w:rsidRDefault="00A52D71" w:rsidP="00145915">
            <w:pPr>
              <w:pStyle w:val="TableBody"/>
              <w:jc w:val="right"/>
              <w:rPr>
                <w:szCs w:val="18"/>
              </w:rPr>
            </w:pPr>
            <w:r>
              <w:rPr>
                <w:szCs w:val="18"/>
              </w:rPr>
              <w:t>51</w:t>
            </w:r>
          </w:p>
        </w:tc>
        <w:tc>
          <w:tcPr>
            <w:tcW w:w="979" w:type="pct"/>
            <w:tcBorders>
              <w:top w:val="single" w:sz="4" w:space="0" w:color="007698"/>
              <w:left w:val="nil"/>
              <w:bottom w:val="single" w:sz="4" w:space="0" w:color="A6A6A6" w:themeColor="background1" w:themeShade="A6"/>
              <w:right w:val="nil"/>
            </w:tcBorders>
            <w:vAlign w:val="bottom"/>
          </w:tcPr>
          <w:p w14:paraId="2DFD5C92" w14:textId="6304383F" w:rsidR="003D6D27" w:rsidRPr="009F4861" w:rsidRDefault="00A52D71" w:rsidP="00145915">
            <w:pPr>
              <w:pStyle w:val="TableBody"/>
              <w:jc w:val="right"/>
              <w:rPr>
                <w:szCs w:val="18"/>
              </w:rPr>
            </w:pPr>
            <w:r>
              <w:rPr>
                <w:szCs w:val="18"/>
              </w:rPr>
              <w:t>51</w:t>
            </w:r>
          </w:p>
        </w:tc>
        <w:tc>
          <w:tcPr>
            <w:tcW w:w="889" w:type="pct"/>
            <w:tcBorders>
              <w:top w:val="single" w:sz="4" w:space="0" w:color="007698"/>
              <w:left w:val="nil"/>
              <w:bottom w:val="single" w:sz="4" w:space="0" w:color="A6A6A6" w:themeColor="background1" w:themeShade="A6"/>
              <w:right w:val="nil"/>
            </w:tcBorders>
            <w:vAlign w:val="bottom"/>
          </w:tcPr>
          <w:p w14:paraId="6BD50E39" w14:textId="33EEA4AD" w:rsidR="003D6D27" w:rsidRPr="009F4861" w:rsidRDefault="00A52D71" w:rsidP="00145915">
            <w:pPr>
              <w:pStyle w:val="TableBody"/>
              <w:jc w:val="right"/>
              <w:rPr>
                <w:szCs w:val="18"/>
              </w:rPr>
            </w:pPr>
            <w:r>
              <w:rPr>
                <w:szCs w:val="18"/>
              </w:rPr>
              <w:t>60</w:t>
            </w:r>
          </w:p>
        </w:tc>
        <w:tc>
          <w:tcPr>
            <w:tcW w:w="978" w:type="pct"/>
            <w:tcBorders>
              <w:top w:val="single" w:sz="4" w:space="0" w:color="007698"/>
              <w:left w:val="nil"/>
              <w:bottom w:val="single" w:sz="4" w:space="0" w:color="A6A6A6" w:themeColor="background1" w:themeShade="A6"/>
              <w:right w:val="nil"/>
            </w:tcBorders>
            <w:vAlign w:val="bottom"/>
          </w:tcPr>
          <w:p w14:paraId="678FA1F5" w14:textId="653047E1" w:rsidR="003D6D27" w:rsidRPr="009F4861" w:rsidRDefault="00A52D71" w:rsidP="00145915">
            <w:pPr>
              <w:pStyle w:val="TableBody"/>
              <w:jc w:val="right"/>
              <w:rPr>
                <w:szCs w:val="18"/>
              </w:rPr>
            </w:pPr>
            <w:r>
              <w:rPr>
                <w:szCs w:val="18"/>
              </w:rPr>
              <w:t>62</w:t>
            </w:r>
          </w:p>
        </w:tc>
      </w:tr>
      <w:tr w:rsidR="003D6D27" w:rsidRPr="00BA29E3" w14:paraId="442CD412" w14:textId="77777777" w:rsidTr="000C7D5F">
        <w:trPr>
          <w:cantSplit/>
          <w:jc w:val="center"/>
        </w:trPr>
        <w:tc>
          <w:tcPr>
            <w:tcW w:w="1138" w:type="pct"/>
            <w:tcBorders>
              <w:top w:val="single" w:sz="4" w:space="0" w:color="A6A6A6" w:themeColor="background1" w:themeShade="A6"/>
              <w:left w:val="nil"/>
              <w:bottom w:val="single" w:sz="4" w:space="0" w:color="A6A6A6" w:themeColor="background1" w:themeShade="A6"/>
              <w:right w:val="nil"/>
            </w:tcBorders>
          </w:tcPr>
          <w:p w14:paraId="52199328" w14:textId="1FC01F86" w:rsidR="003D6D27" w:rsidRPr="00760F4D" w:rsidRDefault="003D6D27" w:rsidP="00AA14FD">
            <w:pPr>
              <w:pStyle w:val="TableBody"/>
              <w:rPr>
                <w:i/>
                <w:szCs w:val="18"/>
              </w:rPr>
            </w:pPr>
            <w:r>
              <w:rPr>
                <w:szCs w:val="18"/>
              </w:rPr>
              <w:t xml:space="preserve">Housing loans </w:t>
            </w:r>
          </w:p>
        </w:tc>
        <w:tc>
          <w:tcPr>
            <w:tcW w:w="1015" w:type="pct"/>
            <w:tcBorders>
              <w:top w:val="single" w:sz="4" w:space="0" w:color="A6A6A6" w:themeColor="background1" w:themeShade="A6"/>
              <w:left w:val="nil"/>
              <w:bottom w:val="single" w:sz="4" w:space="0" w:color="A6A6A6" w:themeColor="background1" w:themeShade="A6"/>
              <w:right w:val="nil"/>
            </w:tcBorders>
          </w:tcPr>
          <w:p w14:paraId="217D07B0" w14:textId="5947C67D" w:rsidR="003D6D27" w:rsidRPr="009F4861" w:rsidRDefault="007A4B19" w:rsidP="00A52D71">
            <w:pPr>
              <w:pStyle w:val="TableBody"/>
              <w:jc w:val="right"/>
              <w:rPr>
                <w:szCs w:val="18"/>
              </w:rPr>
            </w:pPr>
            <w:r>
              <w:rPr>
                <w:szCs w:val="18"/>
              </w:rPr>
              <w:t>7</w:t>
            </w:r>
            <w:r w:rsidR="00A52D71">
              <w:rPr>
                <w:szCs w:val="18"/>
              </w:rPr>
              <w:t>0</w:t>
            </w:r>
          </w:p>
        </w:tc>
        <w:tc>
          <w:tcPr>
            <w:tcW w:w="979" w:type="pct"/>
            <w:tcBorders>
              <w:top w:val="single" w:sz="4" w:space="0" w:color="A6A6A6" w:themeColor="background1" w:themeShade="A6"/>
              <w:left w:val="nil"/>
              <w:bottom w:val="single" w:sz="4" w:space="0" w:color="A6A6A6" w:themeColor="background1" w:themeShade="A6"/>
              <w:right w:val="nil"/>
            </w:tcBorders>
            <w:vAlign w:val="bottom"/>
          </w:tcPr>
          <w:p w14:paraId="3A2F34E2" w14:textId="2ED3E8BF" w:rsidR="003D6D27" w:rsidRPr="009F4861" w:rsidRDefault="007A4B19" w:rsidP="00145915">
            <w:pPr>
              <w:pStyle w:val="TableBody"/>
              <w:jc w:val="right"/>
              <w:rPr>
                <w:szCs w:val="18"/>
              </w:rPr>
            </w:pPr>
            <w:r>
              <w:rPr>
                <w:szCs w:val="18"/>
              </w:rPr>
              <w:t>66</w:t>
            </w:r>
          </w:p>
        </w:tc>
        <w:tc>
          <w:tcPr>
            <w:tcW w:w="889" w:type="pct"/>
            <w:tcBorders>
              <w:top w:val="single" w:sz="4" w:space="0" w:color="A6A6A6" w:themeColor="background1" w:themeShade="A6"/>
              <w:left w:val="nil"/>
              <w:bottom w:val="single" w:sz="4" w:space="0" w:color="A6A6A6" w:themeColor="background1" w:themeShade="A6"/>
              <w:right w:val="nil"/>
            </w:tcBorders>
            <w:vAlign w:val="bottom"/>
          </w:tcPr>
          <w:p w14:paraId="400C834A" w14:textId="68FA1217" w:rsidR="003D6D27" w:rsidRPr="009F4861" w:rsidRDefault="00A52D71" w:rsidP="00145915">
            <w:pPr>
              <w:pStyle w:val="TableBody"/>
              <w:jc w:val="right"/>
              <w:rPr>
                <w:szCs w:val="18"/>
              </w:rPr>
            </w:pPr>
            <w:r>
              <w:rPr>
                <w:szCs w:val="18"/>
              </w:rPr>
              <w:t>78</w:t>
            </w:r>
          </w:p>
        </w:tc>
        <w:tc>
          <w:tcPr>
            <w:tcW w:w="978" w:type="pct"/>
            <w:tcBorders>
              <w:top w:val="single" w:sz="4" w:space="0" w:color="A6A6A6" w:themeColor="background1" w:themeShade="A6"/>
              <w:left w:val="nil"/>
              <w:bottom w:val="single" w:sz="4" w:space="0" w:color="A6A6A6" w:themeColor="background1" w:themeShade="A6"/>
              <w:right w:val="nil"/>
            </w:tcBorders>
            <w:vAlign w:val="bottom"/>
          </w:tcPr>
          <w:p w14:paraId="3B1588C5" w14:textId="24298C5A" w:rsidR="003D6D27" w:rsidRPr="009F4861" w:rsidRDefault="00A52D71" w:rsidP="00145915">
            <w:pPr>
              <w:pStyle w:val="TableBody"/>
              <w:jc w:val="right"/>
              <w:rPr>
                <w:szCs w:val="18"/>
              </w:rPr>
            </w:pPr>
            <w:r>
              <w:rPr>
                <w:szCs w:val="18"/>
              </w:rPr>
              <w:t>77</w:t>
            </w:r>
          </w:p>
        </w:tc>
      </w:tr>
      <w:tr w:rsidR="003D6D27" w:rsidRPr="00BA29E3" w14:paraId="19731B7A" w14:textId="77777777" w:rsidTr="000C7D5F">
        <w:trPr>
          <w:cantSplit/>
          <w:jc w:val="center"/>
        </w:trPr>
        <w:tc>
          <w:tcPr>
            <w:tcW w:w="1138" w:type="pct"/>
            <w:tcBorders>
              <w:top w:val="single" w:sz="4" w:space="0" w:color="A6A6A6" w:themeColor="background1" w:themeShade="A6"/>
              <w:left w:val="nil"/>
              <w:bottom w:val="single" w:sz="4" w:space="0" w:color="A6A6A6" w:themeColor="background1" w:themeShade="A6"/>
              <w:right w:val="nil"/>
            </w:tcBorders>
          </w:tcPr>
          <w:p w14:paraId="65F4BF64" w14:textId="00C8F05E" w:rsidR="003D6D27" w:rsidRDefault="003D6D27" w:rsidP="00145915">
            <w:pPr>
              <w:pStyle w:val="TableBody"/>
              <w:rPr>
                <w:szCs w:val="18"/>
                <w:vertAlign w:val="superscript"/>
              </w:rPr>
            </w:pPr>
            <w:r>
              <w:rPr>
                <w:szCs w:val="18"/>
              </w:rPr>
              <w:t>Business loans</w:t>
            </w:r>
          </w:p>
          <w:p w14:paraId="1CD71007" w14:textId="7A1DC27F" w:rsidR="003D6D27" w:rsidRPr="009F13BF" w:rsidRDefault="003D6D27" w:rsidP="009F13BF">
            <w:pPr>
              <w:pStyle w:val="TableBody"/>
              <w:numPr>
                <w:ilvl w:val="0"/>
                <w:numId w:val="50"/>
              </w:numPr>
              <w:ind w:left="284" w:hanging="142"/>
              <w:rPr>
                <w:i/>
                <w:szCs w:val="18"/>
              </w:rPr>
            </w:pPr>
            <w:r>
              <w:rPr>
                <w:szCs w:val="18"/>
              </w:rPr>
              <w:t>small business</w:t>
            </w:r>
          </w:p>
          <w:p w14:paraId="06D07C9A" w14:textId="62BB76A6" w:rsidR="003D6D27" w:rsidRPr="00760F4D" w:rsidRDefault="003D6D27" w:rsidP="009F13BF">
            <w:pPr>
              <w:pStyle w:val="TableBody"/>
              <w:numPr>
                <w:ilvl w:val="0"/>
                <w:numId w:val="50"/>
              </w:numPr>
              <w:ind w:left="284" w:hanging="142"/>
              <w:rPr>
                <w:i/>
                <w:szCs w:val="18"/>
              </w:rPr>
            </w:pPr>
            <w:r>
              <w:rPr>
                <w:szCs w:val="18"/>
              </w:rPr>
              <w:t>large business</w:t>
            </w:r>
          </w:p>
        </w:tc>
        <w:tc>
          <w:tcPr>
            <w:tcW w:w="1015" w:type="pct"/>
            <w:tcBorders>
              <w:top w:val="single" w:sz="4" w:space="0" w:color="A6A6A6" w:themeColor="background1" w:themeShade="A6"/>
              <w:left w:val="nil"/>
              <w:bottom w:val="single" w:sz="4" w:space="0" w:color="A6A6A6" w:themeColor="background1" w:themeShade="A6"/>
              <w:right w:val="nil"/>
            </w:tcBorders>
          </w:tcPr>
          <w:p w14:paraId="4CC3A987" w14:textId="77777777" w:rsidR="003D6D27" w:rsidRDefault="003D6D27" w:rsidP="00145915">
            <w:pPr>
              <w:pStyle w:val="TableBody"/>
              <w:jc w:val="right"/>
              <w:rPr>
                <w:szCs w:val="18"/>
              </w:rPr>
            </w:pPr>
          </w:p>
          <w:p w14:paraId="3E4352F8" w14:textId="31968F3D" w:rsidR="003D6D27" w:rsidRDefault="00A52D71" w:rsidP="00145915">
            <w:pPr>
              <w:pStyle w:val="TableBody"/>
              <w:jc w:val="right"/>
              <w:rPr>
                <w:szCs w:val="18"/>
              </w:rPr>
            </w:pPr>
            <w:r>
              <w:rPr>
                <w:szCs w:val="18"/>
              </w:rPr>
              <w:t>7</w:t>
            </w:r>
            <w:r w:rsidR="007A4B19">
              <w:rPr>
                <w:szCs w:val="18"/>
              </w:rPr>
              <w:t>5</w:t>
            </w:r>
          </w:p>
          <w:p w14:paraId="173F7CA4" w14:textId="7801EB3A" w:rsidR="007A4B19" w:rsidRPr="009F4861" w:rsidRDefault="00A52D71" w:rsidP="00A52D71">
            <w:pPr>
              <w:pStyle w:val="TableBody"/>
              <w:jc w:val="right"/>
              <w:rPr>
                <w:szCs w:val="18"/>
              </w:rPr>
            </w:pPr>
            <w:r>
              <w:rPr>
                <w:szCs w:val="18"/>
              </w:rPr>
              <w:t>6</w:t>
            </w:r>
            <w:r w:rsidR="007A4B19">
              <w:rPr>
                <w:szCs w:val="18"/>
              </w:rPr>
              <w:t>7</w:t>
            </w:r>
          </w:p>
        </w:tc>
        <w:tc>
          <w:tcPr>
            <w:tcW w:w="979" w:type="pct"/>
            <w:tcBorders>
              <w:top w:val="single" w:sz="4" w:space="0" w:color="A6A6A6" w:themeColor="background1" w:themeShade="A6"/>
              <w:left w:val="nil"/>
              <w:bottom w:val="single" w:sz="4" w:space="0" w:color="A6A6A6" w:themeColor="background1" w:themeShade="A6"/>
              <w:right w:val="nil"/>
            </w:tcBorders>
            <w:vAlign w:val="bottom"/>
          </w:tcPr>
          <w:p w14:paraId="1294AAAD" w14:textId="77777777" w:rsidR="003D6D27" w:rsidRDefault="003D6D27" w:rsidP="00145915">
            <w:pPr>
              <w:pStyle w:val="TableBody"/>
              <w:jc w:val="right"/>
              <w:rPr>
                <w:szCs w:val="18"/>
              </w:rPr>
            </w:pPr>
          </w:p>
          <w:p w14:paraId="6C6466AB" w14:textId="7CAA08A0" w:rsidR="007A4B19" w:rsidRDefault="00A52D71" w:rsidP="00145915">
            <w:pPr>
              <w:pStyle w:val="TableBody"/>
              <w:jc w:val="right"/>
              <w:rPr>
                <w:szCs w:val="18"/>
              </w:rPr>
            </w:pPr>
            <w:r>
              <w:rPr>
                <w:szCs w:val="18"/>
              </w:rPr>
              <w:t>6</w:t>
            </w:r>
            <w:r w:rsidR="007A4B19">
              <w:rPr>
                <w:szCs w:val="18"/>
              </w:rPr>
              <w:t>8</w:t>
            </w:r>
          </w:p>
          <w:p w14:paraId="0748CD0E" w14:textId="2219EC5F" w:rsidR="007A4B19" w:rsidRPr="009F4861" w:rsidRDefault="007A4B19" w:rsidP="00A52D71">
            <w:pPr>
              <w:pStyle w:val="TableBody"/>
              <w:jc w:val="right"/>
              <w:rPr>
                <w:szCs w:val="18"/>
              </w:rPr>
            </w:pPr>
            <w:r>
              <w:rPr>
                <w:szCs w:val="18"/>
              </w:rPr>
              <w:t>6</w:t>
            </w:r>
            <w:r w:rsidR="00A52D71">
              <w:rPr>
                <w:szCs w:val="18"/>
              </w:rPr>
              <w:t>3</w:t>
            </w:r>
          </w:p>
        </w:tc>
        <w:tc>
          <w:tcPr>
            <w:tcW w:w="889" w:type="pct"/>
            <w:tcBorders>
              <w:top w:val="single" w:sz="4" w:space="0" w:color="A6A6A6" w:themeColor="background1" w:themeShade="A6"/>
              <w:left w:val="nil"/>
              <w:bottom w:val="single" w:sz="4" w:space="0" w:color="A6A6A6" w:themeColor="background1" w:themeShade="A6"/>
              <w:right w:val="nil"/>
            </w:tcBorders>
            <w:vAlign w:val="bottom"/>
          </w:tcPr>
          <w:p w14:paraId="3E28C4DD" w14:textId="77777777" w:rsidR="003D6D27" w:rsidRDefault="003D6D27" w:rsidP="00145915">
            <w:pPr>
              <w:pStyle w:val="TableBody"/>
              <w:jc w:val="right"/>
              <w:rPr>
                <w:szCs w:val="18"/>
              </w:rPr>
            </w:pPr>
          </w:p>
          <w:p w14:paraId="3D15186B" w14:textId="77CA08A2" w:rsidR="007A4B19" w:rsidRDefault="00A52D71" w:rsidP="00145915">
            <w:pPr>
              <w:pStyle w:val="TableBody"/>
              <w:jc w:val="right"/>
              <w:rPr>
                <w:szCs w:val="18"/>
              </w:rPr>
            </w:pPr>
            <w:r>
              <w:rPr>
                <w:szCs w:val="18"/>
              </w:rPr>
              <w:t>85</w:t>
            </w:r>
          </w:p>
          <w:p w14:paraId="0EEF52E7" w14:textId="1CBA3114" w:rsidR="007A4B19" w:rsidRPr="009F4861" w:rsidRDefault="00A52D71" w:rsidP="00EE4203">
            <w:pPr>
              <w:pStyle w:val="TableBody"/>
              <w:jc w:val="right"/>
              <w:rPr>
                <w:szCs w:val="18"/>
              </w:rPr>
            </w:pPr>
            <w:r>
              <w:rPr>
                <w:szCs w:val="18"/>
              </w:rPr>
              <w:t>70</w:t>
            </w:r>
          </w:p>
        </w:tc>
        <w:tc>
          <w:tcPr>
            <w:tcW w:w="978" w:type="pct"/>
            <w:tcBorders>
              <w:top w:val="single" w:sz="4" w:space="0" w:color="A6A6A6" w:themeColor="background1" w:themeShade="A6"/>
              <w:left w:val="nil"/>
              <w:bottom w:val="single" w:sz="4" w:space="0" w:color="A6A6A6" w:themeColor="background1" w:themeShade="A6"/>
              <w:right w:val="nil"/>
            </w:tcBorders>
            <w:vAlign w:val="bottom"/>
          </w:tcPr>
          <w:p w14:paraId="2E9108C1" w14:textId="2DF99A44" w:rsidR="003D6D27" w:rsidRDefault="00A52D71" w:rsidP="00145915">
            <w:pPr>
              <w:pStyle w:val="TableBody"/>
              <w:jc w:val="right"/>
              <w:rPr>
                <w:szCs w:val="18"/>
              </w:rPr>
            </w:pPr>
            <w:r>
              <w:rPr>
                <w:szCs w:val="18"/>
              </w:rPr>
              <w:t>83</w:t>
            </w:r>
          </w:p>
          <w:p w14:paraId="0E4C1FF8" w14:textId="5B9FFFEA" w:rsidR="007A4B19" w:rsidRPr="009F4861" w:rsidRDefault="00A52D71" w:rsidP="00145915">
            <w:pPr>
              <w:pStyle w:val="TableBody"/>
              <w:jc w:val="right"/>
              <w:rPr>
                <w:szCs w:val="18"/>
              </w:rPr>
            </w:pPr>
            <w:r>
              <w:rPr>
                <w:szCs w:val="18"/>
              </w:rPr>
              <w:t>66</w:t>
            </w:r>
          </w:p>
        </w:tc>
      </w:tr>
      <w:tr w:rsidR="003D6D27" w:rsidRPr="00BA29E3" w14:paraId="3E740D13" w14:textId="77777777" w:rsidTr="000C7D5F">
        <w:trPr>
          <w:cantSplit/>
          <w:jc w:val="center"/>
        </w:trPr>
        <w:tc>
          <w:tcPr>
            <w:tcW w:w="1138" w:type="pct"/>
            <w:tcBorders>
              <w:top w:val="single" w:sz="4" w:space="0" w:color="A6A6A6" w:themeColor="background1" w:themeShade="A6"/>
              <w:left w:val="nil"/>
              <w:bottom w:val="single" w:sz="4" w:space="0" w:color="A6A6A6" w:themeColor="background1" w:themeShade="A6"/>
              <w:right w:val="nil"/>
            </w:tcBorders>
          </w:tcPr>
          <w:p w14:paraId="0F9E95D7" w14:textId="3459BE74" w:rsidR="00AC70D4" w:rsidRDefault="003D6D27" w:rsidP="00145915">
            <w:pPr>
              <w:pStyle w:val="TableBody"/>
              <w:rPr>
                <w:szCs w:val="18"/>
              </w:rPr>
            </w:pPr>
            <w:r>
              <w:rPr>
                <w:szCs w:val="18"/>
              </w:rPr>
              <w:t>Card transactions</w:t>
            </w:r>
          </w:p>
          <w:p w14:paraId="28D7E0DA" w14:textId="3EC24A8A" w:rsidR="00AC70D4" w:rsidRDefault="00DE32A7" w:rsidP="009F13BF">
            <w:pPr>
              <w:pStyle w:val="TableBody"/>
              <w:numPr>
                <w:ilvl w:val="0"/>
                <w:numId w:val="50"/>
              </w:numPr>
              <w:ind w:left="284" w:hanging="142"/>
              <w:rPr>
                <w:szCs w:val="18"/>
              </w:rPr>
            </w:pPr>
            <w:r>
              <w:rPr>
                <w:szCs w:val="18"/>
              </w:rPr>
              <w:t xml:space="preserve">credit </w:t>
            </w:r>
            <w:r w:rsidR="00AC70D4">
              <w:rPr>
                <w:szCs w:val="18"/>
              </w:rPr>
              <w:t>issuing</w:t>
            </w:r>
          </w:p>
          <w:p w14:paraId="78175BE3" w14:textId="71EC3ED4" w:rsidR="003D6D27" w:rsidRDefault="00AC70D4" w:rsidP="009F13BF">
            <w:pPr>
              <w:pStyle w:val="TableBody"/>
              <w:numPr>
                <w:ilvl w:val="0"/>
                <w:numId w:val="50"/>
              </w:numPr>
              <w:ind w:left="284" w:hanging="142"/>
              <w:rPr>
                <w:szCs w:val="18"/>
              </w:rPr>
            </w:pPr>
            <w:r>
              <w:rPr>
                <w:szCs w:val="18"/>
              </w:rPr>
              <w:t>acquiring</w:t>
            </w:r>
            <w:r w:rsidR="00DE32A7" w:rsidRPr="00C715AE">
              <w:rPr>
                <w:szCs w:val="18"/>
                <w:vertAlign w:val="superscript"/>
              </w:rPr>
              <w:t>(b)</w:t>
            </w:r>
          </w:p>
        </w:tc>
        <w:tc>
          <w:tcPr>
            <w:tcW w:w="1015" w:type="pct"/>
            <w:tcBorders>
              <w:top w:val="single" w:sz="4" w:space="0" w:color="A6A6A6" w:themeColor="background1" w:themeShade="A6"/>
              <w:left w:val="nil"/>
              <w:bottom w:val="single" w:sz="4" w:space="0" w:color="A6A6A6" w:themeColor="background1" w:themeShade="A6"/>
              <w:right w:val="nil"/>
            </w:tcBorders>
          </w:tcPr>
          <w:p w14:paraId="7941D335" w14:textId="77777777" w:rsidR="003D6D27" w:rsidRDefault="003D6D27" w:rsidP="00145915">
            <w:pPr>
              <w:pStyle w:val="TableBody"/>
              <w:jc w:val="right"/>
              <w:rPr>
                <w:szCs w:val="18"/>
              </w:rPr>
            </w:pPr>
          </w:p>
          <w:p w14:paraId="6D5082BA" w14:textId="0FBAA6EC" w:rsidR="00AC70C6" w:rsidRDefault="00AC70C6" w:rsidP="00145915">
            <w:pPr>
              <w:pStyle w:val="TableBody"/>
              <w:jc w:val="right"/>
              <w:rPr>
                <w:szCs w:val="18"/>
              </w:rPr>
            </w:pPr>
            <w:r>
              <w:rPr>
                <w:szCs w:val="18"/>
              </w:rPr>
              <w:t>n.a</w:t>
            </w:r>
            <w:r w:rsidR="009D1141">
              <w:rPr>
                <w:szCs w:val="18"/>
              </w:rPr>
              <w:t>.</w:t>
            </w:r>
          </w:p>
          <w:p w14:paraId="332D1910" w14:textId="06A25A1E" w:rsidR="00AC70C6" w:rsidRDefault="00AC70C6" w:rsidP="00145915">
            <w:pPr>
              <w:pStyle w:val="TableBody"/>
              <w:jc w:val="right"/>
              <w:rPr>
                <w:szCs w:val="18"/>
              </w:rPr>
            </w:pPr>
            <w:r>
              <w:rPr>
                <w:szCs w:val="18"/>
              </w:rPr>
              <w:t>n.a</w:t>
            </w:r>
            <w:r w:rsidR="009D1141">
              <w:rPr>
                <w:szCs w:val="18"/>
              </w:rPr>
              <w:t>.</w:t>
            </w:r>
          </w:p>
        </w:tc>
        <w:tc>
          <w:tcPr>
            <w:tcW w:w="979" w:type="pct"/>
            <w:tcBorders>
              <w:top w:val="single" w:sz="4" w:space="0" w:color="A6A6A6" w:themeColor="background1" w:themeShade="A6"/>
              <w:left w:val="nil"/>
              <w:bottom w:val="single" w:sz="4" w:space="0" w:color="A6A6A6" w:themeColor="background1" w:themeShade="A6"/>
              <w:right w:val="nil"/>
            </w:tcBorders>
            <w:vAlign w:val="bottom"/>
          </w:tcPr>
          <w:p w14:paraId="468F6C56" w14:textId="073C0A9E" w:rsidR="003D6D27" w:rsidRDefault="00F332E9" w:rsidP="00145915">
            <w:pPr>
              <w:pStyle w:val="TableBody"/>
              <w:jc w:val="right"/>
              <w:rPr>
                <w:szCs w:val="18"/>
              </w:rPr>
            </w:pPr>
            <w:r>
              <w:rPr>
                <w:szCs w:val="18"/>
              </w:rPr>
              <w:t>72</w:t>
            </w:r>
          </w:p>
          <w:p w14:paraId="64274F8E" w14:textId="25700E0A" w:rsidR="00F332E9" w:rsidRPr="009F4861" w:rsidRDefault="00F332E9" w:rsidP="00145915">
            <w:pPr>
              <w:pStyle w:val="TableBody"/>
              <w:jc w:val="right"/>
              <w:rPr>
                <w:szCs w:val="18"/>
              </w:rPr>
            </w:pPr>
            <w:r>
              <w:rPr>
                <w:szCs w:val="18"/>
              </w:rPr>
              <w:t>73</w:t>
            </w:r>
          </w:p>
        </w:tc>
        <w:tc>
          <w:tcPr>
            <w:tcW w:w="889" w:type="pct"/>
            <w:tcBorders>
              <w:top w:val="single" w:sz="4" w:space="0" w:color="A6A6A6" w:themeColor="background1" w:themeShade="A6"/>
              <w:left w:val="nil"/>
              <w:bottom w:val="single" w:sz="4" w:space="0" w:color="A6A6A6" w:themeColor="background1" w:themeShade="A6"/>
              <w:right w:val="nil"/>
            </w:tcBorders>
            <w:vAlign w:val="bottom"/>
          </w:tcPr>
          <w:p w14:paraId="56D769C7" w14:textId="77777777" w:rsidR="003D6D27" w:rsidRDefault="00F332E9" w:rsidP="00145915">
            <w:pPr>
              <w:pStyle w:val="TableBody"/>
              <w:jc w:val="right"/>
              <w:rPr>
                <w:szCs w:val="18"/>
              </w:rPr>
            </w:pPr>
            <w:r>
              <w:rPr>
                <w:szCs w:val="18"/>
              </w:rPr>
              <w:t>75</w:t>
            </w:r>
          </w:p>
          <w:p w14:paraId="5323E522" w14:textId="5DA6F830" w:rsidR="00F332E9" w:rsidRPr="009F4861" w:rsidRDefault="00F332E9" w:rsidP="00145915">
            <w:pPr>
              <w:pStyle w:val="TableBody"/>
              <w:jc w:val="right"/>
              <w:rPr>
                <w:szCs w:val="18"/>
              </w:rPr>
            </w:pPr>
            <w:r>
              <w:rPr>
                <w:szCs w:val="18"/>
              </w:rPr>
              <w:t>74</w:t>
            </w:r>
          </w:p>
        </w:tc>
        <w:tc>
          <w:tcPr>
            <w:tcW w:w="978" w:type="pct"/>
            <w:tcBorders>
              <w:top w:val="single" w:sz="4" w:space="0" w:color="A6A6A6" w:themeColor="background1" w:themeShade="A6"/>
              <w:left w:val="nil"/>
              <w:bottom w:val="single" w:sz="4" w:space="0" w:color="A6A6A6" w:themeColor="background1" w:themeShade="A6"/>
              <w:right w:val="nil"/>
            </w:tcBorders>
            <w:vAlign w:val="bottom"/>
          </w:tcPr>
          <w:p w14:paraId="698C218D" w14:textId="77777777" w:rsidR="003D6D27" w:rsidRDefault="00F332E9" w:rsidP="00145915">
            <w:pPr>
              <w:pStyle w:val="TableBody"/>
              <w:jc w:val="right"/>
              <w:rPr>
                <w:szCs w:val="18"/>
              </w:rPr>
            </w:pPr>
            <w:r>
              <w:rPr>
                <w:szCs w:val="18"/>
              </w:rPr>
              <w:t>76</w:t>
            </w:r>
          </w:p>
          <w:p w14:paraId="231A2E6F" w14:textId="49DB5340" w:rsidR="00F332E9" w:rsidRPr="009F4861" w:rsidRDefault="00F332E9" w:rsidP="00F332E9">
            <w:pPr>
              <w:pStyle w:val="TableBody"/>
              <w:jc w:val="right"/>
              <w:rPr>
                <w:szCs w:val="18"/>
              </w:rPr>
            </w:pPr>
            <w:r>
              <w:rPr>
                <w:szCs w:val="18"/>
              </w:rPr>
              <w:t>73</w:t>
            </w:r>
          </w:p>
        </w:tc>
      </w:tr>
    </w:tbl>
    <w:p w14:paraId="482B1C35" w14:textId="3EF5F9BD" w:rsidR="004B16B8" w:rsidRPr="00403DB5" w:rsidRDefault="004B16B8" w:rsidP="008468EB">
      <w:pPr>
        <w:pStyle w:val="TableFootnote"/>
        <w:ind w:left="850"/>
      </w:pPr>
      <w:r w:rsidRPr="00403DB5">
        <w:t xml:space="preserve">(a) </w:t>
      </w:r>
      <w:r w:rsidR="00AC70D4">
        <w:t>RBA estimate</w:t>
      </w:r>
      <w:r w:rsidR="007A4B19">
        <w:t>s</w:t>
      </w:r>
      <w:r w:rsidR="00A52D71">
        <w:t>; small business based on loan size less than $2 million</w:t>
      </w:r>
    </w:p>
    <w:p w14:paraId="66DB2132" w14:textId="493374C5" w:rsidR="004B16B8" w:rsidRDefault="004B16B8" w:rsidP="008468EB">
      <w:pPr>
        <w:pStyle w:val="TableFootnote"/>
        <w:ind w:left="850"/>
      </w:pPr>
      <w:r w:rsidRPr="00403DB5">
        <w:t xml:space="preserve">(b) </w:t>
      </w:r>
      <w:r w:rsidR="007A4B19">
        <w:t>Credit and debit</w:t>
      </w:r>
    </w:p>
    <w:p w14:paraId="7F955839" w14:textId="642D724E" w:rsidR="004B16B8" w:rsidRDefault="004B16B8" w:rsidP="008468EB">
      <w:pPr>
        <w:pStyle w:val="TableFootnote"/>
        <w:ind w:left="850"/>
      </w:pPr>
      <w:r w:rsidRPr="00403DB5">
        <w:t xml:space="preserve">Sources: </w:t>
      </w:r>
      <w:r w:rsidR="00AC70D4">
        <w:t>APRA</w:t>
      </w:r>
      <w:r w:rsidRPr="00403DB5">
        <w:t>; RBA</w:t>
      </w:r>
    </w:p>
    <w:p w14:paraId="71D2DA22" w14:textId="2A5587F7" w:rsidR="00C75C27" w:rsidRDefault="00FE6D37" w:rsidP="00AB4285">
      <w:pPr>
        <w:pStyle w:val="BodyText"/>
        <w:spacing w:before="120"/>
      </w:pPr>
      <w:r>
        <w:t>M</w:t>
      </w:r>
      <w:r w:rsidR="00C75C27">
        <w:t xml:space="preserve">arket structure is not </w:t>
      </w:r>
      <w:r w:rsidR="0051136F">
        <w:t xml:space="preserve">always </w:t>
      </w:r>
      <w:r w:rsidR="00C75C27">
        <w:t>a reliable indicator of the level of competition</w:t>
      </w:r>
      <w:r w:rsidR="007A4B19">
        <w:t xml:space="preserve"> and efficiency</w:t>
      </w:r>
      <w:r w:rsidR="00C75C27">
        <w:t xml:space="preserve">. </w:t>
      </w:r>
      <w:r w:rsidR="004B55BE">
        <w:t>As discussed above, t</w:t>
      </w:r>
      <w:r w:rsidR="00C75C27">
        <w:t xml:space="preserve">o the extent that economies of scale exist in the market, a small number of large </w:t>
      </w:r>
      <w:r w:rsidR="000B39D6">
        <w:t xml:space="preserve">banks </w:t>
      </w:r>
      <w:r w:rsidR="00C75C27">
        <w:t>might be an efficient outcome</w:t>
      </w:r>
      <w:r w:rsidR="00F3290A">
        <w:t xml:space="preserve"> with active competition between the large players</w:t>
      </w:r>
      <w:sdt>
        <w:sdtPr>
          <w:id w:val="1312519215"/>
          <w:citation/>
        </w:sdtPr>
        <w:sdtEndPr/>
        <w:sdtContent>
          <w:r w:rsidR="00BE2F50">
            <w:fldChar w:fldCharType="begin"/>
          </w:r>
          <w:r w:rsidR="00BE2F50">
            <w:instrText xml:space="preserve"> CITATION Hug01 \l 3081 </w:instrText>
          </w:r>
          <w:r w:rsidR="00BE2F50">
            <w:fldChar w:fldCharType="separate"/>
          </w:r>
          <w:r w:rsidR="0018397C">
            <w:rPr>
              <w:noProof/>
            </w:rPr>
            <w:t xml:space="preserve"> (Hughes, Mester and Moon 2001)</w:t>
          </w:r>
          <w:r w:rsidR="00BE2F50">
            <w:fldChar w:fldCharType="end"/>
          </w:r>
        </w:sdtContent>
      </w:sdt>
      <w:r w:rsidR="00C75C27">
        <w:t xml:space="preserve">. Equally, a concentrated market might be </w:t>
      </w:r>
      <w:r w:rsidR="00421C93">
        <w:t xml:space="preserve">the </w:t>
      </w:r>
      <w:r w:rsidR="00C75C27">
        <w:t xml:space="preserve">outcome of some banks being more efficient and attracting market share as a result. </w:t>
      </w:r>
    </w:p>
    <w:p w14:paraId="36C3B06A" w14:textId="7D7A956F" w:rsidR="005C0840" w:rsidRDefault="00C75C27" w:rsidP="005771B7">
      <w:pPr>
        <w:pStyle w:val="BodyText"/>
      </w:pPr>
      <w:r>
        <w:t xml:space="preserve">Importantly, if a market is highly contestable (i.e. new entrants can enter the market relatively freely to compete away any excess returns), a concentrated market </w:t>
      </w:r>
      <w:r w:rsidR="00107FBD">
        <w:t xml:space="preserve">can </w:t>
      </w:r>
      <w:r>
        <w:t>still deliver outcomes consistent with strong competition</w:t>
      </w:r>
      <w:sdt>
        <w:sdtPr>
          <w:id w:val="-1583208949"/>
          <w:citation/>
        </w:sdtPr>
        <w:sdtEndPr/>
        <w:sdtContent>
          <w:r w:rsidR="00BE2F50">
            <w:fldChar w:fldCharType="begin"/>
          </w:r>
          <w:r w:rsidR="00BE2F50">
            <w:instrText xml:space="preserve"> CITATION Cla04 \l 3081 </w:instrText>
          </w:r>
          <w:r w:rsidR="00BE2F50">
            <w:fldChar w:fldCharType="separate"/>
          </w:r>
          <w:r w:rsidR="0018397C">
            <w:rPr>
              <w:noProof/>
            </w:rPr>
            <w:t xml:space="preserve"> (Claessens and Laeven 2004)</w:t>
          </w:r>
          <w:r w:rsidR="00BE2F50">
            <w:fldChar w:fldCharType="end"/>
          </w:r>
        </w:sdtContent>
      </w:sdt>
      <w:r w:rsidR="00BE2F50">
        <w:t xml:space="preserve">. </w:t>
      </w:r>
      <w:r>
        <w:t>Consideration of barriers to entry</w:t>
      </w:r>
      <w:r w:rsidR="000B39D6">
        <w:t xml:space="preserve"> – which can include both practical barriers, such as the need to invest in IT infrastructure and brand recognition, as well as regulatory barriers –</w:t>
      </w:r>
      <w:r>
        <w:t xml:space="preserve"> is therefore important to any analysis. </w:t>
      </w:r>
    </w:p>
    <w:p w14:paraId="5192EB76" w14:textId="4FA6735F" w:rsidR="00C25042" w:rsidRDefault="00C25042" w:rsidP="00805527">
      <w:pPr>
        <w:pStyle w:val="Heading3"/>
      </w:pPr>
      <w:r>
        <w:t>Operational efficiency</w:t>
      </w:r>
    </w:p>
    <w:p w14:paraId="010A1AF0" w14:textId="46CC53CC" w:rsidR="008E4DF9" w:rsidRPr="00206C7F" w:rsidRDefault="00C73BC0" w:rsidP="00805527">
      <w:pPr>
        <w:pStyle w:val="BodyText"/>
      </w:pPr>
      <w:r>
        <w:t>There is at least tentative evidence that concentration in the Australian market is consistent with operational efficiency.</w:t>
      </w:r>
      <w:r w:rsidR="008E4DF9" w:rsidRPr="00206C7F">
        <w:t xml:space="preserve"> Two metrics used to compare </w:t>
      </w:r>
      <w:r w:rsidR="008E4DF9">
        <w:t xml:space="preserve">operational </w:t>
      </w:r>
      <w:r w:rsidR="008E4DF9" w:rsidRPr="00206C7F">
        <w:t>efficiency are the cost-to-income and cost-to-asset ratios</w:t>
      </w:r>
      <w:r w:rsidR="001D669E">
        <w:t xml:space="preserve"> (</w:t>
      </w:r>
      <w:r w:rsidR="001D669E">
        <w:fldChar w:fldCharType="begin"/>
      </w:r>
      <w:r w:rsidR="001D669E">
        <w:instrText xml:space="preserve"> REF _Ref492390394 \h </w:instrText>
      </w:r>
      <w:r w:rsidR="001D669E">
        <w:fldChar w:fldCharType="separate"/>
      </w:r>
      <w:r w:rsidR="00032843">
        <w:t>Graph </w:t>
      </w:r>
      <w:r w:rsidR="00032843">
        <w:rPr>
          <w:noProof/>
        </w:rPr>
        <w:t>5</w:t>
      </w:r>
      <w:r w:rsidR="001D669E">
        <w:fldChar w:fldCharType="end"/>
      </w:r>
      <w:r w:rsidR="001D669E">
        <w:t>)</w:t>
      </w:r>
      <w:r w:rsidR="008E4DF9" w:rsidRPr="00206C7F">
        <w:t>.</w:t>
      </w:r>
      <w:r w:rsidR="00DE58B1">
        <w:rPr>
          <w:rStyle w:val="FootnoteReference"/>
        </w:rPr>
        <w:footnoteReference w:id="4"/>
      </w:r>
      <w:r w:rsidR="008E4DF9" w:rsidRPr="00206C7F">
        <w:t xml:space="preserve"> Australian banks appear relatively efficient </w:t>
      </w:r>
      <w:r w:rsidR="00DE58B1">
        <w:t xml:space="preserve">by international </w:t>
      </w:r>
      <w:r w:rsidR="008B3221">
        <w:t>measures</w:t>
      </w:r>
      <w:r w:rsidR="00DE58B1">
        <w:t xml:space="preserve">, </w:t>
      </w:r>
      <w:r w:rsidR="008E4DF9" w:rsidRPr="00206C7F">
        <w:t xml:space="preserve">with cost-to-income and cost-to-asset ratios of around 45 per cent and 0.5 per cent, </w:t>
      </w:r>
      <w:r w:rsidR="005335D9">
        <w:t>respectively</w:t>
      </w:r>
      <w:r w:rsidR="00645F22">
        <w:t>. This is</w:t>
      </w:r>
      <w:r w:rsidR="005335D9">
        <w:t xml:space="preserve"> </w:t>
      </w:r>
      <w:r w:rsidR="008E4DF9" w:rsidRPr="00206C7F">
        <w:t>towards the</w:t>
      </w:r>
      <w:r w:rsidR="00420C94">
        <w:t xml:space="preserve"> bottom end of the</w:t>
      </w:r>
      <w:r w:rsidR="00645F22">
        <w:t>se measures across a</w:t>
      </w:r>
      <w:r w:rsidR="00420C94">
        <w:t xml:space="preserve"> range </w:t>
      </w:r>
      <w:r w:rsidR="00645F22">
        <w:t>of countries</w:t>
      </w:r>
      <w:r w:rsidR="008E4DF9" w:rsidRPr="00206C7F">
        <w:t>.</w:t>
      </w:r>
      <w:r w:rsidR="008E4DF9" w:rsidRPr="00206C7F">
        <w:rPr>
          <w:vertAlign w:val="superscript"/>
        </w:rPr>
        <w:footnoteReference w:id="5"/>
      </w:r>
      <w:r w:rsidR="008E4DF9">
        <w:t xml:space="preserve"> </w:t>
      </w:r>
      <w:r w:rsidR="008E4DF9" w:rsidRPr="00206C7F">
        <w:t xml:space="preserve">However, drawing strong conclusions from such metrics is difficult, partly because variation in both ratios can reflect differences in business models (as well as regulatory and institutional differences). For example, banks with a greater focus on traditional lending activity, </w:t>
      </w:r>
      <w:r w:rsidR="00DE58B1">
        <w:t>including</w:t>
      </w:r>
      <w:r w:rsidR="008E4DF9" w:rsidRPr="00206C7F">
        <w:t xml:space="preserve"> Australian banks, tend to have lower cost-to-income and cost-to-asset ratios than banks </w:t>
      </w:r>
      <w:r w:rsidR="005335D9">
        <w:t>that</w:t>
      </w:r>
      <w:r w:rsidR="008E4DF9" w:rsidRPr="00206C7F">
        <w:t xml:space="preserve"> focus on other activities, such as investment banking and wealth management.</w:t>
      </w:r>
    </w:p>
    <w:p w14:paraId="7BB80C67" w14:textId="66668C35" w:rsidR="008E4DF9" w:rsidRPr="00206C7F" w:rsidRDefault="00440356" w:rsidP="008E4DF9">
      <w:pPr>
        <w:spacing w:after="120"/>
        <w:jc w:val="both"/>
        <w:rPr>
          <w:sz w:val="21"/>
          <w:szCs w:val="21"/>
        </w:rPr>
      </w:pPr>
      <w:r>
        <w:rPr>
          <w:sz w:val="21"/>
          <w:szCs w:val="21"/>
        </w:rPr>
        <w:t xml:space="preserve">These qualifications are less of a concern when </w:t>
      </w:r>
      <w:r w:rsidR="00066C83">
        <w:rPr>
          <w:sz w:val="21"/>
          <w:szCs w:val="21"/>
        </w:rPr>
        <w:t xml:space="preserve">making </w:t>
      </w:r>
      <w:r>
        <w:rPr>
          <w:sz w:val="21"/>
          <w:szCs w:val="21"/>
        </w:rPr>
        <w:t>compari</w:t>
      </w:r>
      <w:r w:rsidR="00066C83">
        <w:rPr>
          <w:sz w:val="21"/>
          <w:szCs w:val="21"/>
        </w:rPr>
        <w:t>sons among</w:t>
      </w:r>
      <w:r>
        <w:rPr>
          <w:sz w:val="21"/>
          <w:szCs w:val="21"/>
        </w:rPr>
        <w:t xml:space="preserve"> Australian banks, g</w:t>
      </w:r>
      <w:r w:rsidRPr="00206C7F">
        <w:rPr>
          <w:sz w:val="21"/>
          <w:szCs w:val="21"/>
        </w:rPr>
        <w:t xml:space="preserve">iven the </w:t>
      </w:r>
      <w:r>
        <w:rPr>
          <w:sz w:val="21"/>
          <w:szCs w:val="21"/>
        </w:rPr>
        <w:t xml:space="preserve">relatively </w:t>
      </w:r>
      <w:r w:rsidRPr="00206C7F">
        <w:rPr>
          <w:sz w:val="21"/>
          <w:szCs w:val="21"/>
        </w:rPr>
        <w:t xml:space="preserve">similar nature of </w:t>
      </w:r>
      <w:r>
        <w:rPr>
          <w:sz w:val="21"/>
          <w:szCs w:val="21"/>
        </w:rPr>
        <w:t>their</w:t>
      </w:r>
      <w:r w:rsidRPr="00206C7F">
        <w:rPr>
          <w:sz w:val="21"/>
          <w:szCs w:val="21"/>
        </w:rPr>
        <w:t xml:space="preserve"> business models</w:t>
      </w:r>
      <w:r>
        <w:rPr>
          <w:sz w:val="21"/>
          <w:szCs w:val="21"/>
        </w:rPr>
        <w:t>.</w:t>
      </w:r>
      <w:r w:rsidRPr="00206C7F">
        <w:rPr>
          <w:sz w:val="21"/>
          <w:szCs w:val="21"/>
        </w:rPr>
        <w:t xml:space="preserve"> </w:t>
      </w:r>
      <w:r w:rsidR="008E4DF9" w:rsidRPr="00206C7F">
        <w:rPr>
          <w:sz w:val="21"/>
          <w:szCs w:val="21"/>
        </w:rPr>
        <w:t xml:space="preserve">The major banks have </w:t>
      </w:r>
      <w:r>
        <w:rPr>
          <w:sz w:val="21"/>
          <w:szCs w:val="21"/>
        </w:rPr>
        <w:t xml:space="preserve">nonetheless </w:t>
      </w:r>
      <w:r w:rsidR="008E4DF9" w:rsidRPr="00206C7F">
        <w:rPr>
          <w:sz w:val="21"/>
          <w:szCs w:val="21"/>
        </w:rPr>
        <w:t xml:space="preserve">maintained cost-to-income ratios that are below those of </w:t>
      </w:r>
      <w:r w:rsidR="00420C94">
        <w:rPr>
          <w:sz w:val="21"/>
          <w:szCs w:val="21"/>
        </w:rPr>
        <w:t xml:space="preserve">other Australian banks </w:t>
      </w:r>
      <w:r w:rsidR="00420C94" w:rsidRPr="004C3B26">
        <w:rPr>
          <w:rStyle w:val="BodyTextChar"/>
        </w:rPr>
        <w:t>(</w:t>
      </w:r>
      <w:r w:rsidR="00420C94" w:rsidRPr="004C3B26">
        <w:rPr>
          <w:rStyle w:val="BodyTextChar"/>
        </w:rPr>
        <w:fldChar w:fldCharType="begin"/>
      </w:r>
      <w:r w:rsidR="00420C94" w:rsidRPr="004C3B26">
        <w:rPr>
          <w:rStyle w:val="BodyTextChar"/>
        </w:rPr>
        <w:instrText xml:space="preserve"> REF _Ref492390416 \h </w:instrText>
      </w:r>
      <w:r w:rsidR="000C398D" w:rsidRPr="004C3B26">
        <w:rPr>
          <w:rStyle w:val="BodyTextChar"/>
        </w:rPr>
        <w:instrText xml:space="preserve"> \* MERGEFORMAT </w:instrText>
      </w:r>
      <w:r w:rsidR="00420C94" w:rsidRPr="004C3B26">
        <w:rPr>
          <w:rStyle w:val="BodyTextChar"/>
        </w:rPr>
      </w:r>
      <w:r w:rsidR="00420C94" w:rsidRPr="004C3B26">
        <w:rPr>
          <w:rStyle w:val="BodyTextChar"/>
        </w:rPr>
        <w:fldChar w:fldCharType="separate"/>
      </w:r>
      <w:r w:rsidR="00032843" w:rsidRPr="00032843">
        <w:rPr>
          <w:rStyle w:val="BodyTextChar"/>
        </w:rPr>
        <w:t>Graph 6</w:t>
      </w:r>
      <w:r w:rsidR="00420C94" w:rsidRPr="004C3B26">
        <w:rPr>
          <w:rStyle w:val="BodyTextChar"/>
        </w:rPr>
        <w:fldChar w:fldCharType="end"/>
      </w:r>
      <w:r w:rsidR="00420C94" w:rsidRPr="004C3B26">
        <w:rPr>
          <w:rStyle w:val="BodyTextChar"/>
        </w:rPr>
        <w:t>)</w:t>
      </w:r>
      <w:r w:rsidR="008E4DF9" w:rsidRPr="00206C7F">
        <w:rPr>
          <w:sz w:val="21"/>
          <w:szCs w:val="21"/>
        </w:rPr>
        <w:t xml:space="preserve">. </w:t>
      </w:r>
      <w:r>
        <w:rPr>
          <w:sz w:val="21"/>
          <w:szCs w:val="21"/>
        </w:rPr>
        <w:t>E</w:t>
      </w:r>
      <w:r w:rsidR="008E4DF9" w:rsidRPr="00206C7F">
        <w:rPr>
          <w:sz w:val="21"/>
          <w:szCs w:val="21"/>
        </w:rPr>
        <w:t>conomies of scale explain</w:t>
      </w:r>
      <w:r w:rsidR="00804AA0">
        <w:rPr>
          <w:sz w:val="21"/>
          <w:szCs w:val="21"/>
        </w:rPr>
        <w:t xml:space="preserve"> part of </w:t>
      </w:r>
      <w:r w:rsidR="008E4DF9" w:rsidRPr="00206C7F">
        <w:rPr>
          <w:sz w:val="21"/>
          <w:szCs w:val="21"/>
        </w:rPr>
        <w:t>th</w:t>
      </w:r>
      <w:r w:rsidR="003B3993">
        <w:rPr>
          <w:sz w:val="21"/>
          <w:szCs w:val="21"/>
        </w:rPr>
        <w:t>is</w:t>
      </w:r>
      <w:r w:rsidR="008E4DF9" w:rsidRPr="00206C7F">
        <w:rPr>
          <w:sz w:val="21"/>
          <w:szCs w:val="21"/>
        </w:rPr>
        <w:t xml:space="preserve"> difference. For example, the major banks </w:t>
      </w:r>
      <w:r w:rsidR="00066C83">
        <w:rPr>
          <w:sz w:val="21"/>
          <w:szCs w:val="21"/>
        </w:rPr>
        <w:t xml:space="preserve">may </w:t>
      </w:r>
      <w:r w:rsidR="008E4DF9" w:rsidRPr="00206C7F">
        <w:rPr>
          <w:sz w:val="21"/>
          <w:szCs w:val="21"/>
        </w:rPr>
        <w:t xml:space="preserve">have achieved greater efficiencies through spreading their fixed costs across a greater asset or revenue base.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8E4DF9" w:rsidRPr="00CD7F8B" w14:paraId="55F3CAC9" w14:textId="77777777" w:rsidTr="008A18B9">
        <w:tc>
          <w:tcPr>
            <w:tcW w:w="4365" w:type="dxa"/>
            <w:shd w:val="clear" w:color="auto" w:fill="auto"/>
          </w:tcPr>
          <w:p w14:paraId="7DB7EB67" w14:textId="3EC217BE" w:rsidR="00D90C1E" w:rsidRDefault="00D90C1E" w:rsidP="00D90C1E">
            <w:pPr>
              <w:pStyle w:val="GraphTitle"/>
            </w:pPr>
            <w:bookmarkStart w:id="6" w:name="_Ref492390394"/>
            <w:r>
              <w:t>Graph </w:t>
            </w:r>
            <w:fldSimple w:instr=" SEQ Graph \* ARABIC \* MERGEFORMAT ">
              <w:r w:rsidR="00032843">
                <w:rPr>
                  <w:noProof/>
                </w:rPr>
                <w:t>5</w:t>
              </w:r>
            </w:fldSimple>
            <w:bookmarkEnd w:id="6"/>
          </w:p>
          <w:p w14:paraId="65506B22" w14:textId="30A7AE4B" w:rsidR="008E4DF9" w:rsidRPr="00CD7F8B" w:rsidRDefault="001558E2" w:rsidP="008A18B9">
            <w:pPr>
              <w:keepNext/>
              <w:jc w:val="center"/>
              <w:rPr>
                <w:rFonts w:ascii="Calibri" w:hAnsi="Calibri"/>
              </w:rPr>
            </w:pPr>
            <w:r>
              <w:rPr>
                <w:rFonts w:ascii="Calibri" w:hAnsi="Calibri"/>
                <w:noProof/>
              </w:rPr>
              <w:drawing>
                <wp:inline distT="0" distB="0" distL="0" distR="0" wp14:anchorId="6EA040FB" wp14:editId="017424FD">
                  <wp:extent cx="2772000" cy="2520000"/>
                  <wp:effectExtent l="0" t="0" r="0" b="0"/>
                  <wp:docPr id="22" name="Picture 22" descr="G:\FS\_Dropbox\Large Banks’ Cost Ratio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FS\_Dropbox\Large Banks’ Cost Ratios.emf"/>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c>
          <w:tcPr>
            <w:tcW w:w="4365" w:type="dxa"/>
            <w:shd w:val="clear" w:color="auto" w:fill="auto"/>
          </w:tcPr>
          <w:p w14:paraId="5182109D" w14:textId="6CDC203B" w:rsidR="00D90C1E" w:rsidRDefault="00D90C1E" w:rsidP="00D90C1E">
            <w:pPr>
              <w:pStyle w:val="GraphTitle"/>
            </w:pPr>
            <w:bookmarkStart w:id="7" w:name="_Ref492390416"/>
            <w:r>
              <w:t>Graph </w:t>
            </w:r>
            <w:fldSimple w:instr=" SEQ Graph \* ARABIC \* MERGEFORMAT ">
              <w:r w:rsidR="00032843">
                <w:rPr>
                  <w:noProof/>
                </w:rPr>
                <w:t>6</w:t>
              </w:r>
            </w:fldSimple>
            <w:bookmarkEnd w:id="7"/>
          </w:p>
          <w:p w14:paraId="5B548EB6" w14:textId="3329984E" w:rsidR="008E4DF9" w:rsidRPr="00CD7F8B" w:rsidRDefault="00591BDE" w:rsidP="00FE68F0">
            <w:pPr>
              <w:keepNext/>
              <w:jc w:val="both"/>
              <w:rPr>
                <w:rFonts w:ascii="Calibri" w:hAnsi="Calibri"/>
              </w:rPr>
            </w:pPr>
            <w:r>
              <w:rPr>
                <w:rFonts w:ascii="Calibri" w:hAnsi="Calibri"/>
                <w:noProof/>
              </w:rPr>
              <w:drawing>
                <wp:inline distT="0" distB="0" distL="0" distR="0" wp14:anchorId="39275AC1" wp14:editId="1EE6B00E">
                  <wp:extent cx="2772000" cy="2163600"/>
                  <wp:effectExtent l="0" t="0" r="9525" b="8255"/>
                  <wp:docPr id="2" name="Picture 2" descr="G:\FS\_Dropbox\Australian Banks’ Cost-to-income Ratio.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FS\_Dropbox\Australian Banks’ Cost-to-income Ratio.emf"/>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2000" cy="2163600"/>
                          </a:xfrm>
                          <a:prstGeom prst="rect">
                            <a:avLst/>
                          </a:prstGeom>
                          <a:noFill/>
                          <a:ln>
                            <a:noFill/>
                          </a:ln>
                        </pic:spPr>
                      </pic:pic>
                    </a:graphicData>
                  </a:graphic>
                </wp:inline>
              </w:drawing>
            </w:r>
          </w:p>
        </w:tc>
      </w:tr>
    </w:tbl>
    <w:p w14:paraId="7DDB0C1D" w14:textId="43AE52DF" w:rsidR="00C25042" w:rsidRPr="00805527" w:rsidRDefault="00C25042" w:rsidP="00805527">
      <w:pPr>
        <w:pStyle w:val="Heading3"/>
      </w:pPr>
      <w:r w:rsidRPr="00805527">
        <w:t>Profitability</w:t>
      </w:r>
    </w:p>
    <w:p w14:paraId="2797BD71" w14:textId="26B6162F" w:rsidR="0064163C" w:rsidRPr="00683FD3" w:rsidRDefault="001633FD" w:rsidP="0064163C">
      <w:pPr>
        <w:spacing w:after="120"/>
        <w:jc w:val="both"/>
        <w:rPr>
          <w:sz w:val="21"/>
          <w:szCs w:val="21"/>
        </w:rPr>
      </w:pPr>
      <w:r>
        <w:rPr>
          <w:sz w:val="21"/>
          <w:szCs w:val="21"/>
        </w:rPr>
        <w:t xml:space="preserve">Profitability measures </w:t>
      </w:r>
      <w:r w:rsidR="00662423">
        <w:rPr>
          <w:sz w:val="21"/>
          <w:szCs w:val="21"/>
        </w:rPr>
        <w:t xml:space="preserve">can </w:t>
      </w:r>
      <w:r>
        <w:rPr>
          <w:sz w:val="21"/>
          <w:szCs w:val="21"/>
        </w:rPr>
        <w:t xml:space="preserve">provide an indication of whether Australian banks are operating in a more or less competitive environment than elsewhere. </w:t>
      </w:r>
      <w:r w:rsidR="00804AA0">
        <w:rPr>
          <w:sz w:val="21"/>
          <w:szCs w:val="21"/>
        </w:rPr>
        <w:t>However, c</w:t>
      </w:r>
      <w:r w:rsidR="0064163C" w:rsidRPr="00683FD3">
        <w:rPr>
          <w:sz w:val="21"/>
          <w:szCs w:val="21"/>
        </w:rPr>
        <w:t xml:space="preserve">ross-country comparisons of profitability continue to be shaped by the effects of the global financial crisis. While prior to the crisis aggregate measures were similar across countries, major Australian banks’ returns </w:t>
      </w:r>
      <w:r w:rsidR="00AE77EE">
        <w:rPr>
          <w:sz w:val="21"/>
          <w:szCs w:val="21"/>
        </w:rPr>
        <w:t>have been</w:t>
      </w:r>
      <w:r w:rsidR="0064163C" w:rsidRPr="00683FD3">
        <w:rPr>
          <w:sz w:val="21"/>
          <w:szCs w:val="21"/>
        </w:rPr>
        <w:t xml:space="preserve"> significantly higher than those in many other jurisdictions </w:t>
      </w:r>
      <w:r w:rsidR="00AE77EE">
        <w:rPr>
          <w:sz w:val="21"/>
          <w:szCs w:val="21"/>
        </w:rPr>
        <w:t xml:space="preserve">since the crisis </w:t>
      </w:r>
      <w:r w:rsidR="0064163C" w:rsidRPr="00683FD3">
        <w:rPr>
          <w:sz w:val="21"/>
          <w:szCs w:val="21"/>
        </w:rPr>
        <w:t xml:space="preserve">– a reflection of the </w:t>
      </w:r>
      <w:r w:rsidR="00AE77EE">
        <w:rPr>
          <w:sz w:val="21"/>
          <w:szCs w:val="21"/>
        </w:rPr>
        <w:t xml:space="preserve">fact that the </w:t>
      </w:r>
      <w:r w:rsidR="0064163C" w:rsidRPr="00683FD3">
        <w:rPr>
          <w:sz w:val="21"/>
          <w:szCs w:val="21"/>
        </w:rPr>
        <w:t xml:space="preserve">Australian banking system did not experience the same high level of losses that affected banks in many other countries </w:t>
      </w:r>
      <w:r w:rsidR="00BA7F22">
        <w:rPr>
          <w:sz w:val="21"/>
          <w:szCs w:val="21"/>
        </w:rPr>
        <w:t>following</w:t>
      </w:r>
      <w:r w:rsidR="00BA7F22" w:rsidRPr="00683FD3">
        <w:rPr>
          <w:sz w:val="21"/>
          <w:szCs w:val="21"/>
        </w:rPr>
        <w:t xml:space="preserve"> </w:t>
      </w:r>
      <w:r w:rsidR="0064163C" w:rsidRPr="00683FD3">
        <w:rPr>
          <w:sz w:val="21"/>
          <w:szCs w:val="21"/>
        </w:rPr>
        <w:t>the crisis</w:t>
      </w:r>
      <w:r w:rsidR="0024420D">
        <w:rPr>
          <w:sz w:val="21"/>
          <w:szCs w:val="21"/>
        </w:rPr>
        <w:t xml:space="preserve"> </w:t>
      </w:r>
      <w:r w:rsidR="0024420D" w:rsidRPr="009579FA">
        <w:rPr>
          <w:rStyle w:val="BodyTextChar"/>
        </w:rPr>
        <w:t>(</w:t>
      </w:r>
      <w:r w:rsidR="0024420D" w:rsidRPr="009579FA">
        <w:rPr>
          <w:rStyle w:val="BodyTextChar"/>
        </w:rPr>
        <w:fldChar w:fldCharType="begin"/>
      </w:r>
      <w:r w:rsidR="0024420D" w:rsidRPr="009579FA">
        <w:rPr>
          <w:rStyle w:val="BodyTextChar"/>
        </w:rPr>
        <w:instrText xml:space="preserve"> REF _Ref492390528 \h </w:instrText>
      </w:r>
      <w:r w:rsidR="00B14E26">
        <w:rPr>
          <w:rStyle w:val="BodyTextChar"/>
        </w:rPr>
        <w:instrText xml:space="preserve"> \* MERGEFORMAT </w:instrText>
      </w:r>
      <w:r w:rsidR="0024420D" w:rsidRPr="009579FA">
        <w:rPr>
          <w:rStyle w:val="BodyTextChar"/>
        </w:rPr>
      </w:r>
      <w:r w:rsidR="0024420D" w:rsidRPr="009579FA">
        <w:rPr>
          <w:rStyle w:val="BodyTextChar"/>
        </w:rPr>
        <w:fldChar w:fldCharType="separate"/>
      </w:r>
      <w:r w:rsidR="00032843" w:rsidRPr="00032843">
        <w:rPr>
          <w:rStyle w:val="BodyTextChar"/>
        </w:rPr>
        <w:t>Graph 7</w:t>
      </w:r>
      <w:r w:rsidR="0024420D" w:rsidRPr="009579FA">
        <w:rPr>
          <w:rStyle w:val="BodyTextChar"/>
        </w:rPr>
        <w:fldChar w:fldCharType="end"/>
      </w:r>
      <w:r w:rsidR="0024420D" w:rsidRPr="009579FA">
        <w:rPr>
          <w:rStyle w:val="BodyTextChar"/>
        </w:rPr>
        <w:t xml:space="preserve"> and </w:t>
      </w:r>
      <w:r w:rsidR="0024420D" w:rsidRPr="009579FA">
        <w:rPr>
          <w:rStyle w:val="BodyTextChar"/>
        </w:rPr>
        <w:fldChar w:fldCharType="begin"/>
      </w:r>
      <w:r w:rsidR="0024420D" w:rsidRPr="009579FA">
        <w:rPr>
          <w:rStyle w:val="BodyTextChar"/>
        </w:rPr>
        <w:instrText xml:space="preserve"> REF _Ref492390542 \h </w:instrText>
      </w:r>
      <w:r w:rsidR="00B14E26">
        <w:rPr>
          <w:rStyle w:val="BodyTextChar"/>
        </w:rPr>
        <w:instrText xml:space="preserve"> \* MERGEFORMAT </w:instrText>
      </w:r>
      <w:r w:rsidR="0024420D" w:rsidRPr="009579FA">
        <w:rPr>
          <w:rStyle w:val="BodyTextChar"/>
        </w:rPr>
      </w:r>
      <w:r w:rsidR="0024420D" w:rsidRPr="009579FA">
        <w:rPr>
          <w:rStyle w:val="BodyTextChar"/>
        </w:rPr>
        <w:fldChar w:fldCharType="separate"/>
      </w:r>
      <w:r w:rsidR="00032843" w:rsidRPr="00032843">
        <w:rPr>
          <w:rStyle w:val="BodyTextChar"/>
        </w:rPr>
        <w:t>Graph 8</w:t>
      </w:r>
      <w:r w:rsidR="0024420D" w:rsidRPr="009579FA">
        <w:rPr>
          <w:rStyle w:val="BodyTextChar"/>
        </w:rPr>
        <w:fldChar w:fldCharType="end"/>
      </w:r>
      <w:r w:rsidR="0024420D" w:rsidRPr="009579FA">
        <w:rPr>
          <w:rStyle w:val="BodyTextChar"/>
        </w:rPr>
        <w:t>)</w:t>
      </w:r>
      <w:r w:rsidR="0064163C" w:rsidRPr="009579FA">
        <w:rPr>
          <w:rStyle w:val="BodyTextChar"/>
        </w:rPr>
        <w:t>.</w:t>
      </w:r>
      <w:r w:rsidR="0064163C" w:rsidRPr="00683FD3">
        <w:rPr>
          <w:sz w:val="21"/>
          <w:szCs w:val="21"/>
        </w:rPr>
        <w:t xml:space="preserve"> </w:t>
      </w:r>
    </w:p>
    <w:p w14:paraId="034B5C2B" w14:textId="01417E79" w:rsidR="0064163C" w:rsidRDefault="0064163C" w:rsidP="0064163C">
      <w:pPr>
        <w:spacing w:after="120"/>
        <w:jc w:val="both"/>
        <w:rPr>
          <w:sz w:val="21"/>
          <w:szCs w:val="21"/>
        </w:rPr>
      </w:pPr>
      <w:r w:rsidRPr="00683FD3">
        <w:rPr>
          <w:sz w:val="21"/>
          <w:szCs w:val="21"/>
        </w:rPr>
        <w:t xml:space="preserve">The difference in returns in some cases also reflects differences </w:t>
      </w:r>
      <w:r w:rsidR="00833DF9">
        <w:rPr>
          <w:sz w:val="21"/>
          <w:szCs w:val="21"/>
        </w:rPr>
        <w:t xml:space="preserve">in </w:t>
      </w:r>
      <w:r w:rsidRPr="00683FD3">
        <w:rPr>
          <w:sz w:val="21"/>
          <w:szCs w:val="21"/>
        </w:rPr>
        <w:t>the asset mix held by banks</w:t>
      </w:r>
      <w:r w:rsidR="00BA7F22">
        <w:rPr>
          <w:sz w:val="21"/>
          <w:szCs w:val="21"/>
        </w:rPr>
        <w:t>.</w:t>
      </w:r>
      <w:r w:rsidRPr="00683FD3">
        <w:rPr>
          <w:sz w:val="21"/>
          <w:szCs w:val="21"/>
        </w:rPr>
        <w:t xml:space="preserve"> </w:t>
      </w:r>
      <w:r w:rsidR="00BA7F22">
        <w:rPr>
          <w:sz w:val="21"/>
          <w:szCs w:val="21"/>
        </w:rPr>
        <w:t>S</w:t>
      </w:r>
      <w:r w:rsidRPr="00683FD3">
        <w:rPr>
          <w:sz w:val="21"/>
          <w:szCs w:val="21"/>
        </w:rPr>
        <w:t xml:space="preserve">ome assets continue to generate comparatively low returns, in part due to lower levels of leverage than prevailed pre-crisis. </w:t>
      </w:r>
      <w:r w:rsidR="00C302DC">
        <w:rPr>
          <w:sz w:val="21"/>
          <w:szCs w:val="21"/>
        </w:rPr>
        <w:t>R</w:t>
      </w:r>
      <w:r w:rsidRPr="00683FD3">
        <w:rPr>
          <w:sz w:val="21"/>
          <w:szCs w:val="21"/>
        </w:rPr>
        <w:t>eturn</w:t>
      </w:r>
      <w:r w:rsidR="00155947">
        <w:rPr>
          <w:sz w:val="21"/>
          <w:szCs w:val="21"/>
        </w:rPr>
        <w:t>s</w:t>
      </w:r>
      <w:r w:rsidRPr="00683FD3">
        <w:rPr>
          <w:sz w:val="21"/>
          <w:szCs w:val="21"/>
        </w:rPr>
        <w:t xml:space="preserve"> for Australian and Canadian banks, which have comparatively simple structures</w:t>
      </w:r>
      <w:r w:rsidR="00DF66B1">
        <w:rPr>
          <w:sz w:val="21"/>
          <w:szCs w:val="21"/>
        </w:rPr>
        <w:t>,</w:t>
      </w:r>
      <w:r w:rsidRPr="00683FD3">
        <w:rPr>
          <w:sz w:val="21"/>
          <w:szCs w:val="21"/>
        </w:rPr>
        <w:t xml:space="preserve"> or lower exposure to trading and institutional banking, have</w:t>
      </w:r>
      <w:r w:rsidR="001F3278">
        <w:rPr>
          <w:sz w:val="21"/>
          <w:szCs w:val="21"/>
        </w:rPr>
        <w:t xml:space="preserve"> been higher than most other jurisdictions</w:t>
      </w:r>
      <w:r w:rsidRPr="00683FD3">
        <w:rPr>
          <w:sz w:val="21"/>
          <w:szCs w:val="21"/>
        </w:rPr>
        <w:t xml:space="preserve"> since the c</w:t>
      </w:r>
      <w:r w:rsidR="00420C94">
        <w:rPr>
          <w:sz w:val="21"/>
          <w:szCs w:val="21"/>
        </w:rPr>
        <w:t>risis.</w:t>
      </w:r>
    </w:p>
    <w:tbl>
      <w:tblPr>
        <w:tblStyle w:val="TableGrid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5C1EDC" w:rsidRPr="004217E8" w14:paraId="6AF02582" w14:textId="77777777" w:rsidTr="00EC6F22">
        <w:trPr>
          <w:trHeight w:val="3920"/>
          <w:jc w:val="center"/>
        </w:trPr>
        <w:tc>
          <w:tcPr>
            <w:tcW w:w="4365" w:type="dxa"/>
          </w:tcPr>
          <w:p w14:paraId="003DE56F" w14:textId="77777777" w:rsidR="005C1EDC" w:rsidRDefault="005C1EDC" w:rsidP="00EC6F22">
            <w:pPr>
              <w:pStyle w:val="GraphTitle"/>
            </w:pPr>
            <w:bookmarkStart w:id="8" w:name="_Ref492390528"/>
            <w:r>
              <w:t>Graph </w:t>
            </w:r>
            <w:fldSimple w:instr=" SEQ Graph \* ARABIC \* MERGEFORMAT ">
              <w:r w:rsidR="00032843">
                <w:rPr>
                  <w:noProof/>
                </w:rPr>
                <w:t>7</w:t>
              </w:r>
            </w:fldSimple>
            <w:bookmarkEnd w:id="8"/>
          </w:p>
          <w:p w14:paraId="61978FF1" w14:textId="77777777" w:rsidR="005C1EDC" w:rsidRPr="00683FD3" w:rsidRDefault="005C1EDC" w:rsidP="00EC6F22">
            <w:pPr>
              <w:keepNext/>
              <w:jc w:val="center"/>
              <w:rPr>
                <w:sz w:val="21"/>
                <w:szCs w:val="21"/>
              </w:rPr>
            </w:pPr>
            <w:r>
              <w:rPr>
                <w:noProof/>
                <w:sz w:val="21"/>
                <w:szCs w:val="21"/>
              </w:rPr>
              <w:drawing>
                <wp:inline distT="0" distB="0" distL="0" distR="0" wp14:anchorId="19DBE517" wp14:editId="23F05662">
                  <wp:extent cx="2768400" cy="2520000"/>
                  <wp:effectExtent l="0" t="0" r="0" b="0"/>
                  <wp:docPr id="29" name="Picture 29" descr="G:\FS\_Dropbox\Large Banks’ Return on Equity.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FS\_Dropbox\Large Banks’ Return on Equity.emf"/>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c>
          <w:tcPr>
            <w:tcW w:w="4365" w:type="dxa"/>
          </w:tcPr>
          <w:p w14:paraId="0E79E85F" w14:textId="77777777" w:rsidR="005C1EDC" w:rsidRDefault="005C1EDC" w:rsidP="00EC6F22">
            <w:pPr>
              <w:pStyle w:val="GraphTitle"/>
            </w:pPr>
            <w:bookmarkStart w:id="9" w:name="_Ref492390542"/>
            <w:r>
              <w:t>Graph </w:t>
            </w:r>
            <w:fldSimple w:instr=" SEQ Graph \* ARABIC \* MERGEFORMAT ">
              <w:r w:rsidR="00032843">
                <w:rPr>
                  <w:noProof/>
                </w:rPr>
                <w:t>8</w:t>
              </w:r>
            </w:fldSimple>
            <w:bookmarkEnd w:id="9"/>
          </w:p>
          <w:p w14:paraId="75D441E0" w14:textId="77777777" w:rsidR="005C1EDC" w:rsidRPr="00683FD3" w:rsidRDefault="005C1EDC" w:rsidP="00EC6F22">
            <w:pPr>
              <w:keepNext/>
              <w:rPr>
                <w:sz w:val="21"/>
                <w:szCs w:val="21"/>
              </w:rPr>
            </w:pPr>
            <w:r>
              <w:rPr>
                <w:noProof/>
                <w:sz w:val="21"/>
                <w:szCs w:val="21"/>
              </w:rPr>
              <w:drawing>
                <wp:inline distT="0" distB="0" distL="0" distR="0" wp14:anchorId="562EBBD3" wp14:editId="59E87FC4">
                  <wp:extent cx="2768400" cy="2520000"/>
                  <wp:effectExtent l="0" t="0" r="0" b="0"/>
                  <wp:docPr id="32" name="Picture 32" descr="G:\FS\_Dropbox\Large Banks’ Return on Asset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G:\FS\_Dropbox\Large Banks’ Return on Assets.emf"/>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r>
    </w:tbl>
    <w:p w14:paraId="7D1B8601" w14:textId="2F3A142A" w:rsidR="0064163C" w:rsidRPr="00683FD3" w:rsidRDefault="0064163C" w:rsidP="00AB4285">
      <w:pPr>
        <w:spacing w:before="120" w:after="120"/>
        <w:jc w:val="both"/>
        <w:rPr>
          <w:sz w:val="21"/>
          <w:szCs w:val="21"/>
        </w:rPr>
      </w:pPr>
      <w:r w:rsidRPr="00683FD3">
        <w:rPr>
          <w:sz w:val="21"/>
          <w:szCs w:val="21"/>
        </w:rPr>
        <w:t xml:space="preserve">While the above factors once again make it difficult to draw conclusions about competitiveness, it is noteworthy that </w:t>
      </w:r>
      <w:r w:rsidR="00102A72">
        <w:rPr>
          <w:sz w:val="21"/>
          <w:szCs w:val="21"/>
        </w:rPr>
        <w:t>an apparent oversupply of banking services may have</w:t>
      </w:r>
      <w:r w:rsidRPr="00683FD3">
        <w:rPr>
          <w:sz w:val="21"/>
          <w:szCs w:val="21"/>
        </w:rPr>
        <w:t xml:space="preserve"> contributed to low bank profitability in some jurisdictions, such as Germany and Japan</w:t>
      </w:r>
      <w:sdt>
        <w:sdtPr>
          <w:rPr>
            <w:sz w:val="21"/>
            <w:szCs w:val="21"/>
          </w:rPr>
          <w:id w:val="1301043072"/>
          <w:citation/>
        </w:sdtPr>
        <w:sdtEndPr/>
        <w:sdtContent>
          <w:r w:rsidR="00BD105F">
            <w:rPr>
              <w:sz w:val="21"/>
              <w:szCs w:val="21"/>
            </w:rPr>
            <w:fldChar w:fldCharType="begin"/>
          </w:r>
          <w:r w:rsidR="00BD105F">
            <w:rPr>
              <w:sz w:val="21"/>
              <w:szCs w:val="21"/>
            </w:rPr>
            <w:instrText xml:space="preserve"> CITATION Dom16 \l 3081  \m Ban17</w:instrText>
          </w:r>
          <w:r w:rsidR="00BD105F">
            <w:rPr>
              <w:sz w:val="21"/>
              <w:szCs w:val="21"/>
            </w:rPr>
            <w:fldChar w:fldCharType="separate"/>
          </w:r>
          <w:r w:rsidR="0018397C">
            <w:rPr>
              <w:noProof/>
              <w:sz w:val="21"/>
              <w:szCs w:val="21"/>
            </w:rPr>
            <w:t xml:space="preserve"> </w:t>
          </w:r>
          <w:r w:rsidR="0018397C" w:rsidRPr="0018397C">
            <w:rPr>
              <w:noProof/>
              <w:sz w:val="21"/>
              <w:szCs w:val="21"/>
            </w:rPr>
            <w:t>(Dombret 2016; Bank of Japan 2017)</w:t>
          </w:r>
          <w:r w:rsidR="00BD105F">
            <w:rPr>
              <w:sz w:val="21"/>
              <w:szCs w:val="21"/>
            </w:rPr>
            <w:fldChar w:fldCharType="end"/>
          </w:r>
        </w:sdtContent>
      </w:sdt>
      <w:r w:rsidRPr="00683FD3">
        <w:rPr>
          <w:sz w:val="21"/>
          <w:szCs w:val="21"/>
        </w:rPr>
        <w:t>. This has</w:t>
      </w:r>
      <w:r w:rsidR="00375D71">
        <w:rPr>
          <w:sz w:val="21"/>
          <w:szCs w:val="21"/>
        </w:rPr>
        <w:t>,</w:t>
      </w:r>
      <w:r w:rsidRPr="00683FD3">
        <w:rPr>
          <w:sz w:val="21"/>
          <w:szCs w:val="21"/>
        </w:rPr>
        <w:t xml:space="preserve"> </w:t>
      </w:r>
      <w:r w:rsidR="00102A72">
        <w:rPr>
          <w:sz w:val="21"/>
          <w:szCs w:val="21"/>
        </w:rPr>
        <w:t>in turn</w:t>
      </w:r>
      <w:r w:rsidR="00375D71">
        <w:rPr>
          <w:sz w:val="21"/>
          <w:szCs w:val="21"/>
        </w:rPr>
        <w:t>,</w:t>
      </w:r>
      <w:r w:rsidR="00102A72" w:rsidRPr="00683FD3">
        <w:rPr>
          <w:sz w:val="21"/>
          <w:szCs w:val="21"/>
        </w:rPr>
        <w:t xml:space="preserve"> </w:t>
      </w:r>
      <w:r w:rsidRPr="00683FD3">
        <w:rPr>
          <w:sz w:val="21"/>
          <w:szCs w:val="21"/>
        </w:rPr>
        <w:t xml:space="preserve">raised concerns about banking system resilience </w:t>
      </w:r>
      <w:r w:rsidR="00DF66B1">
        <w:rPr>
          <w:sz w:val="21"/>
          <w:szCs w:val="21"/>
        </w:rPr>
        <w:t xml:space="preserve">in </w:t>
      </w:r>
      <w:r w:rsidR="00B750A1">
        <w:rPr>
          <w:sz w:val="21"/>
          <w:szCs w:val="21"/>
        </w:rPr>
        <w:t xml:space="preserve">financial systems </w:t>
      </w:r>
      <w:r w:rsidR="00C6717A">
        <w:rPr>
          <w:sz w:val="21"/>
          <w:szCs w:val="21"/>
        </w:rPr>
        <w:t>that were</w:t>
      </w:r>
      <w:r w:rsidR="00B750A1">
        <w:rPr>
          <w:sz w:val="21"/>
          <w:szCs w:val="21"/>
        </w:rPr>
        <w:t xml:space="preserve"> severely affected by the crisis</w:t>
      </w:r>
      <w:r w:rsidRPr="00683FD3">
        <w:rPr>
          <w:sz w:val="21"/>
          <w:szCs w:val="21"/>
        </w:rPr>
        <w:t>.</w:t>
      </w:r>
      <w:r w:rsidR="00102A72">
        <w:rPr>
          <w:sz w:val="21"/>
          <w:szCs w:val="21"/>
        </w:rPr>
        <w:t xml:space="preserve"> The post-crisis experience in a number of countries serves to emphasise that at least a moderate level of profitability among banks has benefits </w:t>
      </w:r>
      <w:r w:rsidR="00AC5774">
        <w:rPr>
          <w:sz w:val="21"/>
          <w:szCs w:val="21"/>
        </w:rPr>
        <w:t xml:space="preserve">for financial stability and </w:t>
      </w:r>
      <w:r w:rsidR="00102A72">
        <w:rPr>
          <w:sz w:val="21"/>
          <w:szCs w:val="21"/>
        </w:rPr>
        <w:t>for the supply of credit to the economy.</w:t>
      </w:r>
    </w:p>
    <w:p w14:paraId="609AD234" w14:textId="327DD61A" w:rsidR="0064163C" w:rsidRPr="00683FD3" w:rsidRDefault="0064163C" w:rsidP="0064163C">
      <w:pPr>
        <w:spacing w:after="120"/>
        <w:jc w:val="both"/>
        <w:rPr>
          <w:sz w:val="21"/>
          <w:szCs w:val="21"/>
        </w:rPr>
      </w:pPr>
      <w:r w:rsidRPr="00683FD3">
        <w:rPr>
          <w:sz w:val="21"/>
          <w:szCs w:val="21"/>
        </w:rPr>
        <w:t xml:space="preserve">Among Australian banks, the return on equity (ROE) of the majors has been higher than </w:t>
      </w:r>
      <w:r w:rsidR="0024123E">
        <w:rPr>
          <w:sz w:val="21"/>
          <w:szCs w:val="21"/>
        </w:rPr>
        <w:t>of</w:t>
      </w:r>
      <w:r w:rsidR="0024123E" w:rsidRPr="00683FD3">
        <w:rPr>
          <w:sz w:val="21"/>
          <w:szCs w:val="21"/>
        </w:rPr>
        <w:t xml:space="preserve"> </w:t>
      </w:r>
      <w:r w:rsidRPr="00683FD3">
        <w:rPr>
          <w:sz w:val="21"/>
          <w:szCs w:val="21"/>
        </w:rPr>
        <w:t xml:space="preserve">other Australian banks for most of the </w:t>
      </w:r>
      <w:r w:rsidR="000E39BC">
        <w:rPr>
          <w:sz w:val="21"/>
          <w:szCs w:val="21"/>
        </w:rPr>
        <w:t>period since the financial crisis</w:t>
      </w:r>
      <w:r w:rsidR="0024420D">
        <w:rPr>
          <w:sz w:val="21"/>
          <w:szCs w:val="21"/>
        </w:rPr>
        <w:t>,</w:t>
      </w:r>
      <w:r w:rsidRPr="00683FD3">
        <w:rPr>
          <w:sz w:val="21"/>
          <w:szCs w:val="21"/>
        </w:rPr>
        <w:t xml:space="preserve"> </w:t>
      </w:r>
      <w:r w:rsidR="003B3993">
        <w:rPr>
          <w:sz w:val="21"/>
          <w:szCs w:val="21"/>
        </w:rPr>
        <w:t xml:space="preserve">though the gap has narrowed </w:t>
      </w:r>
      <w:r w:rsidR="000E39BC">
        <w:rPr>
          <w:sz w:val="21"/>
          <w:szCs w:val="21"/>
        </w:rPr>
        <w:t xml:space="preserve">again </w:t>
      </w:r>
      <w:r w:rsidR="003B3993">
        <w:rPr>
          <w:sz w:val="21"/>
          <w:szCs w:val="21"/>
        </w:rPr>
        <w:t xml:space="preserve">over the past two years </w:t>
      </w:r>
      <w:r w:rsidR="00AC5774">
        <w:rPr>
          <w:sz w:val="21"/>
          <w:szCs w:val="21"/>
        </w:rPr>
        <w:t xml:space="preserve">as </w:t>
      </w:r>
      <w:r w:rsidR="00420C94">
        <w:rPr>
          <w:sz w:val="21"/>
          <w:szCs w:val="21"/>
        </w:rPr>
        <w:t>major bank ROE has declin</w:t>
      </w:r>
      <w:r w:rsidR="003A47C2">
        <w:rPr>
          <w:sz w:val="21"/>
          <w:szCs w:val="21"/>
        </w:rPr>
        <w:t>ed (</w:t>
      </w:r>
      <w:r w:rsidR="003A47C2">
        <w:rPr>
          <w:sz w:val="21"/>
          <w:szCs w:val="21"/>
        </w:rPr>
        <w:fldChar w:fldCharType="begin"/>
      </w:r>
      <w:r w:rsidR="003A47C2">
        <w:rPr>
          <w:sz w:val="21"/>
          <w:szCs w:val="21"/>
        </w:rPr>
        <w:instrText xml:space="preserve"> REF _Ref493061727 \h </w:instrText>
      </w:r>
      <w:r w:rsidR="003A47C2">
        <w:rPr>
          <w:sz w:val="21"/>
          <w:szCs w:val="21"/>
        </w:rPr>
      </w:r>
      <w:r w:rsidR="003A47C2">
        <w:rPr>
          <w:sz w:val="21"/>
          <w:szCs w:val="21"/>
        </w:rPr>
        <w:fldChar w:fldCharType="separate"/>
      </w:r>
      <w:r w:rsidR="00032843">
        <w:rPr>
          <w:noProof/>
        </w:rPr>
        <w:t>Graph 9</w:t>
      </w:r>
      <w:r w:rsidR="003A47C2">
        <w:rPr>
          <w:sz w:val="21"/>
          <w:szCs w:val="21"/>
        </w:rPr>
        <w:fldChar w:fldCharType="end"/>
      </w:r>
      <w:r w:rsidR="003A47C2">
        <w:rPr>
          <w:sz w:val="21"/>
          <w:szCs w:val="21"/>
        </w:rPr>
        <w:t>)</w:t>
      </w:r>
      <w:r w:rsidRPr="00683FD3">
        <w:rPr>
          <w:sz w:val="21"/>
          <w:szCs w:val="21"/>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96665E" w14:paraId="301826D4" w14:textId="77777777" w:rsidTr="00DA351B">
        <w:trPr>
          <w:jc w:val="center"/>
        </w:trPr>
        <w:tc>
          <w:tcPr>
            <w:tcW w:w="4365" w:type="dxa"/>
          </w:tcPr>
          <w:p w14:paraId="4D69F768" w14:textId="77777777" w:rsidR="0096665E" w:rsidRDefault="0096665E" w:rsidP="005C1EDC">
            <w:pPr>
              <w:pStyle w:val="GraphTitle"/>
              <w:keepNext w:val="0"/>
              <w:rPr>
                <w:noProof/>
              </w:rPr>
            </w:pPr>
            <w:bookmarkStart w:id="10" w:name="_Ref493061727"/>
            <w:r>
              <w:rPr>
                <w:noProof/>
              </w:rPr>
              <w:t>Graph </w:t>
            </w:r>
            <w:r>
              <w:rPr>
                <w:noProof/>
              </w:rPr>
              <w:fldChar w:fldCharType="begin"/>
            </w:r>
            <w:r>
              <w:rPr>
                <w:noProof/>
              </w:rPr>
              <w:instrText xml:space="preserve"> SEQ Graph \* ARABIC \* MERGEFORMAT </w:instrText>
            </w:r>
            <w:r>
              <w:rPr>
                <w:noProof/>
              </w:rPr>
              <w:fldChar w:fldCharType="separate"/>
            </w:r>
            <w:r w:rsidR="00032843">
              <w:rPr>
                <w:noProof/>
              </w:rPr>
              <w:t>9</w:t>
            </w:r>
            <w:r>
              <w:rPr>
                <w:noProof/>
              </w:rPr>
              <w:fldChar w:fldCharType="end"/>
            </w:r>
            <w:bookmarkEnd w:id="10"/>
          </w:p>
          <w:p w14:paraId="7545418C" w14:textId="4E914C37" w:rsidR="0096665E" w:rsidRDefault="008154DA" w:rsidP="005C1EDC">
            <w:pPr>
              <w:jc w:val="both"/>
              <w:rPr>
                <w:sz w:val="21"/>
                <w:szCs w:val="21"/>
              </w:rPr>
            </w:pPr>
            <w:r>
              <w:rPr>
                <w:noProof/>
                <w:sz w:val="21"/>
                <w:szCs w:val="21"/>
              </w:rPr>
              <w:drawing>
                <wp:inline distT="0" distB="0" distL="0" distR="0" wp14:anchorId="047A8BA5" wp14:editId="538B4345">
                  <wp:extent cx="2768400" cy="2520000"/>
                  <wp:effectExtent l="0" t="0" r="0" b="0"/>
                  <wp:docPr id="33" name="Picture 33" descr="G:\FS\_Dropbox\Australian Banks’ Return on Equity.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G:\FS\_Dropbox\Australian Banks’ Return on Equity.emf"/>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c>
          <w:tcPr>
            <w:tcW w:w="4365" w:type="dxa"/>
          </w:tcPr>
          <w:p w14:paraId="7CF07FDB" w14:textId="77777777" w:rsidR="0096665E" w:rsidRDefault="0096665E" w:rsidP="005C1EDC">
            <w:pPr>
              <w:pStyle w:val="GraphTitle"/>
              <w:keepNext w:val="0"/>
              <w:rPr>
                <w:noProof/>
              </w:rPr>
            </w:pPr>
            <w:bookmarkStart w:id="11" w:name="_Ref493061755"/>
            <w:r>
              <w:rPr>
                <w:noProof/>
              </w:rPr>
              <w:t>Graph </w:t>
            </w:r>
            <w:r>
              <w:rPr>
                <w:noProof/>
              </w:rPr>
              <w:fldChar w:fldCharType="begin"/>
            </w:r>
            <w:r>
              <w:rPr>
                <w:noProof/>
              </w:rPr>
              <w:instrText xml:space="preserve"> SEQ Graph \* ARABIC \* MERGEFORMAT </w:instrText>
            </w:r>
            <w:r>
              <w:rPr>
                <w:noProof/>
              </w:rPr>
              <w:fldChar w:fldCharType="separate"/>
            </w:r>
            <w:r w:rsidR="00032843">
              <w:rPr>
                <w:noProof/>
              </w:rPr>
              <w:t>10</w:t>
            </w:r>
            <w:r>
              <w:rPr>
                <w:noProof/>
              </w:rPr>
              <w:fldChar w:fldCharType="end"/>
            </w:r>
            <w:bookmarkEnd w:id="11"/>
          </w:p>
          <w:p w14:paraId="3165F942" w14:textId="79E5FDAD" w:rsidR="0096665E" w:rsidRDefault="001558E2" w:rsidP="005C1EDC">
            <w:pPr>
              <w:jc w:val="both"/>
              <w:rPr>
                <w:sz w:val="21"/>
                <w:szCs w:val="21"/>
              </w:rPr>
            </w:pPr>
            <w:r>
              <w:rPr>
                <w:noProof/>
                <w:sz w:val="21"/>
                <w:szCs w:val="21"/>
              </w:rPr>
              <w:drawing>
                <wp:inline distT="0" distB="0" distL="0" distR="0" wp14:anchorId="19A4F9F3" wp14:editId="6AED3E38">
                  <wp:extent cx="2772000" cy="2520000"/>
                  <wp:effectExtent l="0" t="0" r="0" b="0"/>
                  <wp:docPr id="34" name="Picture 34" descr="G:\FS\_Dropbox\Australian Banks’ Profitability and Leverage.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G:\FS\_Dropbox\Australian Banks’ Profitability and Leverage.emf"/>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73F7158B" w14:textId="0A15EF51" w:rsidR="0064163C" w:rsidRPr="00683FD3" w:rsidRDefault="0064163C" w:rsidP="00AB4285">
      <w:pPr>
        <w:spacing w:before="120" w:after="120"/>
        <w:jc w:val="both"/>
        <w:rPr>
          <w:sz w:val="21"/>
          <w:szCs w:val="21"/>
        </w:rPr>
      </w:pPr>
      <w:r w:rsidRPr="00683FD3">
        <w:rPr>
          <w:sz w:val="21"/>
          <w:szCs w:val="21"/>
        </w:rPr>
        <w:t xml:space="preserve">One factor explaining the divergence in ROE </w:t>
      </w:r>
      <w:r w:rsidR="001633FD">
        <w:rPr>
          <w:sz w:val="21"/>
          <w:szCs w:val="21"/>
        </w:rPr>
        <w:t xml:space="preserve">between the major banks and other banks over much of the past decade </w:t>
      </w:r>
      <w:r w:rsidRPr="00683FD3">
        <w:rPr>
          <w:sz w:val="21"/>
          <w:szCs w:val="21"/>
        </w:rPr>
        <w:t>is capital levels or leverage</w:t>
      </w:r>
      <w:r w:rsidR="00AC5774">
        <w:rPr>
          <w:sz w:val="21"/>
          <w:szCs w:val="21"/>
        </w:rPr>
        <w:t xml:space="preserve"> (i.e. </w:t>
      </w:r>
      <w:r w:rsidR="00C0465E">
        <w:rPr>
          <w:sz w:val="21"/>
          <w:szCs w:val="21"/>
        </w:rPr>
        <w:t xml:space="preserve">non-risk-weighted </w:t>
      </w:r>
      <w:r w:rsidR="00AC5774">
        <w:rPr>
          <w:sz w:val="21"/>
          <w:szCs w:val="21"/>
        </w:rPr>
        <w:t xml:space="preserve">assets relative to capital, or inversely for the ‘leverage ratio’, capital to </w:t>
      </w:r>
      <w:r w:rsidR="00C0465E">
        <w:rPr>
          <w:sz w:val="21"/>
          <w:szCs w:val="21"/>
        </w:rPr>
        <w:t xml:space="preserve">non-risk-weighted </w:t>
      </w:r>
      <w:r w:rsidR="00AC5774">
        <w:rPr>
          <w:sz w:val="21"/>
          <w:szCs w:val="21"/>
        </w:rPr>
        <w:t>assets)</w:t>
      </w:r>
      <w:r w:rsidRPr="00683FD3">
        <w:rPr>
          <w:sz w:val="21"/>
          <w:szCs w:val="21"/>
        </w:rPr>
        <w:t xml:space="preserve">. While </w:t>
      </w:r>
      <w:r w:rsidR="00AC5774">
        <w:rPr>
          <w:sz w:val="21"/>
          <w:szCs w:val="21"/>
        </w:rPr>
        <w:t>a number of</w:t>
      </w:r>
      <w:r w:rsidR="00AC5774" w:rsidRPr="00683FD3">
        <w:rPr>
          <w:sz w:val="21"/>
          <w:szCs w:val="21"/>
        </w:rPr>
        <w:t xml:space="preserve"> </w:t>
      </w:r>
      <w:r w:rsidRPr="00683FD3">
        <w:rPr>
          <w:sz w:val="21"/>
          <w:szCs w:val="21"/>
        </w:rPr>
        <w:t xml:space="preserve">regulatory measures have resulted in increased capital requirements for the major banks over recent years, </w:t>
      </w:r>
      <w:r w:rsidR="00AC5774">
        <w:rPr>
          <w:sz w:val="21"/>
          <w:szCs w:val="21"/>
        </w:rPr>
        <w:t>smaller</w:t>
      </w:r>
      <w:r w:rsidRPr="00683FD3">
        <w:rPr>
          <w:sz w:val="21"/>
          <w:szCs w:val="21"/>
        </w:rPr>
        <w:t xml:space="preserve"> Australian banks have nonetheless </w:t>
      </w:r>
      <w:r w:rsidR="009504B8">
        <w:rPr>
          <w:sz w:val="21"/>
          <w:szCs w:val="21"/>
        </w:rPr>
        <w:t>still operated with</w:t>
      </w:r>
      <w:r w:rsidR="009504B8" w:rsidRPr="00683FD3">
        <w:rPr>
          <w:sz w:val="21"/>
          <w:szCs w:val="21"/>
        </w:rPr>
        <w:t xml:space="preserve"> </w:t>
      </w:r>
      <w:r w:rsidRPr="00683FD3">
        <w:rPr>
          <w:sz w:val="21"/>
          <w:szCs w:val="21"/>
        </w:rPr>
        <w:t xml:space="preserve">a higher leverage ratio </w:t>
      </w:r>
      <w:r w:rsidR="001633FD">
        <w:rPr>
          <w:sz w:val="21"/>
          <w:szCs w:val="21"/>
        </w:rPr>
        <w:t xml:space="preserve">(i.e. higher capital) </w:t>
      </w:r>
      <w:r w:rsidR="009504B8">
        <w:rPr>
          <w:sz w:val="21"/>
          <w:szCs w:val="21"/>
        </w:rPr>
        <w:t xml:space="preserve">than the majors </w:t>
      </w:r>
      <w:r w:rsidRPr="00683FD3">
        <w:rPr>
          <w:sz w:val="21"/>
          <w:szCs w:val="21"/>
        </w:rPr>
        <w:t>since around 2008</w:t>
      </w:r>
      <w:r w:rsidR="0024420D">
        <w:rPr>
          <w:sz w:val="21"/>
          <w:szCs w:val="21"/>
        </w:rPr>
        <w:t xml:space="preserve"> (</w:t>
      </w:r>
      <w:r w:rsidR="0024420D">
        <w:rPr>
          <w:sz w:val="21"/>
          <w:szCs w:val="21"/>
        </w:rPr>
        <w:fldChar w:fldCharType="begin"/>
      </w:r>
      <w:r w:rsidR="0024420D">
        <w:rPr>
          <w:sz w:val="21"/>
          <w:szCs w:val="21"/>
        </w:rPr>
        <w:instrText xml:space="preserve"> REF _Ref493061755 \h </w:instrText>
      </w:r>
      <w:r w:rsidR="0024420D">
        <w:rPr>
          <w:sz w:val="21"/>
          <w:szCs w:val="21"/>
        </w:rPr>
      </w:r>
      <w:r w:rsidR="0024420D">
        <w:rPr>
          <w:sz w:val="21"/>
          <w:szCs w:val="21"/>
        </w:rPr>
        <w:fldChar w:fldCharType="separate"/>
      </w:r>
      <w:r w:rsidR="00032843">
        <w:rPr>
          <w:noProof/>
        </w:rPr>
        <w:t>Graph 10</w:t>
      </w:r>
      <w:r w:rsidR="0024420D">
        <w:rPr>
          <w:sz w:val="21"/>
          <w:szCs w:val="21"/>
        </w:rPr>
        <w:fldChar w:fldCharType="end"/>
      </w:r>
      <w:r w:rsidR="0024420D">
        <w:rPr>
          <w:sz w:val="21"/>
          <w:szCs w:val="21"/>
        </w:rPr>
        <w:t>)</w:t>
      </w:r>
      <w:r w:rsidR="009504B8">
        <w:rPr>
          <w:sz w:val="21"/>
          <w:szCs w:val="21"/>
        </w:rPr>
        <w:t>.</w:t>
      </w:r>
      <w:r w:rsidRPr="00683FD3">
        <w:rPr>
          <w:sz w:val="21"/>
          <w:szCs w:val="21"/>
        </w:rPr>
        <w:t xml:space="preserve"> </w:t>
      </w:r>
      <w:r w:rsidR="009504B8">
        <w:rPr>
          <w:sz w:val="21"/>
          <w:szCs w:val="21"/>
        </w:rPr>
        <w:t>This places</w:t>
      </w:r>
      <w:r w:rsidR="009504B8" w:rsidRPr="00683FD3">
        <w:rPr>
          <w:sz w:val="21"/>
          <w:szCs w:val="21"/>
        </w:rPr>
        <w:t xml:space="preserve"> </w:t>
      </w:r>
      <w:r w:rsidRPr="00683FD3">
        <w:rPr>
          <w:sz w:val="21"/>
          <w:szCs w:val="21"/>
        </w:rPr>
        <w:t xml:space="preserve">downward pressure on </w:t>
      </w:r>
      <w:r w:rsidR="009504B8">
        <w:rPr>
          <w:sz w:val="21"/>
          <w:szCs w:val="21"/>
        </w:rPr>
        <w:t xml:space="preserve">smaller banks’ </w:t>
      </w:r>
      <w:r w:rsidR="00851605">
        <w:rPr>
          <w:sz w:val="21"/>
          <w:szCs w:val="21"/>
        </w:rPr>
        <w:t>ROE</w:t>
      </w:r>
      <w:sdt>
        <w:sdtPr>
          <w:rPr>
            <w:sz w:val="21"/>
            <w:szCs w:val="21"/>
          </w:rPr>
          <w:id w:val="-1666858743"/>
          <w:citation/>
        </w:sdtPr>
        <w:sdtEndPr/>
        <w:sdtContent>
          <w:r w:rsidR="00851605">
            <w:rPr>
              <w:sz w:val="21"/>
              <w:szCs w:val="21"/>
            </w:rPr>
            <w:fldChar w:fldCharType="begin"/>
          </w:r>
          <w:r w:rsidR="00851605">
            <w:rPr>
              <w:sz w:val="21"/>
              <w:szCs w:val="21"/>
            </w:rPr>
            <w:instrText xml:space="preserve"> CITATION Bul_2017_06_05 \l 3081 </w:instrText>
          </w:r>
          <w:r w:rsidR="00851605">
            <w:rPr>
              <w:sz w:val="21"/>
              <w:szCs w:val="21"/>
            </w:rPr>
            <w:fldChar w:fldCharType="separate"/>
          </w:r>
          <w:r w:rsidR="0018397C">
            <w:rPr>
              <w:noProof/>
              <w:sz w:val="21"/>
              <w:szCs w:val="21"/>
            </w:rPr>
            <w:t xml:space="preserve"> </w:t>
          </w:r>
          <w:r w:rsidR="0018397C" w:rsidRPr="0018397C">
            <w:rPr>
              <w:noProof/>
              <w:sz w:val="21"/>
              <w:szCs w:val="21"/>
            </w:rPr>
            <w:t>(Atkin and Cheung 2017)</w:t>
          </w:r>
          <w:r w:rsidR="00851605">
            <w:rPr>
              <w:sz w:val="21"/>
              <w:szCs w:val="21"/>
            </w:rPr>
            <w:fldChar w:fldCharType="end"/>
          </w:r>
        </w:sdtContent>
      </w:sdt>
      <w:r w:rsidRPr="00683FD3">
        <w:rPr>
          <w:sz w:val="21"/>
          <w:szCs w:val="21"/>
        </w:rPr>
        <w:t>. Th</w:t>
      </w:r>
      <w:r w:rsidR="00B750A1">
        <w:rPr>
          <w:sz w:val="21"/>
          <w:szCs w:val="21"/>
        </w:rPr>
        <w:t>is</w:t>
      </w:r>
      <w:r w:rsidRPr="00683FD3">
        <w:rPr>
          <w:sz w:val="21"/>
          <w:szCs w:val="21"/>
        </w:rPr>
        <w:t xml:space="preserve"> higher leverage ratio partly reflects the fact that </w:t>
      </w:r>
      <w:r w:rsidR="009504B8">
        <w:rPr>
          <w:sz w:val="21"/>
          <w:szCs w:val="21"/>
        </w:rPr>
        <w:t>the smaller</w:t>
      </w:r>
      <w:r w:rsidR="00B750A1">
        <w:rPr>
          <w:sz w:val="21"/>
          <w:szCs w:val="21"/>
        </w:rPr>
        <w:t xml:space="preserve"> banks’</w:t>
      </w:r>
      <w:r w:rsidR="00B750A1" w:rsidRPr="00683FD3">
        <w:rPr>
          <w:sz w:val="21"/>
          <w:szCs w:val="21"/>
        </w:rPr>
        <w:t xml:space="preserve"> </w:t>
      </w:r>
      <w:r w:rsidRPr="00683FD3">
        <w:rPr>
          <w:sz w:val="21"/>
          <w:szCs w:val="21"/>
        </w:rPr>
        <w:t xml:space="preserve">assets </w:t>
      </w:r>
      <w:r w:rsidR="00F35A8A">
        <w:rPr>
          <w:sz w:val="21"/>
          <w:szCs w:val="21"/>
        </w:rPr>
        <w:t>carry</w:t>
      </w:r>
      <w:r w:rsidR="00F35A8A" w:rsidRPr="00683FD3">
        <w:rPr>
          <w:sz w:val="21"/>
          <w:szCs w:val="21"/>
        </w:rPr>
        <w:t xml:space="preserve"> </w:t>
      </w:r>
      <w:r w:rsidRPr="00683FD3">
        <w:rPr>
          <w:sz w:val="21"/>
          <w:szCs w:val="21"/>
        </w:rPr>
        <w:t>a higher average regulatory risk weight (requiring them to hold more capital</w:t>
      </w:r>
      <w:r w:rsidR="007E7446">
        <w:rPr>
          <w:sz w:val="21"/>
          <w:szCs w:val="21"/>
        </w:rPr>
        <w:t xml:space="preserve"> to meet the same risk-weighted capital ratio</w:t>
      </w:r>
      <w:r w:rsidR="00962AE3">
        <w:rPr>
          <w:sz w:val="21"/>
          <w:szCs w:val="21"/>
        </w:rPr>
        <w:t>)</w:t>
      </w:r>
      <w:r w:rsidRPr="00683FD3">
        <w:rPr>
          <w:sz w:val="21"/>
          <w:szCs w:val="21"/>
        </w:rPr>
        <w:t>. This</w:t>
      </w:r>
      <w:r w:rsidR="00A1237F">
        <w:rPr>
          <w:sz w:val="21"/>
          <w:szCs w:val="21"/>
        </w:rPr>
        <w:t>,</w:t>
      </w:r>
      <w:r w:rsidRPr="00683FD3">
        <w:rPr>
          <w:sz w:val="21"/>
          <w:szCs w:val="21"/>
        </w:rPr>
        <w:t xml:space="preserve"> in turn</w:t>
      </w:r>
      <w:r w:rsidR="00A1237F">
        <w:rPr>
          <w:sz w:val="21"/>
          <w:szCs w:val="21"/>
        </w:rPr>
        <w:t>,</w:t>
      </w:r>
      <w:r w:rsidRPr="00683FD3">
        <w:rPr>
          <w:sz w:val="21"/>
          <w:szCs w:val="21"/>
        </w:rPr>
        <w:t xml:space="preserve"> partly reflects use by the major banks (and Macquarie Bank) of the internal ratings-based (IRB) approach to credit risk, which allows them to use their own models to determine risk weights. </w:t>
      </w:r>
      <w:r w:rsidR="009504B8">
        <w:rPr>
          <w:sz w:val="21"/>
          <w:szCs w:val="21"/>
        </w:rPr>
        <w:t>The smaller</w:t>
      </w:r>
      <w:r w:rsidRPr="00683FD3">
        <w:rPr>
          <w:sz w:val="21"/>
          <w:szCs w:val="21"/>
        </w:rPr>
        <w:t xml:space="preserve"> banks use the </w:t>
      </w:r>
      <w:r w:rsidR="00F35A8A">
        <w:rPr>
          <w:sz w:val="21"/>
          <w:szCs w:val="21"/>
        </w:rPr>
        <w:t>‘</w:t>
      </w:r>
      <w:r w:rsidRPr="00683FD3">
        <w:rPr>
          <w:sz w:val="21"/>
          <w:szCs w:val="21"/>
        </w:rPr>
        <w:t>standardised</w:t>
      </w:r>
      <w:r w:rsidR="00F35A8A">
        <w:rPr>
          <w:sz w:val="21"/>
          <w:szCs w:val="21"/>
        </w:rPr>
        <w:t>’</w:t>
      </w:r>
      <w:r w:rsidRPr="00683FD3">
        <w:rPr>
          <w:sz w:val="21"/>
          <w:szCs w:val="21"/>
        </w:rPr>
        <w:t xml:space="preserve"> approach</w:t>
      </w:r>
      <w:r w:rsidR="009504B8">
        <w:rPr>
          <w:sz w:val="21"/>
          <w:szCs w:val="21"/>
        </w:rPr>
        <w:t>,</w:t>
      </w:r>
      <w:r w:rsidRPr="00683FD3">
        <w:rPr>
          <w:sz w:val="21"/>
          <w:szCs w:val="21"/>
        </w:rPr>
        <w:t xml:space="preserve"> which generally results in </w:t>
      </w:r>
      <w:r w:rsidR="00F35A8A">
        <w:rPr>
          <w:sz w:val="21"/>
          <w:szCs w:val="21"/>
        </w:rPr>
        <w:t>higher</w:t>
      </w:r>
      <w:r w:rsidRPr="00683FD3">
        <w:rPr>
          <w:sz w:val="21"/>
          <w:szCs w:val="21"/>
        </w:rPr>
        <w:t xml:space="preserve"> risk weights.</w:t>
      </w:r>
      <w:r w:rsidRPr="00683FD3">
        <w:rPr>
          <w:sz w:val="21"/>
          <w:szCs w:val="21"/>
          <w:vertAlign w:val="superscript"/>
        </w:rPr>
        <w:footnoteReference w:id="6"/>
      </w:r>
      <w:r w:rsidRPr="00683FD3">
        <w:rPr>
          <w:sz w:val="21"/>
          <w:szCs w:val="21"/>
        </w:rPr>
        <w:t xml:space="preserve"> The average mortgage risk weight under the IRB approach was increased in 2016 to narrow the gap between the IRB weights and the standardised mortgage risk weights.</w:t>
      </w:r>
      <w:r w:rsidRPr="00683FD3">
        <w:rPr>
          <w:sz w:val="21"/>
          <w:szCs w:val="21"/>
          <w:vertAlign w:val="superscript"/>
        </w:rPr>
        <w:footnoteReference w:id="7"/>
      </w:r>
      <w:r w:rsidR="003F0D4B">
        <w:rPr>
          <w:sz w:val="21"/>
          <w:szCs w:val="21"/>
        </w:rPr>
        <w:t xml:space="preserve"> In addition to meeting an FSI recommendation</w:t>
      </w:r>
      <w:r w:rsidR="002E6E7C">
        <w:rPr>
          <w:sz w:val="21"/>
          <w:szCs w:val="21"/>
        </w:rPr>
        <w:t xml:space="preserve"> (aimed at improving competitive neutrality)</w:t>
      </w:r>
      <w:r w:rsidR="003F0D4B">
        <w:rPr>
          <w:sz w:val="21"/>
          <w:szCs w:val="21"/>
        </w:rPr>
        <w:t>, this has enhanced the resilience of ADIs using the IRB approach and aligns with the direction of work being undertaken by the Basel Committee on Banking Supervision</w:t>
      </w:r>
      <w:sdt>
        <w:sdtPr>
          <w:rPr>
            <w:sz w:val="21"/>
            <w:szCs w:val="21"/>
          </w:rPr>
          <w:id w:val="-1603568713"/>
          <w:citation/>
        </w:sdtPr>
        <w:sdtEndPr/>
        <w:sdtContent>
          <w:r w:rsidR="00D378F2">
            <w:rPr>
              <w:sz w:val="21"/>
              <w:szCs w:val="21"/>
            </w:rPr>
            <w:fldChar w:fldCharType="begin"/>
          </w:r>
          <w:r w:rsidR="00D378F2">
            <w:rPr>
              <w:sz w:val="21"/>
              <w:szCs w:val="21"/>
            </w:rPr>
            <w:instrText xml:space="preserve"> CITATION APR15 \l 3081 </w:instrText>
          </w:r>
          <w:r w:rsidR="00D378F2">
            <w:rPr>
              <w:sz w:val="21"/>
              <w:szCs w:val="21"/>
            </w:rPr>
            <w:fldChar w:fldCharType="separate"/>
          </w:r>
          <w:r w:rsidR="0018397C">
            <w:rPr>
              <w:noProof/>
              <w:sz w:val="21"/>
              <w:szCs w:val="21"/>
            </w:rPr>
            <w:t xml:space="preserve"> </w:t>
          </w:r>
          <w:r w:rsidR="0018397C" w:rsidRPr="0018397C">
            <w:rPr>
              <w:noProof/>
              <w:sz w:val="21"/>
              <w:szCs w:val="21"/>
            </w:rPr>
            <w:t>(APRA 2015)</w:t>
          </w:r>
          <w:r w:rsidR="00D378F2">
            <w:rPr>
              <w:sz w:val="21"/>
              <w:szCs w:val="21"/>
            </w:rPr>
            <w:fldChar w:fldCharType="end"/>
          </w:r>
        </w:sdtContent>
      </w:sdt>
      <w:r w:rsidR="003F0D4B">
        <w:rPr>
          <w:sz w:val="21"/>
          <w:szCs w:val="21"/>
        </w:rPr>
        <w:t>.</w:t>
      </w:r>
    </w:p>
    <w:p w14:paraId="69027A57" w14:textId="7A0664B1" w:rsidR="0064163C" w:rsidRPr="00683FD3" w:rsidRDefault="001633FD" w:rsidP="0064163C">
      <w:pPr>
        <w:spacing w:after="120"/>
        <w:jc w:val="both"/>
        <w:rPr>
          <w:sz w:val="21"/>
          <w:szCs w:val="21"/>
        </w:rPr>
      </w:pPr>
      <w:r>
        <w:rPr>
          <w:sz w:val="21"/>
          <w:szCs w:val="21"/>
        </w:rPr>
        <w:t>In addition to</w:t>
      </w:r>
      <w:r w:rsidR="00E82762" w:rsidRPr="00E82762">
        <w:rPr>
          <w:sz w:val="21"/>
          <w:szCs w:val="21"/>
        </w:rPr>
        <w:t xml:space="preserve"> leverage, banks’ ROE is determined by how effectively they generate returns from their asset base – mea</w:t>
      </w:r>
      <w:r w:rsidR="00E82762">
        <w:rPr>
          <w:sz w:val="21"/>
          <w:szCs w:val="21"/>
        </w:rPr>
        <w:t>sured by return on assets (ROA)</w:t>
      </w:r>
      <w:r w:rsidR="0005343A">
        <w:rPr>
          <w:sz w:val="21"/>
          <w:szCs w:val="21"/>
        </w:rPr>
        <w:t xml:space="preserve"> (</w:t>
      </w:r>
      <w:r w:rsidR="0005343A">
        <w:rPr>
          <w:sz w:val="21"/>
          <w:szCs w:val="21"/>
        </w:rPr>
        <w:fldChar w:fldCharType="begin"/>
      </w:r>
      <w:r w:rsidR="0005343A">
        <w:rPr>
          <w:sz w:val="21"/>
          <w:szCs w:val="21"/>
        </w:rPr>
        <w:instrText xml:space="preserve"> REF _Ref493061755 \h </w:instrText>
      </w:r>
      <w:r w:rsidR="0005343A">
        <w:rPr>
          <w:sz w:val="21"/>
          <w:szCs w:val="21"/>
        </w:rPr>
      </w:r>
      <w:r w:rsidR="0005343A">
        <w:rPr>
          <w:sz w:val="21"/>
          <w:szCs w:val="21"/>
        </w:rPr>
        <w:fldChar w:fldCharType="separate"/>
      </w:r>
      <w:r w:rsidR="00032843">
        <w:rPr>
          <w:noProof/>
        </w:rPr>
        <w:t>Graph 10</w:t>
      </w:r>
      <w:r w:rsidR="0005343A">
        <w:rPr>
          <w:sz w:val="21"/>
          <w:szCs w:val="21"/>
        </w:rPr>
        <w:fldChar w:fldCharType="end"/>
      </w:r>
      <w:r w:rsidR="0005343A">
        <w:rPr>
          <w:sz w:val="21"/>
          <w:szCs w:val="21"/>
        </w:rPr>
        <w:t>)</w:t>
      </w:r>
      <w:r w:rsidR="0064163C" w:rsidRPr="00683FD3">
        <w:rPr>
          <w:sz w:val="21"/>
          <w:szCs w:val="21"/>
        </w:rPr>
        <w:t xml:space="preserve">. This </w:t>
      </w:r>
      <w:r w:rsidR="00B750A1">
        <w:rPr>
          <w:sz w:val="21"/>
          <w:szCs w:val="21"/>
        </w:rPr>
        <w:t xml:space="preserve">measure </w:t>
      </w:r>
      <w:r w:rsidR="009577D2">
        <w:rPr>
          <w:sz w:val="21"/>
          <w:szCs w:val="21"/>
        </w:rPr>
        <w:t xml:space="preserve">of profitability also </w:t>
      </w:r>
      <w:r w:rsidR="0064163C" w:rsidRPr="00683FD3">
        <w:rPr>
          <w:sz w:val="21"/>
          <w:szCs w:val="21"/>
        </w:rPr>
        <w:t>show</w:t>
      </w:r>
      <w:r w:rsidR="009577D2">
        <w:rPr>
          <w:sz w:val="21"/>
          <w:szCs w:val="21"/>
        </w:rPr>
        <w:t>s</w:t>
      </w:r>
      <w:r w:rsidR="0064163C" w:rsidRPr="00683FD3">
        <w:rPr>
          <w:sz w:val="21"/>
          <w:szCs w:val="21"/>
        </w:rPr>
        <w:t xml:space="preserve"> higher returns for the major banks </w:t>
      </w:r>
      <w:r w:rsidR="008F7C55">
        <w:rPr>
          <w:sz w:val="21"/>
          <w:szCs w:val="21"/>
        </w:rPr>
        <w:t>for most periods since the financial crisis</w:t>
      </w:r>
      <w:r w:rsidR="00804AA0">
        <w:rPr>
          <w:sz w:val="21"/>
          <w:szCs w:val="21"/>
        </w:rPr>
        <w:t xml:space="preserve"> compared with smaller financial institutions</w:t>
      </w:r>
      <w:r w:rsidR="0064163C" w:rsidRPr="00683FD3">
        <w:rPr>
          <w:sz w:val="21"/>
          <w:szCs w:val="21"/>
        </w:rPr>
        <w:t xml:space="preserve">. This </w:t>
      </w:r>
      <w:r w:rsidR="00985AB6">
        <w:rPr>
          <w:sz w:val="21"/>
          <w:szCs w:val="21"/>
        </w:rPr>
        <w:t xml:space="preserve">could </w:t>
      </w:r>
      <w:r w:rsidR="0064163C" w:rsidRPr="00683FD3">
        <w:rPr>
          <w:sz w:val="21"/>
          <w:szCs w:val="21"/>
        </w:rPr>
        <w:t xml:space="preserve">reflect </w:t>
      </w:r>
      <w:r>
        <w:rPr>
          <w:sz w:val="21"/>
          <w:szCs w:val="21"/>
        </w:rPr>
        <w:t>both funding cost differentials and a different asset mix</w:t>
      </w:r>
      <w:r w:rsidR="0064163C" w:rsidRPr="00683FD3">
        <w:rPr>
          <w:sz w:val="21"/>
          <w:szCs w:val="21"/>
        </w:rPr>
        <w:t>.</w:t>
      </w:r>
    </w:p>
    <w:p w14:paraId="1F1C5DC2" w14:textId="0731F6B0" w:rsidR="0064163C" w:rsidRPr="00683FD3" w:rsidRDefault="001633FD" w:rsidP="0064163C">
      <w:pPr>
        <w:spacing w:after="120"/>
        <w:jc w:val="both"/>
        <w:rPr>
          <w:sz w:val="21"/>
          <w:szCs w:val="21"/>
        </w:rPr>
      </w:pPr>
      <w:r>
        <w:rPr>
          <w:sz w:val="21"/>
          <w:szCs w:val="21"/>
        </w:rPr>
        <w:t>The major banks have been able to</w:t>
      </w:r>
      <w:r w:rsidR="0064163C" w:rsidRPr="00683FD3">
        <w:rPr>
          <w:sz w:val="21"/>
          <w:szCs w:val="21"/>
        </w:rPr>
        <w:t xml:space="preserve"> </w:t>
      </w:r>
      <w:r>
        <w:rPr>
          <w:sz w:val="21"/>
          <w:szCs w:val="21"/>
        </w:rPr>
        <w:t>achieve</w:t>
      </w:r>
      <w:r w:rsidR="0064163C" w:rsidRPr="00683FD3">
        <w:rPr>
          <w:sz w:val="21"/>
          <w:szCs w:val="21"/>
        </w:rPr>
        <w:t xml:space="preserve"> lower funding costs </w:t>
      </w:r>
      <w:r>
        <w:rPr>
          <w:sz w:val="21"/>
          <w:szCs w:val="21"/>
        </w:rPr>
        <w:t xml:space="preserve">than other banks </w:t>
      </w:r>
      <w:r w:rsidR="0064163C" w:rsidRPr="00683FD3">
        <w:rPr>
          <w:sz w:val="21"/>
          <w:szCs w:val="21"/>
        </w:rPr>
        <w:t xml:space="preserve">(see </w:t>
      </w:r>
      <w:r w:rsidR="00DB325F">
        <w:rPr>
          <w:sz w:val="21"/>
          <w:szCs w:val="21"/>
        </w:rPr>
        <w:t>the ‘</w:t>
      </w:r>
      <w:r w:rsidRPr="009579FA">
        <w:rPr>
          <w:sz w:val="21"/>
          <w:szCs w:val="21"/>
        </w:rPr>
        <w:t>Recent Influences on the Competitive Environment</w:t>
      </w:r>
      <w:r w:rsidR="00DB325F">
        <w:rPr>
          <w:sz w:val="21"/>
          <w:szCs w:val="21"/>
        </w:rPr>
        <w:t>’</w:t>
      </w:r>
      <w:r>
        <w:rPr>
          <w:sz w:val="21"/>
          <w:szCs w:val="21"/>
        </w:rPr>
        <w:t xml:space="preserve"> chapter</w:t>
      </w:r>
      <w:r w:rsidR="0064163C" w:rsidRPr="00683FD3">
        <w:rPr>
          <w:sz w:val="21"/>
          <w:szCs w:val="21"/>
        </w:rPr>
        <w:t xml:space="preserve">). This </w:t>
      </w:r>
      <w:r w:rsidR="00107FBD">
        <w:rPr>
          <w:sz w:val="21"/>
          <w:szCs w:val="21"/>
        </w:rPr>
        <w:t>partly</w:t>
      </w:r>
      <w:r w:rsidR="00107FBD" w:rsidRPr="00683FD3">
        <w:rPr>
          <w:sz w:val="21"/>
          <w:szCs w:val="21"/>
        </w:rPr>
        <w:t xml:space="preserve"> </w:t>
      </w:r>
      <w:r w:rsidR="0064163C" w:rsidRPr="00683FD3">
        <w:rPr>
          <w:sz w:val="21"/>
          <w:szCs w:val="21"/>
        </w:rPr>
        <w:t>reflect</w:t>
      </w:r>
      <w:r w:rsidR="00107FBD">
        <w:rPr>
          <w:sz w:val="21"/>
          <w:szCs w:val="21"/>
        </w:rPr>
        <w:t>s</w:t>
      </w:r>
      <w:r w:rsidR="0064163C" w:rsidRPr="00683FD3">
        <w:rPr>
          <w:sz w:val="21"/>
          <w:szCs w:val="21"/>
        </w:rPr>
        <w:t xml:space="preserve"> their structure and scale </w:t>
      </w:r>
      <w:r w:rsidR="00D863A4">
        <w:rPr>
          <w:sz w:val="21"/>
          <w:szCs w:val="21"/>
        </w:rPr>
        <w:t>but</w:t>
      </w:r>
      <w:r w:rsidR="00D863A4" w:rsidRPr="00683FD3">
        <w:rPr>
          <w:sz w:val="21"/>
          <w:szCs w:val="21"/>
        </w:rPr>
        <w:t xml:space="preserve"> </w:t>
      </w:r>
      <w:r w:rsidR="0064163C" w:rsidRPr="00683FD3">
        <w:rPr>
          <w:sz w:val="21"/>
          <w:szCs w:val="21"/>
        </w:rPr>
        <w:t xml:space="preserve">it could </w:t>
      </w:r>
      <w:r w:rsidR="00D863A4">
        <w:rPr>
          <w:sz w:val="21"/>
          <w:szCs w:val="21"/>
        </w:rPr>
        <w:t xml:space="preserve">also </w:t>
      </w:r>
      <w:r w:rsidR="0064163C" w:rsidRPr="00683FD3">
        <w:rPr>
          <w:sz w:val="21"/>
          <w:szCs w:val="21"/>
        </w:rPr>
        <w:t>reflect investors’ perception</w:t>
      </w:r>
      <w:r w:rsidR="00A35E6A">
        <w:rPr>
          <w:sz w:val="21"/>
          <w:szCs w:val="21"/>
        </w:rPr>
        <w:t>s</w:t>
      </w:r>
      <w:r w:rsidR="0064163C" w:rsidRPr="00683FD3">
        <w:rPr>
          <w:sz w:val="21"/>
          <w:szCs w:val="21"/>
        </w:rPr>
        <w:t xml:space="preserve"> of an implicit </w:t>
      </w:r>
      <w:r w:rsidR="0006797F">
        <w:rPr>
          <w:sz w:val="21"/>
          <w:szCs w:val="21"/>
        </w:rPr>
        <w:t xml:space="preserve">government </w:t>
      </w:r>
      <w:r w:rsidR="0064163C" w:rsidRPr="00683FD3">
        <w:rPr>
          <w:sz w:val="21"/>
          <w:szCs w:val="21"/>
        </w:rPr>
        <w:t>guarantee.</w:t>
      </w:r>
      <w:r w:rsidR="0064163C" w:rsidRPr="00683FD3">
        <w:rPr>
          <w:sz w:val="21"/>
          <w:szCs w:val="21"/>
          <w:vertAlign w:val="superscript"/>
        </w:rPr>
        <w:footnoteReference w:id="8"/>
      </w:r>
      <w:r w:rsidR="0064163C" w:rsidRPr="00683FD3">
        <w:rPr>
          <w:sz w:val="21"/>
          <w:szCs w:val="21"/>
        </w:rPr>
        <w:t xml:space="preserve"> The </w:t>
      </w:r>
      <w:r w:rsidR="0006797F">
        <w:rPr>
          <w:sz w:val="21"/>
          <w:szCs w:val="21"/>
        </w:rPr>
        <w:t xml:space="preserve">ratings agencies have given the </w:t>
      </w:r>
      <w:r w:rsidR="0064163C" w:rsidRPr="00683FD3">
        <w:rPr>
          <w:sz w:val="21"/>
          <w:szCs w:val="21"/>
        </w:rPr>
        <w:t>four major banks (as well as Macquarie Bank) an</w:t>
      </w:r>
      <w:r w:rsidR="0006797F">
        <w:rPr>
          <w:sz w:val="21"/>
          <w:szCs w:val="21"/>
        </w:rPr>
        <w:t xml:space="preserve"> </w:t>
      </w:r>
      <w:r w:rsidR="0064163C" w:rsidRPr="00683FD3">
        <w:rPr>
          <w:sz w:val="21"/>
          <w:szCs w:val="21"/>
        </w:rPr>
        <w:t>uplift to their credit ratings</w:t>
      </w:r>
      <w:r w:rsidR="0006797F">
        <w:rPr>
          <w:sz w:val="21"/>
          <w:szCs w:val="21"/>
        </w:rPr>
        <w:t xml:space="preserve"> to reflect</w:t>
      </w:r>
      <w:r w:rsidR="0064163C" w:rsidRPr="00683FD3">
        <w:rPr>
          <w:sz w:val="21"/>
          <w:szCs w:val="21"/>
        </w:rPr>
        <w:t xml:space="preserve"> the</w:t>
      </w:r>
      <w:r w:rsidR="0006797F">
        <w:rPr>
          <w:sz w:val="21"/>
          <w:szCs w:val="21"/>
        </w:rPr>
        <w:t xml:space="preserve"> perceived</w:t>
      </w:r>
      <w:r w:rsidR="0064163C" w:rsidRPr="00683FD3">
        <w:rPr>
          <w:sz w:val="21"/>
          <w:szCs w:val="21"/>
        </w:rPr>
        <w:t xml:space="preserve"> likelihood of government support in times of distress</w:t>
      </w:r>
      <w:r w:rsidR="0006797F">
        <w:rPr>
          <w:sz w:val="21"/>
          <w:szCs w:val="21"/>
        </w:rPr>
        <w:t>.</w:t>
      </w:r>
      <w:r w:rsidR="0064163C" w:rsidRPr="00683FD3">
        <w:rPr>
          <w:sz w:val="21"/>
          <w:szCs w:val="21"/>
        </w:rPr>
        <w:t xml:space="preserve"> </w:t>
      </w:r>
      <w:r w:rsidR="00A35E6A">
        <w:rPr>
          <w:sz w:val="21"/>
          <w:szCs w:val="21"/>
        </w:rPr>
        <w:t>Any</w:t>
      </w:r>
      <w:r w:rsidR="0064163C" w:rsidRPr="00683FD3">
        <w:rPr>
          <w:sz w:val="21"/>
          <w:szCs w:val="21"/>
        </w:rPr>
        <w:t xml:space="preserve"> uplift to smaller banks’ ratings </w:t>
      </w:r>
      <w:r w:rsidR="00A35E6A">
        <w:rPr>
          <w:sz w:val="21"/>
          <w:szCs w:val="21"/>
        </w:rPr>
        <w:t>has been</w:t>
      </w:r>
      <w:r w:rsidR="0064163C" w:rsidRPr="00683FD3">
        <w:rPr>
          <w:sz w:val="21"/>
          <w:szCs w:val="21"/>
        </w:rPr>
        <w:t xml:space="preserve"> </w:t>
      </w:r>
      <w:r w:rsidR="00DA6613">
        <w:rPr>
          <w:sz w:val="21"/>
          <w:szCs w:val="21"/>
        </w:rPr>
        <w:t>minimal</w:t>
      </w:r>
      <w:r w:rsidR="0064163C" w:rsidRPr="00683FD3">
        <w:rPr>
          <w:sz w:val="21"/>
          <w:szCs w:val="21"/>
        </w:rPr>
        <w:t xml:space="preserve"> or </w:t>
      </w:r>
      <w:r w:rsidR="00804AA0">
        <w:rPr>
          <w:sz w:val="21"/>
          <w:szCs w:val="21"/>
        </w:rPr>
        <w:t>non-existent</w:t>
      </w:r>
      <w:r w:rsidR="0064163C" w:rsidRPr="00683FD3">
        <w:rPr>
          <w:sz w:val="21"/>
          <w:szCs w:val="21"/>
        </w:rPr>
        <w:t>.</w:t>
      </w:r>
    </w:p>
    <w:p w14:paraId="1E45A283" w14:textId="08F21EF7" w:rsidR="0064163C" w:rsidRPr="004217E8" w:rsidRDefault="00985AB6" w:rsidP="0064163C">
      <w:pPr>
        <w:spacing w:after="120"/>
        <w:jc w:val="both"/>
        <w:rPr>
          <w:sz w:val="21"/>
          <w:szCs w:val="21"/>
        </w:rPr>
      </w:pPr>
      <w:r>
        <w:rPr>
          <w:sz w:val="21"/>
          <w:szCs w:val="21"/>
        </w:rPr>
        <w:t>Another</w:t>
      </w:r>
      <w:r w:rsidR="0064163C" w:rsidRPr="00683FD3">
        <w:rPr>
          <w:sz w:val="21"/>
          <w:szCs w:val="21"/>
        </w:rPr>
        <w:t xml:space="preserve"> factor affecting ROA is the composition of assets on banks’ balance sheets. </w:t>
      </w:r>
      <w:r w:rsidR="008F7C55">
        <w:rPr>
          <w:sz w:val="21"/>
          <w:szCs w:val="21"/>
        </w:rPr>
        <w:t>For example, b</w:t>
      </w:r>
      <w:r w:rsidR="008F7C55" w:rsidRPr="00683FD3">
        <w:rPr>
          <w:sz w:val="21"/>
          <w:szCs w:val="21"/>
        </w:rPr>
        <w:t>usiness lending is typically risk</w:t>
      </w:r>
      <w:r w:rsidR="00A35E6A">
        <w:rPr>
          <w:sz w:val="21"/>
          <w:szCs w:val="21"/>
        </w:rPr>
        <w:t>ier</w:t>
      </w:r>
      <w:r w:rsidR="008F7C55" w:rsidRPr="00683FD3">
        <w:rPr>
          <w:sz w:val="21"/>
          <w:szCs w:val="21"/>
        </w:rPr>
        <w:t xml:space="preserve"> than housing lending </w:t>
      </w:r>
      <w:r w:rsidR="00A35E6A">
        <w:rPr>
          <w:sz w:val="21"/>
          <w:szCs w:val="21"/>
        </w:rPr>
        <w:t>but</w:t>
      </w:r>
      <w:r w:rsidR="008F7C55" w:rsidRPr="00683FD3">
        <w:rPr>
          <w:sz w:val="21"/>
          <w:szCs w:val="21"/>
        </w:rPr>
        <w:t xml:space="preserve"> can generate higher returns.</w:t>
      </w:r>
      <w:r w:rsidR="008F7C55">
        <w:rPr>
          <w:sz w:val="21"/>
          <w:szCs w:val="21"/>
        </w:rPr>
        <w:t xml:space="preserve"> Since the financial crisis the composition of banks’ balance sheets has changed noticeably, with t</w:t>
      </w:r>
      <w:r w:rsidR="008F7C55" w:rsidRPr="00683FD3">
        <w:rPr>
          <w:sz w:val="21"/>
          <w:szCs w:val="21"/>
        </w:rPr>
        <w:t>he share of housing l</w:t>
      </w:r>
      <w:r w:rsidR="008F7C55">
        <w:rPr>
          <w:sz w:val="21"/>
          <w:szCs w:val="21"/>
        </w:rPr>
        <w:t xml:space="preserve">ending increasing </w:t>
      </w:r>
      <w:r w:rsidR="008F7C55" w:rsidRPr="00683FD3">
        <w:rPr>
          <w:sz w:val="21"/>
          <w:szCs w:val="21"/>
        </w:rPr>
        <w:t xml:space="preserve">at the expense of </w:t>
      </w:r>
      <w:r w:rsidR="001A2D9D">
        <w:rPr>
          <w:sz w:val="21"/>
          <w:szCs w:val="21"/>
        </w:rPr>
        <w:t>other</w:t>
      </w:r>
      <w:r w:rsidR="008F7C55" w:rsidRPr="00683FD3">
        <w:rPr>
          <w:sz w:val="21"/>
          <w:szCs w:val="21"/>
        </w:rPr>
        <w:t xml:space="preserve"> l</w:t>
      </w:r>
      <w:r w:rsidR="008F7C55">
        <w:rPr>
          <w:sz w:val="21"/>
          <w:szCs w:val="21"/>
        </w:rPr>
        <w:t>ending</w:t>
      </w:r>
      <w:r w:rsidR="00BC436C">
        <w:rPr>
          <w:sz w:val="21"/>
          <w:szCs w:val="21"/>
        </w:rPr>
        <w:t xml:space="preserve"> (</w:t>
      </w:r>
      <w:r w:rsidR="00BC436C">
        <w:rPr>
          <w:sz w:val="21"/>
          <w:szCs w:val="21"/>
        </w:rPr>
        <w:fldChar w:fldCharType="begin"/>
      </w:r>
      <w:r w:rsidR="00BC436C">
        <w:rPr>
          <w:sz w:val="21"/>
          <w:szCs w:val="21"/>
        </w:rPr>
        <w:instrText xml:space="preserve"> REF _Ref492390771 \h </w:instrText>
      </w:r>
      <w:r w:rsidR="00E87049">
        <w:rPr>
          <w:sz w:val="21"/>
          <w:szCs w:val="21"/>
        </w:rPr>
        <w:instrText xml:space="preserve"> \* MERGEFORMAT </w:instrText>
      </w:r>
      <w:r w:rsidR="00BC436C">
        <w:rPr>
          <w:sz w:val="21"/>
          <w:szCs w:val="21"/>
        </w:rPr>
      </w:r>
      <w:r w:rsidR="00BC436C">
        <w:rPr>
          <w:sz w:val="21"/>
          <w:szCs w:val="21"/>
        </w:rPr>
        <w:fldChar w:fldCharType="separate"/>
      </w:r>
      <w:r w:rsidR="00032843" w:rsidRPr="00032843">
        <w:rPr>
          <w:sz w:val="21"/>
          <w:szCs w:val="21"/>
        </w:rPr>
        <w:t>Graph 11</w:t>
      </w:r>
      <w:r w:rsidR="00BC436C">
        <w:rPr>
          <w:sz w:val="21"/>
          <w:szCs w:val="21"/>
        </w:rPr>
        <w:fldChar w:fldCharType="end"/>
      </w:r>
      <w:r w:rsidR="00BC436C">
        <w:rPr>
          <w:sz w:val="21"/>
          <w:szCs w:val="21"/>
        </w:rPr>
        <w:t>)</w:t>
      </w:r>
      <w:r w:rsidR="0064163C" w:rsidRPr="00683FD3">
        <w:rPr>
          <w:sz w:val="21"/>
          <w:szCs w:val="21"/>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tblGrid>
      <w:tr w:rsidR="0096665E" w14:paraId="02579F46" w14:textId="77777777" w:rsidTr="008A18B9">
        <w:trPr>
          <w:jc w:val="center"/>
        </w:trPr>
        <w:tc>
          <w:tcPr>
            <w:tcW w:w="4365" w:type="dxa"/>
          </w:tcPr>
          <w:p w14:paraId="6CA5D90C" w14:textId="630AC18A" w:rsidR="0096665E" w:rsidRDefault="0096665E" w:rsidP="00D90C1E">
            <w:pPr>
              <w:pStyle w:val="GraphTitle"/>
              <w:rPr>
                <w:noProof/>
              </w:rPr>
            </w:pPr>
            <w:bookmarkStart w:id="12" w:name="_Ref492390771"/>
            <w:r>
              <w:rPr>
                <w:noProof/>
              </w:rPr>
              <w:t>Graph </w:t>
            </w:r>
            <w:r>
              <w:rPr>
                <w:noProof/>
              </w:rPr>
              <w:fldChar w:fldCharType="begin"/>
            </w:r>
            <w:r>
              <w:rPr>
                <w:noProof/>
              </w:rPr>
              <w:instrText xml:space="preserve"> SEQ Graph \* ARABIC \* MERGEFORMAT </w:instrText>
            </w:r>
            <w:r>
              <w:rPr>
                <w:noProof/>
              </w:rPr>
              <w:fldChar w:fldCharType="separate"/>
            </w:r>
            <w:r w:rsidR="00032843">
              <w:rPr>
                <w:noProof/>
              </w:rPr>
              <w:t>11</w:t>
            </w:r>
            <w:r>
              <w:rPr>
                <w:noProof/>
              </w:rPr>
              <w:fldChar w:fldCharType="end"/>
            </w:r>
            <w:bookmarkEnd w:id="12"/>
          </w:p>
          <w:p w14:paraId="1551E8AB" w14:textId="7494D103" w:rsidR="0096665E" w:rsidRDefault="00387E8A" w:rsidP="00325F83">
            <w:pPr>
              <w:jc w:val="both"/>
              <w:rPr>
                <w:sz w:val="21"/>
                <w:szCs w:val="21"/>
              </w:rPr>
            </w:pPr>
            <w:r>
              <w:rPr>
                <w:noProof/>
                <w:sz w:val="21"/>
                <w:szCs w:val="21"/>
              </w:rPr>
              <w:drawing>
                <wp:inline distT="0" distB="0" distL="0" distR="0" wp14:anchorId="2A89DB0E" wp14:editId="3B130EEE">
                  <wp:extent cx="2772000" cy="2520000"/>
                  <wp:effectExtent l="0" t="0" r="0" b="0"/>
                  <wp:docPr id="3" name="Picture 3" descr="G:\FS\_Dropbox\Australian Banks’ Lending.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FS\_Dropbox\Australian Banks’ Lending.emf"/>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11B5F370" w14:textId="39494D33" w:rsidR="00206C7F" w:rsidRPr="00683FD3" w:rsidRDefault="00206C7F" w:rsidP="00805527">
      <w:pPr>
        <w:pStyle w:val="Heading3"/>
      </w:pPr>
      <w:r w:rsidRPr="00683FD3">
        <w:t>Margins</w:t>
      </w:r>
    </w:p>
    <w:p w14:paraId="0C48C75D" w14:textId="0B7DC9E4" w:rsidR="00206C7F" w:rsidRPr="00683FD3" w:rsidRDefault="00206C7F" w:rsidP="00206C7F">
      <w:pPr>
        <w:spacing w:after="120"/>
        <w:jc w:val="both"/>
        <w:rPr>
          <w:sz w:val="21"/>
        </w:rPr>
      </w:pPr>
      <w:r w:rsidRPr="00683FD3">
        <w:rPr>
          <w:sz w:val="21"/>
        </w:rPr>
        <w:t>Net interest margin</w:t>
      </w:r>
      <w:r w:rsidR="00D859BE">
        <w:rPr>
          <w:sz w:val="21"/>
        </w:rPr>
        <w:t xml:space="preserve"> (NIM)</w:t>
      </w:r>
      <w:r w:rsidRPr="00683FD3">
        <w:rPr>
          <w:sz w:val="21"/>
        </w:rPr>
        <w:t xml:space="preserve">, which </w:t>
      </w:r>
      <w:r w:rsidR="000D0257">
        <w:rPr>
          <w:sz w:val="21"/>
        </w:rPr>
        <w:t>reflect</w:t>
      </w:r>
      <w:r w:rsidR="009E5820">
        <w:rPr>
          <w:sz w:val="21"/>
        </w:rPr>
        <w:t>s</w:t>
      </w:r>
      <w:r w:rsidRPr="00683FD3">
        <w:rPr>
          <w:sz w:val="21"/>
        </w:rPr>
        <w:t xml:space="preserve"> the difference in banks’ average lending and borrowing rates, provide</w:t>
      </w:r>
      <w:r w:rsidR="009E5820">
        <w:rPr>
          <w:sz w:val="21"/>
        </w:rPr>
        <w:t>s</w:t>
      </w:r>
      <w:r w:rsidRPr="00683FD3">
        <w:rPr>
          <w:sz w:val="21"/>
        </w:rPr>
        <w:t xml:space="preserve"> an indication of the profitability of banks’ </w:t>
      </w:r>
      <w:r w:rsidRPr="0000192D">
        <w:rPr>
          <w:i/>
          <w:sz w:val="21"/>
        </w:rPr>
        <w:t>lending</w:t>
      </w:r>
      <w:r w:rsidRPr="00683FD3">
        <w:rPr>
          <w:sz w:val="21"/>
        </w:rPr>
        <w:t xml:space="preserve"> activities, and so can shed some light on the degree of competitive pressure banks face. </w:t>
      </w:r>
    </w:p>
    <w:p w14:paraId="565A0DF8" w14:textId="7DA8E7CF" w:rsidR="00D859BE" w:rsidRDefault="00D859BE" w:rsidP="00D859BE">
      <w:pPr>
        <w:spacing w:after="120"/>
        <w:jc w:val="both"/>
        <w:rPr>
          <w:sz w:val="21"/>
        </w:rPr>
      </w:pPr>
      <w:r w:rsidRPr="00053F10">
        <w:rPr>
          <w:sz w:val="21"/>
        </w:rPr>
        <w:t>The major banks</w:t>
      </w:r>
      <w:r>
        <w:rPr>
          <w:sz w:val="21"/>
        </w:rPr>
        <w:t>’</w:t>
      </w:r>
      <w:r w:rsidRPr="00053F10">
        <w:rPr>
          <w:sz w:val="21"/>
        </w:rPr>
        <w:t xml:space="preserve"> </w:t>
      </w:r>
      <w:r>
        <w:rPr>
          <w:sz w:val="21"/>
        </w:rPr>
        <w:t>NIM</w:t>
      </w:r>
      <w:r w:rsidRPr="00053F10">
        <w:rPr>
          <w:sz w:val="21"/>
        </w:rPr>
        <w:t xml:space="preserve"> declined sharply in the decades </w:t>
      </w:r>
      <w:r>
        <w:rPr>
          <w:sz w:val="21"/>
        </w:rPr>
        <w:t xml:space="preserve">following deregulation and </w:t>
      </w:r>
      <w:r w:rsidRPr="00053F10">
        <w:rPr>
          <w:sz w:val="21"/>
        </w:rPr>
        <w:t>leading up to the financial crisis</w:t>
      </w:r>
      <w:r w:rsidR="00602548">
        <w:rPr>
          <w:sz w:val="21"/>
        </w:rPr>
        <w:t>, consistent with rising competitive pressures</w:t>
      </w:r>
      <w:r w:rsidR="00D077F6">
        <w:rPr>
          <w:sz w:val="21"/>
        </w:rPr>
        <w:t xml:space="preserve"> </w:t>
      </w:r>
      <w:r w:rsidR="00D077F6" w:rsidRPr="009579FA">
        <w:rPr>
          <w:rStyle w:val="BodyTextChar"/>
        </w:rPr>
        <w:t>(</w:t>
      </w:r>
      <w:r w:rsidR="00D077F6" w:rsidRPr="009579FA">
        <w:rPr>
          <w:rStyle w:val="BodyTextChar"/>
        </w:rPr>
        <w:fldChar w:fldCharType="begin"/>
      </w:r>
      <w:r w:rsidR="00D077F6" w:rsidRPr="009579FA">
        <w:rPr>
          <w:rStyle w:val="BodyTextChar"/>
        </w:rPr>
        <w:instrText xml:space="preserve"> REF _Ref492390792 \h </w:instrText>
      </w:r>
      <w:r w:rsidR="00673180">
        <w:rPr>
          <w:rStyle w:val="BodyTextChar"/>
        </w:rPr>
        <w:instrText xml:space="preserve"> \* MERGEFORMAT </w:instrText>
      </w:r>
      <w:r w:rsidR="00D077F6" w:rsidRPr="009579FA">
        <w:rPr>
          <w:rStyle w:val="BodyTextChar"/>
        </w:rPr>
      </w:r>
      <w:r w:rsidR="00D077F6" w:rsidRPr="009579FA">
        <w:rPr>
          <w:rStyle w:val="BodyTextChar"/>
        </w:rPr>
        <w:fldChar w:fldCharType="separate"/>
      </w:r>
      <w:r w:rsidR="00032843" w:rsidRPr="00032843">
        <w:rPr>
          <w:rStyle w:val="BodyTextChar"/>
        </w:rPr>
        <w:t>Graph 12</w:t>
      </w:r>
      <w:r w:rsidR="00D077F6" w:rsidRPr="009579FA">
        <w:rPr>
          <w:rStyle w:val="BodyTextChar"/>
        </w:rPr>
        <w:fldChar w:fldCharType="end"/>
      </w:r>
      <w:r w:rsidR="00D077F6" w:rsidRPr="009579FA">
        <w:rPr>
          <w:rStyle w:val="BodyTextChar"/>
        </w:rPr>
        <w:t>)</w:t>
      </w:r>
      <w:r w:rsidRPr="00053F10">
        <w:rPr>
          <w:sz w:val="21"/>
        </w:rPr>
        <w:t>. Since then, there have been significant changes to</w:t>
      </w:r>
      <w:r>
        <w:rPr>
          <w:sz w:val="21"/>
        </w:rPr>
        <w:t xml:space="preserve"> both</w:t>
      </w:r>
      <w:r w:rsidRPr="00053F10">
        <w:rPr>
          <w:sz w:val="21"/>
        </w:rPr>
        <w:t xml:space="preserve"> the composition of bank</w:t>
      </w:r>
      <w:r>
        <w:rPr>
          <w:sz w:val="21"/>
        </w:rPr>
        <w:t>s’</w:t>
      </w:r>
      <w:r w:rsidRPr="00053F10">
        <w:rPr>
          <w:sz w:val="21"/>
        </w:rPr>
        <w:t xml:space="preserve"> assets and funding</w:t>
      </w:r>
      <w:r>
        <w:rPr>
          <w:sz w:val="21"/>
        </w:rPr>
        <w:t>, and</w:t>
      </w:r>
      <w:r w:rsidRPr="000D0257">
        <w:rPr>
          <w:sz w:val="21"/>
        </w:rPr>
        <w:t xml:space="preserve"> </w:t>
      </w:r>
      <w:r>
        <w:rPr>
          <w:sz w:val="21"/>
        </w:rPr>
        <w:t>the</w:t>
      </w:r>
      <w:r w:rsidRPr="00053F10">
        <w:rPr>
          <w:sz w:val="21"/>
        </w:rPr>
        <w:t xml:space="preserve"> interest rates </w:t>
      </w:r>
      <w:r>
        <w:rPr>
          <w:sz w:val="21"/>
        </w:rPr>
        <w:t>that apply</w:t>
      </w:r>
      <w:r w:rsidR="00436198">
        <w:rPr>
          <w:sz w:val="21"/>
        </w:rPr>
        <w:t xml:space="preserve"> to them</w:t>
      </w:r>
      <w:r>
        <w:rPr>
          <w:sz w:val="21"/>
        </w:rPr>
        <w:t>.</w:t>
      </w:r>
      <w:r w:rsidRPr="00053F10">
        <w:rPr>
          <w:sz w:val="21"/>
        </w:rPr>
        <w:t xml:space="preserve"> </w:t>
      </w:r>
      <w:r>
        <w:rPr>
          <w:sz w:val="21"/>
        </w:rPr>
        <w:t>Nonetheless,</w:t>
      </w:r>
      <w:r w:rsidRPr="00053F10">
        <w:rPr>
          <w:sz w:val="21"/>
        </w:rPr>
        <w:t xml:space="preserve"> the overall interest margin has remained relatively stable. </w:t>
      </w:r>
      <w:r>
        <w:rPr>
          <w:sz w:val="21"/>
        </w:rPr>
        <w:t>While the</w:t>
      </w:r>
      <w:r w:rsidRPr="00053F10">
        <w:rPr>
          <w:sz w:val="21"/>
        </w:rPr>
        <w:t xml:space="preserve"> major banks </w:t>
      </w:r>
      <w:r>
        <w:rPr>
          <w:sz w:val="21"/>
        </w:rPr>
        <w:t xml:space="preserve">have </w:t>
      </w:r>
      <w:r w:rsidR="00E372BE">
        <w:rPr>
          <w:sz w:val="21"/>
        </w:rPr>
        <w:t>had</w:t>
      </w:r>
      <w:r w:rsidR="00E372BE" w:rsidRPr="00053F10">
        <w:rPr>
          <w:sz w:val="21"/>
        </w:rPr>
        <w:t xml:space="preserve"> </w:t>
      </w:r>
      <w:r w:rsidRPr="00053F10">
        <w:rPr>
          <w:sz w:val="21"/>
        </w:rPr>
        <w:t xml:space="preserve">lower funding costs </w:t>
      </w:r>
      <w:r w:rsidR="00602548">
        <w:rPr>
          <w:sz w:val="21"/>
        </w:rPr>
        <w:t xml:space="preserve">than smaller ADIs </w:t>
      </w:r>
      <w:r w:rsidRPr="00053F10">
        <w:rPr>
          <w:sz w:val="21"/>
        </w:rPr>
        <w:t>and higher returns on some loan assets</w:t>
      </w:r>
      <w:r>
        <w:rPr>
          <w:sz w:val="21"/>
        </w:rPr>
        <w:t xml:space="preserve"> over this period, they have </w:t>
      </w:r>
      <w:r w:rsidR="005C50CC">
        <w:rPr>
          <w:sz w:val="21"/>
        </w:rPr>
        <w:t xml:space="preserve">at the same time </w:t>
      </w:r>
      <w:r w:rsidRPr="00053F10">
        <w:rPr>
          <w:sz w:val="21"/>
        </w:rPr>
        <w:t>increased t</w:t>
      </w:r>
      <w:r w:rsidR="00436198">
        <w:rPr>
          <w:sz w:val="21"/>
        </w:rPr>
        <w:t>heir holdings of relatively low-</w:t>
      </w:r>
      <w:r w:rsidRPr="00053F10">
        <w:rPr>
          <w:sz w:val="21"/>
        </w:rPr>
        <w:t>yielding liquid assets</w:t>
      </w:r>
      <w:r w:rsidR="0096665E">
        <w:rPr>
          <w:sz w:val="21"/>
        </w:rPr>
        <w:t>,</w:t>
      </w:r>
      <w:r w:rsidR="00E372BE">
        <w:rPr>
          <w:sz w:val="21"/>
        </w:rPr>
        <w:t xml:space="preserve"> partly in respo</w:t>
      </w:r>
      <w:r w:rsidR="00851605">
        <w:rPr>
          <w:sz w:val="21"/>
        </w:rPr>
        <w:t>nse to regulation</w:t>
      </w:r>
      <w:sdt>
        <w:sdtPr>
          <w:rPr>
            <w:sz w:val="21"/>
          </w:rPr>
          <w:id w:val="990363276"/>
          <w:citation/>
        </w:sdtPr>
        <w:sdtEndPr/>
        <w:sdtContent>
          <w:r w:rsidR="00851605">
            <w:rPr>
              <w:sz w:val="21"/>
            </w:rPr>
            <w:fldChar w:fldCharType="begin"/>
          </w:r>
          <w:r w:rsidR="00851605">
            <w:rPr>
              <w:sz w:val="21"/>
            </w:rPr>
            <w:instrText xml:space="preserve"> CITATION Spe_2015_12_16 \l 3081 </w:instrText>
          </w:r>
          <w:r w:rsidR="00851605">
            <w:rPr>
              <w:sz w:val="21"/>
            </w:rPr>
            <w:fldChar w:fldCharType="separate"/>
          </w:r>
          <w:r w:rsidR="0018397C">
            <w:rPr>
              <w:noProof/>
              <w:sz w:val="21"/>
            </w:rPr>
            <w:t xml:space="preserve"> </w:t>
          </w:r>
          <w:r w:rsidR="0018397C" w:rsidRPr="0018397C">
            <w:rPr>
              <w:noProof/>
              <w:sz w:val="21"/>
            </w:rPr>
            <w:t>(Debelle 2015)</w:t>
          </w:r>
          <w:r w:rsidR="00851605">
            <w:rPr>
              <w:sz w:val="21"/>
            </w:rPr>
            <w:fldChar w:fldCharType="end"/>
          </w:r>
        </w:sdtContent>
      </w:sdt>
      <w:r w:rsidR="00851605">
        <w:rPr>
          <w:sz w:val="21"/>
        </w:rPr>
        <w:t>.</w:t>
      </w:r>
    </w:p>
    <w:tbl>
      <w:tblPr>
        <w:tblStyle w:val="TableGrid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FB3783" w:rsidRPr="004217E8" w14:paraId="7C285DE6" w14:textId="77777777" w:rsidTr="00EC6F22">
        <w:trPr>
          <w:jc w:val="center"/>
        </w:trPr>
        <w:tc>
          <w:tcPr>
            <w:tcW w:w="4365" w:type="dxa"/>
          </w:tcPr>
          <w:p w14:paraId="77953DF0" w14:textId="77777777" w:rsidR="00FB3783" w:rsidRDefault="00FB3783" w:rsidP="00EC6F22">
            <w:pPr>
              <w:pStyle w:val="GraphTitle"/>
            </w:pPr>
            <w:bookmarkStart w:id="13" w:name="_Ref492390792"/>
            <w:r>
              <w:t>Graph </w:t>
            </w:r>
            <w:fldSimple w:instr=" SEQ Graph \* ARABIC \* MERGEFORMAT ">
              <w:r w:rsidR="00032843">
                <w:rPr>
                  <w:noProof/>
                </w:rPr>
                <w:t>12</w:t>
              </w:r>
            </w:fldSimple>
            <w:bookmarkEnd w:id="13"/>
          </w:p>
          <w:p w14:paraId="33760EC8" w14:textId="77777777" w:rsidR="00FB3783" w:rsidRPr="00683FD3" w:rsidRDefault="00FB3783" w:rsidP="00EC6F22">
            <w:pPr>
              <w:keepNext/>
              <w:jc w:val="center"/>
              <w:rPr>
                <w:sz w:val="21"/>
                <w:szCs w:val="21"/>
              </w:rPr>
            </w:pPr>
            <w:r>
              <w:rPr>
                <w:noProof/>
              </w:rPr>
              <w:drawing>
                <wp:inline distT="0" distB="0" distL="0" distR="0" wp14:anchorId="33A748A0" wp14:editId="3399F692">
                  <wp:extent cx="2772000" cy="2520000"/>
                  <wp:effectExtent l="0" t="0" r="0" b="0"/>
                  <wp:docPr id="4" name="Picture 4" descr="G:\FS\_Dropbox\Banks’ Net Interest Margi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FS\_Dropbox\Banks’ Net Interest Margin.emf"/>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c>
          <w:tcPr>
            <w:tcW w:w="4365" w:type="dxa"/>
          </w:tcPr>
          <w:p w14:paraId="5321EC64" w14:textId="77777777" w:rsidR="00FB3783" w:rsidRDefault="00FB3783" w:rsidP="00EC6F22">
            <w:pPr>
              <w:pStyle w:val="GraphTitle"/>
            </w:pPr>
            <w:bookmarkStart w:id="14" w:name="_Ref493061835"/>
            <w:r>
              <w:t>Graph </w:t>
            </w:r>
            <w:fldSimple w:instr=" SEQ Graph \* ARABIC \* MERGEFORMAT ">
              <w:r w:rsidR="00032843">
                <w:rPr>
                  <w:noProof/>
                </w:rPr>
                <w:t>13</w:t>
              </w:r>
            </w:fldSimple>
            <w:bookmarkEnd w:id="14"/>
          </w:p>
          <w:p w14:paraId="57769B15" w14:textId="77777777" w:rsidR="00FB3783" w:rsidRPr="00683FD3" w:rsidRDefault="00FB3783" w:rsidP="00EC6F22">
            <w:pPr>
              <w:keepNext/>
              <w:jc w:val="both"/>
              <w:rPr>
                <w:sz w:val="21"/>
                <w:szCs w:val="21"/>
              </w:rPr>
            </w:pPr>
            <w:r>
              <w:rPr>
                <w:noProof/>
                <w:sz w:val="21"/>
                <w:szCs w:val="21"/>
              </w:rPr>
              <w:drawing>
                <wp:inline distT="0" distB="0" distL="0" distR="0" wp14:anchorId="34950DB7" wp14:editId="553BF4AE">
                  <wp:extent cx="2775600" cy="2520000"/>
                  <wp:effectExtent l="0" t="0" r="5715" b="0"/>
                  <wp:docPr id="38" name="Picture 38" descr="G:\FS\_Dropbox\Banks’ Net Interest Margin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G:\FS\_Dropbox\Banks’ Net Interest Margins.emf"/>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75600" cy="2520000"/>
                          </a:xfrm>
                          <a:prstGeom prst="rect">
                            <a:avLst/>
                          </a:prstGeom>
                          <a:noFill/>
                          <a:ln>
                            <a:noFill/>
                          </a:ln>
                        </pic:spPr>
                      </pic:pic>
                    </a:graphicData>
                  </a:graphic>
                </wp:inline>
              </w:drawing>
            </w:r>
          </w:p>
        </w:tc>
      </w:tr>
    </w:tbl>
    <w:p w14:paraId="7BC3A591" w14:textId="6ABAAE76" w:rsidR="00D859BE" w:rsidRDefault="00D859BE" w:rsidP="00FB3783">
      <w:pPr>
        <w:spacing w:before="120" w:after="120"/>
        <w:jc w:val="both"/>
        <w:rPr>
          <w:sz w:val="21"/>
        </w:rPr>
      </w:pPr>
      <w:r>
        <w:rPr>
          <w:sz w:val="21"/>
        </w:rPr>
        <w:t>In contrast to the relative</w:t>
      </w:r>
      <w:r w:rsidR="00436198">
        <w:rPr>
          <w:sz w:val="21"/>
        </w:rPr>
        <w:t>ly</w:t>
      </w:r>
      <w:r>
        <w:rPr>
          <w:sz w:val="21"/>
        </w:rPr>
        <w:t xml:space="preserve"> stable </w:t>
      </w:r>
      <w:r w:rsidR="00436198">
        <w:rPr>
          <w:sz w:val="21"/>
        </w:rPr>
        <w:t>NIM</w:t>
      </w:r>
      <w:r>
        <w:rPr>
          <w:sz w:val="21"/>
        </w:rPr>
        <w:t xml:space="preserve"> of the major banks, r</w:t>
      </w:r>
      <w:r w:rsidRPr="00053F10">
        <w:rPr>
          <w:sz w:val="21"/>
        </w:rPr>
        <w:t xml:space="preserve">egional banks have increased their </w:t>
      </w:r>
      <w:r>
        <w:rPr>
          <w:sz w:val="21"/>
        </w:rPr>
        <w:t>NIM</w:t>
      </w:r>
      <w:r w:rsidRPr="00053F10">
        <w:rPr>
          <w:sz w:val="21"/>
        </w:rPr>
        <w:t xml:space="preserve"> in recent years, partly reflect</w:t>
      </w:r>
      <w:r>
        <w:rPr>
          <w:sz w:val="21"/>
        </w:rPr>
        <w:t>ing</w:t>
      </w:r>
      <w:r w:rsidRPr="00053F10">
        <w:rPr>
          <w:sz w:val="21"/>
        </w:rPr>
        <w:t xml:space="preserve"> a decrease in their funding cost</w:t>
      </w:r>
      <w:r w:rsidR="00602548">
        <w:rPr>
          <w:sz w:val="21"/>
        </w:rPr>
        <w:t>s</w:t>
      </w:r>
      <w:r w:rsidRPr="00053F10">
        <w:rPr>
          <w:sz w:val="21"/>
        </w:rPr>
        <w:t>. Many banks are expecting an increase in their NIM as a result of increases in housing lending rates to investors and interest-on</w:t>
      </w:r>
      <w:r>
        <w:rPr>
          <w:sz w:val="21"/>
        </w:rPr>
        <w:t>ly borrowers in recent months.</w:t>
      </w:r>
    </w:p>
    <w:p w14:paraId="5F14ECB0" w14:textId="4BEFAE3F" w:rsidR="00206C7F" w:rsidRDefault="00206C7F" w:rsidP="00206C7F">
      <w:pPr>
        <w:tabs>
          <w:tab w:val="center" w:pos="4365"/>
        </w:tabs>
        <w:spacing w:after="120"/>
        <w:jc w:val="both"/>
        <w:rPr>
          <w:sz w:val="21"/>
        </w:rPr>
      </w:pPr>
      <w:r w:rsidRPr="00683FD3">
        <w:rPr>
          <w:sz w:val="21"/>
        </w:rPr>
        <w:t xml:space="preserve">Australian major banks’ </w:t>
      </w:r>
      <w:r w:rsidR="00436198">
        <w:rPr>
          <w:sz w:val="21"/>
        </w:rPr>
        <w:t>NIM</w:t>
      </w:r>
      <w:r w:rsidRPr="00683FD3">
        <w:rPr>
          <w:sz w:val="21"/>
        </w:rPr>
        <w:t xml:space="preserve"> </w:t>
      </w:r>
      <w:r w:rsidR="009E5820">
        <w:rPr>
          <w:sz w:val="21"/>
        </w:rPr>
        <w:t>is</w:t>
      </w:r>
      <w:r w:rsidR="009E5820" w:rsidRPr="00683FD3">
        <w:rPr>
          <w:sz w:val="21"/>
        </w:rPr>
        <w:t xml:space="preserve"> </w:t>
      </w:r>
      <w:r w:rsidRPr="00683FD3">
        <w:rPr>
          <w:sz w:val="21"/>
        </w:rPr>
        <w:t xml:space="preserve">in the range of </w:t>
      </w:r>
      <w:r w:rsidR="000E5687">
        <w:rPr>
          <w:sz w:val="21"/>
        </w:rPr>
        <w:t>the</w:t>
      </w:r>
      <w:r w:rsidR="009E5820" w:rsidRPr="00683FD3">
        <w:rPr>
          <w:sz w:val="21"/>
        </w:rPr>
        <w:t xml:space="preserve"> </w:t>
      </w:r>
      <w:r w:rsidRPr="00683FD3">
        <w:rPr>
          <w:sz w:val="21"/>
        </w:rPr>
        <w:t xml:space="preserve">large banks in other countries and </w:t>
      </w:r>
      <w:r w:rsidR="000E5687">
        <w:rPr>
          <w:sz w:val="21"/>
        </w:rPr>
        <w:t>is</w:t>
      </w:r>
      <w:r w:rsidR="000E5687" w:rsidRPr="00683FD3">
        <w:rPr>
          <w:sz w:val="21"/>
        </w:rPr>
        <w:t xml:space="preserve"> </w:t>
      </w:r>
      <w:r w:rsidRPr="00683FD3">
        <w:rPr>
          <w:sz w:val="21"/>
        </w:rPr>
        <w:t xml:space="preserve">close to </w:t>
      </w:r>
      <w:r w:rsidR="000E5687">
        <w:rPr>
          <w:sz w:val="21"/>
        </w:rPr>
        <w:t>that</w:t>
      </w:r>
      <w:r w:rsidR="000E5687" w:rsidRPr="00683FD3">
        <w:rPr>
          <w:sz w:val="21"/>
        </w:rPr>
        <w:t xml:space="preserve"> </w:t>
      </w:r>
      <w:r w:rsidRPr="00683FD3">
        <w:rPr>
          <w:sz w:val="21"/>
        </w:rPr>
        <w:t xml:space="preserve">of Canada’s large banks, which have similar asset and funding compositions to Australia’s major banks (as well as a similar </w:t>
      </w:r>
      <w:r w:rsidR="00BC436C">
        <w:rPr>
          <w:sz w:val="21"/>
        </w:rPr>
        <w:t>level of concentration</w:t>
      </w:r>
      <w:r w:rsidR="00D077F6" w:rsidRPr="009579FA">
        <w:rPr>
          <w:rStyle w:val="BodyTextChar"/>
        </w:rPr>
        <w:t>)(</w:t>
      </w:r>
      <w:r w:rsidR="00D077F6" w:rsidRPr="009579FA">
        <w:rPr>
          <w:rStyle w:val="BodyTextChar"/>
        </w:rPr>
        <w:fldChar w:fldCharType="begin"/>
      </w:r>
      <w:r w:rsidR="00D077F6" w:rsidRPr="009579FA">
        <w:rPr>
          <w:rStyle w:val="BodyTextChar"/>
        </w:rPr>
        <w:instrText xml:space="preserve"> REF _Ref493061835 \h </w:instrText>
      </w:r>
      <w:r w:rsidR="00673180">
        <w:rPr>
          <w:rStyle w:val="BodyTextChar"/>
        </w:rPr>
        <w:instrText xml:space="preserve"> \* MERGEFORMAT </w:instrText>
      </w:r>
      <w:r w:rsidR="00D077F6" w:rsidRPr="009579FA">
        <w:rPr>
          <w:rStyle w:val="BodyTextChar"/>
        </w:rPr>
      </w:r>
      <w:r w:rsidR="00D077F6" w:rsidRPr="009579FA">
        <w:rPr>
          <w:rStyle w:val="BodyTextChar"/>
        </w:rPr>
        <w:fldChar w:fldCharType="separate"/>
      </w:r>
      <w:r w:rsidR="00032843" w:rsidRPr="00032843">
        <w:rPr>
          <w:rStyle w:val="BodyTextChar"/>
        </w:rPr>
        <w:t>Graph 13</w:t>
      </w:r>
      <w:r w:rsidR="00D077F6" w:rsidRPr="009579FA">
        <w:rPr>
          <w:rStyle w:val="BodyTextChar"/>
        </w:rPr>
        <w:fldChar w:fldCharType="end"/>
      </w:r>
      <w:r w:rsidR="00BC436C" w:rsidRPr="009579FA">
        <w:rPr>
          <w:rStyle w:val="BodyTextChar"/>
        </w:rPr>
        <w:t>)</w:t>
      </w:r>
      <w:r w:rsidRPr="009579FA">
        <w:rPr>
          <w:rStyle w:val="BodyTextChar"/>
        </w:rPr>
        <w:t>.</w:t>
      </w:r>
      <w:r w:rsidRPr="00683FD3">
        <w:rPr>
          <w:sz w:val="21"/>
        </w:rPr>
        <w:t xml:space="preserve"> </w:t>
      </w:r>
      <w:r w:rsidR="0096665E">
        <w:rPr>
          <w:sz w:val="21"/>
        </w:rPr>
        <w:t xml:space="preserve">It is nonetheless higher than European and Japanese banks. </w:t>
      </w:r>
      <w:r w:rsidRPr="00683FD3">
        <w:rPr>
          <w:sz w:val="21"/>
        </w:rPr>
        <w:t xml:space="preserve">Once again, however, international comparisons need to be treated with some caution, because differences can reflect a range of factors, including the types of funding used and the riskiness and performance of loans granted. </w:t>
      </w:r>
    </w:p>
    <w:p w14:paraId="0CEF37B5" w14:textId="44A13A45" w:rsidR="000D0257" w:rsidRDefault="000D0257" w:rsidP="005C1EDC">
      <w:pPr>
        <w:spacing w:before="120" w:after="120"/>
        <w:jc w:val="both"/>
        <w:rPr>
          <w:sz w:val="21"/>
        </w:rPr>
      </w:pPr>
      <w:r w:rsidRPr="00053F10">
        <w:rPr>
          <w:sz w:val="21"/>
        </w:rPr>
        <w:t>Narrower measures of profitability, such as the spreads of lending rates to the cash rate</w:t>
      </w:r>
      <w:r w:rsidR="008577DE">
        <w:rPr>
          <w:sz w:val="21"/>
        </w:rPr>
        <w:t>,</w:t>
      </w:r>
      <w:r w:rsidRPr="00053F10">
        <w:rPr>
          <w:sz w:val="21"/>
        </w:rPr>
        <w:t xml:space="preserve"> have shown divergent trends in recent years</w:t>
      </w:r>
      <w:r w:rsidR="0024420D">
        <w:rPr>
          <w:sz w:val="21"/>
        </w:rPr>
        <w:t xml:space="preserve"> </w:t>
      </w:r>
      <w:r w:rsidR="0024420D" w:rsidRPr="009579FA">
        <w:rPr>
          <w:rStyle w:val="BodyTextChar"/>
        </w:rPr>
        <w:t>(</w:t>
      </w:r>
      <w:r w:rsidR="0024420D" w:rsidRPr="009579FA">
        <w:rPr>
          <w:rStyle w:val="BodyTextChar"/>
        </w:rPr>
        <w:fldChar w:fldCharType="begin"/>
      </w:r>
      <w:r w:rsidR="0024420D" w:rsidRPr="009579FA">
        <w:rPr>
          <w:rStyle w:val="BodyTextChar"/>
        </w:rPr>
        <w:instrText xml:space="preserve"> REF _Ref492391193 \h </w:instrText>
      </w:r>
      <w:r w:rsidR="00D0315B">
        <w:rPr>
          <w:rStyle w:val="BodyTextChar"/>
        </w:rPr>
        <w:instrText xml:space="preserve"> \* MERGEFORMAT </w:instrText>
      </w:r>
      <w:r w:rsidR="0024420D" w:rsidRPr="009579FA">
        <w:rPr>
          <w:rStyle w:val="BodyTextChar"/>
        </w:rPr>
      </w:r>
      <w:r w:rsidR="0024420D" w:rsidRPr="009579FA">
        <w:rPr>
          <w:rStyle w:val="BodyTextChar"/>
        </w:rPr>
        <w:fldChar w:fldCharType="separate"/>
      </w:r>
      <w:r w:rsidR="00032843" w:rsidRPr="00032843">
        <w:rPr>
          <w:rStyle w:val="BodyTextChar"/>
        </w:rPr>
        <w:t>Graph 14</w:t>
      </w:r>
      <w:r w:rsidR="0024420D" w:rsidRPr="009579FA">
        <w:rPr>
          <w:rStyle w:val="BodyTextChar"/>
        </w:rPr>
        <w:fldChar w:fldCharType="end"/>
      </w:r>
      <w:r w:rsidR="0024420D" w:rsidRPr="009579FA">
        <w:rPr>
          <w:rStyle w:val="BodyTextChar"/>
        </w:rPr>
        <w:t>)</w:t>
      </w:r>
      <w:r w:rsidRPr="009579FA">
        <w:rPr>
          <w:rStyle w:val="BodyTextChar"/>
        </w:rPr>
        <w:t>.</w:t>
      </w:r>
      <w:r w:rsidRPr="00053F10">
        <w:rPr>
          <w:sz w:val="21"/>
        </w:rPr>
        <w:t xml:space="preserve"> Over the past few years, the spread on large business lending has declined </w:t>
      </w:r>
      <w:r w:rsidR="00436198">
        <w:rPr>
          <w:sz w:val="21"/>
        </w:rPr>
        <w:t xml:space="preserve">as competition has emerged from foreign banks. </w:t>
      </w:r>
      <w:r w:rsidR="009F13BF">
        <w:rPr>
          <w:sz w:val="21"/>
        </w:rPr>
        <w:t>However, t</w:t>
      </w:r>
      <w:r w:rsidRPr="00053F10">
        <w:rPr>
          <w:sz w:val="21"/>
        </w:rPr>
        <w:t xml:space="preserve">he </w:t>
      </w:r>
      <w:r w:rsidR="00E31F5E">
        <w:rPr>
          <w:sz w:val="21"/>
        </w:rPr>
        <w:t xml:space="preserve">average </w:t>
      </w:r>
      <w:r w:rsidRPr="00053F10">
        <w:rPr>
          <w:sz w:val="21"/>
        </w:rPr>
        <w:t>spreads on small business and housing lending have risen</w:t>
      </w:r>
      <w:r w:rsidR="00E31F5E">
        <w:rPr>
          <w:sz w:val="21"/>
        </w:rPr>
        <w:t xml:space="preserve"> as lenders have increased interest rates to control the flow of lending to some borrowers and to recover </w:t>
      </w:r>
      <w:r w:rsidRPr="00053F10">
        <w:rPr>
          <w:sz w:val="21"/>
        </w:rPr>
        <w:t>the costs of higher capital holdings.</w:t>
      </w:r>
    </w:p>
    <w:p w14:paraId="5098DCEB" w14:textId="2A3FEFE8" w:rsidR="00490081" w:rsidRDefault="009F13BF" w:rsidP="005C1EDC">
      <w:pPr>
        <w:spacing w:before="120" w:after="120"/>
        <w:jc w:val="both"/>
        <w:rPr>
          <w:sz w:val="21"/>
          <w:szCs w:val="21"/>
          <w:vertAlign w:val="superscript"/>
        </w:rPr>
      </w:pPr>
      <w:r>
        <w:rPr>
          <w:sz w:val="21"/>
          <w:szCs w:val="21"/>
        </w:rPr>
        <w:t xml:space="preserve">While spreads on variable-rate home loans have been rising, </w:t>
      </w:r>
      <w:r w:rsidR="0063135C">
        <w:rPr>
          <w:sz w:val="21"/>
          <w:szCs w:val="21"/>
        </w:rPr>
        <w:t>once discounts are factored in</w:t>
      </w:r>
      <w:r w:rsidR="0024420D">
        <w:rPr>
          <w:sz w:val="21"/>
          <w:szCs w:val="21"/>
        </w:rPr>
        <w:t>,</w:t>
      </w:r>
      <w:r w:rsidR="0063135C">
        <w:rPr>
          <w:sz w:val="21"/>
          <w:szCs w:val="21"/>
        </w:rPr>
        <w:t xml:space="preserve"> </w:t>
      </w:r>
      <w:r>
        <w:rPr>
          <w:sz w:val="21"/>
          <w:szCs w:val="21"/>
        </w:rPr>
        <w:t>the rates offered by Australian banks are</w:t>
      </w:r>
      <w:r w:rsidR="00206C7F" w:rsidRPr="00683FD3">
        <w:rPr>
          <w:sz w:val="21"/>
          <w:szCs w:val="21"/>
        </w:rPr>
        <w:t xml:space="preserve"> within the range of those in o</w:t>
      </w:r>
      <w:r w:rsidR="00BC436C">
        <w:rPr>
          <w:sz w:val="21"/>
          <w:szCs w:val="21"/>
        </w:rPr>
        <w:t>ther advanced economies (</w:t>
      </w:r>
      <w:r w:rsidR="00BC436C">
        <w:rPr>
          <w:sz w:val="21"/>
          <w:szCs w:val="21"/>
        </w:rPr>
        <w:fldChar w:fldCharType="begin"/>
      </w:r>
      <w:r w:rsidR="00BC436C">
        <w:rPr>
          <w:sz w:val="21"/>
          <w:szCs w:val="21"/>
        </w:rPr>
        <w:instrText xml:space="preserve"> REF _Ref492390875 \h </w:instrText>
      </w:r>
      <w:r w:rsidR="00BC436C">
        <w:rPr>
          <w:sz w:val="21"/>
          <w:szCs w:val="21"/>
        </w:rPr>
      </w:r>
      <w:r w:rsidR="00BC436C">
        <w:rPr>
          <w:sz w:val="21"/>
          <w:szCs w:val="21"/>
        </w:rPr>
        <w:fldChar w:fldCharType="separate"/>
      </w:r>
      <w:r w:rsidR="00032843">
        <w:rPr>
          <w:noProof/>
        </w:rPr>
        <w:t>Graph 15</w:t>
      </w:r>
      <w:r w:rsidR="00BC436C">
        <w:rPr>
          <w:sz w:val="21"/>
          <w:szCs w:val="21"/>
        </w:rPr>
        <w:fldChar w:fldCharType="end"/>
      </w:r>
      <w:r w:rsidR="00206C7F" w:rsidRPr="00683FD3">
        <w:rPr>
          <w:sz w:val="21"/>
          <w:szCs w:val="21"/>
        </w:rPr>
        <w:t>.</w:t>
      </w:r>
      <w:r w:rsidR="00B533C6" w:rsidRPr="00B533C6">
        <w:rPr>
          <w:sz w:val="21"/>
          <w:szCs w:val="21"/>
          <w:vertAlign w:val="superscript"/>
        </w:rPr>
        <w:t xml:space="preserve"> </w:t>
      </w:r>
      <w:r w:rsidR="00B533C6" w:rsidRPr="00683FD3">
        <w:rPr>
          <w:sz w:val="21"/>
          <w:szCs w:val="21"/>
          <w:vertAlign w:val="superscript"/>
        </w:rPr>
        <w:footnoteReference w:id="9"/>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FB3783" w14:paraId="6584C1EB" w14:textId="77777777" w:rsidTr="00EC6F22">
        <w:trPr>
          <w:jc w:val="center"/>
        </w:trPr>
        <w:tc>
          <w:tcPr>
            <w:tcW w:w="4365" w:type="dxa"/>
          </w:tcPr>
          <w:p w14:paraId="5B0AEC5D" w14:textId="77777777" w:rsidR="00FB3783" w:rsidRDefault="00FB3783" w:rsidP="00EC6F22">
            <w:pPr>
              <w:pStyle w:val="GraphTitle"/>
              <w:rPr>
                <w:noProof/>
              </w:rPr>
            </w:pPr>
            <w:bookmarkStart w:id="15" w:name="_Ref492391193"/>
            <w:r>
              <w:rPr>
                <w:noProof/>
              </w:rPr>
              <w:t>Graph </w:t>
            </w:r>
            <w:r>
              <w:rPr>
                <w:noProof/>
              </w:rPr>
              <w:fldChar w:fldCharType="begin"/>
            </w:r>
            <w:r>
              <w:rPr>
                <w:noProof/>
              </w:rPr>
              <w:instrText xml:space="preserve"> SEQ Graph \* ARABIC \* MERGEFORMAT </w:instrText>
            </w:r>
            <w:r>
              <w:rPr>
                <w:noProof/>
              </w:rPr>
              <w:fldChar w:fldCharType="separate"/>
            </w:r>
            <w:r w:rsidR="00032843">
              <w:rPr>
                <w:noProof/>
              </w:rPr>
              <w:t>14</w:t>
            </w:r>
            <w:r>
              <w:rPr>
                <w:noProof/>
              </w:rPr>
              <w:fldChar w:fldCharType="end"/>
            </w:r>
            <w:bookmarkEnd w:id="15"/>
          </w:p>
          <w:p w14:paraId="4D1A9B21" w14:textId="77777777" w:rsidR="00FB3783" w:rsidRDefault="00FB3783" w:rsidP="00EC6F22">
            <w:pPr>
              <w:jc w:val="both"/>
              <w:rPr>
                <w:sz w:val="21"/>
              </w:rPr>
            </w:pPr>
            <w:r>
              <w:rPr>
                <w:noProof/>
              </w:rPr>
              <w:drawing>
                <wp:inline distT="0" distB="0" distL="0" distR="0" wp14:anchorId="3110393A" wp14:editId="56702C47">
                  <wp:extent cx="2768400" cy="2520000"/>
                  <wp:effectExtent l="0" t="0" r="0" b="0"/>
                  <wp:docPr id="36" name="Picture 36" descr="G:\FS\_Dropbox\Variable Interest Rate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G:\FS\_Dropbox\Variable Interest Rates.emf"/>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c>
          <w:tcPr>
            <w:tcW w:w="4365" w:type="dxa"/>
          </w:tcPr>
          <w:p w14:paraId="10BE17AF" w14:textId="77777777" w:rsidR="00FB3783" w:rsidRDefault="00FB3783" w:rsidP="00EC6F22">
            <w:pPr>
              <w:pStyle w:val="GraphTitle"/>
              <w:rPr>
                <w:noProof/>
              </w:rPr>
            </w:pPr>
            <w:bookmarkStart w:id="16" w:name="_Ref492390875"/>
            <w:r>
              <w:rPr>
                <w:noProof/>
              </w:rPr>
              <w:t>Graph </w:t>
            </w:r>
            <w:r>
              <w:rPr>
                <w:noProof/>
              </w:rPr>
              <w:fldChar w:fldCharType="begin"/>
            </w:r>
            <w:r>
              <w:rPr>
                <w:noProof/>
              </w:rPr>
              <w:instrText xml:space="preserve"> SEQ Graph \* ARABIC \* MERGEFORMAT </w:instrText>
            </w:r>
            <w:r>
              <w:rPr>
                <w:noProof/>
              </w:rPr>
              <w:fldChar w:fldCharType="separate"/>
            </w:r>
            <w:r w:rsidR="00032843">
              <w:rPr>
                <w:noProof/>
              </w:rPr>
              <w:t>15</w:t>
            </w:r>
            <w:r>
              <w:rPr>
                <w:noProof/>
              </w:rPr>
              <w:fldChar w:fldCharType="end"/>
            </w:r>
            <w:bookmarkEnd w:id="16"/>
          </w:p>
          <w:p w14:paraId="679F4E1E" w14:textId="77777777" w:rsidR="00FB3783" w:rsidRDefault="00FB3783" w:rsidP="00EC6F22">
            <w:pPr>
              <w:jc w:val="both"/>
              <w:rPr>
                <w:noProof/>
              </w:rPr>
            </w:pPr>
            <w:r>
              <w:rPr>
                <w:rFonts w:ascii="Calibri" w:hAnsi="Calibri"/>
                <w:noProof/>
                <w:sz w:val="21"/>
                <w:szCs w:val="21"/>
              </w:rPr>
              <w:drawing>
                <wp:inline distT="0" distB="0" distL="0" distR="0" wp14:anchorId="285F8134" wp14:editId="72EC6075">
                  <wp:extent cx="2768400" cy="2520000"/>
                  <wp:effectExtent l="0" t="0" r="0" b="0"/>
                  <wp:docPr id="37" name="Picture 37" descr="G:\FS\_Dropbox\Interest Spreads on Variable-rate Mortgage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G:\FS\_Dropbox\Interest Spreads on Variable-rate Mortgages.emf"/>
                          <pic:cNvPicPr preferRelativeResize="0">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r>
    </w:tbl>
    <w:p w14:paraId="3F6AB9B1" w14:textId="77777777" w:rsidR="00590F39" w:rsidRDefault="00590F39" w:rsidP="00590F39">
      <w:pPr>
        <w:pStyle w:val="Heading1"/>
      </w:pPr>
    </w:p>
    <w:p w14:paraId="6E59483A" w14:textId="77777777" w:rsidR="00590F39" w:rsidRDefault="00590F39">
      <w:pPr>
        <w:rPr>
          <w:rFonts w:ascii="Palatino Linotype" w:hAnsi="Palatino Linotype"/>
          <w:b/>
          <w:color w:val="007698"/>
          <w:sz w:val="28"/>
          <w:szCs w:val="28"/>
        </w:rPr>
      </w:pPr>
      <w:r>
        <w:br w:type="page"/>
      </w:r>
    </w:p>
    <w:p w14:paraId="5098DCEC" w14:textId="7C629E21" w:rsidR="00490081" w:rsidRDefault="00654634" w:rsidP="00805527">
      <w:pPr>
        <w:pStyle w:val="Heading1"/>
        <w:numPr>
          <w:ilvl w:val="0"/>
          <w:numId w:val="39"/>
        </w:numPr>
      </w:pPr>
      <w:r>
        <w:t>Recent Influences on the Competitive Environment</w:t>
      </w:r>
    </w:p>
    <w:p w14:paraId="02E9D745" w14:textId="40BAFBB5" w:rsidR="00BC3661" w:rsidRPr="00565777" w:rsidRDefault="00BC3661" w:rsidP="00BC3661">
      <w:pPr>
        <w:pStyle w:val="BodyText"/>
        <w:rPr>
          <w:b/>
        </w:rPr>
      </w:pPr>
      <w:r w:rsidRPr="00565777">
        <w:t xml:space="preserve">The potential sources of competition for the major banks include smaller ADIs, foreign banks and new entrants from outside the banking sector. However, the competitive </w:t>
      </w:r>
      <w:r w:rsidRPr="00BC3661">
        <w:t xml:space="preserve">pressure imposed by these sources </w:t>
      </w:r>
      <w:r w:rsidR="00602548">
        <w:t xml:space="preserve">has varied </w:t>
      </w:r>
      <w:r w:rsidRPr="00BC3661">
        <w:t>over time. This section considers three factors that have recently</w:t>
      </w:r>
      <w:r>
        <w:rPr>
          <w:b/>
        </w:rPr>
        <w:t xml:space="preserve"> </w:t>
      </w:r>
      <w:r>
        <w:t>influenced the level of competition</w:t>
      </w:r>
      <w:r w:rsidR="009A599A">
        <w:t>:</w:t>
      </w:r>
      <w:r>
        <w:t xml:space="preserve"> the funding cost di</w:t>
      </w:r>
      <w:r w:rsidR="00602548">
        <w:t xml:space="preserve">fferences between large and </w:t>
      </w:r>
      <w:r>
        <w:t>small ADIs; the significant contraction of the</w:t>
      </w:r>
      <w:r w:rsidR="008762E3" w:rsidRPr="008762E3">
        <w:t xml:space="preserve"> </w:t>
      </w:r>
      <w:r w:rsidR="008762E3">
        <w:t>r</w:t>
      </w:r>
      <w:r w:rsidR="008762E3" w:rsidRPr="008762E3">
        <w:t xml:space="preserve">esidential </w:t>
      </w:r>
      <w:r w:rsidR="008762E3">
        <w:t>m</w:t>
      </w:r>
      <w:r w:rsidR="008762E3" w:rsidRPr="008762E3">
        <w:t>ortgage-backed securities</w:t>
      </w:r>
      <w:r>
        <w:t xml:space="preserve"> </w:t>
      </w:r>
      <w:r w:rsidR="008762E3">
        <w:t>(</w:t>
      </w:r>
      <w:r>
        <w:t>RMBS</w:t>
      </w:r>
      <w:r w:rsidR="008762E3">
        <w:t>)</w:t>
      </w:r>
      <w:r>
        <w:t xml:space="preserve"> market (which had supported lending by both smaller ADIs and mortgage originators prior to the crisis); and competition from foreign banks, which has been influential in some markets.</w:t>
      </w:r>
    </w:p>
    <w:p w14:paraId="25FDFA2A" w14:textId="6C8179B1" w:rsidR="00BC3661" w:rsidRDefault="00BC3661" w:rsidP="00BC3661">
      <w:pPr>
        <w:pStyle w:val="Heading2"/>
      </w:pPr>
      <w:r>
        <w:t xml:space="preserve">Funding </w:t>
      </w:r>
      <w:r w:rsidR="00F94EF8">
        <w:t>c</w:t>
      </w:r>
      <w:r>
        <w:t>osts</w:t>
      </w:r>
    </w:p>
    <w:p w14:paraId="1B72D9BA" w14:textId="77777777" w:rsidR="00BC3661" w:rsidRDefault="00BC3661" w:rsidP="00BC3661">
      <w:pPr>
        <w:pStyle w:val="BodyText"/>
      </w:pPr>
      <w:r>
        <w:t xml:space="preserve">The extent of competition between financial institutions is heavily influenced by conditions in funding markets – both through the effect on lending markets and the effect on banks’ relative funding costs. As funding conditions become more constrained or costly, competition in lending markets typically eases. This was seen during the global financial crisis when access to short- and long-term wholesale funding markets was highly restricted. </w:t>
      </w:r>
    </w:p>
    <w:p w14:paraId="405ADF5D" w14:textId="6A1F206E" w:rsidR="00BC3661" w:rsidRDefault="00BC3661" w:rsidP="00E372BE">
      <w:pPr>
        <w:pStyle w:val="BodyText"/>
      </w:pPr>
      <w:r>
        <w:t xml:space="preserve">In addition, </w:t>
      </w:r>
      <w:r w:rsidR="00920661">
        <w:t>smaller banks’ funding costs rose relative to the major banks through the crisis, reflecting</w:t>
      </w:r>
      <w:r>
        <w:t xml:space="preserve"> different fundin</w:t>
      </w:r>
      <w:r w:rsidR="00920661">
        <w:t>g mixes and perceptions of risk</w:t>
      </w:r>
      <w:r>
        <w:t xml:space="preserve"> </w:t>
      </w:r>
      <w:r w:rsidR="003C1053">
        <w:t>(</w:t>
      </w:r>
      <w:r w:rsidR="003C1053">
        <w:fldChar w:fldCharType="begin"/>
      </w:r>
      <w:r w:rsidR="003C1053">
        <w:instrText xml:space="preserve"> REF _Ref492391282 \h </w:instrText>
      </w:r>
      <w:r w:rsidR="003C1053">
        <w:fldChar w:fldCharType="separate"/>
      </w:r>
      <w:r w:rsidR="00032843">
        <w:rPr>
          <w:noProof/>
        </w:rPr>
        <w:t>Graph 16</w:t>
      </w:r>
      <w:r w:rsidR="003C1053">
        <w:fldChar w:fldCharType="end"/>
      </w:r>
      <w:r w:rsidR="003C1053">
        <w:t>)</w:t>
      </w:r>
      <w:r>
        <w:t>. This has affected smaller banks’ profita</w:t>
      </w:r>
      <w:r w:rsidR="00571B57">
        <w:t>bility and capacity to compete</w:t>
      </w:r>
      <w:r w:rsidR="00A52D71">
        <w:t>.</w:t>
      </w:r>
      <w:r w:rsidR="00A52D71">
        <w:rPr>
          <w:rStyle w:val="FootnoteReference"/>
        </w:rPr>
        <w:footnoteReference w:id="10"/>
      </w:r>
      <w:r w:rsidR="00A52D71">
        <w:t xml:space="preserve"> Over recent years, the differential between the major banks’ and smaller banks’ funding costs, including deposit costs, has narrowed (</w:t>
      </w:r>
      <w:r w:rsidR="00A52D71">
        <w:fldChar w:fldCharType="begin"/>
      </w:r>
      <w:r w:rsidR="00A52D71">
        <w:instrText xml:space="preserve"> REF _Ref492391296 \h </w:instrText>
      </w:r>
      <w:r w:rsidR="00A52D71">
        <w:fldChar w:fldCharType="separate"/>
      </w:r>
      <w:r w:rsidR="00032843">
        <w:rPr>
          <w:noProof/>
        </w:rPr>
        <w:t>Graph 17</w:t>
      </w:r>
      <w:r w:rsidR="00A52D71">
        <w:fldChar w:fldCharType="end"/>
      </w:r>
      <w:r w:rsidR="00AB428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AB4285" w14:paraId="6DF4F585" w14:textId="77777777" w:rsidTr="00EC6F22">
        <w:tc>
          <w:tcPr>
            <w:tcW w:w="4365" w:type="dxa"/>
          </w:tcPr>
          <w:p w14:paraId="6C4830A7" w14:textId="77777777" w:rsidR="00AB4285" w:rsidRDefault="00AB4285" w:rsidP="00EC6F22">
            <w:pPr>
              <w:pStyle w:val="GraphTitle"/>
              <w:rPr>
                <w:noProof/>
              </w:rPr>
            </w:pPr>
            <w:bookmarkStart w:id="17" w:name="_Ref492391282"/>
            <w:r>
              <w:rPr>
                <w:noProof/>
              </w:rPr>
              <w:t>Graph </w:t>
            </w:r>
            <w:r>
              <w:rPr>
                <w:noProof/>
              </w:rPr>
              <w:fldChar w:fldCharType="begin"/>
            </w:r>
            <w:r>
              <w:rPr>
                <w:noProof/>
              </w:rPr>
              <w:instrText xml:space="preserve"> SEQ Graph \* ARABIC \* MERGEFORMAT </w:instrText>
            </w:r>
            <w:r>
              <w:rPr>
                <w:noProof/>
              </w:rPr>
              <w:fldChar w:fldCharType="separate"/>
            </w:r>
            <w:r w:rsidR="00032843">
              <w:rPr>
                <w:noProof/>
              </w:rPr>
              <w:t>16</w:t>
            </w:r>
            <w:r>
              <w:rPr>
                <w:noProof/>
              </w:rPr>
              <w:fldChar w:fldCharType="end"/>
            </w:r>
            <w:bookmarkEnd w:id="17"/>
          </w:p>
          <w:p w14:paraId="287F78F8" w14:textId="77777777" w:rsidR="00AB4285" w:rsidRDefault="00AB4285" w:rsidP="00EC6F22">
            <w:pPr>
              <w:pStyle w:val="BodyText"/>
              <w:keepNext/>
              <w:spacing w:after="0"/>
            </w:pPr>
            <w:r>
              <w:rPr>
                <w:noProof/>
              </w:rPr>
              <w:drawing>
                <wp:inline distT="0" distB="0" distL="0" distR="0" wp14:anchorId="697BF24A" wp14:editId="530AEE34">
                  <wp:extent cx="2768400" cy="2520000"/>
                  <wp:effectExtent l="0" t="0" r="0" b="0"/>
                  <wp:docPr id="39" name="Picture 39" descr="G:\FS\_Dropbox\Banks’ Debt Funding Cost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G:\FS\_Dropbox\Banks’ Debt Funding Costs.emf"/>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c>
          <w:tcPr>
            <w:tcW w:w="4365" w:type="dxa"/>
          </w:tcPr>
          <w:p w14:paraId="3D509723" w14:textId="77777777" w:rsidR="00AB4285" w:rsidRDefault="00AB4285" w:rsidP="00EC6F22">
            <w:pPr>
              <w:pStyle w:val="GraphTitle"/>
              <w:rPr>
                <w:noProof/>
              </w:rPr>
            </w:pPr>
            <w:bookmarkStart w:id="18" w:name="_Ref492391296"/>
            <w:r>
              <w:rPr>
                <w:noProof/>
              </w:rPr>
              <w:t>Graph </w:t>
            </w:r>
            <w:r>
              <w:rPr>
                <w:noProof/>
              </w:rPr>
              <w:fldChar w:fldCharType="begin"/>
            </w:r>
            <w:r>
              <w:rPr>
                <w:noProof/>
              </w:rPr>
              <w:instrText xml:space="preserve"> SEQ Graph \* ARABIC \* MERGEFORMAT </w:instrText>
            </w:r>
            <w:r>
              <w:rPr>
                <w:noProof/>
              </w:rPr>
              <w:fldChar w:fldCharType="separate"/>
            </w:r>
            <w:r w:rsidR="00032843">
              <w:rPr>
                <w:noProof/>
              </w:rPr>
              <w:t>17</w:t>
            </w:r>
            <w:r>
              <w:rPr>
                <w:noProof/>
              </w:rPr>
              <w:fldChar w:fldCharType="end"/>
            </w:r>
            <w:bookmarkEnd w:id="18"/>
          </w:p>
          <w:p w14:paraId="57C2F9C6" w14:textId="77777777" w:rsidR="00AB4285" w:rsidRDefault="00AB4285" w:rsidP="00EC6F22">
            <w:pPr>
              <w:pStyle w:val="BodyText"/>
              <w:keepNext/>
              <w:spacing w:after="0"/>
              <w:rPr>
                <w:noProof/>
              </w:rPr>
            </w:pPr>
            <w:r>
              <w:rPr>
                <w:noProof/>
              </w:rPr>
              <w:drawing>
                <wp:inline distT="0" distB="0" distL="0" distR="0" wp14:anchorId="65611B41" wp14:editId="595F68B3">
                  <wp:extent cx="2768400" cy="2520000"/>
                  <wp:effectExtent l="0" t="0" r="0" b="0"/>
                  <wp:docPr id="40" name="Picture 40" descr="G:\FS\_Dropbox\Deposit Cost.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FS\_Dropbox\Deposit Cost.emf"/>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8400" cy="2520000"/>
                          </a:xfrm>
                          <a:prstGeom prst="rect">
                            <a:avLst/>
                          </a:prstGeom>
                          <a:noFill/>
                          <a:ln>
                            <a:noFill/>
                          </a:ln>
                        </pic:spPr>
                      </pic:pic>
                    </a:graphicData>
                  </a:graphic>
                </wp:inline>
              </w:drawing>
            </w:r>
          </w:p>
        </w:tc>
      </w:tr>
    </w:tbl>
    <w:p w14:paraId="6BF15076" w14:textId="29D26C1B" w:rsidR="00BC3661" w:rsidRDefault="00BC3661" w:rsidP="00AB4285">
      <w:pPr>
        <w:pStyle w:val="BodyText"/>
        <w:spacing w:before="120"/>
      </w:pPr>
      <w:r>
        <w:t xml:space="preserve">Precisely attributing the difference in </w:t>
      </w:r>
      <w:r w:rsidR="0059533C">
        <w:t>funding costs between the major banks</w:t>
      </w:r>
      <w:r>
        <w:t xml:space="preserve"> and other Australian banks to any particular factor is not straightforward. It </w:t>
      </w:r>
      <w:r w:rsidR="00107FBD">
        <w:t xml:space="preserve">partly </w:t>
      </w:r>
      <w:r>
        <w:t>reflect</w:t>
      </w:r>
      <w:r w:rsidR="00107FBD">
        <w:t>s</w:t>
      </w:r>
      <w:r>
        <w:t xml:space="preserve"> factors such as economies of scale, diversification of business models and </w:t>
      </w:r>
      <w:r w:rsidR="00920661">
        <w:t xml:space="preserve">whether </w:t>
      </w:r>
      <w:r>
        <w:t xml:space="preserve">infrastructure and brand </w:t>
      </w:r>
      <w:r w:rsidR="007E0A8F">
        <w:t xml:space="preserve">reputation </w:t>
      </w:r>
      <w:r w:rsidR="00920661">
        <w:t>are well-established</w:t>
      </w:r>
      <w:r>
        <w:t xml:space="preserve">. For instance, smaller </w:t>
      </w:r>
      <w:r w:rsidR="0059533C">
        <w:t>banks</w:t>
      </w:r>
      <w:r>
        <w:t xml:space="preserve"> typically have less diversified funding sources th</w:t>
      </w:r>
      <w:r w:rsidR="001F5232">
        <w:t>an the major banks</w:t>
      </w:r>
      <w:sdt>
        <w:sdtPr>
          <w:id w:val="-951236404"/>
          <w:citation/>
        </w:sdtPr>
        <w:sdtEndPr/>
        <w:sdtContent>
          <w:r w:rsidR="001F5232">
            <w:fldChar w:fldCharType="begin"/>
          </w:r>
          <w:r w:rsidR="007F091C">
            <w:instrText xml:space="preserve">CITATION Sub14 \l 3081 </w:instrText>
          </w:r>
          <w:r w:rsidR="001F5232">
            <w:fldChar w:fldCharType="separate"/>
          </w:r>
          <w:r w:rsidR="0018397C">
            <w:rPr>
              <w:noProof/>
            </w:rPr>
            <w:t xml:space="preserve"> (RBA 2014b)</w:t>
          </w:r>
          <w:r w:rsidR="001F5232">
            <w:fldChar w:fldCharType="end"/>
          </w:r>
        </w:sdtContent>
      </w:sdt>
      <w:r w:rsidR="00E372BE">
        <w:t xml:space="preserve">. </w:t>
      </w:r>
    </w:p>
    <w:p w14:paraId="23A89FE7" w14:textId="45E0E6C4" w:rsidR="00BC3661" w:rsidRDefault="00BC3661" w:rsidP="00BC3661">
      <w:pPr>
        <w:pStyle w:val="BodyText"/>
      </w:pPr>
      <w:r>
        <w:t>Part of the difference in funding costs may reflect the value of an implicit subsidy from the Australian Government to the major banks, resulting from the perception that the major banks are ‘too big to fail’. The Government’s Major Bank Levy, the Financial Claims Scheme</w:t>
      </w:r>
      <w:r w:rsidR="00984D64">
        <w:t xml:space="preserve"> (FCS)</w:t>
      </w:r>
      <w:r>
        <w:t xml:space="preserve"> and a reduction in the benefits of using internal ratings-based credit risk modelling have </w:t>
      </w:r>
      <w:r w:rsidR="00602548">
        <w:t xml:space="preserve">increased </w:t>
      </w:r>
      <w:r>
        <w:t>the major banks</w:t>
      </w:r>
      <w:r w:rsidR="0084614E">
        <w:t>’</w:t>
      </w:r>
      <w:r>
        <w:t xml:space="preserve"> funding cost</w:t>
      </w:r>
      <w:r w:rsidR="00602548">
        <w:t>s relative to other ADIs</w:t>
      </w:r>
      <w:r w:rsidR="00FB3783">
        <w:t>.</w:t>
      </w:r>
    </w:p>
    <w:p w14:paraId="7B26E117" w14:textId="77777777" w:rsidR="00BC3661" w:rsidRDefault="00BC3661" w:rsidP="00F94EF8">
      <w:pPr>
        <w:pStyle w:val="Heading2"/>
      </w:pPr>
      <w:r>
        <w:t>Residential mortgage-backed securities</w:t>
      </w:r>
    </w:p>
    <w:p w14:paraId="1D962EF6" w14:textId="33429CF5" w:rsidR="00BC3661" w:rsidRDefault="00BC3661" w:rsidP="00BC3661">
      <w:pPr>
        <w:pStyle w:val="BodyText"/>
      </w:pPr>
      <w:r>
        <w:t>In the decade leading up to the financial crisis, securitisation became an important source of funding for the mortgage market</w:t>
      </w:r>
      <w:r w:rsidR="006769FA">
        <w:t xml:space="preserve"> (</w:t>
      </w:r>
      <w:r w:rsidR="006769FA">
        <w:fldChar w:fldCharType="begin"/>
      </w:r>
      <w:r w:rsidR="006769FA">
        <w:instrText xml:space="preserve"> REF _Ref492887890 \h </w:instrText>
      </w:r>
      <w:r w:rsidR="006769FA">
        <w:fldChar w:fldCharType="separate"/>
      </w:r>
      <w:r w:rsidR="00032843">
        <w:rPr>
          <w:noProof/>
        </w:rPr>
        <w:t>Graph 18</w:t>
      </w:r>
      <w:r w:rsidR="006769FA">
        <w:fldChar w:fldCharType="end"/>
      </w:r>
      <w:r w:rsidR="006769FA">
        <w:t>)</w:t>
      </w:r>
      <w:r>
        <w:t xml:space="preserve">. It was </w:t>
      </w:r>
      <w:r w:rsidR="0077135D">
        <w:t xml:space="preserve">used </w:t>
      </w:r>
      <w:r>
        <w:t xml:space="preserve">by a new class of mortgage lenders, known as mortgage originators, as well as smaller ADIs. </w:t>
      </w:r>
      <w:r w:rsidR="00286B5E">
        <w:t>T</w:t>
      </w:r>
      <w:r>
        <w:t>hese types of entities were not able to access unsecured funding markets on comparable terms to the major banks</w:t>
      </w:r>
      <w:r w:rsidR="00286B5E">
        <w:t xml:space="preserve"> and</w:t>
      </w:r>
      <w:r>
        <w:t xml:space="preserve"> </w:t>
      </w:r>
      <w:r w:rsidR="00286B5E">
        <w:t>could not</w:t>
      </w:r>
      <w:r>
        <w:t xml:space="preserve"> raise deposits. </w:t>
      </w:r>
      <w:r w:rsidR="00286B5E">
        <w:t>T</w:t>
      </w:r>
      <w:r>
        <w:t>hey</w:t>
      </w:r>
      <w:r w:rsidR="00286B5E">
        <w:t xml:space="preserve"> therefore</w:t>
      </w:r>
      <w:r>
        <w:t xml:space="preserve"> developed a </w:t>
      </w:r>
      <w:r w:rsidR="006A148D">
        <w:t>low-</w:t>
      </w:r>
      <w:r>
        <w:t>cost business model using securitisation funding and mobile lenders, which enabled them to undercut banks’ mortgage rates</w:t>
      </w:r>
      <w:sdt>
        <w:sdtPr>
          <w:id w:val="-432282924"/>
          <w:citation/>
        </w:sdtPr>
        <w:sdtEndPr/>
        <w:sdtContent>
          <w:r w:rsidR="00BD105F">
            <w:fldChar w:fldCharType="begin"/>
          </w:r>
          <w:r w:rsidR="007F091C">
            <w:instrText xml:space="preserve">CITATION Sub14 \l 3081 </w:instrText>
          </w:r>
          <w:r w:rsidR="00BD105F">
            <w:fldChar w:fldCharType="separate"/>
          </w:r>
          <w:r w:rsidR="0018397C">
            <w:rPr>
              <w:noProof/>
            </w:rPr>
            <w:t xml:space="preserve"> (RBA 2014b)</w:t>
          </w:r>
          <w:r w:rsidR="00BD105F">
            <w:fldChar w:fldCharType="end"/>
          </w:r>
        </w:sdtContent>
      </w:sdt>
      <w:r>
        <w:t xml:space="preserve">. </w:t>
      </w:r>
    </w:p>
    <w:p w14:paraId="465D07E5" w14:textId="75A5306F" w:rsidR="00BC3661" w:rsidRDefault="00BC3661" w:rsidP="00BC3661">
      <w:pPr>
        <w:pStyle w:val="BodyText"/>
      </w:pPr>
      <w:r>
        <w:t>As a result of the US sub-prime crisis, there was a reappraisal of the risks of investing in securitised products</w:t>
      </w:r>
      <w:r w:rsidR="00602548">
        <w:t xml:space="preserve"> globally, and this also affected Australian markets</w:t>
      </w:r>
      <w:r>
        <w:t>. Access to securitisation funding was curtailed and the cost of securitisation funding rose relative to other forms of funding</w:t>
      </w:r>
      <w:r w:rsidR="0021216B">
        <w:t>.</w:t>
      </w:r>
      <w:r>
        <w:t xml:space="preserve"> While </w:t>
      </w:r>
      <w:r w:rsidR="00602548">
        <w:t xml:space="preserve">the Australian </w:t>
      </w:r>
      <w:r w:rsidR="0059533C">
        <w:t>g</w:t>
      </w:r>
      <w:r>
        <w:t xml:space="preserve">overnment </w:t>
      </w:r>
      <w:r w:rsidR="00602548">
        <w:t xml:space="preserve">provided some </w:t>
      </w:r>
      <w:r>
        <w:t xml:space="preserve">support for the RMBS market </w:t>
      </w:r>
      <w:r w:rsidR="008B78D1">
        <w:t>to ensure</w:t>
      </w:r>
      <w:r>
        <w:t xml:space="preserve"> that it continued to function, issuance volumes were significantly reduced. Unlike ADIs, which have more diversified funding models and could switch into deposit funding, mortgage originators were left with limited funding volumes and were no longer able to compete on price. </w:t>
      </w:r>
    </w:p>
    <w:p w14:paraId="1A4A64AD" w14:textId="77777777" w:rsidR="005003A7" w:rsidRDefault="005003A7" w:rsidP="005003A7">
      <w:pPr>
        <w:pStyle w:val="GraphTitle"/>
        <w:rPr>
          <w:noProof/>
        </w:rPr>
      </w:pPr>
      <w:bookmarkStart w:id="19" w:name="_Ref492887890"/>
      <w:r>
        <w:rPr>
          <w:noProof/>
        </w:rPr>
        <w:t>Graph </w:t>
      </w:r>
      <w:r>
        <w:rPr>
          <w:noProof/>
        </w:rPr>
        <w:fldChar w:fldCharType="begin"/>
      </w:r>
      <w:r>
        <w:rPr>
          <w:noProof/>
        </w:rPr>
        <w:instrText xml:space="preserve"> SEQ Graph \* ARABIC \* MERGEFORMAT </w:instrText>
      </w:r>
      <w:r>
        <w:rPr>
          <w:noProof/>
        </w:rPr>
        <w:fldChar w:fldCharType="separate"/>
      </w:r>
      <w:r w:rsidR="00032843">
        <w:rPr>
          <w:noProof/>
        </w:rPr>
        <w:t>18</w:t>
      </w:r>
      <w:r>
        <w:rPr>
          <w:noProof/>
        </w:rPr>
        <w:fldChar w:fldCharType="end"/>
      </w:r>
      <w:bookmarkEnd w:id="19"/>
    </w:p>
    <w:p w14:paraId="6F2C8489" w14:textId="2E5FA78D" w:rsidR="005003A7" w:rsidRDefault="006546C4" w:rsidP="005003A7">
      <w:pPr>
        <w:pStyle w:val="BodyText"/>
        <w:jc w:val="center"/>
      </w:pPr>
      <w:r>
        <w:rPr>
          <w:noProof/>
        </w:rPr>
        <w:drawing>
          <wp:inline distT="0" distB="0" distL="0" distR="0" wp14:anchorId="5F24FF09" wp14:editId="3DBD2130">
            <wp:extent cx="2772000" cy="2520000"/>
            <wp:effectExtent l="0" t="0" r="0" b="0"/>
            <wp:docPr id="16" name="Picture 16" descr="\\san2\fsdata\FS\_Dropbox\Australian RMB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san2\fsdata\FS\_Dropbox\Australian RMBS.emf"/>
                    <pic:cNvPicPr preferRelativeResize="0">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p w14:paraId="7A04C9A9" w14:textId="5113B1B6" w:rsidR="00BC3661" w:rsidRDefault="00BC3661" w:rsidP="00BC3661">
      <w:pPr>
        <w:pStyle w:val="BodyText"/>
      </w:pPr>
      <w:r>
        <w:t>Use of the RMBS market as a source of funding has increased recently, mostly due to issuance by smaller ADIs and non-ADIs</w:t>
      </w:r>
      <w:r w:rsidR="00D25E54">
        <w:t>,</w:t>
      </w:r>
      <w:r>
        <w:t xml:space="preserve"> which have gained market share in the mortgage market. The increased use of RMBS is likely to be partly a reflection of accommodative financial conditions, which have resulted in stronger demand for</w:t>
      </w:r>
      <w:r w:rsidR="00602548">
        <w:t>,</w:t>
      </w:r>
      <w:r>
        <w:t xml:space="preserve"> and a declining cost of issuing</w:t>
      </w:r>
      <w:r w:rsidR="0059533C">
        <w:t>,</w:t>
      </w:r>
      <w:r>
        <w:t xml:space="preserve"> RMBS. However, RMBS costs remain higher than </w:t>
      </w:r>
      <w:r w:rsidR="005E2335">
        <w:t>before</w:t>
      </w:r>
      <w:r>
        <w:t xml:space="preserve"> the financial crisis and relative to other forms of funding. Growth in the market appears to be constrained by limited demand </w:t>
      </w:r>
      <w:r w:rsidR="00B2062E">
        <w:t xml:space="preserve">from </w:t>
      </w:r>
      <w:r w:rsidR="003E0384">
        <w:t xml:space="preserve">both </w:t>
      </w:r>
      <w:r>
        <w:t>domestic investors and non-residents, many of which prefer covered bonds</w:t>
      </w:r>
      <w:sdt>
        <w:sdtPr>
          <w:id w:val="1111633551"/>
          <w:citation/>
        </w:sdtPr>
        <w:sdtEndPr/>
        <w:sdtContent>
          <w:r w:rsidR="00BD105F">
            <w:fldChar w:fldCharType="begin"/>
          </w:r>
          <w:r w:rsidR="007F091C">
            <w:instrText xml:space="preserve">CITATION Sub14 \m Spe_2016_11_22 \l 3081 </w:instrText>
          </w:r>
          <w:r w:rsidR="00BD105F">
            <w:fldChar w:fldCharType="separate"/>
          </w:r>
          <w:r w:rsidR="0018397C">
            <w:rPr>
              <w:noProof/>
            </w:rPr>
            <w:t xml:space="preserve"> (RBA 2014b; Aylmer 2016)</w:t>
          </w:r>
          <w:r w:rsidR="00BD105F">
            <w:fldChar w:fldCharType="end"/>
          </w:r>
        </w:sdtContent>
      </w:sdt>
      <w:r w:rsidR="00BD105F">
        <w:t>.</w:t>
      </w:r>
      <w:r>
        <w:t xml:space="preserve"> Recent regulatory changes, which will take effect in 2018, have been designed to help improve the functioning and resilience of the s</w:t>
      </w:r>
      <w:r w:rsidR="002E4A2F">
        <w:t>ecuritisation market</w:t>
      </w:r>
      <w:sdt>
        <w:sdtPr>
          <w:id w:val="1604379611"/>
          <w:citation/>
        </w:sdtPr>
        <w:sdtEndPr/>
        <w:sdtContent>
          <w:r w:rsidR="002E4A2F">
            <w:fldChar w:fldCharType="begin"/>
          </w:r>
          <w:r w:rsidR="002E4A2F">
            <w:instrText xml:space="preserve"> CITATION Rev16 \l 3081 </w:instrText>
          </w:r>
          <w:r w:rsidR="002E4A2F">
            <w:fldChar w:fldCharType="separate"/>
          </w:r>
          <w:r w:rsidR="0018397C">
            <w:rPr>
              <w:noProof/>
            </w:rPr>
            <w:t xml:space="preserve"> (APRA 2016)</w:t>
          </w:r>
          <w:r w:rsidR="002E4A2F">
            <w:fldChar w:fldCharType="end"/>
          </w:r>
        </w:sdtContent>
      </w:sdt>
      <w:r>
        <w:t>.</w:t>
      </w:r>
    </w:p>
    <w:p w14:paraId="24B940B2" w14:textId="77777777" w:rsidR="00BC3661" w:rsidRDefault="00BC3661" w:rsidP="00F94EF8">
      <w:pPr>
        <w:pStyle w:val="Heading2"/>
      </w:pPr>
      <w:r>
        <w:t>Foreign banks</w:t>
      </w:r>
    </w:p>
    <w:p w14:paraId="71F3C082" w14:textId="7B6CE4F7" w:rsidR="00BC3661" w:rsidRDefault="00BC3661" w:rsidP="00BC3661">
      <w:pPr>
        <w:pStyle w:val="BodyText"/>
      </w:pPr>
      <w:r>
        <w:t xml:space="preserve">Foreign banks have played a role in shaping the competitive landscape in Australian banking markets since they were first allowed to enter in the mid 1980s. At the time, foreign banks were seen as a catalyst for competition for business and retail lending, although their entry had little initial effect on the latter (Fraser 1994). In the 1990s, the entry of foreign banks into the online deposit market saw </w:t>
      </w:r>
      <w:r w:rsidR="00602548">
        <w:t xml:space="preserve">a rise in competition, with </w:t>
      </w:r>
      <w:r>
        <w:t xml:space="preserve">deposit rates </w:t>
      </w:r>
      <w:r w:rsidR="001B22CA">
        <w:t xml:space="preserve">increasing </w:t>
      </w:r>
      <w:r>
        <w:t>relative to the cash rate. In the lead-up to the financial crisis, foreign banks expanded their market share in the commercial property sector as lending to this secto</w:t>
      </w:r>
      <w:r w:rsidR="002E4A2F">
        <w:t>r grew rapidly</w:t>
      </w:r>
      <w:sdt>
        <w:sdtPr>
          <w:id w:val="1939862627"/>
          <w:citation/>
        </w:sdtPr>
        <w:sdtEndPr/>
        <w:sdtContent>
          <w:r w:rsidR="002E4A2F">
            <w:fldChar w:fldCharType="begin"/>
          </w:r>
          <w:r w:rsidR="007F091C">
            <w:instrText xml:space="preserve">CITATION Sub14 \l 3081 </w:instrText>
          </w:r>
          <w:r w:rsidR="002E4A2F">
            <w:fldChar w:fldCharType="separate"/>
          </w:r>
          <w:r w:rsidR="0018397C">
            <w:rPr>
              <w:noProof/>
            </w:rPr>
            <w:t xml:space="preserve"> (RBA 2014b)</w:t>
          </w:r>
          <w:r w:rsidR="002E4A2F">
            <w:fldChar w:fldCharType="end"/>
          </w:r>
        </w:sdtContent>
      </w:sdt>
      <w:r>
        <w:t xml:space="preserve">. More recently, foreign banks from Asia have competed </w:t>
      </w:r>
      <w:r w:rsidR="008B78D1">
        <w:t>strongly</w:t>
      </w:r>
      <w:r>
        <w:t xml:space="preserve"> i</w:t>
      </w:r>
      <w:r w:rsidR="00FE5AA2">
        <w:t>n</w:t>
      </w:r>
      <w:r>
        <w:t xml:space="preserve"> some segments of the business lending markets.</w:t>
      </w:r>
    </w:p>
    <w:p w14:paraId="2F2D1EE2" w14:textId="091CEC97" w:rsidR="00BC3661" w:rsidRDefault="000A732F" w:rsidP="00BC3661">
      <w:pPr>
        <w:pStyle w:val="BodyText"/>
      </w:pPr>
      <w:r>
        <w:t>T</w:t>
      </w:r>
      <w:r w:rsidR="00BC3661">
        <w:t>here have been few changes in foreign bank access or ownership rules i</w:t>
      </w:r>
      <w:r w:rsidR="008B78D1">
        <w:t>n recent decades</w:t>
      </w:r>
      <w:sdt>
        <w:sdtPr>
          <w:id w:val="-2108962965"/>
          <w:citation/>
        </w:sdtPr>
        <w:sdtEndPr/>
        <w:sdtContent>
          <w:r w:rsidR="002E4A2F">
            <w:fldChar w:fldCharType="begin"/>
          </w:r>
          <w:r w:rsidR="007F091C">
            <w:instrText xml:space="preserve">CITATION Sub14 \l 3081 </w:instrText>
          </w:r>
          <w:r w:rsidR="002E4A2F">
            <w:fldChar w:fldCharType="separate"/>
          </w:r>
          <w:r w:rsidR="0018397C">
            <w:rPr>
              <w:noProof/>
            </w:rPr>
            <w:t xml:space="preserve"> (RBA 2014b)</w:t>
          </w:r>
          <w:r w:rsidR="002E4A2F">
            <w:fldChar w:fldCharType="end"/>
          </w:r>
        </w:sdtContent>
      </w:sdt>
      <w:r w:rsidR="00BC3661">
        <w:t>. Instead, participation of foreign banks in Australian markets has been heavily influenced by conditions faced by their parent entiti</w:t>
      </w:r>
      <w:r w:rsidR="008B78D1">
        <w:t>es and in their home economies</w:t>
      </w:r>
      <w:r>
        <w:t>.</w:t>
      </w:r>
      <w:r w:rsidR="00BC3661">
        <w:t xml:space="preserve"> Prior to the financial crisis, European and US bank participation in Australian banking markets had increased rapidly as their home economies experienced strong growth. However, as a result of the crises in these regions, these institutions quickly reduced their Australian exposures. </w:t>
      </w:r>
    </w:p>
    <w:p w14:paraId="71068DE7" w14:textId="0C6C4D7F" w:rsidR="00BC3661" w:rsidRDefault="00BC3661" w:rsidP="00BC3661">
      <w:pPr>
        <w:pStyle w:val="BodyText"/>
      </w:pPr>
      <w:r>
        <w:t>More recently, as Asian economies have grown strongly, Asian banks have expanded overseas</w:t>
      </w:r>
      <w:r w:rsidR="00F75569">
        <w:t>,</w:t>
      </w:r>
      <w:r>
        <w:t xml:space="preserve"> including into Australia. </w:t>
      </w:r>
      <w:r w:rsidR="00AF0D0C">
        <w:t xml:space="preserve">As </w:t>
      </w:r>
      <w:r>
        <w:t xml:space="preserve">in previous cycles, </w:t>
      </w:r>
      <w:r w:rsidR="001E018C">
        <w:t xml:space="preserve">some </w:t>
      </w:r>
      <w:r>
        <w:t>f</w:t>
      </w:r>
      <w:r w:rsidR="008B78D1">
        <w:t>oreign banks have access to low-</w:t>
      </w:r>
      <w:r>
        <w:t>cost funding</w:t>
      </w:r>
      <w:r w:rsidR="001E018C">
        <w:t xml:space="preserve"> through their parent</w:t>
      </w:r>
      <w:r w:rsidR="00602548">
        <w:t xml:space="preserve"> </w:t>
      </w:r>
      <w:r w:rsidR="003729C6">
        <w:t xml:space="preserve">entity </w:t>
      </w:r>
      <w:r>
        <w:t xml:space="preserve">and are looking to expand their operations, </w:t>
      </w:r>
      <w:r w:rsidR="001E018C">
        <w:t xml:space="preserve">while others </w:t>
      </w:r>
      <w:r w:rsidR="00107FBD">
        <w:t xml:space="preserve">appear to </w:t>
      </w:r>
      <w:r w:rsidR="001E018C">
        <w:t xml:space="preserve">be </w:t>
      </w:r>
      <w:r>
        <w:t>accepting a lower return on equity than Australian banks</w:t>
      </w:r>
      <w:r w:rsidR="00347998">
        <w:t xml:space="preserve"> (</w:t>
      </w:r>
      <w:r w:rsidR="00347998">
        <w:fldChar w:fldCharType="begin"/>
      </w:r>
      <w:r w:rsidR="00347998">
        <w:instrText xml:space="preserve"> REF _Ref492391674 \h </w:instrText>
      </w:r>
      <w:r w:rsidR="00347998">
        <w:fldChar w:fldCharType="separate"/>
      </w:r>
      <w:r w:rsidR="00032843">
        <w:t>Graph </w:t>
      </w:r>
      <w:r w:rsidR="00032843">
        <w:rPr>
          <w:noProof/>
        </w:rPr>
        <w:t>19</w:t>
      </w:r>
      <w:r w:rsidR="00347998">
        <w:fldChar w:fldCharType="end"/>
      </w:r>
      <w:r w:rsidR="00347998">
        <w:t>)</w:t>
      </w:r>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tblGrid>
      <w:tr w:rsidR="0093667B" w14:paraId="11FB45DB" w14:textId="77777777" w:rsidTr="006510A8">
        <w:trPr>
          <w:jc w:val="center"/>
        </w:trPr>
        <w:tc>
          <w:tcPr>
            <w:tcW w:w="4365" w:type="dxa"/>
          </w:tcPr>
          <w:p w14:paraId="150E0F3D" w14:textId="77777777" w:rsidR="006510A8" w:rsidRDefault="00D90C1E" w:rsidP="00D90C1E">
            <w:pPr>
              <w:pStyle w:val="GraphTitle"/>
              <w:rPr>
                <w:noProof/>
              </w:rPr>
            </w:pPr>
            <w:bookmarkStart w:id="20" w:name="_Ref492391674"/>
            <w:r>
              <w:t>Graph </w:t>
            </w:r>
            <w:fldSimple w:instr=" SEQ Graph \* ARABIC \* MERGEFORMAT ">
              <w:r w:rsidR="00032843">
                <w:rPr>
                  <w:noProof/>
                </w:rPr>
                <w:t>19</w:t>
              </w:r>
            </w:fldSimple>
            <w:bookmarkEnd w:id="20"/>
          </w:p>
          <w:p w14:paraId="38A0F59C" w14:textId="2D10D74A" w:rsidR="0093667B" w:rsidRDefault="004839DC" w:rsidP="004839DC">
            <w:pPr>
              <w:pStyle w:val="GraphTitle"/>
              <w:spacing w:before="0" w:after="0"/>
            </w:pPr>
            <w:r>
              <w:rPr>
                <w:noProof/>
              </w:rPr>
              <w:drawing>
                <wp:inline distT="0" distB="0" distL="0" distR="0" wp14:anchorId="7994CA67" wp14:editId="24764CDF">
                  <wp:extent cx="2772000" cy="2520000"/>
                  <wp:effectExtent l="0" t="0" r="0" b="0"/>
                  <wp:docPr id="19" name="Picture 19" descr="\\san2\fsdata\FS\_Dropbox\Banks’ Debt Funding Costs 2.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san2\fsdata\FS\_Dropbox\Banks’ Debt Funding Costs 2.emf"/>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6E8A8DEA" w14:textId="5C5AC948" w:rsidR="00BC3661" w:rsidRDefault="00BC3661" w:rsidP="00B80C96">
      <w:pPr>
        <w:pStyle w:val="BodyText"/>
        <w:spacing w:before="120"/>
        <w:jc w:val="left"/>
      </w:pPr>
      <w:r>
        <w:t xml:space="preserve">Foreign ownership limits on Australian major banks have been </w:t>
      </w:r>
      <w:r w:rsidR="002B6A2A">
        <w:t>confirmed by successive Australian governments since the Wallis Inquiry in 1997</w:t>
      </w:r>
      <w:r>
        <w:t>. Furthermore, the ownership structure of the banking system is not a critical determin</w:t>
      </w:r>
      <w:r w:rsidR="0059533C">
        <w:t>ant</w:t>
      </w:r>
      <w:r>
        <w:t xml:space="preserve"> of the level of competition. There are also significant hurdles to allowing substantial foreign banks to operate in retail markets</w:t>
      </w:r>
      <w:sdt>
        <w:sdtPr>
          <w:id w:val="1693102852"/>
          <w:citation/>
        </w:sdtPr>
        <w:sdtEndPr/>
        <w:sdtContent>
          <w:r w:rsidR="002E4A2F">
            <w:fldChar w:fldCharType="begin"/>
          </w:r>
          <w:r w:rsidR="007F091C">
            <w:instrText xml:space="preserve">CITATION Dav07 \m Sub14 \l 3081 </w:instrText>
          </w:r>
          <w:r w:rsidR="002E4A2F">
            <w:fldChar w:fldCharType="separate"/>
          </w:r>
          <w:r w:rsidR="0018397C">
            <w:rPr>
              <w:noProof/>
            </w:rPr>
            <w:t xml:space="preserve"> (Davis 2007; RBA 2014b)</w:t>
          </w:r>
          <w:r w:rsidR="002E4A2F">
            <w:fldChar w:fldCharType="end"/>
          </w:r>
        </w:sdtContent>
      </w:sdt>
      <w:r w:rsidR="00C00DD1">
        <w:t>.</w:t>
      </w:r>
    </w:p>
    <w:p w14:paraId="2F124437" w14:textId="77777777" w:rsidR="005B6748" w:rsidRDefault="005B6748">
      <w:pPr>
        <w:rPr>
          <w:rFonts w:ascii="Palatino Linotype" w:hAnsi="Palatino Linotype"/>
          <w:b/>
          <w:color w:val="007698"/>
          <w:sz w:val="28"/>
          <w:szCs w:val="28"/>
        </w:rPr>
      </w:pPr>
      <w:r>
        <w:br w:type="page"/>
      </w:r>
    </w:p>
    <w:p w14:paraId="5098DCEF" w14:textId="2846615F" w:rsidR="00490081" w:rsidRDefault="00026F0B" w:rsidP="00026F0B">
      <w:pPr>
        <w:pStyle w:val="Heading1"/>
        <w:numPr>
          <w:ilvl w:val="0"/>
          <w:numId w:val="39"/>
        </w:numPr>
      </w:pPr>
      <w:r>
        <w:t>Deposits, Mortgages and SME Lending</w:t>
      </w:r>
    </w:p>
    <w:p w14:paraId="3EAD8F3D" w14:textId="6C9AC5DF" w:rsidR="00BC3661" w:rsidRDefault="00BC3661" w:rsidP="00BC3661">
      <w:pPr>
        <w:pStyle w:val="BodyText"/>
      </w:pPr>
      <w:r>
        <w:t xml:space="preserve">This section examines competition in the markets specifically identified in the Inquiry’s Terms of Reference – deposits, mortgage lending and SME lending. </w:t>
      </w:r>
    </w:p>
    <w:p w14:paraId="456D9C83" w14:textId="77777777" w:rsidR="00BC3661" w:rsidRDefault="00BC3661" w:rsidP="00BC3661">
      <w:pPr>
        <w:pStyle w:val="Heading2"/>
        <w:keepLines/>
        <w:numPr>
          <w:ilvl w:val="1"/>
          <w:numId w:val="20"/>
        </w:numPr>
      </w:pPr>
      <w:r>
        <w:t>Deposits</w:t>
      </w:r>
    </w:p>
    <w:p w14:paraId="191A3691" w14:textId="6B06BE68" w:rsidR="00BC3661" w:rsidRDefault="00BC3661" w:rsidP="00BC3661">
      <w:pPr>
        <w:pStyle w:val="BodyText"/>
      </w:pPr>
      <w:r>
        <w:t>Financial market conditions and banks’ access to wholesale funding markets have a large impact on deposit markets. As a result of these factors, competition for deposits intensified during the financial crisis, despite the market becoming more concentrated. As</w:t>
      </w:r>
      <w:r w:rsidR="0035577F">
        <w:t xml:space="preserve"> the supply of funding in </w:t>
      </w:r>
      <w:r>
        <w:t xml:space="preserve">wholesale markets </w:t>
      </w:r>
      <w:r w:rsidR="0035577F">
        <w:t xml:space="preserve">increased over recent years, </w:t>
      </w:r>
      <w:r>
        <w:t xml:space="preserve">competition for deposits has eased, although there are indications that a relatively high degree of competition has persisted. Some indicators of this include the high price of deposits relative to other forms of funding, low levels of fee income derived from deposits and a high level of investment in payment services that are attached to transactional deposits. </w:t>
      </w:r>
      <w:r w:rsidR="00DA351B">
        <w:t xml:space="preserve">Regulatory developments, </w:t>
      </w:r>
      <w:r>
        <w:t xml:space="preserve">such as </w:t>
      </w:r>
      <w:r w:rsidR="00DA351B">
        <w:t xml:space="preserve">the introduction of </w:t>
      </w:r>
      <w:r>
        <w:t xml:space="preserve">the </w:t>
      </w:r>
      <w:r w:rsidR="00984D64">
        <w:t>FCS</w:t>
      </w:r>
      <w:r>
        <w:t xml:space="preserve"> </w:t>
      </w:r>
      <w:r w:rsidR="00984D64">
        <w:t>and Basel l</w:t>
      </w:r>
      <w:r>
        <w:t>iquidity standard</w:t>
      </w:r>
      <w:r w:rsidR="00984D64">
        <w:t>s</w:t>
      </w:r>
      <w:r>
        <w:t>, have also bolstered competition for deposits. There are</w:t>
      </w:r>
      <w:r w:rsidR="008555D9">
        <w:t>,</w:t>
      </w:r>
      <w:r>
        <w:t xml:space="preserve"> nonetheless</w:t>
      </w:r>
      <w:r w:rsidR="008555D9">
        <w:t>,</w:t>
      </w:r>
      <w:r>
        <w:t xml:space="preserve"> some </w:t>
      </w:r>
      <w:r w:rsidR="00FA200E">
        <w:t>features of</w:t>
      </w:r>
      <w:r>
        <w:t xml:space="preserve"> deposit markets </w:t>
      </w:r>
      <w:r w:rsidR="00FA200E">
        <w:t xml:space="preserve">that indicate </w:t>
      </w:r>
      <w:r w:rsidR="00DA351B">
        <w:t>the strength of competition varies across products and across customers.</w:t>
      </w:r>
      <w:r>
        <w:t xml:space="preserve"> </w:t>
      </w:r>
      <w:r w:rsidR="00DA351B">
        <w:t xml:space="preserve">These </w:t>
      </w:r>
      <w:r>
        <w:t>includ</w:t>
      </w:r>
      <w:r w:rsidR="00DA351B">
        <w:t>e</w:t>
      </w:r>
      <w:r>
        <w:t xml:space="preserve"> the entry of foreign banks into wholesale but not retail deposit markets, pricing structures for retail deposits that favour new over existing depositors and the prevalence of bundling.  </w:t>
      </w:r>
    </w:p>
    <w:p w14:paraId="1DAC1E83" w14:textId="77777777" w:rsidR="00BC3661" w:rsidRDefault="00BC3661" w:rsidP="00BC3661">
      <w:pPr>
        <w:pStyle w:val="Heading3"/>
        <w:keepLines/>
        <w:numPr>
          <w:ilvl w:val="2"/>
          <w:numId w:val="20"/>
        </w:numPr>
      </w:pPr>
      <w:r>
        <w:t>Developments since the financial crisis</w:t>
      </w:r>
    </w:p>
    <w:p w14:paraId="6F1B4627" w14:textId="4BFA6959" w:rsidR="00BC3661" w:rsidRDefault="00BC3661" w:rsidP="00BC3661">
      <w:pPr>
        <w:pStyle w:val="BodyText"/>
      </w:pPr>
      <w:r>
        <w:t>Financial market conditions have a large impact on deposit markets</w:t>
      </w:r>
      <w:r w:rsidR="004839DC">
        <w:t xml:space="preserve"> (</w:t>
      </w:r>
      <w:r w:rsidR="004839DC">
        <w:fldChar w:fldCharType="begin"/>
      </w:r>
      <w:r w:rsidR="004839DC">
        <w:instrText xml:space="preserve"> REF _Ref492391689 \h </w:instrText>
      </w:r>
      <w:r w:rsidR="004839DC">
        <w:fldChar w:fldCharType="separate"/>
      </w:r>
      <w:r w:rsidR="00032843">
        <w:rPr>
          <w:noProof/>
        </w:rPr>
        <w:t>Graph 20</w:t>
      </w:r>
      <w:r w:rsidR="004839DC">
        <w:fldChar w:fldCharType="end"/>
      </w:r>
      <w:r w:rsidR="004839DC">
        <w:t>)</w:t>
      </w:r>
      <w:r>
        <w:t xml:space="preserve">. The </w:t>
      </w:r>
      <w:r w:rsidR="0035577F">
        <w:t>tighter supply</w:t>
      </w:r>
      <w:r>
        <w:t xml:space="preserve"> </w:t>
      </w:r>
      <w:r w:rsidR="00DA351B">
        <w:t xml:space="preserve">of funding </w:t>
      </w:r>
      <w:r>
        <w:t xml:space="preserve">in wholesale markets </w:t>
      </w:r>
      <w:r w:rsidR="0035577F">
        <w:t xml:space="preserve">and </w:t>
      </w:r>
      <w:r w:rsidR="003E0384">
        <w:t xml:space="preserve">a </w:t>
      </w:r>
      <w:r w:rsidR="0035577F">
        <w:t xml:space="preserve">push by creditors for banks to shift to longer-term and more stable sources of funding </w:t>
      </w:r>
      <w:r>
        <w:t>during the global financial crisis resulted in greater demand for domestic deposits, particularly from the major banks. In the post-crisis period, the funding composition of banks continued to shift significantly towards deposits. This was partly a result of a change in the preferences of depositors, as they shifted out of poorly performing assets. Banks also attracted deposits by increasing interest rates</w:t>
      </w:r>
      <w:r w:rsidR="004839DC">
        <w:t xml:space="preserve"> (</w:t>
      </w:r>
      <w:r w:rsidR="004839DC">
        <w:fldChar w:fldCharType="begin"/>
      </w:r>
      <w:r w:rsidR="004839DC">
        <w:instrText xml:space="preserve"> REF _Ref492391741 \h </w:instrText>
      </w:r>
      <w:r w:rsidR="004839DC">
        <w:fldChar w:fldCharType="separate"/>
      </w:r>
      <w:r w:rsidR="00032843">
        <w:rPr>
          <w:noProof/>
        </w:rPr>
        <w:t>Graph 21</w:t>
      </w:r>
      <w:r w:rsidR="004839DC">
        <w:fldChar w:fldCharType="end"/>
      </w:r>
      <w:r w:rsidR="004839DC">
        <w:t>)</w:t>
      </w:r>
      <w:r w:rsidR="00337170">
        <w:t>.</w:t>
      </w:r>
      <w:r>
        <w:t xml:space="preserve"> </w:t>
      </w:r>
      <w:r w:rsidR="00337170">
        <w:t>T</w:t>
      </w:r>
      <w:r>
        <w:t xml:space="preserve">he average interest rate paid on deposits </w:t>
      </w:r>
      <w:r w:rsidR="006B6C75">
        <w:t xml:space="preserve">relative to the cash rate </w:t>
      </w:r>
      <w:r w:rsidR="00337170">
        <w:t>rose by</w:t>
      </w:r>
      <w:r>
        <w:t xml:space="preserve"> around 2 percentage points </w:t>
      </w:r>
      <w:r w:rsidR="00337170">
        <w:t xml:space="preserve">from their level </w:t>
      </w:r>
      <w:r>
        <w:t>prior to the crisis</w:t>
      </w:r>
      <w:r w:rsidR="00337170">
        <w:t>, to be just below the level of the cash rate</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D90C1E" w14:paraId="53F25A17" w14:textId="77777777" w:rsidTr="006510A8">
        <w:trPr>
          <w:jc w:val="center"/>
        </w:trPr>
        <w:tc>
          <w:tcPr>
            <w:tcW w:w="4365" w:type="dxa"/>
          </w:tcPr>
          <w:p w14:paraId="7524CCB9" w14:textId="77777777" w:rsidR="00D90C1E" w:rsidRDefault="00D90C1E" w:rsidP="005C1EDC">
            <w:pPr>
              <w:pStyle w:val="GraphTitle"/>
              <w:keepNext w:val="0"/>
              <w:rPr>
                <w:noProof/>
              </w:rPr>
            </w:pPr>
            <w:bookmarkStart w:id="21" w:name="_Ref492391689"/>
            <w:r>
              <w:rPr>
                <w:noProof/>
              </w:rPr>
              <w:t>Graph </w:t>
            </w:r>
            <w:r>
              <w:rPr>
                <w:noProof/>
              </w:rPr>
              <w:fldChar w:fldCharType="begin"/>
            </w:r>
            <w:r>
              <w:rPr>
                <w:noProof/>
              </w:rPr>
              <w:instrText xml:space="preserve"> SEQ Graph \* ARABIC \* MERGEFORMAT </w:instrText>
            </w:r>
            <w:r>
              <w:rPr>
                <w:noProof/>
              </w:rPr>
              <w:fldChar w:fldCharType="separate"/>
            </w:r>
            <w:r w:rsidR="00032843">
              <w:rPr>
                <w:noProof/>
              </w:rPr>
              <w:t>20</w:t>
            </w:r>
            <w:r>
              <w:rPr>
                <w:noProof/>
              </w:rPr>
              <w:fldChar w:fldCharType="end"/>
            </w:r>
            <w:bookmarkEnd w:id="21"/>
          </w:p>
          <w:p w14:paraId="1FCEBE55" w14:textId="411EE2DB" w:rsidR="00D90C1E" w:rsidRDefault="004839DC" w:rsidP="005C1EDC">
            <w:pPr>
              <w:jc w:val="both"/>
              <w:rPr>
                <w:sz w:val="21"/>
              </w:rPr>
            </w:pPr>
            <w:r>
              <w:rPr>
                <w:noProof/>
                <w:sz w:val="21"/>
              </w:rPr>
              <w:drawing>
                <wp:inline distT="0" distB="0" distL="0" distR="0" wp14:anchorId="5650742D" wp14:editId="13303E65">
                  <wp:extent cx="2772000" cy="2520000"/>
                  <wp:effectExtent l="0" t="0" r="0" b="0"/>
                  <wp:docPr id="20" name="Picture 20" descr="\\san2\fsdata\FS\_Dropbox\Funding Composition of Banks in Australia.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san2\fsdata\FS\_Dropbox\Funding Composition of Banks in Australia.emf"/>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c>
          <w:tcPr>
            <w:tcW w:w="4365" w:type="dxa"/>
          </w:tcPr>
          <w:p w14:paraId="596896B9" w14:textId="77777777" w:rsidR="00D90C1E" w:rsidRDefault="00D90C1E" w:rsidP="005C1EDC">
            <w:pPr>
              <w:pStyle w:val="GraphTitle"/>
              <w:keepNext w:val="0"/>
              <w:rPr>
                <w:noProof/>
              </w:rPr>
            </w:pPr>
            <w:bookmarkStart w:id="22" w:name="_Ref492391741"/>
            <w:r>
              <w:rPr>
                <w:noProof/>
              </w:rPr>
              <w:t>Graph </w:t>
            </w:r>
            <w:r>
              <w:rPr>
                <w:noProof/>
              </w:rPr>
              <w:fldChar w:fldCharType="begin"/>
            </w:r>
            <w:r>
              <w:rPr>
                <w:noProof/>
              </w:rPr>
              <w:instrText xml:space="preserve"> SEQ Graph \* ARABIC \* MERGEFORMAT </w:instrText>
            </w:r>
            <w:r>
              <w:rPr>
                <w:noProof/>
              </w:rPr>
              <w:fldChar w:fldCharType="separate"/>
            </w:r>
            <w:r w:rsidR="00032843">
              <w:rPr>
                <w:noProof/>
              </w:rPr>
              <w:t>21</w:t>
            </w:r>
            <w:r>
              <w:rPr>
                <w:noProof/>
              </w:rPr>
              <w:fldChar w:fldCharType="end"/>
            </w:r>
            <w:bookmarkEnd w:id="22"/>
          </w:p>
          <w:p w14:paraId="1C6B1ADD" w14:textId="2163F6CD" w:rsidR="00D90C1E" w:rsidRDefault="004839DC" w:rsidP="005C1EDC">
            <w:pPr>
              <w:jc w:val="both"/>
              <w:rPr>
                <w:noProof/>
              </w:rPr>
            </w:pPr>
            <w:r>
              <w:rPr>
                <w:noProof/>
              </w:rPr>
              <w:drawing>
                <wp:inline distT="0" distB="0" distL="0" distR="0" wp14:anchorId="169AAF00" wp14:editId="665103A3">
                  <wp:extent cx="2772000" cy="2520000"/>
                  <wp:effectExtent l="0" t="0" r="0" b="0"/>
                  <wp:docPr id="23" name="Picture 23" descr="\\san2\fsdata\FS\_Dropbox\Deposit Interest Rate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san2\fsdata\FS\_Dropbox\Deposit Interest Rates.emf"/>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4D809802" w14:textId="290B42A0" w:rsidR="00872DB2" w:rsidRDefault="00337170" w:rsidP="00BC3661">
      <w:pPr>
        <w:pStyle w:val="BodyText"/>
      </w:pPr>
      <w:r>
        <w:t>However, s</w:t>
      </w:r>
      <w:r w:rsidR="00BC3661">
        <w:t>ince 2013 banks’ access to wholesale funding markets has improved</w:t>
      </w:r>
      <w:r w:rsidR="00426F02">
        <w:t>,</w:t>
      </w:r>
      <w:r>
        <w:t xml:space="preserve"> meaning that banks’ need to compete for deposits has reduced somewhat</w:t>
      </w:r>
      <w:r w:rsidR="00BC3661">
        <w:t xml:space="preserve">. This </w:t>
      </w:r>
      <w:r>
        <w:t>can be seen most clearly in the</w:t>
      </w:r>
      <w:r w:rsidR="00BC3661">
        <w:t xml:space="preserve"> decline in the indicative deposit rate relative to money market rates, although </w:t>
      </w:r>
      <w:r w:rsidR="00B31255">
        <w:t xml:space="preserve">the differential </w:t>
      </w:r>
      <w:r w:rsidR="00BC3661">
        <w:t>remain</w:t>
      </w:r>
      <w:r w:rsidR="00B31255">
        <w:t>s</w:t>
      </w:r>
      <w:r w:rsidR="00BC3661">
        <w:t xml:space="preserve"> higher than before the financial crisis</w:t>
      </w:r>
      <w:r w:rsidR="00347998">
        <w:t xml:space="preserve"> (</w:t>
      </w:r>
      <w:r w:rsidR="00347998">
        <w:fldChar w:fldCharType="begin"/>
      </w:r>
      <w:r w:rsidR="00347998">
        <w:instrText xml:space="preserve"> REF _Ref492391769 \h </w:instrText>
      </w:r>
      <w:r w:rsidR="00347998">
        <w:fldChar w:fldCharType="separate"/>
      </w:r>
      <w:r w:rsidR="00032843">
        <w:t>Graph </w:t>
      </w:r>
      <w:r w:rsidR="00032843">
        <w:rPr>
          <w:noProof/>
        </w:rPr>
        <w:t>22</w:t>
      </w:r>
      <w:r w:rsidR="00347998">
        <w:fldChar w:fldCharType="end"/>
      </w:r>
      <w:r w:rsidR="00347998">
        <w:t>)</w:t>
      </w:r>
      <w:r w:rsidR="00BC3661">
        <w:t>.</w:t>
      </w:r>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tblGrid>
      <w:tr w:rsidR="00D90C1E" w14:paraId="7C5E9FD3" w14:textId="77777777" w:rsidTr="006510A8">
        <w:trPr>
          <w:jc w:val="center"/>
        </w:trPr>
        <w:tc>
          <w:tcPr>
            <w:tcW w:w="4365" w:type="dxa"/>
          </w:tcPr>
          <w:p w14:paraId="120A2381" w14:textId="77777777" w:rsidR="00D90C1E" w:rsidRDefault="00D90C1E" w:rsidP="00D90C1E">
            <w:pPr>
              <w:pStyle w:val="GraphTitle"/>
            </w:pPr>
            <w:bookmarkStart w:id="23" w:name="_Ref492391769"/>
            <w:r>
              <w:t>Graph </w:t>
            </w:r>
            <w:fldSimple w:instr=" SEQ Graph \* ARABIC \* MERGEFORMAT ">
              <w:r w:rsidR="00032843">
                <w:rPr>
                  <w:noProof/>
                </w:rPr>
                <w:t>22</w:t>
              </w:r>
            </w:fldSimple>
            <w:bookmarkEnd w:id="23"/>
          </w:p>
          <w:p w14:paraId="2EDA00D4" w14:textId="51D45F03" w:rsidR="00D90C1E" w:rsidRPr="00D90C1E" w:rsidRDefault="004839DC" w:rsidP="004839DC">
            <w:pPr>
              <w:pStyle w:val="BodyText"/>
              <w:spacing w:after="0"/>
              <w:jc w:val="center"/>
            </w:pPr>
            <w:r>
              <w:rPr>
                <w:noProof/>
              </w:rPr>
              <w:drawing>
                <wp:inline distT="0" distB="0" distL="0" distR="0" wp14:anchorId="041AE041" wp14:editId="2935EB1F">
                  <wp:extent cx="2772000" cy="2520000"/>
                  <wp:effectExtent l="0" t="0" r="0" b="0"/>
                  <wp:docPr id="26" name="Picture 26" descr="\\san2\fsdata\FS\_Dropbox\Major Banks’ Deposit Rate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an2\fsdata\FS\_Dropbox\Major Banks’ Deposit Rates.emf"/>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0A9ECDE6" w14:textId="77777777" w:rsidR="00BC3661" w:rsidRDefault="00BC3661" w:rsidP="00BC3661">
      <w:pPr>
        <w:pStyle w:val="Heading3"/>
        <w:keepLines/>
        <w:numPr>
          <w:ilvl w:val="2"/>
          <w:numId w:val="20"/>
        </w:numPr>
      </w:pPr>
      <w:r>
        <w:t>New entrants</w:t>
      </w:r>
    </w:p>
    <w:p w14:paraId="094DB3C5" w14:textId="596DABE0" w:rsidR="00BC3661" w:rsidRDefault="00BC3661" w:rsidP="00BC3661">
      <w:pPr>
        <w:pStyle w:val="BodyText"/>
      </w:pPr>
      <w:r>
        <w:t xml:space="preserve">The entry of new banks following the Wallis Inquiry resulted in an intensification of competition in deposit markets, notably through foreign banks competing for the provision of online deposits. These products have remained in the market, although many banks have also maintained </w:t>
      </w:r>
      <w:r w:rsidR="0035577F">
        <w:t xml:space="preserve">branch </w:t>
      </w:r>
      <w:r>
        <w:t xml:space="preserve">networks to collect deposits. </w:t>
      </w:r>
    </w:p>
    <w:p w14:paraId="04F63D6C" w14:textId="40ACA31A" w:rsidR="00BC3661" w:rsidRDefault="00BC3661" w:rsidP="00BC3661">
      <w:pPr>
        <w:pStyle w:val="BodyText"/>
      </w:pPr>
      <w:r>
        <w:t xml:space="preserve">In </w:t>
      </w:r>
      <w:r w:rsidR="00DA351B">
        <w:t>the absence of further new entry</w:t>
      </w:r>
      <w:r>
        <w:t xml:space="preserve"> in the </w:t>
      </w:r>
      <w:r w:rsidRPr="00BA3BA3">
        <w:rPr>
          <w:i/>
        </w:rPr>
        <w:t>retail</w:t>
      </w:r>
      <w:r>
        <w:t xml:space="preserve"> deposit market</w:t>
      </w:r>
      <w:r w:rsidR="00DA351B">
        <w:t>,</w:t>
      </w:r>
      <w:r>
        <w:t xml:space="preserve"> the major banks have taken a larger market share of the deposit market since the financial crisis</w:t>
      </w:r>
      <w:r w:rsidR="00872DB2">
        <w:t xml:space="preserve"> (</w:t>
      </w:r>
      <w:r w:rsidR="00872DB2">
        <w:fldChar w:fldCharType="begin"/>
      </w:r>
      <w:r w:rsidR="00872DB2">
        <w:instrText xml:space="preserve"> REF _Ref492391811 \h </w:instrText>
      </w:r>
      <w:r w:rsidR="00872DB2">
        <w:fldChar w:fldCharType="separate"/>
      </w:r>
      <w:r w:rsidR="00032843">
        <w:rPr>
          <w:noProof/>
        </w:rPr>
        <w:t>Graph 23</w:t>
      </w:r>
      <w:r w:rsidR="00872DB2">
        <w:fldChar w:fldCharType="end"/>
      </w:r>
      <w:r w:rsidR="00872DB2">
        <w:t>)</w:t>
      </w:r>
      <w:r>
        <w:t>. Part of this increase in share is due to the acquisition of smaller ADIs</w:t>
      </w:r>
      <w:r w:rsidR="00C30CBA">
        <w:t xml:space="preserve">, but it </w:t>
      </w:r>
      <w:r>
        <w:t xml:space="preserve">is </w:t>
      </w:r>
      <w:r w:rsidR="00B014C5">
        <w:t xml:space="preserve">also </w:t>
      </w:r>
      <w:r>
        <w:t xml:space="preserve">in part cyclical. </w:t>
      </w:r>
      <w:r w:rsidR="00C30CBA">
        <w:t xml:space="preserve">Further, there appear to be </w:t>
      </w:r>
      <w:r>
        <w:t xml:space="preserve">greater natural and regulatory barriers to entry in the retail deposit market than in the wholesale market, such as the need to set up a subsidiary, establish a brand and meet </w:t>
      </w:r>
      <w:r w:rsidR="00C30CBA">
        <w:t>other</w:t>
      </w:r>
      <w:r>
        <w:t xml:space="preserve"> regulatory requirements. </w:t>
      </w:r>
    </w:p>
    <w:p w14:paraId="759F1C31" w14:textId="69511377" w:rsidR="00BC3661" w:rsidRDefault="003E0384" w:rsidP="00BC3661">
      <w:pPr>
        <w:pStyle w:val="BodyText"/>
      </w:pPr>
      <w:r>
        <w:t>While it is more difficult for</w:t>
      </w:r>
      <w:r w:rsidR="00BC3661">
        <w:t xml:space="preserve"> foreign bank entrants to </w:t>
      </w:r>
      <w:r>
        <w:t>compete for retail deposits, they</w:t>
      </w:r>
      <w:r w:rsidR="00BC3661">
        <w:t xml:space="preserve"> are able to raise </w:t>
      </w:r>
      <w:r w:rsidR="00BC3661" w:rsidRPr="00BA3BA3">
        <w:rPr>
          <w:i/>
        </w:rPr>
        <w:t xml:space="preserve">wholesale </w:t>
      </w:r>
      <w:r w:rsidR="00BC3661">
        <w:t>deposits (restricted to these by their licences</w:t>
      </w:r>
      <w:r w:rsidR="007E529B">
        <w:t>)</w:t>
      </w:r>
      <w:r w:rsidR="00BC3661">
        <w:t xml:space="preserve"> and have gained some market share</w:t>
      </w:r>
      <w:r w:rsidR="00872DB2">
        <w:t xml:space="preserve"> </w:t>
      </w:r>
      <w:r>
        <w:t xml:space="preserve">in this segment </w:t>
      </w:r>
      <w:r w:rsidR="00872DB2">
        <w:t>(</w:t>
      </w:r>
      <w:r w:rsidR="00872DB2">
        <w:fldChar w:fldCharType="begin"/>
      </w:r>
      <w:r w:rsidR="00872DB2">
        <w:instrText xml:space="preserve"> REF _Ref492391844 \h </w:instrText>
      </w:r>
      <w:r w:rsidR="00872DB2">
        <w:fldChar w:fldCharType="separate"/>
      </w:r>
      <w:r w:rsidR="00032843">
        <w:rPr>
          <w:noProof/>
        </w:rPr>
        <w:t>Graph 24</w:t>
      </w:r>
      <w:r w:rsidR="00872DB2">
        <w:fldChar w:fldCharType="end"/>
      </w:r>
      <w:r w:rsidR="00872DB2">
        <w:t>)</w:t>
      </w:r>
      <w:r w:rsidR="00BC3661">
        <w:t xml:space="preserve">. However, because they also have access to other funding options, including their parent entities, their demand for Australian dollar wholesale deposit funding is limited.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D90C1E" w14:paraId="41F49369" w14:textId="77777777" w:rsidTr="006510A8">
        <w:trPr>
          <w:jc w:val="center"/>
        </w:trPr>
        <w:tc>
          <w:tcPr>
            <w:tcW w:w="4365" w:type="dxa"/>
          </w:tcPr>
          <w:p w14:paraId="648CE074" w14:textId="77777777" w:rsidR="00D90C1E" w:rsidRDefault="00D90C1E" w:rsidP="00D90C1E">
            <w:pPr>
              <w:pStyle w:val="GraphTitle"/>
              <w:rPr>
                <w:noProof/>
              </w:rPr>
            </w:pPr>
            <w:bookmarkStart w:id="24" w:name="_Ref492391811"/>
            <w:r>
              <w:rPr>
                <w:noProof/>
              </w:rPr>
              <w:t>Graph </w:t>
            </w:r>
            <w:r>
              <w:rPr>
                <w:noProof/>
              </w:rPr>
              <w:fldChar w:fldCharType="begin"/>
            </w:r>
            <w:r>
              <w:rPr>
                <w:noProof/>
              </w:rPr>
              <w:instrText xml:space="preserve"> SEQ Graph \* ARABIC \* MERGEFORMAT </w:instrText>
            </w:r>
            <w:r>
              <w:rPr>
                <w:noProof/>
              </w:rPr>
              <w:fldChar w:fldCharType="separate"/>
            </w:r>
            <w:r w:rsidR="00032843">
              <w:rPr>
                <w:noProof/>
              </w:rPr>
              <w:t>23</w:t>
            </w:r>
            <w:r>
              <w:rPr>
                <w:noProof/>
              </w:rPr>
              <w:fldChar w:fldCharType="end"/>
            </w:r>
            <w:bookmarkEnd w:id="24"/>
          </w:p>
          <w:p w14:paraId="0B8BAF2A" w14:textId="73D23BCF" w:rsidR="00D90C1E" w:rsidRDefault="005C1EDC" w:rsidP="00D90C1E">
            <w:pPr>
              <w:jc w:val="both"/>
              <w:rPr>
                <w:sz w:val="21"/>
              </w:rPr>
            </w:pPr>
            <w:r>
              <w:rPr>
                <w:noProof/>
              </w:rPr>
              <w:drawing>
                <wp:inline distT="0" distB="0" distL="0" distR="0" wp14:anchorId="42A95306" wp14:editId="7DA8EFEB">
                  <wp:extent cx="2772000" cy="2520000"/>
                  <wp:effectExtent l="0" t="0" r="0" b="0"/>
                  <wp:docPr id="5" name="Picture 5" descr="G:\FS\_Dropbox\Major Banks Deposit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FS\_Dropbox\Major Banks Deposits.emf"/>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c>
          <w:tcPr>
            <w:tcW w:w="4365" w:type="dxa"/>
          </w:tcPr>
          <w:p w14:paraId="08CB9CC0" w14:textId="77777777" w:rsidR="00D90C1E" w:rsidRDefault="00D90C1E" w:rsidP="00D90C1E">
            <w:pPr>
              <w:pStyle w:val="GraphTitle"/>
              <w:rPr>
                <w:noProof/>
              </w:rPr>
            </w:pPr>
            <w:bookmarkStart w:id="25" w:name="_Ref492391844"/>
            <w:r>
              <w:rPr>
                <w:noProof/>
              </w:rPr>
              <w:t>Graph </w:t>
            </w:r>
            <w:r>
              <w:rPr>
                <w:noProof/>
              </w:rPr>
              <w:fldChar w:fldCharType="begin"/>
            </w:r>
            <w:r>
              <w:rPr>
                <w:noProof/>
              </w:rPr>
              <w:instrText xml:space="preserve"> SEQ Graph \* ARABIC \* MERGEFORMAT </w:instrText>
            </w:r>
            <w:r>
              <w:rPr>
                <w:noProof/>
              </w:rPr>
              <w:fldChar w:fldCharType="separate"/>
            </w:r>
            <w:r w:rsidR="00032843">
              <w:rPr>
                <w:noProof/>
              </w:rPr>
              <w:t>24</w:t>
            </w:r>
            <w:r>
              <w:rPr>
                <w:noProof/>
              </w:rPr>
              <w:fldChar w:fldCharType="end"/>
            </w:r>
            <w:bookmarkEnd w:id="25"/>
          </w:p>
          <w:p w14:paraId="064937F6" w14:textId="61F40F75" w:rsidR="00D90C1E" w:rsidRDefault="005C1EDC" w:rsidP="00D90C1E">
            <w:pPr>
              <w:jc w:val="both"/>
              <w:rPr>
                <w:noProof/>
              </w:rPr>
            </w:pPr>
            <w:r>
              <w:rPr>
                <w:noProof/>
              </w:rPr>
              <w:drawing>
                <wp:inline distT="0" distB="0" distL="0" distR="0" wp14:anchorId="2312B286" wp14:editId="2F158250">
                  <wp:extent cx="2772000" cy="2520000"/>
                  <wp:effectExtent l="0" t="0" r="0" b="0"/>
                  <wp:docPr id="7" name="Picture 7" descr="G:\FS\_Dropbox\Foreign Bank Deposit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FS\_Dropbox\Foreign Bank Deposits.emf"/>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2AA71CB8" w14:textId="649F1E25" w:rsidR="00BC3661" w:rsidRDefault="00BC3661" w:rsidP="00BC3661">
      <w:pPr>
        <w:pStyle w:val="Heading3"/>
        <w:keepLines/>
        <w:numPr>
          <w:ilvl w:val="2"/>
          <w:numId w:val="20"/>
        </w:numPr>
      </w:pPr>
      <w:r>
        <w:t xml:space="preserve">Price </w:t>
      </w:r>
      <w:r w:rsidR="00F94EF8">
        <w:t>c</w:t>
      </w:r>
      <w:r>
        <w:t>ompetition</w:t>
      </w:r>
    </w:p>
    <w:p w14:paraId="31AE7459" w14:textId="20C40B79" w:rsidR="00DD4352" w:rsidRDefault="00BC3661" w:rsidP="00BC3661">
      <w:pPr>
        <w:pStyle w:val="BodyText"/>
      </w:pPr>
      <w:r>
        <w:t xml:space="preserve">In addition to cyclical forces, deposit pricing is influenced by </w:t>
      </w:r>
      <w:r w:rsidR="00570B82">
        <w:t>the liquidity</w:t>
      </w:r>
      <w:r w:rsidR="005C1268">
        <w:t xml:space="preserve"> of deposits</w:t>
      </w:r>
      <w:r>
        <w:t xml:space="preserve">. </w:t>
      </w:r>
      <w:r w:rsidR="00DD4352">
        <w:t xml:space="preserve">Banks </w:t>
      </w:r>
      <w:r w:rsidR="00C30CBA">
        <w:t xml:space="preserve">face </w:t>
      </w:r>
      <w:r w:rsidR="00DD4352">
        <w:t>liquidity risk because the maturity of the</w:t>
      </w:r>
      <w:r w:rsidR="00C30CBA">
        <w:t>ir</w:t>
      </w:r>
      <w:r w:rsidR="00DD4352">
        <w:t xml:space="preserve"> liabilities, </w:t>
      </w:r>
      <w:r w:rsidR="00C30CBA">
        <w:t>including</w:t>
      </w:r>
      <w:r w:rsidR="00DD4352">
        <w:t xml:space="preserve"> deposits, is shorter than the maturity </w:t>
      </w:r>
      <w:r w:rsidR="00824E54">
        <w:t>of their assets, such as loans.</w:t>
      </w:r>
    </w:p>
    <w:p w14:paraId="680592D6" w14:textId="7CC37E4F" w:rsidR="00BC3661" w:rsidRDefault="00B5668F" w:rsidP="00BC3661">
      <w:pPr>
        <w:pStyle w:val="BodyText"/>
      </w:pPr>
      <w:r>
        <w:t xml:space="preserve">Banks </w:t>
      </w:r>
      <w:r w:rsidR="00DD4352">
        <w:t>pay higher interest rates on</w:t>
      </w:r>
      <w:r>
        <w:t xml:space="preserve"> deposits that </w:t>
      </w:r>
      <w:r w:rsidR="00DD4352">
        <w:t>expose them to less liquidity risk</w:t>
      </w:r>
      <w:r w:rsidR="00C30CBA">
        <w:t xml:space="preserve"> – that is,</w:t>
      </w:r>
      <w:r w:rsidR="00570B82">
        <w:t xml:space="preserve"> </w:t>
      </w:r>
      <w:r w:rsidR="00DD4352">
        <w:t xml:space="preserve">those that are </w:t>
      </w:r>
      <w:r w:rsidR="00570B82">
        <w:t>more stable and less likely to be withdrawn by the depositor</w:t>
      </w:r>
      <w:r w:rsidR="00DA5562">
        <w:t xml:space="preserve"> (</w:t>
      </w:r>
      <w:r w:rsidR="00DA5562">
        <w:fldChar w:fldCharType="begin"/>
      </w:r>
      <w:r w:rsidR="00DA5562">
        <w:instrText xml:space="preserve"> REF _Ref493161784 \h </w:instrText>
      </w:r>
      <w:r w:rsidR="00DA5562">
        <w:fldChar w:fldCharType="separate"/>
      </w:r>
      <w:r w:rsidR="00032843">
        <w:t>Table </w:t>
      </w:r>
      <w:r w:rsidR="00032843">
        <w:rPr>
          <w:noProof/>
        </w:rPr>
        <w:t>2</w:t>
      </w:r>
      <w:r w:rsidR="00DA5562">
        <w:fldChar w:fldCharType="end"/>
      </w:r>
      <w:r w:rsidR="00DA5562">
        <w:t>)</w:t>
      </w:r>
      <w:r w:rsidR="00570B82">
        <w:t xml:space="preserve">. </w:t>
      </w:r>
      <w:r w:rsidR="00BC3661">
        <w:t xml:space="preserve">Among other factors, this is influenced by type of </w:t>
      </w:r>
      <w:r w:rsidR="00C30CBA">
        <w:t xml:space="preserve">depositor </w:t>
      </w:r>
      <w:r w:rsidR="00BC3661">
        <w:t xml:space="preserve">(wholesale or retail), the term to maturity (at-call or term) and the purpose of the deposit (savings or transactional). </w:t>
      </w:r>
      <w:r w:rsidR="00C30CBA">
        <w:t xml:space="preserve">The </w:t>
      </w:r>
      <w:r w:rsidR="00570B82">
        <w:t>relative interest rates on deposits</w:t>
      </w:r>
      <w:r w:rsidR="00C30CBA">
        <w:t xml:space="preserve"> ha</w:t>
      </w:r>
      <w:r w:rsidR="008651E7">
        <w:t>ve</w:t>
      </w:r>
      <w:r w:rsidR="00C30CBA">
        <w:t xml:space="preserve"> also recently been influenced by liquidity regulations</w:t>
      </w:r>
      <w:r w:rsidR="00570B82">
        <w:t xml:space="preserve">, </w:t>
      </w:r>
      <w:r w:rsidR="003B4B66">
        <w:t>which treat</w:t>
      </w:r>
      <w:r w:rsidR="00DD4352">
        <w:t xml:space="preserve"> </w:t>
      </w:r>
      <w:r w:rsidR="00BC3661">
        <w:t>retail (households, small businesses and self-managed super</w:t>
      </w:r>
      <w:r w:rsidR="00984D64">
        <w:t>annuation</w:t>
      </w:r>
      <w:r w:rsidR="00BC3661">
        <w:t xml:space="preserve"> funds) and longer maturity deposits</w:t>
      </w:r>
      <w:r w:rsidR="00570B82">
        <w:t xml:space="preserve"> </w:t>
      </w:r>
      <w:r w:rsidR="003B4B66">
        <w:t xml:space="preserve">as </w:t>
      </w:r>
      <w:r w:rsidR="00570B82">
        <w:t>more stable than other deposit types</w:t>
      </w:r>
      <w:r w:rsidR="005C1268">
        <w:t xml:space="preserve"> </w:t>
      </w:r>
      <w:sdt>
        <w:sdtPr>
          <w:id w:val="-159697045"/>
          <w:citation/>
        </w:sdtPr>
        <w:sdtEndPr/>
        <w:sdtContent>
          <w:r w:rsidR="002E4A2F">
            <w:fldChar w:fldCharType="begin"/>
          </w:r>
          <w:r w:rsidR="002E4A2F">
            <w:instrText xml:space="preserve"> CITATION Bul_2017_06_05 \l 3081 </w:instrText>
          </w:r>
          <w:r w:rsidR="002E4A2F">
            <w:fldChar w:fldCharType="separate"/>
          </w:r>
          <w:r w:rsidR="0018397C">
            <w:rPr>
              <w:noProof/>
            </w:rPr>
            <w:t>(Atkin and Cheung 2017)</w:t>
          </w:r>
          <w:r w:rsidR="002E4A2F">
            <w:fldChar w:fldCharType="end"/>
          </w:r>
        </w:sdtContent>
      </w:sdt>
      <w:r w:rsidR="00BC3661">
        <w:t>.</w:t>
      </w:r>
      <w:r w:rsidR="00BC3661" w:rsidRPr="00373A3A">
        <w:t xml:space="preserve"> </w:t>
      </w:r>
      <w:r w:rsidR="00BC3661">
        <w:t xml:space="preserve">These regulations will tend to lead to differentiation in pricing across deposit types. </w:t>
      </w:r>
      <w:r w:rsidR="003B4B66">
        <w:t xml:space="preserve">Offsetting this to some degree is the fact that </w:t>
      </w:r>
      <w:r w:rsidR="00BC3661">
        <w:t xml:space="preserve">there appears to have been less price differentiation </w:t>
      </w:r>
      <w:r w:rsidR="003B4B66">
        <w:t xml:space="preserve">within some deposit categories </w:t>
      </w:r>
      <w:r w:rsidR="00BC3661">
        <w:t>since the financial crisis</w:t>
      </w:r>
      <w:r w:rsidR="003B4B66">
        <w:t>. This is</w:t>
      </w:r>
      <w:r w:rsidR="00BC3661">
        <w:t xml:space="preserve"> consistent with stronger deposit competition over this period </w:t>
      </w:r>
      <w:sdt>
        <w:sdtPr>
          <w:id w:val="-2100160526"/>
          <w:citation/>
        </w:sdtPr>
        <w:sdtEndPr/>
        <w:sdtContent>
          <w:r w:rsidR="002E4A2F">
            <w:fldChar w:fldCharType="begin"/>
          </w:r>
          <w:r w:rsidR="007F091C">
            <w:instrText xml:space="preserve">CITATION Sub14 \l 3081 </w:instrText>
          </w:r>
          <w:r w:rsidR="002E4A2F">
            <w:fldChar w:fldCharType="separate"/>
          </w:r>
          <w:r w:rsidR="0018397C">
            <w:rPr>
              <w:noProof/>
            </w:rPr>
            <w:t>(RBA 2014b)</w:t>
          </w:r>
          <w:r w:rsidR="002E4A2F">
            <w:fldChar w:fldCharType="end"/>
          </w:r>
        </w:sdtContent>
      </w:sdt>
      <w:r w:rsidR="002E4A2F">
        <w:t>.</w:t>
      </w:r>
    </w:p>
    <w:p w14:paraId="738C736C" w14:textId="77777777" w:rsidR="00DF196D" w:rsidRDefault="00DF196D" w:rsidP="00DF196D">
      <w:pPr>
        <w:pStyle w:val="BodyText"/>
      </w:pPr>
      <w:r>
        <w:t>ADIs that have access to the different segments of the deposit market can substitute between them, at least to some degree. For example,</w:t>
      </w:r>
      <w:r w:rsidRPr="00B5668F">
        <w:t xml:space="preserve"> </w:t>
      </w:r>
      <w:r>
        <w:t xml:space="preserve">the major banks have the greatest capacity to substitute since they can raise deposits in most segments of the deposit market. This substitutability ensures that the interest rates on most deposits tend to move together. </w:t>
      </w:r>
    </w:p>
    <w:p w14:paraId="018E5079" w14:textId="2CA58DF2" w:rsidR="00DF196D" w:rsidRDefault="00DF196D" w:rsidP="00DF196D">
      <w:pPr>
        <w:pStyle w:val="BodyText"/>
      </w:pPr>
      <w:r>
        <w:t>Retail depositors’ ability to assess which ADIs are offering the best deals in deposit markets has improved as comparison websites have developed. Furthermore, there is transparency in the terms and conditions that retail customers receive. Nevertheless, there are also pricing structures, such as introductory rates and temporary specials, which favour new over existing customers. These pricing structures are indicative of banks</w:t>
      </w:r>
      <w:r w:rsidR="00AB4285">
        <w:t>’ response to customer inertia.</w:t>
      </w:r>
    </w:p>
    <w:p w14:paraId="52647940" w14:textId="77777777" w:rsidR="00DF196D" w:rsidRDefault="00DF196D" w:rsidP="00BC3661">
      <w:pPr>
        <w:pStyle w:val="BodyText"/>
      </w:pPr>
    </w:p>
    <w:p w14:paraId="55A35E34" w14:textId="570288BF" w:rsidR="00DA5562" w:rsidRDefault="00DA5562" w:rsidP="005C1EDC">
      <w:pPr>
        <w:pStyle w:val="TableTitle"/>
      </w:pPr>
      <w:bookmarkStart w:id="26" w:name="_Ref493161784"/>
      <w:r>
        <w:t>Table </w:t>
      </w:r>
      <w:fldSimple w:instr=" SEQ Table \* ARABIC \* MERGEFORMAT ">
        <w:r w:rsidR="00032843">
          <w:rPr>
            <w:noProof/>
          </w:rPr>
          <w:t>2</w:t>
        </w:r>
      </w:fldSimple>
      <w:bookmarkEnd w:id="26"/>
      <w:r>
        <w:t>: Distribution of Australian Dollar Deposits</w:t>
      </w:r>
    </w:p>
    <w:p w14:paraId="72660B92" w14:textId="73946CD1" w:rsidR="008202F9" w:rsidRPr="00272DBF" w:rsidRDefault="00DA5562" w:rsidP="005C1EDC">
      <w:pPr>
        <w:pStyle w:val="TableSubtitle"/>
      </w:pPr>
      <w:r>
        <w:t>By counterparty and type, at July 2017</w:t>
      </w:r>
    </w:p>
    <w:tbl>
      <w:tblPr>
        <w:tblStyle w:val="TableGrid21"/>
        <w:tblW w:w="4665" w:type="pct"/>
        <w:jc w:val="center"/>
        <w:tblCellMar>
          <w:top w:w="85" w:type="dxa"/>
          <w:left w:w="170" w:type="dxa"/>
          <w:bottom w:w="57" w:type="dxa"/>
          <w:right w:w="170" w:type="dxa"/>
        </w:tblCellMar>
        <w:tblLook w:val="04A0" w:firstRow="1" w:lastRow="0" w:firstColumn="1" w:lastColumn="0" w:noHBand="0" w:noVBand="1"/>
      </w:tblPr>
      <w:tblGrid>
        <w:gridCol w:w="1870"/>
        <w:gridCol w:w="1391"/>
        <w:gridCol w:w="1300"/>
        <w:gridCol w:w="1300"/>
        <w:gridCol w:w="1300"/>
        <w:gridCol w:w="1301"/>
      </w:tblGrid>
      <w:tr w:rsidR="008202F9" w:rsidRPr="00BA29E3" w14:paraId="27D13B36" w14:textId="77777777" w:rsidTr="005F5982">
        <w:trPr>
          <w:cantSplit/>
          <w:trHeight w:val="247"/>
          <w:tblHeader/>
          <w:jc w:val="center"/>
        </w:trPr>
        <w:tc>
          <w:tcPr>
            <w:tcW w:w="1105" w:type="pct"/>
            <w:tcBorders>
              <w:top w:val="single" w:sz="4" w:space="0" w:color="007698"/>
              <w:left w:val="nil"/>
              <w:bottom w:val="single" w:sz="4" w:space="0" w:color="007698"/>
              <w:right w:val="nil"/>
            </w:tcBorders>
            <w:shd w:val="clear" w:color="auto" w:fill="F2F8FA"/>
          </w:tcPr>
          <w:p w14:paraId="4FD6E1D0" w14:textId="77777777" w:rsidR="008202F9" w:rsidRPr="00BA29E3" w:rsidRDefault="008202F9" w:rsidP="005C1EDC">
            <w:pPr>
              <w:pStyle w:val="ColumnHeading2"/>
              <w:jc w:val="left"/>
              <w:rPr>
                <w:b/>
                <w:sz w:val="16"/>
              </w:rPr>
            </w:pPr>
          </w:p>
        </w:tc>
        <w:tc>
          <w:tcPr>
            <w:tcW w:w="822" w:type="pct"/>
            <w:tcBorders>
              <w:top w:val="single" w:sz="4" w:space="0" w:color="007698"/>
              <w:left w:val="nil"/>
              <w:bottom w:val="single" w:sz="4" w:space="0" w:color="007698"/>
              <w:right w:val="nil"/>
            </w:tcBorders>
            <w:shd w:val="clear" w:color="auto" w:fill="F2F8FA"/>
          </w:tcPr>
          <w:p w14:paraId="01A1D97C" w14:textId="77777777" w:rsidR="008202F9" w:rsidRDefault="008202F9" w:rsidP="005C1EDC">
            <w:pPr>
              <w:pStyle w:val="ColumnHeading1"/>
              <w:keepNext/>
            </w:pPr>
            <w:r>
              <w:t>Transaction</w:t>
            </w:r>
          </w:p>
          <w:p w14:paraId="39211342" w14:textId="77777777" w:rsidR="008202F9" w:rsidRPr="00AA14FD" w:rsidRDefault="008202F9" w:rsidP="005C1EDC">
            <w:pPr>
              <w:pStyle w:val="ColumnHeading2"/>
            </w:pPr>
            <w:r>
              <w:t>Per cent</w:t>
            </w:r>
          </w:p>
        </w:tc>
        <w:tc>
          <w:tcPr>
            <w:tcW w:w="768" w:type="pct"/>
            <w:tcBorders>
              <w:top w:val="single" w:sz="4" w:space="0" w:color="007698"/>
              <w:left w:val="nil"/>
              <w:bottom w:val="single" w:sz="4" w:space="0" w:color="007698"/>
              <w:right w:val="nil"/>
            </w:tcBorders>
            <w:shd w:val="clear" w:color="auto" w:fill="F2F8FA"/>
          </w:tcPr>
          <w:p w14:paraId="44ECA112" w14:textId="77777777" w:rsidR="008202F9" w:rsidRPr="006C0648" w:rsidRDefault="008202F9" w:rsidP="005C1EDC">
            <w:pPr>
              <w:pStyle w:val="ColumnHeading1"/>
              <w:keepNext/>
            </w:pPr>
            <w:r>
              <w:t>Savings</w:t>
            </w:r>
          </w:p>
          <w:p w14:paraId="44EC0987" w14:textId="77777777" w:rsidR="008202F9" w:rsidRPr="00760F4D" w:rsidRDefault="008202F9" w:rsidP="005C1EDC">
            <w:pPr>
              <w:pStyle w:val="ColumnHeading2"/>
            </w:pPr>
            <w:r>
              <w:t>Per cent</w:t>
            </w:r>
          </w:p>
        </w:tc>
        <w:tc>
          <w:tcPr>
            <w:tcW w:w="768" w:type="pct"/>
            <w:tcBorders>
              <w:top w:val="single" w:sz="4" w:space="0" w:color="007698"/>
              <w:left w:val="nil"/>
              <w:bottom w:val="single" w:sz="4" w:space="0" w:color="007698"/>
              <w:right w:val="nil"/>
            </w:tcBorders>
            <w:shd w:val="clear" w:color="auto" w:fill="F2F8FA"/>
          </w:tcPr>
          <w:p w14:paraId="2E365FA7" w14:textId="77777777" w:rsidR="008202F9" w:rsidRDefault="008202F9" w:rsidP="005C1EDC">
            <w:pPr>
              <w:pStyle w:val="ColumnHeading1"/>
              <w:keepNext/>
            </w:pPr>
            <w:r>
              <w:t>Term</w:t>
            </w:r>
          </w:p>
          <w:p w14:paraId="77005AD0" w14:textId="77777777" w:rsidR="008202F9" w:rsidRPr="00260536" w:rsidRDefault="008202F9" w:rsidP="005C1EDC">
            <w:pPr>
              <w:pStyle w:val="ColumnHeading2"/>
            </w:pPr>
            <w:r>
              <w:t>Per cent</w:t>
            </w:r>
          </w:p>
        </w:tc>
        <w:tc>
          <w:tcPr>
            <w:tcW w:w="768" w:type="pct"/>
            <w:tcBorders>
              <w:top w:val="single" w:sz="4" w:space="0" w:color="007698"/>
              <w:left w:val="nil"/>
              <w:bottom w:val="single" w:sz="4" w:space="0" w:color="007698"/>
              <w:right w:val="nil"/>
            </w:tcBorders>
            <w:shd w:val="clear" w:color="auto" w:fill="F2F8FA"/>
          </w:tcPr>
          <w:p w14:paraId="63A8D2E6" w14:textId="77777777" w:rsidR="008202F9" w:rsidRDefault="008202F9" w:rsidP="005C1EDC">
            <w:pPr>
              <w:pStyle w:val="ColumnHeading1"/>
              <w:keepNext/>
            </w:pPr>
            <w:r>
              <w:t>Total</w:t>
            </w:r>
          </w:p>
          <w:p w14:paraId="5EAFACA0" w14:textId="77777777" w:rsidR="008202F9" w:rsidRPr="008E52C3" w:rsidRDefault="008202F9" w:rsidP="005C1EDC">
            <w:pPr>
              <w:pStyle w:val="ColumnHeading2"/>
            </w:pPr>
            <w:r>
              <w:t>$ billion</w:t>
            </w:r>
          </w:p>
        </w:tc>
        <w:tc>
          <w:tcPr>
            <w:tcW w:w="769" w:type="pct"/>
            <w:tcBorders>
              <w:top w:val="single" w:sz="4" w:space="0" w:color="007698"/>
              <w:left w:val="nil"/>
              <w:bottom w:val="single" w:sz="4" w:space="0" w:color="007698"/>
              <w:right w:val="nil"/>
            </w:tcBorders>
            <w:shd w:val="clear" w:color="auto" w:fill="F2F8FA"/>
          </w:tcPr>
          <w:p w14:paraId="147E659F" w14:textId="77777777" w:rsidR="008202F9" w:rsidRDefault="008202F9" w:rsidP="005C1EDC">
            <w:pPr>
              <w:pStyle w:val="ColumnHeading1"/>
              <w:keepNext/>
            </w:pPr>
            <w:r>
              <w:t>Share</w:t>
            </w:r>
          </w:p>
          <w:p w14:paraId="500D4307" w14:textId="77777777" w:rsidR="008202F9" w:rsidRPr="009F13BF" w:rsidRDefault="008202F9" w:rsidP="005C1EDC">
            <w:pPr>
              <w:pStyle w:val="ColumnHeading2"/>
            </w:pPr>
            <w:r>
              <w:t>Per</w:t>
            </w:r>
            <w:r w:rsidRPr="009F13BF">
              <w:t xml:space="preserve"> cent</w:t>
            </w:r>
          </w:p>
        </w:tc>
      </w:tr>
      <w:tr w:rsidR="008202F9" w:rsidRPr="00BA29E3" w14:paraId="1244DDAE" w14:textId="77777777" w:rsidTr="005F5982">
        <w:trPr>
          <w:cantSplit/>
          <w:jc w:val="center"/>
        </w:trPr>
        <w:tc>
          <w:tcPr>
            <w:tcW w:w="1105" w:type="pct"/>
            <w:tcBorders>
              <w:top w:val="single" w:sz="4" w:space="0" w:color="007698"/>
              <w:left w:val="nil"/>
              <w:bottom w:val="single" w:sz="4" w:space="0" w:color="A6A6A6" w:themeColor="background1" w:themeShade="A6"/>
              <w:right w:val="nil"/>
            </w:tcBorders>
          </w:tcPr>
          <w:p w14:paraId="20D94E07" w14:textId="77777777" w:rsidR="008202F9" w:rsidRPr="008E52C3" w:rsidRDefault="008202F9" w:rsidP="005C1EDC">
            <w:pPr>
              <w:pStyle w:val="TableBody"/>
              <w:keepNext/>
              <w:ind w:left="142" w:hanging="142"/>
            </w:pPr>
            <w:r>
              <w:t>Household</w:t>
            </w:r>
          </w:p>
        </w:tc>
        <w:tc>
          <w:tcPr>
            <w:tcW w:w="822" w:type="pct"/>
            <w:tcBorders>
              <w:top w:val="single" w:sz="4" w:space="0" w:color="007698"/>
              <w:left w:val="nil"/>
              <w:bottom w:val="single" w:sz="4" w:space="0" w:color="A6A6A6" w:themeColor="background1" w:themeShade="A6"/>
              <w:right w:val="nil"/>
            </w:tcBorders>
          </w:tcPr>
          <w:p w14:paraId="4B9319FD" w14:textId="77777777" w:rsidR="008202F9" w:rsidRPr="00260536" w:rsidRDefault="008202F9" w:rsidP="005C1EDC">
            <w:pPr>
              <w:pStyle w:val="TableBody"/>
              <w:keepNext/>
              <w:jc w:val="right"/>
              <w:rPr>
                <w:szCs w:val="18"/>
              </w:rPr>
            </w:pPr>
            <w:r w:rsidRPr="00260536">
              <w:rPr>
                <w:szCs w:val="18"/>
              </w:rPr>
              <w:t>21</w:t>
            </w:r>
          </w:p>
        </w:tc>
        <w:tc>
          <w:tcPr>
            <w:tcW w:w="768" w:type="pct"/>
            <w:tcBorders>
              <w:top w:val="single" w:sz="4" w:space="0" w:color="007698"/>
              <w:left w:val="nil"/>
              <w:bottom w:val="single" w:sz="4" w:space="0" w:color="A6A6A6" w:themeColor="background1" w:themeShade="A6"/>
              <w:right w:val="nil"/>
            </w:tcBorders>
          </w:tcPr>
          <w:p w14:paraId="6558E8A2" w14:textId="77777777" w:rsidR="008202F9" w:rsidRPr="00260536" w:rsidRDefault="008202F9" w:rsidP="005C1EDC">
            <w:pPr>
              <w:pStyle w:val="TableBody"/>
              <w:keepNext/>
              <w:jc w:val="right"/>
              <w:rPr>
                <w:szCs w:val="18"/>
              </w:rPr>
            </w:pPr>
            <w:r w:rsidRPr="00260536">
              <w:rPr>
                <w:szCs w:val="18"/>
              </w:rPr>
              <w:t>13</w:t>
            </w:r>
          </w:p>
        </w:tc>
        <w:tc>
          <w:tcPr>
            <w:tcW w:w="768" w:type="pct"/>
            <w:tcBorders>
              <w:top w:val="single" w:sz="4" w:space="0" w:color="007698"/>
              <w:left w:val="nil"/>
              <w:bottom w:val="single" w:sz="4" w:space="0" w:color="A6A6A6" w:themeColor="background1" w:themeShade="A6"/>
              <w:right w:val="nil"/>
            </w:tcBorders>
          </w:tcPr>
          <w:p w14:paraId="1EE17402" w14:textId="77777777" w:rsidR="008202F9" w:rsidRPr="00260536" w:rsidRDefault="008202F9" w:rsidP="005C1EDC">
            <w:pPr>
              <w:pStyle w:val="TableBody"/>
              <w:keepNext/>
              <w:jc w:val="right"/>
              <w:rPr>
                <w:szCs w:val="18"/>
              </w:rPr>
            </w:pPr>
            <w:r w:rsidRPr="00260536">
              <w:rPr>
                <w:szCs w:val="18"/>
              </w:rPr>
              <w:t>13</w:t>
            </w:r>
          </w:p>
        </w:tc>
        <w:tc>
          <w:tcPr>
            <w:tcW w:w="768" w:type="pct"/>
            <w:tcBorders>
              <w:top w:val="single" w:sz="4" w:space="0" w:color="007698"/>
              <w:left w:val="nil"/>
              <w:bottom w:val="single" w:sz="4" w:space="0" w:color="A6A6A6" w:themeColor="background1" w:themeShade="A6"/>
              <w:right w:val="nil"/>
            </w:tcBorders>
          </w:tcPr>
          <w:p w14:paraId="4A2C2C72" w14:textId="77777777" w:rsidR="008202F9" w:rsidRPr="00260536" w:rsidRDefault="008202F9" w:rsidP="005C1EDC">
            <w:pPr>
              <w:pStyle w:val="TableBody"/>
              <w:keepNext/>
              <w:jc w:val="right"/>
              <w:rPr>
                <w:szCs w:val="18"/>
              </w:rPr>
            </w:pPr>
            <w:r w:rsidRPr="00260536">
              <w:rPr>
                <w:szCs w:val="18"/>
              </w:rPr>
              <w:t>865</w:t>
            </w:r>
          </w:p>
        </w:tc>
        <w:tc>
          <w:tcPr>
            <w:tcW w:w="769" w:type="pct"/>
            <w:tcBorders>
              <w:top w:val="single" w:sz="4" w:space="0" w:color="007698"/>
              <w:left w:val="nil"/>
              <w:bottom w:val="single" w:sz="4" w:space="0" w:color="A6A6A6" w:themeColor="background1" w:themeShade="A6"/>
              <w:right w:val="nil"/>
            </w:tcBorders>
          </w:tcPr>
          <w:p w14:paraId="1BB1E257" w14:textId="77777777" w:rsidR="008202F9" w:rsidRPr="00260536" w:rsidRDefault="008202F9" w:rsidP="005C1EDC">
            <w:pPr>
              <w:pStyle w:val="TableBody"/>
              <w:keepNext/>
              <w:jc w:val="right"/>
              <w:rPr>
                <w:szCs w:val="18"/>
              </w:rPr>
            </w:pPr>
            <w:r w:rsidRPr="00260536">
              <w:rPr>
                <w:szCs w:val="18"/>
              </w:rPr>
              <w:t>47</w:t>
            </w:r>
          </w:p>
        </w:tc>
      </w:tr>
      <w:tr w:rsidR="008202F9" w:rsidRPr="00BA29E3" w14:paraId="537995BB" w14:textId="77777777" w:rsidTr="005F5982">
        <w:trPr>
          <w:cantSplit/>
          <w:jc w:val="center"/>
        </w:trPr>
        <w:tc>
          <w:tcPr>
            <w:tcW w:w="1105" w:type="pct"/>
            <w:tcBorders>
              <w:top w:val="single" w:sz="4" w:space="0" w:color="A6A6A6" w:themeColor="background1" w:themeShade="A6"/>
              <w:left w:val="nil"/>
              <w:bottom w:val="single" w:sz="4" w:space="0" w:color="A6A6A6" w:themeColor="background1" w:themeShade="A6"/>
              <w:right w:val="nil"/>
            </w:tcBorders>
          </w:tcPr>
          <w:p w14:paraId="76F906EB" w14:textId="77777777" w:rsidR="008202F9" w:rsidRPr="00760F4D" w:rsidRDefault="008202F9" w:rsidP="005C1EDC">
            <w:pPr>
              <w:pStyle w:val="TableBody"/>
              <w:keepNext/>
              <w:rPr>
                <w:i/>
                <w:szCs w:val="18"/>
              </w:rPr>
            </w:pPr>
            <w:r w:rsidRPr="00260536">
              <w:rPr>
                <w:szCs w:val="18"/>
              </w:rPr>
              <w:t>Business</w:t>
            </w:r>
          </w:p>
        </w:tc>
        <w:tc>
          <w:tcPr>
            <w:tcW w:w="822" w:type="pct"/>
            <w:tcBorders>
              <w:top w:val="single" w:sz="4" w:space="0" w:color="A6A6A6" w:themeColor="background1" w:themeShade="A6"/>
              <w:left w:val="nil"/>
              <w:bottom w:val="single" w:sz="4" w:space="0" w:color="A6A6A6" w:themeColor="background1" w:themeShade="A6"/>
              <w:right w:val="nil"/>
            </w:tcBorders>
          </w:tcPr>
          <w:p w14:paraId="4A8B53BD" w14:textId="77777777" w:rsidR="008202F9" w:rsidRPr="00260536" w:rsidRDefault="008202F9" w:rsidP="005C1EDC">
            <w:pPr>
              <w:pStyle w:val="TableBody"/>
              <w:keepNext/>
              <w:jc w:val="right"/>
              <w:rPr>
                <w:szCs w:val="18"/>
              </w:rPr>
            </w:pPr>
            <w:r w:rsidRPr="00260536">
              <w:rPr>
                <w:szCs w:val="18"/>
              </w:rPr>
              <w:t>13</w:t>
            </w:r>
          </w:p>
        </w:tc>
        <w:tc>
          <w:tcPr>
            <w:tcW w:w="768" w:type="pct"/>
            <w:tcBorders>
              <w:top w:val="single" w:sz="4" w:space="0" w:color="A6A6A6" w:themeColor="background1" w:themeShade="A6"/>
              <w:left w:val="nil"/>
              <w:bottom w:val="single" w:sz="4" w:space="0" w:color="A6A6A6" w:themeColor="background1" w:themeShade="A6"/>
              <w:right w:val="nil"/>
            </w:tcBorders>
          </w:tcPr>
          <w:p w14:paraId="5E1868ED" w14:textId="77777777" w:rsidR="008202F9" w:rsidRPr="00260536" w:rsidRDefault="008202F9" w:rsidP="005C1EDC">
            <w:pPr>
              <w:pStyle w:val="TableBody"/>
              <w:keepNext/>
              <w:jc w:val="right"/>
              <w:rPr>
                <w:szCs w:val="18"/>
              </w:rPr>
            </w:pPr>
            <w:r w:rsidRPr="00260536">
              <w:rPr>
                <w:szCs w:val="18"/>
              </w:rPr>
              <w:t>4</w:t>
            </w:r>
          </w:p>
        </w:tc>
        <w:tc>
          <w:tcPr>
            <w:tcW w:w="768" w:type="pct"/>
            <w:tcBorders>
              <w:top w:val="single" w:sz="4" w:space="0" w:color="A6A6A6" w:themeColor="background1" w:themeShade="A6"/>
              <w:left w:val="nil"/>
              <w:bottom w:val="single" w:sz="4" w:space="0" w:color="A6A6A6" w:themeColor="background1" w:themeShade="A6"/>
              <w:right w:val="nil"/>
            </w:tcBorders>
          </w:tcPr>
          <w:p w14:paraId="697E422F" w14:textId="77777777" w:rsidR="008202F9" w:rsidRPr="00260536" w:rsidRDefault="008202F9" w:rsidP="005C1EDC">
            <w:pPr>
              <w:pStyle w:val="TableBody"/>
              <w:keepNext/>
              <w:jc w:val="right"/>
              <w:rPr>
                <w:szCs w:val="18"/>
              </w:rPr>
            </w:pPr>
            <w:r w:rsidRPr="00260536">
              <w:rPr>
                <w:szCs w:val="18"/>
              </w:rPr>
              <w:t>12</w:t>
            </w:r>
          </w:p>
        </w:tc>
        <w:tc>
          <w:tcPr>
            <w:tcW w:w="768" w:type="pct"/>
            <w:tcBorders>
              <w:top w:val="single" w:sz="4" w:space="0" w:color="A6A6A6" w:themeColor="background1" w:themeShade="A6"/>
              <w:left w:val="nil"/>
              <w:bottom w:val="single" w:sz="4" w:space="0" w:color="A6A6A6" w:themeColor="background1" w:themeShade="A6"/>
              <w:right w:val="nil"/>
            </w:tcBorders>
          </w:tcPr>
          <w:p w14:paraId="2BBDE91B" w14:textId="77777777" w:rsidR="008202F9" w:rsidRPr="00260536" w:rsidRDefault="008202F9" w:rsidP="005C1EDC">
            <w:pPr>
              <w:pStyle w:val="TableBody"/>
              <w:keepNext/>
              <w:jc w:val="right"/>
              <w:rPr>
                <w:szCs w:val="18"/>
              </w:rPr>
            </w:pPr>
            <w:r w:rsidRPr="00260536">
              <w:rPr>
                <w:szCs w:val="18"/>
              </w:rPr>
              <w:t>534</w:t>
            </w:r>
          </w:p>
        </w:tc>
        <w:tc>
          <w:tcPr>
            <w:tcW w:w="769" w:type="pct"/>
            <w:tcBorders>
              <w:top w:val="single" w:sz="4" w:space="0" w:color="A6A6A6" w:themeColor="background1" w:themeShade="A6"/>
              <w:left w:val="nil"/>
              <w:bottom w:val="single" w:sz="4" w:space="0" w:color="A6A6A6" w:themeColor="background1" w:themeShade="A6"/>
              <w:right w:val="nil"/>
            </w:tcBorders>
          </w:tcPr>
          <w:p w14:paraId="2FA47718" w14:textId="77777777" w:rsidR="008202F9" w:rsidRPr="00260536" w:rsidRDefault="008202F9" w:rsidP="005C1EDC">
            <w:pPr>
              <w:pStyle w:val="TableBody"/>
              <w:keepNext/>
              <w:jc w:val="right"/>
              <w:rPr>
                <w:szCs w:val="18"/>
              </w:rPr>
            </w:pPr>
            <w:r w:rsidRPr="00260536">
              <w:rPr>
                <w:szCs w:val="18"/>
              </w:rPr>
              <w:t>29</w:t>
            </w:r>
          </w:p>
        </w:tc>
      </w:tr>
      <w:tr w:rsidR="008202F9" w:rsidRPr="00BA29E3" w14:paraId="75939164" w14:textId="77777777" w:rsidTr="005F5982">
        <w:trPr>
          <w:cantSplit/>
          <w:jc w:val="center"/>
        </w:trPr>
        <w:tc>
          <w:tcPr>
            <w:tcW w:w="1105" w:type="pct"/>
            <w:tcBorders>
              <w:top w:val="single" w:sz="4" w:space="0" w:color="A6A6A6" w:themeColor="background1" w:themeShade="A6"/>
              <w:left w:val="nil"/>
              <w:bottom w:val="single" w:sz="4" w:space="0" w:color="A6A6A6" w:themeColor="background1" w:themeShade="A6"/>
              <w:right w:val="nil"/>
            </w:tcBorders>
          </w:tcPr>
          <w:p w14:paraId="7A7201BE" w14:textId="77777777" w:rsidR="008202F9" w:rsidRPr="00760F4D" w:rsidRDefault="008202F9" w:rsidP="005C1EDC">
            <w:pPr>
              <w:pStyle w:val="TableBody"/>
              <w:keepNext/>
              <w:rPr>
                <w:i/>
                <w:szCs w:val="18"/>
              </w:rPr>
            </w:pPr>
            <w:r w:rsidRPr="00260536">
              <w:rPr>
                <w:szCs w:val="18"/>
              </w:rPr>
              <w:t>Superannuation</w:t>
            </w:r>
          </w:p>
        </w:tc>
        <w:tc>
          <w:tcPr>
            <w:tcW w:w="822" w:type="pct"/>
            <w:tcBorders>
              <w:top w:val="single" w:sz="4" w:space="0" w:color="A6A6A6" w:themeColor="background1" w:themeShade="A6"/>
              <w:left w:val="nil"/>
              <w:bottom w:val="single" w:sz="4" w:space="0" w:color="A6A6A6" w:themeColor="background1" w:themeShade="A6"/>
              <w:right w:val="nil"/>
            </w:tcBorders>
          </w:tcPr>
          <w:p w14:paraId="02B9DBED" w14:textId="77777777" w:rsidR="008202F9" w:rsidRPr="00260536" w:rsidRDefault="008202F9" w:rsidP="005C1EDC">
            <w:pPr>
              <w:pStyle w:val="TableBody"/>
              <w:keepNext/>
              <w:jc w:val="right"/>
              <w:rPr>
                <w:szCs w:val="18"/>
              </w:rPr>
            </w:pPr>
            <w:r w:rsidRPr="00260536">
              <w:rPr>
                <w:szCs w:val="18"/>
              </w:rPr>
              <w:t>3</w:t>
            </w:r>
          </w:p>
        </w:tc>
        <w:tc>
          <w:tcPr>
            <w:tcW w:w="768" w:type="pct"/>
            <w:tcBorders>
              <w:top w:val="single" w:sz="4" w:space="0" w:color="A6A6A6" w:themeColor="background1" w:themeShade="A6"/>
              <w:left w:val="nil"/>
              <w:bottom w:val="single" w:sz="4" w:space="0" w:color="A6A6A6" w:themeColor="background1" w:themeShade="A6"/>
              <w:right w:val="nil"/>
            </w:tcBorders>
          </w:tcPr>
          <w:p w14:paraId="2F36B6FD" w14:textId="77777777" w:rsidR="008202F9" w:rsidRPr="00260536" w:rsidRDefault="008202F9" w:rsidP="005C1EDC">
            <w:pPr>
              <w:pStyle w:val="TableBody"/>
              <w:keepNext/>
              <w:jc w:val="right"/>
              <w:rPr>
                <w:szCs w:val="18"/>
              </w:rPr>
            </w:pPr>
            <w:r w:rsidRPr="00260536">
              <w:rPr>
                <w:szCs w:val="18"/>
              </w:rPr>
              <w:t>3</w:t>
            </w:r>
          </w:p>
        </w:tc>
        <w:tc>
          <w:tcPr>
            <w:tcW w:w="768" w:type="pct"/>
            <w:tcBorders>
              <w:top w:val="single" w:sz="4" w:space="0" w:color="A6A6A6" w:themeColor="background1" w:themeShade="A6"/>
              <w:left w:val="nil"/>
              <w:bottom w:val="single" w:sz="4" w:space="0" w:color="A6A6A6" w:themeColor="background1" w:themeShade="A6"/>
              <w:right w:val="nil"/>
            </w:tcBorders>
          </w:tcPr>
          <w:p w14:paraId="6116E1FA" w14:textId="77777777" w:rsidR="008202F9" w:rsidRPr="00260536" w:rsidRDefault="008202F9" w:rsidP="005C1EDC">
            <w:pPr>
              <w:pStyle w:val="TableBody"/>
              <w:keepNext/>
              <w:jc w:val="right"/>
              <w:rPr>
                <w:szCs w:val="18"/>
              </w:rPr>
            </w:pPr>
            <w:r w:rsidRPr="00260536">
              <w:rPr>
                <w:szCs w:val="18"/>
              </w:rPr>
              <w:t>5</w:t>
            </w:r>
          </w:p>
        </w:tc>
        <w:tc>
          <w:tcPr>
            <w:tcW w:w="768" w:type="pct"/>
            <w:tcBorders>
              <w:top w:val="single" w:sz="4" w:space="0" w:color="A6A6A6" w:themeColor="background1" w:themeShade="A6"/>
              <w:left w:val="nil"/>
              <w:bottom w:val="single" w:sz="4" w:space="0" w:color="A6A6A6" w:themeColor="background1" w:themeShade="A6"/>
              <w:right w:val="nil"/>
            </w:tcBorders>
          </w:tcPr>
          <w:p w14:paraId="45E80B09" w14:textId="77777777" w:rsidR="008202F9" w:rsidRPr="00260536" w:rsidRDefault="008202F9" w:rsidP="005C1EDC">
            <w:pPr>
              <w:pStyle w:val="TableBody"/>
              <w:keepNext/>
              <w:jc w:val="right"/>
              <w:rPr>
                <w:szCs w:val="18"/>
              </w:rPr>
            </w:pPr>
            <w:r w:rsidRPr="00260536">
              <w:rPr>
                <w:szCs w:val="18"/>
              </w:rPr>
              <w:t>225</w:t>
            </w:r>
          </w:p>
        </w:tc>
        <w:tc>
          <w:tcPr>
            <w:tcW w:w="769" w:type="pct"/>
            <w:tcBorders>
              <w:top w:val="single" w:sz="4" w:space="0" w:color="A6A6A6" w:themeColor="background1" w:themeShade="A6"/>
              <w:left w:val="nil"/>
              <w:bottom w:val="single" w:sz="4" w:space="0" w:color="A6A6A6" w:themeColor="background1" w:themeShade="A6"/>
              <w:right w:val="nil"/>
            </w:tcBorders>
          </w:tcPr>
          <w:p w14:paraId="71FC4297" w14:textId="77777777" w:rsidR="008202F9" w:rsidRPr="00260536" w:rsidRDefault="008202F9" w:rsidP="005C1EDC">
            <w:pPr>
              <w:pStyle w:val="TableBody"/>
              <w:keepNext/>
              <w:jc w:val="right"/>
              <w:rPr>
                <w:szCs w:val="18"/>
              </w:rPr>
            </w:pPr>
            <w:r w:rsidRPr="00260536">
              <w:rPr>
                <w:szCs w:val="18"/>
              </w:rPr>
              <w:t>12</w:t>
            </w:r>
          </w:p>
        </w:tc>
      </w:tr>
      <w:tr w:rsidR="008202F9" w:rsidRPr="00BA29E3" w14:paraId="6FE5A676" w14:textId="77777777" w:rsidTr="005F5982">
        <w:trPr>
          <w:cantSplit/>
          <w:jc w:val="center"/>
        </w:trPr>
        <w:tc>
          <w:tcPr>
            <w:tcW w:w="1105" w:type="pct"/>
            <w:tcBorders>
              <w:top w:val="single" w:sz="4" w:space="0" w:color="A6A6A6" w:themeColor="background1" w:themeShade="A6"/>
              <w:left w:val="nil"/>
              <w:bottom w:val="single" w:sz="4" w:space="0" w:color="A6A6A6" w:themeColor="background1" w:themeShade="A6"/>
              <w:right w:val="nil"/>
            </w:tcBorders>
          </w:tcPr>
          <w:p w14:paraId="393D90CE" w14:textId="77777777" w:rsidR="008202F9" w:rsidRPr="00260536" w:rsidRDefault="008202F9" w:rsidP="005C1EDC">
            <w:pPr>
              <w:pStyle w:val="TableBody"/>
              <w:keepNext/>
              <w:rPr>
                <w:szCs w:val="18"/>
              </w:rPr>
            </w:pPr>
            <w:r w:rsidRPr="00260536">
              <w:rPr>
                <w:szCs w:val="18"/>
              </w:rPr>
              <w:t>Government</w:t>
            </w:r>
          </w:p>
        </w:tc>
        <w:tc>
          <w:tcPr>
            <w:tcW w:w="822" w:type="pct"/>
            <w:tcBorders>
              <w:top w:val="single" w:sz="4" w:space="0" w:color="A6A6A6" w:themeColor="background1" w:themeShade="A6"/>
              <w:left w:val="nil"/>
              <w:bottom w:val="single" w:sz="4" w:space="0" w:color="A6A6A6" w:themeColor="background1" w:themeShade="A6"/>
              <w:right w:val="nil"/>
            </w:tcBorders>
          </w:tcPr>
          <w:p w14:paraId="09E902D6" w14:textId="77777777" w:rsidR="008202F9" w:rsidRPr="00260536" w:rsidRDefault="008202F9" w:rsidP="005C1EDC">
            <w:pPr>
              <w:pStyle w:val="TableBody"/>
              <w:keepNext/>
              <w:jc w:val="right"/>
              <w:rPr>
                <w:szCs w:val="18"/>
              </w:rPr>
            </w:pPr>
            <w:r w:rsidRPr="00260536">
              <w:rPr>
                <w:szCs w:val="18"/>
              </w:rPr>
              <w:t>2</w:t>
            </w:r>
          </w:p>
        </w:tc>
        <w:tc>
          <w:tcPr>
            <w:tcW w:w="768" w:type="pct"/>
            <w:tcBorders>
              <w:top w:val="single" w:sz="4" w:space="0" w:color="A6A6A6" w:themeColor="background1" w:themeShade="A6"/>
              <w:left w:val="nil"/>
              <w:bottom w:val="single" w:sz="4" w:space="0" w:color="A6A6A6" w:themeColor="background1" w:themeShade="A6"/>
              <w:right w:val="nil"/>
            </w:tcBorders>
          </w:tcPr>
          <w:p w14:paraId="4B1E709B" w14:textId="77777777" w:rsidR="008202F9" w:rsidRPr="00260536" w:rsidRDefault="008202F9" w:rsidP="005C1EDC">
            <w:pPr>
              <w:pStyle w:val="TableBody"/>
              <w:keepNext/>
              <w:jc w:val="right"/>
              <w:rPr>
                <w:szCs w:val="18"/>
              </w:rPr>
            </w:pPr>
            <w:r w:rsidRPr="00260536">
              <w:rPr>
                <w:szCs w:val="18"/>
              </w:rPr>
              <w:t>0</w:t>
            </w:r>
          </w:p>
        </w:tc>
        <w:tc>
          <w:tcPr>
            <w:tcW w:w="768" w:type="pct"/>
            <w:tcBorders>
              <w:top w:val="single" w:sz="4" w:space="0" w:color="A6A6A6" w:themeColor="background1" w:themeShade="A6"/>
              <w:left w:val="nil"/>
              <w:bottom w:val="single" w:sz="4" w:space="0" w:color="A6A6A6" w:themeColor="background1" w:themeShade="A6"/>
              <w:right w:val="nil"/>
            </w:tcBorders>
          </w:tcPr>
          <w:p w14:paraId="69D2D23B" w14:textId="77777777" w:rsidR="008202F9" w:rsidRPr="00260536" w:rsidRDefault="008202F9" w:rsidP="005C1EDC">
            <w:pPr>
              <w:pStyle w:val="TableBody"/>
              <w:keepNext/>
              <w:jc w:val="right"/>
              <w:rPr>
                <w:szCs w:val="18"/>
              </w:rPr>
            </w:pPr>
            <w:r w:rsidRPr="00260536">
              <w:rPr>
                <w:szCs w:val="18"/>
              </w:rPr>
              <w:t>2</w:t>
            </w:r>
          </w:p>
        </w:tc>
        <w:tc>
          <w:tcPr>
            <w:tcW w:w="768" w:type="pct"/>
            <w:tcBorders>
              <w:top w:val="single" w:sz="4" w:space="0" w:color="A6A6A6" w:themeColor="background1" w:themeShade="A6"/>
              <w:left w:val="nil"/>
              <w:bottom w:val="single" w:sz="4" w:space="0" w:color="A6A6A6" w:themeColor="background1" w:themeShade="A6"/>
              <w:right w:val="nil"/>
            </w:tcBorders>
          </w:tcPr>
          <w:p w14:paraId="57D81F2A" w14:textId="77777777" w:rsidR="008202F9" w:rsidRPr="00260536" w:rsidRDefault="008202F9" w:rsidP="005C1EDC">
            <w:pPr>
              <w:pStyle w:val="TableBody"/>
              <w:keepNext/>
              <w:jc w:val="right"/>
              <w:rPr>
                <w:szCs w:val="18"/>
              </w:rPr>
            </w:pPr>
            <w:r w:rsidRPr="00260536">
              <w:rPr>
                <w:szCs w:val="18"/>
              </w:rPr>
              <w:t>77</w:t>
            </w:r>
          </w:p>
        </w:tc>
        <w:tc>
          <w:tcPr>
            <w:tcW w:w="769" w:type="pct"/>
            <w:tcBorders>
              <w:top w:val="single" w:sz="4" w:space="0" w:color="A6A6A6" w:themeColor="background1" w:themeShade="A6"/>
              <w:left w:val="nil"/>
              <w:bottom w:val="single" w:sz="4" w:space="0" w:color="A6A6A6" w:themeColor="background1" w:themeShade="A6"/>
              <w:right w:val="nil"/>
            </w:tcBorders>
          </w:tcPr>
          <w:p w14:paraId="19306028" w14:textId="77777777" w:rsidR="008202F9" w:rsidRPr="00260536" w:rsidRDefault="008202F9" w:rsidP="005C1EDC">
            <w:pPr>
              <w:pStyle w:val="TableBody"/>
              <w:keepNext/>
              <w:jc w:val="right"/>
              <w:rPr>
                <w:szCs w:val="18"/>
              </w:rPr>
            </w:pPr>
            <w:r w:rsidRPr="00260536">
              <w:rPr>
                <w:szCs w:val="18"/>
              </w:rPr>
              <w:t>4</w:t>
            </w:r>
          </w:p>
        </w:tc>
      </w:tr>
      <w:tr w:rsidR="008202F9" w:rsidRPr="00BA29E3" w14:paraId="06F1707D" w14:textId="77777777" w:rsidTr="005F5982">
        <w:trPr>
          <w:cantSplit/>
          <w:jc w:val="center"/>
        </w:trPr>
        <w:tc>
          <w:tcPr>
            <w:tcW w:w="1105" w:type="pct"/>
            <w:tcBorders>
              <w:top w:val="single" w:sz="4" w:space="0" w:color="A6A6A6" w:themeColor="background1" w:themeShade="A6"/>
              <w:left w:val="nil"/>
              <w:bottom w:val="single" w:sz="4" w:space="0" w:color="A6A6A6" w:themeColor="background1" w:themeShade="A6"/>
              <w:right w:val="nil"/>
            </w:tcBorders>
          </w:tcPr>
          <w:p w14:paraId="582FE517" w14:textId="77777777" w:rsidR="008202F9" w:rsidRPr="00260536" w:rsidRDefault="008202F9" w:rsidP="005C1EDC">
            <w:pPr>
              <w:pStyle w:val="TableBody"/>
              <w:keepNext/>
              <w:ind w:left="142" w:hanging="142"/>
              <w:rPr>
                <w:szCs w:val="18"/>
              </w:rPr>
            </w:pPr>
            <w:r w:rsidRPr="00260536">
              <w:rPr>
                <w:szCs w:val="18"/>
              </w:rPr>
              <w:t xml:space="preserve">Other financial </w:t>
            </w:r>
            <w:r>
              <w:rPr>
                <w:szCs w:val="18"/>
              </w:rPr>
              <w:t>i</w:t>
            </w:r>
            <w:r w:rsidRPr="00260536">
              <w:rPr>
                <w:szCs w:val="18"/>
              </w:rPr>
              <w:t>nstitutions</w:t>
            </w:r>
          </w:p>
        </w:tc>
        <w:tc>
          <w:tcPr>
            <w:tcW w:w="822" w:type="pct"/>
            <w:tcBorders>
              <w:top w:val="single" w:sz="4" w:space="0" w:color="A6A6A6" w:themeColor="background1" w:themeShade="A6"/>
              <w:left w:val="nil"/>
              <w:bottom w:val="single" w:sz="4" w:space="0" w:color="A6A6A6" w:themeColor="background1" w:themeShade="A6"/>
              <w:right w:val="nil"/>
            </w:tcBorders>
          </w:tcPr>
          <w:p w14:paraId="407496AC" w14:textId="77777777" w:rsidR="008202F9" w:rsidRPr="00260536" w:rsidRDefault="008202F9" w:rsidP="005C1EDC">
            <w:pPr>
              <w:pStyle w:val="TableBody"/>
              <w:keepNext/>
              <w:jc w:val="right"/>
              <w:rPr>
                <w:szCs w:val="18"/>
              </w:rPr>
            </w:pPr>
            <w:r w:rsidRPr="00260536">
              <w:rPr>
                <w:szCs w:val="18"/>
              </w:rPr>
              <w:t>2</w:t>
            </w:r>
          </w:p>
        </w:tc>
        <w:tc>
          <w:tcPr>
            <w:tcW w:w="768" w:type="pct"/>
            <w:tcBorders>
              <w:top w:val="single" w:sz="4" w:space="0" w:color="A6A6A6" w:themeColor="background1" w:themeShade="A6"/>
              <w:left w:val="nil"/>
              <w:bottom w:val="single" w:sz="4" w:space="0" w:color="A6A6A6" w:themeColor="background1" w:themeShade="A6"/>
              <w:right w:val="nil"/>
            </w:tcBorders>
          </w:tcPr>
          <w:p w14:paraId="53C50CDD" w14:textId="77777777" w:rsidR="008202F9" w:rsidRPr="00260536" w:rsidRDefault="008202F9" w:rsidP="005C1EDC">
            <w:pPr>
              <w:pStyle w:val="TableBody"/>
              <w:keepNext/>
              <w:jc w:val="right"/>
              <w:rPr>
                <w:szCs w:val="18"/>
              </w:rPr>
            </w:pPr>
            <w:r w:rsidRPr="00260536">
              <w:rPr>
                <w:szCs w:val="18"/>
              </w:rPr>
              <w:t>2</w:t>
            </w:r>
          </w:p>
        </w:tc>
        <w:tc>
          <w:tcPr>
            <w:tcW w:w="768" w:type="pct"/>
            <w:tcBorders>
              <w:top w:val="single" w:sz="4" w:space="0" w:color="A6A6A6" w:themeColor="background1" w:themeShade="A6"/>
              <w:left w:val="nil"/>
              <w:bottom w:val="single" w:sz="4" w:space="0" w:color="A6A6A6" w:themeColor="background1" w:themeShade="A6"/>
              <w:right w:val="nil"/>
            </w:tcBorders>
          </w:tcPr>
          <w:p w14:paraId="498B65F5" w14:textId="77777777" w:rsidR="008202F9" w:rsidRPr="00260536" w:rsidRDefault="008202F9" w:rsidP="005C1EDC">
            <w:pPr>
              <w:pStyle w:val="TableBody"/>
              <w:keepNext/>
              <w:jc w:val="right"/>
              <w:rPr>
                <w:szCs w:val="18"/>
              </w:rPr>
            </w:pPr>
            <w:r w:rsidRPr="00260536">
              <w:rPr>
                <w:szCs w:val="18"/>
              </w:rPr>
              <w:t>3</w:t>
            </w:r>
          </w:p>
        </w:tc>
        <w:tc>
          <w:tcPr>
            <w:tcW w:w="768" w:type="pct"/>
            <w:tcBorders>
              <w:top w:val="single" w:sz="4" w:space="0" w:color="A6A6A6" w:themeColor="background1" w:themeShade="A6"/>
              <w:left w:val="nil"/>
              <w:bottom w:val="single" w:sz="4" w:space="0" w:color="A6A6A6" w:themeColor="background1" w:themeShade="A6"/>
              <w:right w:val="nil"/>
            </w:tcBorders>
          </w:tcPr>
          <w:p w14:paraId="03D34285" w14:textId="77777777" w:rsidR="008202F9" w:rsidRPr="00260536" w:rsidRDefault="008202F9" w:rsidP="005C1EDC">
            <w:pPr>
              <w:pStyle w:val="TableBody"/>
              <w:keepNext/>
              <w:jc w:val="right"/>
              <w:rPr>
                <w:szCs w:val="18"/>
              </w:rPr>
            </w:pPr>
            <w:r w:rsidRPr="00260536">
              <w:rPr>
                <w:szCs w:val="18"/>
              </w:rPr>
              <w:t>121</w:t>
            </w:r>
          </w:p>
        </w:tc>
        <w:tc>
          <w:tcPr>
            <w:tcW w:w="769" w:type="pct"/>
            <w:tcBorders>
              <w:top w:val="single" w:sz="4" w:space="0" w:color="A6A6A6" w:themeColor="background1" w:themeShade="A6"/>
              <w:left w:val="nil"/>
              <w:bottom w:val="single" w:sz="4" w:space="0" w:color="A6A6A6" w:themeColor="background1" w:themeShade="A6"/>
              <w:right w:val="nil"/>
            </w:tcBorders>
          </w:tcPr>
          <w:p w14:paraId="5AABABFA" w14:textId="77777777" w:rsidR="008202F9" w:rsidRPr="00260536" w:rsidRDefault="008202F9" w:rsidP="005C1EDC">
            <w:pPr>
              <w:pStyle w:val="TableBody"/>
              <w:keepNext/>
              <w:jc w:val="right"/>
              <w:rPr>
                <w:szCs w:val="18"/>
              </w:rPr>
            </w:pPr>
            <w:r w:rsidRPr="00260536">
              <w:rPr>
                <w:szCs w:val="18"/>
              </w:rPr>
              <w:t>7</w:t>
            </w:r>
          </w:p>
        </w:tc>
      </w:tr>
      <w:tr w:rsidR="008202F9" w:rsidRPr="00BA29E3" w14:paraId="0C5FEB6E" w14:textId="77777777" w:rsidTr="005F5982">
        <w:trPr>
          <w:cantSplit/>
          <w:jc w:val="center"/>
        </w:trPr>
        <w:tc>
          <w:tcPr>
            <w:tcW w:w="1105" w:type="pct"/>
            <w:tcBorders>
              <w:top w:val="single" w:sz="4" w:space="0" w:color="A6A6A6" w:themeColor="background1" w:themeShade="A6"/>
              <w:left w:val="nil"/>
              <w:bottom w:val="single" w:sz="4" w:space="0" w:color="A6A6A6" w:themeColor="background1" w:themeShade="A6"/>
              <w:right w:val="nil"/>
            </w:tcBorders>
          </w:tcPr>
          <w:p w14:paraId="777516A4" w14:textId="77777777" w:rsidR="008202F9" w:rsidRDefault="008202F9" w:rsidP="005C1EDC">
            <w:pPr>
              <w:pStyle w:val="TableBody"/>
              <w:keepNext/>
              <w:rPr>
                <w:szCs w:val="18"/>
              </w:rPr>
            </w:pPr>
            <w:r w:rsidRPr="00260536">
              <w:rPr>
                <w:szCs w:val="18"/>
              </w:rPr>
              <w:t>Total</w:t>
            </w:r>
            <w:r w:rsidRPr="00260536">
              <w:rPr>
                <w:szCs w:val="18"/>
                <w:vertAlign w:val="superscript"/>
              </w:rPr>
              <w:t>(a)</w:t>
            </w:r>
          </w:p>
        </w:tc>
        <w:tc>
          <w:tcPr>
            <w:tcW w:w="822" w:type="pct"/>
            <w:tcBorders>
              <w:top w:val="single" w:sz="4" w:space="0" w:color="A6A6A6" w:themeColor="background1" w:themeShade="A6"/>
              <w:left w:val="nil"/>
              <w:bottom w:val="single" w:sz="4" w:space="0" w:color="A6A6A6" w:themeColor="background1" w:themeShade="A6"/>
              <w:right w:val="nil"/>
            </w:tcBorders>
          </w:tcPr>
          <w:p w14:paraId="61F28A5C" w14:textId="77777777" w:rsidR="008202F9" w:rsidRPr="00260536" w:rsidRDefault="008202F9" w:rsidP="005C1EDC">
            <w:pPr>
              <w:pStyle w:val="TableBody"/>
              <w:keepNext/>
              <w:jc w:val="right"/>
              <w:rPr>
                <w:szCs w:val="18"/>
              </w:rPr>
            </w:pPr>
            <w:r w:rsidRPr="00260536">
              <w:rPr>
                <w:szCs w:val="18"/>
              </w:rPr>
              <w:t>42</w:t>
            </w:r>
          </w:p>
        </w:tc>
        <w:tc>
          <w:tcPr>
            <w:tcW w:w="768" w:type="pct"/>
            <w:tcBorders>
              <w:top w:val="single" w:sz="4" w:space="0" w:color="A6A6A6" w:themeColor="background1" w:themeShade="A6"/>
              <w:left w:val="nil"/>
              <w:bottom w:val="single" w:sz="4" w:space="0" w:color="A6A6A6" w:themeColor="background1" w:themeShade="A6"/>
              <w:right w:val="nil"/>
            </w:tcBorders>
          </w:tcPr>
          <w:p w14:paraId="30B2E422" w14:textId="77777777" w:rsidR="008202F9" w:rsidRPr="00260536" w:rsidRDefault="008202F9" w:rsidP="005C1EDC">
            <w:pPr>
              <w:pStyle w:val="TableBody"/>
              <w:keepNext/>
              <w:jc w:val="right"/>
              <w:rPr>
                <w:szCs w:val="18"/>
              </w:rPr>
            </w:pPr>
            <w:r w:rsidRPr="00260536">
              <w:rPr>
                <w:szCs w:val="18"/>
              </w:rPr>
              <w:t>23</w:t>
            </w:r>
          </w:p>
        </w:tc>
        <w:tc>
          <w:tcPr>
            <w:tcW w:w="768" w:type="pct"/>
            <w:tcBorders>
              <w:top w:val="single" w:sz="4" w:space="0" w:color="A6A6A6" w:themeColor="background1" w:themeShade="A6"/>
              <w:left w:val="nil"/>
              <w:bottom w:val="single" w:sz="4" w:space="0" w:color="A6A6A6" w:themeColor="background1" w:themeShade="A6"/>
              <w:right w:val="nil"/>
            </w:tcBorders>
          </w:tcPr>
          <w:p w14:paraId="59E6B7BA" w14:textId="77777777" w:rsidR="008202F9" w:rsidRPr="00260536" w:rsidRDefault="008202F9" w:rsidP="005C1EDC">
            <w:pPr>
              <w:pStyle w:val="TableBody"/>
              <w:keepNext/>
              <w:jc w:val="right"/>
              <w:rPr>
                <w:szCs w:val="18"/>
              </w:rPr>
            </w:pPr>
            <w:r w:rsidRPr="00260536">
              <w:rPr>
                <w:szCs w:val="18"/>
              </w:rPr>
              <w:t>36</w:t>
            </w:r>
          </w:p>
        </w:tc>
        <w:tc>
          <w:tcPr>
            <w:tcW w:w="768" w:type="pct"/>
            <w:tcBorders>
              <w:top w:val="single" w:sz="4" w:space="0" w:color="A6A6A6" w:themeColor="background1" w:themeShade="A6"/>
              <w:left w:val="nil"/>
              <w:bottom w:val="single" w:sz="4" w:space="0" w:color="A6A6A6" w:themeColor="background1" w:themeShade="A6"/>
              <w:right w:val="nil"/>
            </w:tcBorders>
          </w:tcPr>
          <w:p w14:paraId="03235070" w14:textId="77777777" w:rsidR="008202F9" w:rsidRPr="00260536" w:rsidRDefault="008202F9" w:rsidP="005C1EDC">
            <w:pPr>
              <w:pStyle w:val="TableBody"/>
              <w:keepNext/>
              <w:jc w:val="right"/>
              <w:rPr>
                <w:szCs w:val="18"/>
              </w:rPr>
            </w:pPr>
            <w:r w:rsidRPr="00260536">
              <w:rPr>
                <w:szCs w:val="18"/>
              </w:rPr>
              <w:t>1821</w:t>
            </w:r>
          </w:p>
        </w:tc>
        <w:tc>
          <w:tcPr>
            <w:tcW w:w="769" w:type="pct"/>
            <w:tcBorders>
              <w:top w:val="single" w:sz="4" w:space="0" w:color="A6A6A6" w:themeColor="background1" w:themeShade="A6"/>
              <w:left w:val="nil"/>
              <w:bottom w:val="single" w:sz="4" w:space="0" w:color="A6A6A6" w:themeColor="background1" w:themeShade="A6"/>
              <w:right w:val="nil"/>
            </w:tcBorders>
          </w:tcPr>
          <w:p w14:paraId="7CD18172" w14:textId="77777777" w:rsidR="008202F9" w:rsidRPr="00260536" w:rsidRDefault="008202F9" w:rsidP="005C1EDC">
            <w:pPr>
              <w:pStyle w:val="TableBody"/>
              <w:keepNext/>
              <w:jc w:val="right"/>
              <w:rPr>
                <w:szCs w:val="18"/>
              </w:rPr>
            </w:pPr>
            <w:r w:rsidRPr="00260536">
              <w:rPr>
                <w:szCs w:val="18"/>
              </w:rPr>
              <w:t>100</w:t>
            </w:r>
          </w:p>
        </w:tc>
      </w:tr>
    </w:tbl>
    <w:p w14:paraId="56D78C7D" w14:textId="6664A1AE" w:rsidR="008202F9" w:rsidRPr="00403DB5" w:rsidRDefault="008202F9" w:rsidP="008468EB">
      <w:pPr>
        <w:pStyle w:val="TableFootnote"/>
        <w:keepNext/>
        <w:ind w:left="850"/>
      </w:pPr>
      <w:r w:rsidRPr="00403DB5">
        <w:t xml:space="preserve">(a) </w:t>
      </w:r>
      <w:r w:rsidRPr="00260536">
        <w:t>Excludes intragroup, bank and other ADI deposits</w:t>
      </w:r>
    </w:p>
    <w:p w14:paraId="62554297" w14:textId="4BB1F637" w:rsidR="00B5668F" w:rsidRDefault="008202F9" w:rsidP="008468EB">
      <w:pPr>
        <w:pStyle w:val="TableFootnote"/>
        <w:keepNext/>
        <w:ind w:left="850"/>
      </w:pPr>
      <w:r w:rsidRPr="00403DB5">
        <w:t xml:space="preserve">Sources: </w:t>
      </w:r>
      <w:r>
        <w:t>APRA</w:t>
      </w:r>
      <w:r w:rsidRPr="00403DB5">
        <w:t>; RBA</w:t>
      </w:r>
    </w:p>
    <w:p w14:paraId="3C8BA03E" w14:textId="77777777" w:rsidR="00BC3661" w:rsidRPr="00833479" w:rsidRDefault="00BC3661" w:rsidP="005C1268">
      <w:pPr>
        <w:pStyle w:val="Heading3"/>
      </w:pPr>
      <w:r w:rsidRPr="00833479">
        <w:t>Non-price competition</w:t>
      </w:r>
    </w:p>
    <w:p w14:paraId="538F3B5F" w14:textId="09B38E0B" w:rsidR="00BC3661" w:rsidRDefault="00BC3661" w:rsidP="00BC3661">
      <w:pPr>
        <w:pStyle w:val="BodyText"/>
      </w:pPr>
      <w:r>
        <w:t xml:space="preserve">Competition for deposits need not occur solely through deposit interest rates. Banks also compete on fees and charges, other account-related services, innovation and new product offerings. </w:t>
      </w:r>
      <w:r w:rsidR="00A77DB7">
        <w:t>Considering these broader indicators</w:t>
      </w:r>
      <w:r>
        <w:t>, it appears that there has been competition among incumbents</w:t>
      </w:r>
      <w:r w:rsidR="00A77DB7">
        <w:t xml:space="preserve"> over the past few years</w:t>
      </w:r>
      <w:r>
        <w:t xml:space="preserve">. </w:t>
      </w:r>
    </w:p>
    <w:p w14:paraId="38E584FA" w14:textId="7D8DF337" w:rsidR="00BC3661" w:rsidRDefault="00BC3661" w:rsidP="00BC3661">
      <w:pPr>
        <w:pStyle w:val="BodyText"/>
      </w:pPr>
      <w:r>
        <w:t xml:space="preserve">Consistent with the stronger competition on deposit </w:t>
      </w:r>
      <w:r w:rsidR="00DB6477">
        <w:t xml:space="preserve">interest rates </w:t>
      </w:r>
      <w:r>
        <w:t xml:space="preserve">since the financial crisis, fees </w:t>
      </w:r>
      <w:r w:rsidR="00DB6477">
        <w:t xml:space="preserve">on deposit accounts </w:t>
      </w:r>
      <w:r>
        <w:t xml:space="preserve">have been at historically low levels in recent years. As banks </w:t>
      </w:r>
      <w:r w:rsidR="0035577F">
        <w:t xml:space="preserve">increased </w:t>
      </w:r>
      <w:r>
        <w:t>their share of deposit funding through the financial crisis, and raised the relative interest rate on deposits, they also lowered the average fees that they charge on deposit</w:t>
      </w:r>
      <w:r w:rsidR="00DB6477">
        <w:t xml:space="preserve"> accounts</w:t>
      </w:r>
      <w:r>
        <w:t xml:space="preserve">. As a ratio of the value of deposits, </w:t>
      </w:r>
      <w:r w:rsidR="00DB6477">
        <w:t>these</w:t>
      </w:r>
      <w:r w:rsidR="006C03C8">
        <w:t xml:space="preserve"> </w:t>
      </w:r>
      <w:r>
        <w:t xml:space="preserve">fees have come down from over 50 basis points to around 10 basis points. </w:t>
      </w:r>
    </w:p>
    <w:p w14:paraId="582B4003" w14:textId="0CFDF469" w:rsidR="00BC3661" w:rsidRDefault="00BC3661" w:rsidP="00BC3661">
      <w:pPr>
        <w:pStyle w:val="BodyText"/>
      </w:pPr>
      <w:r>
        <w:t xml:space="preserve">For transactional deposit products, there have </w:t>
      </w:r>
      <w:r w:rsidR="00DB6477">
        <w:t xml:space="preserve">also </w:t>
      </w:r>
      <w:r>
        <w:t>been a range of innovations in payment technologies, such as contactless card and mobile phone payments</w:t>
      </w:r>
      <w:r w:rsidR="00680E5C">
        <w:t xml:space="preserve"> </w:t>
      </w:r>
      <w:r>
        <w:t>and the New Payments Platform</w:t>
      </w:r>
      <w:r w:rsidR="00854F0D">
        <w:t> </w:t>
      </w:r>
      <w:r w:rsidR="00485B8C">
        <w:t>(NPP)</w:t>
      </w:r>
      <w:r>
        <w:t xml:space="preserve">, which is scheduled to </w:t>
      </w:r>
      <w:r w:rsidR="000211A9">
        <w:t>commence operations around the</w:t>
      </w:r>
      <w:r w:rsidR="00737CBD">
        <w:t xml:space="preserve"> end of 2017</w:t>
      </w:r>
      <w:r>
        <w:t>.</w:t>
      </w:r>
      <w:r w:rsidR="00BE154C">
        <w:rPr>
          <w:rStyle w:val="FootnoteReference"/>
        </w:rPr>
        <w:footnoteReference w:id="11"/>
      </w:r>
      <w:r>
        <w:t xml:space="preserve"> These innovations in account-related services </w:t>
      </w:r>
      <w:r w:rsidR="00107FBD">
        <w:t xml:space="preserve">are likely to </w:t>
      </w:r>
      <w:r>
        <w:t>be needed to attract or retain deposits. For banks, the investment in new technology often involves large fixed costs</w:t>
      </w:r>
      <w:r w:rsidR="00AF4242">
        <w:t>,</w:t>
      </w:r>
      <w:r>
        <w:t xml:space="preserve"> which are more easily defrayed by larger banks due to their economies of scale and scope. </w:t>
      </w:r>
    </w:p>
    <w:p w14:paraId="53879558" w14:textId="77777777" w:rsidR="00BC3661" w:rsidRDefault="00BC3661" w:rsidP="00BC3661">
      <w:pPr>
        <w:pStyle w:val="Heading3"/>
        <w:keepLines/>
        <w:numPr>
          <w:ilvl w:val="2"/>
          <w:numId w:val="20"/>
        </w:numPr>
      </w:pPr>
      <w:r>
        <w:t>Regulations</w:t>
      </w:r>
    </w:p>
    <w:p w14:paraId="13792E55" w14:textId="05845F9F" w:rsidR="00BC3661" w:rsidRDefault="00BC3661" w:rsidP="00BC3661">
      <w:pPr>
        <w:pStyle w:val="BodyText"/>
      </w:pPr>
      <w:r>
        <w:t>The introduction of deposit insurance (</w:t>
      </w:r>
      <w:r w:rsidR="00984D64">
        <w:t>the FCS)</w:t>
      </w:r>
      <w:r>
        <w:t xml:space="preserve"> and tighter liquidit</w:t>
      </w:r>
      <w:r w:rsidR="00984D64">
        <w:t>y regulations for banks (Basel l</w:t>
      </w:r>
      <w:r>
        <w:t xml:space="preserve">iquidity </w:t>
      </w:r>
      <w:r w:rsidR="00984D64">
        <w:t>standards</w:t>
      </w:r>
      <w:r>
        <w:t xml:space="preserve">) have both influenced competition in the deposit market. The FCS </w:t>
      </w:r>
      <w:r w:rsidR="00107FBD">
        <w:t xml:space="preserve">is likely to </w:t>
      </w:r>
      <w:r>
        <w:t xml:space="preserve">have </w:t>
      </w:r>
      <w:r w:rsidR="00DB6477">
        <w:t xml:space="preserve">enhanced </w:t>
      </w:r>
      <w:r>
        <w:t xml:space="preserve">competition to the extent that it </w:t>
      </w:r>
      <w:r w:rsidR="00652773">
        <w:t xml:space="preserve">has </w:t>
      </w:r>
      <w:r>
        <w:t xml:space="preserve">reduced perceptions that deposits at some institutions </w:t>
      </w:r>
      <w:r w:rsidR="00652773">
        <w:t xml:space="preserve">are </w:t>
      </w:r>
      <w:r>
        <w:t>safer than others. More recently, regulatory</w:t>
      </w:r>
      <w:r w:rsidR="00984D64">
        <w:t xml:space="preserve"> changes such as the Basel III l</w:t>
      </w:r>
      <w:r>
        <w:t>iquidity standard</w:t>
      </w:r>
      <w:r w:rsidR="00984D64">
        <w:t>s</w:t>
      </w:r>
      <w:r>
        <w:t xml:space="preserve"> </w:t>
      </w:r>
      <w:r w:rsidR="005003A7">
        <w:t xml:space="preserve">have incentivised banks to source more stable deposit funding, such as </w:t>
      </w:r>
      <w:r w:rsidR="00DB6477">
        <w:t>retail and longer maturity deposits.</w:t>
      </w:r>
    </w:p>
    <w:p w14:paraId="789C832C" w14:textId="77777777" w:rsidR="00BC3661" w:rsidRDefault="00BC3661" w:rsidP="00D077F6">
      <w:pPr>
        <w:pStyle w:val="Heading2"/>
      </w:pPr>
      <w:r>
        <w:t>Mortgages</w:t>
      </w:r>
    </w:p>
    <w:p w14:paraId="2761150A" w14:textId="5872064F" w:rsidR="00BC3661" w:rsidRDefault="00BC3661" w:rsidP="00BC3661">
      <w:pPr>
        <w:pStyle w:val="BodyText"/>
      </w:pPr>
      <w:r>
        <w:t>Competition for mortgage lending has been driven by many factors. A reduction in the funding cost</w:t>
      </w:r>
      <w:r w:rsidR="00D961B4">
        <w:t xml:space="preserve"> differential</w:t>
      </w:r>
      <w:r>
        <w:t xml:space="preserve"> </w:t>
      </w:r>
      <w:r w:rsidR="0035577F">
        <w:t xml:space="preserve">between </w:t>
      </w:r>
      <w:r>
        <w:t>the major banks</w:t>
      </w:r>
      <w:r w:rsidR="0035577F">
        <w:t xml:space="preserve"> and other ADIs</w:t>
      </w:r>
      <w:r>
        <w:t xml:space="preserve">, increased use of brokers and consolidation among smaller lenders </w:t>
      </w:r>
      <w:r w:rsidR="0035577F">
        <w:t xml:space="preserve">(which </w:t>
      </w:r>
      <w:r w:rsidR="00107FBD">
        <w:t>has</w:t>
      </w:r>
      <w:r w:rsidR="0035577F">
        <w:t xml:space="preserve"> improved their efficiency) </w:t>
      </w:r>
      <w:r>
        <w:t>have likely boosted competitive pressures</w:t>
      </w:r>
      <w:r w:rsidRPr="00030472">
        <w:t xml:space="preserve"> </w:t>
      </w:r>
      <w:r>
        <w:t xml:space="preserve">over recent years. Conversely, product bundling and a lack of transparency in the pricing of mortgages (with the prevalence of large unadvertised discounts in interest rates from advertised standard variable rates), </w:t>
      </w:r>
      <w:r w:rsidR="00846360">
        <w:t>are</w:t>
      </w:r>
      <w:r>
        <w:t xml:space="preserve"> impediments to </w:t>
      </w:r>
      <w:r w:rsidR="00652773">
        <w:t>competitive outcomes</w:t>
      </w:r>
      <w:r>
        <w:t>.</w:t>
      </w:r>
      <w:r w:rsidRPr="00DD0757">
        <w:t xml:space="preserve"> </w:t>
      </w:r>
      <w:r>
        <w:t>Dynamics in lending standards have also been a factor recently.</w:t>
      </w:r>
    </w:p>
    <w:p w14:paraId="5270E33E" w14:textId="77777777" w:rsidR="00BC3661" w:rsidRDefault="00BC3661" w:rsidP="00BC3661">
      <w:pPr>
        <w:pStyle w:val="Heading3"/>
        <w:keepLines/>
        <w:numPr>
          <w:ilvl w:val="2"/>
          <w:numId w:val="20"/>
        </w:numPr>
      </w:pPr>
      <w:r>
        <w:t>Developments since the financial crisis</w:t>
      </w:r>
    </w:p>
    <w:p w14:paraId="4FCAADB8" w14:textId="22E96691" w:rsidR="00BC3661" w:rsidRDefault="00BC3661" w:rsidP="00BC3661">
      <w:pPr>
        <w:pStyle w:val="BodyText"/>
      </w:pPr>
      <w:r>
        <w:t xml:space="preserve">The major banks’ share of the mortgage market increased sharply through the financial crisis as mortgage originators’ lending </w:t>
      </w:r>
      <w:r w:rsidR="006C03C8">
        <w:t>declined</w:t>
      </w:r>
      <w:r>
        <w:t xml:space="preserve"> and major banks acquired some smaller lenders</w:t>
      </w:r>
      <w:r w:rsidR="002641FF">
        <w:t xml:space="preserve"> (</w:t>
      </w:r>
      <w:r w:rsidR="002641FF">
        <w:fldChar w:fldCharType="begin"/>
      </w:r>
      <w:r w:rsidR="002641FF">
        <w:instrText xml:space="preserve"> REF _Ref492391881 \h </w:instrText>
      </w:r>
      <w:r w:rsidR="002641FF">
        <w:fldChar w:fldCharType="separate"/>
      </w:r>
      <w:r w:rsidR="00032843">
        <w:rPr>
          <w:noProof/>
        </w:rPr>
        <w:t>Graph 25</w:t>
      </w:r>
      <w:r w:rsidR="002641FF">
        <w:fldChar w:fldCharType="end"/>
      </w:r>
      <w:r w:rsidR="002641FF">
        <w:t>)</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tblGrid>
      <w:tr w:rsidR="00D90C1E" w14:paraId="0CE6FA94" w14:textId="77777777" w:rsidTr="00340790">
        <w:trPr>
          <w:jc w:val="center"/>
        </w:trPr>
        <w:tc>
          <w:tcPr>
            <w:tcW w:w="4365" w:type="dxa"/>
          </w:tcPr>
          <w:p w14:paraId="22200DFC" w14:textId="77777777" w:rsidR="00D90C1E" w:rsidRDefault="00D90C1E" w:rsidP="00D90C1E">
            <w:pPr>
              <w:pStyle w:val="GraphTitle"/>
              <w:rPr>
                <w:noProof/>
              </w:rPr>
            </w:pPr>
            <w:bookmarkStart w:id="27" w:name="_Ref492391881"/>
            <w:r>
              <w:rPr>
                <w:noProof/>
              </w:rPr>
              <w:t>Graph </w:t>
            </w:r>
            <w:r>
              <w:rPr>
                <w:noProof/>
              </w:rPr>
              <w:fldChar w:fldCharType="begin"/>
            </w:r>
            <w:r>
              <w:rPr>
                <w:noProof/>
              </w:rPr>
              <w:instrText xml:space="preserve"> SEQ Graph \* ARABIC \* MERGEFORMAT </w:instrText>
            </w:r>
            <w:r>
              <w:rPr>
                <w:noProof/>
              </w:rPr>
              <w:fldChar w:fldCharType="separate"/>
            </w:r>
            <w:r w:rsidR="00032843">
              <w:rPr>
                <w:noProof/>
              </w:rPr>
              <w:t>25</w:t>
            </w:r>
            <w:r>
              <w:rPr>
                <w:noProof/>
              </w:rPr>
              <w:fldChar w:fldCharType="end"/>
            </w:r>
            <w:bookmarkEnd w:id="27"/>
          </w:p>
          <w:p w14:paraId="42C54740" w14:textId="7BC70513" w:rsidR="00D90C1E" w:rsidRDefault="005C1EDC" w:rsidP="00D90C1E">
            <w:pPr>
              <w:jc w:val="both"/>
              <w:rPr>
                <w:sz w:val="21"/>
              </w:rPr>
            </w:pPr>
            <w:r>
              <w:rPr>
                <w:noProof/>
                <w:sz w:val="21"/>
              </w:rPr>
              <w:drawing>
                <wp:inline distT="0" distB="0" distL="0" distR="0" wp14:anchorId="384AE32A" wp14:editId="3CA056B0">
                  <wp:extent cx="2772000" cy="2520000"/>
                  <wp:effectExtent l="0" t="0" r="0" b="0"/>
                  <wp:docPr id="8" name="Picture 8" descr="G:\FS\_Dropbox\Major Banks’ Housing Loan Approval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FS\_Dropbox\Major Banks’ Housing Loan Approvals.emf"/>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5562891B" w14:textId="6E759682" w:rsidR="00BC3661" w:rsidRDefault="00BC3661" w:rsidP="00AB4285">
      <w:pPr>
        <w:pStyle w:val="BodyText"/>
        <w:spacing w:before="120"/>
      </w:pPr>
      <w:r>
        <w:t xml:space="preserve">Since the crisis, the major banks’ share has declined a little. </w:t>
      </w:r>
      <w:r w:rsidR="00DB6477">
        <w:t xml:space="preserve">This has mainly been due to an increase in the shares of </w:t>
      </w:r>
      <w:r>
        <w:t>incumbent smaller Australian banks, foreign banks and non-ADIs</w:t>
      </w:r>
      <w:r w:rsidR="00DB6477">
        <w:t>; there have not be</w:t>
      </w:r>
      <w:r w:rsidR="003C33C6">
        <w:t>en any significant new entrants.</w:t>
      </w:r>
      <w:r w:rsidR="006C03C8">
        <w:t xml:space="preserve"> </w:t>
      </w:r>
      <w:r>
        <w:t>Some of these lenders, such as non-ADIs, specialise in lending to higher</w:t>
      </w:r>
      <w:r w:rsidR="00CF593D">
        <w:t>-</w:t>
      </w:r>
      <w:r>
        <w:t xml:space="preserve">risk </w:t>
      </w:r>
      <w:r w:rsidR="00832154">
        <w:t xml:space="preserve">borrowers </w:t>
      </w:r>
      <w:sdt>
        <w:sdtPr>
          <w:id w:val="-1357034929"/>
          <w:citation/>
        </w:sdtPr>
        <w:sdtEndPr/>
        <w:sdtContent>
          <w:r w:rsidR="00832154">
            <w:fldChar w:fldCharType="begin"/>
          </w:r>
          <w:r w:rsidR="00832154">
            <w:instrText xml:space="preserve"> CITATION Spe_2016_11_22 \l 3081 </w:instrText>
          </w:r>
          <w:r w:rsidR="00832154">
            <w:fldChar w:fldCharType="separate"/>
          </w:r>
          <w:r w:rsidR="0018397C">
            <w:rPr>
              <w:noProof/>
            </w:rPr>
            <w:t>(Aylmer 2016)</w:t>
          </w:r>
          <w:r w:rsidR="00832154">
            <w:fldChar w:fldCharType="end"/>
          </w:r>
        </w:sdtContent>
      </w:sdt>
      <w:r w:rsidR="006C03C8">
        <w:t>. T</w:t>
      </w:r>
      <w:r>
        <w:t xml:space="preserve">he increase in </w:t>
      </w:r>
      <w:r w:rsidR="00D961B4">
        <w:t xml:space="preserve">the </w:t>
      </w:r>
      <w:r w:rsidR="006C03C8">
        <w:t xml:space="preserve">volume of activity for smaller lenders </w:t>
      </w:r>
      <w:r>
        <w:t>is likely to improve their economies of scale and capacity to compete.</w:t>
      </w:r>
      <w:r w:rsidRPr="00BC6A2D">
        <w:t xml:space="preserve"> </w:t>
      </w:r>
      <w:r>
        <w:t xml:space="preserve">More accurate measurement of the scale of activity undertaken by some non-ADIs in the mortgage market </w:t>
      </w:r>
      <w:r w:rsidR="00AD27D7">
        <w:t>will</w:t>
      </w:r>
      <w:r>
        <w:t xml:space="preserve"> result from changes to the </w:t>
      </w:r>
      <w:r w:rsidRPr="00984D64">
        <w:rPr>
          <w:i/>
        </w:rPr>
        <w:t xml:space="preserve">Financial Sector </w:t>
      </w:r>
      <w:r w:rsidR="00984D64" w:rsidRPr="00984D64">
        <w:rPr>
          <w:i/>
        </w:rPr>
        <w:t>(</w:t>
      </w:r>
      <w:r w:rsidRPr="00984D64">
        <w:rPr>
          <w:i/>
        </w:rPr>
        <w:t>Collection of Data</w:t>
      </w:r>
      <w:r w:rsidR="00984D64" w:rsidRPr="00984D64">
        <w:rPr>
          <w:i/>
        </w:rPr>
        <w:t>)</w:t>
      </w:r>
      <w:r w:rsidRPr="00984D64">
        <w:rPr>
          <w:i/>
        </w:rPr>
        <w:t xml:space="preserve"> Act</w:t>
      </w:r>
      <w:r w:rsidR="00984D64" w:rsidRPr="00984D64">
        <w:rPr>
          <w:i/>
        </w:rPr>
        <w:t xml:space="preserve"> 2001</w:t>
      </w:r>
      <w:r>
        <w:t xml:space="preserve">. </w:t>
      </w:r>
    </w:p>
    <w:p w14:paraId="4032AE18" w14:textId="736CC961" w:rsidR="00BC3661" w:rsidRDefault="00BC3661" w:rsidP="00BC3661">
      <w:pPr>
        <w:pStyle w:val="BodyText"/>
      </w:pPr>
      <w:r>
        <w:t xml:space="preserve">Increasing use of the broker market to originate loans by smaller lenders and consolidation among credit unions and building societies over recent years </w:t>
      </w:r>
      <w:r w:rsidR="00DC7AC4">
        <w:t>are</w:t>
      </w:r>
      <w:r w:rsidR="00846360">
        <w:t xml:space="preserve"> </w:t>
      </w:r>
      <w:r>
        <w:t>also</w:t>
      </w:r>
      <w:r w:rsidR="00846360">
        <w:t xml:space="preserve"> likely to</w:t>
      </w:r>
      <w:r>
        <w:t xml:space="preserve"> boost the efficiency of these entities. In contrast, many foreign banks have little or no presence in the Australian mortgage market despite </w:t>
      </w:r>
      <w:r w:rsidR="00DC7AC4">
        <w:t>being able</w:t>
      </w:r>
      <w:r>
        <w:t xml:space="preserve"> to leverage the home</w:t>
      </w:r>
      <w:r w:rsidR="00CF593D">
        <w:t>-</w:t>
      </w:r>
      <w:r>
        <w:t xml:space="preserve">lending infrastructure in their home markets. </w:t>
      </w:r>
      <w:r w:rsidR="00652773">
        <w:t>In the past,</w:t>
      </w:r>
      <w:r>
        <w:t xml:space="preserve"> new entrants </w:t>
      </w:r>
      <w:r w:rsidR="00652773">
        <w:t xml:space="preserve">might have found it more costly </w:t>
      </w:r>
      <w:r w:rsidR="000F0A21">
        <w:t xml:space="preserve">to set up new retail operations, requiring a branch network and name recognition, than </w:t>
      </w:r>
      <w:r>
        <w:t xml:space="preserve">to set up wholesale banking businesses to provide services to existing wholesale clients. </w:t>
      </w:r>
    </w:p>
    <w:p w14:paraId="061A1E2F" w14:textId="179AC503" w:rsidR="00BC3661" w:rsidRDefault="00BC3661" w:rsidP="00BC3661">
      <w:pPr>
        <w:pStyle w:val="BodyText"/>
      </w:pPr>
      <w:r>
        <w:t xml:space="preserve">Increased use of brokers by borrowers </w:t>
      </w:r>
      <w:r w:rsidR="00846360">
        <w:t>has</w:t>
      </w:r>
      <w:r>
        <w:t xml:space="preserve"> resulted in greater competition among lenders via this loan origination channel. </w:t>
      </w:r>
      <w:r w:rsidR="009114E7">
        <w:t>Smaller lenders have made greater use of this distribution channel than the major banks because it is lower cost than a branch network</w:t>
      </w:r>
      <w:r w:rsidR="00DC7AC4">
        <w:t xml:space="preserve"> (</w:t>
      </w:r>
      <w:r w:rsidR="00DC7AC4">
        <w:fldChar w:fldCharType="begin"/>
      </w:r>
      <w:r w:rsidR="00DC7AC4">
        <w:instrText xml:space="preserve"> REF _Ref492391940 \h </w:instrText>
      </w:r>
      <w:r w:rsidR="00DC7AC4">
        <w:fldChar w:fldCharType="separate"/>
      </w:r>
      <w:r w:rsidR="00032843">
        <w:rPr>
          <w:noProof/>
        </w:rPr>
        <w:t>Graph 26</w:t>
      </w:r>
      <w:r w:rsidR="00DC7AC4">
        <w:fldChar w:fldCharType="end"/>
      </w:r>
      <w:r w:rsidR="00DC7AC4">
        <w:t>)</w:t>
      </w:r>
      <w:r w:rsidR="009114E7">
        <w:t xml:space="preserve">. For borrowers, </w:t>
      </w:r>
      <w:r>
        <w:t>brokers reduce search costs by efficiently comparing deals across lenders. The introduction of a wider range of mortgage products, partly in response to prudential regulations, has increased the benefits for consumers of using brokers.</w:t>
      </w:r>
      <w:r w:rsidR="006C03C8">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tblGrid>
      <w:tr w:rsidR="008B7995" w14:paraId="4812BAA8" w14:textId="77777777" w:rsidTr="00340790">
        <w:trPr>
          <w:jc w:val="center"/>
        </w:trPr>
        <w:tc>
          <w:tcPr>
            <w:tcW w:w="4365" w:type="dxa"/>
          </w:tcPr>
          <w:p w14:paraId="2CD352CE" w14:textId="77777777" w:rsidR="008B7995" w:rsidRDefault="008B7995" w:rsidP="008A18B9">
            <w:pPr>
              <w:pStyle w:val="GraphTitle"/>
              <w:rPr>
                <w:noProof/>
              </w:rPr>
            </w:pPr>
            <w:bookmarkStart w:id="28" w:name="_Ref492391940"/>
            <w:r>
              <w:rPr>
                <w:noProof/>
              </w:rPr>
              <w:t>Graph </w:t>
            </w:r>
            <w:r>
              <w:rPr>
                <w:noProof/>
              </w:rPr>
              <w:fldChar w:fldCharType="begin"/>
            </w:r>
            <w:r>
              <w:rPr>
                <w:noProof/>
              </w:rPr>
              <w:instrText xml:space="preserve"> SEQ Graph \* ARABIC \* MERGEFORMAT </w:instrText>
            </w:r>
            <w:r>
              <w:rPr>
                <w:noProof/>
              </w:rPr>
              <w:fldChar w:fldCharType="separate"/>
            </w:r>
            <w:r w:rsidR="00032843">
              <w:rPr>
                <w:noProof/>
              </w:rPr>
              <w:t>26</w:t>
            </w:r>
            <w:r>
              <w:rPr>
                <w:noProof/>
              </w:rPr>
              <w:fldChar w:fldCharType="end"/>
            </w:r>
            <w:bookmarkEnd w:id="28"/>
          </w:p>
          <w:p w14:paraId="421C7484" w14:textId="1BACCAD5" w:rsidR="008B7995" w:rsidRDefault="001558E2" w:rsidP="008A18B9">
            <w:pPr>
              <w:jc w:val="both"/>
              <w:rPr>
                <w:sz w:val="21"/>
              </w:rPr>
            </w:pPr>
            <w:r>
              <w:rPr>
                <w:noProof/>
                <w:sz w:val="21"/>
              </w:rPr>
              <w:drawing>
                <wp:inline distT="0" distB="0" distL="0" distR="0" wp14:anchorId="7F348DE9" wp14:editId="7C25BE58">
                  <wp:extent cx="2775600" cy="2520000"/>
                  <wp:effectExtent l="0" t="0" r="5715" b="0"/>
                  <wp:docPr id="61" name="Picture 61" descr="G:\FS\_Dropbox\Third-party Originated Loan Approval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G:\FS\_Dropbox\Third-party Originated Loan Approvals.emf"/>
                          <pic:cNvPicPr preferRelativeResize="0">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75600" cy="2520000"/>
                          </a:xfrm>
                          <a:prstGeom prst="rect">
                            <a:avLst/>
                          </a:prstGeom>
                          <a:noFill/>
                          <a:ln>
                            <a:noFill/>
                          </a:ln>
                        </pic:spPr>
                      </pic:pic>
                    </a:graphicData>
                  </a:graphic>
                </wp:inline>
              </w:drawing>
            </w:r>
          </w:p>
        </w:tc>
      </w:tr>
    </w:tbl>
    <w:p w14:paraId="5503FD11" w14:textId="0871DDD3" w:rsidR="00BC3661" w:rsidRDefault="00AD27D7" w:rsidP="00BC3661">
      <w:pPr>
        <w:pStyle w:val="Heading3"/>
        <w:keepLines/>
        <w:numPr>
          <w:ilvl w:val="2"/>
          <w:numId w:val="20"/>
        </w:numPr>
      </w:pPr>
      <w:r>
        <w:t>L</w:t>
      </w:r>
      <w:r w:rsidR="00BC3661">
        <w:t>ending standards</w:t>
      </w:r>
    </w:p>
    <w:p w14:paraId="15104846" w14:textId="23515CDA" w:rsidR="00BC3661" w:rsidRDefault="00BC3661" w:rsidP="00BC3661">
      <w:pPr>
        <w:pStyle w:val="BodyText"/>
      </w:pPr>
      <w:r>
        <w:t xml:space="preserve">Developments in lending standards have also had an effect on competition recently. As housing credit growth increased after 2012, strong competition for mortgage lending resulted in a weakening in lending standards and increased </w:t>
      </w:r>
      <w:r w:rsidR="00EF7BC3">
        <w:t>risk-</w:t>
      </w:r>
      <w:r>
        <w:t>taking by both housing lenders and borrowers. However, over the past few years banks have reassessed their approach to the risks in mortgage lending. This has been partly driven by prudential regulations designed to reduce risks in the mortgage market</w:t>
      </w:r>
      <w:r w:rsidR="00404480">
        <w:t>,</w:t>
      </w:r>
      <w:r>
        <w:t xml:space="preserve"> which have been effective in tightening lending standards. It has also been driven by changes in lenders’ risk appetite as a result of several developments, including a rise in non-performing loans and a focus on risks of oversupply in </w:t>
      </w:r>
      <w:r w:rsidR="00AD27D7">
        <w:t>some</w:t>
      </w:r>
      <w:r>
        <w:t xml:space="preserve"> apartment market</w:t>
      </w:r>
      <w:r w:rsidR="00AD27D7">
        <w:t>s</w:t>
      </w:r>
      <w:r>
        <w:t xml:space="preserve">. As a consequence of these developments, there has been a broad tightening in lending standards, and reduced supply of credit for various market segments. This includes </w:t>
      </w:r>
      <w:r w:rsidR="00DC7AC4">
        <w:t xml:space="preserve">the </w:t>
      </w:r>
      <w:r>
        <w:t xml:space="preserve">investor, non-resident, </w:t>
      </w:r>
      <w:r w:rsidR="004F22AD">
        <w:t>high-</w:t>
      </w:r>
      <w:r>
        <w:t xml:space="preserve">LVR and interest-only </w:t>
      </w:r>
      <w:r w:rsidR="00DC7AC4">
        <w:t xml:space="preserve">segments, as well as </w:t>
      </w:r>
      <w:r>
        <w:t xml:space="preserve">some regions. </w:t>
      </w:r>
    </w:p>
    <w:p w14:paraId="2CB169C4" w14:textId="50EA5858" w:rsidR="00BC3661" w:rsidRDefault="00BC3661" w:rsidP="00BC3661">
      <w:pPr>
        <w:pStyle w:val="BodyText"/>
      </w:pPr>
      <w:r>
        <w:t xml:space="preserve">The major banks were among the lenders that were competing </w:t>
      </w:r>
      <w:r w:rsidR="000F0A21">
        <w:t xml:space="preserve">strongly </w:t>
      </w:r>
      <w:r>
        <w:t>in many of these segments. They</w:t>
      </w:r>
      <w:r w:rsidR="00CC6D94">
        <w:t>,</w:t>
      </w:r>
      <w:r>
        <w:t xml:space="preserve"> and other lenders</w:t>
      </w:r>
      <w:r w:rsidR="00CC6D94">
        <w:t>,</w:t>
      </w:r>
      <w:r>
        <w:t xml:space="preserve"> have tightened their lending criteria</w:t>
      </w:r>
      <w:r w:rsidR="000F0A21">
        <w:t>,</w:t>
      </w:r>
      <w:r w:rsidR="00CE2A04">
        <w:t xml:space="preserve"> </w:t>
      </w:r>
      <w:r w:rsidR="00332331">
        <w:t xml:space="preserve">raised interest rates and </w:t>
      </w:r>
      <w:r w:rsidRPr="00332331">
        <w:t>pulled</w:t>
      </w:r>
      <w:r>
        <w:t xml:space="preserve"> back from </w:t>
      </w:r>
      <w:r w:rsidR="00CC6D94">
        <w:t>higher-</w:t>
      </w:r>
      <w:r>
        <w:t>risk lending. As they have done so, some smaller lenders (some of which have a lower risk appetite than the major banks)</w:t>
      </w:r>
      <w:r w:rsidR="00CC6D94">
        <w:t>,</w:t>
      </w:r>
      <w:r>
        <w:t xml:space="preserve"> have regained market share</w:t>
      </w:r>
      <w:r w:rsidR="000F0A21">
        <w:t>, supported by strong ongoing</w:t>
      </w:r>
      <w:r>
        <w:t xml:space="preserve"> demand for housing credit. </w:t>
      </w:r>
    </w:p>
    <w:p w14:paraId="2D3350DB" w14:textId="2E6A3389" w:rsidR="00BC3661" w:rsidRDefault="00BC3661" w:rsidP="00BC3661">
      <w:pPr>
        <w:pStyle w:val="BodyText"/>
      </w:pPr>
      <w:r>
        <w:t xml:space="preserve">There have been other effects of the tightening in lending standards by ADIs. One has been a </w:t>
      </w:r>
      <w:r w:rsidR="000F0A21">
        <w:t xml:space="preserve">reduction in the </w:t>
      </w:r>
      <w:r>
        <w:t>level of refinancing. This followed a period of very strong growth in refinancing from 2012 through to mid</w:t>
      </w:r>
      <w:r w:rsidR="006E5930">
        <w:t xml:space="preserve"> </w:t>
      </w:r>
      <w:r>
        <w:t xml:space="preserve">2015 </w:t>
      </w:r>
      <w:r w:rsidR="00737CBD">
        <w:t xml:space="preserve">when </w:t>
      </w:r>
      <w:r>
        <w:t xml:space="preserve">lenders, including the major banks, </w:t>
      </w:r>
      <w:r w:rsidR="00DC7AC4">
        <w:t>actively competed</w:t>
      </w:r>
      <w:r>
        <w:t xml:space="preserve"> for each other’s existing customers through greater price discounting, fee waivers and cash back for refinanced loans. Another effect has been that some borrowers, such as non-residents, </w:t>
      </w:r>
      <w:r w:rsidR="00AD27D7">
        <w:t>are</w:t>
      </w:r>
      <w:r>
        <w:t xml:space="preserve"> no longer able to access credit from ADIs and have instead sought credit from non-ADIs. </w:t>
      </w:r>
    </w:p>
    <w:p w14:paraId="24B1B46E" w14:textId="2D5CAACA" w:rsidR="00BC3661" w:rsidRDefault="00BC3661" w:rsidP="00BC3661">
      <w:pPr>
        <w:pStyle w:val="Heading3"/>
        <w:keepLines/>
        <w:numPr>
          <w:ilvl w:val="2"/>
          <w:numId w:val="20"/>
        </w:numPr>
      </w:pPr>
      <w:r>
        <w:t xml:space="preserve">Price </w:t>
      </w:r>
      <w:r w:rsidR="00DC7AC4">
        <w:t>c</w:t>
      </w:r>
      <w:r>
        <w:t>ompetition</w:t>
      </w:r>
    </w:p>
    <w:p w14:paraId="5063B5C1" w14:textId="4EF46B01" w:rsidR="00BC3661" w:rsidRDefault="00BC3661" w:rsidP="00BC3661">
      <w:pPr>
        <w:pStyle w:val="BodyText"/>
      </w:pPr>
      <w:r>
        <w:t>The typical Australia</w:t>
      </w:r>
      <w:r w:rsidR="00332331">
        <w:t>n</w:t>
      </w:r>
      <w:r>
        <w:t xml:space="preserve"> mortgage offered by the major banks is priced </w:t>
      </w:r>
      <w:r w:rsidR="000F0A21">
        <w:t xml:space="preserve">with reference to </w:t>
      </w:r>
      <w:r>
        <w:t xml:space="preserve">a benchmark standard variable rate (SVR). Major banks typically offer advertised and unadvertised discounts below the benchmark rate, with the discount dependent on factors such as the loan size and LVR, the number of products the customer has with the bank and other borrower or product attributes. Many smaller lenders do not offer unadvertised discounts, partly because of the higher costs involved in negotiating these agreements. </w:t>
      </w:r>
      <w:r w:rsidR="009114E7">
        <w:t>Unadvertised discounts also appear to be offered in some o</w:t>
      </w:r>
      <w:r>
        <w:t>verseas mortgage markets</w:t>
      </w:r>
      <w:r w:rsidR="007638F2">
        <w:t>,</w:t>
      </w:r>
      <w:r>
        <w:t xml:space="preserve"> such as</w:t>
      </w:r>
      <w:r w:rsidR="00AD27D7">
        <w:t xml:space="preserve"> in</w:t>
      </w:r>
      <w:r>
        <w:t xml:space="preserve"> the U</w:t>
      </w:r>
      <w:r w:rsidR="00AD27D7">
        <w:t xml:space="preserve">nited </w:t>
      </w:r>
      <w:r>
        <w:t>K</w:t>
      </w:r>
      <w:r w:rsidR="00AD27D7">
        <w:t>ingdom</w:t>
      </w:r>
      <w:r>
        <w:t xml:space="preserve"> and Canada</w:t>
      </w:r>
      <w:r w:rsidR="009114E7">
        <w:t>.</w:t>
      </w:r>
      <w:r>
        <w:t xml:space="preserve"> </w:t>
      </w:r>
    </w:p>
    <w:p w14:paraId="1C408621" w14:textId="542B90FF" w:rsidR="00BC3661" w:rsidRPr="009B7F29" w:rsidRDefault="00BC3661" w:rsidP="00BC3661">
      <w:pPr>
        <w:pStyle w:val="BodyText"/>
        <w:rPr>
          <w:sz w:val="22"/>
          <w:szCs w:val="22"/>
        </w:rPr>
      </w:pPr>
      <w:r>
        <w:t xml:space="preserve">The difference between the major banks’ SVR and the average rate paid by borrowers is significant and has changed through time. Since 2010 the average discount for all loans from a standard variable interest rate on a principal-and-interest loan for an owner-occupier has increased from around </w:t>
      </w:r>
      <w:r w:rsidR="00AD27D7">
        <w:t>60 </w:t>
      </w:r>
      <w:r>
        <w:t xml:space="preserve">basis points to around </w:t>
      </w:r>
      <w:r w:rsidR="00B92D71">
        <w:t>9</w:t>
      </w:r>
      <w:r>
        <w:t>0 basis points. The average discount for new borrowers exceeds that of existing borrowers and a large proportion of the discount is unadvertised</w:t>
      </w:r>
      <w:r w:rsidR="009B7F29">
        <w:t xml:space="preserve"> (</w:t>
      </w:r>
      <w:r w:rsidR="009B7F29">
        <w:fldChar w:fldCharType="begin"/>
      </w:r>
      <w:r w:rsidR="009B7F29">
        <w:instrText xml:space="preserve"> REF _Ref493177390 \h </w:instrText>
      </w:r>
      <w:r w:rsidR="009B7F29">
        <w:fldChar w:fldCharType="separate"/>
      </w:r>
      <w:r w:rsidR="00032843">
        <w:t>Graph </w:t>
      </w:r>
      <w:r w:rsidR="00032843">
        <w:rPr>
          <w:noProof/>
        </w:rPr>
        <w:t>27</w:t>
      </w:r>
      <w:r w:rsidR="009B7F29">
        <w:fldChar w:fldCharType="end"/>
      </w:r>
      <w:r w:rsidR="009B7F29">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60"/>
      </w:tblGrid>
      <w:tr w:rsidR="00B341BD" w14:paraId="72250CFC" w14:textId="77777777" w:rsidTr="00B341BD">
        <w:trPr>
          <w:jc w:val="center"/>
        </w:trPr>
        <w:tc>
          <w:tcPr>
            <w:tcW w:w="4660" w:type="dxa"/>
          </w:tcPr>
          <w:p w14:paraId="03F8DC7E" w14:textId="77777777" w:rsidR="00B341BD" w:rsidRDefault="00B341BD" w:rsidP="00B341BD">
            <w:pPr>
              <w:pStyle w:val="GraphTitle"/>
              <w:spacing w:after="0"/>
            </w:pPr>
            <w:bookmarkStart w:id="29" w:name="_Ref493177390"/>
            <w:bookmarkStart w:id="30" w:name="_Ref492997162"/>
            <w:r>
              <w:t>Graph </w:t>
            </w:r>
            <w:fldSimple w:instr=" SEQ Graph \* ARABIC \* MERGEFORMAT ">
              <w:r w:rsidR="00032843">
                <w:rPr>
                  <w:noProof/>
                </w:rPr>
                <w:t>27</w:t>
              </w:r>
            </w:fldSimple>
            <w:bookmarkEnd w:id="29"/>
          </w:p>
          <w:p w14:paraId="6B6739E6" w14:textId="389ADFD4" w:rsidR="00B341BD" w:rsidRDefault="00B341BD" w:rsidP="00B341BD">
            <w:pPr>
              <w:pStyle w:val="GraphTitle"/>
              <w:spacing w:before="0" w:after="0"/>
            </w:pPr>
            <w:r>
              <w:rPr>
                <w:noProof/>
              </w:rPr>
              <w:drawing>
                <wp:inline distT="0" distB="0" distL="0" distR="0" wp14:anchorId="28898B4E" wp14:editId="3FB1E728">
                  <wp:extent cx="2952000" cy="2520000"/>
                  <wp:effectExtent l="0" t="0" r="1270" b="0"/>
                  <wp:docPr id="6" name="Picture 6" descr="G:\FS\_Dropbox\Variable Housing Interest Rate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G:\FS\_Dropbox\Variable Housing Interest Rates.emf"/>
                          <pic:cNvPicPr preferRelativeResize="0">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52000" cy="2520000"/>
                          </a:xfrm>
                          <a:prstGeom prst="rect">
                            <a:avLst/>
                          </a:prstGeom>
                          <a:noFill/>
                          <a:ln>
                            <a:noFill/>
                          </a:ln>
                        </pic:spPr>
                      </pic:pic>
                    </a:graphicData>
                  </a:graphic>
                </wp:inline>
              </w:drawing>
            </w:r>
          </w:p>
        </w:tc>
      </w:tr>
    </w:tbl>
    <w:bookmarkEnd w:id="30"/>
    <w:p w14:paraId="726671BB" w14:textId="5710CE57" w:rsidR="00BC3661" w:rsidRDefault="00BC3661" w:rsidP="00AB4285">
      <w:pPr>
        <w:pStyle w:val="BodyText"/>
        <w:spacing w:before="120"/>
      </w:pPr>
      <w:r>
        <w:t xml:space="preserve">Borrowers’ capacity to source the best deal and assess the benefits of switching providers has been assisted by the introduction of brokers and comparison websites. However, it is not clear that there is sufficient transparency in the mortgage market for existing borrowers to easily assess whether they have a good deal or whether they should consider refinancing. </w:t>
      </w:r>
    </w:p>
    <w:p w14:paraId="53B30C22" w14:textId="779B3D9F" w:rsidR="00BC3661" w:rsidRDefault="00BC3661" w:rsidP="00BC3661">
      <w:pPr>
        <w:pStyle w:val="BodyText"/>
      </w:pPr>
      <w:r>
        <w:t xml:space="preserve">A notable recent development has been a re-emergence of significant variation in interest rates between different borrowers and loan types in the mortgage market, reflecting </w:t>
      </w:r>
      <w:r w:rsidR="00DC7AC4">
        <w:t xml:space="preserve">both regulation and </w:t>
      </w:r>
      <w:r>
        <w:t>a re</w:t>
      </w:r>
      <w:r w:rsidR="00832154">
        <w:t xml:space="preserve">assessment of risk </w:t>
      </w:r>
      <w:sdt>
        <w:sdtPr>
          <w:id w:val="788702647"/>
          <w:citation/>
        </w:sdtPr>
        <w:sdtEndPr/>
        <w:sdtContent>
          <w:r w:rsidR="00832154">
            <w:fldChar w:fldCharType="begin"/>
          </w:r>
          <w:r w:rsidR="00832154">
            <w:instrText xml:space="preserve"> CITATION Ken17 \l 3081 </w:instrText>
          </w:r>
          <w:r w:rsidR="00832154">
            <w:fldChar w:fldCharType="separate"/>
          </w:r>
          <w:r w:rsidR="0018397C">
            <w:rPr>
              <w:noProof/>
            </w:rPr>
            <w:t>(Kent 2017)</w:t>
          </w:r>
          <w:r w:rsidR="00832154">
            <w:fldChar w:fldCharType="end"/>
          </w:r>
        </w:sdtContent>
      </w:sdt>
      <w:r>
        <w:t>. Lending rates for investors and interest-only borrowers now have a significant premium relative to owner-occupier and principal-and-interest loans. This has in part occurred in response to APRA measures designed to limit the flow of new lending in these categories</w:t>
      </w:r>
      <w:r w:rsidR="00DC7AC4">
        <w:t>.</w:t>
      </w:r>
      <w:r>
        <w:t xml:space="preserve"> </w:t>
      </w:r>
      <w:r w:rsidR="00DC7AC4">
        <w:t>However</w:t>
      </w:r>
      <w:r w:rsidR="009D23F5">
        <w:t>,</w:t>
      </w:r>
      <w:r w:rsidR="00DC7AC4">
        <w:t xml:space="preserve"> </w:t>
      </w:r>
      <w:r>
        <w:t xml:space="preserve">banks have sought to </w:t>
      </w:r>
      <w:r w:rsidR="00DC7AC4">
        <w:t>manage lending flows</w:t>
      </w:r>
      <w:r>
        <w:t xml:space="preserve"> by adjusting pricing to both new loans and </w:t>
      </w:r>
      <w:r w:rsidR="000F0A21">
        <w:t>existing loans</w:t>
      </w:r>
      <w:r>
        <w:t xml:space="preserve">. The interest rate increases have boosted </w:t>
      </w:r>
      <w:r w:rsidR="000F0A21">
        <w:t xml:space="preserve">banks’ </w:t>
      </w:r>
      <w:r>
        <w:t xml:space="preserve">spread on housing lending and banks’ margins, but </w:t>
      </w:r>
      <w:r w:rsidR="00DC7AC4">
        <w:t xml:space="preserve">this </w:t>
      </w:r>
      <w:r>
        <w:t>at least in part reflect</w:t>
      </w:r>
      <w:r w:rsidR="00DC7AC4">
        <w:t>s</w:t>
      </w:r>
      <w:r>
        <w:t xml:space="preserve"> the higher risk of these loans.</w:t>
      </w:r>
      <w:r w:rsidRPr="00C6217D">
        <w:t xml:space="preserve"> </w:t>
      </w:r>
      <w:r>
        <w:t>In contrast, there has reportedly been stronger price competition for owner-occupiers taking principal-and-interest loans.</w:t>
      </w:r>
    </w:p>
    <w:p w14:paraId="16CB5097" w14:textId="5DC22916" w:rsidR="00BC3661" w:rsidRDefault="00F94EF8" w:rsidP="009652ED">
      <w:pPr>
        <w:pStyle w:val="Heading2"/>
      </w:pPr>
      <w:r>
        <w:t>Small business l</w:t>
      </w:r>
      <w:r w:rsidR="00BC3661">
        <w:t>ending</w:t>
      </w:r>
    </w:p>
    <w:p w14:paraId="10DF6DDA" w14:textId="1997FB8B" w:rsidR="00BC3661" w:rsidRPr="00AF543C" w:rsidRDefault="00BC3661" w:rsidP="00BC3661">
      <w:pPr>
        <w:pStyle w:val="BodyText"/>
      </w:pPr>
      <w:r>
        <w:t>Unlike the</w:t>
      </w:r>
      <w:r w:rsidR="000F0A21">
        <w:t xml:space="preserve"> market for</w:t>
      </w:r>
      <w:r>
        <w:t xml:space="preserve"> large business loans, </w:t>
      </w:r>
      <w:r w:rsidR="000F0A21">
        <w:t xml:space="preserve">where competition appears to have intensified recently, </w:t>
      </w:r>
      <w:r>
        <w:t>competition for small business lending appears not to have changed much since the financial crisis. This is likely to be partly due to the greater structural impediments</w:t>
      </w:r>
      <w:r w:rsidR="003809F0">
        <w:t xml:space="preserve"> </w:t>
      </w:r>
      <w:r>
        <w:t>that this market has to overcome</w:t>
      </w:r>
      <w:r w:rsidR="000F0A21">
        <w:t>,</w:t>
      </w:r>
      <w:r w:rsidR="000F0A21" w:rsidRPr="000F0A21">
        <w:t xml:space="preserve"> </w:t>
      </w:r>
      <w:r w:rsidR="000F0A21">
        <w:t>such as information asymmetries</w:t>
      </w:r>
      <w:r>
        <w:t xml:space="preserve">. Comprehensive credit reporting, open data, innovations from new providers of finance that are making greater use of technology, and the government’s initiative to increase access to crowdsourced equity financing have the potential to increase competition for small business finance. </w:t>
      </w:r>
      <w:r w:rsidR="000F0A21">
        <w:t xml:space="preserve">On the other hand, product </w:t>
      </w:r>
      <w:r>
        <w:t xml:space="preserve">bundling and a low level of transparency in lending rate outcomes across different segments of the small businesses loan market </w:t>
      </w:r>
      <w:r w:rsidR="009D23F5">
        <w:t>are</w:t>
      </w:r>
      <w:r w:rsidR="00846360">
        <w:t xml:space="preserve"> likely to </w:t>
      </w:r>
      <w:r>
        <w:t xml:space="preserve">be inhibiting competition. </w:t>
      </w:r>
    </w:p>
    <w:p w14:paraId="6685F220" w14:textId="77777777" w:rsidR="00BC3661" w:rsidRDefault="00BC3661" w:rsidP="00BC3661">
      <w:pPr>
        <w:pStyle w:val="Heading3"/>
        <w:numPr>
          <w:ilvl w:val="0"/>
          <w:numId w:val="0"/>
        </w:numPr>
      </w:pPr>
      <w:r>
        <w:t>Defining the small business lending market</w:t>
      </w:r>
    </w:p>
    <w:p w14:paraId="3BA69CBA" w14:textId="7699C3DB" w:rsidR="00BC3661" w:rsidRDefault="00BC3661" w:rsidP="00BC3661">
      <w:pPr>
        <w:pStyle w:val="BodyText"/>
      </w:pPr>
      <w:r>
        <w:t xml:space="preserve">Defining the small business segment is somewhat difficult due to the presence of </w:t>
      </w:r>
      <w:r w:rsidR="000F0A21">
        <w:t xml:space="preserve">alternative </w:t>
      </w:r>
      <w:r>
        <w:t>d</w:t>
      </w:r>
      <w:r w:rsidR="00832154">
        <w:t xml:space="preserve">efinitions of a small business </w:t>
      </w:r>
      <w:sdt>
        <w:sdtPr>
          <w:id w:val="-1164317757"/>
          <w:citation/>
        </w:sdtPr>
        <w:sdtEndPr/>
        <w:sdtContent>
          <w:r w:rsidR="00832154">
            <w:fldChar w:fldCharType="begin"/>
          </w:r>
          <w:r w:rsidR="00832154">
            <w:instrText xml:space="preserve">CITATION Sim \l 3081 </w:instrText>
          </w:r>
          <w:r w:rsidR="00832154">
            <w:fldChar w:fldCharType="separate"/>
          </w:r>
          <w:r w:rsidR="0018397C">
            <w:rPr>
              <w:noProof/>
            </w:rPr>
            <w:t>(Simon and Moore 2015)</w:t>
          </w:r>
          <w:r w:rsidR="00832154">
            <w:fldChar w:fldCharType="end"/>
          </w:r>
        </w:sdtContent>
      </w:sdt>
      <w:r>
        <w:t>. For ADIs, lending to businesses in amounts lower than $1</w:t>
      </w:r>
      <w:r w:rsidR="00574683">
        <w:t>–</w:t>
      </w:r>
      <w:r w:rsidR="00DC7AC4">
        <w:t>2 </w:t>
      </w:r>
      <w:r>
        <w:t xml:space="preserve">million dollars is typically categorised as a small business loan. </w:t>
      </w:r>
      <w:r w:rsidR="000F0A21">
        <w:t xml:space="preserve">An alternative </w:t>
      </w:r>
      <w:r>
        <w:t xml:space="preserve">measure of small business lending </w:t>
      </w:r>
      <w:r w:rsidR="00B51CCD">
        <w:t>is</w:t>
      </w:r>
      <w:r>
        <w:t xml:space="preserve"> lending to unincorporated businesses. </w:t>
      </w:r>
    </w:p>
    <w:p w14:paraId="01D76304" w14:textId="03FBA9E4" w:rsidR="00BC3661" w:rsidRDefault="00BC3661" w:rsidP="00BC3661">
      <w:pPr>
        <w:pStyle w:val="BodyText"/>
      </w:pPr>
      <w:r>
        <w:t xml:space="preserve">The business lending market can also be decomposed along a number of dimensions, such as by </w:t>
      </w:r>
      <w:r w:rsidR="00DC7AC4">
        <w:t xml:space="preserve">industry and </w:t>
      </w:r>
      <w:r>
        <w:t>age of business. The intensity of competition within a particular segment or industry is likely to be influenced by the number and types of lending participants and their risk appetite</w:t>
      </w:r>
      <w:r w:rsidR="00AD27D7">
        <w:t>s</w:t>
      </w:r>
      <w:r>
        <w:t>. While the major banks tend to offer lending products to most segments of the small business loan market, many smaller local and foreign lenders tend to specialise. One example is the large market share in lending to the agricultural sector by foreign banks. Assessing the nature of competition in each of these segments is beyond the scope of this submission.</w:t>
      </w:r>
    </w:p>
    <w:p w14:paraId="3EFE42F5" w14:textId="29A72FE4" w:rsidR="00BC3661" w:rsidRDefault="00BC3661" w:rsidP="00BC3661">
      <w:pPr>
        <w:pStyle w:val="Heading3"/>
        <w:keepLines/>
        <w:numPr>
          <w:ilvl w:val="2"/>
          <w:numId w:val="20"/>
        </w:numPr>
      </w:pPr>
      <w:r>
        <w:t xml:space="preserve">Credit </w:t>
      </w:r>
      <w:r w:rsidR="00574683">
        <w:t>r</w:t>
      </w:r>
      <w:r>
        <w:t xml:space="preserve">isk and </w:t>
      </w:r>
      <w:r w:rsidR="00574683">
        <w:t>i</w:t>
      </w:r>
      <w:r>
        <w:t xml:space="preserve">nformation </w:t>
      </w:r>
      <w:r w:rsidR="00574683">
        <w:t>c</w:t>
      </w:r>
      <w:r>
        <w:t>osts</w:t>
      </w:r>
    </w:p>
    <w:p w14:paraId="3B5B74D1" w14:textId="70132CAB" w:rsidR="00BC3661" w:rsidRDefault="00BC3661" w:rsidP="00BC3661">
      <w:pPr>
        <w:pStyle w:val="BodyText"/>
      </w:pPr>
      <w:r>
        <w:t xml:space="preserve">The average spread on small business loans is significantly higher than for large business loans. </w:t>
      </w:r>
      <w:r w:rsidR="00B51CCD">
        <w:t>One</w:t>
      </w:r>
      <w:r>
        <w:t xml:space="preserve"> reason for this is that small businesses are inherently riskier. Another is that the </w:t>
      </w:r>
      <w:r w:rsidR="00AD27D7">
        <w:t xml:space="preserve">fixed </w:t>
      </w:r>
      <w:r>
        <w:t>cost</w:t>
      </w:r>
      <w:r w:rsidR="00AD27D7">
        <w:t>s</w:t>
      </w:r>
      <w:r>
        <w:t xml:space="preserve"> to a lender (and borrower) of originating a loan and undertaking a credit risk assessment is a higher proportion of the loan than for a large business. </w:t>
      </w:r>
    </w:p>
    <w:p w14:paraId="3E9D4F2A" w14:textId="68B13092" w:rsidR="00BC3661" w:rsidRDefault="00BC3661" w:rsidP="00BC3661">
      <w:pPr>
        <w:pStyle w:val="BodyText"/>
      </w:pPr>
      <w:r>
        <w:t xml:space="preserve">Some of the higher costs of originating loans and undertaking credit assessments could be overcome through comprehensive credit reporting or open data initiatives. Large businesses typically do not face the same information barriers to financing that small businesses face, since they often have greater regulatory reporting requirements and an established </w:t>
      </w:r>
      <w:r w:rsidR="00AD27D7">
        <w:t xml:space="preserve">financial </w:t>
      </w:r>
      <w:r>
        <w:t xml:space="preserve">track record. Furthermore, the costs of loan origination for a large business are small relative to the revenue generated for the bank by the business. Increased use of brokers by smaller businesses and various forms of government assistance have helped deal with this information problem. </w:t>
      </w:r>
    </w:p>
    <w:p w14:paraId="33F2E4E9" w14:textId="77777777" w:rsidR="00BC3661" w:rsidRDefault="00BC3661" w:rsidP="00BC3661">
      <w:pPr>
        <w:pStyle w:val="Heading3"/>
        <w:keepLines/>
        <w:numPr>
          <w:ilvl w:val="2"/>
          <w:numId w:val="20"/>
        </w:numPr>
      </w:pPr>
      <w:r>
        <w:t xml:space="preserve">Access to finance </w:t>
      </w:r>
    </w:p>
    <w:p w14:paraId="084492A5" w14:textId="70A13956" w:rsidR="00BC3661" w:rsidRDefault="00295F7A" w:rsidP="00BC3661">
      <w:pPr>
        <w:pStyle w:val="BodyText"/>
      </w:pPr>
      <w:r>
        <w:t>S</w:t>
      </w:r>
      <w:r w:rsidR="00BC3661">
        <w:t xml:space="preserve">mall businesses surveys tend to indicate that access to finance is currently not seen to be a significant </w:t>
      </w:r>
      <w:r w:rsidR="000A1280">
        <w:t>issue</w:t>
      </w:r>
      <w:r>
        <w:t>. However</w:t>
      </w:r>
      <w:r w:rsidR="00BC3661">
        <w:t xml:space="preserve">, </w:t>
      </w:r>
      <w:r w:rsidR="000A1280">
        <w:t>it</w:t>
      </w:r>
      <w:r w:rsidR="00BC3661">
        <w:t xml:space="preserve"> is often a concern for some small businesses that are new or </w:t>
      </w:r>
      <w:r w:rsidR="00832154">
        <w:t>that are seeking to expand</w:t>
      </w:r>
      <w:sdt>
        <w:sdtPr>
          <w:id w:val="-319192805"/>
          <w:citation/>
        </w:sdtPr>
        <w:sdtEndPr/>
        <w:sdtContent>
          <w:r w:rsidR="00832154">
            <w:fldChar w:fldCharType="begin"/>
          </w:r>
          <w:r w:rsidR="00832154">
            <w:instrText xml:space="preserve"> CITATION Sim \l 3081 </w:instrText>
          </w:r>
          <w:r w:rsidR="00832154">
            <w:fldChar w:fldCharType="separate"/>
          </w:r>
          <w:r w:rsidR="0018397C">
            <w:rPr>
              <w:noProof/>
            </w:rPr>
            <w:t xml:space="preserve"> (Simon and Moore 2015)</w:t>
          </w:r>
          <w:r w:rsidR="00832154">
            <w:fldChar w:fldCharType="end"/>
          </w:r>
        </w:sdtContent>
      </w:sdt>
      <w:r w:rsidR="00BC3661">
        <w:t xml:space="preserve">.  </w:t>
      </w:r>
    </w:p>
    <w:p w14:paraId="68CF82D5" w14:textId="292BF34A" w:rsidR="00751151" w:rsidRDefault="00BC3661" w:rsidP="00BC3661">
      <w:pPr>
        <w:pStyle w:val="BodyText"/>
      </w:pPr>
      <w:r>
        <w:t>Small businesses have more limited debt financing options than large businesses</w:t>
      </w:r>
      <w:r w:rsidRPr="0094737B">
        <w:t xml:space="preserve"> </w:t>
      </w:r>
      <w:r>
        <w:t>and this significantly changes the nature of competition for loans. As substitutes for bank loans, large businesses may access syndicated loan or corporate bond markets. Small businesses may source equipment finance from specialist companies</w:t>
      </w:r>
      <w:r w:rsidR="00751151">
        <w:t xml:space="preserve"> and</w:t>
      </w:r>
      <w:r>
        <w:t xml:space="preserve"> trade credit or they may use personal finance such as credit cards and home loans</w:t>
      </w:r>
      <w:sdt>
        <w:sdtPr>
          <w:id w:val="-676579289"/>
          <w:citation/>
        </w:sdtPr>
        <w:sdtEndPr/>
        <w:sdtContent>
          <w:r w:rsidR="00832154">
            <w:fldChar w:fldCharType="begin"/>
          </w:r>
          <w:r w:rsidR="00832154">
            <w:instrText xml:space="preserve"> CITATION Fit13 \l 3081  \m Sim</w:instrText>
          </w:r>
          <w:r w:rsidR="00832154">
            <w:fldChar w:fldCharType="separate"/>
          </w:r>
          <w:r w:rsidR="0018397C">
            <w:rPr>
              <w:noProof/>
            </w:rPr>
            <w:t xml:space="preserve"> (Fitzpatrick and Lien 2013; Simon and Moore 2015)</w:t>
          </w:r>
          <w:r w:rsidR="00832154">
            <w:fldChar w:fldCharType="end"/>
          </w:r>
        </w:sdtContent>
      </w:sdt>
      <w:r>
        <w:t xml:space="preserve">. Recent innovations in the provision of credit to small businesses by fintech companies appear to have not yet gained much market share </w:t>
      </w:r>
      <w:sdt>
        <w:sdtPr>
          <w:id w:val="-492413770"/>
          <w:citation/>
        </w:sdtPr>
        <w:sdtEndPr/>
        <w:sdtContent>
          <w:r w:rsidR="00832154">
            <w:fldChar w:fldCharType="begin"/>
          </w:r>
          <w:r w:rsidR="00832154">
            <w:instrText xml:space="preserve"> CITATION ASI16 \l 3081 </w:instrText>
          </w:r>
          <w:r w:rsidR="00832154">
            <w:fldChar w:fldCharType="separate"/>
          </w:r>
          <w:r w:rsidR="0018397C">
            <w:rPr>
              <w:noProof/>
            </w:rPr>
            <w:t>(ASIC 2016)</w:t>
          </w:r>
          <w:r w:rsidR="00832154">
            <w:fldChar w:fldCharType="end"/>
          </w:r>
        </w:sdtContent>
      </w:sdt>
      <w:r w:rsidR="00832154">
        <w:t>.</w:t>
      </w:r>
    </w:p>
    <w:p w14:paraId="49BA68CE" w14:textId="4C368BE3" w:rsidR="00BC3661" w:rsidRDefault="00751151" w:rsidP="00BC3661">
      <w:pPr>
        <w:pStyle w:val="BodyText"/>
      </w:pPr>
      <w:r>
        <w:t>Many small businesses have limited collateral, other than a family home, against which they can secure a loan. At the same time, many banks have a low appetite for lending unsecured to small businesses, partly because of the limited financial data available.</w:t>
      </w:r>
      <w:r w:rsidRPr="00751151">
        <w:t xml:space="preserve"> </w:t>
      </w:r>
      <w:r>
        <w:t>Without sufficient equity or collateral, many small businesses will receive only limited loan funding.</w:t>
      </w:r>
    </w:p>
    <w:p w14:paraId="1398A636" w14:textId="3E547F5E" w:rsidR="00BC3661" w:rsidRDefault="00BC3661" w:rsidP="00BC3661">
      <w:pPr>
        <w:pStyle w:val="BodyText"/>
      </w:pPr>
      <w:r>
        <w:t xml:space="preserve">Small businesses also have more restricted access to external equity financing than large businesses. </w:t>
      </w:r>
      <w:r w:rsidR="00751151">
        <w:t xml:space="preserve">In </w:t>
      </w:r>
      <w:r w:rsidR="00DC7AC4">
        <w:t xml:space="preserve">some </w:t>
      </w:r>
      <w:r w:rsidR="00751151">
        <w:t>cases</w:t>
      </w:r>
      <w:r>
        <w:t xml:space="preserve"> owners </w:t>
      </w:r>
      <w:r w:rsidR="003274BB">
        <w:t xml:space="preserve">are </w:t>
      </w:r>
      <w:r w:rsidR="006475BF">
        <w:t>also</w:t>
      </w:r>
      <w:r>
        <w:t xml:space="preserve"> reluctant to take on external equity finance </w:t>
      </w:r>
      <w:r w:rsidR="00751151">
        <w:t xml:space="preserve">due to </w:t>
      </w:r>
      <w:r>
        <w:t xml:space="preserve">concerns that they </w:t>
      </w:r>
      <w:r w:rsidR="00846360">
        <w:t xml:space="preserve">will </w:t>
      </w:r>
      <w:r>
        <w:t>lose control of their business. The government’s initiative to widen access to crowdsourced equity financing will improve the range of equity financing options available to some small businesses.</w:t>
      </w:r>
    </w:p>
    <w:p w14:paraId="622D1126" w14:textId="260F4C39" w:rsidR="00BC3661" w:rsidRDefault="00BC3661" w:rsidP="00BC3661">
      <w:pPr>
        <w:pStyle w:val="Heading3"/>
        <w:keepLines/>
        <w:numPr>
          <w:ilvl w:val="2"/>
          <w:numId w:val="20"/>
        </w:numPr>
      </w:pPr>
      <w:r>
        <w:t xml:space="preserve">Price </w:t>
      </w:r>
      <w:r w:rsidR="003274BB">
        <w:t>c</w:t>
      </w:r>
      <w:r>
        <w:t>ompetition</w:t>
      </w:r>
    </w:p>
    <w:p w14:paraId="75F7CD19" w14:textId="4AA70E57" w:rsidR="00BC3661" w:rsidRDefault="00BC3661" w:rsidP="00BC3661">
      <w:pPr>
        <w:pStyle w:val="BodyText"/>
      </w:pPr>
      <w:r>
        <w:t>The significant repricing of risk on all lending through the financial crisis has been more lasting for small businesses</w:t>
      </w:r>
      <w:r w:rsidR="002641FF">
        <w:t xml:space="preserve"> (</w:t>
      </w:r>
      <w:r w:rsidR="002641FF">
        <w:fldChar w:fldCharType="begin"/>
      </w:r>
      <w:r w:rsidR="002641FF">
        <w:instrText xml:space="preserve"> REF _Ref492391967 \h </w:instrText>
      </w:r>
      <w:r w:rsidR="002641FF">
        <w:fldChar w:fldCharType="separate"/>
      </w:r>
      <w:r w:rsidR="00032843">
        <w:rPr>
          <w:noProof/>
        </w:rPr>
        <w:t>Graph 28</w:t>
      </w:r>
      <w:r w:rsidR="002641FF">
        <w:fldChar w:fldCharType="end"/>
      </w:r>
      <w:r w:rsidR="002641FF">
        <w:t>)</w:t>
      </w:r>
      <w:r>
        <w:t xml:space="preserve">. This </w:t>
      </w:r>
      <w:r w:rsidR="00846360">
        <w:t xml:space="preserve">is likely to </w:t>
      </w:r>
      <w:r>
        <w:t>be partly a result of natural barrier</w:t>
      </w:r>
      <w:r w:rsidR="007A4947">
        <w:t>s</w:t>
      </w:r>
      <w:r>
        <w:t xml:space="preserve"> to entry to this market. It is notable that in recent years there has been strong competition for </w:t>
      </w:r>
      <w:r w:rsidRPr="001F4A3B">
        <w:t>large</w:t>
      </w:r>
      <w:r>
        <w:t xml:space="preserve"> business lending from Asian banks</w:t>
      </w:r>
      <w:r w:rsidR="00135A1C">
        <w:t>,</w:t>
      </w:r>
      <w:r>
        <w:t xml:space="preserve"> which has seen the major banks lose share and margin</w:t>
      </w:r>
      <w:r w:rsidR="002641FF">
        <w:t xml:space="preserve"> (</w:t>
      </w:r>
      <w:r w:rsidR="002641FF">
        <w:fldChar w:fldCharType="begin"/>
      </w:r>
      <w:r w:rsidR="002641FF">
        <w:instrText xml:space="preserve"> REF _Ref492391967 \h </w:instrText>
      </w:r>
      <w:r w:rsidR="002641FF">
        <w:fldChar w:fldCharType="separate"/>
      </w:r>
      <w:r w:rsidR="00032843">
        <w:rPr>
          <w:noProof/>
        </w:rPr>
        <w:t>Graph 28</w:t>
      </w:r>
      <w:r w:rsidR="002641FF">
        <w:fldChar w:fldCharType="end"/>
      </w:r>
      <w:r w:rsidR="002641FF">
        <w:t xml:space="preserve"> and </w:t>
      </w:r>
      <w:r w:rsidR="002641FF">
        <w:fldChar w:fldCharType="begin"/>
      </w:r>
      <w:r w:rsidR="002641FF">
        <w:instrText xml:space="preserve"> REF _Ref492392033 \h </w:instrText>
      </w:r>
      <w:r w:rsidR="002641FF">
        <w:fldChar w:fldCharType="separate"/>
      </w:r>
      <w:r w:rsidR="00032843">
        <w:rPr>
          <w:noProof/>
        </w:rPr>
        <w:t>Graph 29</w:t>
      </w:r>
      <w:r w:rsidR="002641FF">
        <w:fldChar w:fldCharType="end"/>
      </w:r>
      <w:r w:rsidR="002641FF">
        <w:t>)</w:t>
      </w:r>
      <w:r>
        <w:t>. This contrasts with the market for small business lending</w:t>
      </w:r>
      <w:r w:rsidR="00D644B5">
        <w:t>,</w:t>
      </w:r>
      <w:r>
        <w:t xml:space="preserve"> which remains relatively concentrated and where there has been little overall change in the spread between the average lending rate and the cash rate for a number of years. </w:t>
      </w:r>
    </w:p>
    <w:p w14:paraId="6DD843A6" w14:textId="05B33D73" w:rsidR="00BC3661" w:rsidRDefault="00BC3661" w:rsidP="00BC3661">
      <w:pPr>
        <w:pStyle w:val="BodyText"/>
      </w:pPr>
      <w:r>
        <w:t>There can also be a large dispersion in the interest rates offer</w:t>
      </w:r>
      <w:r w:rsidR="00832154">
        <w:t xml:space="preserve">ed to small businesses </w:t>
      </w:r>
      <w:sdt>
        <w:sdtPr>
          <w:id w:val="254024241"/>
          <w:citation/>
        </w:sdtPr>
        <w:sdtEndPr/>
        <w:sdtContent>
          <w:r w:rsidR="00832154">
            <w:fldChar w:fldCharType="begin"/>
          </w:r>
          <w:r w:rsidR="007F091C">
            <w:instrText xml:space="preserve">CITATION Sub14 \l 3081 </w:instrText>
          </w:r>
          <w:r w:rsidR="00832154">
            <w:fldChar w:fldCharType="separate"/>
          </w:r>
          <w:r w:rsidR="0018397C">
            <w:rPr>
              <w:noProof/>
            </w:rPr>
            <w:t>(RBA 2014b)</w:t>
          </w:r>
          <w:r w:rsidR="00832154">
            <w:fldChar w:fldCharType="end"/>
          </w:r>
        </w:sdtContent>
      </w:sdt>
      <w:r>
        <w:t xml:space="preserve">. Among other factors, this is likely </w:t>
      </w:r>
      <w:r w:rsidR="00AD27D7">
        <w:t xml:space="preserve">to be </w:t>
      </w:r>
      <w:r>
        <w:t xml:space="preserve">due to differences in borrower or product risks. However, small businesses face significant search costs in determining whether they have the best deal. A reported increased use of brokers </w:t>
      </w:r>
      <w:r w:rsidR="00846360">
        <w:t xml:space="preserve">will </w:t>
      </w:r>
      <w:r>
        <w:t xml:space="preserve">assist them in reducing these search costs. However, a lack of transparency in lending rate outcomes across small business segments makes it difficult </w:t>
      </w:r>
      <w:r w:rsidR="001A2B34">
        <w:t xml:space="preserve">for borrowers to determine </w:t>
      </w:r>
      <w:r w:rsidR="000009D9">
        <w:t xml:space="preserve">whether they have a good deal or </w:t>
      </w:r>
      <w:r w:rsidR="001A2B34">
        <w:t>the benefits of switching providers</w:t>
      </w:r>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BC3661" w14:paraId="1CCABB6C" w14:textId="77777777" w:rsidTr="00340790">
        <w:trPr>
          <w:jc w:val="center"/>
        </w:trPr>
        <w:tc>
          <w:tcPr>
            <w:tcW w:w="4365" w:type="dxa"/>
          </w:tcPr>
          <w:p w14:paraId="733A5D01" w14:textId="248BF2A3" w:rsidR="008B7995" w:rsidRDefault="008B7995" w:rsidP="008B7995">
            <w:pPr>
              <w:pStyle w:val="GraphTitle"/>
              <w:rPr>
                <w:noProof/>
              </w:rPr>
            </w:pPr>
            <w:bookmarkStart w:id="31" w:name="_Ref492391967"/>
            <w:r>
              <w:rPr>
                <w:noProof/>
              </w:rPr>
              <w:t>Graph </w:t>
            </w:r>
            <w:r>
              <w:rPr>
                <w:noProof/>
              </w:rPr>
              <w:fldChar w:fldCharType="begin"/>
            </w:r>
            <w:r>
              <w:rPr>
                <w:noProof/>
              </w:rPr>
              <w:instrText xml:space="preserve"> SEQ Graph \* ARABIC \* MERGEFORMAT </w:instrText>
            </w:r>
            <w:r>
              <w:rPr>
                <w:noProof/>
              </w:rPr>
              <w:fldChar w:fldCharType="separate"/>
            </w:r>
            <w:r w:rsidR="00032843">
              <w:rPr>
                <w:noProof/>
              </w:rPr>
              <w:t>28</w:t>
            </w:r>
            <w:r>
              <w:rPr>
                <w:noProof/>
              </w:rPr>
              <w:fldChar w:fldCharType="end"/>
            </w:r>
            <w:bookmarkEnd w:id="31"/>
          </w:p>
          <w:p w14:paraId="1CA8260D" w14:textId="61261B16" w:rsidR="00BC3661" w:rsidRDefault="005C1EDC" w:rsidP="00B23BAC">
            <w:pPr>
              <w:pStyle w:val="BodyText"/>
              <w:spacing w:after="0"/>
            </w:pPr>
            <w:r>
              <w:rPr>
                <w:noProof/>
              </w:rPr>
              <w:drawing>
                <wp:inline distT="0" distB="0" distL="0" distR="0" wp14:anchorId="32F28230" wp14:editId="7122BFBB">
                  <wp:extent cx="2772000" cy="2520000"/>
                  <wp:effectExtent l="0" t="0" r="0" b="0"/>
                  <wp:docPr id="9" name="Picture 9" descr="G:\FS\_Dropbox\Major Banks’ Business Lending Share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G:\FS\_Dropbox\Major Banks’ Business Lending Shares.emf"/>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c>
          <w:tcPr>
            <w:tcW w:w="4365" w:type="dxa"/>
          </w:tcPr>
          <w:p w14:paraId="039D52B0" w14:textId="27E8139C" w:rsidR="008B7995" w:rsidRDefault="008B7995" w:rsidP="008B7995">
            <w:pPr>
              <w:pStyle w:val="GraphTitle"/>
              <w:rPr>
                <w:noProof/>
              </w:rPr>
            </w:pPr>
            <w:bookmarkStart w:id="32" w:name="_Ref492392033"/>
            <w:r>
              <w:rPr>
                <w:noProof/>
              </w:rPr>
              <w:t>Graph </w:t>
            </w:r>
            <w:r>
              <w:rPr>
                <w:noProof/>
              </w:rPr>
              <w:fldChar w:fldCharType="begin"/>
            </w:r>
            <w:r>
              <w:rPr>
                <w:noProof/>
              </w:rPr>
              <w:instrText xml:space="preserve"> SEQ Graph \* ARABIC \* MERGEFORMAT </w:instrText>
            </w:r>
            <w:r>
              <w:rPr>
                <w:noProof/>
              </w:rPr>
              <w:fldChar w:fldCharType="separate"/>
            </w:r>
            <w:r w:rsidR="00032843">
              <w:rPr>
                <w:noProof/>
              </w:rPr>
              <w:t>29</w:t>
            </w:r>
            <w:r>
              <w:rPr>
                <w:noProof/>
              </w:rPr>
              <w:fldChar w:fldCharType="end"/>
            </w:r>
            <w:bookmarkEnd w:id="32"/>
          </w:p>
          <w:p w14:paraId="79C88607" w14:textId="34063493" w:rsidR="00BC3661" w:rsidRPr="00831D36" w:rsidRDefault="00DA5562" w:rsidP="00B23BAC">
            <w:pPr>
              <w:pStyle w:val="BodyText"/>
              <w:spacing w:after="0"/>
              <w:rPr>
                <w:noProof/>
              </w:rPr>
            </w:pPr>
            <w:r>
              <w:rPr>
                <w:noProof/>
              </w:rPr>
              <w:drawing>
                <wp:inline distT="0" distB="0" distL="0" distR="0" wp14:anchorId="6D1BB6B4" wp14:editId="5B3D0648">
                  <wp:extent cx="2772000" cy="2520000"/>
                  <wp:effectExtent l="0" t="0" r="0" b="0"/>
                  <wp:docPr id="30" name="Picture 30" descr="\\san2\fsdata\FS\_Dropbox\Major Banks’ Outstanding Lending Rates.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san2\fsdata\FS\_Dropbox\Major Banks’ Outstanding Lending Rates.emf"/>
                          <pic:cNvPicPr preferRelativeResize="0">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r>
    </w:tbl>
    <w:p w14:paraId="2884E1E5" w14:textId="2D15FFA4" w:rsidR="00BC3661" w:rsidRDefault="00BC3661" w:rsidP="00BC3661">
      <w:pPr>
        <w:pStyle w:val="Heading3"/>
        <w:keepLines/>
        <w:numPr>
          <w:ilvl w:val="2"/>
          <w:numId w:val="20"/>
        </w:numPr>
      </w:pPr>
      <w:r>
        <w:t xml:space="preserve">Product </w:t>
      </w:r>
      <w:r w:rsidR="00D644B5">
        <w:t>bundling</w:t>
      </w:r>
    </w:p>
    <w:p w14:paraId="0CDAE8DC" w14:textId="035ED38C" w:rsidR="00BC3661" w:rsidRDefault="00BC3661" w:rsidP="00BC3661">
      <w:pPr>
        <w:pStyle w:val="BodyText"/>
      </w:pPr>
      <w:r>
        <w:t>A bank</w:t>
      </w:r>
      <w:r w:rsidR="00B504AA">
        <w:t>’</w:t>
      </w:r>
      <w:r>
        <w:t xml:space="preserve">s lending arrangement with a business customer is often only a small part of an overall relationship that involves deposit and </w:t>
      </w:r>
      <w:r w:rsidR="00832154">
        <w:t xml:space="preserve">transactional banking products </w:t>
      </w:r>
      <w:sdt>
        <w:sdtPr>
          <w:id w:val="-1159540128"/>
          <w:citation/>
        </w:sdtPr>
        <w:sdtEndPr/>
        <w:sdtContent>
          <w:r w:rsidR="00832154">
            <w:fldChar w:fldCharType="begin"/>
          </w:r>
          <w:r w:rsidR="00832154">
            <w:instrText xml:space="preserve"> CITATION Sim \l 3081 </w:instrText>
          </w:r>
          <w:r w:rsidR="00832154">
            <w:fldChar w:fldCharType="separate"/>
          </w:r>
          <w:r w:rsidR="0018397C">
            <w:rPr>
              <w:noProof/>
            </w:rPr>
            <w:t>(Simon and Moore 2015)</w:t>
          </w:r>
          <w:r w:rsidR="00832154">
            <w:fldChar w:fldCharType="end"/>
          </w:r>
        </w:sdtContent>
      </w:sdt>
      <w:r>
        <w:t xml:space="preserve">. Banks have a strong </w:t>
      </w:r>
      <w:r w:rsidR="00AA60AB">
        <w:t>incentive to provide</w:t>
      </w:r>
      <w:r>
        <w:t xml:space="preserve"> products </w:t>
      </w:r>
      <w:r w:rsidR="00AA60AB">
        <w:t xml:space="preserve">in addition to </w:t>
      </w:r>
      <w:r>
        <w:t xml:space="preserve">loans to small businesses since around </w:t>
      </w:r>
      <w:r w:rsidR="00737CBD">
        <w:t>40 </w:t>
      </w:r>
      <w:r>
        <w:t xml:space="preserve">per cent of fee income that banks earn from businesses accrues from deposits and merchant services </w:t>
      </w:r>
      <w:sdt>
        <w:sdtPr>
          <w:id w:val="-1576278236"/>
          <w:citation/>
        </w:sdtPr>
        <w:sdtEndPr/>
        <w:sdtContent>
          <w:r w:rsidR="00832154">
            <w:fldChar w:fldCharType="begin"/>
          </w:r>
          <w:r w:rsidR="00832154">
            <w:instrText xml:space="preserve"> CITATION Bul_2017_06_04 \l 3081 </w:instrText>
          </w:r>
          <w:r w:rsidR="00832154">
            <w:fldChar w:fldCharType="separate"/>
          </w:r>
          <w:r w:rsidR="0018397C">
            <w:rPr>
              <w:noProof/>
            </w:rPr>
            <w:t>(Fitzpatrick and White 2017)</w:t>
          </w:r>
          <w:r w:rsidR="00832154">
            <w:fldChar w:fldCharType="end"/>
          </w:r>
        </w:sdtContent>
      </w:sdt>
      <w:r w:rsidR="00832154">
        <w:t>.</w:t>
      </w:r>
    </w:p>
    <w:p w14:paraId="4523EB28" w14:textId="0CC03AC2" w:rsidR="00BC3661" w:rsidRDefault="00BC3661" w:rsidP="00BC3661">
      <w:pPr>
        <w:pStyle w:val="BodyText"/>
      </w:pPr>
      <w:r>
        <w:t xml:space="preserve">The ability to bundle products to small businesses </w:t>
      </w:r>
      <w:r w:rsidR="00846360">
        <w:t xml:space="preserve">is </w:t>
      </w:r>
      <w:r>
        <w:t>a means by which larger banks can restrict competition, since small business</w:t>
      </w:r>
      <w:r w:rsidR="00B504AA">
        <w:t>es</w:t>
      </w:r>
      <w:r>
        <w:t xml:space="preserve"> may find it more difficult to switch </w:t>
      </w:r>
      <w:r w:rsidR="00AD27D7">
        <w:t xml:space="preserve">between alternative providers of financial services </w:t>
      </w:r>
      <w:r>
        <w:t xml:space="preserve">and obtain competitive prices on all of their products. </w:t>
      </w:r>
    </w:p>
    <w:p w14:paraId="0E012FF5" w14:textId="05DE0D9B" w:rsidR="00BC3661" w:rsidRDefault="00BC3661" w:rsidP="00BC3661">
      <w:pPr>
        <w:pStyle w:val="BodyText"/>
      </w:pPr>
      <w:r>
        <w:t xml:space="preserve">Alternatively, product bundling </w:t>
      </w:r>
      <w:r w:rsidR="00846360">
        <w:t xml:space="preserve">can </w:t>
      </w:r>
      <w:r>
        <w:t xml:space="preserve">also reflect other factors such as economies of scope </w:t>
      </w:r>
      <w:r w:rsidR="00AD27D7">
        <w:t xml:space="preserve">that lower the costs of </w:t>
      </w:r>
      <w:r>
        <w:t>provid</w:t>
      </w:r>
      <w:r w:rsidR="00AD27D7">
        <w:t>ing</w:t>
      </w:r>
      <w:r>
        <w:t xml:space="preserve"> financial services to small businesses. Banks have indicated they have a preference to have lending relationships with small business customers with whom they have transactional banking relationships because </w:t>
      </w:r>
      <w:r w:rsidR="00B504AA">
        <w:t>they have</w:t>
      </w:r>
      <w:r>
        <w:t xml:space="preserve"> greater insight into the credit risk associated with that customer. Regulatory changes that</w:t>
      </w:r>
      <w:r w:rsidR="005456BB">
        <w:t xml:space="preserve"> provide</w:t>
      </w:r>
      <w:r>
        <w:t xml:space="preserve"> incentiv</w:t>
      </w:r>
      <w:r w:rsidR="005456BB">
        <w:t>es for</w:t>
      </w:r>
      <w:r>
        <w:t xml:space="preserve"> banks to source a larger share of more stable funding from retail deposits have also resulted in increased competition for small business deposits.</w:t>
      </w:r>
    </w:p>
    <w:p w14:paraId="5E9975FC" w14:textId="6E9AFFF9" w:rsidR="00BC3661" w:rsidRDefault="00BC3661" w:rsidP="00BC3661">
      <w:pPr>
        <w:pStyle w:val="Heading3"/>
        <w:keepLines/>
        <w:numPr>
          <w:ilvl w:val="2"/>
          <w:numId w:val="20"/>
        </w:numPr>
      </w:pPr>
      <w:r>
        <w:t xml:space="preserve">Brokers and </w:t>
      </w:r>
      <w:r w:rsidR="007137D6">
        <w:t>f</w:t>
      </w:r>
      <w:r>
        <w:t xml:space="preserve">intech </w:t>
      </w:r>
    </w:p>
    <w:p w14:paraId="4050364A" w14:textId="4B5ADE14" w:rsidR="00BC3661" w:rsidRDefault="00BC3661" w:rsidP="00BC3661">
      <w:pPr>
        <w:pStyle w:val="BodyText"/>
      </w:pPr>
      <w:r>
        <w:t xml:space="preserve">Small businesses </w:t>
      </w:r>
      <w:r w:rsidR="00846360">
        <w:t xml:space="preserve">often </w:t>
      </w:r>
      <w:r>
        <w:t xml:space="preserve">lack the expertise or resources to identify their financing needs. Increased use of brokers has lowered the search costs and increased price competition in some segments of the small business loans market. </w:t>
      </w:r>
    </w:p>
    <w:p w14:paraId="603F8461" w14:textId="0851D5F9" w:rsidR="00BC3661" w:rsidRPr="004A749E" w:rsidRDefault="00BC3661" w:rsidP="00BC3661">
      <w:pPr>
        <w:pStyle w:val="BodyText"/>
      </w:pPr>
      <w:r>
        <w:t xml:space="preserve">The relatively high interest rates and information barriers faced by small businesses (including search costs) have also stimulated new innovative finance providers. These finance providers seek to reduce the information costs faced by small businesses and lenders by greater use of technology. There are a variety of different models including peer-to-peer, marketplace and </w:t>
      </w:r>
      <w:r w:rsidR="00B33E04">
        <w:t>payments-</w:t>
      </w:r>
      <w:r w:rsidRPr="004A749E">
        <w:t>based providers. It is apparent that much of the technology locally is replicating models developed in the U</w:t>
      </w:r>
      <w:r w:rsidR="005456BB">
        <w:t xml:space="preserve">nited </w:t>
      </w:r>
      <w:r w:rsidRPr="004A749E">
        <w:t>S</w:t>
      </w:r>
      <w:r w:rsidR="005456BB">
        <w:t>tates</w:t>
      </w:r>
      <w:r w:rsidRPr="004A749E">
        <w:t xml:space="preserve"> and U</w:t>
      </w:r>
      <w:r w:rsidR="005456BB">
        <w:t xml:space="preserve">nited </w:t>
      </w:r>
      <w:r w:rsidRPr="004A749E">
        <w:t>K</w:t>
      </w:r>
      <w:r w:rsidR="005456BB">
        <w:t>ingdom</w:t>
      </w:r>
      <w:r w:rsidRPr="004A749E">
        <w:t xml:space="preserve">. However, it is not clear </w:t>
      </w:r>
      <w:r w:rsidR="00751151">
        <w:t>that</w:t>
      </w:r>
      <w:r w:rsidR="00751151" w:rsidRPr="004A749E">
        <w:t xml:space="preserve"> </w:t>
      </w:r>
      <w:r w:rsidRPr="004A749E">
        <w:t xml:space="preserve">innovative finance providers have made significant inroads into </w:t>
      </w:r>
      <w:r w:rsidR="00D90AFE">
        <w:t xml:space="preserve">Australian </w:t>
      </w:r>
      <w:r w:rsidRPr="004A749E">
        <w:t xml:space="preserve">loan markets. </w:t>
      </w:r>
    </w:p>
    <w:p w14:paraId="5098DCF0" w14:textId="73156C02" w:rsidR="00490081" w:rsidRDefault="00BC3661" w:rsidP="00490081">
      <w:pPr>
        <w:pStyle w:val="BodyText"/>
      </w:pPr>
      <w:r>
        <w:t xml:space="preserve">Some </w:t>
      </w:r>
      <w:r w:rsidRPr="004A749E">
        <w:t xml:space="preserve">banks have indicated that they are looking into ways in which they might utilise some of the new technology in order to reduce the cost of loan origination for small businesses. </w:t>
      </w:r>
      <w:r>
        <w:t xml:space="preserve">This technology might also stimulate the entry of new banks into the small business lending markets, through lowering the cost of risk assessments (and loan origination) or through generating economies of scale (through more efficient loan application processing). </w:t>
      </w:r>
    </w:p>
    <w:p w14:paraId="4157E2A0" w14:textId="77777777" w:rsidR="005B6748" w:rsidRDefault="005B6748">
      <w:pPr>
        <w:rPr>
          <w:rFonts w:ascii="Palatino Linotype" w:hAnsi="Palatino Linotype"/>
          <w:b/>
          <w:color w:val="007698"/>
          <w:sz w:val="28"/>
          <w:szCs w:val="28"/>
        </w:rPr>
      </w:pPr>
      <w:r>
        <w:br w:type="page"/>
      </w:r>
    </w:p>
    <w:p w14:paraId="5098DCF1" w14:textId="6ACFCF7D" w:rsidR="00490081" w:rsidRDefault="00490081" w:rsidP="00805527">
      <w:pPr>
        <w:pStyle w:val="Heading1"/>
        <w:numPr>
          <w:ilvl w:val="0"/>
          <w:numId w:val="39"/>
        </w:numPr>
      </w:pPr>
      <w:r>
        <w:t>Competition in the Payments System</w:t>
      </w:r>
    </w:p>
    <w:p w14:paraId="0704B921" w14:textId="2F6672BF" w:rsidR="00094021" w:rsidRPr="005F5A16" w:rsidRDefault="00094021" w:rsidP="005F5A16">
      <w:pPr>
        <w:pStyle w:val="BodyText"/>
        <w:rPr>
          <w:rFonts w:ascii="Calibri" w:eastAsiaTheme="minorEastAsia" w:hAnsi="Calibri"/>
          <w:lang w:val="en-US"/>
        </w:rPr>
      </w:pPr>
      <w:r w:rsidRPr="005F5A16">
        <w:rPr>
          <w:rFonts w:ascii="Calibri" w:eastAsiaTheme="minorEastAsia" w:hAnsi="Calibri"/>
          <w:lang w:val="en-US"/>
        </w:rPr>
        <w:t xml:space="preserve">The </w:t>
      </w:r>
      <w:r w:rsidR="00C1186F">
        <w:rPr>
          <w:rFonts w:ascii="Calibri" w:eastAsiaTheme="minorEastAsia" w:hAnsi="Calibri"/>
          <w:lang w:val="en-US"/>
        </w:rPr>
        <w:t xml:space="preserve">Reserve </w:t>
      </w:r>
      <w:r w:rsidR="003723AF" w:rsidRPr="005F5A16">
        <w:rPr>
          <w:lang w:val="en-US"/>
        </w:rPr>
        <w:t xml:space="preserve">Bank is the primary regulator of the payments system and competition is a key part of its regulatory mandate. The Bank has taken a number of actions since the early 2000s to enhance competition and efficiency in the payments system, mostly in relation to card schemes. While the nature of competition in payment systems can be complex due to the structure of the industry and the role played by network effects, the Bank’s overall assessment is that competition in retail payment systems </w:t>
      </w:r>
      <w:r w:rsidR="003723AF" w:rsidRPr="002A0E6F">
        <w:rPr>
          <w:lang w:val="en-US"/>
        </w:rPr>
        <w:t>is reasonably strong at present</w:t>
      </w:r>
      <w:r w:rsidR="003723AF" w:rsidRPr="005F5A16">
        <w:rPr>
          <w:lang w:val="en-US"/>
        </w:rPr>
        <w:t xml:space="preserve">. The Bank, nevertheless, continues to monitor competitive conditions in the payments system and is prepared to take action, where it is in the public interest, to address any competition concerns that </w:t>
      </w:r>
      <w:r w:rsidRPr="005F5A16">
        <w:rPr>
          <w:rFonts w:ascii="Calibri" w:eastAsiaTheme="minorEastAsia" w:hAnsi="Calibri"/>
          <w:lang w:val="en-US"/>
        </w:rPr>
        <w:t>arise.</w:t>
      </w:r>
    </w:p>
    <w:p w14:paraId="5B3ECF99" w14:textId="77777777" w:rsidR="00094021" w:rsidRPr="00094021" w:rsidRDefault="00094021" w:rsidP="005F5A16">
      <w:pPr>
        <w:pStyle w:val="Heading2"/>
        <w:spacing w:line="276" w:lineRule="auto"/>
      </w:pPr>
      <w:r w:rsidRPr="00094021">
        <w:t>The role of the Payments System Board</w:t>
      </w:r>
    </w:p>
    <w:p w14:paraId="13AF0BA8" w14:textId="7254BCF2" w:rsidR="00094021" w:rsidRPr="00094021" w:rsidRDefault="00094021" w:rsidP="005F5A16">
      <w:pPr>
        <w:pStyle w:val="BodyText"/>
        <w:rPr>
          <w:lang w:val="en-US"/>
        </w:rPr>
      </w:pPr>
      <w:r w:rsidRPr="00094021">
        <w:rPr>
          <w:lang w:val="en-US"/>
        </w:rPr>
        <w:t xml:space="preserve">The promotion of competition in the payments system is </w:t>
      </w:r>
      <w:r w:rsidR="006B3F27">
        <w:rPr>
          <w:lang w:val="en-US"/>
        </w:rPr>
        <w:t xml:space="preserve">a </w:t>
      </w:r>
      <w:r w:rsidRPr="00094021">
        <w:rPr>
          <w:lang w:val="en-US"/>
        </w:rPr>
        <w:t xml:space="preserve">key part of the mandate of the Payments System Board (PSB) of the Reserve Bank. The PSB is responsible for the Reserve Bank’s payments system policy, including in relation to clearing and settlement facilities. The </w:t>
      </w:r>
      <w:r w:rsidR="007C1CC0">
        <w:rPr>
          <w:lang w:val="en-US"/>
        </w:rPr>
        <w:t>PS</w:t>
      </w:r>
      <w:r w:rsidRPr="00094021">
        <w:rPr>
          <w:lang w:val="en-US"/>
        </w:rPr>
        <w:t>B is required to exercise its responsibilities in a way that best contributes to:</w:t>
      </w:r>
    </w:p>
    <w:p w14:paraId="3D5EF529" w14:textId="77777777" w:rsidR="00094021" w:rsidRPr="00094021" w:rsidRDefault="00094021" w:rsidP="00543236">
      <w:pPr>
        <w:pStyle w:val="ListBullet"/>
        <w:rPr>
          <w:lang w:val="en-US"/>
        </w:rPr>
      </w:pPr>
      <w:r w:rsidRPr="00094021">
        <w:rPr>
          <w:lang w:val="en-US"/>
        </w:rPr>
        <w:t>controlling risk in the financial system</w:t>
      </w:r>
    </w:p>
    <w:p w14:paraId="7EF00A85" w14:textId="77777777" w:rsidR="00094021" w:rsidRPr="00094021" w:rsidRDefault="00094021" w:rsidP="00543236">
      <w:pPr>
        <w:pStyle w:val="ListBullet"/>
        <w:rPr>
          <w:lang w:val="en-US"/>
        </w:rPr>
      </w:pPr>
      <w:r w:rsidRPr="00094021">
        <w:rPr>
          <w:lang w:val="en-US"/>
        </w:rPr>
        <w:t>promoting the efficiency of the payments system</w:t>
      </w:r>
    </w:p>
    <w:p w14:paraId="59D08E58" w14:textId="77777777" w:rsidR="00094021" w:rsidRPr="00094021" w:rsidRDefault="00094021" w:rsidP="00543236">
      <w:pPr>
        <w:pStyle w:val="ListBullet"/>
        <w:rPr>
          <w:lang w:val="en-US"/>
        </w:rPr>
      </w:pPr>
      <w:r w:rsidRPr="00094021">
        <w:rPr>
          <w:lang w:val="en-US"/>
        </w:rPr>
        <w:t>promoting competition in the market for payment services, consistent with the overall stability of the financial system.</w:t>
      </w:r>
    </w:p>
    <w:p w14:paraId="30F1B3BD" w14:textId="2FD62D9B" w:rsidR="00094021" w:rsidRPr="00094021" w:rsidRDefault="00094021" w:rsidP="005F5A16">
      <w:pPr>
        <w:pStyle w:val="BodyText"/>
        <w:rPr>
          <w:lang w:val="en-US"/>
        </w:rPr>
      </w:pPr>
      <w:r w:rsidRPr="00094021">
        <w:rPr>
          <w:lang w:val="en-US"/>
        </w:rPr>
        <w:t xml:space="preserve">In practice, </w:t>
      </w:r>
      <w:r w:rsidR="003723AF" w:rsidRPr="003C67D1">
        <w:rPr>
          <w:lang w:val="en-US"/>
        </w:rPr>
        <w:t>most of the competition issues that the PSB has dealt with</w:t>
      </w:r>
      <w:r w:rsidR="003723AF">
        <w:rPr>
          <w:lang w:val="en-US"/>
        </w:rPr>
        <w:t xml:space="preserve"> </w:t>
      </w:r>
      <w:r w:rsidR="003723AF" w:rsidRPr="003C67D1">
        <w:rPr>
          <w:lang w:val="en-US"/>
        </w:rPr>
        <w:t xml:space="preserve">relate to retail payment systems, where matters of competition and efficiency are key, compared with high-value payment systems and </w:t>
      </w:r>
      <w:r w:rsidR="003723AF">
        <w:rPr>
          <w:lang w:val="en-US"/>
        </w:rPr>
        <w:t>clearing and settlement facilities</w:t>
      </w:r>
      <w:r w:rsidR="003723AF" w:rsidRPr="003C67D1">
        <w:rPr>
          <w:lang w:val="en-US"/>
        </w:rPr>
        <w:t>, where safety and stability are more critical.</w:t>
      </w:r>
      <w:r w:rsidR="003723AF">
        <w:rPr>
          <w:rStyle w:val="FootnoteReference"/>
          <w:lang w:val="en-US"/>
        </w:rPr>
        <w:footnoteReference w:id="12"/>
      </w:r>
      <w:r w:rsidR="003723AF">
        <w:rPr>
          <w:lang w:val="en-US"/>
        </w:rPr>
        <w:t xml:space="preserve"> This section therefore focuses on the work of the Bank and the PSB in promoting competition in the retail payments system</w:t>
      </w:r>
      <w:r w:rsidRPr="00094021">
        <w:rPr>
          <w:lang w:val="en-US"/>
        </w:rPr>
        <w:t>.</w:t>
      </w:r>
    </w:p>
    <w:p w14:paraId="43893778" w14:textId="6F98C81A" w:rsidR="00094021" w:rsidRPr="00094021" w:rsidRDefault="00094021" w:rsidP="005F5A16">
      <w:pPr>
        <w:pStyle w:val="BodyText"/>
        <w:rPr>
          <w:rFonts w:ascii="Calibri" w:eastAsiaTheme="minorEastAsia" w:hAnsi="Calibri"/>
          <w:lang w:val="en-US"/>
        </w:rPr>
      </w:pPr>
      <w:r w:rsidRPr="00094021">
        <w:rPr>
          <w:rFonts w:ascii="Calibri" w:eastAsiaTheme="minorEastAsia" w:hAnsi="Calibri"/>
          <w:lang w:val="en-US"/>
        </w:rPr>
        <w:t xml:space="preserve">The </w:t>
      </w:r>
      <w:r w:rsidR="00D60121">
        <w:rPr>
          <w:lang w:val="en-US"/>
        </w:rPr>
        <w:t>approach of the PSB has been to encourage the industry to undertake reform on its own</w:t>
      </w:r>
      <w:r w:rsidR="00142333">
        <w:rPr>
          <w:lang w:val="en-US"/>
        </w:rPr>
        <w:t xml:space="preserve"> where possible, with the </w:t>
      </w:r>
      <w:r w:rsidR="00AE6C42">
        <w:rPr>
          <w:lang w:val="en-US"/>
        </w:rPr>
        <w:t xml:space="preserve">PSB </w:t>
      </w:r>
      <w:r w:rsidR="00142333">
        <w:rPr>
          <w:lang w:val="en-US"/>
        </w:rPr>
        <w:t>using</w:t>
      </w:r>
      <w:r w:rsidR="00D60121">
        <w:rPr>
          <w:lang w:val="en-US"/>
        </w:rPr>
        <w:t xml:space="preserve"> its powers </w:t>
      </w:r>
      <w:r w:rsidR="00AE6C42">
        <w:rPr>
          <w:lang w:val="en-US"/>
        </w:rPr>
        <w:t xml:space="preserve">only </w:t>
      </w:r>
      <w:r w:rsidR="00D60121">
        <w:rPr>
          <w:lang w:val="en-US"/>
        </w:rPr>
        <w:t xml:space="preserve">when it considers </w:t>
      </w:r>
      <w:r w:rsidR="0086171D">
        <w:rPr>
          <w:lang w:val="en-US"/>
        </w:rPr>
        <w:t>this</w:t>
      </w:r>
      <w:r w:rsidR="00D60121">
        <w:rPr>
          <w:lang w:val="en-US"/>
        </w:rPr>
        <w:t xml:space="preserve"> to be in the public interest to do so to help manage risk and promote efficiency, competition and stability in the payments system. As a result, the PSB has made only limited use of its formal regulatory powers over the past two </w:t>
      </w:r>
      <w:r w:rsidRPr="00094021">
        <w:rPr>
          <w:rFonts w:ascii="Calibri" w:eastAsiaTheme="minorEastAsia" w:hAnsi="Calibri"/>
          <w:lang w:val="en-US"/>
        </w:rPr>
        <w:t>decades.</w:t>
      </w:r>
    </w:p>
    <w:p w14:paraId="0221E052" w14:textId="5FCDBA56" w:rsidR="00094021" w:rsidRPr="00094021" w:rsidRDefault="00094021" w:rsidP="005F5A16">
      <w:pPr>
        <w:pStyle w:val="BodyText"/>
        <w:rPr>
          <w:rFonts w:ascii="Calibri" w:eastAsiaTheme="minorEastAsia" w:hAnsi="Calibri"/>
          <w:lang w:val="en-US"/>
        </w:rPr>
      </w:pPr>
      <w:r w:rsidRPr="00094021">
        <w:rPr>
          <w:rFonts w:ascii="Calibri" w:eastAsiaTheme="minorEastAsia" w:hAnsi="Calibri"/>
          <w:lang w:val="en-US"/>
        </w:rPr>
        <w:t xml:space="preserve">In </w:t>
      </w:r>
      <w:r w:rsidR="00D60121">
        <w:rPr>
          <w:lang w:val="en-US"/>
        </w:rPr>
        <w:t xml:space="preserve">discharging its responsibilities, the PSB is mindful of the responsibilities of other regulators. The Australian Competition and Consumer Commission (ACCC) has broad responsibility for competition and access issues in all industries under the </w:t>
      </w:r>
      <w:r w:rsidR="00D60121" w:rsidRPr="0085198C">
        <w:rPr>
          <w:i/>
          <w:lang w:val="en-US"/>
        </w:rPr>
        <w:t>Competition and Consumer Act 2010</w:t>
      </w:r>
      <w:r w:rsidR="00D60121">
        <w:rPr>
          <w:lang w:val="en-US"/>
        </w:rPr>
        <w:t xml:space="preserve">. The Bank and the ACCC have entered into a Memorandum of Understanding to ensure </w:t>
      </w:r>
      <w:r w:rsidR="00D60121" w:rsidRPr="0071144C">
        <w:rPr>
          <w:lang w:val="en-US"/>
        </w:rPr>
        <w:t>appropriate coordination between the two agencies in</w:t>
      </w:r>
      <w:r w:rsidR="00D60121">
        <w:rPr>
          <w:lang w:val="en-US"/>
        </w:rPr>
        <w:t xml:space="preserve"> relation to competition issues in</w:t>
      </w:r>
      <w:r w:rsidR="00D60121" w:rsidRPr="0071144C">
        <w:rPr>
          <w:lang w:val="en-US"/>
        </w:rPr>
        <w:t xml:space="preserve"> the payments</w:t>
      </w:r>
      <w:r w:rsidR="00D60121">
        <w:rPr>
          <w:lang w:val="en-US"/>
        </w:rPr>
        <w:t xml:space="preserve"> </w:t>
      </w:r>
      <w:r w:rsidRPr="00094021">
        <w:rPr>
          <w:rFonts w:ascii="Calibri" w:eastAsiaTheme="minorEastAsia" w:hAnsi="Calibri"/>
          <w:lang w:val="en-US"/>
        </w:rPr>
        <w:t>system.</w:t>
      </w:r>
    </w:p>
    <w:p w14:paraId="68A76894" w14:textId="77777777" w:rsidR="00094021" w:rsidRPr="00094021" w:rsidRDefault="00094021" w:rsidP="005F5A16">
      <w:pPr>
        <w:pStyle w:val="Heading2"/>
        <w:spacing w:line="276" w:lineRule="auto"/>
        <w:rPr>
          <w:lang w:val="en-US"/>
        </w:rPr>
      </w:pPr>
      <w:r w:rsidRPr="00094021">
        <w:rPr>
          <w:lang w:val="en-US"/>
        </w:rPr>
        <w:t>The Bank’s regulatory reforms in the card payments market</w:t>
      </w:r>
    </w:p>
    <w:p w14:paraId="7963D7D9" w14:textId="1C9D27F7"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From </w:t>
      </w:r>
      <w:r w:rsidR="00D60121">
        <w:t>the</w:t>
      </w:r>
      <w:r w:rsidR="00D60121" w:rsidRPr="00705865">
        <w:t xml:space="preserve"> early 2000s, the Bank began implementing a series of reforms </w:t>
      </w:r>
      <w:r w:rsidR="00D60121">
        <w:t>in the payment cards market</w:t>
      </w:r>
      <w:r w:rsidR="00D60121" w:rsidRPr="00705865">
        <w:t xml:space="preserve"> as part of its mandate to promote competition and efficiency in </w:t>
      </w:r>
      <w:r w:rsidR="00D60121">
        <w:t xml:space="preserve">the payments system. These reforms included the introduction of benchmarks for interchange fees, which are fees paid by the merchant’s financial institution (the acquirer) to the cardholder’s financial institution (the issuer) every time a card payment is made. The benchmarks were aimed at increasing the transparency of interchange fees and limiting their tendency to rise. </w:t>
      </w:r>
      <w:r w:rsidR="00D60121" w:rsidRPr="00705865">
        <w:t xml:space="preserve">The reforms also </w:t>
      </w:r>
      <w:r w:rsidR="00D60121">
        <w:t>involved</w:t>
      </w:r>
      <w:r w:rsidR="00D60121" w:rsidRPr="00705865">
        <w:t xml:space="preserve"> changes to certain restrictive rules in card networks to </w:t>
      </w:r>
      <w:r w:rsidR="00D60121">
        <w:t>provide</w:t>
      </w:r>
      <w:r w:rsidR="00D60121" w:rsidRPr="00705865">
        <w:t xml:space="preserve"> merchants</w:t>
      </w:r>
      <w:r w:rsidR="00D60121">
        <w:t xml:space="preserve"> with the freedom</w:t>
      </w:r>
      <w:r w:rsidR="00D60121" w:rsidRPr="00705865">
        <w:t xml:space="preserve"> to choose which cards they would accept and to apply surcharges on card transactions. </w:t>
      </w:r>
      <w:r w:rsidR="00D60121">
        <w:t xml:space="preserve">By choosing to </w:t>
      </w:r>
      <w:r w:rsidR="002D42B4">
        <w:t xml:space="preserve">not </w:t>
      </w:r>
      <w:r w:rsidR="00D60121">
        <w:t xml:space="preserve">accept a particular </w:t>
      </w:r>
      <w:r w:rsidR="002D42B4">
        <w:t xml:space="preserve">card </w:t>
      </w:r>
      <w:r w:rsidR="00D60121">
        <w:t xml:space="preserve">type or to surcharge more expensive cards, merchants are able to provide signals to cardholders to choose less costly payment methods, and to schemes and acquirers to ensure that merchant service fees are </w:t>
      </w:r>
      <w:r w:rsidRPr="00094021">
        <w:rPr>
          <w:rFonts w:ascii="Calibri" w:eastAsiaTheme="minorEastAsia" w:hAnsi="Calibri"/>
        </w:rPr>
        <w:t>competitive.</w:t>
      </w:r>
    </w:p>
    <w:p w14:paraId="065C87C3" w14:textId="6B0F815C"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The </w:t>
      </w:r>
      <w:r w:rsidR="00D60121" w:rsidRPr="00705865">
        <w:t xml:space="preserve">Bank </w:t>
      </w:r>
      <w:r w:rsidR="00D60121">
        <w:t xml:space="preserve">has also </w:t>
      </w:r>
      <w:r w:rsidR="00D60121" w:rsidRPr="00705865">
        <w:t>implemented access regimes</w:t>
      </w:r>
      <w:r w:rsidR="00D60121">
        <w:t xml:space="preserve"> for various card schemes</w:t>
      </w:r>
      <w:r w:rsidR="00D60121" w:rsidRPr="00705865">
        <w:t xml:space="preserve"> </w:t>
      </w:r>
      <w:r w:rsidR="00D60121">
        <w:t>aimed at reducing</w:t>
      </w:r>
      <w:r w:rsidR="00D60121" w:rsidRPr="00705865">
        <w:t xml:space="preserve"> barriers to entry for entities wishing to issue cards</w:t>
      </w:r>
      <w:r w:rsidR="00D60121">
        <w:t xml:space="preserve"> </w:t>
      </w:r>
      <w:r w:rsidR="00D60121" w:rsidRPr="00705865">
        <w:t>or provide acquiring services to merchants.</w:t>
      </w:r>
      <w:r w:rsidR="00D60121">
        <w:rPr>
          <w:rStyle w:val="FootnoteReference"/>
        </w:rPr>
        <w:footnoteReference w:id="13"/>
      </w:r>
      <w:r w:rsidR="00D60121" w:rsidRPr="00705865">
        <w:t xml:space="preserve"> For instance, </w:t>
      </w:r>
      <w:r w:rsidR="00D60121">
        <w:t xml:space="preserve">in 2006 </w:t>
      </w:r>
      <w:r w:rsidR="00D60121" w:rsidRPr="00705865">
        <w:t>the Bank introduced an access regime for the eftpos network to facilitate entry given that new participants had to undertake bilateral negotiations with multiple incumbents who had little incentive to assist them.</w:t>
      </w:r>
      <w:r w:rsidR="00D60121" w:rsidRPr="00705865">
        <w:rPr>
          <w:rStyle w:val="FootnoteReference"/>
        </w:rPr>
        <w:footnoteReference w:id="14"/>
      </w:r>
      <w:r w:rsidR="00D60121" w:rsidRPr="00705865">
        <w:t xml:space="preserve"> The Bank has subsequently revised or revoked </w:t>
      </w:r>
      <w:r w:rsidR="00D60121">
        <w:t>many of these</w:t>
      </w:r>
      <w:r w:rsidR="00D60121" w:rsidRPr="00705865">
        <w:t xml:space="preserve"> access regimes </w:t>
      </w:r>
      <w:r w:rsidR="00D60121">
        <w:t>when</w:t>
      </w:r>
      <w:r w:rsidR="00D60121" w:rsidRPr="00705865">
        <w:t xml:space="preserve"> it was satisfied the card </w:t>
      </w:r>
      <w:r w:rsidR="00D60121">
        <w:t>schemes</w:t>
      </w:r>
      <w:r w:rsidR="00D60121" w:rsidRPr="00705865">
        <w:t xml:space="preserve"> had put in place improved access arrangements for new </w:t>
      </w:r>
      <w:r w:rsidRPr="00094021">
        <w:rPr>
          <w:rFonts w:ascii="Calibri" w:eastAsiaTheme="minorEastAsia" w:hAnsi="Calibri"/>
        </w:rPr>
        <w:t>entrants.</w:t>
      </w:r>
      <w:r w:rsidRPr="00094021">
        <w:rPr>
          <w:rFonts w:ascii="Calibri" w:eastAsiaTheme="minorEastAsia" w:hAnsi="Calibri"/>
          <w:vertAlign w:val="superscript"/>
        </w:rPr>
        <w:footnoteReference w:id="15"/>
      </w:r>
    </w:p>
    <w:p w14:paraId="26D0F4EB" w14:textId="78292FD8"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In </w:t>
      </w:r>
      <w:r w:rsidR="00D60121" w:rsidRPr="00705865">
        <w:t>2015</w:t>
      </w:r>
      <w:r w:rsidR="00D60121">
        <w:t>–</w:t>
      </w:r>
      <w:r w:rsidR="00D60121" w:rsidRPr="00705865">
        <w:t>16</w:t>
      </w:r>
      <w:r w:rsidR="00D60121">
        <w:t xml:space="preserve">, </w:t>
      </w:r>
      <w:r w:rsidR="00D60121" w:rsidRPr="00705865">
        <w:t xml:space="preserve">the Bank undertook </w:t>
      </w:r>
      <w:r w:rsidR="00D60121" w:rsidRPr="00705865" w:rsidDel="00006EC6">
        <w:t>a</w:t>
      </w:r>
      <w:r w:rsidR="00D60121" w:rsidRPr="00705865">
        <w:t xml:space="preserve"> comprehensive review of its card payments regulation</w:t>
      </w:r>
      <w:r w:rsidR="00D60121">
        <w:t>,</w:t>
      </w:r>
      <w:r w:rsidR="00D60121" w:rsidRPr="00705865">
        <w:t xml:space="preserve"> </w:t>
      </w:r>
      <w:r w:rsidR="00D60121">
        <w:t>which resulted in several changes to the interchange and surcharging regulations</w:t>
      </w:r>
      <w:sdt>
        <w:sdtPr>
          <w:id w:val="815611366"/>
          <w:citation/>
        </w:sdtPr>
        <w:sdtEndPr/>
        <w:sdtContent>
          <w:r w:rsidR="00832154">
            <w:fldChar w:fldCharType="begin"/>
          </w:r>
          <w:r w:rsidR="00832154">
            <w:instrText xml:space="preserve">CITATION Con16 \l 3081 </w:instrText>
          </w:r>
          <w:r w:rsidR="00832154">
            <w:fldChar w:fldCharType="separate"/>
          </w:r>
          <w:r w:rsidR="0018397C">
            <w:rPr>
              <w:noProof/>
            </w:rPr>
            <w:t xml:space="preserve"> (RBA 2016b)</w:t>
          </w:r>
          <w:r w:rsidR="00832154">
            <w:fldChar w:fldCharType="end"/>
          </w:r>
        </w:sdtContent>
      </w:sdt>
      <w:r w:rsidR="00D60121" w:rsidRPr="00705865">
        <w:t>.</w:t>
      </w:r>
      <w:r w:rsidR="00D60121">
        <w:t xml:space="preserve"> These included the introduction of ceilings on individual interchange fees as a supplement to the existing weighted-average benchmarks, a more tightly defined limit on the maximum surcharges that merchants can impose, and requirements for acquirers to provide merchants with greater transparency over their payment costs. The review also prompted additional reforms to enhance competitive neutrality in the payments card market by extending interchange fee regulation to American Express companion cards issued by banks. Though these cards do not involve interchange fees, they incorporate payments that are economically equivalent to interchange </w:t>
      </w:r>
      <w:r w:rsidR="000B29D2">
        <w:rPr>
          <w:rFonts w:ascii="Calibri" w:eastAsiaTheme="minorEastAsia" w:hAnsi="Calibri"/>
        </w:rPr>
        <w:t>fees.</w:t>
      </w:r>
    </w:p>
    <w:p w14:paraId="3950B43D" w14:textId="72D942AB"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In </w:t>
      </w:r>
      <w:r w:rsidR="00D60121">
        <w:t>recent years, the Bank has negotiated voluntary undertakings to deal with competition concerns in relation to dual-network debit cards, which are ATM/debit cards with point-of-sale debit functionality from two payment networks (eftpos and one of either MasterCard or Visa). The PSB was concerned that actions by particular networks with respect to these cards had the potential to inhibit competition, limit consumer choice and increase payment costs. Accordingly, in 2013, the Bank secured voluntary undertakings from the relevant schemes in which they agreed not to prevent issuers from including contactless applications of other schemes on debit cards and to not stand in the way of merchants exercising choice in the networks they accept and in how their contactless transactions are routed</w:t>
      </w:r>
      <w:sdt>
        <w:sdtPr>
          <w:id w:val="673076381"/>
          <w:citation/>
        </w:sdtPr>
        <w:sdtEndPr/>
        <w:sdtContent>
          <w:r w:rsidR="00832154">
            <w:fldChar w:fldCharType="begin"/>
          </w:r>
          <w:r w:rsidR="00832154">
            <w:instrText xml:space="preserve"> CITATION Dua13 \l 3081 </w:instrText>
          </w:r>
          <w:r w:rsidR="00832154">
            <w:fldChar w:fldCharType="separate"/>
          </w:r>
          <w:r w:rsidR="0018397C">
            <w:rPr>
              <w:noProof/>
            </w:rPr>
            <w:t xml:space="preserve"> (RBA 2013)</w:t>
          </w:r>
          <w:r w:rsidR="00832154">
            <w:fldChar w:fldCharType="end"/>
          </w:r>
        </w:sdtContent>
      </w:sdt>
      <w:r w:rsidR="00D60121">
        <w:t>. In 2016–17, the Bank undertook a public consultation in response to concerns about possible restrictions by schemes on the use of dual-network cards in mobile wallets</w:t>
      </w:r>
      <w:sdt>
        <w:sdtPr>
          <w:id w:val="-906844637"/>
          <w:citation/>
        </w:sdtPr>
        <w:sdtEndPr/>
        <w:sdtContent>
          <w:r w:rsidR="00832154">
            <w:fldChar w:fldCharType="begin"/>
          </w:r>
          <w:r w:rsidR="00832154">
            <w:instrText xml:space="preserve"> CITATION Dua16 \l 3081 </w:instrText>
          </w:r>
          <w:r w:rsidR="00832154">
            <w:fldChar w:fldCharType="separate"/>
          </w:r>
          <w:r w:rsidR="0018397C">
            <w:rPr>
              <w:noProof/>
            </w:rPr>
            <w:t xml:space="preserve"> (RBA 2016a)</w:t>
          </w:r>
          <w:r w:rsidR="00832154">
            <w:fldChar w:fldCharType="end"/>
          </w:r>
        </w:sdtContent>
      </w:sdt>
      <w:r w:rsidR="00D60121">
        <w:t>. Following discussions with industry participants, the Bank received voluntary commitments from relevant participants that addressed these concerns without the need for regulatory</w:t>
      </w:r>
      <w:r w:rsidRPr="00094021">
        <w:rPr>
          <w:rFonts w:ascii="Calibri" w:eastAsiaTheme="minorEastAsia" w:hAnsi="Calibri"/>
        </w:rPr>
        <w:t xml:space="preserve"> intervention</w:t>
      </w:r>
      <w:sdt>
        <w:sdtPr>
          <w:rPr>
            <w:rFonts w:ascii="Calibri" w:eastAsiaTheme="minorEastAsia" w:hAnsi="Calibri"/>
          </w:rPr>
          <w:id w:val="1842965808"/>
          <w:citation/>
        </w:sdtPr>
        <w:sdtEndPr/>
        <w:sdtContent>
          <w:r w:rsidR="00A209B4">
            <w:rPr>
              <w:rFonts w:ascii="Calibri" w:eastAsiaTheme="minorEastAsia" w:hAnsi="Calibri"/>
            </w:rPr>
            <w:fldChar w:fldCharType="begin"/>
          </w:r>
          <w:r w:rsidR="00A209B4">
            <w:rPr>
              <w:rFonts w:ascii="Calibri" w:eastAsiaTheme="minorEastAsia" w:hAnsi="Calibri"/>
            </w:rPr>
            <w:instrText xml:space="preserve"> CITATION Pay17 \l 3081 </w:instrText>
          </w:r>
          <w:r w:rsidR="00A209B4">
            <w:rPr>
              <w:rFonts w:ascii="Calibri" w:eastAsiaTheme="minorEastAsia" w:hAnsi="Calibri"/>
            </w:rPr>
            <w:fldChar w:fldCharType="separate"/>
          </w:r>
          <w:r w:rsidR="0018397C">
            <w:rPr>
              <w:rFonts w:ascii="Calibri" w:eastAsiaTheme="minorEastAsia" w:hAnsi="Calibri"/>
              <w:noProof/>
            </w:rPr>
            <w:t xml:space="preserve"> </w:t>
          </w:r>
          <w:r w:rsidR="0018397C" w:rsidRPr="0018397C">
            <w:rPr>
              <w:rFonts w:ascii="Calibri" w:eastAsiaTheme="minorEastAsia" w:hAnsi="Calibri"/>
              <w:noProof/>
            </w:rPr>
            <w:t>(RBA 2017)</w:t>
          </w:r>
          <w:r w:rsidR="00A209B4">
            <w:rPr>
              <w:rFonts w:ascii="Calibri" w:eastAsiaTheme="minorEastAsia" w:hAnsi="Calibri"/>
            </w:rPr>
            <w:fldChar w:fldCharType="end"/>
          </w:r>
        </w:sdtContent>
      </w:sdt>
      <w:r w:rsidRPr="00094021">
        <w:rPr>
          <w:rFonts w:ascii="Calibri" w:eastAsiaTheme="minorEastAsia" w:hAnsi="Calibri"/>
        </w:rPr>
        <w:t>.</w:t>
      </w:r>
    </w:p>
    <w:p w14:paraId="681F4BF8" w14:textId="77777777" w:rsidR="00094021" w:rsidRPr="00094021" w:rsidRDefault="00094021" w:rsidP="005F5A16">
      <w:pPr>
        <w:pStyle w:val="Heading2"/>
        <w:spacing w:line="276" w:lineRule="auto"/>
      </w:pPr>
      <w:r w:rsidRPr="00094021">
        <w:t>Competition in the payments market</w:t>
      </w:r>
    </w:p>
    <w:p w14:paraId="13B251B2" w14:textId="74E00808" w:rsidR="00094021" w:rsidRPr="00094021" w:rsidRDefault="00094021" w:rsidP="005F5A16">
      <w:pPr>
        <w:pStyle w:val="BodyText"/>
        <w:rPr>
          <w:rFonts w:ascii="Calibri" w:eastAsiaTheme="minorEastAsia" w:hAnsi="Calibri"/>
          <w:lang w:val="en-US"/>
        </w:rPr>
      </w:pPr>
      <w:r w:rsidRPr="00094021">
        <w:rPr>
          <w:rFonts w:ascii="Calibri" w:eastAsiaTheme="minorEastAsia" w:hAnsi="Calibri"/>
          <w:lang w:val="en-US"/>
        </w:rPr>
        <w:t xml:space="preserve">Competition </w:t>
      </w:r>
      <w:r w:rsidR="00D60121">
        <w:rPr>
          <w:lang w:val="en-US"/>
        </w:rPr>
        <w:t>in payment systems is complex and multifaceted as it occurs at different levels and between different participants in those systems. At the broadest level, there is competition between different payment methods, such as credit and debit cards, bank transfers, cheques and cash. Payment methods have varying levels of convenience, cost and other attributes that make them more or less appealing to users. These differences have contributed to some noticeable shifts in consumer payment preferences, which the Bank has documented in its triennial Consumer Payments Surveys</w:t>
      </w:r>
      <w:sdt>
        <w:sdtPr>
          <w:rPr>
            <w:lang w:val="en-US"/>
          </w:rPr>
          <w:id w:val="1119497483"/>
          <w:citation/>
        </w:sdtPr>
        <w:sdtEndPr/>
        <w:sdtContent>
          <w:r w:rsidR="00A209B4">
            <w:rPr>
              <w:lang w:val="en-US"/>
            </w:rPr>
            <w:fldChar w:fldCharType="begin"/>
          </w:r>
          <w:r w:rsidR="00A209B4">
            <w:instrText xml:space="preserve">CITATION Doy17 \l 3081 </w:instrText>
          </w:r>
          <w:r w:rsidR="00A209B4">
            <w:rPr>
              <w:lang w:val="en-US"/>
            </w:rPr>
            <w:fldChar w:fldCharType="separate"/>
          </w:r>
          <w:r w:rsidR="0018397C">
            <w:rPr>
              <w:noProof/>
            </w:rPr>
            <w:t xml:space="preserve"> (Doyle </w:t>
          </w:r>
          <w:r w:rsidR="0018397C">
            <w:rPr>
              <w:i/>
              <w:iCs/>
              <w:noProof/>
            </w:rPr>
            <w:t>et al</w:t>
          </w:r>
          <w:r w:rsidR="0018397C">
            <w:rPr>
              <w:noProof/>
            </w:rPr>
            <w:t xml:space="preserve"> 2017)</w:t>
          </w:r>
          <w:r w:rsidR="00A209B4">
            <w:rPr>
              <w:lang w:val="en-US"/>
            </w:rPr>
            <w:fldChar w:fldCharType="end"/>
          </w:r>
        </w:sdtContent>
      </w:sdt>
      <w:r w:rsidR="00D60121">
        <w:rPr>
          <w:lang w:val="en-US"/>
        </w:rPr>
        <w:t xml:space="preserve">. One consistent trend over the past decade has been a shift away from paper-based payment methods, such as cash and cheques, and towards electronic methods, such as credit and debit </w:t>
      </w:r>
      <w:r w:rsidRPr="00094021">
        <w:rPr>
          <w:rFonts w:ascii="Calibri" w:eastAsiaTheme="minorEastAsia" w:hAnsi="Calibri"/>
          <w:lang w:val="en-US"/>
        </w:rPr>
        <w:t>cards.</w:t>
      </w:r>
    </w:p>
    <w:p w14:paraId="3AF4E305" w14:textId="51A1163D" w:rsidR="00094021" w:rsidRPr="00094021" w:rsidRDefault="00094021" w:rsidP="005F5A16">
      <w:pPr>
        <w:pStyle w:val="BodyText"/>
        <w:rPr>
          <w:rFonts w:ascii="Calibri" w:eastAsiaTheme="minorEastAsia" w:hAnsi="Calibri"/>
          <w:lang w:val="en-US"/>
        </w:rPr>
      </w:pPr>
      <w:r w:rsidRPr="00094021">
        <w:rPr>
          <w:rFonts w:ascii="Calibri" w:eastAsiaTheme="minorEastAsia" w:hAnsi="Calibri"/>
          <w:lang w:val="en-US"/>
        </w:rPr>
        <w:t xml:space="preserve">Within </w:t>
      </w:r>
      <w:r w:rsidR="00D60121">
        <w:rPr>
          <w:lang w:val="en-US"/>
        </w:rPr>
        <w:t>the payment cards market there is competition between different card schemes and also between the participants within those schemes, namely card issuers and acquirers.</w:t>
      </w:r>
      <w:r w:rsidR="00D60121">
        <w:rPr>
          <w:rStyle w:val="FootnoteReference"/>
          <w:lang w:val="en-US"/>
        </w:rPr>
        <w:footnoteReference w:id="16"/>
      </w:r>
      <w:r w:rsidR="00D60121">
        <w:rPr>
          <w:lang w:val="en-US"/>
        </w:rPr>
        <w:t xml:space="preserve"> The card schemes, such as Visa, MasterCard, and eftpos, compete to increase the issuance, acceptance and use of cards that utili</w:t>
      </w:r>
      <w:r w:rsidR="002B4753">
        <w:rPr>
          <w:lang w:val="en-US"/>
        </w:rPr>
        <w:t>s</w:t>
      </w:r>
      <w:r w:rsidR="00D60121">
        <w:rPr>
          <w:lang w:val="en-US"/>
        </w:rPr>
        <w:t>e their payment networks. This competition can be reflected in the fees schemes charge and in the incentives and other benefits they provide to issuers, acquirers and/or merchants. Separately, there is competition between card issuers and between acquirers. In card issuance, competition is reflected in the pricing, rewards and other product features that apply to different types of cards. Acquirers mostly compete over the payment services and products they provide to merchants and the fees they charge (merchant service</w:t>
      </w:r>
      <w:r w:rsidRPr="00094021">
        <w:rPr>
          <w:rFonts w:ascii="Calibri" w:eastAsiaTheme="minorEastAsia" w:hAnsi="Calibri"/>
          <w:lang w:val="en-US"/>
        </w:rPr>
        <w:t xml:space="preserve"> fees).</w:t>
      </w:r>
    </w:p>
    <w:p w14:paraId="5FB609FC" w14:textId="15B754AE" w:rsidR="00094021" w:rsidRPr="000211A9" w:rsidRDefault="00094021" w:rsidP="005F5A16">
      <w:pPr>
        <w:pStyle w:val="BodyText"/>
        <w:rPr>
          <w:lang w:val="en-US"/>
        </w:rPr>
      </w:pPr>
      <w:r w:rsidRPr="00094021">
        <w:rPr>
          <w:rFonts w:ascii="Calibri" w:eastAsiaTheme="minorEastAsia" w:hAnsi="Calibri"/>
          <w:lang w:val="en-US"/>
        </w:rPr>
        <w:t xml:space="preserve">As </w:t>
      </w:r>
      <w:r w:rsidR="00D60121">
        <w:rPr>
          <w:lang w:val="en-US"/>
        </w:rPr>
        <w:t>the Bank has discussed elsewhere, the structure and competitive dynamics of card schemes can result in pricing outcomes that are economically counterintuitive.</w:t>
      </w:r>
      <w:r w:rsidR="00D60121">
        <w:rPr>
          <w:rStyle w:val="FootnoteReference"/>
          <w:lang w:val="en-US"/>
        </w:rPr>
        <w:footnoteReference w:id="17"/>
      </w:r>
      <w:r w:rsidR="00D60121">
        <w:rPr>
          <w:lang w:val="en-US"/>
        </w:rPr>
        <w:t xml:space="preserve"> Where the market structure is such that there are multiple schemes whose cards are widely accepted and where consumers may hold one scheme’s cards but not the other, competition tends to involve offering incentives to a consumer to use a particular scheme’s cards</w:t>
      </w:r>
      <w:r w:rsidR="00613065">
        <w:rPr>
          <w:lang w:val="en-US"/>
        </w:rPr>
        <w:t xml:space="preserve"> </w:t>
      </w:r>
      <w:sdt>
        <w:sdtPr>
          <w:rPr>
            <w:lang w:val="en-US"/>
          </w:rPr>
          <w:id w:val="2105836915"/>
          <w:citation/>
        </w:sdtPr>
        <w:sdtEndPr/>
        <w:sdtContent>
          <w:r w:rsidR="000211A9" w:rsidRPr="008F0BAA">
            <w:rPr>
              <w:lang w:val="en-US"/>
            </w:rPr>
            <w:fldChar w:fldCharType="begin"/>
          </w:r>
          <w:r w:rsidR="008F0BAA" w:rsidRPr="008F0BAA">
            <w:instrText xml:space="preserve">CITATION Gut07 \l 3081 </w:instrText>
          </w:r>
          <w:r w:rsidR="000211A9" w:rsidRPr="008F0BAA">
            <w:rPr>
              <w:lang w:val="en-US"/>
            </w:rPr>
            <w:fldChar w:fldCharType="separate"/>
          </w:r>
          <w:r w:rsidR="0018397C">
            <w:rPr>
              <w:noProof/>
            </w:rPr>
            <w:t>(Guthrie and Wright 2007)</w:t>
          </w:r>
          <w:r w:rsidR="000211A9" w:rsidRPr="008F0BAA">
            <w:rPr>
              <w:lang w:val="en-US"/>
            </w:rPr>
            <w:fldChar w:fldCharType="end"/>
          </w:r>
        </w:sdtContent>
      </w:sdt>
      <w:r w:rsidR="00D60121">
        <w:rPr>
          <w:lang w:val="en-US"/>
        </w:rPr>
        <w:t xml:space="preserve">. </w:t>
      </w:r>
      <w:r w:rsidR="00C1186F">
        <w:rPr>
          <w:lang w:val="en-US"/>
        </w:rPr>
        <w:t>I</w:t>
      </w:r>
      <w:r w:rsidR="00D60121">
        <w:rPr>
          <w:lang w:val="en-US"/>
        </w:rPr>
        <w:t xml:space="preserve">n four-party card schemes, interchange fees are typically paid by the merchant’s financial institution (the acquirer) to the cardholder’s financial institution (the issuer) every time a payment is made. Therefore, a scheme that increases its interchange fees enables the card issuer to offer more generous incentives to cardholders, which can increase use of its cards. Competition between well-established payment card schemes can therefore lead to the perverse result of increasing the price of payment services to merchants (thereby leading to higher retail prices for consumers). This dynamic was evident in Australia before the Bank’s regulation of interchange fees and is observable today in markets such as the United States where credit card interchange fees are not </w:t>
      </w:r>
      <w:r w:rsidRPr="00094021">
        <w:rPr>
          <w:rFonts w:ascii="Calibri" w:eastAsiaTheme="minorEastAsia" w:hAnsi="Calibri"/>
          <w:lang w:val="en-US"/>
        </w:rPr>
        <w:t>regulated.</w:t>
      </w:r>
    </w:p>
    <w:p w14:paraId="5FC0A003" w14:textId="23FED9AB" w:rsidR="00094021" w:rsidRPr="00094021" w:rsidRDefault="00094021" w:rsidP="005F5A16">
      <w:pPr>
        <w:pStyle w:val="Heading3"/>
        <w:spacing w:line="276" w:lineRule="auto"/>
      </w:pPr>
      <w:r w:rsidRPr="00094021">
        <w:t>Card schemes</w:t>
      </w:r>
    </w:p>
    <w:p w14:paraId="7BC77DDC" w14:textId="39547905" w:rsidR="00094021" w:rsidRPr="00094021" w:rsidRDefault="00094021" w:rsidP="005F5A16">
      <w:pPr>
        <w:pStyle w:val="BodyText"/>
      </w:pPr>
      <w:r w:rsidRPr="00094021">
        <w:t>Payment cards (debit, credit and charge cards) are the most frequently used retail payment method in Australia. The Bank’s Consumer Payments Survey showed that 52 per cent of consumer payments were made with payment cards in 2016, compared with 26 per cent in 2007</w:t>
      </w:r>
      <w:sdt>
        <w:sdtPr>
          <w:id w:val="-1787190915"/>
          <w:citation/>
        </w:sdtPr>
        <w:sdtEndPr/>
        <w:sdtContent>
          <w:r w:rsidR="00BF19B5">
            <w:fldChar w:fldCharType="begin"/>
          </w:r>
          <w:r w:rsidR="00BF19B5">
            <w:instrText xml:space="preserve"> CITATION Doy17 \l 3081 </w:instrText>
          </w:r>
          <w:r w:rsidR="00BF19B5">
            <w:fldChar w:fldCharType="separate"/>
          </w:r>
          <w:r w:rsidR="0018397C">
            <w:rPr>
              <w:noProof/>
            </w:rPr>
            <w:t xml:space="preserve"> (Doyle </w:t>
          </w:r>
          <w:r w:rsidR="0018397C">
            <w:rPr>
              <w:i/>
              <w:iCs/>
              <w:noProof/>
            </w:rPr>
            <w:t>et al</w:t>
          </w:r>
          <w:r w:rsidR="0018397C">
            <w:rPr>
              <w:noProof/>
            </w:rPr>
            <w:t xml:space="preserve"> 2017)</w:t>
          </w:r>
          <w:r w:rsidR="00BF19B5">
            <w:fldChar w:fldCharType="end"/>
          </w:r>
        </w:sdtContent>
      </w:sdt>
      <w:r w:rsidRPr="00094021">
        <w:t>.</w:t>
      </w:r>
    </w:p>
    <w:p w14:paraId="2F345AE8" w14:textId="6AC635FC" w:rsidR="00094021" w:rsidRPr="00094021" w:rsidRDefault="00094021" w:rsidP="005F5A16">
      <w:pPr>
        <w:pStyle w:val="BodyText"/>
      </w:pPr>
      <w:r w:rsidRPr="00094021">
        <w:t>MasterCard and Visa are the two largest credit card schemes in Australia, with a combined market share of a little over 80 per cent of the value of credit and charge card transactions (</w:t>
      </w:r>
      <w:r w:rsidRPr="00094021">
        <w:fldChar w:fldCharType="begin"/>
      </w:r>
      <w:r w:rsidRPr="00094021">
        <w:instrText xml:space="preserve"> REF _Ref491273085 \h </w:instrText>
      </w:r>
      <w:r w:rsidR="002550BC" w:rsidRPr="002550BC">
        <w:instrText xml:space="preserve"> \* MERGEFORMAT </w:instrText>
      </w:r>
      <w:r w:rsidRPr="00094021">
        <w:fldChar w:fldCharType="separate"/>
      </w:r>
      <w:r w:rsidR="00032843" w:rsidRPr="00032843">
        <w:t>Graph 30</w:t>
      </w:r>
      <w:r w:rsidRPr="00094021">
        <w:fldChar w:fldCharType="end"/>
      </w:r>
      <w:r w:rsidRPr="00094021">
        <w:t>). They operate as four-party arrangements, relying on banks and other financial institutions to separately issue their cards and provide acquiring services. In contrast, American Express and Diners Club operate as three-party arrangements, where they act as the card issuer and acquirer themselves. Some banks also issue American Express companion cards for which American Express remains the sole acquirer. The introduction of companion cards by the major banks in 2004 and 2009 coincided with visible increases in American Express’ market share.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tblGrid>
      <w:tr w:rsidR="00A9306D" w:rsidRPr="00094021" w14:paraId="7D35EA6C" w14:textId="77777777" w:rsidTr="00A9306D">
        <w:trPr>
          <w:jc w:val="center"/>
        </w:trPr>
        <w:tc>
          <w:tcPr>
            <w:tcW w:w="4365" w:type="dxa"/>
          </w:tcPr>
          <w:p w14:paraId="3C5CC9BF" w14:textId="77777777" w:rsidR="00A9306D" w:rsidRPr="00094021" w:rsidRDefault="00A9306D" w:rsidP="00A9306D">
            <w:pPr>
              <w:keepNext/>
              <w:spacing w:before="120" w:after="60"/>
              <w:jc w:val="center"/>
              <w:rPr>
                <w:rFonts w:ascii="Arial" w:eastAsiaTheme="minorEastAsia" w:hAnsi="Arial"/>
                <w:b/>
              </w:rPr>
            </w:pPr>
            <w:bookmarkStart w:id="33" w:name="_Ref491273085"/>
            <w:r w:rsidRPr="00094021">
              <w:rPr>
                <w:rFonts w:ascii="Arial" w:eastAsiaTheme="minorEastAsia" w:hAnsi="Arial"/>
                <w:b/>
              </w:rPr>
              <w:t>Graph </w:t>
            </w:r>
            <w:r w:rsidRPr="00094021">
              <w:rPr>
                <w:rFonts w:ascii="Arial" w:eastAsiaTheme="minorEastAsia" w:hAnsi="Arial"/>
                <w:b/>
              </w:rPr>
              <w:fldChar w:fldCharType="begin"/>
            </w:r>
            <w:r w:rsidRPr="00094021">
              <w:rPr>
                <w:rFonts w:ascii="Arial" w:eastAsiaTheme="minorEastAsia" w:hAnsi="Arial"/>
                <w:b/>
              </w:rPr>
              <w:instrText xml:space="preserve"> SEQ Graph \* ARABIC \* MERGEFORMAT </w:instrText>
            </w:r>
            <w:r w:rsidRPr="00094021">
              <w:rPr>
                <w:rFonts w:ascii="Arial" w:eastAsiaTheme="minorEastAsia" w:hAnsi="Arial"/>
                <w:b/>
              </w:rPr>
              <w:fldChar w:fldCharType="separate"/>
            </w:r>
            <w:r w:rsidR="00032843">
              <w:rPr>
                <w:rFonts w:ascii="Arial" w:eastAsiaTheme="minorEastAsia" w:hAnsi="Arial"/>
                <w:b/>
                <w:noProof/>
              </w:rPr>
              <w:t>30</w:t>
            </w:r>
            <w:r w:rsidRPr="00094021">
              <w:rPr>
                <w:rFonts w:ascii="Arial" w:eastAsiaTheme="minorEastAsia" w:hAnsi="Arial"/>
                <w:b/>
                <w:noProof/>
              </w:rPr>
              <w:fldChar w:fldCharType="end"/>
            </w:r>
            <w:bookmarkEnd w:id="33"/>
          </w:p>
          <w:p w14:paraId="4EB47D40" w14:textId="1C4FE47E" w:rsidR="00A9306D" w:rsidRPr="00094021" w:rsidRDefault="00837F78" w:rsidP="00A9306D">
            <w:pPr>
              <w:keepNext/>
              <w:jc w:val="center"/>
              <w:rPr>
                <w:rFonts w:ascii="Arial" w:eastAsiaTheme="minorEastAsia" w:hAnsi="Arial"/>
                <w:b/>
              </w:rPr>
            </w:pPr>
            <w:r>
              <w:rPr>
                <w:rFonts w:ascii="Arial" w:eastAsiaTheme="minorEastAsia" w:hAnsi="Arial"/>
                <w:b/>
                <w:noProof/>
              </w:rPr>
              <w:drawing>
                <wp:inline distT="0" distB="0" distL="0" distR="0" wp14:anchorId="3FFD89C5" wp14:editId="677A41EC">
                  <wp:extent cx="2771775" cy="2416810"/>
                  <wp:effectExtent l="0" t="0" r="952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 Shares of Card Schemes with split.emf"/>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71775" cy="2416810"/>
                          </a:xfrm>
                          <a:prstGeom prst="rect">
                            <a:avLst/>
                          </a:prstGeom>
                        </pic:spPr>
                      </pic:pic>
                    </a:graphicData>
                  </a:graphic>
                </wp:inline>
              </w:drawing>
            </w:r>
          </w:p>
        </w:tc>
      </w:tr>
    </w:tbl>
    <w:p w14:paraId="06904509" w14:textId="1DEC310B" w:rsidR="00094021" w:rsidRPr="00094021" w:rsidRDefault="00094021" w:rsidP="00E4193E">
      <w:pPr>
        <w:pStyle w:val="BodyText"/>
        <w:spacing w:before="120"/>
      </w:pPr>
      <w:r w:rsidRPr="00094021">
        <w:t xml:space="preserve">MasterCard, </w:t>
      </w:r>
      <w:r w:rsidR="00D60121">
        <w:t xml:space="preserve">Visa and eftpos compete in the debit card market (the American Express and Diners Club schemes do not include debit cards). MasterCard and Visa debit card transactions have generally grown at a faster rate than eftpos transactions over the past decade, with their combined market share rising to a little over 60 per cent. This largely reflects MasterCard and Visa’s relatively early introduction of contactless and online payments functionality, whereas eftpos only recently began offering contactless functionality and is still developing online payments </w:t>
      </w:r>
      <w:r w:rsidRPr="00094021">
        <w:t>functionality.</w:t>
      </w:r>
    </w:p>
    <w:p w14:paraId="7BEF4130" w14:textId="2E3F45CF" w:rsidR="002011B1" w:rsidRDefault="00094021" w:rsidP="005F5A16">
      <w:pPr>
        <w:pStyle w:val="BodyText"/>
      </w:pPr>
      <w:bookmarkStart w:id="34" w:name="_Ref490145624"/>
      <w:r w:rsidRPr="00094021">
        <w:t xml:space="preserve">A </w:t>
      </w:r>
      <w:r w:rsidR="00D60121">
        <w:t xml:space="preserve">high degree of concentration in a few card schemes is a characteristic of many payments markets. Payment systems have strong network effects that can make it difficult for new schemes to develop or enter the market. Consumers tend to only want to hold a card if there are many merchants that accept it, while merchants tend to only accept a brand of card as a means of payment if many potential customers hold it. UnionPay, which is one of the largest card schemes globally by virtue of its dominance in China, has been gradually building merchant acceptance in Australia by focusing on merchant segments with heavy exposure to inbound Chinese tourism. However, few UnionPay-branded credit cards have been issued locally, which </w:t>
      </w:r>
      <w:r w:rsidR="00822DFA">
        <w:t>is</w:t>
      </w:r>
      <w:r w:rsidR="00D60121">
        <w:t xml:space="preserve"> indicative of the challenges of establishing a new card scheme in the presence of these strong network</w:t>
      </w:r>
      <w:r w:rsidRPr="00094021">
        <w:t xml:space="preserve"> effects.</w:t>
      </w:r>
    </w:p>
    <w:bookmarkEnd w:id="34"/>
    <w:p w14:paraId="64C0378C" w14:textId="77777777" w:rsidR="00094021" w:rsidRPr="00094021" w:rsidRDefault="00094021" w:rsidP="005F5A16">
      <w:pPr>
        <w:pStyle w:val="Heading3"/>
        <w:spacing w:line="276" w:lineRule="auto"/>
      </w:pPr>
      <w:r w:rsidRPr="00094021">
        <w:t>Card issuing</w:t>
      </w:r>
      <w:r w:rsidRPr="00094021">
        <w:rPr>
          <w:vertAlign w:val="superscript"/>
        </w:rPr>
        <w:footnoteReference w:id="18"/>
      </w:r>
    </w:p>
    <w:p w14:paraId="3D1FF46A" w14:textId="5FCA2E2E" w:rsidR="00094021" w:rsidRDefault="00094021" w:rsidP="005F5A16">
      <w:pPr>
        <w:pStyle w:val="BodyText"/>
      </w:pPr>
      <w:r w:rsidRPr="00094021">
        <w:t xml:space="preserve">As in the broader banking market, the major banks are the largest card issuers in Australia. Spending on credit and debit cards issued by the major banks accounts for nearly 80 per cent of the value of card transactions, with this share remaining fairly stable over the past decade </w:t>
      </w:r>
      <w:r w:rsidR="00154ADC">
        <w:t>(</w:t>
      </w:r>
      <w:r w:rsidR="00154ADC">
        <w:fldChar w:fldCharType="begin"/>
      </w:r>
      <w:r w:rsidR="00154ADC">
        <w:instrText xml:space="preserve"> REF _Ref493163603 \h  \* MERGEFORMAT </w:instrText>
      </w:r>
      <w:r w:rsidR="00154ADC">
        <w:fldChar w:fldCharType="separate"/>
      </w:r>
      <w:r w:rsidR="00032843" w:rsidRPr="00032843">
        <w:t>Graph 31</w:t>
      </w:r>
      <w:r w:rsidR="00154ADC">
        <w:fldChar w:fldCharType="end"/>
      </w:r>
      <w:r w:rsidR="00154ADC">
        <w:t>)</w:t>
      </w:r>
      <w:r w:rsidRPr="00094021">
        <w:t>. Credit and charge card issuance is slightly less concentrated than the overall card market, partly reflecting the presence of American Express and Diners Club, which, as mentioned before, typically issue credit and charge cards directly to cardholders (rather than through a financial institution).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9"/>
      </w:tblGrid>
      <w:tr w:rsidR="00A9306D" w14:paraId="4691DDE9" w14:textId="77777777" w:rsidTr="00A9306D">
        <w:trPr>
          <w:jc w:val="center"/>
        </w:trPr>
        <w:tc>
          <w:tcPr>
            <w:tcW w:w="4369" w:type="dxa"/>
          </w:tcPr>
          <w:p w14:paraId="6FB8D82F" w14:textId="77777777" w:rsidR="00A9306D" w:rsidRDefault="00A9306D" w:rsidP="00A9306D">
            <w:pPr>
              <w:keepNext/>
              <w:spacing w:before="120"/>
              <w:jc w:val="center"/>
              <w:rPr>
                <w:rFonts w:ascii="Arial" w:eastAsiaTheme="minorEastAsia" w:hAnsi="Arial"/>
                <w:b/>
                <w:noProof/>
              </w:rPr>
            </w:pPr>
            <w:bookmarkStart w:id="35" w:name="_Ref493163603"/>
            <w:r w:rsidRPr="00094021">
              <w:rPr>
                <w:rFonts w:ascii="Arial" w:eastAsiaTheme="minorEastAsia" w:hAnsi="Arial"/>
                <w:b/>
              </w:rPr>
              <w:t>Graph </w:t>
            </w:r>
            <w:r w:rsidRPr="00094021">
              <w:rPr>
                <w:rFonts w:ascii="Arial" w:eastAsiaTheme="minorEastAsia" w:hAnsi="Arial"/>
                <w:b/>
              </w:rPr>
              <w:fldChar w:fldCharType="begin"/>
            </w:r>
            <w:r w:rsidRPr="00094021">
              <w:rPr>
                <w:rFonts w:ascii="Arial" w:eastAsiaTheme="minorEastAsia" w:hAnsi="Arial"/>
                <w:b/>
              </w:rPr>
              <w:instrText xml:space="preserve"> SEQ Graph \* ARABIC \* MERGEFORMAT </w:instrText>
            </w:r>
            <w:r w:rsidRPr="00094021">
              <w:rPr>
                <w:rFonts w:ascii="Arial" w:eastAsiaTheme="minorEastAsia" w:hAnsi="Arial"/>
                <w:b/>
              </w:rPr>
              <w:fldChar w:fldCharType="separate"/>
            </w:r>
            <w:r w:rsidR="00032843">
              <w:rPr>
                <w:rFonts w:ascii="Arial" w:eastAsiaTheme="minorEastAsia" w:hAnsi="Arial"/>
                <w:b/>
                <w:noProof/>
              </w:rPr>
              <w:t>31</w:t>
            </w:r>
            <w:r w:rsidRPr="00094021">
              <w:rPr>
                <w:rFonts w:ascii="Arial" w:eastAsiaTheme="minorEastAsia" w:hAnsi="Arial"/>
                <w:b/>
                <w:noProof/>
              </w:rPr>
              <w:fldChar w:fldCharType="end"/>
            </w:r>
            <w:bookmarkEnd w:id="35"/>
          </w:p>
          <w:p w14:paraId="61BDB9E8" w14:textId="2BD062BC" w:rsidR="00A9306D" w:rsidRDefault="00837F78" w:rsidP="00A9306D">
            <w:pPr>
              <w:keepNext/>
              <w:jc w:val="center"/>
              <w:rPr>
                <w:rFonts w:ascii="Arial" w:eastAsiaTheme="minorEastAsia" w:hAnsi="Arial"/>
                <w:b/>
              </w:rPr>
            </w:pPr>
            <w:r>
              <w:rPr>
                <w:rFonts w:ascii="Arial" w:eastAsiaTheme="minorEastAsia" w:hAnsi="Arial"/>
                <w:b/>
                <w:noProof/>
              </w:rPr>
              <w:drawing>
                <wp:inline distT="0" distB="0" distL="0" distR="0" wp14:anchorId="74688FA6" wp14:editId="52902A39">
                  <wp:extent cx="2775600" cy="2520000"/>
                  <wp:effectExtent l="0" t="0" r="5715"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yment Cards – Issuing Market Shares.emf"/>
                          <pic:cNvPicPr preferRelativeResize="0"/>
                        </pic:nvPicPr>
                        <pic:blipFill>
                          <a:blip r:embed="rId44" cstate="print">
                            <a:extLst>
                              <a:ext uri="{28A0092B-C50C-407E-A947-70E740481C1C}">
                                <a14:useLocalDpi xmlns:a14="http://schemas.microsoft.com/office/drawing/2010/main" val="0"/>
                              </a:ext>
                            </a:extLst>
                          </a:blip>
                          <a:stretch>
                            <a:fillRect/>
                          </a:stretch>
                        </pic:blipFill>
                        <pic:spPr>
                          <a:xfrm>
                            <a:off x="0" y="0"/>
                            <a:ext cx="2775600" cy="2520000"/>
                          </a:xfrm>
                          <a:prstGeom prst="rect">
                            <a:avLst/>
                          </a:prstGeom>
                        </pic:spPr>
                      </pic:pic>
                    </a:graphicData>
                  </a:graphic>
                </wp:inline>
              </w:drawing>
            </w:r>
          </w:p>
        </w:tc>
      </w:tr>
    </w:tbl>
    <w:p w14:paraId="0DF05855" w14:textId="68B457A3" w:rsidR="00094021" w:rsidRPr="00094021" w:rsidRDefault="00094021" w:rsidP="00E4193E">
      <w:pPr>
        <w:pStyle w:val="BodyText"/>
        <w:spacing w:before="120"/>
      </w:pPr>
      <w:r w:rsidRPr="00094021">
        <w:t xml:space="preserve">Credit </w:t>
      </w:r>
      <w:r w:rsidR="00D60121" w:rsidRPr="000C70BC">
        <w:t xml:space="preserve">card issuers compete for cardholders in </w:t>
      </w:r>
      <w:r w:rsidR="00D60121">
        <w:t>various ways</w:t>
      </w:r>
      <w:r w:rsidR="00D60121" w:rsidRPr="000C70BC">
        <w:t xml:space="preserve">, including in relation to fees, reward points and other product benefits (e.g. travel insurance). </w:t>
      </w:r>
      <w:r w:rsidR="00D60121">
        <w:t>S</w:t>
      </w:r>
      <w:r w:rsidR="00D60121" w:rsidRPr="000C70BC">
        <w:t xml:space="preserve">trong competition is evident in the frequency and range of offers that, for instance, waive annual fees for the first year or give sign-on bonuses in the form of frequent flyer points. Most notably, many credit card issuers offer a zero per cent (or </w:t>
      </w:r>
      <w:r w:rsidR="00D60121">
        <w:t>s</w:t>
      </w:r>
      <w:r w:rsidR="00D60121" w:rsidRPr="000C70BC">
        <w:t>ignificantly reduced) interest rate for</w:t>
      </w:r>
      <w:r w:rsidR="00D60121">
        <w:t xml:space="preserve"> balances transferred from another credit card for a set period of time. Around 70 per cent</w:t>
      </w:r>
      <w:r w:rsidR="00D60121" w:rsidRPr="000C70BC">
        <w:t xml:space="preserve"> of the consumer credit cards that the Bank monitors have some form of active balance transfer</w:t>
      </w:r>
      <w:r w:rsidRPr="00094021">
        <w:t xml:space="preserve"> offer.</w:t>
      </w:r>
    </w:p>
    <w:p w14:paraId="587975D7" w14:textId="636F7E40" w:rsidR="00094021" w:rsidRPr="00094021" w:rsidRDefault="00094021" w:rsidP="005F5A16">
      <w:pPr>
        <w:pStyle w:val="BodyText"/>
      </w:pPr>
      <w:r w:rsidRPr="00094021">
        <w:t xml:space="preserve">Debit </w:t>
      </w:r>
      <w:r w:rsidR="00D60121" w:rsidRPr="000C70BC">
        <w:t xml:space="preserve">card issuance is </w:t>
      </w:r>
      <w:r w:rsidR="00D60121">
        <w:t>a little</w:t>
      </w:r>
      <w:r w:rsidR="00D60121" w:rsidRPr="000C70BC">
        <w:t xml:space="preserve"> more concentrated than the overall card market. This partly reflect</w:t>
      </w:r>
      <w:r w:rsidR="009B4F54">
        <w:t>s</w:t>
      </w:r>
      <w:r w:rsidR="00D60121" w:rsidRPr="000C70BC">
        <w:t xml:space="preserve"> that debit cards are issued as part of a bundle of transactional account services and are not offered or priced as standalone products like credit and charge cards. Accordingly, </w:t>
      </w:r>
      <w:r w:rsidR="00D60121">
        <w:t>switching debit cards usually involves changing</w:t>
      </w:r>
      <w:r w:rsidR="00D60121" w:rsidRPr="000C70BC">
        <w:t xml:space="preserve"> </w:t>
      </w:r>
      <w:r w:rsidR="00D60121">
        <w:t>to a new</w:t>
      </w:r>
      <w:r w:rsidR="00D60121" w:rsidRPr="000C70BC">
        <w:t xml:space="preserve"> transaction</w:t>
      </w:r>
      <w:r w:rsidR="00D60121">
        <w:t xml:space="preserve"> </w:t>
      </w:r>
      <w:r w:rsidR="00D60121" w:rsidRPr="000C70BC">
        <w:t xml:space="preserve">account, which </w:t>
      </w:r>
      <w:r w:rsidR="00D60121">
        <w:t>can be inconvenient in terms of re-establishing direct debits and credits. While the industry has introduced arrangements to facilitate account switching, use of th</w:t>
      </w:r>
      <w:r w:rsidR="00795509">
        <w:t>e</w:t>
      </w:r>
      <w:r w:rsidR="00D60121">
        <w:t>s</w:t>
      </w:r>
      <w:r w:rsidR="00795509">
        <w:t>e</w:t>
      </w:r>
      <w:r w:rsidR="00D60121">
        <w:t xml:space="preserve"> arrangements is reportedly quite low. This could indicate a lack of customer awareness or a perception that the benefits from switching are not that significant. Looking forward, the </w:t>
      </w:r>
      <w:r w:rsidR="00A0095C">
        <w:t>New Payments Platform (NPP)</w:t>
      </w:r>
      <w:r w:rsidR="00D60121">
        <w:t xml:space="preserve"> and the </w:t>
      </w:r>
      <w:r w:rsidR="00D60121">
        <w:rPr>
          <w:rFonts w:cs="Calibri"/>
        </w:rPr>
        <w:t xml:space="preserve">introduction of an open banking regime </w:t>
      </w:r>
      <w:r w:rsidR="00D60121">
        <w:t xml:space="preserve">may facilitate the development of services that make account switching easier (see </w:t>
      </w:r>
      <w:r w:rsidRPr="00094021">
        <w:t>below).</w:t>
      </w:r>
      <w:r w:rsidRPr="00094021">
        <w:rPr>
          <w:vertAlign w:val="superscript"/>
        </w:rPr>
        <w:footnoteReference w:id="19"/>
      </w:r>
    </w:p>
    <w:p w14:paraId="46AAA574" w14:textId="77777777" w:rsidR="00094021" w:rsidRPr="00094021" w:rsidRDefault="00094021" w:rsidP="00472602">
      <w:pPr>
        <w:pStyle w:val="Heading3"/>
        <w:spacing w:line="276" w:lineRule="auto"/>
      </w:pPr>
      <w:r w:rsidRPr="00094021">
        <w:t>Credit card interest rates</w:t>
      </w:r>
    </w:p>
    <w:p w14:paraId="1B9A1FA5" w14:textId="34ADFA5C" w:rsidR="00094021" w:rsidRPr="00094021" w:rsidRDefault="00094021" w:rsidP="005F5A16">
      <w:pPr>
        <w:pStyle w:val="BodyText"/>
        <w:rPr>
          <w:sz w:val="24"/>
        </w:rPr>
      </w:pPr>
      <w:r w:rsidRPr="00094021">
        <w:t>The Reserve Bank’s primary responsibilities with respect to credit cards relate to the payment, rather than lending, function of these cards. Nonetheless, it is worth making a few observations regarding interest rates on credit cards</w:t>
      </w:r>
      <w:r w:rsidR="00A838FE">
        <w:t>.</w:t>
      </w:r>
      <w:r w:rsidR="00A838FE">
        <w:rPr>
          <w:rStyle w:val="FootnoteReference"/>
        </w:rPr>
        <w:footnoteReference w:id="20"/>
      </w:r>
    </w:p>
    <w:p w14:paraId="02BCC1E1" w14:textId="16D0FFEB" w:rsidR="00094021" w:rsidRPr="00094021" w:rsidRDefault="00094021" w:rsidP="005F5A16">
      <w:pPr>
        <w:pStyle w:val="BodyText"/>
      </w:pPr>
      <w:r w:rsidRPr="00094021">
        <w:t xml:space="preserve">There </w:t>
      </w:r>
      <w:r w:rsidR="004F2DA3" w:rsidRPr="00CD7B80">
        <w:t xml:space="preserve">is significant variation in the </w:t>
      </w:r>
      <w:r w:rsidR="004F2DA3" w:rsidRPr="00CD7B80">
        <w:rPr>
          <w:i/>
        </w:rPr>
        <w:t>advertised</w:t>
      </w:r>
      <w:r w:rsidR="004F2DA3" w:rsidRPr="00CD7B80">
        <w:t xml:space="preserve"> </w:t>
      </w:r>
      <w:r w:rsidR="004F2DA3">
        <w:t xml:space="preserve">interest </w:t>
      </w:r>
      <w:r w:rsidR="004F2DA3" w:rsidRPr="00CD7B80">
        <w:t>rates on credit card</w:t>
      </w:r>
      <w:r w:rsidR="004F2DA3">
        <w:t>s</w:t>
      </w:r>
      <w:r w:rsidR="004F2DA3" w:rsidRPr="00CD7B80">
        <w:t xml:space="preserve">, reflecting the wide range of products offered, with some bunching of </w:t>
      </w:r>
      <w:r w:rsidR="004F2DA3">
        <w:t xml:space="preserve">the rates on </w:t>
      </w:r>
      <w:r w:rsidR="004F2DA3" w:rsidRPr="00CD7B80">
        <w:t>standard card</w:t>
      </w:r>
      <w:r w:rsidR="004F2DA3">
        <w:t>s around 20 </w:t>
      </w:r>
      <w:r w:rsidR="004F2DA3" w:rsidRPr="00CD7B80">
        <w:t>per cent and</w:t>
      </w:r>
      <w:r w:rsidR="004F2DA3">
        <w:t xml:space="preserve"> around 13 </w:t>
      </w:r>
      <w:r w:rsidR="004F2DA3" w:rsidRPr="00CD7B80">
        <w:t xml:space="preserve">per cent for lower-rate cards. These rates have changed very little since 2010, despite a fall </w:t>
      </w:r>
      <w:r w:rsidR="004F2DA3">
        <w:t xml:space="preserve">of over 3 percentage points </w:t>
      </w:r>
      <w:r w:rsidR="004F2DA3" w:rsidRPr="00CD7B80">
        <w:t>in the cash rate</w:t>
      </w:r>
      <w:r w:rsidR="004F2DA3">
        <w:t xml:space="preserve"> over this period</w:t>
      </w:r>
      <w:r w:rsidR="004F2DA3" w:rsidRPr="00CD7B80">
        <w:t xml:space="preserve">. The </w:t>
      </w:r>
      <w:r w:rsidR="00FC5151">
        <w:t>actual</w:t>
      </w:r>
      <w:r w:rsidR="004F2DA3" w:rsidRPr="00CD7B80">
        <w:t xml:space="preserve"> interest rate</w:t>
      </w:r>
      <w:r w:rsidR="00FC5151">
        <w:t>s</w:t>
      </w:r>
      <w:r w:rsidR="004F2DA3" w:rsidRPr="00CD7B80">
        <w:t xml:space="preserve"> paid</w:t>
      </w:r>
      <w:r w:rsidR="004F2DA3">
        <w:t xml:space="preserve"> on credit cards will</w:t>
      </w:r>
      <w:r w:rsidR="004F2DA3" w:rsidRPr="00CD7B80">
        <w:t xml:space="preserve"> be lower than advertised rates to the extent that cardholders switch </w:t>
      </w:r>
      <w:r w:rsidR="004F2DA3">
        <w:t>cards</w:t>
      </w:r>
      <w:r w:rsidR="004F2DA3" w:rsidRPr="00CD7B80">
        <w:t xml:space="preserve"> to take advantage of low- or zero-rate balance transfer offers or pay their balances </w:t>
      </w:r>
      <w:r w:rsidR="004F2DA3">
        <w:t>i</w:t>
      </w:r>
      <w:r w:rsidR="004F2DA3" w:rsidRPr="00CD7B80">
        <w:t>n full every month. On average, the outstanding rate on the entire credit card portfolio is around 11</w:t>
      </w:r>
      <w:r w:rsidR="004F2DA3">
        <w:t> </w:t>
      </w:r>
      <w:r w:rsidR="004F2DA3" w:rsidRPr="00CD7B80">
        <w:t>per cent</w:t>
      </w:r>
      <w:r w:rsidR="004F2DA3">
        <w:t xml:space="preserve"> (or about 18</w:t>
      </w:r>
      <w:r w:rsidR="00D077F6">
        <w:t> </w:t>
      </w:r>
      <w:r w:rsidR="004F2DA3">
        <w:t xml:space="preserve">per cent for those cardholders who pay </w:t>
      </w:r>
      <w:r w:rsidRPr="00094021">
        <w:t>interest).</w:t>
      </w:r>
    </w:p>
    <w:p w14:paraId="1E668C6A" w14:textId="026A4594" w:rsidR="00094021" w:rsidRPr="00094021" w:rsidRDefault="006B3F27" w:rsidP="005F5A16">
      <w:pPr>
        <w:pStyle w:val="BodyText"/>
      </w:pPr>
      <w:r>
        <w:t>W</w:t>
      </w:r>
      <w:r w:rsidR="004F2DA3">
        <w:t xml:space="preserve">hile </w:t>
      </w:r>
      <w:r w:rsidR="004F2DA3" w:rsidRPr="0000734C">
        <w:t xml:space="preserve">issuers compete actively for </w:t>
      </w:r>
      <w:r w:rsidR="004F2DA3">
        <w:t xml:space="preserve">new </w:t>
      </w:r>
      <w:r w:rsidR="004F2DA3" w:rsidRPr="0000734C">
        <w:t>customers</w:t>
      </w:r>
      <w:r w:rsidR="004F2DA3">
        <w:t>,</w:t>
      </w:r>
      <w:r w:rsidR="004F2DA3" w:rsidRPr="0000734C">
        <w:t xml:space="preserve"> credit card interest rates </w:t>
      </w:r>
      <w:r w:rsidR="004F2DA3">
        <w:t xml:space="preserve">are relatively sticky </w:t>
      </w:r>
      <w:r w:rsidR="004F2DA3" w:rsidRPr="0000734C">
        <w:t xml:space="preserve">and do not follow changes in </w:t>
      </w:r>
      <w:r w:rsidR="004F2DA3">
        <w:t xml:space="preserve">issuers’ </w:t>
      </w:r>
      <w:r w:rsidR="004F2DA3" w:rsidRPr="0000734C">
        <w:t>funding</w:t>
      </w:r>
      <w:r w:rsidR="004F2DA3">
        <w:t xml:space="preserve"> costs as closely as other lending rates. </w:t>
      </w:r>
      <w:r>
        <w:t>T</w:t>
      </w:r>
      <w:r w:rsidR="004F2DA3">
        <w:t xml:space="preserve">his </w:t>
      </w:r>
      <w:r w:rsidR="004F2DA3" w:rsidRPr="0000734C">
        <w:t>is consistent with international experience and has been studied</w:t>
      </w:r>
      <w:r w:rsidR="004F2DA3">
        <w:t xml:space="preserve"> before</w:t>
      </w:r>
      <w:sdt>
        <w:sdtPr>
          <w:id w:val="-1191219891"/>
          <w:citation/>
        </w:sdtPr>
        <w:sdtEndPr/>
        <w:sdtContent>
          <w:r w:rsidR="00310A77">
            <w:fldChar w:fldCharType="begin"/>
          </w:r>
          <w:r w:rsidR="00310A77">
            <w:instrText xml:space="preserve"> CITATION Aus91 \l 3081 </w:instrText>
          </w:r>
          <w:r w:rsidR="00310A77">
            <w:fldChar w:fldCharType="separate"/>
          </w:r>
          <w:r w:rsidR="0018397C">
            <w:rPr>
              <w:noProof/>
            </w:rPr>
            <w:t xml:space="preserve"> (Ausubel 1991)</w:t>
          </w:r>
          <w:r w:rsidR="00310A77">
            <w:fldChar w:fldCharType="end"/>
          </w:r>
        </w:sdtContent>
      </w:sdt>
      <w:r w:rsidR="004F2DA3" w:rsidRPr="0000734C">
        <w:t xml:space="preserve">. </w:t>
      </w:r>
      <w:r w:rsidR="004F2DA3">
        <w:t xml:space="preserve">A likely </w:t>
      </w:r>
      <w:r>
        <w:t>reason</w:t>
      </w:r>
      <w:r w:rsidR="004F2DA3">
        <w:t xml:space="preserve"> is the </w:t>
      </w:r>
      <w:r w:rsidR="004F2DA3" w:rsidRPr="0000734C">
        <w:t>existence of a significant number of consumers who are either not well informed</w:t>
      </w:r>
      <w:r w:rsidR="004F2DA3">
        <w:t xml:space="preserve"> of the credit card options available to them </w:t>
      </w:r>
      <w:r w:rsidR="004F2DA3" w:rsidRPr="0000734C">
        <w:t xml:space="preserve">or are reluctant to switch </w:t>
      </w:r>
      <w:r w:rsidR="004F2DA3">
        <w:t>providers to seek</w:t>
      </w:r>
      <w:r w:rsidR="004F2DA3" w:rsidRPr="0000734C">
        <w:t xml:space="preserve"> a lower rate. </w:t>
      </w:r>
      <w:r w:rsidR="004F2DA3">
        <w:t xml:space="preserve">While there are numerous credit card comparison websites, many consumers may be more focused on accumulating rewards, frequent flyer points or other benefits from card use. Issuers therefore </w:t>
      </w:r>
      <w:r w:rsidR="004F2DA3" w:rsidRPr="0000734C">
        <w:t xml:space="preserve">have little incentive to </w:t>
      </w:r>
      <w:r w:rsidR="004F2DA3">
        <w:t xml:space="preserve">compete on </w:t>
      </w:r>
      <w:r w:rsidR="004F2DA3" w:rsidRPr="0000734C">
        <w:t xml:space="preserve">interest rates given that rates are not a determining factor </w:t>
      </w:r>
      <w:r w:rsidR="004F2DA3">
        <w:t xml:space="preserve">in choosing a credit card </w:t>
      </w:r>
      <w:r w:rsidR="004F2DA3" w:rsidRPr="0000734C">
        <w:t xml:space="preserve">for many individuals who (possibly mistakenly) </w:t>
      </w:r>
      <w:r w:rsidR="009B4F54">
        <w:t xml:space="preserve">do </w:t>
      </w:r>
      <w:r w:rsidR="004F2DA3" w:rsidRPr="0000734C">
        <w:t xml:space="preserve">not expect to build up significant </w:t>
      </w:r>
      <w:r w:rsidR="004F2DA3">
        <w:t xml:space="preserve">interest-accruing </w:t>
      </w:r>
      <w:r w:rsidR="00094021" w:rsidRPr="00094021">
        <w:t>balances.</w:t>
      </w:r>
    </w:p>
    <w:p w14:paraId="5F257069" w14:textId="77777777" w:rsidR="00094021" w:rsidRPr="00094021" w:rsidRDefault="00094021" w:rsidP="005F5A16">
      <w:pPr>
        <w:pStyle w:val="Heading3"/>
        <w:spacing w:line="276" w:lineRule="auto"/>
      </w:pPr>
      <w:r w:rsidRPr="00094021">
        <w:t>Card acquiring</w:t>
      </w:r>
    </w:p>
    <w:p w14:paraId="3A565BF0" w14:textId="521CC535" w:rsidR="00094021" w:rsidRPr="00094021" w:rsidRDefault="00094021" w:rsidP="005F5A16">
      <w:pPr>
        <w:pStyle w:val="BodyText"/>
      </w:pPr>
      <w:r w:rsidRPr="00094021">
        <w:t xml:space="preserve">The major banks are also the largest card acquirers in Australia, but their share of this market – at about 75 per cent of the value of card transactions – is a bit lower than their share of the </w:t>
      </w:r>
      <w:r w:rsidR="00E408D0" w:rsidRPr="00094021">
        <w:t>card</w:t>
      </w:r>
      <w:r w:rsidR="00E408D0">
        <w:t>-</w:t>
      </w:r>
      <w:r w:rsidRPr="00094021">
        <w:t>issuing market, and has declined over the past decade (</w:t>
      </w:r>
      <w:r w:rsidRPr="00094021">
        <w:fldChar w:fldCharType="begin"/>
      </w:r>
      <w:r w:rsidRPr="00094021">
        <w:instrText xml:space="preserve"> REF _Ref490141706 \h </w:instrText>
      </w:r>
      <w:r w:rsidR="002550BC" w:rsidRPr="002550BC">
        <w:instrText xml:space="preserve"> \* MERGEFORMAT </w:instrText>
      </w:r>
      <w:r w:rsidRPr="00094021">
        <w:fldChar w:fldCharType="separate"/>
      </w:r>
      <w:r w:rsidR="00032843" w:rsidRPr="00032843">
        <w:t>Graph 32</w:t>
      </w:r>
      <w:r w:rsidRPr="00094021">
        <w:fldChar w:fldCharType="end"/>
      </w:r>
      <w:r w:rsidRPr="00094021">
        <w:t>). The decline in the major banks’ share partly reflects growth in the market share of American Express cards, which are acquired directly by American Express. In addition, two large Australian retailers have implemented payment</w:t>
      </w:r>
      <w:r w:rsidR="00E408D0">
        <w:t>-</w:t>
      </w:r>
      <w:r w:rsidRPr="00094021">
        <w:t>switching capability that allows them to ‘self-acquire’ transactions. A specialist acquirer, Tyro, also entered the market following the Bank’s initial access reforms in the early 2000s, and has since obtained a banking licence and is now offering a wider range of business banking products. Other specialist acquirers have entered the market more recently, notably Adyen and First Data, although their market shares are still small.</w:t>
      </w:r>
    </w:p>
    <w:p w14:paraId="259544EF" w14:textId="6AF68A06" w:rsidR="00094021" w:rsidRPr="00094021" w:rsidRDefault="00094021" w:rsidP="005F5A16">
      <w:pPr>
        <w:pStyle w:val="BodyText"/>
        <w:rPr>
          <w:rFonts w:ascii="Calibri" w:eastAsiaTheme="minorEastAsia" w:hAnsi="Calibri"/>
        </w:rPr>
      </w:pPr>
      <w:r w:rsidRPr="00094021">
        <w:t xml:space="preserve">One indicator of competition in the </w:t>
      </w:r>
      <w:r w:rsidR="00E408D0" w:rsidRPr="00094021">
        <w:t>card</w:t>
      </w:r>
      <w:r w:rsidR="00E408D0">
        <w:t>-</w:t>
      </w:r>
      <w:r w:rsidRPr="00094021">
        <w:t>acquiring market is the level of merchant service fees, which acquirers charge to merchants for every card payment they process. Since the Bank started regulating MasterCard and Visa interchange fees in the early 2000s, average (credit and debit) merchant service fees for these networks have roughly halved, to around 70 basis points (</w:t>
      </w:r>
      <w:r w:rsidRPr="00094021">
        <w:fldChar w:fldCharType="begin"/>
      </w:r>
      <w:r w:rsidRPr="00094021">
        <w:instrText xml:space="preserve"> REF _Ref490141722 \h </w:instrText>
      </w:r>
      <w:r w:rsidR="002550BC" w:rsidRPr="002550BC">
        <w:instrText xml:space="preserve"> \* MERGEFORMAT </w:instrText>
      </w:r>
      <w:r w:rsidRPr="00094021">
        <w:fldChar w:fldCharType="separate"/>
      </w:r>
      <w:r w:rsidR="00032843" w:rsidRPr="00032843">
        <w:rPr>
          <w:noProof/>
        </w:rPr>
        <w:t>Graph 33</w:t>
      </w:r>
      <w:r w:rsidRPr="00094021">
        <w:fldChar w:fldCharType="end"/>
      </w:r>
      <w:r w:rsidRPr="00094021">
        <w:t xml:space="preserve">). Most of this decline occurred in the years immediately following the reforms and was larger than the decline in interchange fees, suggesting strong competition between acquirers. Furthermore, average merchant service fees for American Express and Diners Club have also fallen </w:t>
      </w:r>
      <w:r w:rsidR="00FC5151" w:rsidRPr="00094021">
        <w:t xml:space="preserve">since the reforms, </w:t>
      </w:r>
      <w:r w:rsidRPr="00094021">
        <w:t>by around 90 and 60 basis points</w:t>
      </w:r>
      <w:r w:rsidR="001273C8">
        <w:t>,</w:t>
      </w:r>
      <w:r w:rsidRPr="00094021">
        <w:t xml:space="preserve"> respectively</w:t>
      </w:r>
      <w:r w:rsidR="001273C8">
        <w:t>,</w:t>
      </w:r>
      <w:r w:rsidRPr="00094021">
        <w:t xml:space="preserve"> despite them not being directly regulated.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5"/>
        <w:gridCol w:w="4365"/>
      </w:tblGrid>
      <w:tr w:rsidR="00094021" w:rsidRPr="00094021" w14:paraId="24486AAD" w14:textId="77777777" w:rsidTr="00CC237A">
        <w:tc>
          <w:tcPr>
            <w:tcW w:w="4365" w:type="dxa"/>
          </w:tcPr>
          <w:p w14:paraId="6A82548C" w14:textId="649B4198" w:rsidR="00094021" w:rsidRPr="00094021" w:rsidRDefault="00094021" w:rsidP="00CC237A">
            <w:pPr>
              <w:keepNext/>
              <w:spacing w:before="120" w:after="60"/>
              <w:jc w:val="center"/>
              <w:rPr>
                <w:rFonts w:ascii="Arial" w:eastAsiaTheme="minorEastAsia" w:hAnsi="Arial"/>
                <w:b/>
              </w:rPr>
            </w:pPr>
            <w:bookmarkStart w:id="36" w:name="_Ref490141706"/>
            <w:r w:rsidRPr="00094021">
              <w:rPr>
                <w:rFonts w:ascii="Arial" w:eastAsiaTheme="minorEastAsia" w:hAnsi="Arial"/>
                <w:b/>
              </w:rPr>
              <w:t>Graph </w:t>
            </w:r>
            <w:r w:rsidRPr="00094021">
              <w:rPr>
                <w:rFonts w:ascii="Arial" w:eastAsiaTheme="minorEastAsia" w:hAnsi="Arial"/>
                <w:b/>
              </w:rPr>
              <w:fldChar w:fldCharType="begin"/>
            </w:r>
            <w:r w:rsidRPr="00094021">
              <w:rPr>
                <w:rFonts w:ascii="Arial" w:eastAsiaTheme="minorEastAsia" w:hAnsi="Arial"/>
                <w:b/>
              </w:rPr>
              <w:instrText xml:space="preserve"> SEQ Graph \* ARABIC \* MERGEFORMAT </w:instrText>
            </w:r>
            <w:r w:rsidRPr="00094021">
              <w:rPr>
                <w:rFonts w:ascii="Arial" w:eastAsiaTheme="minorEastAsia" w:hAnsi="Arial"/>
                <w:b/>
              </w:rPr>
              <w:fldChar w:fldCharType="separate"/>
            </w:r>
            <w:r w:rsidR="00032843">
              <w:rPr>
                <w:rFonts w:ascii="Arial" w:eastAsiaTheme="minorEastAsia" w:hAnsi="Arial"/>
                <w:b/>
                <w:noProof/>
              </w:rPr>
              <w:t>32</w:t>
            </w:r>
            <w:r w:rsidRPr="00094021">
              <w:rPr>
                <w:rFonts w:ascii="Arial" w:eastAsiaTheme="minorEastAsia" w:hAnsi="Arial"/>
                <w:b/>
                <w:noProof/>
              </w:rPr>
              <w:fldChar w:fldCharType="end"/>
            </w:r>
            <w:bookmarkEnd w:id="36"/>
          </w:p>
          <w:p w14:paraId="24F262E4" w14:textId="71F85662" w:rsidR="00094021" w:rsidRPr="00094021" w:rsidRDefault="001558E2" w:rsidP="00CC237A">
            <w:pPr>
              <w:jc w:val="both"/>
              <w:rPr>
                <w:rFonts w:ascii="Calibri" w:eastAsiaTheme="minorEastAsia" w:hAnsi="Calibri"/>
              </w:rPr>
            </w:pPr>
            <w:r>
              <w:rPr>
                <w:rFonts w:ascii="Calibri" w:eastAsiaTheme="minorEastAsia" w:hAnsi="Calibri"/>
                <w:noProof/>
              </w:rPr>
              <w:drawing>
                <wp:inline distT="0" distB="0" distL="0" distR="0" wp14:anchorId="5E988BC7" wp14:editId="7FB0B454">
                  <wp:extent cx="2772000" cy="2520000"/>
                  <wp:effectExtent l="0" t="0" r="0" b="0"/>
                  <wp:docPr id="66" name="Picture 66" descr="G:\FS\_Dropbox\Payment Cards – Acquiring Market Shares - Copy.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G:\FS\_Dropbox\Payment Cards – Acquiring Market Shares - Copy.emf"/>
                          <pic:cNvPicPr preferRelativeResize="0">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72000" cy="2520000"/>
                          </a:xfrm>
                          <a:prstGeom prst="rect">
                            <a:avLst/>
                          </a:prstGeom>
                          <a:noFill/>
                          <a:ln>
                            <a:noFill/>
                          </a:ln>
                        </pic:spPr>
                      </pic:pic>
                    </a:graphicData>
                  </a:graphic>
                </wp:inline>
              </w:drawing>
            </w:r>
          </w:p>
        </w:tc>
        <w:tc>
          <w:tcPr>
            <w:tcW w:w="4365" w:type="dxa"/>
          </w:tcPr>
          <w:p w14:paraId="01C88B1D" w14:textId="3330585C" w:rsidR="00094021" w:rsidRPr="00094021" w:rsidRDefault="00094021" w:rsidP="00CC237A">
            <w:pPr>
              <w:keepNext/>
              <w:spacing w:before="120" w:after="60"/>
              <w:jc w:val="center"/>
              <w:rPr>
                <w:rFonts w:ascii="Arial" w:eastAsiaTheme="minorEastAsia" w:hAnsi="Arial"/>
                <w:b/>
                <w:noProof/>
              </w:rPr>
            </w:pPr>
            <w:bookmarkStart w:id="37" w:name="_Ref490141722"/>
            <w:r w:rsidRPr="00094021">
              <w:rPr>
                <w:rFonts w:ascii="Arial" w:eastAsiaTheme="minorEastAsia" w:hAnsi="Arial"/>
                <w:b/>
                <w:noProof/>
              </w:rPr>
              <w:t>Graph </w:t>
            </w:r>
            <w:r w:rsidRPr="00094021">
              <w:rPr>
                <w:rFonts w:ascii="Arial" w:eastAsiaTheme="minorEastAsia" w:hAnsi="Arial"/>
                <w:b/>
                <w:noProof/>
              </w:rPr>
              <w:fldChar w:fldCharType="begin"/>
            </w:r>
            <w:r w:rsidRPr="00094021">
              <w:rPr>
                <w:rFonts w:ascii="Arial" w:eastAsiaTheme="minorEastAsia" w:hAnsi="Arial"/>
                <w:b/>
                <w:noProof/>
              </w:rPr>
              <w:instrText xml:space="preserve"> SEQ Graph \* ARABIC \* MERGEFORMAT </w:instrText>
            </w:r>
            <w:r w:rsidRPr="00094021">
              <w:rPr>
                <w:rFonts w:ascii="Arial" w:eastAsiaTheme="minorEastAsia" w:hAnsi="Arial"/>
                <w:b/>
                <w:noProof/>
              </w:rPr>
              <w:fldChar w:fldCharType="separate"/>
            </w:r>
            <w:r w:rsidR="00032843">
              <w:rPr>
                <w:rFonts w:ascii="Arial" w:eastAsiaTheme="minorEastAsia" w:hAnsi="Arial"/>
                <w:b/>
                <w:noProof/>
              </w:rPr>
              <w:t>33</w:t>
            </w:r>
            <w:r w:rsidRPr="00094021">
              <w:rPr>
                <w:rFonts w:ascii="Arial" w:eastAsiaTheme="minorEastAsia" w:hAnsi="Arial"/>
                <w:b/>
                <w:noProof/>
              </w:rPr>
              <w:fldChar w:fldCharType="end"/>
            </w:r>
            <w:bookmarkEnd w:id="37"/>
          </w:p>
          <w:p w14:paraId="058D998D" w14:textId="4442E164" w:rsidR="00094021" w:rsidRPr="00094021" w:rsidRDefault="00804D03" w:rsidP="00CC237A">
            <w:pPr>
              <w:jc w:val="both"/>
              <w:rPr>
                <w:rFonts w:ascii="Calibri" w:eastAsiaTheme="minorEastAsia" w:hAnsi="Calibri"/>
              </w:rPr>
            </w:pPr>
            <w:r>
              <w:rPr>
                <w:rFonts w:ascii="Calibri" w:eastAsiaTheme="minorEastAsia" w:hAnsi="Calibri"/>
                <w:noProof/>
              </w:rPr>
              <w:drawing>
                <wp:inline distT="0" distB="0" distL="0" distR="0" wp14:anchorId="54CD91D1" wp14:editId="6DA966E3">
                  <wp:extent cx="2772000" cy="25200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erchant Service Fees.emf"/>
                          <pic:cNvPicPr preferRelativeResize="0"/>
                        </pic:nvPicPr>
                        <pic:blipFill>
                          <a:blip r:embed="rId46" cstate="print">
                            <a:extLst>
                              <a:ext uri="{28A0092B-C50C-407E-A947-70E740481C1C}">
                                <a14:useLocalDpi xmlns:a14="http://schemas.microsoft.com/office/drawing/2010/main" val="0"/>
                              </a:ext>
                            </a:extLst>
                          </a:blip>
                          <a:stretch>
                            <a:fillRect/>
                          </a:stretch>
                        </pic:blipFill>
                        <pic:spPr>
                          <a:xfrm>
                            <a:off x="0" y="0"/>
                            <a:ext cx="2772000" cy="2520000"/>
                          </a:xfrm>
                          <a:prstGeom prst="rect">
                            <a:avLst/>
                          </a:prstGeom>
                        </pic:spPr>
                      </pic:pic>
                    </a:graphicData>
                  </a:graphic>
                </wp:inline>
              </w:drawing>
            </w:r>
          </w:p>
        </w:tc>
      </w:tr>
    </w:tbl>
    <w:p w14:paraId="09313F05" w14:textId="541301FA" w:rsidR="00094021" w:rsidRDefault="00094021" w:rsidP="00310A77">
      <w:pPr>
        <w:pStyle w:val="BodyText"/>
        <w:spacing w:before="120"/>
      </w:pPr>
      <w:r w:rsidRPr="0020035A">
        <w:t xml:space="preserve">Besides </w:t>
      </w:r>
      <w:r w:rsidR="00053275">
        <w:t xml:space="preserve">lower merchant fees, competition in card acquiring is also apparent in the increasing range of products and services being made available to merchants. For example, </w:t>
      </w:r>
      <w:r w:rsidR="00466755">
        <w:t xml:space="preserve">recently </w:t>
      </w:r>
      <w:r w:rsidR="00053275">
        <w:t>some acquirers have been offering more innovative options for accepting card payments at the point of sale or online, such as mobile card readers and online invoicing and payments solutions. Acquirers also commonly compete by offering discounted ‘bundle</w:t>
      </w:r>
      <w:r w:rsidR="002D42B4">
        <w:t>d</w:t>
      </w:r>
      <w:r w:rsidR="00053275">
        <w:t>’ pricing on payment and non-payment services, such as a package that combines acquiring services, terminal rental, a business loan and insurance.</w:t>
      </w:r>
      <w:r w:rsidR="00053275" w:rsidRPr="00FD26CD">
        <w:t xml:space="preserve"> </w:t>
      </w:r>
      <w:r w:rsidR="00053275">
        <w:t xml:space="preserve">While these packages provide additional convenience, and possibly better overall pricing, they </w:t>
      </w:r>
      <w:r w:rsidR="00D80494">
        <w:t xml:space="preserve">may </w:t>
      </w:r>
      <w:r w:rsidR="00053275">
        <w:t xml:space="preserve">also act as an impediment to merchants switching to a different acquirer. A merchant </w:t>
      </w:r>
      <w:r w:rsidR="009B4F54">
        <w:t xml:space="preserve">will </w:t>
      </w:r>
      <w:r w:rsidR="00053275">
        <w:t>be less inclined to look for a better deal on its acquiring services if that would mean that it also has to renegotiate a number of other banking services at the same</w:t>
      </w:r>
      <w:r w:rsidRPr="0020035A">
        <w:t xml:space="preserve"> time.</w:t>
      </w:r>
    </w:p>
    <w:p w14:paraId="5CBC2988" w14:textId="58457EEC" w:rsidR="003102D2" w:rsidRPr="0020035A" w:rsidRDefault="007E127A" w:rsidP="00AA31DC">
      <w:pPr>
        <w:pStyle w:val="BodyText"/>
        <w:spacing w:before="120"/>
      </w:pPr>
      <w:r w:rsidRPr="007E127A">
        <w:t xml:space="preserve">One area where competition is yet to emerge is in the provision of least-cost transaction routing to merchants. Different card transactions have different costs for merchants, with debit cards </w:t>
      </w:r>
      <w:r w:rsidR="008C1EAE">
        <w:t xml:space="preserve">usually </w:t>
      </w:r>
      <w:r w:rsidRPr="007E127A">
        <w:t>having lower merchant service fees than credit cards. In addition, debit transactions that are processed through the domestic eftpos system are on average less expensive tha</w:t>
      </w:r>
      <w:r w:rsidR="00A53A75">
        <w:t>n</w:t>
      </w:r>
      <w:r w:rsidRPr="007E127A">
        <w:t xml:space="preserve"> transactions processed through the international MasterCard and Visa systems, reflecting both lower interchange fees and lower scheme fees (the fee that the merchant’s bank pays to the payment network). In ‘contact’ or ‘dip and PIN’ transactions involving dual-network debit cards, the cardholder chooses whether the transaction goes via eftpos (if they push CHQ or SAV) or the international network (if they push CR). However, with the introduction of contactless cards, the cardholder and merchant no longer influence the routing of the transaction – it is determined by the </w:t>
      </w:r>
      <w:r w:rsidR="00A53A75">
        <w:t xml:space="preserve">network </w:t>
      </w:r>
      <w:r w:rsidRPr="007E127A">
        <w:t xml:space="preserve">priority that </w:t>
      </w:r>
      <w:r w:rsidR="008C1EAE">
        <w:t xml:space="preserve">is </w:t>
      </w:r>
      <w:r w:rsidRPr="007E127A">
        <w:t xml:space="preserve">preset by the card-issuing bank when it sends the card out. Initially, the international schemes were the only networks with contactless functionality, so a contactless </w:t>
      </w:r>
      <w:r w:rsidR="008C1EAE">
        <w:t xml:space="preserve">debit </w:t>
      </w:r>
      <w:r w:rsidRPr="007E127A">
        <w:t xml:space="preserve">transaction could only go via their networks. However, eftpos has now rolled out contactless functionality on almost all debit cards and almost all terminals are now enabled for eftpos contactless transactions. With international scheme transactions typically being more expensive for merchants, merchants report that the shift from </w:t>
      </w:r>
      <w:r w:rsidR="00A53A75">
        <w:t>contact</w:t>
      </w:r>
      <w:r w:rsidRPr="007E127A">
        <w:t xml:space="preserve"> to contactless transactions has resulted in a significant increase in payment costs for debit transactions and many merchants are now increasingly interested in their banks providing them with the ability to send debit transactions via </w:t>
      </w:r>
      <w:r w:rsidR="008C1EAE">
        <w:t xml:space="preserve">the </w:t>
      </w:r>
      <w:r w:rsidRPr="007E127A">
        <w:t>lower-cost network even if that network is not the first-priority contactless network on the card. The Bank understands that a number of acquirers are currently considering providing least-cost routing to merchants, a development which would contribute to a more competitive and efficient payments system.</w:t>
      </w:r>
      <w:r w:rsidR="00FA614C">
        <w:t xml:space="preserve"> </w:t>
      </w:r>
      <w:r w:rsidR="002D42B4">
        <w:t xml:space="preserve">As noted above, one </w:t>
      </w:r>
      <w:r w:rsidR="00BE404E">
        <w:t xml:space="preserve">element </w:t>
      </w:r>
      <w:r w:rsidR="002D42B4">
        <w:t>of the undertakings provided by the three debit card networks in 2013 in relation to dual</w:t>
      </w:r>
      <w:r w:rsidR="00FA614C">
        <w:t>-</w:t>
      </w:r>
      <w:r w:rsidR="002D42B4">
        <w:t>network debit cards was that schemes would not prevent merchants from exercising choice in routing con</w:t>
      </w:r>
      <w:r w:rsidR="00FA614C">
        <w:t>tactless transactions.</w:t>
      </w:r>
    </w:p>
    <w:p w14:paraId="47B15371" w14:textId="77777777" w:rsidR="00094021" w:rsidRPr="00094021" w:rsidRDefault="00094021" w:rsidP="005F5A16">
      <w:pPr>
        <w:pStyle w:val="Heading2"/>
        <w:spacing w:line="276" w:lineRule="auto"/>
      </w:pPr>
      <w:r w:rsidRPr="00094021">
        <w:t>Competition in the ATM system</w:t>
      </w:r>
    </w:p>
    <w:p w14:paraId="78DAF146" w14:textId="2A27F090" w:rsidR="00094021" w:rsidRDefault="00094021" w:rsidP="00D80494">
      <w:pPr>
        <w:pStyle w:val="BodyText"/>
        <w:rPr>
          <w:rFonts w:ascii="Calibri" w:eastAsiaTheme="minorEastAsia" w:hAnsi="Calibri"/>
        </w:rPr>
      </w:pPr>
      <w:r w:rsidRPr="00094021">
        <w:rPr>
          <w:rFonts w:ascii="Calibri" w:eastAsiaTheme="minorEastAsia" w:hAnsi="Calibri"/>
        </w:rPr>
        <w:t xml:space="preserve">The </w:t>
      </w:r>
      <w:r w:rsidR="00053275" w:rsidRPr="008143B6">
        <w:t xml:space="preserve">ATM system is another part of the payments system where the Bank has intervened to address competition concerns. </w:t>
      </w:r>
      <w:r w:rsidR="00053275">
        <w:t>In 2009, the Bank put in place an ATM access regime aimed at making it easier for new participants to join the system and introducing greater competition in fees by allowing ATM owners to charge cardholders directly for using their ATMs (and at the same time removing hidden interchange fees that were passed on to the cardholder in a non-transparent way). One outcome of these reforms was an increase in the number of ATMs as participants took advantage of the new pricing flexibility to place them in locations where they would not previously have been commercially viable. The number of ATMs in Australia has increased by about 25 per cent since 2008, to around 33,000 at end 2016</w:t>
      </w:r>
      <w:r w:rsidRPr="00094021">
        <w:rPr>
          <w:rFonts w:ascii="Calibri" w:eastAsiaTheme="minorEastAsia" w:hAnsi="Calibri"/>
        </w:rPr>
        <w:t xml:space="preserve"> (</w:t>
      </w:r>
      <w:r w:rsidR="00C805F0">
        <w:rPr>
          <w:rFonts w:eastAsiaTheme="minorEastAsia"/>
        </w:rPr>
        <w:fldChar w:fldCharType="begin"/>
      </w:r>
      <w:r w:rsidR="00C805F0">
        <w:rPr>
          <w:rFonts w:eastAsiaTheme="minorEastAsia"/>
        </w:rPr>
        <w:instrText xml:space="preserve"> REF _Ref493511534 \h </w:instrText>
      </w:r>
      <w:r w:rsidR="00C805F0">
        <w:rPr>
          <w:rFonts w:eastAsiaTheme="minorEastAsia"/>
        </w:rPr>
      </w:r>
      <w:r w:rsidR="00C805F0">
        <w:rPr>
          <w:rFonts w:eastAsiaTheme="minorEastAsia"/>
        </w:rPr>
        <w:fldChar w:fldCharType="separate"/>
      </w:r>
      <w:r w:rsidR="00032843">
        <w:t>Graph </w:t>
      </w:r>
      <w:r w:rsidR="00032843">
        <w:rPr>
          <w:noProof/>
        </w:rPr>
        <w:t>34</w:t>
      </w:r>
      <w:r w:rsidR="00C805F0">
        <w:rPr>
          <w:rFonts w:eastAsiaTheme="minorEastAsia"/>
        </w:rPr>
        <w:fldChar w:fldCharType="end"/>
      </w:r>
      <w:r w:rsidRPr="00094021">
        <w:rPr>
          <w:rFonts w:ascii="Calibri" w:eastAsiaTheme="minorEastAsia" w:hAnsi="Calibri"/>
        </w:rPr>
        <w:t>,</w:t>
      </w:r>
      <w:r w:rsidR="00053275">
        <w:rPr>
          <w:rFonts w:ascii="Calibri" w:eastAsiaTheme="minorEastAsia" w:hAnsi="Calibri"/>
        </w:rPr>
        <w:t xml:space="preserve"> </w:t>
      </w:r>
      <w:r w:rsidRPr="00094021">
        <w:rPr>
          <w:rFonts w:ascii="Calibri" w:eastAsiaTheme="minorEastAsia" w:hAnsi="Calibri"/>
        </w:rPr>
        <w:t>left panel).</w:t>
      </w:r>
    </w:p>
    <w:p w14:paraId="3086ACDA" w14:textId="6811E1F8" w:rsidR="00543236" w:rsidRDefault="00543236" w:rsidP="00543236">
      <w:pPr>
        <w:pStyle w:val="GraphTitle"/>
      </w:pPr>
      <w:bookmarkStart w:id="38" w:name="_Ref493511534"/>
      <w:r>
        <w:t>Graph </w:t>
      </w:r>
      <w:fldSimple w:instr=" SEQ Graph \* ARABIC \* MERGEFORMAT ">
        <w:r w:rsidR="00032843">
          <w:rPr>
            <w:noProof/>
          </w:rPr>
          <w:t>34</w:t>
        </w:r>
      </w:fldSimple>
      <w:bookmarkEnd w:id="38"/>
    </w:p>
    <w:p w14:paraId="578154FA" w14:textId="387D4288" w:rsidR="00543236" w:rsidRPr="00543236" w:rsidRDefault="00804D03" w:rsidP="00543236">
      <w:pPr>
        <w:pStyle w:val="BodyText"/>
        <w:jc w:val="center"/>
      </w:pPr>
      <w:r>
        <w:rPr>
          <w:noProof/>
        </w:rPr>
        <w:drawing>
          <wp:inline distT="0" distB="0" distL="0" distR="0" wp14:anchorId="386E28CF" wp14:editId="7C1754BD">
            <wp:extent cx="2772000" cy="25200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Ms in Australia.emf"/>
                    <pic:cNvPicPr preferRelativeResize="0"/>
                  </pic:nvPicPr>
                  <pic:blipFill>
                    <a:blip r:embed="rId47" cstate="print">
                      <a:extLst>
                        <a:ext uri="{28A0092B-C50C-407E-A947-70E740481C1C}">
                          <a14:useLocalDpi xmlns:a14="http://schemas.microsoft.com/office/drawing/2010/main" val="0"/>
                        </a:ext>
                      </a:extLst>
                    </a:blip>
                    <a:stretch>
                      <a:fillRect/>
                    </a:stretch>
                  </pic:blipFill>
                  <pic:spPr>
                    <a:xfrm>
                      <a:off x="0" y="0"/>
                      <a:ext cx="2772000" cy="2520000"/>
                    </a:xfrm>
                    <a:prstGeom prst="rect">
                      <a:avLst/>
                    </a:prstGeom>
                  </pic:spPr>
                </pic:pic>
              </a:graphicData>
            </a:graphic>
          </wp:inline>
        </w:drawing>
      </w:r>
    </w:p>
    <w:p w14:paraId="0266FD26" w14:textId="5E6B2015" w:rsidR="00094021" w:rsidRPr="00094021" w:rsidRDefault="00094021" w:rsidP="00A9306D">
      <w:pPr>
        <w:pStyle w:val="BodyText"/>
        <w:spacing w:before="120"/>
      </w:pPr>
      <w:r w:rsidRPr="00094021">
        <w:t>While the number of ATMs is still close to its peak, the use of ATMs has been declining rapidly in recent years reflecting a broader decline in the use of cash for transactions as consumers increasingly opt to u</w:t>
      </w:r>
      <w:r w:rsidR="00425E74">
        <w:t>se electronic means of payment (</w:t>
      </w:r>
      <w:r w:rsidR="00425E74">
        <w:fldChar w:fldCharType="begin"/>
      </w:r>
      <w:r w:rsidR="00425E74">
        <w:instrText xml:space="preserve"> REF _Ref493511534 \h </w:instrText>
      </w:r>
      <w:r w:rsidR="00425E74">
        <w:fldChar w:fldCharType="separate"/>
      </w:r>
      <w:r w:rsidR="00032843">
        <w:t>Graph </w:t>
      </w:r>
      <w:r w:rsidR="00032843">
        <w:rPr>
          <w:noProof/>
        </w:rPr>
        <w:t>34</w:t>
      </w:r>
      <w:r w:rsidR="00425E74">
        <w:fldChar w:fldCharType="end"/>
      </w:r>
      <w:r w:rsidRPr="00094021">
        <w:t>, right panel)</w:t>
      </w:r>
      <w:sdt>
        <w:sdtPr>
          <w:id w:val="-964731975"/>
          <w:citation/>
        </w:sdtPr>
        <w:sdtEndPr/>
        <w:sdtContent>
          <w:r w:rsidR="00310A77">
            <w:fldChar w:fldCharType="begin"/>
          </w:r>
          <w:r w:rsidR="00310A77">
            <w:instrText xml:space="preserve"> CITATION Doy17 \l 3081 </w:instrText>
          </w:r>
          <w:r w:rsidR="00310A77">
            <w:fldChar w:fldCharType="separate"/>
          </w:r>
          <w:r w:rsidR="0018397C">
            <w:rPr>
              <w:noProof/>
            </w:rPr>
            <w:t xml:space="preserve"> (Doyle </w:t>
          </w:r>
          <w:r w:rsidR="0018397C">
            <w:rPr>
              <w:i/>
              <w:iCs/>
              <w:noProof/>
            </w:rPr>
            <w:t>et al</w:t>
          </w:r>
          <w:r w:rsidR="0018397C">
            <w:rPr>
              <w:noProof/>
            </w:rPr>
            <w:t xml:space="preserve"> 2017)</w:t>
          </w:r>
          <w:r w:rsidR="00310A77">
            <w:fldChar w:fldCharType="end"/>
          </w:r>
        </w:sdtContent>
      </w:sdt>
      <w:r w:rsidRPr="00094021">
        <w:t xml:space="preserve">. </w:t>
      </w:r>
      <w:r w:rsidR="00053275">
        <w:t>The structure of the ATM industry has also changed since the original reforms were introduced, with the development of switches and other hub-based infrastructure making it easier for new entrants to join the ATM system without having to establish direct bilateral connections with all other participants. These changes mean that facilitating access for new participants has become less of an issue and so the Bank has recently been in discussions with the industry about the future of the ATM access framework, including exploring the scope to transition to a self-regulatory model in the</w:t>
      </w:r>
      <w:r w:rsidRPr="00094021">
        <w:t xml:space="preserve"> future.</w:t>
      </w:r>
    </w:p>
    <w:p w14:paraId="440A51E1" w14:textId="77777777" w:rsidR="00094021" w:rsidRPr="00094021" w:rsidRDefault="00094021" w:rsidP="005F5A16">
      <w:pPr>
        <w:pStyle w:val="Heading2"/>
        <w:spacing w:line="276" w:lineRule="auto"/>
      </w:pPr>
      <w:r w:rsidRPr="00094021">
        <w:t>Technology and innovation</w:t>
      </w:r>
    </w:p>
    <w:p w14:paraId="45F9F92D" w14:textId="6AA39F1C" w:rsidR="00053275" w:rsidRPr="00053275" w:rsidRDefault="00094021" w:rsidP="005F5A16">
      <w:pPr>
        <w:pStyle w:val="BodyText"/>
      </w:pPr>
      <w:r w:rsidRPr="00053275">
        <w:t xml:space="preserve">Driven </w:t>
      </w:r>
      <w:r w:rsidR="00053275" w:rsidRPr="00053275">
        <w:t>by advances in information and communications technology, the payments market has been going through a period of rapid innovation and technology evolution in recent years. Competition is increasingly being reflected in new customer-facing product innovations and technologies, introduced both by existing participants and challengers that are seeking either to gain a foothold in existing payment systems or attract business away from those systems. For example, among incumbents there has been a focus on the deployment of contactless ‘tap and go’ and mobile payments functionality in recent years.</w:t>
      </w:r>
    </w:p>
    <w:p w14:paraId="21D90D90" w14:textId="0DB0EF2D" w:rsidR="00053275" w:rsidRPr="00053275" w:rsidRDefault="00053275" w:rsidP="005F5A16">
      <w:pPr>
        <w:pStyle w:val="BodyText"/>
      </w:pPr>
      <w:r w:rsidRPr="00053275">
        <w:t xml:space="preserve">The number of contactless card payments has increased strongly in recent years, largely because of the growing use of contactless cards for lower-value payments. The 2016 Consumer Payments Survey showed that nearly two-thirds of all point-of-sale card payments were contactless. </w:t>
      </w:r>
      <w:bookmarkStart w:id="39" w:name="_Ref474938742"/>
      <w:bookmarkEnd w:id="39"/>
      <w:r w:rsidRPr="00053275">
        <w:t>Similarly, mobile payments technology has attracted significant investment in recent years. Almost all financial institutions in Australia have internet banking mobile apps</w:t>
      </w:r>
      <w:r w:rsidR="00415D48">
        <w:t>,</w:t>
      </w:r>
      <w:r w:rsidRPr="00053275">
        <w:t xml:space="preserve"> which facilitate mobile payments. Third-party mobile wallet apps</w:t>
      </w:r>
      <w:r w:rsidR="00415D48">
        <w:t>,</w:t>
      </w:r>
      <w:r w:rsidRPr="00053275">
        <w:t xml:space="preserve"> such as Apple Pay, Android Pay and Samsung Pay</w:t>
      </w:r>
      <w:r w:rsidR="00415D48">
        <w:t>,</w:t>
      </w:r>
      <w:r w:rsidRPr="00053275">
        <w:t xml:space="preserve"> have all been recently launched in Australia, although they are not available across all banks or card schemes.</w:t>
      </w:r>
    </w:p>
    <w:p w14:paraId="1EEA1B77" w14:textId="681032FD" w:rsidR="00053275" w:rsidRPr="00053275" w:rsidRDefault="00053275" w:rsidP="005F5A16">
      <w:pPr>
        <w:pStyle w:val="BodyText"/>
      </w:pPr>
      <w:r w:rsidRPr="00053275">
        <w:t>New entrants into the payments market have also been driving innovation in retail payments. Firms such as PayPal and POLi, which offer customers new ways to make online payments that may be more convenient, have experienced strong growth over recent years, although from a low base. In addition to online payments, new entrants are active in other parts of the payment system, including merchant services and card payments processing (such as Square), card acquiring (such as Tyro) and remittances (such as OFX and TransferWise).</w:t>
      </w:r>
      <w:r w:rsidR="001147EE">
        <w:t xml:space="preserve"> As would be expected, however, the types of innovations that are succeeding in Australia reflect the </w:t>
      </w:r>
      <w:r w:rsidR="008D26DA">
        <w:t xml:space="preserve">initial structure of, and gaps in, our payments system. For example, with almost all Australians having bank accounts and payment cards, </w:t>
      </w:r>
      <w:r w:rsidR="00E547A2">
        <w:t>services</w:t>
      </w:r>
      <w:r w:rsidR="008D26DA">
        <w:t xml:space="preserve"> </w:t>
      </w:r>
      <w:r w:rsidR="00A42007">
        <w:t>similar to</w:t>
      </w:r>
      <w:r w:rsidR="008D26DA">
        <w:t xml:space="preserve"> Kenya’s </w:t>
      </w:r>
      <w:r w:rsidR="00B27B28">
        <w:t>M</w:t>
      </w:r>
      <w:r w:rsidR="00543236">
        <w:noBreakHyphen/>
      </w:r>
      <w:r w:rsidR="008D26DA">
        <w:t xml:space="preserve">Pesa system, where customers’ funds are held by a mobile phone operator, have gained little traction here. Furthermore, </w:t>
      </w:r>
      <w:r w:rsidR="008C1EAE">
        <w:t xml:space="preserve">given </w:t>
      </w:r>
      <w:r w:rsidR="008D26DA">
        <w:t>the high use of cards and high penetration of payment card terminals in even the smallest retailers, it remains to be seen whether there will be demand for QR-based payments which have grown rapidly in China where card terminals are much less ubiquitous.</w:t>
      </w:r>
      <w:r w:rsidR="001147EE">
        <w:t xml:space="preserve"> </w:t>
      </w:r>
    </w:p>
    <w:p w14:paraId="162C6904" w14:textId="3E69C604" w:rsidR="00053275" w:rsidRPr="00053275" w:rsidRDefault="00053275" w:rsidP="005F5A16">
      <w:pPr>
        <w:pStyle w:val="BodyText"/>
      </w:pPr>
      <w:r w:rsidRPr="00053275">
        <w:t xml:space="preserve">Digital currencies are another area of innovation in retail payments, although their use and merchant acceptance is extremely limited at present in Australia. Digital currencies have displayed high levels of price volatility and some security issues </w:t>
      </w:r>
      <w:r w:rsidR="00B867D2">
        <w:t>that</w:t>
      </w:r>
      <w:r w:rsidRPr="00053275">
        <w:t xml:space="preserve"> </w:t>
      </w:r>
      <w:r w:rsidR="009B4F54">
        <w:t>are likely to</w:t>
      </w:r>
      <w:r w:rsidR="009B4F54" w:rsidRPr="00053275">
        <w:t xml:space="preserve"> </w:t>
      </w:r>
      <w:r w:rsidRPr="00053275">
        <w:t>make them unappealing for many consumers. Nonetheless, as technology improves and industry practices evolve, it is possible that they may become more widely used, providing competition to other payment methods; this is more likely for cross-border payments than for domestic use. Recent changes in some policy settings, such as the removal of the double incidence of GST on digital currency transactions, may encourage the development of more products and services related to digital currencies</w:t>
      </w:r>
      <w:sdt>
        <w:sdtPr>
          <w:id w:val="148951250"/>
          <w:citation/>
        </w:sdtPr>
        <w:sdtEndPr/>
        <w:sdtContent>
          <w:r w:rsidR="00310A77">
            <w:fldChar w:fldCharType="begin"/>
          </w:r>
          <w:r w:rsidR="00310A77">
            <w:instrText xml:space="preserve"> CITATION ATO17 \l 3081 </w:instrText>
          </w:r>
          <w:r w:rsidR="00310A77">
            <w:fldChar w:fldCharType="separate"/>
          </w:r>
          <w:r w:rsidR="0018397C">
            <w:rPr>
              <w:noProof/>
            </w:rPr>
            <w:t xml:space="preserve"> (ATO 2017)</w:t>
          </w:r>
          <w:r w:rsidR="00310A77">
            <w:fldChar w:fldCharType="end"/>
          </w:r>
        </w:sdtContent>
      </w:sdt>
      <w:r w:rsidRPr="00053275">
        <w:t>.</w:t>
      </w:r>
    </w:p>
    <w:p w14:paraId="40C58E8D" w14:textId="4F222C89" w:rsidR="00053275" w:rsidRPr="00053275" w:rsidRDefault="00053275" w:rsidP="005F5A16">
      <w:pPr>
        <w:pStyle w:val="BodyText"/>
      </w:pPr>
      <w:r w:rsidRPr="00053275">
        <w:t xml:space="preserve">Looking forward, the </w:t>
      </w:r>
      <w:r w:rsidR="00C04877">
        <w:t>Australian</w:t>
      </w:r>
      <w:r w:rsidRPr="00053275">
        <w:t xml:space="preserve"> Government has recently announced that it intends to introduce an open banking regime in Australia</w:t>
      </w:r>
      <w:sdt>
        <w:sdtPr>
          <w:id w:val="384923661"/>
          <w:citation/>
        </w:sdtPr>
        <w:sdtEndPr/>
        <w:sdtContent>
          <w:r w:rsidR="00E03223">
            <w:fldChar w:fldCharType="begin"/>
          </w:r>
          <w:r w:rsidR="00E03223">
            <w:instrText xml:space="preserve"> CITATION The \l 3081 </w:instrText>
          </w:r>
          <w:r w:rsidR="00E03223">
            <w:fldChar w:fldCharType="separate"/>
          </w:r>
          <w:r w:rsidR="0018397C">
            <w:rPr>
              <w:noProof/>
            </w:rPr>
            <w:t xml:space="preserve"> (The Treasury 2017)</w:t>
          </w:r>
          <w:r w:rsidR="00E03223">
            <w:fldChar w:fldCharType="end"/>
          </w:r>
        </w:sdtContent>
      </w:sdt>
      <w:r w:rsidRPr="00053275">
        <w:t>. Allowing consumers to securely share their personal banking data with other service providers could facilitate the development of innovative services and promote the entry of new players into the payments market. Fintech</w:t>
      </w:r>
      <w:r w:rsidR="0059653A">
        <w:t xml:space="preserve"> firms</w:t>
      </w:r>
      <w:r w:rsidRPr="00053275">
        <w:t>, for example, could develop services that provide personalised product comparisons, facilitat</w:t>
      </w:r>
      <w:r w:rsidR="0085249A">
        <w:t>e</w:t>
      </w:r>
      <w:r w:rsidRPr="00053275">
        <w:t xml:space="preserve"> account switching, or allow customers to securely make online payments direct from their bank account as an alternative to other payment methods. Given the potential benefits for innovation, competition and efficiency in the payments system, the Bank is strongly supportive of an open banking regime.</w:t>
      </w:r>
    </w:p>
    <w:p w14:paraId="429D7B0C" w14:textId="38572BEB" w:rsidR="00094021" w:rsidRPr="00094021" w:rsidRDefault="00053275" w:rsidP="005F5A16">
      <w:pPr>
        <w:pStyle w:val="BodyText"/>
      </w:pPr>
      <w:r w:rsidRPr="00053275">
        <w:t xml:space="preserve">Despite these positive developments, there are some challenges. Some fintech firms have suggested that access to banking services is </w:t>
      </w:r>
      <w:r w:rsidR="004151D6">
        <w:t>difficult</w:t>
      </w:r>
      <w:r w:rsidRPr="00053275">
        <w:t xml:space="preserve"> where the firm’s business model relates to payments. Partly, this may be the natural response of incumbents</w:t>
      </w:r>
      <w:r w:rsidR="0059653A">
        <w:t>,</w:t>
      </w:r>
      <w:r w:rsidRPr="00053275">
        <w:t xml:space="preserve"> which, in any industry, generally have little incentive to cooperate with new competitors. In addition, some banks have indicated that they are reluctant to deal with bitcoin-related start-ups due to the risks arising from AML/CTF regulation and international</w:t>
      </w:r>
      <w:r w:rsidR="00C839EA">
        <w:t xml:space="preserve"> enforcement.</w:t>
      </w:r>
    </w:p>
    <w:p w14:paraId="2E8659D8" w14:textId="77777777" w:rsidR="00094021" w:rsidRPr="00094021" w:rsidRDefault="00094021" w:rsidP="005F5A16">
      <w:pPr>
        <w:pStyle w:val="Heading3"/>
        <w:spacing w:line="276" w:lineRule="auto"/>
      </w:pPr>
      <w:r w:rsidRPr="00094021">
        <w:t>Innovation in payments networks and the New Payments Platform</w:t>
      </w:r>
    </w:p>
    <w:p w14:paraId="73318F2E" w14:textId="7B399E9D"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Some </w:t>
      </w:r>
      <w:r w:rsidR="004151D6">
        <w:t>innovations in the payments market, such as a new wireless card acquiring terminal, can be characterised as proprietary in nature. The decision to innovate is largely based on the expected benefit to the innovator, for example lower costs or greater revenue to the participant that introduces the new type of terminal</w:t>
      </w:r>
      <w:sdt>
        <w:sdtPr>
          <w:id w:val="936633102"/>
          <w:citation/>
        </w:sdtPr>
        <w:sdtEndPr/>
        <w:sdtContent>
          <w:r w:rsidR="00323B5D">
            <w:fldChar w:fldCharType="begin"/>
          </w:r>
          <w:r w:rsidR="00323B5D">
            <w:instrText xml:space="preserve"> CITATION Str11 \l 3081 </w:instrText>
          </w:r>
          <w:r w:rsidR="00323B5D">
            <w:fldChar w:fldCharType="separate"/>
          </w:r>
          <w:r w:rsidR="0018397C">
            <w:rPr>
              <w:noProof/>
            </w:rPr>
            <w:t xml:space="preserve"> (RBA 2011)</w:t>
          </w:r>
          <w:r w:rsidR="00323B5D">
            <w:fldChar w:fldCharType="end"/>
          </w:r>
        </w:sdtContent>
      </w:sdt>
      <w:r w:rsidR="004151D6">
        <w:t>. Since the innovator can implement the technology and receive the benefits without coordinat</w:t>
      </w:r>
      <w:r w:rsidR="0059653A">
        <w:t>ing</w:t>
      </w:r>
      <w:r w:rsidR="004151D6">
        <w:t xml:space="preserve"> with many other participants in the system, competitive pressures are likely to encourage proprietary</w:t>
      </w:r>
      <w:r w:rsidR="00C04877">
        <w:rPr>
          <w:rFonts w:ascii="Calibri" w:eastAsiaTheme="minorEastAsia" w:hAnsi="Calibri"/>
        </w:rPr>
        <w:t xml:space="preserve"> innovation.</w:t>
      </w:r>
    </w:p>
    <w:p w14:paraId="4F4EBE23" w14:textId="502B9671"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In </w:t>
      </w:r>
      <w:r w:rsidR="004151D6">
        <w:t xml:space="preserve">contrast, </w:t>
      </w:r>
      <w:r w:rsidR="00841A4A">
        <w:t xml:space="preserve">innovations in the </w:t>
      </w:r>
      <w:r w:rsidR="004151D6">
        <w:t xml:space="preserve">cooperative </w:t>
      </w:r>
      <w:r w:rsidR="00841A4A">
        <w:t xml:space="preserve">systems and arrangements that underlie most payment systems </w:t>
      </w:r>
      <w:r w:rsidR="004151D6">
        <w:t xml:space="preserve">are more difficult to achieve since they require agreements across many participants. </w:t>
      </w:r>
      <w:r w:rsidR="0024589B">
        <w:t>An investment in cooperative infrastructure might not align with individual banks’ investment cycles</w:t>
      </w:r>
      <w:r w:rsidR="004151D6">
        <w:t xml:space="preserve"> or </w:t>
      </w:r>
      <w:r w:rsidR="0024589B">
        <w:t xml:space="preserve">banks </w:t>
      </w:r>
      <w:r w:rsidR="004151D6">
        <w:t xml:space="preserve">may have concerns that investing in a standardised technology could give competitors an advantage. The need to coordinate can result in innovation being slower than desirable and, in some cases, new technologies may not be implemented at </w:t>
      </w:r>
      <w:r w:rsidRPr="00094021">
        <w:rPr>
          <w:rFonts w:ascii="Calibri" w:eastAsiaTheme="minorEastAsia" w:hAnsi="Calibri"/>
        </w:rPr>
        <w:t>all.</w:t>
      </w:r>
    </w:p>
    <w:p w14:paraId="3DD6610F" w14:textId="52C09211" w:rsidR="004151D6" w:rsidRDefault="00094021" w:rsidP="005F5A16">
      <w:pPr>
        <w:pStyle w:val="BodyText"/>
        <w:rPr>
          <w:rFonts w:ascii="Calibri" w:eastAsiaTheme="minorEastAsia" w:hAnsi="Calibri"/>
        </w:rPr>
      </w:pPr>
      <w:r w:rsidRPr="00094021">
        <w:rPr>
          <w:rFonts w:ascii="Calibri" w:eastAsiaTheme="minorEastAsia" w:hAnsi="Calibri"/>
        </w:rPr>
        <w:t xml:space="preserve">To encourage greater cooperation in payments innovation, in 2012 the Bank published a set of high-level strategic objectives for the payments industry following a </w:t>
      </w:r>
      <w:r w:rsidRPr="00C04877">
        <w:rPr>
          <w:rFonts w:ascii="Calibri" w:eastAsiaTheme="minorEastAsia" w:hAnsi="Calibri"/>
        </w:rPr>
        <w:t>Strategic Review of Innovation in the Payments System</w:t>
      </w:r>
      <w:r w:rsidRPr="00094021">
        <w:rPr>
          <w:rFonts w:ascii="Calibri" w:eastAsiaTheme="minorEastAsia" w:hAnsi="Calibri"/>
        </w:rPr>
        <w:t>.</w:t>
      </w:r>
      <w:r w:rsidRPr="00094021">
        <w:rPr>
          <w:rFonts w:ascii="Calibri" w:eastAsiaTheme="minorEastAsia" w:hAnsi="Calibri"/>
          <w:vertAlign w:val="superscript"/>
        </w:rPr>
        <w:footnoteReference w:id="21"/>
      </w:r>
      <w:r w:rsidRPr="00094021">
        <w:rPr>
          <w:rFonts w:ascii="Calibri" w:eastAsiaTheme="minorEastAsia" w:hAnsi="Calibri"/>
        </w:rPr>
        <w:t xml:space="preserve"> These objectives addressed a number of gaps in the payments system, including the ability to make real-time payments on a 24/7 basis with simp</w:t>
      </w:r>
      <w:r w:rsidR="00C839EA">
        <w:rPr>
          <w:rFonts w:ascii="Calibri" w:eastAsiaTheme="minorEastAsia" w:hAnsi="Calibri"/>
        </w:rPr>
        <w:t>ler addressing and richer data.</w:t>
      </w:r>
    </w:p>
    <w:p w14:paraId="1AE12A3F" w14:textId="720308E7"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The </w:t>
      </w:r>
      <w:r w:rsidR="004151D6">
        <w:t>NPP, currently under development by a group of 13 financial institutions, is the industry’s main vehicle for addressing the Bank’s initial set of strategic objectives.</w:t>
      </w:r>
      <w:r w:rsidR="004151D6" w:rsidRPr="002040CD">
        <w:t xml:space="preserve"> </w:t>
      </w:r>
      <w:r w:rsidR="004151D6">
        <w:t>One of the ‘core criteria’ that the Bank specified for the NPP was that it ‘should</w:t>
      </w:r>
      <w:r w:rsidR="004151D6" w:rsidRPr="008215FD">
        <w:t xml:space="preserve"> </w:t>
      </w:r>
      <w:r w:rsidR="004151D6">
        <w:t>be based on efficient, secure and open hub-type architecture, capable of supporting fair and open access’.</w:t>
      </w:r>
      <w:r w:rsidR="004151D6" w:rsidRPr="008215FD">
        <w:t xml:space="preserve"> </w:t>
      </w:r>
      <w:r w:rsidR="00FC5151">
        <w:t>Accordingly</w:t>
      </w:r>
      <w:r w:rsidR="004151D6">
        <w:t>, it has been designed to provide a platform for the development of innovative payment services over coming years. In particular, it will be capable of supporting specialised overlay services, tailored to meet the specific payment needs of different groups of users</w:t>
      </w:r>
      <w:r w:rsidR="00C839EA">
        <w:rPr>
          <w:rFonts w:ascii="Calibri" w:eastAsiaTheme="minorEastAsia" w:hAnsi="Calibri"/>
        </w:rPr>
        <w:t>.</w:t>
      </w:r>
    </w:p>
    <w:p w14:paraId="18B2227A" w14:textId="0F9876C5" w:rsidR="00094021" w:rsidRPr="00094021" w:rsidRDefault="00094021" w:rsidP="005F5A16">
      <w:pPr>
        <w:pStyle w:val="BodyText"/>
        <w:rPr>
          <w:rFonts w:ascii="Calibri" w:eastAsiaTheme="minorEastAsia" w:hAnsi="Calibri"/>
        </w:rPr>
      </w:pPr>
      <w:r w:rsidRPr="00094021">
        <w:rPr>
          <w:rFonts w:ascii="Calibri" w:eastAsiaTheme="minorEastAsia" w:hAnsi="Calibri"/>
        </w:rPr>
        <w:t xml:space="preserve">The governance of the NPP – including an independent chair and representation of industry stakeholders catering for the interests of large, medium and smaller institutions – will support open access and competition from various payment system participants to utilise the </w:t>
      </w:r>
      <w:r w:rsidR="003C0377">
        <w:rPr>
          <w:rFonts w:ascii="Calibri" w:eastAsiaTheme="minorEastAsia" w:hAnsi="Calibri"/>
        </w:rPr>
        <w:t>platform</w:t>
      </w:r>
      <w:r w:rsidRPr="00094021">
        <w:rPr>
          <w:rFonts w:ascii="Calibri" w:eastAsiaTheme="minorEastAsia" w:hAnsi="Calibri"/>
        </w:rPr>
        <w:t xml:space="preserve">. The Bank, which is also represented on the Board of </w:t>
      </w:r>
      <w:r w:rsidR="006F33EC">
        <w:rPr>
          <w:rFonts w:ascii="Calibri" w:eastAsiaTheme="minorEastAsia" w:hAnsi="Calibri"/>
        </w:rPr>
        <w:t xml:space="preserve">the </w:t>
      </w:r>
      <w:r w:rsidRPr="00094021">
        <w:rPr>
          <w:rFonts w:ascii="Calibri" w:eastAsiaTheme="minorEastAsia" w:hAnsi="Calibri"/>
        </w:rPr>
        <w:t xml:space="preserve">NPP, will continue to monitor the progress of the </w:t>
      </w:r>
      <w:r w:rsidR="006F33EC">
        <w:rPr>
          <w:rFonts w:ascii="Calibri" w:eastAsiaTheme="minorEastAsia" w:hAnsi="Calibri"/>
        </w:rPr>
        <w:t>platform</w:t>
      </w:r>
      <w:r w:rsidRPr="00094021">
        <w:rPr>
          <w:rFonts w:ascii="Calibri" w:eastAsiaTheme="minorEastAsia" w:hAnsi="Calibri"/>
        </w:rPr>
        <w:t>, including its arrangements around access and support for competition. At some point after the NPP is operational, it will be appropriate for the Bank to assess how well the NPP has met the initial set of strategic objectives and whether there are other areas where cooperative industry approaches to innovation</w:t>
      </w:r>
      <w:r w:rsidR="00C04877">
        <w:rPr>
          <w:rFonts w:ascii="Calibri" w:eastAsiaTheme="minorEastAsia" w:hAnsi="Calibri"/>
        </w:rPr>
        <w:t xml:space="preserve"> in the payments system</w:t>
      </w:r>
      <w:r w:rsidRPr="00094021">
        <w:rPr>
          <w:rFonts w:ascii="Calibri" w:eastAsiaTheme="minorEastAsia" w:hAnsi="Calibri"/>
        </w:rPr>
        <w:t xml:space="preserve"> </w:t>
      </w:r>
      <w:r w:rsidR="00FF536E">
        <w:rPr>
          <w:rFonts w:ascii="Calibri" w:eastAsiaTheme="minorEastAsia" w:hAnsi="Calibri"/>
        </w:rPr>
        <w:t>are</w:t>
      </w:r>
      <w:r w:rsidRPr="00094021">
        <w:rPr>
          <w:rFonts w:ascii="Calibri" w:eastAsiaTheme="minorEastAsia" w:hAnsi="Calibri"/>
        </w:rPr>
        <w:t xml:space="preserve"> needed.</w:t>
      </w:r>
    </w:p>
    <w:p w14:paraId="3B2C8082" w14:textId="77777777" w:rsidR="005B6748" w:rsidRDefault="005B6748">
      <w:pPr>
        <w:rPr>
          <w:rFonts w:ascii="Palatino Linotype" w:hAnsi="Palatino Linotype"/>
          <w:b/>
          <w:color w:val="007698"/>
          <w:sz w:val="28"/>
          <w:szCs w:val="28"/>
        </w:rPr>
      </w:pPr>
      <w:r>
        <w:br w:type="page"/>
      </w:r>
    </w:p>
    <w:p w14:paraId="77AD9EDA" w14:textId="639DE379" w:rsidR="00D47C68" w:rsidRPr="00D47C68" w:rsidRDefault="00452DC1" w:rsidP="00D47C68">
      <w:pPr>
        <w:pStyle w:val="Heading1"/>
        <w:numPr>
          <w:ilvl w:val="0"/>
          <w:numId w:val="39"/>
        </w:numPr>
      </w:pPr>
      <w:r>
        <w:t>Summary of Key</w:t>
      </w:r>
      <w:r w:rsidR="00D47C68">
        <w:t xml:space="preserve"> </w:t>
      </w:r>
      <w:r w:rsidR="00654634">
        <w:t>Themes</w:t>
      </w:r>
    </w:p>
    <w:p w14:paraId="23E2FD2A" w14:textId="4C2E62D9" w:rsidR="00D47C68" w:rsidRDefault="00D47C68" w:rsidP="005B056F">
      <w:pPr>
        <w:pStyle w:val="BodyText"/>
      </w:pPr>
      <w:r>
        <w:t xml:space="preserve">The discussion in the preceding chapters highlights that periods of more intense competition in </w:t>
      </w:r>
      <w:r w:rsidR="00452DC1">
        <w:t>individual</w:t>
      </w:r>
      <w:r>
        <w:t xml:space="preserve"> markets ha</w:t>
      </w:r>
      <w:r w:rsidR="00D43BFF">
        <w:t>ve</w:t>
      </w:r>
      <w:r>
        <w:t xml:space="preserve"> typically come from new models and new entrants rather than existing players, for example:</w:t>
      </w:r>
    </w:p>
    <w:p w14:paraId="76D86EE1" w14:textId="2A93009D" w:rsidR="00D47C68" w:rsidRDefault="00374932" w:rsidP="00543236">
      <w:pPr>
        <w:pStyle w:val="ListBullet"/>
      </w:pPr>
      <w:r>
        <w:t>T</w:t>
      </w:r>
      <w:r w:rsidR="00D47C68">
        <w:t xml:space="preserve">he </w:t>
      </w:r>
      <w:r w:rsidR="00654634">
        <w:t>growth</w:t>
      </w:r>
      <w:r w:rsidR="00D47C68">
        <w:t xml:space="preserve"> of the RMBS market and entry of mortgage originators led to strong competition in mortgage markets </w:t>
      </w:r>
      <w:r w:rsidR="00285776">
        <w:t>in the mid</w:t>
      </w:r>
      <w:r w:rsidR="006475BF">
        <w:t>-</w:t>
      </w:r>
      <w:r w:rsidR="00285776">
        <w:t>to</w:t>
      </w:r>
      <w:r w:rsidR="006475BF">
        <w:t>-</w:t>
      </w:r>
      <w:r w:rsidR="00285776">
        <w:t>late 1990s</w:t>
      </w:r>
      <w:r>
        <w:t>.</w:t>
      </w:r>
    </w:p>
    <w:p w14:paraId="561C3FE6" w14:textId="648B6272" w:rsidR="00D47C68" w:rsidRDefault="00374932" w:rsidP="00543236">
      <w:pPr>
        <w:pStyle w:val="ListBullet"/>
      </w:pPr>
      <w:r>
        <w:t>T</w:t>
      </w:r>
      <w:r w:rsidR="00D47C68">
        <w:t>he adoption of online savings accounts – initially by foreign banks – led to greater competition in deposit markets</w:t>
      </w:r>
      <w:r>
        <w:t>.</w:t>
      </w:r>
    </w:p>
    <w:p w14:paraId="45C74E23" w14:textId="524CA055" w:rsidR="00D47C68" w:rsidRDefault="00374932" w:rsidP="00543236">
      <w:pPr>
        <w:pStyle w:val="ListBullet"/>
      </w:pPr>
      <w:r>
        <w:t>T</w:t>
      </w:r>
      <w:r w:rsidR="00D47C68">
        <w:t xml:space="preserve">he recent entry of some Asian banks into corporate lending </w:t>
      </w:r>
      <w:r w:rsidR="00221C70">
        <w:t>has increased competition in that market.</w:t>
      </w:r>
    </w:p>
    <w:p w14:paraId="432E8FEF" w14:textId="3E522F33" w:rsidR="00452DC1" w:rsidRDefault="00654634" w:rsidP="00221C70">
      <w:pPr>
        <w:pStyle w:val="BodyText"/>
      </w:pPr>
      <w:r>
        <w:t>New ent</w:t>
      </w:r>
      <w:r w:rsidR="006A5EEB">
        <w:t>r</w:t>
      </w:r>
      <w:r>
        <w:t>ants</w:t>
      </w:r>
      <w:r w:rsidR="003809F0">
        <w:t xml:space="preserve">, </w:t>
      </w:r>
      <w:r w:rsidR="006F7F73">
        <w:t xml:space="preserve">particularly those with new business models or low costs, </w:t>
      </w:r>
      <w:r>
        <w:t xml:space="preserve">are therefore likely to be important in determining the future competitive environment. Such entry cannot be </w:t>
      </w:r>
      <w:r w:rsidR="000D16E0">
        <w:t xml:space="preserve">easily </w:t>
      </w:r>
      <w:r>
        <w:t>engineer</w:t>
      </w:r>
      <w:r w:rsidR="000D16E0">
        <w:t>e</w:t>
      </w:r>
      <w:r>
        <w:t>d;</w:t>
      </w:r>
      <w:r w:rsidR="00221C70">
        <w:t xml:space="preserve"> the </w:t>
      </w:r>
      <w:r>
        <w:t xml:space="preserve">role of </w:t>
      </w:r>
      <w:r w:rsidR="00221C70">
        <w:t xml:space="preserve">authorities is to </w:t>
      </w:r>
      <w:r w:rsidR="000D16E0">
        <w:t xml:space="preserve">provide </w:t>
      </w:r>
      <w:r w:rsidR="006A5EEB">
        <w:t xml:space="preserve">a supportive regulatory and competitive environment, with </w:t>
      </w:r>
      <w:r w:rsidR="00221C70">
        <w:t>no unnecessary impediments</w:t>
      </w:r>
      <w:r w:rsidR="000D16E0">
        <w:t xml:space="preserve">, while ensuring that </w:t>
      </w:r>
      <w:r w:rsidR="00B504AA">
        <w:t>the system remains safe, both systemically and for individual customers</w:t>
      </w:r>
      <w:r w:rsidR="000D16E0">
        <w:t xml:space="preserve">. </w:t>
      </w:r>
    </w:p>
    <w:p w14:paraId="3C782D1E" w14:textId="60AFAC73" w:rsidR="00221C70" w:rsidRDefault="00221C70" w:rsidP="00221C70">
      <w:pPr>
        <w:pStyle w:val="BodyText"/>
      </w:pPr>
      <w:r>
        <w:t xml:space="preserve">The </w:t>
      </w:r>
      <w:r w:rsidR="006A5EEB">
        <w:t xml:space="preserve">Commission’s Terms of Reference </w:t>
      </w:r>
      <w:r w:rsidR="00B504AA">
        <w:t xml:space="preserve">is </w:t>
      </w:r>
      <w:r w:rsidR="006A5EEB">
        <w:t xml:space="preserve">broad and its enquiries could follow many potential paths. The following </w:t>
      </w:r>
      <w:r w:rsidR="00452DC1">
        <w:t xml:space="preserve">provides a brief summary of areas </w:t>
      </w:r>
      <w:r w:rsidR="006A5EEB">
        <w:t xml:space="preserve">contemplated in this submission </w:t>
      </w:r>
      <w:r w:rsidR="00452DC1">
        <w:t xml:space="preserve">that are likely to be of interest to the </w:t>
      </w:r>
      <w:r w:rsidR="007B68F6">
        <w:t>Commission</w:t>
      </w:r>
      <w:r>
        <w:t>.</w:t>
      </w:r>
    </w:p>
    <w:p w14:paraId="36607DD6" w14:textId="3ED901F4" w:rsidR="00221C70" w:rsidRDefault="00221C70" w:rsidP="00221C70">
      <w:pPr>
        <w:pStyle w:val="BodyText"/>
      </w:pPr>
      <w:r w:rsidRPr="006A5EEB">
        <w:rPr>
          <w:b/>
        </w:rPr>
        <w:t>Foreign banks.</w:t>
      </w:r>
      <w:r>
        <w:t xml:space="preserve"> As noted above, foreign banks have been important in some episodes of more intense competition. However</w:t>
      </w:r>
      <w:r w:rsidR="00966BE8">
        <w:t>,</w:t>
      </w:r>
      <w:r>
        <w:t xml:space="preserve"> their participation can be contingent on developments in their home jurisdictions. </w:t>
      </w:r>
      <w:r w:rsidR="00356AC0">
        <w:t xml:space="preserve">The small business market could most benefit from foreign entrants at present. Greater access to </w:t>
      </w:r>
      <w:r w:rsidR="00654634">
        <w:t xml:space="preserve">the </w:t>
      </w:r>
      <w:r w:rsidR="00356AC0">
        <w:t xml:space="preserve">credit and payment </w:t>
      </w:r>
      <w:r w:rsidR="00654634">
        <w:t xml:space="preserve">histories </w:t>
      </w:r>
      <w:r w:rsidR="00356AC0">
        <w:t xml:space="preserve">of borrowers might be beneficial to this. There </w:t>
      </w:r>
      <w:r w:rsidR="00FF536E">
        <w:t xml:space="preserve">is </w:t>
      </w:r>
      <w:r w:rsidR="00356AC0">
        <w:t>also scope for foreign entrants to compete more actively in the mortgage market – though the Bank would not wish to see this result in the erosion of lending standards.</w:t>
      </w:r>
    </w:p>
    <w:p w14:paraId="384CB228" w14:textId="738F1F05" w:rsidR="00356AC0" w:rsidRDefault="00356AC0" w:rsidP="00221C70">
      <w:pPr>
        <w:pStyle w:val="BodyText"/>
      </w:pPr>
      <w:r w:rsidRPr="006A5EEB">
        <w:rPr>
          <w:b/>
        </w:rPr>
        <w:t>Fintech.</w:t>
      </w:r>
      <w:r>
        <w:t xml:space="preserve"> There is some scope for fintech lenders to add to competition in under-served markets, including by using new techniques for distribution and credit assessment. </w:t>
      </w:r>
      <w:r w:rsidR="0085249A">
        <w:t xml:space="preserve">Fintech developments can also help to increase transparency and reduce impediments to switching providers. </w:t>
      </w:r>
      <w:r>
        <w:t xml:space="preserve">The </w:t>
      </w:r>
      <w:r w:rsidR="002477F6">
        <w:t>sustainability</w:t>
      </w:r>
      <w:r>
        <w:t xml:space="preserve"> of these new techniques and players needs to be assessed over a full cycle</w:t>
      </w:r>
      <w:r w:rsidR="002477F6">
        <w:t xml:space="preserve">. We note that considerable effort has been made to accommodate new players through ASIC’s </w:t>
      </w:r>
      <w:r w:rsidR="00736BD0">
        <w:t>‘</w:t>
      </w:r>
      <w:r w:rsidR="002477F6">
        <w:t>regulatory sandbox</w:t>
      </w:r>
      <w:r w:rsidR="00736BD0">
        <w:t>’</w:t>
      </w:r>
      <w:r w:rsidR="002477F6">
        <w:t xml:space="preserve"> and </w:t>
      </w:r>
      <w:r w:rsidR="006475BF">
        <w:t>I</w:t>
      </w:r>
      <w:r w:rsidR="002477F6">
        <w:t xml:space="preserve">nnovation </w:t>
      </w:r>
      <w:r w:rsidR="006475BF">
        <w:t>H</w:t>
      </w:r>
      <w:r w:rsidR="002477F6">
        <w:t>ub, legislation to support crowdsourced funding and APRA’s consultation on its authorisation framework. Support is also available through various ‘incubators’. In the Bank’s view, these initiatives are striking an appropriate balance.</w:t>
      </w:r>
      <w:r w:rsidR="000D16E0">
        <w:t xml:space="preserve"> The ability for start-ups to experiment with a concept at relatively low cost and quickly move on if it does not prove successful (‘fast failure’) is important for supporting innovation. In the longer term, however, a </w:t>
      </w:r>
      <w:r w:rsidR="00965F1E">
        <w:t>firm</w:t>
      </w:r>
      <w:r w:rsidR="000D16E0">
        <w:t xml:space="preserve"> cannot and should not expect to rely on lighter regulation than its competitors</w:t>
      </w:r>
      <w:r w:rsidR="00965F1E">
        <w:t xml:space="preserve"> to sustain its business</w:t>
      </w:r>
      <w:r w:rsidR="000D16E0">
        <w:t xml:space="preserve">. </w:t>
      </w:r>
    </w:p>
    <w:p w14:paraId="32D06526" w14:textId="3C341868" w:rsidR="002477F6" w:rsidRDefault="002477F6" w:rsidP="00221C70">
      <w:pPr>
        <w:pStyle w:val="BodyText"/>
      </w:pPr>
      <w:r w:rsidRPr="006A5EEB">
        <w:rPr>
          <w:b/>
        </w:rPr>
        <w:t xml:space="preserve">Funding </w:t>
      </w:r>
      <w:r w:rsidR="00B75B94">
        <w:rPr>
          <w:b/>
        </w:rPr>
        <w:t>c</w:t>
      </w:r>
      <w:r w:rsidRPr="006A5EEB">
        <w:rPr>
          <w:b/>
        </w:rPr>
        <w:t xml:space="preserve">osts and </w:t>
      </w:r>
      <w:r w:rsidR="00B75B94">
        <w:rPr>
          <w:b/>
        </w:rPr>
        <w:t>i</w:t>
      </w:r>
      <w:r w:rsidRPr="006A5EEB">
        <w:rPr>
          <w:b/>
        </w:rPr>
        <w:t xml:space="preserve">mplicit </w:t>
      </w:r>
      <w:r w:rsidR="00B75B94">
        <w:rPr>
          <w:b/>
        </w:rPr>
        <w:t>g</w:t>
      </w:r>
      <w:r w:rsidRPr="006A5EEB">
        <w:rPr>
          <w:b/>
        </w:rPr>
        <w:t>uarantees.</w:t>
      </w:r>
      <w:r>
        <w:t xml:space="preserve"> </w:t>
      </w:r>
      <w:r w:rsidR="008124CC">
        <w:t xml:space="preserve">The </w:t>
      </w:r>
      <w:r w:rsidR="00431EB2">
        <w:t xml:space="preserve">lower </w:t>
      </w:r>
      <w:r w:rsidR="008124CC">
        <w:t xml:space="preserve">funding cost of the major banks has constrained the ability of smaller ADIs to compete since the crisis. This </w:t>
      </w:r>
      <w:r w:rsidR="00431EB2">
        <w:t xml:space="preserve">differential </w:t>
      </w:r>
      <w:r w:rsidR="008124CC">
        <w:t>has</w:t>
      </w:r>
      <w:r w:rsidR="000F7DD4">
        <w:t>,</w:t>
      </w:r>
      <w:r w:rsidR="008124CC">
        <w:t xml:space="preserve"> however</w:t>
      </w:r>
      <w:r w:rsidR="000F7DD4">
        <w:t>,</w:t>
      </w:r>
      <w:r w:rsidR="008124CC">
        <w:t xml:space="preserve"> narrowed recently, </w:t>
      </w:r>
      <w:r w:rsidR="00285776">
        <w:t>as smaller banks’ funding costs have declined more quickly than those of the major banks</w:t>
      </w:r>
      <w:r w:rsidR="008124CC">
        <w:t xml:space="preserve">. </w:t>
      </w:r>
      <w:r w:rsidR="00431EB2">
        <w:t>R</w:t>
      </w:r>
      <w:r w:rsidR="008124CC">
        <w:t>egulatory measures</w:t>
      </w:r>
      <w:r w:rsidR="00965F1E">
        <w:t>, such as higher capital requirements for the major banks, higher risk-weights on mortgage lending and the bank levy,</w:t>
      </w:r>
      <w:r w:rsidR="008124CC">
        <w:t xml:space="preserve"> have </w:t>
      </w:r>
      <w:r w:rsidR="00431EB2">
        <w:t>contributed to this</w:t>
      </w:r>
      <w:r w:rsidR="00965F1E">
        <w:t>.</w:t>
      </w:r>
      <w:r w:rsidR="008124CC">
        <w:t xml:space="preserve"> </w:t>
      </w:r>
      <w:r w:rsidR="00D730A2">
        <w:t xml:space="preserve">The </w:t>
      </w:r>
      <w:r w:rsidR="006475BF">
        <w:t>F</w:t>
      </w:r>
      <w:r w:rsidR="00D730A2">
        <w:t xml:space="preserve">inancial </w:t>
      </w:r>
      <w:r w:rsidR="006475BF">
        <w:t>C</w:t>
      </w:r>
      <w:r w:rsidR="00D730A2">
        <w:t xml:space="preserve">laims </w:t>
      </w:r>
      <w:r w:rsidR="006475BF">
        <w:t>S</w:t>
      </w:r>
      <w:r w:rsidR="00D730A2">
        <w:t xml:space="preserve">cheme </w:t>
      </w:r>
      <w:r w:rsidR="00B61808">
        <w:t>also minimises</w:t>
      </w:r>
      <w:r w:rsidR="00D730A2">
        <w:t xml:space="preserve"> retail depositors’ concern about the safety of deposits in smaller institutions.</w:t>
      </w:r>
    </w:p>
    <w:p w14:paraId="179A7912" w14:textId="10EE8B0F" w:rsidR="00D730A2" w:rsidRDefault="00D730A2" w:rsidP="00221C70">
      <w:pPr>
        <w:pStyle w:val="BodyText"/>
      </w:pPr>
      <w:r w:rsidRPr="006A5EEB">
        <w:rPr>
          <w:b/>
        </w:rPr>
        <w:t>Information problems and transparency.</w:t>
      </w:r>
      <w:r>
        <w:t xml:space="preserve"> </w:t>
      </w:r>
      <w:r w:rsidR="00965F1E">
        <w:t>E</w:t>
      </w:r>
      <w:r>
        <w:t>fforts underway to promote open banking and comprehensive credit reporting in order to reduce information problems</w:t>
      </w:r>
      <w:r w:rsidR="00965F1E">
        <w:t xml:space="preserve"> could also help improve competition as will </w:t>
      </w:r>
      <w:r>
        <w:t>greater transparency of lending rates</w:t>
      </w:r>
      <w:r w:rsidR="00965F1E">
        <w:t xml:space="preserve">. </w:t>
      </w:r>
      <w:r w:rsidR="006475BF">
        <w:t xml:space="preserve">The latter </w:t>
      </w:r>
      <w:r>
        <w:t>will be addressed under current data initiatives</w:t>
      </w:r>
      <w:r w:rsidR="00B61808">
        <w:t xml:space="preserve"> and proposed legislative changes</w:t>
      </w:r>
      <w:r>
        <w:t>.</w:t>
      </w:r>
    </w:p>
    <w:p w14:paraId="6030603E" w14:textId="24D97F00" w:rsidR="00D730A2" w:rsidRDefault="00D730A2" w:rsidP="00221C70">
      <w:pPr>
        <w:pStyle w:val="BodyText"/>
      </w:pPr>
      <w:r w:rsidRPr="006A5EEB">
        <w:rPr>
          <w:b/>
        </w:rPr>
        <w:t xml:space="preserve">Price </w:t>
      </w:r>
      <w:r w:rsidR="001A2B34">
        <w:rPr>
          <w:b/>
        </w:rPr>
        <w:t>differentiation</w:t>
      </w:r>
      <w:r w:rsidRPr="006A5EEB">
        <w:rPr>
          <w:b/>
        </w:rPr>
        <w:t>.</w:t>
      </w:r>
      <w:r>
        <w:t xml:space="preserve"> Banks appear to be able to </w:t>
      </w:r>
      <w:r w:rsidR="001A2B34">
        <w:t xml:space="preserve">differentiate </w:t>
      </w:r>
      <w:r>
        <w:t xml:space="preserve">freely between old and new customers, suggesting that established customers are not sufficiently aware of the possibility of a better deal or are reluctant to switch providers. </w:t>
      </w:r>
      <w:r w:rsidR="00E03701">
        <w:t xml:space="preserve">This </w:t>
      </w:r>
      <w:r w:rsidR="00662423">
        <w:t xml:space="preserve">could </w:t>
      </w:r>
      <w:r w:rsidR="00E03701">
        <w:t xml:space="preserve">result in established customers cross-subsidising new customers. </w:t>
      </w:r>
      <w:r>
        <w:t xml:space="preserve">Greater transparency, as discussed above, </w:t>
      </w:r>
      <w:r w:rsidR="00FF536E">
        <w:t xml:space="preserve">would </w:t>
      </w:r>
      <w:r>
        <w:t xml:space="preserve">be beneficial as </w:t>
      </w:r>
      <w:r w:rsidR="00FF536E">
        <w:t xml:space="preserve">will </w:t>
      </w:r>
      <w:r>
        <w:t xml:space="preserve">improvements in switching through digital identity and </w:t>
      </w:r>
      <w:r w:rsidR="00452DC1">
        <w:t xml:space="preserve">the </w:t>
      </w:r>
      <w:r w:rsidR="0080115A">
        <w:t>NPP</w:t>
      </w:r>
      <w:r w:rsidR="00452DC1">
        <w:t>.</w:t>
      </w:r>
    </w:p>
    <w:p w14:paraId="73C18824" w14:textId="76195A90" w:rsidR="00452DC1" w:rsidRPr="005B056F" w:rsidRDefault="00452DC1" w:rsidP="00221C70">
      <w:pPr>
        <w:pStyle w:val="BodyText"/>
      </w:pPr>
      <w:r w:rsidRPr="006A5EEB">
        <w:rPr>
          <w:b/>
        </w:rPr>
        <w:t>Bundling.</w:t>
      </w:r>
      <w:r>
        <w:t xml:space="preserve"> Product bundling</w:t>
      </w:r>
      <w:r w:rsidR="0024589B">
        <w:t xml:space="preserve"> </w:t>
      </w:r>
      <w:r w:rsidR="00B20CBC">
        <w:t>is</w:t>
      </w:r>
      <w:r w:rsidR="00873AC7">
        <w:t xml:space="preserve"> </w:t>
      </w:r>
      <w:r>
        <w:t xml:space="preserve">also </w:t>
      </w:r>
      <w:r w:rsidR="00B20CBC">
        <w:t xml:space="preserve">an </w:t>
      </w:r>
      <w:r>
        <w:t>inhibitor to switching and competition</w:t>
      </w:r>
      <w:r w:rsidR="0024589B">
        <w:t xml:space="preserve">, though </w:t>
      </w:r>
      <w:r w:rsidR="00B20CBC">
        <w:t xml:space="preserve">it </w:t>
      </w:r>
      <w:r w:rsidR="0024589B">
        <w:t>can be convenient for customers</w:t>
      </w:r>
      <w:r>
        <w:t xml:space="preserve">. Consideration could be given to whether </w:t>
      </w:r>
      <w:r w:rsidR="0024589B">
        <w:t>current practices strike an appropriate balance</w:t>
      </w:r>
      <w:r>
        <w:t>.</w:t>
      </w:r>
    </w:p>
    <w:p w14:paraId="5098DCF3" w14:textId="77777777" w:rsidR="00355CBE" w:rsidRPr="005B056F" w:rsidRDefault="00355CBE" w:rsidP="005B056F">
      <w:pPr>
        <w:pStyle w:val="BodyText"/>
      </w:pPr>
    </w:p>
    <w:p w14:paraId="5098DCF4" w14:textId="77777777" w:rsidR="00351430" w:rsidRDefault="00351430" w:rsidP="005B056F">
      <w:pPr>
        <w:pStyle w:val="BodyText"/>
      </w:pPr>
    </w:p>
    <w:p w14:paraId="5098DCF7" w14:textId="77777777" w:rsidR="00942586" w:rsidRPr="005B056F" w:rsidRDefault="00942586" w:rsidP="005B056F">
      <w:pPr>
        <w:pStyle w:val="BodyText"/>
      </w:pPr>
    </w:p>
    <w:p w14:paraId="5098DCFB" w14:textId="77777777" w:rsidR="00942586" w:rsidRPr="005B056F" w:rsidRDefault="00942586" w:rsidP="005B056F">
      <w:pPr>
        <w:pStyle w:val="BodyText"/>
      </w:pPr>
    </w:p>
    <w:p w14:paraId="5098DCFC" w14:textId="77777777" w:rsidR="00B26D25" w:rsidRDefault="00E07F50" w:rsidP="001B6FD4">
      <w:pPr>
        <w:pStyle w:val="BodyText"/>
        <w:spacing w:after="0"/>
      </w:pPr>
      <w:r>
        <w:t>Reserve Bank of Australia</w:t>
      </w:r>
    </w:p>
    <w:sdt>
      <w:sdtPr>
        <w:alias w:val="RBA_Date"/>
        <w:tag w:val="RBA_Date"/>
        <w:id w:val="419838083"/>
        <w:date w:fullDate="2017-09-15T00:00:00Z">
          <w:dateFormat w:val="d MMMM yyyy"/>
          <w:lid w:val="en-AU"/>
          <w:storeMappedDataAs w:val="dateTime"/>
          <w:calendar w:val="gregorian"/>
        </w:date>
      </w:sdtPr>
      <w:sdtEndPr/>
      <w:sdtContent>
        <w:p w14:paraId="31FE1255" w14:textId="77777777" w:rsidR="00B92219" w:rsidRDefault="00B92219" w:rsidP="00B92219">
          <w:pPr>
            <w:pStyle w:val="BodyText"/>
          </w:pPr>
          <w:r>
            <w:t>15 September 2017</w:t>
          </w:r>
        </w:p>
      </w:sdtContent>
    </w:sdt>
    <w:p w14:paraId="6C1CDDE1" w14:textId="7B1204D7" w:rsidR="00B92219" w:rsidRDefault="00B92219">
      <w:pPr>
        <w:rPr>
          <w:sz w:val="21"/>
          <w:szCs w:val="21"/>
        </w:rPr>
      </w:pPr>
      <w:r>
        <w:br w:type="page"/>
      </w:r>
    </w:p>
    <w:p w14:paraId="7D50B49F" w14:textId="77777777" w:rsidR="00B92219" w:rsidRDefault="00B92219" w:rsidP="001B6FD4">
      <w:pPr>
        <w:pStyle w:val="BodyText"/>
        <w:spacing w:after="0"/>
      </w:pPr>
    </w:p>
    <w:bookmarkStart w:id="40" w:name="_Toc378943753" w:displacedByCustomXml="next"/>
    <w:bookmarkStart w:id="41" w:name="_Toc378930650" w:displacedByCustomXml="next"/>
    <w:sdt>
      <w:sdtPr>
        <w:rPr>
          <w:rFonts w:asciiTheme="minorHAnsi" w:hAnsiTheme="minorHAnsi"/>
          <w:b w:val="0"/>
          <w:color w:val="auto"/>
          <w:sz w:val="22"/>
          <w:szCs w:val="22"/>
        </w:rPr>
        <w:id w:val="-1155150312"/>
        <w:docPartObj>
          <w:docPartGallery w:val="Bibliographies"/>
          <w:docPartUnique/>
        </w:docPartObj>
      </w:sdtPr>
      <w:sdtEndPr/>
      <w:sdtContent>
        <w:p w14:paraId="5098DCFE" w14:textId="72A2B898" w:rsidR="00D0165F" w:rsidRPr="00B92219" w:rsidRDefault="00D0165F">
          <w:pPr>
            <w:pStyle w:val="Heading1"/>
            <w:rPr>
              <w:rFonts w:asciiTheme="minorHAnsi" w:hAnsiTheme="minorHAnsi"/>
              <w:b w:val="0"/>
              <w:color w:val="auto"/>
              <w:sz w:val="22"/>
              <w:szCs w:val="22"/>
            </w:rPr>
          </w:pPr>
          <w:r>
            <w:t>References</w:t>
          </w:r>
          <w:bookmarkEnd w:id="41"/>
          <w:bookmarkEnd w:id="40"/>
        </w:p>
        <w:sdt>
          <w:sdtPr>
            <w:id w:val="111145805"/>
            <w:bibliography/>
          </w:sdtPr>
          <w:sdtEndPr/>
          <w:sdtContent>
            <w:p w14:paraId="724FCBD1" w14:textId="77777777" w:rsidR="0018397C" w:rsidRDefault="00D0165F" w:rsidP="0018397C">
              <w:pPr>
                <w:pStyle w:val="Bibliography"/>
                <w:rPr>
                  <w:noProof/>
                </w:rPr>
              </w:pPr>
              <w:r>
                <w:fldChar w:fldCharType="begin"/>
              </w:r>
              <w:r>
                <w:instrText xml:space="preserve"> BIBLIOGRAPHY </w:instrText>
              </w:r>
              <w:r>
                <w:fldChar w:fldCharType="separate"/>
              </w:r>
              <w:r w:rsidR="0018397C">
                <w:rPr>
                  <w:b/>
                  <w:bCs/>
                  <w:noProof/>
                </w:rPr>
                <w:t>Agoraki M, M Delis and F Pasiouras (2011),</w:t>
              </w:r>
              <w:r w:rsidR="0018397C">
                <w:rPr>
                  <w:noProof/>
                </w:rPr>
                <w:t xml:space="preserve"> ‘Regulations, competition and bank risk-taking in transition countries’, </w:t>
              </w:r>
              <w:r w:rsidR="0018397C">
                <w:rPr>
                  <w:i/>
                  <w:iCs/>
                  <w:noProof/>
                </w:rPr>
                <w:t>Journal of Financial Stability</w:t>
              </w:r>
              <w:r w:rsidR="0018397C">
                <w:rPr>
                  <w:noProof/>
                </w:rPr>
                <w:t>, pp 38–48.</w:t>
              </w:r>
            </w:p>
            <w:p w14:paraId="7A4B079C" w14:textId="77777777" w:rsidR="0018397C" w:rsidRDefault="0018397C" w:rsidP="0018397C">
              <w:pPr>
                <w:pStyle w:val="Bibliography"/>
                <w:rPr>
                  <w:noProof/>
                </w:rPr>
              </w:pPr>
              <w:r>
                <w:rPr>
                  <w:b/>
                  <w:bCs/>
                  <w:noProof/>
                </w:rPr>
                <w:t>APRA (2015),</w:t>
              </w:r>
              <w:r>
                <w:rPr>
                  <w:noProof/>
                </w:rPr>
                <w:t xml:space="preserve"> ‘APRA increases capital adequacy requirements for residential mortgage exposures under the internal ratings-based approach’, Media Release No 15.19, 20 July.</w:t>
              </w:r>
            </w:p>
            <w:p w14:paraId="2B6FE116" w14:textId="77777777" w:rsidR="0018397C" w:rsidRDefault="0018397C" w:rsidP="0018397C">
              <w:pPr>
                <w:pStyle w:val="Bibliography"/>
                <w:rPr>
                  <w:noProof/>
                </w:rPr>
              </w:pPr>
              <w:r>
                <w:rPr>
                  <w:b/>
                  <w:bCs/>
                  <w:noProof/>
                </w:rPr>
                <w:t>APRA (2016),</w:t>
              </w:r>
              <w:r>
                <w:rPr>
                  <w:noProof/>
                </w:rPr>
                <w:t xml:space="preserve"> ‘Revised Standard on Securitisation’, November. Available at &lt;http://www.apra.gov.au/MediaReleases/Pages/16_43.aspx&gt;.</w:t>
              </w:r>
            </w:p>
            <w:p w14:paraId="7E1AD4BE" w14:textId="77777777" w:rsidR="0018397C" w:rsidRDefault="0018397C" w:rsidP="0018397C">
              <w:pPr>
                <w:pStyle w:val="Bibliography"/>
                <w:rPr>
                  <w:noProof/>
                </w:rPr>
              </w:pPr>
              <w:r>
                <w:rPr>
                  <w:b/>
                  <w:bCs/>
                  <w:noProof/>
                </w:rPr>
                <w:t>APRA (2017a),</w:t>
              </w:r>
              <w:r>
                <w:rPr>
                  <w:noProof/>
                </w:rPr>
                <w:t xml:space="preserve"> ‘APRA announces ‘unquestionably strong’ capital benchmarks’, Media Release No 17.23, 19 July.</w:t>
              </w:r>
            </w:p>
            <w:p w14:paraId="66606F5D" w14:textId="77777777" w:rsidR="0018397C" w:rsidRDefault="0018397C" w:rsidP="0018397C">
              <w:pPr>
                <w:pStyle w:val="Bibliography"/>
                <w:rPr>
                  <w:noProof/>
                </w:rPr>
              </w:pPr>
              <w:r>
                <w:rPr>
                  <w:b/>
                  <w:bCs/>
                  <w:noProof/>
                </w:rPr>
                <w:t>APRA (2017b),</w:t>
              </w:r>
              <w:r>
                <w:rPr>
                  <w:noProof/>
                </w:rPr>
                <w:t xml:space="preserve"> ‘APRA consults on changes to authorising new entrants to banking industry’, Media Release No 17.31, 15 August. Available at &lt;http://www.apra.gov.au/MediaReleases/Pages/17_31.aspx&gt;.</w:t>
              </w:r>
            </w:p>
            <w:p w14:paraId="1C9D23AC" w14:textId="77777777" w:rsidR="0018397C" w:rsidRDefault="0018397C" w:rsidP="0018397C">
              <w:pPr>
                <w:pStyle w:val="Bibliography"/>
                <w:rPr>
                  <w:noProof/>
                </w:rPr>
              </w:pPr>
              <w:r>
                <w:rPr>
                  <w:b/>
                  <w:bCs/>
                  <w:noProof/>
                </w:rPr>
                <w:t>ASIC (2016),</w:t>
              </w:r>
              <w:r>
                <w:rPr>
                  <w:noProof/>
                </w:rPr>
                <w:t xml:space="preserve"> ‘Survey of marketplace lending providers’, June.</w:t>
              </w:r>
            </w:p>
            <w:p w14:paraId="536E2BA4" w14:textId="77777777" w:rsidR="0018397C" w:rsidRDefault="0018397C" w:rsidP="0018397C">
              <w:pPr>
                <w:pStyle w:val="Bibliography"/>
                <w:rPr>
                  <w:noProof/>
                </w:rPr>
              </w:pPr>
              <w:r>
                <w:rPr>
                  <w:b/>
                  <w:bCs/>
                  <w:noProof/>
                </w:rPr>
                <w:t>Atkin T and B Cheung (2017),</w:t>
              </w:r>
              <w:r>
                <w:rPr>
                  <w:noProof/>
                </w:rPr>
                <w:t xml:space="preserve"> ‘</w:t>
              </w:r>
              <w:hyperlink r:id="rId48" w:history="1">
                <w:r>
                  <w:rPr>
                    <w:rStyle w:val="Hyperlink"/>
                    <w:noProof/>
                  </w:rPr>
                  <w:t>How Have Australian Banks Responded to Tighter Capital and Liquidity Requirements?</w:t>
                </w:r>
              </w:hyperlink>
              <w:r>
                <w:rPr>
                  <w:noProof/>
                </w:rPr>
                <w:t xml:space="preserve">’, RBA </w:t>
              </w:r>
              <w:r>
                <w:rPr>
                  <w:i/>
                  <w:iCs/>
                  <w:noProof/>
                </w:rPr>
                <w:t>Bulletin</w:t>
              </w:r>
              <w:r>
                <w:rPr>
                  <w:noProof/>
                </w:rPr>
                <w:t>, June, pp 41–50.</w:t>
              </w:r>
            </w:p>
            <w:p w14:paraId="448D0839" w14:textId="77777777" w:rsidR="0018397C" w:rsidRDefault="0018397C" w:rsidP="0018397C">
              <w:pPr>
                <w:pStyle w:val="Bibliography"/>
                <w:rPr>
                  <w:noProof/>
                </w:rPr>
              </w:pPr>
              <w:r>
                <w:rPr>
                  <w:b/>
                  <w:bCs/>
                  <w:noProof/>
                </w:rPr>
                <w:t>ATO (2017),</w:t>
              </w:r>
              <w:r>
                <w:rPr>
                  <w:noProof/>
                </w:rPr>
                <w:t xml:space="preserve"> ‘GST – removing the double taxation of digital currency’, 10 July. Available at &lt;https://www.ato.gov.au/General/New-legislation/In-detail/Indirect-taxes/GST/GST---removing-the-double-taxation-of-digital-currency/&gt;.</w:t>
              </w:r>
            </w:p>
            <w:p w14:paraId="71813DC8" w14:textId="77777777" w:rsidR="0018397C" w:rsidRDefault="0018397C" w:rsidP="0018397C">
              <w:pPr>
                <w:pStyle w:val="Bibliography"/>
                <w:rPr>
                  <w:noProof/>
                </w:rPr>
              </w:pPr>
              <w:r>
                <w:rPr>
                  <w:b/>
                  <w:bCs/>
                  <w:noProof/>
                </w:rPr>
                <w:t>Ausubel L (1991),</w:t>
              </w:r>
              <w:r>
                <w:rPr>
                  <w:noProof/>
                </w:rPr>
                <w:t xml:space="preserve"> ‘The Failure of Competition in the Credit Card Market’, </w:t>
              </w:r>
              <w:r>
                <w:rPr>
                  <w:i/>
                  <w:iCs/>
                  <w:noProof/>
                </w:rPr>
                <w:t>The American Economic Review</w:t>
              </w:r>
              <w:r>
                <w:rPr>
                  <w:noProof/>
                </w:rPr>
                <w:t>, 81(1), pp 50–81.</w:t>
              </w:r>
            </w:p>
            <w:p w14:paraId="062C2203" w14:textId="77777777" w:rsidR="0018397C" w:rsidRDefault="0018397C" w:rsidP="0018397C">
              <w:pPr>
                <w:pStyle w:val="Bibliography"/>
                <w:rPr>
                  <w:noProof/>
                </w:rPr>
              </w:pPr>
              <w:r>
                <w:rPr>
                  <w:b/>
                  <w:bCs/>
                  <w:noProof/>
                </w:rPr>
                <w:t>Aylmer C (2016),</w:t>
              </w:r>
              <w:r>
                <w:rPr>
                  <w:noProof/>
                </w:rPr>
                <w:t xml:space="preserve"> ‘</w:t>
              </w:r>
              <w:hyperlink r:id="rId49" w:history="1">
                <w:r>
                  <w:rPr>
                    <w:rStyle w:val="Hyperlink"/>
                    <w:noProof/>
                  </w:rPr>
                  <w:t>Towards a more Transparent Securitisation Market</w:t>
                </w:r>
              </w:hyperlink>
              <w:r>
                <w:rPr>
                  <w:noProof/>
                </w:rPr>
                <w:t>’, Australian Securitisation Conference, Sydney, 22 November.</w:t>
              </w:r>
            </w:p>
            <w:p w14:paraId="66218668" w14:textId="77777777" w:rsidR="0018397C" w:rsidRDefault="0018397C" w:rsidP="0018397C">
              <w:pPr>
                <w:pStyle w:val="Bibliography"/>
                <w:rPr>
                  <w:noProof/>
                </w:rPr>
              </w:pPr>
              <w:r>
                <w:rPr>
                  <w:b/>
                  <w:bCs/>
                  <w:noProof/>
                </w:rPr>
                <w:t>Bank of Japan (2017),</w:t>
              </w:r>
              <w:r>
                <w:rPr>
                  <w:noProof/>
                </w:rPr>
                <w:t xml:space="preserve"> ‘Financial System Report’, April. Available at &lt;https://www.boj.or.jp/en/research/brp/fsr/data/fsr170419a.pdf&gt;.</w:t>
              </w:r>
            </w:p>
            <w:p w14:paraId="2F2E4243" w14:textId="77777777" w:rsidR="0018397C" w:rsidRDefault="0018397C" w:rsidP="0018397C">
              <w:pPr>
                <w:pStyle w:val="Bibliography"/>
                <w:rPr>
                  <w:noProof/>
                </w:rPr>
              </w:pPr>
              <w:r>
                <w:rPr>
                  <w:b/>
                  <w:bCs/>
                  <w:noProof/>
                </w:rPr>
                <w:t>Berger A, L Klapper and R Turk-Ariss (2009),</w:t>
              </w:r>
              <w:r>
                <w:rPr>
                  <w:noProof/>
                </w:rPr>
                <w:t xml:space="preserve"> ‘Bank Competition and Financial Stability’, </w:t>
              </w:r>
              <w:r>
                <w:rPr>
                  <w:i/>
                  <w:iCs/>
                  <w:noProof/>
                </w:rPr>
                <w:t>Journal of Financial Services Research</w:t>
              </w:r>
              <w:r>
                <w:rPr>
                  <w:noProof/>
                </w:rPr>
                <w:t>, 35(2), pp 99–118.</w:t>
              </w:r>
            </w:p>
            <w:p w14:paraId="1CB0CF32" w14:textId="77777777" w:rsidR="0018397C" w:rsidRDefault="0018397C" w:rsidP="0018397C">
              <w:pPr>
                <w:pStyle w:val="Bibliography"/>
                <w:rPr>
                  <w:noProof/>
                </w:rPr>
              </w:pPr>
              <w:r>
                <w:rPr>
                  <w:b/>
                  <w:bCs/>
                  <w:noProof/>
                </w:rPr>
                <w:t>Cheung B (2017),</w:t>
              </w:r>
              <w:r>
                <w:rPr>
                  <w:noProof/>
                </w:rPr>
                <w:t xml:space="preserve"> ‘</w:t>
              </w:r>
              <w:hyperlink r:id="rId50" w:history="1">
                <w:r>
                  <w:rPr>
                    <w:rStyle w:val="Hyperlink"/>
                    <w:noProof/>
                  </w:rPr>
                  <w:t>Developments in Banks’ Funding Costs and Lending Rates</w:t>
                </w:r>
              </w:hyperlink>
              <w:r>
                <w:rPr>
                  <w:noProof/>
                </w:rPr>
                <w:t xml:space="preserve">’, RBA </w:t>
              </w:r>
              <w:r>
                <w:rPr>
                  <w:i/>
                  <w:iCs/>
                  <w:noProof/>
                </w:rPr>
                <w:t>Bulletin</w:t>
              </w:r>
              <w:r>
                <w:rPr>
                  <w:noProof/>
                </w:rPr>
                <w:t>, March, pp 45–50.</w:t>
              </w:r>
            </w:p>
            <w:p w14:paraId="4609763F" w14:textId="77777777" w:rsidR="0018397C" w:rsidRDefault="0018397C" w:rsidP="0018397C">
              <w:pPr>
                <w:pStyle w:val="Bibliography"/>
                <w:rPr>
                  <w:noProof/>
                </w:rPr>
              </w:pPr>
              <w:r>
                <w:rPr>
                  <w:b/>
                  <w:bCs/>
                  <w:noProof/>
                </w:rPr>
                <w:t>Claessens S and L Laeven (2004),</w:t>
              </w:r>
              <w:r>
                <w:rPr>
                  <w:noProof/>
                </w:rPr>
                <w:t xml:space="preserve"> ‘What Drives Bank Competition? Some International Evidence’’, </w:t>
              </w:r>
              <w:r>
                <w:rPr>
                  <w:i/>
                  <w:iCs/>
                  <w:noProof/>
                </w:rPr>
                <w:t>Journal of Money, Credit and Banking</w:t>
              </w:r>
              <w:r>
                <w:rPr>
                  <w:noProof/>
                </w:rPr>
                <w:t>, 36(3), pp 563–583.</w:t>
              </w:r>
            </w:p>
            <w:p w14:paraId="740A3ADB" w14:textId="77777777" w:rsidR="0018397C" w:rsidRDefault="0018397C" w:rsidP="0018397C">
              <w:pPr>
                <w:pStyle w:val="Bibliography"/>
                <w:rPr>
                  <w:noProof/>
                </w:rPr>
              </w:pPr>
              <w:r>
                <w:rPr>
                  <w:b/>
                  <w:bCs/>
                  <w:noProof/>
                </w:rPr>
                <w:t>Davis K (2007),</w:t>
              </w:r>
              <w:r>
                <w:rPr>
                  <w:noProof/>
                </w:rPr>
                <w:t xml:space="preserve"> ‘Banking Concentration, Financial Stability and Public Policy’, in , Proceedings of a Conference, Reserve Bank of Australia.</w:t>
              </w:r>
            </w:p>
            <w:p w14:paraId="4780D9F2" w14:textId="77777777" w:rsidR="0018397C" w:rsidRDefault="0018397C" w:rsidP="0018397C">
              <w:pPr>
                <w:pStyle w:val="Bibliography"/>
                <w:rPr>
                  <w:noProof/>
                </w:rPr>
              </w:pPr>
              <w:r>
                <w:rPr>
                  <w:b/>
                  <w:bCs/>
                  <w:noProof/>
                </w:rPr>
                <w:t>Debelle G (2015),</w:t>
              </w:r>
              <w:r>
                <w:rPr>
                  <w:noProof/>
                </w:rPr>
                <w:t xml:space="preserve"> ‘</w:t>
              </w:r>
              <w:hyperlink r:id="rId51" w:history="1">
                <w:r>
                  <w:rPr>
                    <w:rStyle w:val="Hyperlink"/>
                    <w:noProof/>
                  </w:rPr>
                  <w:t>Some Effects of the New Liquidity Regime</w:t>
                </w:r>
              </w:hyperlink>
              <w:r>
                <w:rPr>
                  <w:noProof/>
                </w:rPr>
                <w:t>’, 28th Australasian Finance and Banking Conference, Sydney, 16 December.</w:t>
              </w:r>
            </w:p>
            <w:p w14:paraId="3535F274" w14:textId="77777777" w:rsidR="0018397C" w:rsidRDefault="0018397C" w:rsidP="0018397C">
              <w:pPr>
                <w:pStyle w:val="Bibliography"/>
                <w:rPr>
                  <w:noProof/>
                </w:rPr>
              </w:pPr>
              <w:r>
                <w:rPr>
                  <w:b/>
                  <w:bCs/>
                  <w:noProof/>
                </w:rPr>
                <w:t>Dell’Ariccia G and R Marquez (2001),</w:t>
              </w:r>
              <w:r>
                <w:rPr>
                  <w:noProof/>
                </w:rPr>
                <w:t xml:space="preserve"> ‘Flight to Quality or to Captivity: Information and Credit Allocation’, IMF Working Paper.</w:t>
              </w:r>
            </w:p>
            <w:p w14:paraId="71A3284D" w14:textId="77777777" w:rsidR="0018397C" w:rsidRDefault="0018397C" w:rsidP="0018397C">
              <w:pPr>
                <w:pStyle w:val="Bibliography"/>
                <w:rPr>
                  <w:noProof/>
                </w:rPr>
              </w:pPr>
              <w:r>
                <w:rPr>
                  <w:b/>
                  <w:bCs/>
                  <w:noProof/>
                </w:rPr>
                <w:t>Dombret A (2016),</w:t>
              </w:r>
              <w:r>
                <w:rPr>
                  <w:noProof/>
                </w:rPr>
                <w:t xml:space="preserve"> ‘Are there too many banks? The banking sector after the financial crisis’, Speech given at the general meeting of the Austrian Society for Bank Research, 27 September.</w:t>
              </w:r>
            </w:p>
            <w:p w14:paraId="1B4DFBD9" w14:textId="77777777" w:rsidR="0018397C" w:rsidRDefault="0018397C" w:rsidP="0018397C">
              <w:pPr>
                <w:pStyle w:val="Bibliography"/>
                <w:rPr>
                  <w:noProof/>
                </w:rPr>
              </w:pPr>
              <w:r>
                <w:rPr>
                  <w:b/>
                  <w:bCs/>
                  <w:noProof/>
                </w:rPr>
                <w:t>Doyle M-A, C Fisher, E Tellez and A Yadav (2017),</w:t>
              </w:r>
              <w:r>
                <w:rPr>
                  <w:noProof/>
                </w:rPr>
                <w:t xml:space="preserve"> ‘</w:t>
              </w:r>
              <w:hyperlink r:id="rId52" w:history="1">
                <w:r>
                  <w:rPr>
                    <w:rStyle w:val="Hyperlink"/>
                    <w:noProof/>
                  </w:rPr>
                  <w:t>How Australians Pay: Evidence from the 2016 Consumer Payments Survey</w:t>
                </w:r>
              </w:hyperlink>
              <w:r>
                <w:rPr>
                  <w:noProof/>
                </w:rPr>
                <w:t>’, RBA Research Discussion Paper No 2017-04.</w:t>
              </w:r>
            </w:p>
            <w:p w14:paraId="19C380A3" w14:textId="77777777" w:rsidR="0018397C" w:rsidRDefault="0018397C" w:rsidP="0018397C">
              <w:pPr>
                <w:pStyle w:val="Bibliography"/>
                <w:rPr>
                  <w:noProof/>
                </w:rPr>
              </w:pPr>
              <w:r>
                <w:rPr>
                  <w:b/>
                  <w:bCs/>
                  <w:noProof/>
                </w:rPr>
                <w:t>Financial System Inquiry (2014),</w:t>
              </w:r>
              <w:r>
                <w:rPr>
                  <w:noProof/>
                </w:rPr>
                <w:t xml:space="preserve"> ‘Financial System Inquiry Final Report’, November. Available at &lt;http://fsi.gov.au/publications/final-report/&gt;.</w:t>
              </w:r>
            </w:p>
            <w:p w14:paraId="7C2AA7A8" w14:textId="77777777" w:rsidR="0018397C" w:rsidRDefault="0018397C" w:rsidP="0018397C">
              <w:pPr>
                <w:pStyle w:val="Bibliography"/>
                <w:rPr>
                  <w:noProof/>
                </w:rPr>
              </w:pPr>
              <w:r>
                <w:rPr>
                  <w:b/>
                  <w:bCs/>
                  <w:noProof/>
                </w:rPr>
                <w:t>Fitzpatrick A and B Lien (2013),</w:t>
              </w:r>
              <w:r>
                <w:rPr>
                  <w:noProof/>
                </w:rPr>
                <w:t xml:space="preserve"> ‘The Use of Trade Credit by Businesses’, RBA </w:t>
              </w:r>
              <w:r>
                <w:rPr>
                  <w:i/>
                  <w:iCs/>
                  <w:noProof/>
                </w:rPr>
                <w:t>RBA Bulletin</w:t>
              </w:r>
              <w:r>
                <w:rPr>
                  <w:noProof/>
                </w:rPr>
                <w:t>, September, pp 39–46.</w:t>
              </w:r>
            </w:p>
            <w:p w14:paraId="0B6ECBF3" w14:textId="77777777" w:rsidR="0018397C" w:rsidRDefault="0018397C" w:rsidP="0018397C">
              <w:pPr>
                <w:pStyle w:val="Bibliography"/>
                <w:rPr>
                  <w:noProof/>
                </w:rPr>
              </w:pPr>
              <w:r>
                <w:rPr>
                  <w:b/>
                  <w:bCs/>
                  <w:noProof/>
                </w:rPr>
                <w:t>Fitzpatrick R and G White (2017),</w:t>
              </w:r>
              <w:r>
                <w:rPr>
                  <w:noProof/>
                </w:rPr>
                <w:t xml:space="preserve"> ‘</w:t>
              </w:r>
              <w:hyperlink r:id="rId53" w:history="1">
                <w:r>
                  <w:rPr>
                    <w:rStyle w:val="Hyperlink"/>
                    <w:noProof/>
                  </w:rPr>
                  <w:t>Banking Fees in Australia</w:t>
                </w:r>
              </w:hyperlink>
              <w:r>
                <w:rPr>
                  <w:noProof/>
                </w:rPr>
                <w:t xml:space="preserve">’, RBA </w:t>
              </w:r>
              <w:r>
                <w:rPr>
                  <w:i/>
                  <w:iCs/>
                  <w:noProof/>
                </w:rPr>
                <w:t>Bulletin</w:t>
              </w:r>
              <w:r>
                <w:rPr>
                  <w:noProof/>
                </w:rPr>
                <w:t>, June, pp 35–40.</w:t>
              </w:r>
            </w:p>
            <w:p w14:paraId="3492DCC1" w14:textId="77777777" w:rsidR="0018397C" w:rsidRDefault="0018397C" w:rsidP="0018397C">
              <w:pPr>
                <w:pStyle w:val="Bibliography"/>
                <w:rPr>
                  <w:noProof/>
                </w:rPr>
              </w:pPr>
              <w:r>
                <w:rPr>
                  <w:b/>
                  <w:bCs/>
                  <w:noProof/>
                </w:rPr>
                <w:t>Fraser B (1994),</w:t>
              </w:r>
              <w:r>
                <w:rPr>
                  <w:noProof/>
                </w:rPr>
                <w:t xml:space="preserve"> ‘Foreign Banks in Australia’, Talk to the Overseas Bankers’ Association of Australia, Melbourne.</w:t>
              </w:r>
            </w:p>
            <w:p w14:paraId="012BA9CA" w14:textId="77777777" w:rsidR="0018397C" w:rsidRDefault="0018397C" w:rsidP="0018397C">
              <w:pPr>
                <w:pStyle w:val="Bibliography"/>
                <w:rPr>
                  <w:noProof/>
                </w:rPr>
              </w:pPr>
              <w:r>
                <w:rPr>
                  <w:b/>
                  <w:bCs/>
                  <w:noProof/>
                </w:rPr>
                <w:t>Guthrie G and J Wright (2007),</w:t>
              </w:r>
              <w:r>
                <w:rPr>
                  <w:noProof/>
                </w:rPr>
                <w:t xml:space="preserve"> ‘Competing Payment Schemes’, </w:t>
              </w:r>
              <w:r>
                <w:rPr>
                  <w:i/>
                  <w:iCs/>
                  <w:noProof/>
                </w:rPr>
                <w:t>Journal of Industrial Economics</w:t>
              </w:r>
              <w:r>
                <w:rPr>
                  <w:noProof/>
                </w:rPr>
                <w:t>, 55(1), pp 37–67.</w:t>
              </w:r>
            </w:p>
            <w:p w14:paraId="031D5D6A" w14:textId="77777777" w:rsidR="0018397C" w:rsidRDefault="0018397C" w:rsidP="0018397C">
              <w:pPr>
                <w:pStyle w:val="Bibliography"/>
                <w:rPr>
                  <w:noProof/>
                </w:rPr>
              </w:pPr>
              <w:r>
                <w:rPr>
                  <w:b/>
                  <w:bCs/>
                  <w:noProof/>
                </w:rPr>
                <w:t>House of Representatives (2016),</w:t>
              </w:r>
              <w:r>
                <w:rPr>
                  <w:noProof/>
                </w:rPr>
                <w:t xml:space="preserve"> ‘Review of the Four Major Banks: First Report’, Standing Committee on Economics, November.</w:t>
              </w:r>
            </w:p>
            <w:p w14:paraId="18955360" w14:textId="77777777" w:rsidR="0018397C" w:rsidRDefault="0018397C" w:rsidP="0018397C">
              <w:pPr>
                <w:pStyle w:val="Bibliography"/>
                <w:rPr>
                  <w:noProof/>
                </w:rPr>
              </w:pPr>
              <w:r>
                <w:rPr>
                  <w:b/>
                  <w:bCs/>
                  <w:noProof/>
                </w:rPr>
                <w:t>Hughes J, L Mester and C Moon (2001),</w:t>
              </w:r>
              <w:r>
                <w:rPr>
                  <w:noProof/>
                </w:rPr>
                <w:t xml:space="preserve"> ‘re scale economies in banking elusive or illusive?: Evidence obtained by incorporating capital structure and risk-taking into models of bank production’, </w:t>
              </w:r>
              <w:r>
                <w:rPr>
                  <w:i/>
                  <w:iCs/>
                  <w:noProof/>
                </w:rPr>
                <w:t>Journal of Banking &amp; Finance</w:t>
              </w:r>
              <w:r>
                <w:rPr>
                  <w:noProof/>
                </w:rPr>
                <w:t>, 25(12), pp 2169–2208.</w:t>
              </w:r>
            </w:p>
            <w:p w14:paraId="33AC3AC4" w14:textId="77777777" w:rsidR="0018397C" w:rsidRDefault="0018397C" w:rsidP="0018397C">
              <w:pPr>
                <w:pStyle w:val="Bibliography"/>
                <w:rPr>
                  <w:noProof/>
                </w:rPr>
              </w:pPr>
              <w:r>
                <w:rPr>
                  <w:b/>
                  <w:bCs/>
                  <w:noProof/>
                </w:rPr>
                <w:t>Jayaratne, S J and P (1998),</w:t>
              </w:r>
              <w:r>
                <w:rPr>
                  <w:noProof/>
                </w:rPr>
                <w:t xml:space="preserve"> ‘Entry Restrictions, Industry Evolution, and Dynamic Efficiency: Evidence From Commercial Banking’, </w:t>
              </w:r>
              <w:r>
                <w:rPr>
                  <w:i/>
                  <w:iCs/>
                  <w:noProof/>
                </w:rPr>
                <w:t>The Journal of Law &amp; Economics</w:t>
              </w:r>
              <w:r>
                <w:rPr>
                  <w:noProof/>
                </w:rPr>
                <w:t>, 41(1), pp 239–274.</w:t>
              </w:r>
            </w:p>
            <w:p w14:paraId="715734D3" w14:textId="77777777" w:rsidR="0018397C" w:rsidRDefault="0018397C" w:rsidP="0018397C">
              <w:pPr>
                <w:pStyle w:val="Bibliography"/>
                <w:rPr>
                  <w:noProof/>
                </w:rPr>
              </w:pPr>
              <w:r>
                <w:rPr>
                  <w:b/>
                  <w:bCs/>
                  <w:noProof/>
                </w:rPr>
                <w:t>Kent C (2017),</w:t>
              </w:r>
              <w:r>
                <w:rPr>
                  <w:noProof/>
                </w:rPr>
                <w:t xml:space="preserve"> ‘Some Innovative Mortgage Data’, in , Moody’s Analytics Australia Conference 2017, Sydney.</w:t>
              </w:r>
            </w:p>
            <w:p w14:paraId="39926D04" w14:textId="77777777" w:rsidR="0018397C" w:rsidRDefault="0018397C" w:rsidP="0018397C">
              <w:pPr>
                <w:pStyle w:val="Bibliography"/>
                <w:rPr>
                  <w:noProof/>
                </w:rPr>
              </w:pPr>
              <w:r>
                <w:rPr>
                  <w:b/>
                  <w:bCs/>
                  <w:noProof/>
                </w:rPr>
                <w:t>RBA (2006),</w:t>
              </w:r>
              <w:r>
                <w:rPr>
                  <w:noProof/>
                </w:rPr>
                <w:t xml:space="preserve"> ‘</w:t>
              </w:r>
              <w:hyperlink r:id="rId54" w:history="1">
                <w:r>
                  <w:rPr>
                    <w:rStyle w:val="Hyperlink"/>
                    <w:noProof/>
                  </w:rPr>
                  <w:t>The Structure of the Australian Financial System</w:t>
                </w:r>
              </w:hyperlink>
              <w:r>
                <w:rPr>
                  <w:noProof/>
                </w:rPr>
                <w:t xml:space="preserve">’, </w:t>
              </w:r>
              <w:r>
                <w:rPr>
                  <w:i/>
                  <w:iCs/>
                  <w:noProof/>
                </w:rPr>
                <w:t>Financial Stability Review</w:t>
              </w:r>
              <w:r>
                <w:rPr>
                  <w:noProof/>
                </w:rPr>
                <w:t>, March, pp 49–61.</w:t>
              </w:r>
            </w:p>
            <w:p w14:paraId="416CF2F7" w14:textId="77777777" w:rsidR="0018397C" w:rsidRDefault="0018397C" w:rsidP="0018397C">
              <w:pPr>
                <w:pStyle w:val="Bibliography"/>
                <w:rPr>
                  <w:noProof/>
                </w:rPr>
              </w:pPr>
              <w:r>
                <w:rPr>
                  <w:b/>
                  <w:bCs/>
                  <w:noProof/>
                </w:rPr>
                <w:t>RBA (2011),</w:t>
              </w:r>
              <w:r>
                <w:rPr>
                  <w:noProof/>
                </w:rPr>
                <w:t xml:space="preserve"> ‘</w:t>
              </w:r>
              <w:hyperlink r:id="rId55" w:history="1">
                <w:r>
                  <w:rPr>
                    <w:rStyle w:val="Hyperlink"/>
                    <w:noProof/>
                  </w:rPr>
                  <w:t>Strategic Review of Innovation in the Payments System</w:t>
                </w:r>
              </w:hyperlink>
              <w:r>
                <w:rPr>
                  <w:noProof/>
                </w:rPr>
                <w:t>’, June.</w:t>
              </w:r>
            </w:p>
            <w:p w14:paraId="0BB1D6A2" w14:textId="77777777" w:rsidR="0018397C" w:rsidRDefault="0018397C" w:rsidP="0018397C">
              <w:pPr>
                <w:pStyle w:val="Bibliography"/>
                <w:rPr>
                  <w:noProof/>
                </w:rPr>
              </w:pPr>
              <w:r>
                <w:rPr>
                  <w:b/>
                  <w:bCs/>
                  <w:noProof/>
                </w:rPr>
                <w:t>RBA (2012),</w:t>
              </w:r>
              <w:r>
                <w:rPr>
                  <w:noProof/>
                </w:rPr>
                <w:t xml:space="preserve"> ‘</w:t>
              </w:r>
              <w:hyperlink r:id="rId56" w:history="1">
                <w:r>
                  <w:rPr>
                    <w:rStyle w:val="Hyperlink"/>
                    <w:noProof/>
                  </w:rPr>
                  <w:t>Strategic Review of Innovation in the Payments System: Conclusions</w:t>
                </w:r>
              </w:hyperlink>
              <w:r>
                <w:rPr>
                  <w:noProof/>
                </w:rPr>
                <w:t>’, June.</w:t>
              </w:r>
            </w:p>
            <w:p w14:paraId="4083C3B7" w14:textId="77777777" w:rsidR="0018397C" w:rsidRDefault="0018397C" w:rsidP="0018397C">
              <w:pPr>
                <w:pStyle w:val="Bibliography"/>
                <w:rPr>
                  <w:noProof/>
                </w:rPr>
              </w:pPr>
              <w:r>
                <w:rPr>
                  <w:b/>
                  <w:bCs/>
                  <w:noProof/>
                </w:rPr>
                <w:t>RBA (2013),</w:t>
              </w:r>
              <w:r>
                <w:rPr>
                  <w:noProof/>
                </w:rPr>
                <w:t xml:space="preserve"> ‘Dual-network Debit Cards’, Media Release No 2013-16, 21 August. Available at &lt;https://www.rba.gov.au/media-releases/2013/mr-13-16.html&gt;.</w:t>
              </w:r>
            </w:p>
            <w:p w14:paraId="19F82C88" w14:textId="77777777" w:rsidR="0018397C" w:rsidRDefault="0018397C" w:rsidP="0018397C">
              <w:pPr>
                <w:pStyle w:val="Bibliography"/>
                <w:rPr>
                  <w:noProof/>
                </w:rPr>
              </w:pPr>
              <w:r>
                <w:rPr>
                  <w:b/>
                  <w:bCs/>
                  <w:noProof/>
                </w:rPr>
                <w:t>RBA (2014a),</w:t>
              </w:r>
              <w:r>
                <w:rPr>
                  <w:noProof/>
                </w:rPr>
                <w:t xml:space="preserve"> ‘Box B: Australian Major Banks’ Cost-to-income Ratios’, </w:t>
              </w:r>
              <w:r>
                <w:rPr>
                  <w:i/>
                  <w:iCs/>
                  <w:noProof/>
                </w:rPr>
                <w:t>Financial Stability Review</w:t>
              </w:r>
              <w:r>
                <w:rPr>
                  <w:noProof/>
                </w:rPr>
                <w:t>, September, pp 35–38.</w:t>
              </w:r>
            </w:p>
            <w:p w14:paraId="60D12A35" w14:textId="77777777" w:rsidR="0018397C" w:rsidRDefault="0018397C" w:rsidP="0018397C">
              <w:pPr>
                <w:pStyle w:val="Bibliography"/>
                <w:rPr>
                  <w:noProof/>
                </w:rPr>
              </w:pPr>
              <w:r>
                <w:rPr>
                  <w:b/>
                  <w:bCs/>
                  <w:noProof/>
                </w:rPr>
                <w:t>RBA (2014b),</w:t>
              </w:r>
              <w:r>
                <w:rPr>
                  <w:noProof/>
                </w:rPr>
                <w:t xml:space="preserve"> ‘Submission to the Financial System Inquiry’, March.</w:t>
              </w:r>
            </w:p>
            <w:p w14:paraId="534D140F" w14:textId="77777777" w:rsidR="0018397C" w:rsidRDefault="0018397C" w:rsidP="0018397C">
              <w:pPr>
                <w:pStyle w:val="Bibliography"/>
                <w:rPr>
                  <w:noProof/>
                </w:rPr>
              </w:pPr>
              <w:r>
                <w:rPr>
                  <w:b/>
                  <w:bCs/>
                  <w:noProof/>
                </w:rPr>
                <w:t>RBA (2015a),</w:t>
              </w:r>
              <w:r>
                <w:rPr>
                  <w:noProof/>
                </w:rPr>
                <w:t xml:space="preserve"> ‘</w:t>
              </w:r>
              <w:hyperlink r:id="rId57" w:history="1">
                <w:r>
                  <w:rPr>
                    <w:rStyle w:val="Hyperlink"/>
                    <w:noProof/>
                  </w:rPr>
                  <w:t>Box C The Regulatory Capital Framework for Residential Mortgages</w:t>
                </w:r>
              </w:hyperlink>
              <w:r>
                <w:rPr>
                  <w:noProof/>
                </w:rPr>
                <w:t xml:space="preserve">’, </w:t>
              </w:r>
              <w:r>
                <w:rPr>
                  <w:i/>
                  <w:iCs/>
                  <w:noProof/>
                </w:rPr>
                <w:t>Financial Stability Review</w:t>
              </w:r>
              <w:r>
                <w:rPr>
                  <w:noProof/>
                </w:rPr>
                <w:t>, October, pp 52–55.</w:t>
              </w:r>
            </w:p>
            <w:p w14:paraId="4F07775D" w14:textId="77777777" w:rsidR="0018397C" w:rsidRDefault="0018397C" w:rsidP="0018397C">
              <w:pPr>
                <w:pStyle w:val="Bibliography"/>
                <w:rPr>
                  <w:noProof/>
                </w:rPr>
              </w:pPr>
              <w:r>
                <w:rPr>
                  <w:b/>
                  <w:bCs/>
                  <w:noProof/>
                </w:rPr>
                <w:t>RBA (2015b),</w:t>
              </w:r>
              <w:r>
                <w:rPr>
                  <w:noProof/>
                </w:rPr>
                <w:t xml:space="preserve"> ‘</w:t>
              </w:r>
              <w:hyperlink r:id="rId58" w:history="1">
                <w:r>
                  <w:rPr>
                    <w:rStyle w:val="Hyperlink"/>
                    <w:noProof/>
                  </w:rPr>
                  <w:t>Review of Card Payments Regulation</w:t>
                </w:r>
              </w:hyperlink>
              <w:r>
                <w:rPr>
                  <w:noProof/>
                </w:rPr>
                <w:t>’, March.</w:t>
              </w:r>
            </w:p>
            <w:p w14:paraId="6C7B048C" w14:textId="77777777" w:rsidR="0018397C" w:rsidRDefault="0018397C" w:rsidP="0018397C">
              <w:pPr>
                <w:pStyle w:val="Bibliography"/>
                <w:rPr>
                  <w:noProof/>
                </w:rPr>
              </w:pPr>
              <w:r>
                <w:rPr>
                  <w:b/>
                  <w:bCs/>
                  <w:noProof/>
                </w:rPr>
                <w:t>RBA (2015c),</w:t>
              </w:r>
              <w:r>
                <w:rPr>
                  <w:noProof/>
                </w:rPr>
                <w:t xml:space="preserve"> ‘</w:t>
              </w:r>
              <w:hyperlink r:id="rId59" w:history="1">
                <w:r>
                  <w:rPr>
                    <w:rStyle w:val="Hyperlink"/>
                    <w:noProof/>
                  </w:rPr>
                  <w:t>Submission to the Senate Inquiry into Matters Relating to Credit Card Interest Rates</w:t>
                </w:r>
              </w:hyperlink>
              <w:r>
                <w:rPr>
                  <w:noProof/>
                </w:rPr>
                <w:t>’, August.</w:t>
              </w:r>
            </w:p>
            <w:p w14:paraId="466A5FED" w14:textId="77777777" w:rsidR="0018397C" w:rsidRDefault="0018397C" w:rsidP="0018397C">
              <w:pPr>
                <w:pStyle w:val="Bibliography"/>
                <w:rPr>
                  <w:noProof/>
                </w:rPr>
              </w:pPr>
              <w:r>
                <w:rPr>
                  <w:b/>
                  <w:bCs/>
                  <w:noProof/>
                </w:rPr>
                <w:t>RBA (2016a),</w:t>
              </w:r>
              <w:r>
                <w:rPr>
                  <w:noProof/>
                </w:rPr>
                <w:t xml:space="preserve"> ‘</w:t>
              </w:r>
              <w:hyperlink r:id="rId60" w:history="1">
                <w:r>
                  <w:rPr>
                    <w:rStyle w:val="Hyperlink"/>
                    <w:noProof/>
                  </w:rPr>
                  <w:t>Dual-Network Cards and Mobile Wallet Technology</w:t>
                </w:r>
              </w:hyperlink>
              <w:r>
                <w:rPr>
                  <w:noProof/>
                </w:rPr>
                <w:t>’, December.</w:t>
              </w:r>
            </w:p>
            <w:p w14:paraId="79EEE4AE" w14:textId="77777777" w:rsidR="0018397C" w:rsidRDefault="0018397C" w:rsidP="0018397C">
              <w:pPr>
                <w:pStyle w:val="Bibliography"/>
                <w:rPr>
                  <w:noProof/>
                </w:rPr>
              </w:pPr>
              <w:r>
                <w:rPr>
                  <w:b/>
                  <w:bCs/>
                  <w:noProof/>
                </w:rPr>
                <w:t>RBA (2016b),</w:t>
              </w:r>
              <w:r>
                <w:rPr>
                  <w:noProof/>
                </w:rPr>
                <w:t xml:space="preserve"> ‘</w:t>
              </w:r>
              <w:hyperlink r:id="rId61" w:history="1">
                <w:r>
                  <w:rPr>
                    <w:rStyle w:val="Hyperlink"/>
                    <w:noProof/>
                  </w:rPr>
                  <w:t>Review of Card Payments Regulation: Conclusions Paper</w:t>
                </w:r>
              </w:hyperlink>
              <w:r>
                <w:rPr>
                  <w:noProof/>
                </w:rPr>
                <w:t>’, May.</w:t>
              </w:r>
            </w:p>
            <w:p w14:paraId="5CC7E264" w14:textId="77777777" w:rsidR="0018397C" w:rsidRDefault="0018397C" w:rsidP="0018397C">
              <w:pPr>
                <w:pStyle w:val="Bibliography"/>
                <w:rPr>
                  <w:noProof/>
                </w:rPr>
              </w:pPr>
              <w:r>
                <w:rPr>
                  <w:b/>
                  <w:bCs/>
                  <w:noProof/>
                </w:rPr>
                <w:t>RBA (2017),</w:t>
              </w:r>
              <w:r>
                <w:rPr>
                  <w:noProof/>
                </w:rPr>
                <w:t xml:space="preserve"> ‘Payments System Board Update: May 2017 Meeting’, Media Release No 201-10, 19 May. Available at &lt;https://www.rba.gov.au/media-releases/2017/mr-17-10.html&gt;.</w:t>
              </w:r>
            </w:p>
            <w:p w14:paraId="7B4507D7" w14:textId="77777777" w:rsidR="0018397C" w:rsidRDefault="0018397C" w:rsidP="0018397C">
              <w:pPr>
                <w:pStyle w:val="Bibliography"/>
                <w:rPr>
                  <w:noProof/>
                </w:rPr>
              </w:pPr>
              <w:r>
                <w:rPr>
                  <w:b/>
                  <w:bCs/>
                  <w:noProof/>
                </w:rPr>
                <w:t>Simon J and A Moore (2015),</w:t>
              </w:r>
              <w:r>
                <w:rPr>
                  <w:noProof/>
                </w:rPr>
                <w:t xml:space="preserve"> ‘Small business Conditions and Finance’, in , Proceedings of a Conference, Reserve Bank of Australia, Sydney.</w:t>
              </w:r>
            </w:p>
            <w:p w14:paraId="224ACA6E" w14:textId="77777777" w:rsidR="0018397C" w:rsidRDefault="0018397C" w:rsidP="0018397C">
              <w:pPr>
                <w:pStyle w:val="Bibliography"/>
                <w:rPr>
                  <w:noProof/>
                </w:rPr>
              </w:pPr>
              <w:r>
                <w:rPr>
                  <w:b/>
                  <w:bCs/>
                  <w:noProof/>
                </w:rPr>
                <w:t>Stewart C, B Robertson and A Heath (2013),</w:t>
              </w:r>
              <w:r>
                <w:rPr>
                  <w:noProof/>
                </w:rPr>
                <w:t xml:space="preserve"> ‘</w:t>
              </w:r>
              <w:hyperlink r:id="rId62" w:history="1">
                <w:r>
                  <w:rPr>
                    <w:rStyle w:val="Hyperlink"/>
                    <w:noProof/>
                  </w:rPr>
                  <w:t>Trends in the Funding and Lending Behaviour of Australian Banks</w:t>
                </w:r>
              </w:hyperlink>
              <w:r>
                <w:rPr>
                  <w:noProof/>
                </w:rPr>
                <w:t>’, RBA Research Discussion Paper No 5.</w:t>
              </w:r>
            </w:p>
            <w:p w14:paraId="2A449316" w14:textId="77777777" w:rsidR="0018397C" w:rsidRDefault="0018397C" w:rsidP="0018397C">
              <w:pPr>
                <w:pStyle w:val="Bibliography"/>
                <w:rPr>
                  <w:noProof/>
                </w:rPr>
              </w:pPr>
              <w:r>
                <w:rPr>
                  <w:b/>
                  <w:bCs/>
                  <w:noProof/>
                </w:rPr>
                <w:t>The Australian Government (2015),</w:t>
              </w:r>
              <w:r>
                <w:rPr>
                  <w:noProof/>
                </w:rPr>
                <w:t xml:space="preserve"> ‘Improving Australia’s Financial System, Government response to the Financial System Inquiry’, October.</w:t>
              </w:r>
            </w:p>
            <w:p w14:paraId="23CB8484" w14:textId="77777777" w:rsidR="0018397C" w:rsidRDefault="0018397C" w:rsidP="0018397C">
              <w:pPr>
                <w:pStyle w:val="Bibliography"/>
                <w:rPr>
                  <w:noProof/>
                </w:rPr>
              </w:pPr>
              <w:r>
                <w:rPr>
                  <w:b/>
                  <w:bCs/>
                  <w:noProof/>
                </w:rPr>
                <w:t>The Australian Government (2017),</w:t>
              </w:r>
              <w:r>
                <w:rPr>
                  <w:noProof/>
                </w:rPr>
                <w:t xml:space="preserve"> ‘Building an accountable and competitive banking system’, 9 May. Available at &lt;http://sjm.ministers.treasury.gov.au/media-release/044-2017/&gt;.</w:t>
              </w:r>
            </w:p>
            <w:p w14:paraId="51A78768" w14:textId="77777777" w:rsidR="0018397C" w:rsidRDefault="0018397C" w:rsidP="0018397C">
              <w:pPr>
                <w:pStyle w:val="Bibliography"/>
                <w:rPr>
                  <w:noProof/>
                </w:rPr>
              </w:pPr>
              <w:r>
                <w:rPr>
                  <w:b/>
                  <w:bCs/>
                  <w:noProof/>
                </w:rPr>
                <w:t>The Treasury (2017),</w:t>
              </w:r>
              <w:r>
                <w:rPr>
                  <w:noProof/>
                </w:rPr>
                <w:t xml:space="preserve"> ‘Review into open banking in Australia’. Available at &lt;https://treasury.gov.au/review/review-into-open-banking-in-australia/&gt;.</w:t>
              </w:r>
            </w:p>
            <w:p w14:paraId="23027740" w14:textId="77777777" w:rsidR="0018397C" w:rsidRDefault="0018397C" w:rsidP="0018397C">
              <w:pPr>
                <w:pStyle w:val="Bibliography"/>
                <w:rPr>
                  <w:noProof/>
                </w:rPr>
              </w:pPr>
              <w:r>
                <w:rPr>
                  <w:b/>
                  <w:bCs/>
                  <w:noProof/>
                </w:rPr>
                <w:t>Wilkins K, G Gardner and B Chapman (2016),</w:t>
              </w:r>
              <w:r>
                <w:rPr>
                  <w:noProof/>
                </w:rPr>
                <w:t xml:space="preserve"> ‘</w:t>
              </w:r>
              <w:hyperlink r:id="rId63" w:history="1">
                <w:r>
                  <w:rPr>
                    <w:rStyle w:val="Hyperlink"/>
                    <w:noProof/>
                  </w:rPr>
                  <w:t>Developments in Banks’ Funding Costs and Lending Rates</w:t>
                </w:r>
              </w:hyperlink>
              <w:r>
                <w:rPr>
                  <w:noProof/>
                </w:rPr>
                <w:t xml:space="preserve">’, RBA </w:t>
              </w:r>
              <w:r>
                <w:rPr>
                  <w:i/>
                  <w:iCs/>
                  <w:noProof/>
                </w:rPr>
                <w:t>Bulletin</w:t>
              </w:r>
              <w:r>
                <w:rPr>
                  <w:noProof/>
                </w:rPr>
                <w:t>, March, pp 21–30.</w:t>
              </w:r>
            </w:p>
            <w:p w14:paraId="5098DCFF" w14:textId="77777777" w:rsidR="00D0165F" w:rsidRDefault="00D0165F" w:rsidP="0018397C">
              <w:r>
                <w:rPr>
                  <w:b/>
                  <w:bCs/>
                  <w:noProof/>
                </w:rPr>
                <w:fldChar w:fldCharType="end"/>
              </w:r>
            </w:p>
          </w:sdtContent>
        </w:sdt>
      </w:sdtContent>
    </w:sdt>
    <w:sectPr w:rsidR="00D0165F" w:rsidSect="00942586">
      <w:footerReference w:type="even" r:id="rId64"/>
      <w:footerReference w:type="default" r:id="rId65"/>
      <w:headerReference w:type="first" r:id="rId66"/>
      <w:footerReference w:type="first" r:id="rId67"/>
      <w:pgSz w:w="11906" w:h="16838"/>
      <w:pgMar w:top="1701" w:right="1588" w:bottom="1418"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A9E1" w14:textId="77777777" w:rsidR="0023577A" w:rsidRDefault="0023577A" w:rsidP="009A6955">
      <w:pPr>
        <w:spacing w:after="0" w:line="240" w:lineRule="auto"/>
      </w:pPr>
      <w:r>
        <w:separator/>
      </w:r>
    </w:p>
    <w:p w14:paraId="54D0DDED" w14:textId="77777777" w:rsidR="0023577A" w:rsidRDefault="0023577A"/>
  </w:endnote>
  <w:endnote w:type="continuationSeparator" w:id="0">
    <w:p w14:paraId="57DF550C" w14:textId="77777777" w:rsidR="0023577A" w:rsidRDefault="0023577A" w:rsidP="009A6955">
      <w:pPr>
        <w:spacing w:after="0" w:line="240" w:lineRule="auto"/>
      </w:pPr>
      <w:r>
        <w:continuationSeparator/>
      </w:r>
    </w:p>
    <w:p w14:paraId="2DCE99C8" w14:textId="77777777" w:rsidR="0023577A" w:rsidRDefault="0023577A"/>
  </w:endnote>
  <w:endnote w:type="continuationNotice" w:id="1">
    <w:p w14:paraId="7910EFCC" w14:textId="77777777" w:rsidR="0023577A" w:rsidRDefault="00235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yriad Pro Light">
    <w:altName w:val="Times New Roman"/>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DD19" w14:textId="77777777" w:rsidR="00543236" w:rsidRPr="00895C6A" w:rsidRDefault="00543236" w:rsidP="00895C6A">
    <w:pPr>
      <w:pStyle w:val="Footer"/>
    </w:pPr>
    <w:r w:rsidRPr="00895C6A">
      <w:fldChar w:fldCharType="begin"/>
    </w:r>
    <w:r w:rsidRPr="00895C6A">
      <w:instrText xml:space="preserve"> PAGE </w:instrText>
    </w:r>
    <w:r w:rsidRPr="00895C6A">
      <w:fldChar w:fldCharType="separate"/>
    </w:r>
    <w:r w:rsidR="00F67AEB">
      <w:rPr>
        <w:noProof/>
      </w:rPr>
      <w:t>2</w:t>
    </w:r>
    <w:r w:rsidRPr="00895C6A">
      <w:fldChar w:fldCharType="end"/>
    </w:r>
    <w:r>
      <w:t xml:space="preserve">  </w:t>
    </w:r>
    <w:r w:rsidRPr="005B056F">
      <w:rPr>
        <w:b/>
      </w:rPr>
      <w:t>RESERVE BANK OF AUSTRALIA</w:t>
    </w:r>
    <w:r w:rsidRPr="00895C6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DD1A" w14:textId="0ECA054B" w:rsidR="00543236" w:rsidRPr="005B056F" w:rsidRDefault="00543236" w:rsidP="005B056F">
    <w:pPr>
      <w:pStyle w:val="Footer"/>
    </w:pPr>
    <w:r>
      <w:rPr>
        <w:color w:val="007698"/>
        <w:spacing w:val="-2"/>
        <w:lang w:eastAsia="en-US"/>
      </w:rPr>
      <w:tab/>
    </w:r>
    <w:r>
      <w:rPr>
        <w:color w:val="007698"/>
        <w:spacing w:val="-2"/>
        <w:lang w:eastAsia="en-US"/>
      </w:rPr>
      <w:tab/>
    </w:r>
    <w:sdt>
      <w:sdtPr>
        <w:rPr>
          <w:caps/>
          <w:color w:val="007698"/>
          <w:spacing w:val="-2"/>
          <w:lang w:eastAsia="en-US"/>
        </w:rPr>
        <w:alias w:val="Title"/>
        <w:tag w:val=""/>
        <w:id w:val="2034307599"/>
        <w:dataBinding w:prefixMappings="xmlns:ns0='http://purl.org/dc/elements/1.1/' xmlns:ns1='http://schemas.openxmlformats.org/package/2006/metadata/core-properties' " w:xpath="/ns1:coreProperties[1]/ns0:title[1]" w:storeItemID="{6C3C8BC8-F283-45AE-878A-BAB7291924A1}"/>
        <w:text/>
      </w:sdtPr>
      <w:sdtEndPr/>
      <w:sdtContent>
        <w:r w:rsidR="00F67AEB">
          <w:rPr>
            <w:caps/>
            <w:color w:val="007698"/>
            <w:spacing w:val="-2"/>
            <w:lang w:eastAsia="en-US"/>
          </w:rPr>
          <w:t>Submission 29 - Reserve Bank of Australia (RBA) - Competition in the Australian Financial System - Public inquiry</w:t>
        </w:r>
      </w:sdtContent>
    </w:sdt>
    <w:r w:rsidRPr="00880E01">
      <w:rPr>
        <w:color w:val="007698"/>
        <w:lang w:val="en-US" w:eastAsia="en-US"/>
      </w:rPr>
      <w:t xml:space="preserve"> </w:t>
    </w:r>
    <w:r w:rsidRPr="00590767">
      <w:rPr>
        <w:color w:val="007698"/>
        <w:lang w:val="en-US" w:eastAsia="en-US"/>
      </w:rPr>
      <w:t>|</w:t>
    </w:r>
    <w:r>
      <w:rPr>
        <w:lang w:val="en-US" w:eastAsia="en-US"/>
      </w:rPr>
      <w:t xml:space="preserve"> </w:t>
    </w:r>
    <w:r>
      <w:rPr>
        <w:lang w:val="en-US" w:eastAsia="en-US"/>
      </w:rPr>
      <w:fldChar w:fldCharType="begin"/>
    </w:r>
    <w:r>
      <w:rPr>
        <w:lang w:val="en-US" w:eastAsia="en-US"/>
      </w:rPr>
      <w:instrText xml:space="preserve"> PAGE  </w:instrText>
    </w:r>
    <w:r>
      <w:rPr>
        <w:lang w:val="en-US" w:eastAsia="en-US"/>
      </w:rPr>
      <w:fldChar w:fldCharType="separate"/>
    </w:r>
    <w:r w:rsidR="00F67AEB">
      <w:rPr>
        <w:noProof/>
        <w:lang w:val="en-US" w:eastAsia="en-US"/>
      </w:rPr>
      <w:t>3</w:t>
    </w:r>
    <w:r>
      <w:rPr>
        <w:lang w:val="en-US"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DD1C" w14:textId="570DF08E" w:rsidR="00543236" w:rsidRPr="00942586" w:rsidRDefault="00543236" w:rsidP="00895C6A">
    <w:pPr>
      <w:pStyle w:val="Footer"/>
    </w:pPr>
    <w:r>
      <w:rPr>
        <w:color w:val="007698"/>
        <w:spacing w:val="-2"/>
        <w:lang w:eastAsia="en-US"/>
      </w:rPr>
      <w:tab/>
    </w:r>
    <w:r>
      <w:rPr>
        <w:color w:val="007698"/>
        <w:spacing w:val="-2"/>
        <w:lang w:eastAsia="en-US"/>
      </w:rPr>
      <w:tab/>
    </w:r>
    <w:sdt>
      <w:sdtPr>
        <w:rPr>
          <w:caps/>
          <w:color w:val="007698"/>
          <w:spacing w:val="-2"/>
          <w:lang w:eastAsia="en-US"/>
        </w:rPr>
        <w:alias w:val="Title"/>
        <w:tag w:val=""/>
        <w:id w:val="-476460039"/>
        <w:dataBinding w:prefixMappings="xmlns:ns0='http://purl.org/dc/elements/1.1/' xmlns:ns1='http://schemas.openxmlformats.org/package/2006/metadata/core-properties' " w:xpath="/ns1:coreProperties[1]/ns0:title[1]" w:storeItemID="{6C3C8BC8-F283-45AE-878A-BAB7291924A1}"/>
        <w:text/>
      </w:sdtPr>
      <w:sdtEndPr/>
      <w:sdtContent>
        <w:r w:rsidR="00F67AEB">
          <w:rPr>
            <w:caps/>
            <w:color w:val="007698"/>
            <w:spacing w:val="-2"/>
            <w:lang w:eastAsia="en-US"/>
          </w:rPr>
          <w:t>Submission 29 - Reserve Bank of Australia (RBA) - Competition in the Australian Financial System - Public inquiry</w:t>
        </w:r>
      </w:sdtContent>
    </w:sdt>
    <w:r w:rsidRPr="00880E01">
      <w:rPr>
        <w:color w:val="007698"/>
        <w:lang w:val="en-US" w:eastAsia="en-US"/>
      </w:rPr>
      <w:t xml:space="preserve"> </w:t>
    </w:r>
    <w:r w:rsidRPr="00590767">
      <w:rPr>
        <w:color w:val="007698"/>
        <w:lang w:val="en-US" w:eastAsia="en-US"/>
      </w:rPr>
      <w:t>|</w:t>
    </w:r>
    <w:r>
      <w:rPr>
        <w:lang w:val="en-US" w:eastAsia="en-US"/>
      </w:rPr>
      <w:t xml:space="preserve"> </w:t>
    </w:r>
    <w:r>
      <w:rPr>
        <w:lang w:val="en-US" w:eastAsia="en-US"/>
      </w:rPr>
      <w:fldChar w:fldCharType="begin"/>
    </w:r>
    <w:r>
      <w:rPr>
        <w:lang w:val="en-US" w:eastAsia="en-US"/>
      </w:rPr>
      <w:instrText xml:space="preserve"> PAGE  </w:instrText>
    </w:r>
    <w:r>
      <w:rPr>
        <w:lang w:val="en-US" w:eastAsia="en-US"/>
      </w:rPr>
      <w:fldChar w:fldCharType="separate"/>
    </w:r>
    <w:r w:rsidR="00F67AEB">
      <w:rPr>
        <w:noProof/>
        <w:lang w:val="en-US" w:eastAsia="en-US"/>
      </w:rPr>
      <w:t>1</w:t>
    </w:r>
    <w:r>
      <w:rPr>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9F730" w14:textId="77777777" w:rsidR="0023577A" w:rsidRPr="00B65D61" w:rsidRDefault="0023577A" w:rsidP="00B65D61">
      <w:pPr>
        <w:spacing w:after="0" w:line="240" w:lineRule="auto"/>
        <w:rPr>
          <w:color w:val="808080" w:themeColor="background1" w:themeShade="80"/>
        </w:rPr>
      </w:pPr>
      <w:r w:rsidRPr="00B65D61">
        <w:rPr>
          <w:color w:val="808080" w:themeColor="background1" w:themeShade="80"/>
        </w:rPr>
        <w:continuationSeparator/>
      </w:r>
    </w:p>
  </w:footnote>
  <w:footnote w:type="continuationSeparator" w:id="0">
    <w:p w14:paraId="60109222" w14:textId="77777777" w:rsidR="0023577A" w:rsidRPr="00B65D61" w:rsidRDefault="0023577A" w:rsidP="009A6955">
      <w:pPr>
        <w:spacing w:after="0" w:line="240" w:lineRule="auto"/>
        <w:rPr>
          <w:color w:val="808080" w:themeColor="background1" w:themeShade="80"/>
        </w:rPr>
      </w:pPr>
      <w:r w:rsidRPr="00B65D61">
        <w:rPr>
          <w:color w:val="808080" w:themeColor="background1" w:themeShade="80"/>
        </w:rPr>
        <w:continuationSeparator/>
      </w:r>
    </w:p>
    <w:p w14:paraId="76C312F7" w14:textId="77777777" w:rsidR="0023577A" w:rsidRDefault="0023577A"/>
  </w:footnote>
  <w:footnote w:type="continuationNotice" w:id="1">
    <w:p w14:paraId="1A497B1C" w14:textId="77777777" w:rsidR="0023577A" w:rsidRDefault="0023577A">
      <w:pPr>
        <w:spacing w:after="0" w:line="240" w:lineRule="auto"/>
      </w:pPr>
    </w:p>
  </w:footnote>
  <w:footnote w:id="2">
    <w:p w14:paraId="104BDC1B" w14:textId="5F5C78DA" w:rsidR="00543236" w:rsidRPr="00167C02" w:rsidRDefault="00543236">
      <w:pPr>
        <w:pStyle w:val="FootnoteText"/>
      </w:pPr>
      <w:r w:rsidRPr="009F13BF">
        <w:footnoteRef/>
      </w:r>
      <w:r w:rsidRPr="00167C02">
        <w:t xml:space="preserve"> </w:t>
      </w:r>
      <w:r>
        <w:tab/>
        <w:t>In 2016 NAB sold 80 per cent of its life insurance business, in 2017 Westpac sold part of its stake in BT Investment Management, while ANZ has announced plans to divest its Australian wealth management business.</w:t>
      </w:r>
    </w:p>
  </w:footnote>
  <w:footnote w:id="3">
    <w:p w14:paraId="73872F64" w14:textId="09088595" w:rsidR="00543236" w:rsidRPr="00A05207" w:rsidRDefault="00543236" w:rsidP="00B021DA">
      <w:pPr>
        <w:pStyle w:val="FootnoteText"/>
      </w:pPr>
      <w:r w:rsidRPr="00D544A9">
        <w:footnoteRef/>
      </w:r>
      <w:r w:rsidRPr="00A05207">
        <w:t xml:space="preserve"> </w:t>
      </w:r>
      <w:r>
        <w:tab/>
        <w:t xml:space="preserve">For more information on longer-term trends in the financial system, see </w:t>
      </w:r>
      <w:sdt>
        <w:sdtPr>
          <w:id w:val="-506513951"/>
          <w:citation/>
        </w:sdtPr>
        <w:sdtEndPr/>
        <w:sdtContent>
          <w:r>
            <w:fldChar w:fldCharType="begin"/>
          </w:r>
          <w:r>
            <w:instrText xml:space="preserve"> CITATION RBA06 \l 3081 </w:instrText>
          </w:r>
          <w:r>
            <w:fldChar w:fldCharType="separate"/>
          </w:r>
          <w:r w:rsidR="0018397C">
            <w:rPr>
              <w:noProof/>
            </w:rPr>
            <w:t>(RBA 2006)</w:t>
          </w:r>
          <w:r>
            <w:fldChar w:fldCharType="end"/>
          </w:r>
        </w:sdtContent>
      </w:sdt>
      <w:r>
        <w:t>.</w:t>
      </w:r>
    </w:p>
  </w:footnote>
  <w:footnote w:id="4">
    <w:p w14:paraId="2F562B79" w14:textId="78FF6CFF" w:rsidR="00543236" w:rsidRPr="00AA14FD" w:rsidRDefault="00543236">
      <w:pPr>
        <w:pStyle w:val="FootnoteText"/>
      </w:pPr>
      <w:r w:rsidRPr="009F13BF">
        <w:footnoteRef/>
      </w:r>
      <w:r w:rsidRPr="00AA14FD">
        <w:t xml:space="preserve"> </w:t>
      </w:r>
      <w:r>
        <w:tab/>
        <w:t>Variation in banks’ cost-to-income ratios can also reflect differences in banks’ margins and pricing power. Cost-to-asset ratios do not suffer from this drawback.</w:t>
      </w:r>
    </w:p>
  </w:footnote>
  <w:footnote w:id="5">
    <w:p w14:paraId="17F2C3F4" w14:textId="6F64214D" w:rsidR="00543236" w:rsidRPr="008F7713" w:rsidRDefault="00543236" w:rsidP="008E4DF9">
      <w:pPr>
        <w:pStyle w:val="FootnoteText"/>
      </w:pPr>
      <w:r w:rsidRPr="008F7713">
        <w:footnoteRef/>
      </w:r>
      <w:r w:rsidRPr="008F7713">
        <w:t xml:space="preserve"> </w:t>
      </w:r>
      <w:r>
        <w:tab/>
        <w:t xml:space="preserve">For more information on developments in the cost-to-income ratios of the major Australian banks, see </w:t>
      </w:r>
      <w:sdt>
        <w:sdtPr>
          <w:id w:val="-1216894806"/>
          <w:citation/>
        </w:sdtPr>
        <w:sdtEndPr/>
        <w:sdtContent>
          <w:r>
            <w:fldChar w:fldCharType="begin"/>
          </w:r>
          <w:r>
            <w:instrText xml:space="preserve">CITATION Res14 \l 3081 </w:instrText>
          </w:r>
          <w:r>
            <w:fldChar w:fldCharType="separate"/>
          </w:r>
          <w:r w:rsidR="0018397C">
            <w:rPr>
              <w:noProof/>
            </w:rPr>
            <w:t>(RBA 2014a)</w:t>
          </w:r>
          <w:r>
            <w:fldChar w:fldCharType="end"/>
          </w:r>
        </w:sdtContent>
      </w:sdt>
      <w:r>
        <w:t>.</w:t>
      </w:r>
    </w:p>
  </w:footnote>
  <w:footnote w:id="6">
    <w:p w14:paraId="6D9979E0" w14:textId="7A00E13A" w:rsidR="00543236" w:rsidRPr="00DD62D2" w:rsidRDefault="00543236" w:rsidP="0064163C">
      <w:pPr>
        <w:pStyle w:val="FootnoteText"/>
      </w:pPr>
      <w:r w:rsidRPr="00306482">
        <w:footnoteRef/>
      </w:r>
      <w:r w:rsidRPr="00DD62D2">
        <w:t xml:space="preserve"> </w:t>
      </w:r>
      <w:r>
        <w:tab/>
      </w:r>
      <w:r w:rsidRPr="00DD62D2">
        <w:t>For example, the average risk weight on the major banks</w:t>
      </w:r>
      <w:r>
        <w:t>’</w:t>
      </w:r>
      <w:r w:rsidRPr="00DD62D2">
        <w:t xml:space="preserve"> IRB residential mortgage exposures was less than 20 per cent prior to September 2016 (at June 2017 this had increased to 25 per cent, see below) compared with an average risk weight of around 40 per cent on exposures measured under the standardised approach at all banks.</w:t>
      </w:r>
    </w:p>
  </w:footnote>
  <w:footnote w:id="7">
    <w:p w14:paraId="33E580CF" w14:textId="517D6C69" w:rsidR="00543236" w:rsidRPr="008F7713" w:rsidRDefault="00543236" w:rsidP="0064163C">
      <w:pPr>
        <w:pStyle w:val="FootnoteText"/>
      </w:pPr>
      <w:r w:rsidRPr="008F7713">
        <w:footnoteRef/>
      </w:r>
      <w:r w:rsidRPr="008F7713">
        <w:t xml:space="preserve"> </w:t>
      </w:r>
      <w:r>
        <w:tab/>
        <w:t xml:space="preserve">For more information on regulatory measures on residential mortgages in Australia, see </w:t>
      </w:r>
      <w:sdt>
        <w:sdtPr>
          <w:id w:val="1230811939"/>
          <w:citation/>
        </w:sdtPr>
        <w:sdtEndPr/>
        <w:sdtContent>
          <w:r>
            <w:fldChar w:fldCharType="begin"/>
          </w:r>
          <w:r>
            <w:instrText xml:space="preserve">CITATION FSR_2015_10_C \l 3081 </w:instrText>
          </w:r>
          <w:r>
            <w:fldChar w:fldCharType="separate"/>
          </w:r>
          <w:r w:rsidR="0018397C">
            <w:rPr>
              <w:noProof/>
            </w:rPr>
            <w:t>(RBA 2015a)</w:t>
          </w:r>
          <w:r>
            <w:fldChar w:fldCharType="end"/>
          </w:r>
        </w:sdtContent>
      </w:sdt>
      <w:r>
        <w:t>.</w:t>
      </w:r>
    </w:p>
  </w:footnote>
  <w:footnote w:id="8">
    <w:p w14:paraId="068B5766" w14:textId="77777777" w:rsidR="00543236" w:rsidRPr="0056669B" w:rsidRDefault="00543236" w:rsidP="0064163C">
      <w:pPr>
        <w:pStyle w:val="FootnoteText"/>
      </w:pPr>
      <w:r w:rsidRPr="0056669B">
        <w:footnoteRef/>
      </w:r>
      <w:r w:rsidRPr="0056669B">
        <w:t xml:space="preserve"> </w:t>
      </w:r>
      <w:r>
        <w:tab/>
        <w:t>Investors may accept lower returns for the credit risk associated with lending to institutions that they perceive as being systemically important. This is because of the likelihood that these institutions would receive government support in the event of distress.</w:t>
      </w:r>
    </w:p>
  </w:footnote>
  <w:footnote w:id="9">
    <w:p w14:paraId="101FC2D8" w14:textId="7CDFBB34" w:rsidR="00543236" w:rsidRPr="00F70E7A" w:rsidRDefault="00543236" w:rsidP="00B533C6">
      <w:pPr>
        <w:pStyle w:val="FootnoteText"/>
      </w:pPr>
      <w:r w:rsidRPr="00306482">
        <w:footnoteRef/>
      </w:r>
      <w:r w:rsidRPr="00F70E7A">
        <w:t xml:space="preserve"> </w:t>
      </w:r>
      <w:r>
        <w:tab/>
        <w:t>Interest margins on variable-rate housing loans are often not directly comparable, in part because the typical mortgage product differs across countries and the size of discounts to posted rates is often unobserved. Moreover, the features offered on mortgages can differ significantly across countries. For example, loans with redraw facilities and flexible repayment structures are common in Australia but are relatively scarce in most European countries.</w:t>
      </w:r>
    </w:p>
  </w:footnote>
  <w:footnote w:id="10">
    <w:p w14:paraId="47531374" w14:textId="0E2AE332" w:rsidR="00543236" w:rsidRPr="00AC211D" w:rsidRDefault="00543236" w:rsidP="00A52D71">
      <w:pPr>
        <w:pStyle w:val="FootnoteText"/>
      </w:pPr>
      <w:r w:rsidRPr="00E753F8">
        <w:footnoteRef/>
      </w:r>
      <w:r w:rsidRPr="00AC211D">
        <w:t xml:space="preserve"> </w:t>
      </w:r>
      <w:r>
        <w:tab/>
        <w:t>For a discussion of how funding costs and composition have changed through time and vary across lenders, see the Reserve Bank’s FSI submission</w:t>
      </w:r>
      <w:sdt>
        <w:sdtPr>
          <w:id w:val="591676280"/>
          <w:citation/>
        </w:sdtPr>
        <w:sdtEndPr/>
        <w:sdtContent>
          <w:r>
            <w:fldChar w:fldCharType="begin"/>
          </w:r>
          <w:r>
            <w:instrText xml:space="preserve">CITATION Sub14 \l 3081 </w:instrText>
          </w:r>
          <w:r>
            <w:fldChar w:fldCharType="separate"/>
          </w:r>
          <w:r w:rsidR="0018397C">
            <w:rPr>
              <w:noProof/>
            </w:rPr>
            <w:t xml:space="preserve"> (RBA 2014b)</w:t>
          </w:r>
          <w:r>
            <w:fldChar w:fldCharType="end"/>
          </w:r>
        </w:sdtContent>
      </w:sdt>
      <w:r>
        <w:t xml:space="preserve"> and </w:t>
      </w:r>
      <w:r w:rsidRPr="003909A6">
        <w:rPr>
          <w:i/>
        </w:rPr>
        <w:t>Bulletin</w:t>
      </w:r>
      <w:r>
        <w:t xml:space="preserve"> articles </w:t>
      </w:r>
      <w:sdt>
        <w:sdtPr>
          <w:id w:val="-153845769"/>
          <w:citation/>
        </w:sdtPr>
        <w:sdtEndPr/>
        <w:sdtContent>
          <w:r>
            <w:fldChar w:fldCharType="begin"/>
          </w:r>
          <w:r>
            <w:instrText xml:space="preserve"> CITATION Bul_2017_03_05 \l 3081  \m Bul_2016_03_03</w:instrText>
          </w:r>
          <w:r>
            <w:fldChar w:fldCharType="separate"/>
          </w:r>
          <w:r w:rsidR="0018397C">
            <w:rPr>
              <w:noProof/>
            </w:rPr>
            <w:t>(Cheung 2017; Wilkins, Gardner and Chapman 2016)</w:t>
          </w:r>
          <w:r>
            <w:fldChar w:fldCharType="end"/>
          </w:r>
        </w:sdtContent>
      </w:sdt>
      <w:r>
        <w:t>.</w:t>
      </w:r>
    </w:p>
  </w:footnote>
  <w:footnote w:id="11">
    <w:p w14:paraId="66328C8A" w14:textId="0542702D" w:rsidR="00543236" w:rsidRPr="00BE154C" w:rsidRDefault="00543236">
      <w:pPr>
        <w:pStyle w:val="FootnoteText"/>
      </w:pPr>
      <w:r w:rsidRPr="00BE154C">
        <w:footnoteRef/>
      </w:r>
      <w:r w:rsidRPr="00BE154C">
        <w:t xml:space="preserve"> </w:t>
      </w:r>
      <w:r>
        <w:tab/>
        <w:t>The NPP is a new 24-hour payment system that will provide real-time, data rich payments between customer accounts, with simple payment addressing capabilities. The system has been developed by 13 banks (including the Reserve Bank) over several years and is expected to become operational in late 2017. See &lt;</w:t>
      </w:r>
      <w:hyperlink r:id="rId1" w:history="1">
        <w:r w:rsidRPr="00DF326C">
          <w:rPr>
            <w:rStyle w:val="Hyperlink"/>
          </w:rPr>
          <w:t>www.nppa.com.au</w:t>
        </w:r>
      </w:hyperlink>
      <w:r>
        <w:rPr>
          <w:rStyle w:val="Hyperlink"/>
        </w:rPr>
        <w:t>&gt;</w:t>
      </w:r>
      <w:r>
        <w:t>.</w:t>
      </w:r>
    </w:p>
  </w:footnote>
  <w:footnote w:id="12">
    <w:p w14:paraId="46A05FCF" w14:textId="3E5168E4" w:rsidR="00543236" w:rsidRPr="00E474BD" w:rsidRDefault="00543236" w:rsidP="003723AF">
      <w:pPr>
        <w:pStyle w:val="FootnoteText"/>
      </w:pPr>
      <w:r w:rsidRPr="00E474BD">
        <w:footnoteRef/>
      </w:r>
      <w:r w:rsidRPr="00E474BD">
        <w:t xml:space="preserve"> </w:t>
      </w:r>
      <w:r>
        <w:tab/>
        <w:t xml:space="preserve">Competition issues do, however, periodically arise in other parts of the system, including in relation to the clearing and settlement of </w:t>
      </w:r>
      <w:r w:rsidRPr="00206DC0">
        <w:t>Australian cash equitie</w:t>
      </w:r>
      <w:r>
        <w:t>s.</w:t>
      </w:r>
    </w:p>
  </w:footnote>
  <w:footnote w:id="13">
    <w:p w14:paraId="4CE28954" w14:textId="77777777" w:rsidR="00543236" w:rsidRPr="002F112D" w:rsidRDefault="00543236" w:rsidP="00D60121">
      <w:pPr>
        <w:pStyle w:val="FootnoteText"/>
      </w:pPr>
      <w:r w:rsidRPr="009C0165">
        <w:footnoteRef/>
      </w:r>
      <w:r w:rsidRPr="002F112D">
        <w:t xml:space="preserve"> </w:t>
      </w:r>
      <w:r>
        <w:tab/>
        <w:t>An access regime is a regulation that seeks to ensure that new participants are able to access a payment system on fair and reasonable terms.</w:t>
      </w:r>
    </w:p>
  </w:footnote>
  <w:footnote w:id="14">
    <w:p w14:paraId="29BB2C5D" w14:textId="77777777" w:rsidR="00543236" w:rsidRPr="00B37360" w:rsidRDefault="00543236" w:rsidP="00D60121">
      <w:pPr>
        <w:pStyle w:val="FootnoteText"/>
      </w:pPr>
      <w:r w:rsidRPr="00B37360">
        <w:footnoteRef/>
      </w:r>
      <w:r w:rsidRPr="00B37360">
        <w:t xml:space="preserve"> </w:t>
      </w:r>
      <w:r>
        <w:tab/>
        <w:t>In the early 2000s, the Bank also implemented access regimes for the credit card networks</w:t>
      </w:r>
      <w:r w:rsidRPr="00B37360">
        <w:t xml:space="preserve"> </w:t>
      </w:r>
      <w:r>
        <w:t>with the aim of removing</w:t>
      </w:r>
      <w:r w:rsidRPr="00B37360">
        <w:t xml:space="preserve"> some restrictions on participation imposed by the credit card networks that unnecessarily inhibited competition and could not be justified as protecting the safety of the system</w:t>
      </w:r>
      <w:r>
        <w:t>. These access regimes</w:t>
      </w:r>
      <w:r w:rsidRPr="00B37360">
        <w:t xml:space="preserve"> involved the creation of a special class of financial institutions, to be authorised by APRA, to conduct only credit card activities.</w:t>
      </w:r>
    </w:p>
  </w:footnote>
  <w:footnote w:id="15">
    <w:p w14:paraId="631457EF" w14:textId="77777777" w:rsidR="00543236" w:rsidRPr="00B37360" w:rsidRDefault="00543236" w:rsidP="00094021">
      <w:pPr>
        <w:pStyle w:val="FootnoteText"/>
      </w:pPr>
      <w:r w:rsidRPr="00B37360">
        <w:footnoteRef/>
      </w:r>
      <w:r w:rsidRPr="00B37360">
        <w:t xml:space="preserve"> </w:t>
      </w:r>
      <w:r>
        <w:tab/>
        <w:t>The eftpos access regime was revoked in September 2015. Access regimes for the credit card networks were varied, effective January 2015, giving the card networks more flexibility to</w:t>
      </w:r>
      <w:r w:rsidRPr="00227E57">
        <w:t xml:space="preserve"> establish </w:t>
      </w:r>
      <w:r>
        <w:t xml:space="preserve">their own </w:t>
      </w:r>
      <w:r w:rsidRPr="00227E57">
        <w:t>access eligibility and assessment criteria</w:t>
      </w:r>
      <w:r>
        <w:t>.</w:t>
      </w:r>
    </w:p>
  </w:footnote>
  <w:footnote w:id="16">
    <w:p w14:paraId="41F87736" w14:textId="77777777" w:rsidR="00543236" w:rsidRPr="00207AF7" w:rsidRDefault="00543236" w:rsidP="00D60121">
      <w:pPr>
        <w:pStyle w:val="FootnoteText"/>
      </w:pPr>
      <w:r w:rsidRPr="00207AF7">
        <w:footnoteRef/>
      </w:r>
      <w:r w:rsidRPr="00207AF7">
        <w:t xml:space="preserve"> </w:t>
      </w:r>
      <w:r>
        <w:tab/>
        <w:t>Acquirers are institutions that provide merchants with facilities to accept card payments. The biggest participants in the cards market are both card issuers and acquirers, but there are some institutions that are only involved in card issuing or acquiring.</w:t>
      </w:r>
    </w:p>
  </w:footnote>
  <w:footnote w:id="17">
    <w:p w14:paraId="6D5B6582" w14:textId="64ACAD0E" w:rsidR="00543236" w:rsidRPr="00910711" w:rsidRDefault="00543236" w:rsidP="00D60121">
      <w:pPr>
        <w:pStyle w:val="FootnoteText"/>
      </w:pPr>
      <w:r w:rsidRPr="00910711">
        <w:footnoteRef/>
      </w:r>
      <w:r w:rsidRPr="00910711">
        <w:t xml:space="preserve"> </w:t>
      </w:r>
      <w:r>
        <w:tab/>
        <w:t xml:space="preserve">For a more detailed description of the competitive implications of interchange fees, see ‘Box A: Interchange Fees’ in </w:t>
      </w:r>
      <w:sdt>
        <w:sdtPr>
          <w:id w:val="-487946171"/>
          <w:citation/>
        </w:sdtPr>
        <w:sdtEndPr/>
        <w:sdtContent>
          <w:r>
            <w:fldChar w:fldCharType="begin"/>
          </w:r>
          <w:r>
            <w:instrText xml:space="preserve">CITATION RBA15 \l 3081 </w:instrText>
          </w:r>
          <w:r>
            <w:fldChar w:fldCharType="separate"/>
          </w:r>
          <w:r w:rsidR="0018397C">
            <w:rPr>
              <w:noProof/>
            </w:rPr>
            <w:t>(RBA 2015b)</w:t>
          </w:r>
          <w:r>
            <w:fldChar w:fldCharType="end"/>
          </w:r>
        </w:sdtContent>
      </w:sdt>
      <w:r>
        <w:t>.</w:t>
      </w:r>
    </w:p>
  </w:footnote>
  <w:footnote w:id="18">
    <w:p w14:paraId="5391B5D0" w14:textId="4AE050AE" w:rsidR="00543236" w:rsidRPr="00095F50" w:rsidRDefault="00543236" w:rsidP="00094021">
      <w:pPr>
        <w:pStyle w:val="FootnoteText"/>
      </w:pPr>
      <w:r w:rsidRPr="00095F50">
        <w:footnoteRef/>
      </w:r>
      <w:r w:rsidRPr="00095F50">
        <w:t xml:space="preserve"> </w:t>
      </w:r>
      <w:r>
        <w:tab/>
        <w:t>The Bank provided detailed information and observations about competition in the credit card market in its ‘</w:t>
      </w:r>
      <w:r w:rsidRPr="00BF19B5">
        <w:t>2015 Submission to the Senate Inquiry into Matters Relating to Credit Card Interest Rates</w:t>
      </w:r>
      <w:r>
        <w:t xml:space="preserve">’ </w:t>
      </w:r>
      <w:sdt>
        <w:sdtPr>
          <w:id w:val="-1607957983"/>
          <w:citation/>
        </w:sdtPr>
        <w:sdtEndPr/>
        <w:sdtContent>
          <w:r>
            <w:fldChar w:fldCharType="begin"/>
          </w:r>
          <w:r>
            <w:instrText xml:space="preserve">CITATION Sub \l 3081 </w:instrText>
          </w:r>
          <w:r>
            <w:fldChar w:fldCharType="separate"/>
          </w:r>
          <w:r w:rsidR="0018397C">
            <w:rPr>
              <w:noProof/>
            </w:rPr>
            <w:t>(RBA 2015c)</w:t>
          </w:r>
          <w:r>
            <w:fldChar w:fldCharType="end"/>
          </w:r>
        </w:sdtContent>
      </w:sdt>
      <w:r>
        <w:t>.</w:t>
      </w:r>
    </w:p>
  </w:footnote>
  <w:footnote w:id="19">
    <w:p w14:paraId="17F8DD7B" w14:textId="59C0825E" w:rsidR="00543236" w:rsidRPr="00B42D58" w:rsidRDefault="00543236" w:rsidP="00094021">
      <w:pPr>
        <w:pStyle w:val="FootnoteText"/>
      </w:pPr>
      <w:r w:rsidRPr="00B42D58">
        <w:footnoteRef/>
      </w:r>
      <w:r w:rsidRPr="00B42D58">
        <w:t xml:space="preserve"> </w:t>
      </w:r>
      <w:r>
        <w:tab/>
        <w:t xml:space="preserve">Recently, the House of Representatives Standing Committee on Economics recommended that the government, </w:t>
      </w:r>
      <w:r w:rsidRPr="001465E9">
        <w:t>following the introduction of the NPP, consider whether additional account</w:t>
      </w:r>
      <w:r>
        <w:t>-</w:t>
      </w:r>
      <w:r w:rsidRPr="001465E9">
        <w:t>switching tools are required to improve competition in the banking sector</w:t>
      </w:r>
      <w:sdt>
        <w:sdtPr>
          <w:id w:val="-1932961599"/>
          <w:citation/>
        </w:sdtPr>
        <w:sdtEndPr/>
        <w:sdtContent>
          <w:r>
            <w:fldChar w:fldCharType="begin"/>
          </w:r>
          <w:r>
            <w:instrText xml:space="preserve"> CITATION Hou16 \l 3081 </w:instrText>
          </w:r>
          <w:r>
            <w:fldChar w:fldCharType="separate"/>
          </w:r>
          <w:r w:rsidR="0018397C">
            <w:rPr>
              <w:noProof/>
            </w:rPr>
            <w:t xml:space="preserve"> (House of Representatives 2016)</w:t>
          </w:r>
          <w:r>
            <w:fldChar w:fldCharType="end"/>
          </w:r>
        </w:sdtContent>
      </w:sdt>
      <w:r>
        <w:t>.</w:t>
      </w:r>
    </w:p>
  </w:footnote>
  <w:footnote w:id="20">
    <w:p w14:paraId="0767BFD7" w14:textId="25FEBC69" w:rsidR="00543236" w:rsidRPr="00A838FE" w:rsidRDefault="00543236">
      <w:pPr>
        <w:pStyle w:val="FootnoteText"/>
      </w:pPr>
      <w:r w:rsidRPr="00A838FE">
        <w:footnoteRef/>
      </w:r>
      <w:r w:rsidRPr="00A838FE">
        <w:t xml:space="preserve"> </w:t>
      </w:r>
      <w:r>
        <w:tab/>
        <w:t xml:space="preserve">For more detail about credit card interest rates, see </w:t>
      </w:r>
      <w:sdt>
        <w:sdtPr>
          <w:id w:val="1151408108"/>
          <w:citation/>
        </w:sdtPr>
        <w:sdtEndPr/>
        <w:sdtContent>
          <w:r w:rsidRPr="000578A1">
            <w:fldChar w:fldCharType="begin"/>
          </w:r>
          <w:r>
            <w:instrText xml:space="preserve">CITATION Sub \l 3081 </w:instrText>
          </w:r>
          <w:r w:rsidRPr="000578A1">
            <w:fldChar w:fldCharType="separate"/>
          </w:r>
          <w:r w:rsidR="0018397C">
            <w:rPr>
              <w:noProof/>
            </w:rPr>
            <w:t>(RBA 2015c)</w:t>
          </w:r>
          <w:r w:rsidRPr="000578A1">
            <w:fldChar w:fldCharType="end"/>
          </w:r>
        </w:sdtContent>
      </w:sdt>
      <w:r w:rsidRPr="000578A1">
        <w:t>.</w:t>
      </w:r>
    </w:p>
  </w:footnote>
  <w:footnote w:id="21">
    <w:p w14:paraId="063792F0" w14:textId="3C94940F" w:rsidR="00543236" w:rsidRPr="00167BBA" w:rsidRDefault="00543236" w:rsidP="00094021">
      <w:pPr>
        <w:pStyle w:val="FootnoteText"/>
      </w:pPr>
      <w:r w:rsidRPr="00167BBA">
        <w:footnoteRef/>
      </w:r>
      <w:r w:rsidRPr="00167BBA">
        <w:t xml:space="preserve"> </w:t>
      </w:r>
      <w:r>
        <w:tab/>
        <w:t xml:space="preserve">See ‘Box E: </w:t>
      </w:r>
      <w:r w:rsidRPr="00FA37EF">
        <w:t>Initial Strategic Objectives</w:t>
      </w:r>
      <w:r>
        <w:t xml:space="preserve">’ in </w:t>
      </w:r>
      <w:sdt>
        <w:sdtPr>
          <w:id w:val="-1368364785"/>
          <w:citation/>
        </w:sdtPr>
        <w:sdtEndPr/>
        <w:sdtContent>
          <w:r>
            <w:fldChar w:fldCharType="begin"/>
          </w:r>
          <w:r>
            <w:instrText xml:space="preserve"> CITATION Str12 \l 3081 </w:instrText>
          </w:r>
          <w:r>
            <w:fldChar w:fldCharType="separate"/>
          </w:r>
          <w:r w:rsidR="0018397C">
            <w:rPr>
              <w:noProof/>
            </w:rPr>
            <w:t>(RBA 2012)</w:t>
          </w:r>
          <w:r>
            <w:fldChar w:fldCharType="end"/>
          </w:r>
        </w:sdtContent>
      </w:sdt>
      <w:r w:rsidRPr="00167BB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DD1B" w14:textId="77777777" w:rsidR="00543236" w:rsidRDefault="00543236">
    <w:pPr>
      <w:pStyle w:val="Header"/>
    </w:pPr>
    <w:r>
      <w:rPr>
        <w:noProof/>
      </w:rPr>
      <w:drawing>
        <wp:inline distT="0" distB="0" distL="0" distR="0" wp14:anchorId="5098DD1D" wp14:editId="5098DD1E">
          <wp:extent cx="2872105" cy="373380"/>
          <wp:effectExtent l="0" t="0" r="0" b="0"/>
          <wp:docPr id="1" name="Picture 1" descr="rba-logo-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ba-logo-horizontal-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2105" cy="373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7D0D0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46B44"/>
    <w:multiLevelType w:val="multilevel"/>
    <w:tmpl w:val="D49CE1BA"/>
    <w:numStyleLink w:val="Headings"/>
  </w:abstractNum>
  <w:abstractNum w:abstractNumId="2" w15:restartNumberingAfterBreak="0">
    <w:nsid w:val="049C73C1"/>
    <w:multiLevelType w:val="hybridMultilevel"/>
    <w:tmpl w:val="9B3E42D6"/>
    <w:lvl w:ilvl="0" w:tplc="74EAC28A">
      <w:start w:val="1"/>
      <w:numFmt w:val="decimal"/>
      <w:lvlText w:val="B.%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C7CFD"/>
    <w:multiLevelType w:val="hybridMultilevel"/>
    <w:tmpl w:val="E5F0CDF8"/>
    <w:lvl w:ilvl="0" w:tplc="42D20772">
      <w:start w:val="1"/>
      <w:numFmt w:val="decimal"/>
      <w:lvlText w:val="C.%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552A13"/>
    <w:multiLevelType w:val="hybridMultilevel"/>
    <w:tmpl w:val="A1E8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9C2FFC"/>
    <w:multiLevelType w:val="hybridMultilevel"/>
    <w:tmpl w:val="00263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ED3556"/>
    <w:multiLevelType w:val="hybridMultilevel"/>
    <w:tmpl w:val="819E3118"/>
    <w:lvl w:ilvl="0" w:tplc="3A88EA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3666D6E"/>
    <w:multiLevelType w:val="multilevel"/>
    <w:tmpl w:val="CB622C8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851" w:hanging="426"/>
      </w:pPr>
      <w:rPr>
        <w:rFonts w:hint="default"/>
      </w:rPr>
    </w:lvl>
    <w:lvl w:ilvl="7">
      <w:start w:val="1"/>
      <w:numFmt w:val="lowerRoman"/>
      <w:lvlText w:val="(%8)"/>
      <w:lvlJc w:val="left"/>
      <w:pPr>
        <w:ind w:left="1276" w:hanging="425"/>
      </w:pPr>
      <w:rPr>
        <w:rFonts w:hint="default"/>
      </w:rPr>
    </w:lvl>
    <w:lvl w:ilvl="8">
      <w:start w:val="1"/>
      <w:numFmt w:val="upperLetter"/>
      <w:lvlText w:val="(%9)"/>
      <w:lvlJc w:val="left"/>
      <w:pPr>
        <w:tabs>
          <w:tab w:val="num" w:pos="1276"/>
        </w:tabs>
        <w:ind w:left="1701" w:hanging="425"/>
      </w:pPr>
      <w:rPr>
        <w:rFonts w:hint="default"/>
      </w:rPr>
    </w:lvl>
  </w:abstractNum>
  <w:abstractNum w:abstractNumId="8" w15:restartNumberingAfterBreak="0">
    <w:nsid w:val="14DD0E01"/>
    <w:multiLevelType w:val="multilevel"/>
    <w:tmpl w:val="BA9C84EE"/>
    <w:styleLink w:val="ListLettera"/>
    <w:lvl w:ilvl="0">
      <w:start w:val="1"/>
      <w:numFmt w:val="lowerLetter"/>
      <w:lvlText w:val="(%1)"/>
      <w:lvlJc w:val="left"/>
      <w:pPr>
        <w:tabs>
          <w:tab w:val="num" w:pos="0"/>
        </w:tabs>
        <w:ind w:left="425" w:hanging="425"/>
      </w:pPr>
      <w:rPr>
        <w:rFonts w:asciiTheme="minorHAnsi" w:hAnsiTheme="minorHAnsi" w:hint="default"/>
        <w:sz w:val="21"/>
      </w:rPr>
    </w:lvl>
    <w:lvl w:ilvl="1">
      <w:start w:val="1"/>
      <w:numFmt w:val="lowerRoman"/>
      <w:lvlText w:val="(%2)"/>
      <w:lvlJc w:val="left"/>
      <w:pPr>
        <w:tabs>
          <w:tab w:val="num" w:pos="425"/>
        </w:tabs>
        <w:ind w:left="850" w:hanging="425"/>
      </w:pPr>
      <w:rPr>
        <w:rFonts w:hint="default"/>
      </w:rPr>
    </w:lvl>
    <w:lvl w:ilvl="2">
      <w:start w:val="1"/>
      <w:numFmt w:val="upperLetter"/>
      <w:lvlText w:val="(%3)"/>
      <w:lvlJc w:val="left"/>
      <w:pPr>
        <w:tabs>
          <w:tab w:val="num" w:pos="850"/>
        </w:tabs>
        <w:ind w:left="1275" w:hanging="425"/>
      </w:pPr>
      <w:rPr>
        <w:rFonts w:hint="default"/>
      </w:rPr>
    </w:lvl>
    <w:lvl w:ilvl="3">
      <w:start w:val="1"/>
      <w:numFmt w:val="none"/>
      <w:lvlText w:val=""/>
      <w:lvlJc w:val="left"/>
      <w:pPr>
        <w:tabs>
          <w:tab w:val="num" w:pos="1275"/>
        </w:tabs>
        <w:ind w:left="1700" w:hanging="425"/>
      </w:pPr>
      <w:rPr>
        <w:rFonts w:hint="default"/>
      </w:rPr>
    </w:lvl>
    <w:lvl w:ilvl="4">
      <w:start w:val="1"/>
      <w:numFmt w:val="none"/>
      <w:lvlText w:val=""/>
      <w:lvlJc w:val="left"/>
      <w:pPr>
        <w:tabs>
          <w:tab w:val="num" w:pos="1700"/>
        </w:tabs>
        <w:ind w:left="2125" w:hanging="425"/>
      </w:pPr>
      <w:rPr>
        <w:rFonts w:hint="default"/>
      </w:rPr>
    </w:lvl>
    <w:lvl w:ilvl="5">
      <w:start w:val="1"/>
      <w:numFmt w:val="none"/>
      <w:lvlText w:val=""/>
      <w:lvlJc w:val="left"/>
      <w:pPr>
        <w:tabs>
          <w:tab w:val="num" w:pos="2125"/>
        </w:tabs>
        <w:ind w:left="2550" w:hanging="425"/>
      </w:pPr>
      <w:rPr>
        <w:rFonts w:hint="default"/>
      </w:rPr>
    </w:lvl>
    <w:lvl w:ilvl="6">
      <w:start w:val="1"/>
      <w:numFmt w:val="none"/>
      <w:lvlText w:val=""/>
      <w:lvlJc w:val="left"/>
      <w:pPr>
        <w:tabs>
          <w:tab w:val="num" w:pos="2550"/>
        </w:tabs>
        <w:ind w:left="2975" w:hanging="425"/>
      </w:pPr>
      <w:rPr>
        <w:rFonts w:hint="default"/>
      </w:rPr>
    </w:lvl>
    <w:lvl w:ilvl="7">
      <w:start w:val="1"/>
      <w:numFmt w:val="none"/>
      <w:lvlText w:val=""/>
      <w:lvlJc w:val="left"/>
      <w:pPr>
        <w:tabs>
          <w:tab w:val="num" w:pos="2975"/>
        </w:tabs>
        <w:ind w:left="3400" w:hanging="425"/>
      </w:pPr>
      <w:rPr>
        <w:rFonts w:hint="default"/>
      </w:rPr>
    </w:lvl>
    <w:lvl w:ilvl="8">
      <w:start w:val="1"/>
      <w:numFmt w:val="none"/>
      <w:lvlText w:val=""/>
      <w:lvlJc w:val="left"/>
      <w:pPr>
        <w:tabs>
          <w:tab w:val="num" w:pos="3400"/>
        </w:tabs>
        <w:ind w:left="3825" w:hanging="425"/>
      </w:pPr>
      <w:rPr>
        <w:rFonts w:hint="default"/>
      </w:rPr>
    </w:lvl>
  </w:abstractNum>
  <w:abstractNum w:abstractNumId="9" w15:restartNumberingAfterBreak="0">
    <w:nsid w:val="158120C9"/>
    <w:multiLevelType w:val="multilevel"/>
    <w:tmpl w:val="E9AC318E"/>
    <w:lvl w:ilvl="0">
      <w:start w:val="1"/>
      <w:numFmt w:val="decimal"/>
      <w:lvlText w:val="%1."/>
      <w:lvlJc w:val="left"/>
      <w:pPr>
        <w:ind w:left="0" w:firstLine="0"/>
      </w:pPr>
      <w:rPr>
        <w:rFonts w:hint="default"/>
      </w:rPr>
    </w:lvl>
    <w:lvl w:ilvl="1">
      <w:start w:val="1"/>
      <w:numFmt w:val="decimal"/>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567"/>
        </w:tabs>
        <w:ind w:left="425" w:hanging="425"/>
      </w:pPr>
      <w:rPr>
        <w:rFonts w:hint="default"/>
      </w:rPr>
    </w:lvl>
    <w:lvl w:ilvl="6">
      <w:start w:val="1"/>
      <w:numFmt w:val="lowerLetter"/>
      <w:lvlText w:val="(%7)"/>
      <w:lvlJc w:val="left"/>
      <w:pPr>
        <w:tabs>
          <w:tab w:val="num" w:pos="851"/>
        </w:tabs>
        <w:ind w:left="851" w:hanging="426"/>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701"/>
        </w:tabs>
        <w:ind w:left="2126" w:hanging="425"/>
      </w:pPr>
      <w:rPr>
        <w:rFonts w:hint="default"/>
      </w:rPr>
    </w:lvl>
  </w:abstractNum>
  <w:abstractNum w:abstractNumId="10" w15:restartNumberingAfterBreak="0">
    <w:nsid w:val="1666789E"/>
    <w:multiLevelType w:val="hybridMultilevel"/>
    <w:tmpl w:val="2B0C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33131"/>
    <w:multiLevelType w:val="multilevel"/>
    <w:tmpl w:val="D49CE1BA"/>
    <w:styleLink w:val="Headings"/>
    <w:lvl w:ilvl="0">
      <w:start w:val="1"/>
      <w:numFmt w:val="none"/>
      <w:suff w:val="nothing"/>
      <w:lvlText w:val=""/>
      <w:lvlJc w:val="left"/>
      <w:pPr>
        <w:ind w:left="0" w:firstLine="0"/>
      </w:pPr>
      <w:rPr>
        <w:rFonts w:hint="default"/>
      </w:rPr>
    </w:lvl>
    <w:lvl w:ilvl="1">
      <w:start w:val="1"/>
      <w:numFmt w:val="decimal"/>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567"/>
        </w:tabs>
        <w:ind w:left="425" w:hanging="425"/>
      </w:pPr>
      <w:rPr>
        <w:rFonts w:hint="default"/>
      </w:rPr>
    </w:lvl>
    <w:lvl w:ilvl="6">
      <w:start w:val="1"/>
      <w:numFmt w:val="lowerLetter"/>
      <w:lvlText w:val="(%7)"/>
      <w:lvlJc w:val="left"/>
      <w:pPr>
        <w:tabs>
          <w:tab w:val="num" w:pos="851"/>
        </w:tabs>
        <w:ind w:left="851" w:hanging="426"/>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701"/>
        </w:tabs>
        <w:ind w:left="2126" w:hanging="425"/>
      </w:pPr>
      <w:rPr>
        <w:rFonts w:hint="default"/>
      </w:rPr>
    </w:lvl>
  </w:abstractNum>
  <w:abstractNum w:abstractNumId="12" w15:restartNumberingAfterBreak="0">
    <w:nsid w:val="18F47A33"/>
    <w:multiLevelType w:val="hybridMultilevel"/>
    <w:tmpl w:val="7B9C8C6C"/>
    <w:lvl w:ilvl="0" w:tplc="F28803D0">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A62905"/>
    <w:multiLevelType w:val="hybridMultilevel"/>
    <w:tmpl w:val="A8B0F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B81AAD"/>
    <w:multiLevelType w:val="multilevel"/>
    <w:tmpl w:val="E9AC318E"/>
    <w:lvl w:ilvl="0">
      <w:start w:val="1"/>
      <w:numFmt w:val="decimal"/>
      <w:lvlText w:val="%1."/>
      <w:lvlJc w:val="left"/>
      <w:pPr>
        <w:ind w:left="0" w:firstLine="0"/>
      </w:pPr>
      <w:rPr>
        <w:rFonts w:hint="default"/>
      </w:rPr>
    </w:lvl>
    <w:lvl w:ilvl="1">
      <w:start w:val="1"/>
      <w:numFmt w:val="decimal"/>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567"/>
        </w:tabs>
        <w:ind w:left="425" w:hanging="425"/>
      </w:pPr>
      <w:rPr>
        <w:rFonts w:hint="default"/>
      </w:rPr>
    </w:lvl>
    <w:lvl w:ilvl="6">
      <w:start w:val="1"/>
      <w:numFmt w:val="lowerLetter"/>
      <w:lvlText w:val="(%7)"/>
      <w:lvlJc w:val="left"/>
      <w:pPr>
        <w:tabs>
          <w:tab w:val="num" w:pos="851"/>
        </w:tabs>
        <w:ind w:left="851" w:hanging="426"/>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701"/>
        </w:tabs>
        <w:ind w:left="2126" w:hanging="425"/>
      </w:pPr>
      <w:rPr>
        <w:rFonts w:hint="default"/>
      </w:rPr>
    </w:lvl>
  </w:abstractNum>
  <w:abstractNum w:abstractNumId="15" w15:restartNumberingAfterBreak="0">
    <w:nsid w:val="23744394"/>
    <w:multiLevelType w:val="multilevel"/>
    <w:tmpl w:val="D49CE1BA"/>
    <w:numStyleLink w:val="Headings"/>
  </w:abstractNum>
  <w:abstractNum w:abstractNumId="16" w15:restartNumberingAfterBreak="0">
    <w:nsid w:val="26D45254"/>
    <w:multiLevelType w:val="hybridMultilevel"/>
    <w:tmpl w:val="6328835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3A23BB"/>
    <w:multiLevelType w:val="hybridMultilevel"/>
    <w:tmpl w:val="8EEA4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1311E9"/>
    <w:multiLevelType w:val="hybridMultilevel"/>
    <w:tmpl w:val="977264DE"/>
    <w:lvl w:ilvl="0" w:tplc="3FE6A86A">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533AD1"/>
    <w:multiLevelType w:val="multilevel"/>
    <w:tmpl w:val="D49CE1BA"/>
    <w:numStyleLink w:val="Headings"/>
  </w:abstractNum>
  <w:abstractNum w:abstractNumId="20" w15:restartNumberingAfterBreak="0">
    <w:nsid w:val="29321B14"/>
    <w:multiLevelType w:val="hybridMultilevel"/>
    <w:tmpl w:val="16DC6478"/>
    <w:lvl w:ilvl="0" w:tplc="9E36F2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D95805"/>
    <w:multiLevelType w:val="hybridMultilevel"/>
    <w:tmpl w:val="4300B92C"/>
    <w:lvl w:ilvl="0" w:tplc="44EEDB64">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326D3685"/>
    <w:multiLevelType w:val="multilevel"/>
    <w:tmpl w:val="CB622C8A"/>
    <w:styleLink w:val="Headings1"/>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851" w:hanging="426"/>
      </w:pPr>
      <w:rPr>
        <w:rFonts w:hint="default"/>
      </w:rPr>
    </w:lvl>
    <w:lvl w:ilvl="7">
      <w:start w:val="1"/>
      <w:numFmt w:val="lowerRoman"/>
      <w:lvlText w:val="(%8)"/>
      <w:lvlJc w:val="left"/>
      <w:pPr>
        <w:ind w:left="1276" w:hanging="425"/>
      </w:pPr>
      <w:rPr>
        <w:rFonts w:hint="default"/>
      </w:rPr>
    </w:lvl>
    <w:lvl w:ilvl="8">
      <w:start w:val="1"/>
      <w:numFmt w:val="upperLetter"/>
      <w:lvlText w:val="(%9)"/>
      <w:lvlJc w:val="left"/>
      <w:pPr>
        <w:tabs>
          <w:tab w:val="num" w:pos="1276"/>
        </w:tabs>
        <w:ind w:left="1701" w:hanging="425"/>
      </w:pPr>
      <w:rPr>
        <w:rFonts w:hint="default"/>
      </w:rPr>
    </w:lvl>
  </w:abstractNum>
  <w:abstractNum w:abstractNumId="23" w15:restartNumberingAfterBreak="0">
    <w:nsid w:val="33AB6751"/>
    <w:multiLevelType w:val="hybridMultilevel"/>
    <w:tmpl w:val="70142310"/>
    <w:lvl w:ilvl="0" w:tplc="9E64E90E">
      <w:start w:val="1"/>
      <w:numFmt w:val="decimal"/>
      <w:lvlText w:val="E.%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BF474D"/>
    <w:multiLevelType w:val="hybridMultilevel"/>
    <w:tmpl w:val="36AA8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A103E6"/>
    <w:multiLevelType w:val="hybridMultilevel"/>
    <w:tmpl w:val="845E87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DB6C3B"/>
    <w:multiLevelType w:val="hybridMultilevel"/>
    <w:tmpl w:val="B7F0150C"/>
    <w:lvl w:ilvl="0" w:tplc="375C4A7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5F64CF"/>
    <w:multiLevelType w:val="hybridMultilevel"/>
    <w:tmpl w:val="28942746"/>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8" w15:restartNumberingAfterBreak="0">
    <w:nsid w:val="44203D1A"/>
    <w:multiLevelType w:val="hybridMultilevel"/>
    <w:tmpl w:val="68C81B34"/>
    <w:lvl w:ilvl="0" w:tplc="47FC1C0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0870D5"/>
    <w:multiLevelType w:val="hybridMultilevel"/>
    <w:tmpl w:val="B1AA4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0C05EB"/>
    <w:multiLevelType w:val="multilevel"/>
    <w:tmpl w:val="D49CE1BA"/>
    <w:numStyleLink w:val="Headings"/>
  </w:abstractNum>
  <w:abstractNum w:abstractNumId="31" w15:restartNumberingAfterBreak="0">
    <w:nsid w:val="4C3B458E"/>
    <w:multiLevelType w:val="hybridMultilevel"/>
    <w:tmpl w:val="0878521A"/>
    <w:lvl w:ilvl="0" w:tplc="11BCCCB0">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957A49"/>
    <w:multiLevelType w:val="hybridMultilevel"/>
    <w:tmpl w:val="0A54B8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B65C7B"/>
    <w:multiLevelType w:val="hybridMultilevel"/>
    <w:tmpl w:val="32868C5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4ED93208"/>
    <w:multiLevelType w:val="multilevel"/>
    <w:tmpl w:val="B9686D02"/>
    <w:styleLink w:val="Bullets"/>
    <w:lvl w:ilvl="0">
      <w:start w:val="1"/>
      <w:numFmt w:val="bullet"/>
      <w:pStyle w:val="ListBullet"/>
      <w:lvlText w:val=""/>
      <w:lvlJc w:val="left"/>
      <w:pPr>
        <w:ind w:left="425" w:hanging="425"/>
      </w:pPr>
      <w:rPr>
        <w:rFonts w:ascii="Symbol" w:hAnsi="Symbol" w:hint="default"/>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Calibri" w:hAnsi="Calibri"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5" w15:restartNumberingAfterBreak="0">
    <w:nsid w:val="4F245ACC"/>
    <w:multiLevelType w:val="hybridMultilevel"/>
    <w:tmpl w:val="3CDE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A67EBD"/>
    <w:multiLevelType w:val="hybridMultilevel"/>
    <w:tmpl w:val="57189862"/>
    <w:lvl w:ilvl="0" w:tplc="9274D136">
      <w:start w:val="9"/>
      <w:numFmt w:val="decimal"/>
      <w:lvlText w:val="E.%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3A3023"/>
    <w:multiLevelType w:val="hybridMultilevel"/>
    <w:tmpl w:val="53182D32"/>
    <w:lvl w:ilvl="0" w:tplc="9CC22762">
      <w:start w:val="1"/>
      <w:numFmt w:val="decimal"/>
      <w:lvlText w:val="D.%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090427"/>
    <w:multiLevelType w:val="hybridMultilevel"/>
    <w:tmpl w:val="A5E011B4"/>
    <w:lvl w:ilvl="0" w:tplc="69EAC992">
      <w:start w:val="1"/>
      <w:numFmt w:val="bullet"/>
      <w:pStyle w:val="ListBullet2"/>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9" w15:restartNumberingAfterBreak="0">
    <w:nsid w:val="5B5C1989"/>
    <w:multiLevelType w:val="hybridMultilevel"/>
    <w:tmpl w:val="9794A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C870D4"/>
    <w:multiLevelType w:val="hybridMultilevel"/>
    <w:tmpl w:val="16D06C1E"/>
    <w:lvl w:ilvl="0" w:tplc="C03AEC4E">
      <w:start w:val="1"/>
      <w:numFmt w:val="upperLetter"/>
      <w:pStyle w:val="Appendix"/>
      <w:lvlText w:val="Appendix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0752413"/>
    <w:multiLevelType w:val="hybridMultilevel"/>
    <w:tmpl w:val="3690C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0243E8"/>
    <w:multiLevelType w:val="hybridMultilevel"/>
    <w:tmpl w:val="B2723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134377E"/>
    <w:multiLevelType w:val="hybridMultilevel"/>
    <w:tmpl w:val="28604506"/>
    <w:lvl w:ilvl="0" w:tplc="909C4D68">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CA1C3A"/>
    <w:multiLevelType w:val="hybridMultilevel"/>
    <w:tmpl w:val="25546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3200E6"/>
    <w:multiLevelType w:val="hybridMultilevel"/>
    <w:tmpl w:val="4838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6C4A5C"/>
    <w:multiLevelType w:val="multilevel"/>
    <w:tmpl w:val="E9AC318E"/>
    <w:lvl w:ilvl="0">
      <w:start w:val="1"/>
      <w:numFmt w:val="decimal"/>
      <w:lvlText w:val="%1."/>
      <w:lvlJc w:val="left"/>
      <w:pPr>
        <w:ind w:left="0" w:firstLine="0"/>
      </w:pPr>
      <w:rPr>
        <w:rFonts w:hint="default"/>
      </w:rPr>
    </w:lvl>
    <w:lvl w:ilvl="1">
      <w:start w:val="1"/>
      <w:numFmt w:val="decimal"/>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567"/>
        </w:tabs>
        <w:ind w:left="425" w:hanging="425"/>
      </w:pPr>
      <w:rPr>
        <w:rFonts w:hint="default"/>
      </w:rPr>
    </w:lvl>
    <w:lvl w:ilvl="6">
      <w:start w:val="1"/>
      <w:numFmt w:val="lowerLetter"/>
      <w:lvlText w:val="(%7)"/>
      <w:lvlJc w:val="left"/>
      <w:pPr>
        <w:tabs>
          <w:tab w:val="num" w:pos="851"/>
        </w:tabs>
        <w:ind w:left="851" w:hanging="426"/>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701"/>
        </w:tabs>
        <w:ind w:left="2126" w:hanging="425"/>
      </w:pPr>
      <w:rPr>
        <w:rFonts w:hint="default"/>
      </w:rPr>
    </w:lvl>
  </w:abstractNum>
  <w:abstractNum w:abstractNumId="47" w15:restartNumberingAfterBreak="0">
    <w:nsid w:val="7A7B0C76"/>
    <w:multiLevelType w:val="hybridMultilevel"/>
    <w:tmpl w:val="D4763AFE"/>
    <w:lvl w:ilvl="0" w:tplc="EA8456F8">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B0F309C"/>
    <w:multiLevelType w:val="hybridMultilevel"/>
    <w:tmpl w:val="0C92C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434436"/>
    <w:multiLevelType w:val="hybridMultilevel"/>
    <w:tmpl w:val="1592EAD8"/>
    <w:lvl w:ilvl="0" w:tplc="FD9E63D4">
      <w:start w:val="1"/>
      <w:numFmt w:val="decimal"/>
      <w:lvlText w:val="A.%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205B52"/>
    <w:multiLevelType w:val="multilevel"/>
    <w:tmpl w:val="D49CE1BA"/>
    <w:numStyleLink w:val="Headings"/>
  </w:abstractNum>
  <w:num w:numId="1">
    <w:abstractNumId w:val="8"/>
  </w:num>
  <w:num w:numId="2">
    <w:abstractNumId w:val="38"/>
  </w:num>
  <w:num w:numId="3">
    <w:abstractNumId w:val="49"/>
  </w:num>
  <w:num w:numId="4">
    <w:abstractNumId w:val="29"/>
  </w:num>
  <w:num w:numId="5">
    <w:abstractNumId w:val="2"/>
  </w:num>
  <w:num w:numId="6">
    <w:abstractNumId w:val="3"/>
  </w:num>
  <w:num w:numId="7">
    <w:abstractNumId w:val="37"/>
  </w:num>
  <w:num w:numId="8">
    <w:abstractNumId w:val="23"/>
  </w:num>
  <w:num w:numId="9">
    <w:abstractNumId w:val="39"/>
  </w:num>
  <w:num w:numId="10">
    <w:abstractNumId w:val="6"/>
  </w:num>
  <w:num w:numId="11">
    <w:abstractNumId w:val="21"/>
  </w:num>
  <w:num w:numId="12">
    <w:abstractNumId w:val="43"/>
  </w:num>
  <w:num w:numId="13">
    <w:abstractNumId w:val="20"/>
  </w:num>
  <w:num w:numId="14">
    <w:abstractNumId w:val="36"/>
  </w:num>
  <w:num w:numId="15">
    <w:abstractNumId w:val="47"/>
  </w:num>
  <w:num w:numId="16">
    <w:abstractNumId w:val="33"/>
  </w:num>
  <w:num w:numId="17">
    <w:abstractNumId w:val="41"/>
  </w:num>
  <w:num w:numId="18">
    <w:abstractNumId w:val="18"/>
  </w:num>
  <w:num w:numId="19">
    <w:abstractNumId w:val="26"/>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50"/>
  </w:num>
  <w:num w:numId="26">
    <w:abstractNumId w:val="0"/>
  </w:num>
  <w:num w:numId="27">
    <w:abstractNumId w:val="40"/>
  </w:num>
  <w:num w:numId="28">
    <w:abstractNumId w:val="19"/>
  </w:num>
  <w:num w:numId="29">
    <w:abstractNumId w:val="30"/>
  </w:num>
  <w:num w:numId="30">
    <w:abstractNumId w:val="15"/>
  </w:num>
  <w:num w:numId="31">
    <w:abstractNumId w:val="14"/>
  </w:num>
  <w:num w:numId="32">
    <w:abstractNumId w:val="34"/>
  </w:num>
  <w:num w:numId="33">
    <w:abstractNumId w:val="34"/>
  </w:num>
  <w:num w:numId="34">
    <w:abstractNumId w:val="34"/>
  </w:num>
  <w:num w:numId="35">
    <w:abstractNumId w:val="34"/>
  </w:num>
  <w:num w:numId="36">
    <w:abstractNumId w:val="34"/>
  </w:num>
  <w:num w:numId="37">
    <w:abstractNumId w:val="34"/>
  </w:num>
  <w:num w:numId="38">
    <w:abstractNumId w:val="46"/>
  </w:num>
  <w:num w:numId="39">
    <w:abstractNumId w:val="9"/>
  </w:num>
  <w:num w:numId="40">
    <w:abstractNumId w:val="32"/>
  </w:num>
  <w:num w:numId="41">
    <w:abstractNumId w:val="25"/>
  </w:num>
  <w:num w:numId="42">
    <w:abstractNumId w:val="17"/>
  </w:num>
  <w:num w:numId="43">
    <w:abstractNumId w:val="28"/>
  </w:num>
  <w:num w:numId="44">
    <w:abstractNumId w:val="27"/>
  </w:num>
  <w:num w:numId="45">
    <w:abstractNumId w:val="42"/>
  </w:num>
  <w:num w:numId="46">
    <w:abstractNumId w:val="5"/>
  </w:num>
  <w:num w:numId="47">
    <w:abstractNumId w:val="24"/>
  </w:num>
  <w:num w:numId="48">
    <w:abstractNumId w:val="45"/>
  </w:num>
  <w:num w:numId="49">
    <w:abstractNumId w:val="12"/>
  </w:num>
  <w:num w:numId="50">
    <w:abstractNumId w:val="31"/>
  </w:num>
  <w:num w:numId="51">
    <w:abstractNumId w:val="16"/>
  </w:num>
  <w:num w:numId="52">
    <w:abstractNumId w:val="4"/>
  </w:num>
  <w:num w:numId="53">
    <w:abstractNumId w:val="48"/>
  </w:num>
  <w:num w:numId="54">
    <w:abstractNumId w:val="13"/>
  </w:num>
  <w:num w:numId="55">
    <w:abstractNumId w:val="35"/>
  </w:num>
  <w:num w:numId="56">
    <w:abstractNumId w:val="22"/>
  </w:num>
  <w:num w:numId="57">
    <w:abstractNumId w:val="7"/>
    <w:lvlOverride w:ilvl="6">
      <w:lvl w:ilvl="6">
        <w:start w:val="1"/>
        <w:numFmt w:val="lowerLetter"/>
        <w:lvlText w:val="(%7)"/>
        <w:lvlJc w:val="left"/>
        <w:pPr>
          <w:ind w:left="1571" w:hanging="426"/>
        </w:pPr>
        <w:rPr>
          <w:rFonts w:hint="default"/>
        </w:rPr>
      </w:lvl>
    </w:lvlOverride>
  </w:num>
  <w:num w:numId="58">
    <w:abstractNumId w:val="44"/>
  </w:num>
  <w:num w:numId="5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9"/>
  <w:evenAndOddHeader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0B"/>
    <w:rsid w:val="00000101"/>
    <w:rsid w:val="000009D9"/>
    <w:rsid w:val="0000192D"/>
    <w:rsid w:val="00003247"/>
    <w:rsid w:val="00003712"/>
    <w:rsid w:val="000047A3"/>
    <w:rsid w:val="0000629B"/>
    <w:rsid w:val="00011987"/>
    <w:rsid w:val="00013A24"/>
    <w:rsid w:val="00014942"/>
    <w:rsid w:val="00014FF6"/>
    <w:rsid w:val="00015185"/>
    <w:rsid w:val="000154BF"/>
    <w:rsid w:val="00017425"/>
    <w:rsid w:val="00017E7B"/>
    <w:rsid w:val="000211A9"/>
    <w:rsid w:val="00023226"/>
    <w:rsid w:val="00023CBE"/>
    <w:rsid w:val="00024596"/>
    <w:rsid w:val="0002542D"/>
    <w:rsid w:val="000254D2"/>
    <w:rsid w:val="000258D4"/>
    <w:rsid w:val="00026AA4"/>
    <w:rsid w:val="00026B99"/>
    <w:rsid w:val="00026F0B"/>
    <w:rsid w:val="000276D4"/>
    <w:rsid w:val="000279D3"/>
    <w:rsid w:val="00031C64"/>
    <w:rsid w:val="00032843"/>
    <w:rsid w:val="00032A6D"/>
    <w:rsid w:val="00033ACD"/>
    <w:rsid w:val="00034796"/>
    <w:rsid w:val="00035C70"/>
    <w:rsid w:val="00037597"/>
    <w:rsid w:val="00037A68"/>
    <w:rsid w:val="000408BF"/>
    <w:rsid w:val="0004231F"/>
    <w:rsid w:val="00042F0C"/>
    <w:rsid w:val="00044365"/>
    <w:rsid w:val="000446EB"/>
    <w:rsid w:val="000473AA"/>
    <w:rsid w:val="000507EB"/>
    <w:rsid w:val="00053275"/>
    <w:rsid w:val="0005343A"/>
    <w:rsid w:val="00053D2D"/>
    <w:rsid w:val="00053F10"/>
    <w:rsid w:val="00054822"/>
    <w:rsid w:val="000578A1"/>
    <w:rsid w:val="00057A97"/>
    <w:rsid w:val="00061099"/>
    <w:rsid w:val="000612D0"/>
    <w:rsid w:val="00061A80"/>
    <w:rsid w:val="00061C05"/>
    <w:rsid w:val="0006318C"/>
    <w:rsid w:val="00063B8D"/>
    <w:rsid w:val="000646B6"/>
    <w:rsid w:val="000646BD"/>
    <w:rsid w:val="00065A92"/>
    <w:rsid w:val="00066C83"/>
    <w:rsid w:val="0006718F"/>
    <w:rsid w:val="0006797F"/>
    <w:rsid w:val="00070F99"/>
    <w:rsid w:val="00071DA6"/>
    <w:rsid w:val="000749DB"/>
    <w:rsid w:val="00075DE4"/>
    <w:rsid w:val="00076578"/>
    <w:rsid w:val="00076D85"/>
    <w:rsid w:val="00080143"/>
    <w:rsid w:val="00084FD3"/>
    <w:rsid w:val="00084FF5"/>
    <w:rsid w:val="000904B9"/>
    <w:rsid w:val="00090AC3"/>
    <w:rsid w:val="00090D1A"/>
    <w:rsid w:val="00092919"/>
    <w:rsid w:val="000929CA"/>
    <w:rsid w:val="00094021"/>
    <w:rsid w:val="00094C53"/>
    <w:rsid w:val="00096F71"/>
    <w:rsid w:val="000A047D"/>
    <w:rsid w:val="000A1280"/>
    <w:rsid w:val="000A3F46"/>
    <w:rsid w:val="000A668E"/>
    <w:rsid w:val="000A732F"/>
    <w:rsid w:val="000A7BB7"/>
    <w:rsid w:val="000B095E"/>
    <w:rsid w:val="000B1036"/>
    <w:rsid w:val="000B29D2"/>
    <w:rsid w:val="000B39D6"/>
    <w:rsid w:val="000B59CF"/>
    <w:rsid w:val="000B5BB9"/>
    <w:rsid w:val="000B7816"/>
    <w:rsid w:val="000B7B82"/>
    <w:rsid w:val="000B7DF5"/>
    <w:rsid w:val="000C270F"/>
    <w:rsid w:val="000C279E"/>
    <w:rsid w:val="000C398D"/>
    <w:rsid w:val="000C449A"/>
    <w:rsid w:val="000C46C0"/>
    <w:rsid w:val="000C6207"/>
    <w:rsid w:val="000C7D5F"/>
    <w:rsid w:val="000D0257"/>
    <w:rsid w:val="000D1119"/>
    <w:rsid w:val="000D1498"/>
    <w:rsid w:val="000D1577"/>
    <w:rsid w:val="000D16E0"/>
    <w:rsid w:val="000D170F"/>
    <w:rsid w:val="000D30A3"/>
    <w:rsid w:val="000D6E33"/>
    <w:rsid w:val="000E0393"/>
    <w:rsid w:val="000E39BC"/>
    <w:rsid w:val="000E5687"/>
    <w:rsid w:val="000E6721"/>
    <w:rsid w:val="000E7F7B"/>
    <w:rsid w:val="000F0A21"/>
    <w:rsid w:val="000F2AE3"/>
    <w:rsid w:val="000F43AD"/>
    <w:rsid w:val="000F4557"/>
    <w:rsid w:val="000F49E7"/>
    <w:rsid w:val="000F5CB8"/>
    <w:rsid w:val="000F7DD4"/>
    <w:rsid w:val="00100600"/>
    <w:rsid w:val="00100A0D"/>
    <w:rsid w:val="0010150B"/>
    <w:rsid w:val="00102050"/>
    <w:rsid w:val="00102A72"/>
    <w:rsid w:val="00102C0B"/>
    <w:rsid w:val="001031A7"/>
    <w:rsid w:val="00103838"/>
    <w:rsid w:val="00103E4F"/>
    <w:rsid w:val="00104C45"/>
    <w:rsid w:val="001068A8"/>
    <w:rsid w:val="00106DA0"/>
    <w:rsid w:val="00107221"/>
    <w:rsid w:val="0010748D"/>
    <w:rsid w:val="00107FBD"/>
    <w:rsid w:val="00110F5E"/>
    <w:rsid w:val="0011398D"/>
    <w:rsid w:val="001147EE"/>
    <w:rsid w:val="001150CB"/>
    <w:rsid w:val="00117889"/>
    <w:rsid w:val="00120663"/>
    <w:rsid w:val="00121250"/>
    <w:rsid w:val="00124A9C"/>
    <w:rsid w:val="00124B0F"/>
    <w:rsid w:val="00125B49"/>
    <w:rsid w:val="0012690A"/>
    <w:rsid w:val="00126D20"/>
    <w:rsid w:val="001273C8"/>
    <w:rsid w:val="001310C9"/>
    <w:rsid w:val="001347EF"/>
    <w:rsid w:val="00135A1C"/>
    <w:rsid w:val="00135ABF"/>
    <w:rsid w:val="00137C65"/>
    <w:rsid w:val="00140EFA"/>
    <w:rsid w:val="001413D6"/>
    <w:rsid w:val="001422C6"/>
    <w:rsid w:val="00142333"/>
    <w:rsid w:val="001429D2"/>
    <w:rsid w:val="00144283"/>
    <w:rsid w:val="001451F7"/>
    <w:rsid w:val="00145915"/>
    <w:rsid w:val="00150CC4"/>
    <w:rsid w:val="00151C74"/>
    <w:rsid w:val="00151F03"/>
    <w:rsid w:val="001545EC"/>
    <w:rsid w:val="00154ADC"/>
    <w:rsid w:val="001558E2"/>
    <w:rsid w:val="00155947"/>
    <w:rsid w:val="00156DA8"/>
    <w:rsid w:val="001605F8"/>
    <w:rsid w:val="00160D25"/>
    <w:rsid w:val="00163116"/>
    <w:rsid w:val="00163186"/>
    <w:rsid w:val="001633FD"/>
    <w:rsid w:val="0016340C"/>
    <w:rsid w:val="001644B4"/>
    <w:rsid w:val="001655C9"/>
    <w:rsid w:val="001657D9"/>
    <w:rsid w:val="001657DF"/>
    <w:rsid w:val="0016655F"/>
    <w:rsid w:val="001670CB"/>
    <w:rsid w:val="00167C02"/>
    <w:rsid w:val="001700E4"/>
    <w:rsid w:val="00174078"/>
    <w:rsid w:val="00174A2F"/>
    <w:rsid w:val="00175B76"/>
    <w:rsid w:val="0017623F"/>
    <w:rsid w:val="0018026F"/>
    <w:rsid w:val="00180F7D"/>
    <w:rsid w:val="0018128E"/>
    <w:rsid w:val="00181BB8"/>
    <w:rsid w:val="00183237"/>
    <w:rsid w:val="0018397C"/>
    <w:rsid w:val="00185C1B"/>
    <w:rsid w:val="00186C11"/>
    <w:rsid w:val="00191247"/>
    <w:rsid w:val="001920CB"/>
    <w:rsid w:val="0019351F"/>
    <w:rsid w:val="001951AE"/>
    <w:rsid w:val="0019547C"/>
    <w:rsid w:val="001956A0"/>
    <w:rsid w:val="00197123"/>
    <w:rsid w:val="001A0ADF"/>
    <w:rsid w:val="001A0C50"/>
    <w:rsid w:val="001A1795"/>
    <w:rsid w:val="001A287F"/>
    <w:rsid w:val="001A2B34"/>
    <w:rsid w:val="001A2D9D"/>
    <w:rsid w:val="001A2EDD"/>
    <w:rsid w:val="001A5573"/>
    <w:rsid w:val="001A618A"/>
    <w:rsid w:val="001A64C1"/>
    <w:rsid w:val="001A753B"/>
    <w:rsid w:val="001B079C"/>
    <w:rsid w:val="001B12E5"/>
    <w:rsid w:val="001B142B"/>
    <w:rsid w:val="001B21A2"/>
    <w:rsid w:val="001B22CA"/>
    <w:rsid w:val="001B28CC"/>
    <w:rsid w:val="001B3414"/>
    <w:rsid w:val="001B3537"/>
    <w:rsid w:val="001B5178"/>
    <w:rsid w:val="001B5AD0"/>
    <w:rsid w:val="001B6FD4"/>
    <w:rsid w:val="001C01DA"/>
    <w:rsid w:val="001C1136"/>
    <w:rsid w:val="001C1199"/>
    <w:rsid w:val="001C3844"/>
    <w:rsid w:val="001C543A"/>
    <w:rsid w:val="001C66AC"/>
    <w:rsid w:val="001C693E"/>
    <w:rsid w:val="001D0D78"/>
    <w:rsid w:val="001D173B"/>
    <w:rsid w:val="001D369D"/>
    <w:rsid w:val="001D4A45"/>
    <w:rsid w:val="001D5E00"/>
    <w:rsid w:val="001D669E"/>
    <w:rsid w:val="001D670E"/>
    <w:rsid w:val="001D71CD"/>
    <w:rsid w:val="001D724D"/>
    <w:rsid w:val="001D7F52"/>
    <w:rsid w:val="001E018C"/>
    <w:rsid w:val="001E0809"/>
    <w:rsid w:val="001E45E8"/>
    <w:rsid w:val="001E5BB1"/>
    <w:rsid w:val="001E7DEF"/>
    <w:rsid w:val="001F1B33"/>
    <w:rsid w:val="001F285F"/>
    <w:rsid w:val="001F3278"/>
    <w:rsid w:val="001F3EAE"/>
    <w:rsid w:val="001F411A"/>
    <w:rsid w:val="001F4A0B"/>
    <w:rsid w:val="001F5231"/>
    <w:rsid w:val="001F5232"/>
    <w:rsid w:val="001F54C6"/>
    <w:rsid w:val="001F5BBC"/>
    <w:rsid w:val="0020035A"/>
    <w:rsid w:val="002011B1"/>
    <w:rsid w:val="002019B8"/>
    <w:rsid w:val="00202602"/>
    <w:rsid w:val="0020344F"/>
    <w:rsid w:val="00203740"/>
    <w:rsid w:val="00203833"/>
    <w:rsid w:val="00204911"/>
    <w:rsid w:val="00206C7F"/>
    <w:rsid w:val="002071AF"/>
    <w:rsid w:val="002074F6"/>
    <w:rsid w:val="00210DDD"/>
    <w:rsid w:val="0021216B"/>
    <w:rsid w:val="00213666"/>
    <w:rsid w:val="00213D1D"/>
    <w:rsid w:val="0021430F"/>
    <w:rsid w:val="00214566"/>
    <w:rsid w:val="00214DCA"/>
    <w:rsid w:val="00215D1E"/>
    <w:rsid w:val="002177CC"/>
    <w:rsid w:val="00220F86"/>
    <w:rsid w:val="00221C70"/>
    <w:rsid w:val="00224D11"/>
    <w:rsid w:val="00226F93"/>
    <w:rsid w:val="0022728F"/>
    <w:rsid w:val="00227612"/>
    <w:rsid w:val="00227EE8"/>
    <w:rsid w:val="00230009"/>
    <w:rsid w:val="00230C97"/>
    <w:rsid w:val="00231485"/>
    <w:rsid w:val="00231DC2"/>
    <w:rsid w:val="00233C7A"/>
    <w:rsid w:val="00233CD3"/>
    <w:rsid w:val="0023432F"/>
    <w:rsid w:val="00234FE2"/>
    <w:rsid w:val="002356AF"/>
    <w:rsid w:val="0023577A"/>
    <w:rsid w:val="00235842"/>
    <w:rsid w:val="00240AD9"/>
    <w:rsid w:val="0024123E"/>
    <w:rsid w:val="00241559"/>
    <w:rsid w:val="00242F9B"/>
    <w:rsid w:val="0024420D"/>
    <w:rsid w:val="0024589B"/>
    <w:rsid w:val="002468B4"/>
    <w:rsid w:val="002475DD"/>
    <w:rsid w:val="002477F6"/>
    <w:rsid w:val="00247B13"/>
    <w:rsid w:val="002514FB"/>
    <w:rsid w:val="00254568"/>
    <w:rsid w:val="002550BC"/>
    <w:rsid w:val="00255195"/>
    <w:rsid w:val="00255B54"/>
    <w:rsid w:val="0025652E"/>
    <w:rsid w:val="002574EE"/>
    <w:rsid w:val="0026153F"/>
    <w:rsid w:val="0026371F"/>
    <w:rsid w:val="002641FF"/>
    <w:rsid w:val="00267ED3"/>
    <w:rsid w:val="00272DBF"/>
    <w:rsid w:val="00275119"/>
    <w:rsid w:val="00275FDE"/>
    <w:rsid w:val="00276BFF"/>
    <w:rsid w:val="00277944"/>
    <w:rsid w:val="00277FEE"/>
    <w:rsid w:val="00282304"/>
    <w:rsid w:val="002836BA"/>
    <w:rsid w:val="00283F8A"/>
    <w:rsid w:val="00285776"/>
    <w:rsid w:val="00286496"/>
    <w:rsid w:val="00286B5E"/>
    <w:rsid w:val="00287861"/>
    <w:rsid w:val="0029147C"/>
    <w:rsid w:val="002917CA"/>
    <w:rsid w:val="00291F24"/>
    <w:rsid w:val="00293A3D"/>
    <w:rsid w:val="0029430B"/>
    <w:rsid w:val="00295AC1"/>
    <w:rsid w:val="00295C73"/>
    <w:rsid w:val="00295F7A"/>
    <w:rsid w:val="00297BDA"/>
    <w:rsid w:val="002A0E6F"/>
    <w:rsid w:val="002A2D68"/>
    <w:rsid w:val="002A5FD5"/>
    <w:rsid w:val="002A68B8"/>
    <w:rsid w:val="002A761F"/>
    <w:rsid w:val="002A770A"/>
    <w:rsid w:val="002B0202"/>
    <w:rsid w:val="002B25EA"/>
    <w:rsid w:val="002B2DAF"/>
    <w:rsid w:val="002B3B0B"/>
    <w:rsid w:val="002B4753"/>
    <w:rsid w:val="002B4B1B"/>
    <w:rsid w:val="002B64F2"/>
    <w:rsid w:val="002B6A2A"/>
    <w:rsid w:val="002B7526"/>
    <w:rsid w:val="002B76E5"/>
    <w:rsid w:val="002C0886"/>
    <w:rsid w:val="002C0AE8"/>
    <w:rsid w:val="002C1F25"/>
    <w:rsid w:val="002C28F8"/>
    <w:rsid w:val="002C3049"/>
    <w:rsid w:val="002C4673"/>
    <w:rsid w:val="002C4BBC"/>
    <w:rsid w:val="002C4D11"/>
    <w:rsid w:val="002C6E06"/>
    <w:rsid w:val="002C74FA"/>
    <w:rsid w:val="002D07A8"/>
    <w:rsid w:val="002D42B4"/>
    <w:rsid w:val="002D47AF"/>
    <w:rsid w:val="002D497C"/>
    <w:rsid w:val="002E3056"/>
    <w:rsid w:val="002E32DB"/>
    <w:rsid w:val="002E38D9"/>
    <w:rsid w:val="002E4A2F"/>
    <w:rsid w:val="002E51CD"/>
    <w:rsid w:val="002E59CF"/>
    <w:rsid w:val="002E6E7C"/>
    <w:rsid w:val="002E7A33"/>
    <w:rsid w:val="002F189E"/>
    <w:rsid w:val="002F2C53"/>
    <w:rsid w:val="002F332D"/>
    <w:rsid w:val="002F3D19"/>
    <w:rsid w:val="002F65C5"/>
    <w:rsid w:val="002F6E61"/>
    <w:rsid w:val="002F783F"/>
    <w:rsid w:val="003014A9"/>
    <w:rsid w:val="003019F8"/>
    <w:rsid w:val="0030208C"/>
    <w:rsid w:val="00302215"/>
    <w:rsid w:val="00305171"/>
    <w:rsid w:val="00305D0F"/>
    <w:rsid w:val="003102D2"/>
    <w:rsid w:val="00310A77"/>
    <w:rsid w:val="003115D3"/>
    <w:rsid w:val="00313779"/>
    <w:rsid w:val="00314D92"/>
    <w:rsid w:val="00315BCD"/>
    <w:rsid w:val="00321B07"/>
    <w:rsid w:val="003221E5"/>
    <w:rsid w:val="00322BB2"/>
    <w:rsid w:val="00323552"/>
    <w:rsid w:val="00323B5D"/>
    <w:rsid w:val="003250E4"/>
    <w:rsid w:val="00325F83"/>
    <w:rsid w:val="00327084"/>
    <w:rsid w:val="003274BB"/>
    <w:rsid w:val="0032783B"/>
    <w:rsid w:val="0032786C"/>
    <w:rsid w:val="00332331"/>
    <w:rsid w:val="003332B1"/>
    <w:rsid w:val="00334323"/>
    <w:rsid w:val="00337138"/>
    <w:rsid w:val="00337170"/>
    <w:rsid w:val="00337249"/>
    <w:rsid w:val="003378A7"/>
    <w:rsid w:val="00340790"/>
    <w:rsid w:val="00340A93"/>
    <w:rsid w:val="00341DAC"/>
    <w:rsid w:val="00343368"/>
    <w:rsid w:val="00343472"/>
    <w:rsid w:val="003434D0"/>
    <w:rsid w:val="003446A6"/>
    <w:rsid w:val="00347998"/>
    <w:rsid w:val="0035090F"/>
    <w:rsid w:val="00351430"/>
    <w:rsid w:val="003519C7"/>
    <w:rsid w:val="003534B0"/>
    <w:rsid w:val="003541BF"/>
    <w:rsid w:val="0035577F"/>
    <w:rsid w:val="003558E4"/>
    <w:rsid w:val="00355CBE"/>
    <w:rsid w:val="00356917"/>
    <w:rsid w:val="00356AC0"/>
    <w:rsid w:val="00360F4B"/>
    <w:rsid w:val="00362245"/>
    <w:rsid w:val="003624DA"/>
    <w:rsid w:val="003630ED"/>
    <w:rsid w:val="003631E3"/>
    <w:rsid w:val="0036527A"/>
    <w:rsid w:val="00365A45"/>
    <w:rsid w:val="00370C89"/>
    <w:rsid w:val="0037214E"/>
    <w:rsid w:val="003723AF"/>
    <w:rsid w:val="003729C6"/>
    <w:rsid w:val="003735D9"/>
    <w:rsid w:val="00373EFD"/>
    <w:rsid w:val="00374932"/>
    <w:rsid w:val="00374D68"/>
    <w:rsid w:val="00375D71"/>
    <w:rsid w:val="00377E55"/>
    <w:rsid w:val="003803F7"/>
    <w:rsid w:val="003805C3"/>
    <w:rsid w:val="003808AA"/>
    <w:rsid w:val="003809F0"/>
    <w:rsid w:val="00380A9E"/>
    <w:rsid w:val="00381EC0"/>
    <w:rsid w:val="00382865"/>
    <w:rsid w:val="00382DB4"/>
    <w:rsid w:val="0038488C"/>
    <w:rsid w:val="0038602A"/>
    <w:rsid w:val="00386073"/>
    <w:rsid w:val="00386D98"/>
    <w:rsid w:val="00386EEC"/>
    <w:rsid w:val="00387B53"/>
    <w:rsid w:val="00387E8A"/>
    <w:rsid w:val="00387FF1"/>
    <w:rsid w:val="003909A6"/>
    <w:rsid w:val="0039140E"/>
    <w:rsid w:val="003918BF"/>
    <w:rsid w:val="00391FD4"/>
    <w:rsid w:val="0039200D"/>
    <w:rsid w:val="00395E78"/>
    <w:rsid w:val="003966FF"/>
    <w:rsid w:val="00396CB3"/>
    <w:rsid w:val="00396F33"/>
    <w:rsid w:val="00397159"/>
    <w:rsid w:val="003979C7"/>
    <w:rsid w:val="003979F9"/>
    <w:rsid w:val="003A0BEB"/>
    <w:rsid w:val="003A0E7D"/>
    <w:rsid w:val="003A0F07"/>
    <w:rsid w:val="003A1636"/>
    <w:rsid w:val="003A46D1"/>
    <w:rsid w:val="003A47C2"/>
    <w:rsid w:val="003A4F00"/>
    <w:rsid w:val="003A6BF7"/>
    <w:rsid w:val="003A7441"/>
    <w:rsid w:val="003A7C0A"/>
    <w:rsid w:val="003A7F59"/>
    <w:rsid w:val="003B3993"/>
    <w:rsid w:val="003B4B66"/>
    <w:rsid w:val="003B523A"/>
    <w:rsid w:val="003B5DF1"/>
    <w:rsid w:val="003C033B"/>
    <w:rsid w:val="003C0377"/>
    <w:rsid w:val="003C1053"/>
    <w:rsid w:val="003C1E93"/>
    <w:rsid w:val="003C33C6"/>
    <w:rsid w:val="003C410E"/>
    <w:rsid w:val="003C5EB9"/>
    <w:rsid w:val="003C6C45"/>
    <w:rsid w:val="003D0A94"/>
    <w:rsid w:val="003D4766"/>
    <w:rsid w:val="003D5702"/>
    <w:rsid w:val="003D6CD3"/>
    <w:rsid w:val="003D6D27"/>
    <w:rsid w:val="003E0384"/>
    <w:rsid w:val="003E2775"/>
    <w:rsid w:val="003E4108"/>
    <w:rsid w:val="003E6F39"/>
    <w:rsid w:val="003E70B0"/>
    <w:rsid w:val="003E7D11"/>
    <w:rsid w:val="003F0D4B"/>
    <w:rsid w:val="003F0E47"/>
    <w:rsid w:val="003F60D6"/>
    <w:rsid w:val="003F67C7"/>
    <w:rsid w:val="003F7B26"/>
    <w:rsid w:val="00401C01"/>
    <w:rsid w:val="00403912"/>
    <w:rsid w:val="00403DB5"/>
    <w:rsid w:val="00404480"/>
    <w:rsid w:val="0040496F"/>
    <w:rsid w:val="00404CB4"/>
    <w:rsid w:val="00406B5A"/>
    <w:rsid w:val="0040708D"/>
    <w:rsid w:val="00410239"/>
    <w:rsid w:val="0041198A"/>
    <w:rsid w:val="004151D6"/>
    <w:rsid w:val="00415D48"/>
    <w:rsid w:val="004161F4"/>
    <w:rsid w:val="004168D8"/>
    <w:rsid w:val="00420292"/>
    <w:rsid w:val="0042033E"/>
    <w:rsid w:val="00420766"/>
    <w:rsid w:val="00420C94"/>
    <w:rsid w:val="004217E8"/>
    <w:rsid w:val="00421C65"/>
    <w:rsid w:val="00421C93"/>
    <w:rsid w:val="00422A34"/>
    <w:rsid w:val="00423BA4"/>
    <w:rsid w:val="00424ACA"/>
    <w:rsid w:val="00425604"/>
    <w:rsid w:val="00425AC0"/>
    <w:rsid w:val="00425E3A"/>
    <w:rsid w:val="00425E74"/>
    <w:rsid w:val="00426320"/>
    <w:rsid w:val="004266D2"/>
    <w:rsid w:val="00426AB8"/>
    <w:rsid w:val="00426F02"/>
    <w:rsid w:val="00430D91"/>
    <w:rsid w:val="00431AC5"/>
    <w:rsid w:val="00431EB2"/>
    <w:rsid w:val="00432468"/>
    <w:rsid w:val="0043359A"/>
    <w:rsid w:val="00433AB3"/>
    <w:rsid w:val="00435134"/>
    <w:rsid w:val="00436198"/>
    <w:rsid w:val="004367EE"/>
    <w:rsid w:val="00436E86"/>
    <w:rsid w:val="00437377"/>
    <w:rsid w:val="00440356"/>
    <w:rsid w:val="00441402"/>
    <w:rsid w:val="00441688"/>
    <w:rsid w:val="00441A06"/>
    <w:rsid w:val="00441C1E"/>
    <w:rsid w:val="004435BF"/>
    <w:rsid w:val="004450EB"/>
    <w:rsid w:val="004451D4"/>
    <w:rsid w:val="0044596F"/>
    <w:rsid w:val="00450086"/>
    <w:rsid w:val="00450B9F"/>
    <w:rsid w:val="00452DC1"/>
    <w:rsid w:val="00453965"/>
    <w:rsid w:val="00454637"/>
    <w:rsid w:val="004612F7"/>
    <w:rsid w:val="00462807"/>
    <w:rsid w:val="004633E2"/>
    <w:rsid w:val="00463F15"/>
    <w:rsid w:val="004665EA"/>
    <w:rsid w:val="00466755"/>
    <w:rsid w:val="004669BF"/>
    <w:rsid w:val="00467FE5"/>
    <w:rsid w:val="00470398"/>
    <w:rsid w:val="004703FA"/>
    <w:rsid w:val="00470436"/>
    <w:rsid w:val="004711C2"/>
    <w:rsid w:val="00472602"/>
    <w:rsid w:val="00472699"/>
    <w:rsid w:val="00473A94"/>
    <w:rsid w:val="004759D8"/>
    <w:rsid w:val="004801CB"/>
    <w:rsid w:val="00482EAE"/>
    <w:rsid w:val="004837A3"/>
    <w:rsid w:val="004839DC"/>
    <w:rsid w:val="00483B67"/>
    <w:rsid w:val="004859C7"/>
    <w:rsid w:val="00485B8C"/>
    <w:rsid w:val="00485BB2"/>
    <w:rsid w:val="00486821"/>
    <w:rsid w:val="0048738F"/>
    <w:rsid w:val="00490081"/>
    <w:rsid w:val="00490576"/>
    <w:rsid w:val="00490BAA"/>
    <w:rsid w:val="00490C9B"/>
    <w:rsid w:val="0049134A"/>
    <w:rsid w:val="0049160C"/>
    <w:rsid w:val="00491F01"/>
    <w:rsid w:val="004930C7"/>
    <w:rsid w:val="0049318E"/>
    <w:rsid w:val="0049375E"/>
    <w:rsid w:val="004938A4"/>
    <w:rsid w:val="00494346"/>
    <w:rsid w:val="00494362"/>
    <w:rsid w:val="0049522D"/>
    <w:rsid w:val="00495E42"/>
    <w:rsid w:val="004966BD"/>
    <w:rsid w:val="00496FAF"/>
    <w:rsid w:val="004A0693"/>
    <w:rsid w:val="004A1F79"/>
    <w:rsid w:val="004A2051"/>
    <w:rsid w:val="004A6157"/>
    <w:rsid w:val="004A63DF"/>
    <w:rsid w:val="004A73E4"/>
    <w:rsid w:val="004A7B8A"/>
    <w:rsid w:val="004B16B8"/>
    <w:rsid w:val="004B4204"/>
    <w:rsid w:val="004B4A65"/>
    <w:rsid w:val="004B55BE"/>
    <w:rsid w:val="004C0247"/>
    <w:rsid w:val="004C203F"/>
    <w:rsid w:val="004C3B26"/>
    <w:rsid w:val="004C40A9"/>
    <w:rsid w:val="004C557B"/>
    <w:rsid w:val="004C598C"/>
    <w:rsid w:val="004C67B9"/>
    <w:rsid w:val="004D0A9C"/>
    <w:rsid w:val="004D1D61"/>
    <w:rsid w:val="004D2469"/>
    <w:rsid w:val="004D35E5"/>
    <w:rsid w:val="004D4BF7"/>
    <w:rsid w:val="004E0019"/>
    <w:rsid w:val="004E2B70"/>
    <w:rsid w:val="004E2EB0"/>
    <w:rsid w:val="004E394E"/>
    <w:rsid w:val="004E5007"/>
    <w:rsid w:val="004E5BE7"/>
    <w:rsid w:val="004E677F"/>
    <w:rsid w:val="004E6A83"/>
    <w:rsid w:val="004E6C2D"/>
    <w:rsid w:val="004E6DD8"/>
    <w:rsid w:val="004E71A2"/>
    <w:rsid w:val="004F0111"/>
    <w:rsid w:val="004F0384"/>
    <w:rsid w:val="004F103B"/>
    <w:rsid w:val="004F19A3"/>
    <w:rsid w:val="004F22AD"/>
    <w:rsid w:val="004F241E"/>
    <w:rsid w:val="004F2D18"/>
    <w:rsid w:val="004F2DA3"/>
    <w:rsid w:val="004F4C25"/>
    <w:rsid w:val="004F7FD4"/>
    <w:rsid w:val="00500116"/>
    <w:rsid w:val="005003A7"/>
    <w:rsid w:val="00502CFC"/>
    <w:rsid w:val="00503788"/>
    <w:rsid w:val="00503B48"/>
    <w:rsid w:val="005042D0"/>
    <w:rsid w:val="0050698E"/>
    <w:rsid w:val="00506AA0"/>
    <w:rsid w:val="0050738E"/>
    <w:rsid w:val="005104D4"/>
    <w:rsid w:val="0051136F"/>
    <w:rsid w:val="005138FE"/>
    <w:rsid w:val="00513A8C"/>
    <w:rsid w:val="00514B8E"/>
    <w:rsid w:val="005155CA"/>
    <w:rsid w:val="00515D27"/>
    <w:rsid w:val="00515F7A"/>
    <w:rsid w:val="00516F72"/>
    <w:rsid w:val="00520777"/>
    <w:rsid w:val="0052200E"/>
    <w:rsid w:val="0052202B"/>
    <w:rsid w:val="00522E78"/>
    <w:rsid w:val="005239AC"/>
    <w:rsid w:val="00523F93"/>
    <w:rsid w:val="0052569B"/>
    <w:rsid w:val="00525EC7"/>
    <w:rsid w:val="00525FD4"/>
    <w:rsid w:val="00526769"/>
    <w:rsid w:val="00526BFB"/>
    <w:rsid w:val="00530D58"/>
    <w:rsid w:val="005328C4"/>
    <w:rsid w:val="0053340F"/>
    <w:rsid w:val="005335D9"/>
    <w:rsid w:val="00533738"/>
    <w:rsid w:val="00535EC1"/>
    <w:rsid w:val="00537046"/>
    <w:rsid w:val="0053773C"/>
    <w:rsid w:val="005377CF"/>
    <w:rsid w:val="00537B66"/>
    <w:rsid w:val="005404A0"/>
    <w:rsid w:val="00542709"/>
    <w:rsid w:val="00542B8F"/>
    <w:rsid w:val="00543236"/>
    <w:rsid w:val="005456BB"/>
    <w:rsid w:val="00545786"/>
    <w:rsid w:val="00545FD3"/>
    <w:rsid w:val="00546A94"/>
    <w:rsid w:val="00547676"/>
    <w:rsid w:val="00547845"/>
    <w:rsid w:val="00550696"/>
    <w:rsid w:val="00551433"/>
    <w:rsid w:val="00551894"/>
    <w:rsid w:val="00554371"/>
    <w:rsid w:val="00561317"/>
    <w:rsid w:val="005618AB"/>
    <w:rsid w:val="00562F7B"/>
    <w:rsid w:val="00563D1B"/>
    <w:rsid w:val="0056669B"/>
    <w:rsid w:val="00567A86"/>
    <w:rsid w:val="005701D4"/>
    <w:rsid w:val="0057064C"/>
    <w:rsid w:val="0057065E"/>
    <w:rsid w:val="00570B82"/>
    <w:rsid w:val="00571B57"/>
    <w:rsid w:val="00574261"/>
    <w:rsid w:val="00574683"/>
    <w:rsid w:val="00576035"/>
    <w:rsid w:val="00576761"/>
    <w:rsid w:val="005771B7"/>
    <w:rsid w:val="005772E4"/>
    <w:rsid w:val="00577E08"/>
    <w:rsid w:val="005834D6"/>
    <w:rsid w:val="0058722A"/>
    <w:rsid w:val="005874CD"/>
    <w:rsid w:val="00587AE3"/>
    <w:rsid w:val="00590767"/>
    <w:rsid w:val="00590F39"/>
    <w:rsid w:val="00591BDE"/>
    <w:rsid w:val="005921CB"/>
    <w:rsid w:val="00592309"/>
    <w:rsid w:val="00592A4B"/>
    <w:rsid w:val="0059533C"/>
    <w:rsid w:val="0059653A"/>
    <w:rsid w:val="005A0E1D"/>
    <w:rsid w:val="005A2476"/>
    <w:rsid w:val="005A3D68"/>
    <w:rsid w:val="005A3E13"/>
    <w:rsid w:val="005A53F6"/>
    <w:rsid w:val="005A77E2"/>
    <w:rsid w:val="005B056F"/>
    <w:rsid w:val="005B0E94"/>
    <w:rsid w:val="005B34B5"/>
    <w:rsid w:val="005B6748"/>
    <w:rsid w:val="005B6FF8"/>
    <w:rsid w:val="005B7A85"/>
    <w:rsid w:val="005C0840"/>
    <w:rsid w:val="005C1268"/>
    <w:rsid w:val="005C16E5"/>
    <w:rsid w:val="005C1D21"/>
    <w:rsid w:val="005C1EDC"/>
    <w:rsid w:val="005C487A"/>
    <w:rsid w:val="005C50CC"/>
    <w:rsid w:val="005C5958"/>
    <w:rsid w:val="005C66C0"/>
    <w:rsid w:val="005D23AD"/>
    <w:rsid w:val="005D2AC2"/>
    <w:rsid w:val="005D2ADB"/>
    <w:rsid w:val="005D349A"/>
    <w:rsid w:val="005D3F11"/>
    <w:rsid w:val="005D6571"/>
    <w:rsid w:val="005D79C1"/>
    <w:rsid w:val="005D7D91"/>
    <w:rsid w:val="005E2335"/>
    <w:rsid w:val="005E2E78"/>
    <w:rsid w:val="005E3593"/>
    <w:rsid w:val="005E4231"/>
    <w:rsid w:val="005E5B01"/>
    <w:rsid w:val="005E6730"/>
    <w:rsid w:val="005E70B1"/>
    <w:rsid w:val="005F137E"/>
    <w:rsid w:val="005F258B"/>
    <w:rsid w:val="005F31A7"/>
    <w:rsid w:val="005F43F7"/>
    <w:rsid w:val="005F443B"/>
    <w:rsid w:val="005F4C3A"/>
    <w:rsid w:val="005F5982"/>
    <w:rsid w:val="005F5A16"/>
    <w:rsid w:val="005F7208"/>
    <w:rsid w:val="005F7C8A"/>
    <w:rsid w:val="00600183"/>
    <w:rsid w:val="006003AE"/>
    <w:rsid w:val="00600CDF"/>
    <w:rsid w:val="006014A2"/>
    <w:rsid w:val="006021C2"/>
    <w:rsid w:val="00602548"/>
    <w:rsid w:val="00603BAD"/>
    <w:rsid w:val="00604D8C"/>
    <w:rsid w:val="00604FF7"/>
    <w:rsid w:val="00605E99"/>
    <w:rsid w:val="00606A5A"/>
    <w:rsid w:val="006105C9"/>
    <w:rsid w:val="00611AFD"/>
    <w:rsid w:val="00613065"/>
    <w:rsid w:val="00613AAA"/>
    <w:rsid w:val="00616CC3"/>
    <w:rsid w:val="00617C4A"/>
    <w:rsid w:val="00620471"/>
    <w:rsid w:val="00621243"/>
    <w:rsid w:val="006217BD"/>
    <w:rsid w:val="0062272A"/>
    <w:rsid w:val="006252A9"/>
    <w:rsid w:val="0063135C"/>
    <w:rsid w:val="00631949"/>
    <w:rsid w:val="00632DAE"/>
    <w:rsid w:val="00634820"/>
    <w:rsid w:val="00635A1A"/>
    <w:rsid w:val="0063640E"/>
    <w:rsid w:val="00637AD1"/>
    <w:rsid w:val="00640CE3"/>
    <w:rsid w:val="0064163C"/>
    <w:rsid w:val="00641F27"/>
    <w:rsid w:val="00642437"/>
    <w:rsid w:val="0064278E"/>
    <w:rsid w:val="006432C4"/>
    <w:rsid w:val="006433DB"/>
    <w:rsid w:val="006441AA"/>
    <w:rsid w:val="00644222"/>
    <w:rsid w:val="006444EB"/>
    <w:rsid w:val="0064455D"/>
    <w:rsid w:val="00644E46"/>
    <w:rsid w:val="00645F22"/>
    <w:rsid w:val="006475BF"/>
    <w:rsid w:val="00647E91"/>
    <w:rsid w:val="00650C29"/>
    <w:rsid w:val="006510A8"/>
    <w:rsid w:val="00652773"/>
    <w:rsid w:val="00654634"/>
    <w:rsid w:val="006546C4"/>
    <w:rsid w:val="00654CAC"/>
    <w:rsid w:val="00654E85"/>
    <w:rsid w:val="00655095"/>
    <w:rsid w:val="00655C2F"/>
    <w:rsid w:val="006565F6"/>
    <w:rsid w:val="006577F9"/>
    <w:rsid w:val="00657882"/>
    <w:rsid w:val="00660675"/>
    <w:rsid w:val="0066113B"/>
    <w:rsid w:val="00662423"/>
    <w:rsid w:val="0066328F"/>
    <w:rsid w:val="00665605"/>
    <w:rsid w:val="00665A40"/>
    <w:rsid w:val="00667788"/>
    <w:rsid w:val="006723F0"/>
    <w:rsid w:val="006727B3"/>
    <w:rsid w:val="00673180"/>
    <w:rsid w:val="006769FA"/>
    <w:rsid w:val="00680E5C"/>
    <w:rsid w:val="006827D0"/>
    <w:rsid w:val="00683FD3"/>
    <w:rsid w:val="00686DB0"/>
    <w:rsid w:val="0069262D"/>
    <w:rsid w:val="00693E5E"/>
    <w:rsid w:val="006971A5"/>
    <w:rsid w:val="006A148D"/>
    <w:rsid w:val="006A5EEB"/>
    <w:rsid w:val="006A6FBC"/>
    <w:rsid w:val="006B3F27"/>
    <w:rsid w:val="006B4907"/>
    <w:rsid w:val="006B6C75"/>
    <w:rsid w:val="006B7386"/>
    <w:rsid w:val="006C03C8"/>
    <w:rsid w:val="006C0648"/>
    <w:rsid w:val="006C2C01"/>
    <w:rsid w:val="006C3934"/>
    <w:rsid w:val="006C57BA"/>
    <w:rsid w:val="006C618B"/>
    <w:rsid w:val="006D0BDC"/>
    <w:rsid w:val="006D3691"/>
    <w:rsid w:val="006D3C8A"/>
    <w:rsid w:val="006D4292"/>
    <w:rsid w:val="006D4D56"/>
    <w:rsid w:val="006D59FA"/>
    <w:rsid w:val="006D63D7"/>
    <w:rsid w:val="006D7120"/>
    <w:rsid w:val="006E0030"/>
    <w:rsid w:val="006E2BE1"/>
    <w:rsid w:val="006E4D24"/>
    <w:rsid w:val="006E52C9"/>
    <w:rsid w:val="006E5930"/>
    <w:rsid w:val="006E6B4A"/>
    <w:rsid w:val="006F08E6"/>
    <w:rsid w:val="006F140A"/>
    <w:rsid w:val="006F1534"/>
    <w:rsid w:val="006F177B"/>
    <w:rsid w:val="006F2ED5"/>
    <w:rsid w:val="006F33EC"/>
    <w:rsid w:val="006F4960"/>
    <w:rsid w:val="006F600B"/>
    <w:rsid w:val="006F63E0"/>
    <w:rsid w:val="006F72BE"/>
    <w:rsid w:val="006F7F73"/>
    <w:rsid w:val="007001CD"/>
    <w:rsid w:val="00701277"/>
    <w:rsid w:val="00701845"/>
    <w:rsid w:val="00702E28"/>
    <w:rsid w:val="00704255"/>
    <w:rsid w:val="00704306"/>
    <w:rsid w:val="00704A60"/>
    <w:rsid w:val="00704E92"/>
    <w:rsid w:val="00705A8D"/>
    <w:rsid w:val="00706686"/>
    <w:rsid w:val="0070699B"/>
    <w:rsid w:val="00707546"/>
    <w:rsid w:val="00707C8F"/>
    <w:rsid w:val="007105A7"/>
    <w:rsid w:val="00710C81"/>
    <w:rsid w:val="0071134C"/>
    <w:rsid w:val="007116BF"/>
    <w:rsid w:val="00711B82"/>
    <w:rsid w:val="00711C52"/>
    <w:rsid w:val="00712305"/>
    <w:rsid w:val="00712CD5"/>
    <w:rsid w:val="0071371E"/>
    <w:rsid w:val="007137D6"/>
    <w:rsid w:val="00715A38"/>
    <w:rsid w:val="00715D0B"/>
    <w:rsid w:val="007164FA"/>
    <w:rsid w:val="00716704"/>
    <w:rsid w:val="00720C3F"/>
    <w:rsid w:val="007243E7"/>
    <w:rsid w:val="00725D14"/>
    <w:rsid w:val="00726AFA"/>
    <w:rsid w:val="007302DD"/>
    <w:rsid w:val="0073082F"/>
    <w:rsid w:val="007331B6"/>
    <w:rsid w:val="00734E28"/>
    <w:rsid w:val="007362F8"/>
    <w:rsid w:val="00736637"/>
    <w:rsid w:val="00736BD0"/>
    <w:rsid w:val="00737CBD"/>
    <w:rsid w:val="0074289F"/>
    <w:rsid w:val="00743096"/>
    <w:rsid w:val="00743DA8"/>
    <w:rsid w:val="00745CFC"/>
    <w:rsid w:val="00747CFA"/>
    <w:rsid w:val="0075084A"/>
    <w:rsid w:val="00750B2C"/>
    <w:rsid w:val="00751151"/>
    <w:rsid w:val="00751CA5"/>
    <w:rsid w:val="0075262F"/>
    <w:rsid w:val="00752FC6"/>
    <w:rsid w:val="0075408A"/>
    <w:rsid w:val="00754145"/>
    <w:rsid w:val="00754314"/>
    <w:rsid w:val="00754C59"/>
    <w:rsid w:val="00757029"/>
    <w:rsid w:val="00757429"/>
    <w:rsid w:val="00757F51"/>
    <w:rsid w:val="00760F4D"/>
    <w:rsid w:val="007610EA"/>
    <w:rsid w:val="00762CCA"/>
    <w:rsid w:val="007635A3"/>
    <w:rsid w:val="00763791"/>
    <w:rsid w:val="007638F2"/>
    <w:rsid w:val="0076448F"/>
    <w:rsid w:val="0076465B"/>
    <w:rsid w:val="007648CA"/>
    <w:rsid w:val="00764BB8"/>
    <w:rsid w:val="00764E43"/>
    <w:rsid w:val="00767BA1"/>
    <w:rsid w:val="007702ED"/>
    <w:rsid w:val="00770657"/>
    <w:rsid w:val="0077135D"/>
    <w:rsid w:val="0077270C"/>
    <w:rsid w:val="00773B40"/>
    <w:rsid w:val="00774F80"/>
    <w:rsid w:val="007752D7"/>
    <w:rsid w:val="00775536"/>
    <w:rsid w:val="007768B2"/>
    <w:rsid w:val="007779CD"/>
    <w:rsid w:val="00780EA7"/>
    <w:rsid w:val="00781118"/>
    <w:rsid w:val="00782462"/>
    <w:rsid w:val="0078343E"/>
    <w:rsid w:val="00783AC5"/>
    <w:rsid w:val="00785E10"/>
    <w:rsid w:val="0078600D"/>
    <w:rsid w:val="007865DF"/>
    <w:rsid w:val="0079165D"/>
    <w:rsid w:val="00792641"/>
    <w:rsid w:val="00792B98"/>
    <w:rsid w:val="00793A0C"/>
    <w:rsid w:val="00793E7B"/>
    <w:rsid w:val="0079421B"/>
    <w:rsid w:val="0079466B"/>
    <w:rsid w:val="00794980"/>
    <w:rsid w:val="00795509"/>
    <w:rsid w:val="0079619C"/>
    <w:rsid w:val="00797144"/>
    <w:rsid w:val="007971E0"/>
    <w:rsid w:val="007975E2"/>
    <w:rsid w:val="007A175C"/>
    <w:rsid w:val="007A416C"/>
    <w:rsid w:val="007A4947"/>
    <w:rsid w:val="007A4B19"/>
    <w:rsid w:val="007A4FAF"/>
    <w:rsid w:val="007B45A7"/>
    <w:rsid w:val="007B4691"/>
    <w:rsid w:val="007B6435"/>
    <w:rsid w:val="007B654C"/>
    <w:rsid w:val="007B68F6"/>
    <w:rsid w:val="007B7526"/>
    <w:rsid w:val="007C097D"/>
    <w:rsid w:val="007C16EB"/>
    <w:rsid w:val="007C1CC0"/>
    <w:rsid w:val="007C340B"/>
    <w:rsid w:val="007C3F4E"/>
    <w:rsid w:val="007C46BC"/>
    <w:rsid w:val="007C50EA"/>
    <w:rsid w:val="007C6F5E"/>
    <w:rsid w:val="007D1772"/>
    <w:rsid w:val="007D1F48"/>
    <w:rsid w:val="007D2F8D"/>
    <w:rsid w:val="007D338A"/>
    <w:rsid w:val="007D3428"/>
    <w:rsid w:val="007D3CFC"/>
    <w:rsid w:val="007D40A5"/>
    <w:rsid w:val="007D56DC"/>
    <w:rsid w:val="007D5D2A"/>
    <w:rsid w:val="007E0A8F"/>
    <w:rsid w:val="007E127A"/>
    <w:rsid w:val="007E1B92"/>
    <w:rsid w:val="007E224C"/>
    <w:rsid w:val="007E3966"/>
    <w:rsid w:val="007E4AF8"/>
    <w:rsid w:val="007E529B"/>
    <w:rsid w:val="007E5BEC"/>
    <w:rsid w:val="007E60E9"/>
    <w:rsid w:val="007E7446"/>
    <w:rsid w:val="007E7B2A"/>
    <w:rsid w:val="007F091C"/>
    <w:rsid w:val="007F1F22"/>
    <w:rsid w:val="007F342C"/>
    <w:rsid w:val="007F3592"/>
    <w:rsid w:val="007F38FD"/>
    <w:rsid w:val="007F454A"/>
    <w:rsid w:val="007F4A41"/>
    <w:rsid w:val="007F4E49"/>
    <w:rsid w:val="007F566F"/>
    <w:rsid w:val="007F61CA"/>
    <w:rsid w:val="007F71B0"/>
    <w:rsid w:val="00800EA4"/>
    <w:rsid w:val="0080115A"/>
    <w:rsid w:val="00804AA0"/>
    <w:rsid w:val="00804D03"/>
    <w:rsid w:val="0080537E"/>
    <w:rsid w:val="00805527"/>
    <w:rsid w:val="00806225"/>
    <w:rsid w:val="00811F96"/>
    <w:rsid w:val="008124CC"/>
    <w:rsid w:val="00813732"/>
    <w:rsid w:val="00813C36"/>
    <w:rsid w:val="00813F0E"/>
    <w:rsid w:val="008154DA"/>
    <w:rsid w:val="00815DFE"/>
    <w:rsid w:val="00817BF0"/>
    <w:rsid w:val="008202F9"/>
    <w:rsid w:val="00820A07"/>
    <w:rsid w:val="0082100E"/>
    <w:rsid w:val="008217CF"/>
    <w:rsid w:val="00822D13"/>
    <w:rsid w:val="00822DFA"/>
    <w:rsid w:val="008237E0"/>
    <w:rsid w:val="00824A9E"/>
    <w:rsid w:val="00824E54"/>
    <w:rsid w:val="00825581"/>
    <w:rsid w:val="00825B46"/>
    <w:rsid w:val="00825DD7"/>
    <w:rsid w:val="00825DDD"/>
    <w:rsid w:val="00830AB4"/>
    <w:rsid w:val="00832154"/>
    <w:rsid w:val="00832554"/>
    <w:rsid w:val="00833914"/>
    <w:rsid w:val="00833CC2"/>
    <w:rsid w:val="00833DF9"/>
    <w:rsid w:val="00834EE8"/>
    <w:rsid w:val="00835D8A"/>
    <w:rsid w:val="00837F78"/>
    <w:rsid w:val="00840950"/>
    <w:rsid w:val="00841898"/>
    <w:rsid w:val="00841A4A"/>
    <w:rsid w:val="008421A9"/>
    <w:rsid w:val="00843BA5"/>
    <w:rsid w:val="0084614E"/>
    <w:rsid w:val="00846360"/>
    <w:rsid w:val="008464B5"/>
    <w:rsid w:val="008468EB"/>
    <w:rsid w:val="008475E0"/>
    <w:rsid w:val="008476CD"/>
    <w:rsid w:val="008478E6"/>
    <w:rsid w:val="00850799"/>
    <w:rsid w:val="00851605"/>
    <w:rsid w:val="0085249A"/>
    <w:rsid w:val="008544CD"/>
    <w:rsid w:val="00854F0D"/>
    <w:rsid w:val="008555D9"/>
    <w:rsid w:val="008577DE"/>
    <w:rsid w:val="0086041F"/>
    <w:rsid w:val="00860A1F"/>
    <w:rsid w:val="0086171D"/>
    <w:rsid w:val="00861D3D"/>
    <w:rsid w:val="00862E1B"/>
    <w:rsid w:val="008644F2"/>
    <w:rsid w:val="00864AB4"/>
    <w:rsid w:val="00864D02"/>
    <w:rsid w:val="008651E7"/>
    <w:rsid w:val="008671AA"/>
    <w:rsid w:val="008706CB"/>
    <w:rsid w:val="008707B4"/>
    <w:rsid w:val="00870BB3"/>
    <w:rsid w:val="0087199F"/>
    <w:rsid w:val="008721C0"/>
    <w:rsid w:val="00872DB2"/>
    <w:rsid w:val="00873AC7"/>
    <w:rsid w:val="00873F0A"/>
    <w:rsid w:val="00874E41"/>
    <w:rsid w:val="008755FC"/>
    <w:rsid w:val="008762E3"/>
    <w:rsid w:val="00880E01"/>
    <w:rsid w:val="00880EE0"/>
    <w:rsid w:val="00881EE0"/>
    <w:rsid w:val="0088300A"/>
    <w:rsid w:val="0088359B"/>
    <w:rsid w:val="00884493"/>
    <w:rsid w:val="00885BF7"/>
    <w:rsid w:val="008861CC"/>
    <w:rsid w:val="00886A0B"/>
    <w:rsid w:val="00887362"/>
    <w:rsid w:val="00891982"/>
    <w:rsid w:val="00891D0B"/>
    <w:rsid w:val="00893A7F"/>
    <w:rsid w:val="00895389"/>
    <w:rsid w:val="00895C6A"/>
    <w:rsid w:val="008965B2"/>
    <w:rsid w:val="0089725B"/>
    <w:rsid w:val="008A03E1"/>
    <w:rsid w:val="008A08A3"/>
    <w:rsid w:val="008A0B84"/>
    <w:rsid w:val="008A18B9"/>
    <w:rsid w:val="008A26E3"/>
    <w:rsid w:val="008A28FB"/>
    <w:rsid w:val="008A4D3E"/>
    <w:rsid w:val="008A4EB6"/>
    <w:rsid w:val="008A692D"/>
    <w:rsid w:val="008A69A6"/>
    <w:rsid w:val="008A6D5A"/>
    <w:rsid w:val="008B08DF"/>
    <w:rsid w:val="008B1FB6"/>
    <w:rsid w:val="008B21C0"/>
    <w:rsid w:val="008B266D"/>
    <w:rsid w:val="008B3221"/>
    <w:rsid w:val="008B4E6A"/>
    <w:rsid w:val="008B78D1"/>
    <w:rsid w:val="008B7995"/>
    <w:rsid w:val="008C1EAE"/>
    <w:rsid w:val="008C5399"/>
    <w:rsid w:val="008C53D5"/>
    <w:rsid w:val="008C7934"/>
    <w:rsid w:val="008C7C44"/>
    <w:rsid w:val="008C7F38"/>
    <w:rsid w:val="008D26DA"/>
    <w:rsid w:val="008D3EF7"/>
    <w:rsid w:val="008D428D"/>
    <w:rsid w:val="008D4424"/>
    <w:rsid w:val="008D5102"/>
    <w:rsid w:val="008D541A"/>
    <w:rsid w:val="008D5908"/>
    <w:rsid w:val="008D6B8E"/>
    <w:rsid w:val="008E2240"/>
    <w:rsid w:val="008E2EE2"/>
    <w:rsid w:val="008E4DF9"/>
    <w:rsid w:val="008E52C3"/>
    <w:rsid w:val="008E5591"/>
    <w:rsid w:val="008E58F1"/>
    <w:rsid w:val="008E5B8A"/>
    <w:rsid w:val="008E5D22"/>
    <w:rsid w:val="008F0BAA"/>
    <w:rsid w:val="008F1287"/>
    <w:rsid w:val="008F14D4"/>
    <w:rsid w:val="008F1CA7"/>
    <w:rsid w:val="008F276C"/>
    <w:rsid w:val="008F6D66"/>
    <w:rsid w:val="008F6DDD"/>
    <w:rsid w:val="008F7713"/>
    <w:rsid w:val="008F7C55"/>
    <w:rsid w:val="0090007E"/>
    <w:rsid w:val="00901456"/>
    <w:rsid w:val="00901D66"/>
    <w:rsid w:val="0090223C"/>
    <w:rsid w:val="009025BA"/>
    <w:rsid w:val="009035E0"/>
    <w:rsid w:val="00903CA3"/>
    <w:rsid w:val="00907A5E"/>
    <w:rsid w:val="00910194"/>
    <w:rsid w:val="00910C5D"/>
    <w:rsid w:val="009114E7"/>
    <w:rsid w:val="00911FD5"/>
    <w:rsid w:val="009124F7"/>
    <w:rsid w:val="00912733"/>
    <w:rsid w:val="00912CA0"/>
    <w:rsid w:val="00912CB3"/>
    <w:rsid w:val="00914040"/>
    <w:rsid w:val="00915D29"/>
    <w:rsid w:val="00920661"/>
    <w:rsid w:val="00921B00"/>
    <w:rsid w:val="00927192"/>
    <w:rsid w:val="009322B2"/>
    <w:rsid w:val="009322E7"/>
    <w:rsid w:val="00932841"/>
    <w:rsid w:val="00932DDB"/>
    <w:rsid w:val="009337A4"/>
    <w:rsid w:val="00933897"/>
    <w:rsid w:val="009346EC"/>
    <w:rsid w:val="0093476A"/>
    <w:rsid w:val="00934791"/>
    <w:rsid w:val="009347E1"/>
    <w:rsid w:val="00934F71"/>
    <w:rsid w:val="00935F4B"/>
    <w:rsid w:val="0093667B"/>
    <w:rsid w:val="00937858"/>
    <w:rsid w:val="00940487"/>
    <w:rsid w:val="00942576"/>
    <w:rsid w:val="00942586"/>
    <w:rsid w:val="009428D8"/>
    <w:rsid w:val="009449B4"/>
    <w:rsid w:val="00946922"/>
    <w:rsid w:val="0094719D"/>
    <w:rsid w:val="009504B8"/>
    <w:rsid w:val="00953032"/>
    <w:rsid w:val="009549B8"/>
    <w:rsid w:val="00955E96"/>
    <w:rsid w:val="00955F5D"/>
    <w:rsid w:val="009577D2"/>
    <w:rsid w:val="009579FA"/>
    <w:rsid w:val="00960B76"/>
    <w:rsid w:val="00960E01"/>
    <w:rsid w:val="00960EB8"/>
    <w:rsid w:val="009614B7"/>
    <w:rsid w:val="00962AE3"/>
    <w:rsid w:val="00963225"/>
    <w:rsid w:val="009633ED"/>
    <w:rsid w:val="00964068"/>
    <w:rsid w:val="009652ED"/>
    <w:rsid w:val="00965F1E"/>
    <w:rsid w:val="0096665E"/>
    <w:rsid w:val="00966721"/>
    <w:rsid w:val="00966BE8"/>
    <w:rsid w:val="009673F8"/>
    <w:rsid w:val="009707FE"/>
    <w:rsid w:val="00971FA0"/>
    <w:rsid w:val="00972B93"/>
    <w:rsid w:val="009730A2"/>
    <w:rsid w:val="00974E97"/>
    <w:rsid w:val="009768C6"/>
    <w:rsid w:val="00976955"/>
    <w:rsid w:val="00976E83"/>
    <w:rsid w:val="00980556"/>
    <w:rsid w:val="00982CDE"/>
    <w:rsid w:val="00984D64"/>
    <w:rsid w:val="00985AB6"/>
    <w:rsid w:val="00987359"/>
    <w:rsid w:val="00987869"/>
    <w:rsid w:val="009878F7"/>
    <w:rsid w:val="00987EC7"/>
    <w:rsid w:val="0099182F"/>
    <w:rsid w:val="00992917"/>
    <w:rsid w:val="00992BBA"/>
    <w:rsid w:val="009939F2"/>
    <w:rsid w:val="009942A8"/>
    <w:rsid w:val="00995917"/>
    <w:rsid w:val="00996553"/>
    <w:rsid w:val="0099744A"/>
    <w:rsid w:val="00997490"/>
    <w:rsid w:val="009A168C"/>
    <w:rsid w:val="009A1AC0"/>
    <w:rsid w:val="009A37C1"/>
    <w:rsid w:val="009A442E"/>
    <w:rsid w:val="009A599A"/>
    <w:rsid w:val="009A6955"/>
    <w:rsid w:val="009A7A34"/>
    <w:rsid w:val="009A7D1A"/>
    <w:rsid w:val="009A7DF8"/>
    <w:rsid w:val="009B04D3"/>
    <w:rsid w:val="009B181A"/>
    <w:rsid w:val="009B3D4C"/>
    <w:rsid w:val="009B4170"/>
    <w:rsid w:val="009B4F54"/>
    <w:rsid w:val="009B5189"/>
    <w:rsid w:val="009B543C"/>
    <w:rsid w:val="009B58EE"/>
    <w:rsid w:val="009B726A"/>
    <w:rsid w:val="009B7869"/>
    <w:rsid w:val="009B7F29"/>
    <w:rsid w:val="009C18FC"/>
    <w:rsid w:val="009C1E60"/>
    <w:rsid w:val="009C518A"/>
    <w:rsid w:val="009C5869"/>
    <w:rsid w:val="009C5C36"/>
    <w:rsid w:val="009C6647"/>
    <w:rsid w:val="009C7BED"/>
    <w:rsid w:val="009D1084"/>
    <w:rsid w:val="009D1141"/>
    <w:rsid w:val="009D1EA9"/>
    <w:rsid w:val="009D20DA"/>
    <w:rsid w:val="009D23F5"/>
    <w:rsid w:val="009D3667"/>
    <w:rsid w:val="009D4A75"/>
    <w:rsid w:val="009D5E28"/>
    <w:rsid w:val="009E1909"/>
    <w:rsid w:val="009E1A41"/>
    <w:rsid w:val="009E3EE6"/>
    <w:rsid w:val="009E4AE2"/>
    <w:rsid w:val="009E5820"/>
    <w:rsid w:val="009E641E"/>
    <w:rsid w:val="009E7D67"/>
    <w:rsid w:val="009F00E9"/>
    <w:rsid w:val="009F0E72"/>
    <w:rsid w:val="009F13BF"/>
    <w:rsid w:val="009F157D"/>
    <w:rsid w:val="009F1FC8"/>
    <w:rsid w:val="009F31A8"/>
    <w:rsid w:val="009F4861"/>
    <w:rsid w:val="009F4C23"/>
    <w:rsid w:val="009F4D74"/>
    <w:rsid w:val="009F5264"/>
    <w:rsid w:val="009F77E2"/>
    <w:rsid w:val="00A0095C"/>
    <w:rsid w:val="00A011DE"/>
    <w:rsid w:val="00A014CF"/>
    <w:rsid w:val="00A0577C"/>
    <w:rsid w:val="00A0662F"/>
    <w:rsid w:val="00A071FA"/>
    <w:rsid w:val="00A10668"/>
    <w:rsid w:val="00A11DBB"/>
    <w:rsid w:val="00A1237F"/>
    <w:rsid w:val="00A12DAB"/>
    <w:rsid w:val="00A13573"/>
    <w:rsid w:val="00A1415C"/>
    <w:rsid w:val="00A15368"/>
    <w:rsid w:val="00A160A4"/>
    <w:rsid w:val="00A176C3"/>
    <w:rsid w:val="00A204D4"/>
    <w:rsid w:val="00A209B4"/>
    <w:rsid w:val="00A21A6D"/>
    <w:rsid w:val="00A2392B"/>
    <w:rsid w:val="00A240FE"/>
    <w:rsid w:val="00A268E3"/>
    <w:rsid w:val="00A31263"/>
    <w:rsid w:val="00A32945"/>
    <w:rsid w:val="00A33502"/>
    <w:rsid w:val="00A33567"/>
    <w:rsid w:val="00A34EEF"/>
    <w:rsid w:val="00A35E6A"/>
    <w:rsid w:val="00A37AF9"/>
    <w:rsid w:val="00A37D34"/>
    <w:rsid w:val="00A42007"/>
    <w:rsid w:val="00A443C7"/>
    <w:rsid w:val="00A45C89"/>
    <w:rsid w:val="00A46B06"/>
    <w:rsid w:val="00A46D6F"/>
    <w:rsid w:val="00A47369"/>
    <w:rsid w:val="00A47C4F"/>
    <w:rsid w:val="00A5258A"/>
    <w:rsid w:val="00A52D71"/>
    <w:rsid w:val="00A535DD"/>
    <w:rsid w:val="00A53A75"/>
    <w:rsid w:val="00A53C73"/>
    <w:rsid w:val="00A54149"/>
    <w:rsid w:val="00A561CC"/>
    <w:rsid w:val="00A56224"/>
    <w:rsid w:val="00A56D17"/>
    <w:rsid w:val="00A575BE"/>
    <w:rsid w:val="00A6080C"/>
    <w:rsid w:val="00A62863"/>
    <w:rsid w:val="00A62E9E"/>
    <w:rsid w:val="00A63E38"/>
    <w:rsid w:val="00A66462"/>
    <w:rsid w:val="00A66C77"/>
    <w:rsid w:val="00A67100"/>
    <w:rsid w:val="00A67207"/>
    <w:rsid w:val="00A67378"/>
    <w:rsid w:val="00A67A15"/>
    <w:rsid w:val="00A711E1"/>
    <w:rsid w:val="00A732F1"/>
    <w:rsid w:val="00A73A49"/>
    <w:rsid w:val="00A74CB3"/>
    <w:rsid w:val="00A750C3"/>
    <w:rsid w:val="00A76DCD"/>
    <w:rsid w:val="00A77DB7"/>
    <w:rsid w:val="00A77DC6"/>
    <w:rsid w:val="00A8086B"/>
    <w:rsid w:val="00A80A58"/>
    <w:rsid w:val="00A8112C"/>
    <w:rsid w:val="00A812E6"/>
    <w:rsid w:val="00A81665"/>
    <w:rsid w:val="00A82AFC"/>
    <w:rsid w:val="00A83728"/>
    <w:rsid w:val="00A838FE"/>
    <w:rsid w:val="00A83C03"/>
    <w:rsid w:val="00A84374"/>
    <w:rsid w:val="00A84FF4"/>
    <w:rsid w:val="00A856AB"/>
    <w:rsid w:val="00A86097"/>
    <w:rsid w:val="00A86152"/>
    <w:rsid w:val="00A90101"/>
    <w:rsid w:val="00A903CB"/>
    <w:rsid w:val="00A91D0A"/>
    <w:rsid w:val="00A92D02"/>
    <w:rsid w:val="00A92D9E"/>
    <w:rsid w:val="00A9306D"/>
    <w:rsid w:val="00A95B1E"/>
    <w:rsid w:val="00A97164"/>
    <w:rsid w:val="00AA0FC6"/>
    <w:rsid w:val="00AA144E"/>
    <w:rsid w:val="00AA14FD"/>
    <w:rsid w:val="00AA1721"/>
    <w:rsid w:val="00AA31DC"/>
    <w:rsid w:val="00AA3B53"/>
    <w:rsid w:val="00AA3E96"/>
    <w:rsid w:val="00AA55BF"/>
    <w:rsid w:val="00AA59B5"/>
    <w:rsid w:val="00AA60AB"/>
    <w:rsid w:val="00AA69F5"/>
    <w:rsid w:val="00AA7097"/>
    <w:rsid w:val="00AB0662"/>
    <w:rsid w:val="00AB07B3"/>
    <w:rsid w:val="00AB1BD7"/>
    <w:rsid w:val="00AB1E42"/>
    <w:rsid w:val="00AB3395"/>
    <w:rsid w:val="00AB346F"/>
    <w:rsid w:val="00AB4285"/>
    <w:rsid w:val="00AB63B8"/>
    <w:rsid w:val="00AC013A"/>
    <w:rsid w:val="00AC0449"/>
    <w:rsid w:val="00AC22C3"/>
    <w:rsid w:val="00AC361E"/>
    <w:rsid w:val="00AC4B59"/>
    <w:rsid w:val="00AC5459"/>
    <w:rsid w:val="00AC5774"/>
    <w:rsid w:val="00AC644E"/>
    <w:rsid w:val="00AC70C6"/>
    <w:rsid w:val="00AC70D4"/>
    <w:rsid w:val="00AD13F9"/>
    <w:rsid w:val="00AD1FA1"/>
    <w:rsid w:val="00AD2395"/>
    <w:rsid w:val="00AD27D7"/>
    <w:rsid w:val="00AD4F23"/>
    <w:rsid w:val="00AD521C"/>
    <w:rsid w:val="00AD71E1"/>
    <w:rsid w:val="00AD7265"/>
    <w:rsid w:val="00AE0A57"/>
    <w:rsid w:val="00AE1207"/>
    <w:rsid w:val="00AE1B16"/>
    <w:rsid w:val="00AE1FDD"/>
    <w:rsid w:val="00AE4116"/>
    <w:rsid w:val="00AE6C42"/>
    <w:rsid w:val="00AE6FB9"/>
    <w:rsid w:val="00AE73CD"/>
    <w:rsid w:val="00AE77D7"/>
    <w:rsid w:val="00AE77EE"/>
    <w:rsid w:val="00AF0D0C"/>
    <w:rsid w:val="00AF11E4"/>
    <w:rsid w:val="00AF13FC"/>
    <w:rsid w:val="00AF1BB0"/>
    <w:rsid w:val="00AF23AC"/>
    <w:rsid w:val="00AF29BA"/>
    <w:rsid w:val="00AF3D6F"/>
    <w:rsid w:val="00AF4242"/>
    <w:rsid w:val="00AF428A"/>
    <w:rsid w:val="00AF4AB0"/>
    <w:rsid w:val="00AF4E04"/>
    <w:rsid w:val="00AF4F46"/>
    <w:rsid w:val="00AF509B"/>
    <w:rsid w:val="00AF5BDE"/>
    <w:rsid w:val="00AF7699"/>
    <w:rsid w:val="00AF7C2F"/>
    <w:rsid w:val="00B00616"/>
    <w:rsid w:val="00B014C5"/>
    <w:rsid w:val="00B021DA"/>
    <w:rsid w:val="00B04033"/>
    <w:rsid w:val="00B04715"/>
    <w:rsid w:val="00B05AEF"/>
    <w:rsid w:val="00B063E3"/>
    <w:rsid w:val="00B070BA"/>
    <w:rsid w:val="00B07E0C"/>
    <w:rsid w:val="00B1010A"/>
    <w:rsid w:val="00B10878"/>
    <w:rsid w:val="00B12C8A"/>
    <w:rsid w:val="00B1458B"/>
    <w:rsid w:val="00B1465E"/>
    <w:rsid w:val="00B14E26"/>
    <w:rsid w:val="00B1711A"/>
    <w:rsid w:val="00B17D33"/>
    <w:rsid w:val="00B2062E"/>
    <w:rsid w:val="00B20CBC"/>
    <w:rsid w:val="00B20EB2"/>
    <w:rsid w:val="00B218F4"/>
    <w:rsid w:val="00B23326"/>
    <w:rsid w:val="00B23BAC"/>
    <w:rsid w:val="00B25EC1"/>
    <w:rsid w:val="00B26243"/>
    <w:rsid w:val="00B268F8"/>
    <w:rsid w:val="00B26D25"/>
    <w:rsid w:val="00B27B28"/>
    <w:rsid w:val="00B305D9"/>
    <w:rsid w:val="00B31255"/>
    <w:rsid w:val="00B31E31"/>
    <w:rsid w:val="00B32A1B"/>
    <w:rsid w:val="00B33990"/>
    <w:rsid w:val="00B33E04"/>
    <w:rsid w:val="00B33EF6"/>
    <w:rsid w:val="00B34141"/>
    <w:rsid w:val="00B341BD"/>
    <w:rsid w:val="00B34200"/>
    <w:rsid w:val="00B35AEF"/>
    <w:rsid w:val="00B363AC"/>
    <w:rsid w:val="00B366D6"/>
    <w:rsid w:val="00B36B27"/>
    <w:rsid w:val="00B37CD4"/>
    <w:rsid w:val="00B4003A"/>
    <w:rsid w:val="00B41707"/>
    <w:rsid w:val="00B42941"/>
    <w:rsid w:val="00B443B4"/>
    <w:rsid w:val="00B44DFD"/>
    <w:rsid w:val="00B45F4A"/>
    <w:rsid w:val="00B50450"/>
    <w:rsid w:val="00B504AA"/>
    <w:rsid w:val="00B51CCD"/>
    <w:rsid w:val="00B531F1"/>
    <w:rsid w:val="00B533C6"/>
    <w:rsid w:val="00B55376"/>
    <w:rsid w:val="00B553A3"/>
    <w:rsid w:val="00B558A6"/>
    <w:rsid w:val="00B5668F"/>
    <w:rsid w:val="00B60F40"/>
    <w:rsid w:val="00B61808"/>
    <w:rsid w:val="00B62556"/>
    <w:rsid w:val="00B635E2"/>
    <w:rsid w:val="00B64D14"/>
    <w:rsid w:val="00B65D61"/>
    <w:rsid w:val="00B663F5"/>
    <w:rsid w:val="00B67140"/>
    <w:rsid w:val="00B67297"/>
    <w:rsid w:val="00B67665"/>
    <w:rsid w:val="00B728FE"/>
    <w:rsid w:val="00B750A1"/>
    <w:rsid w:val="00B75558"/>
    <w:rsid w:val="00B7585C"/>
    <w:rsid w:val="00B75B94"/>
    <w:rsid w:val="00B76827"/>
    <w:rsid w:val="00B76D8A"/>
    <w:rsid w:val="00B77A44"/>
    <w:rsid w:val="00B80C96"/>
    <w:rsid w:val="00B82263"/>
    <w:rsid w:val="00B82992"/>
    <w:rsid w:val="00B830B4"/>
    <w:rsid w:val="00B833C5"/>
    <w:rsid w:val="00B83F83"/>
    <w:rsid w:val="00B85D21"/>
    <w:rsid w:val="00B867D2"/>
    <w:rsid w:val="00B870AF"/>
    <w:rsid w:val="00B92219"/>
    <w:rsid w:val="00B92D71"/>
    <w:rsid w:val="00B9358B"/>
    <w:rsid w:val="00B94CC3"/>
    <w:rsid w:val="00B94DBB"/>
    <w:rsid w:val="00B94E78"/>
    <w:rsid w:val="00B97296"/>
    <w:rsid w:val="00BA0B06"/>
    <w:rsid w:val="00BA172E"/>
    <w:rsid w:val="00BA1D3B"/>
    <w:rsid w:val="00BA28E0"/>
    <w:rsid w:val="00BA29E3"/>
    <w:rsid w:val="00BA3435"/>
    <w:rsid w:val="00BA4AEA"/>
    <w:rsid w:val="00BA4B2A"/>
    <w:rsid w:val="00BA539D"/>
    <w:rsid w:val="00BA6C26"/>
    <w:rsid w:val="00BA7F22"/>
    <w:rsid w:val="00BB04B4"/>
    <w:rsid w:val="00BB1346"/>
    <w:rsid w:val="00BB3CAC"/>
    <w:rsid w:val="00BB4170"/>
    <w:rsid w:val="00BB61E2"/>
    <w:rsid w:val="00BB7EA2"/>
    <w:rsid w:val="00BC0AF7"/>
    <w:rsid w:val="00BC0D74"/>
    <w:rsid w:val="00BC21DE"/>
    <w:rsid w:val="00BC3661"/>
    <w:rsid w:val="00BC436C"/>
    <w:rsid w:val="00BC5402"/>
    <w:rsid w:val="00BC547E"/>
    <w:rsid w:val="00BC5813"/>
    <w:rsid w:val="00BC6508"/>
    <w:rsid w:val="00BC6922"/>
    <w:rsid w:val="00BC733D"/>
    <w:rsid w:val="00BD0D3C"/>
    <w:rsid w:val="00BD105F"/>
    <w:rsid w:val="00BD1181"/>
    <w:rsid w:val="00BD11C4"/>
    <w:rsid w:val="00BD29DA"/>
    <w:rsid w:val="00BD409C"/>
    <w:rsid w:val="00BD43A4"/>
    <w:rsid w:val="00BD7FED"/>
    <w:rsid w:val="00BE154C"/>
    <w:rsid w:val="00BE2CF2"/>
    <w:rsid w:val="00BE2F50"/>
    <w:rsid w:val="00BE317E"/>
    <w:rsid w:val="00BE35A1"/>
    <w:rsid w:val="00BE3671"/>
    <w:rsid w:val="00BE3EA0"/>
    <w:rsid w:val="00BE404E"/>
    <w:rsid w:val="00BE409E"/>
    <w:rsid w:val="00BE44A0"/>
    <w:rsid w:val="00BE60D3"/>
    <w:rsid w:val="00BE64F2"/>
    <w:rsid w:val="00BF19B5"/>
    <w:rsid w:val="00BF1EBF"/>
    <w:rsid w:val="00BF1F29"/>
    <w:rsid w:val="00BF584A"/>
    <w:rsid w:val="00BF5BC1"/>
    <w:rsid w:val="00BF5C4C"/>
    <w:rsid w:val="00BF63F2"/>
    <w:rsid w:val="00BF673F"/>
    <w:rsid w:val="00BF699C"/>
    <w:rsid w:val="00C00DD1"/>
    <w:rsid w:val="00C010C3"/>
    <w:rsid w:val="00C02C71"/>
    <w:rsid w:val="00C0465E"/>
    <w:rsid w:val="00C04877"/>
    <w:rsid w:val="00C05EB9"/>
    <w:rsid w:val="00C10356"/>
    <w:rsid w:val="00C10D64"/>
    <w:rsid w:val="00C114B3"/>
    <w:rsid w:val="00C1186F"/>
    <w:rsid w:val="00C13737"/>
    <w:rsid w:val="00C1625E"/>
    <w:rsid w:val="00C1697D"/>
    <w:rsid w:val="00C21C87"/>
    <w:rsid w:val="00C22300"/>
    <w:rsid w:val="00C22854"/>
    <w:rsid w:val="00C25042"/>
    <w:rsid w:val="00C25C3E"/>
    <w:rsid w:val="00C26C09"/>
    <w:rsid w:val="00C26D05"/>
    <w:rsid w:val="00C26E00"/>
    <w:rsid w:val="00C26F49"/>
    <w:rsid w:val="00C302DC"/>
    <w:rsid w:val="00C3056E"/>
    <w:rsid w:val="00C30CBA"/>
    <w:rsid w:val="00C31E44"/>
    <w:rsid w:val="00C336E4"/>
    <w:rsid w:val="00C338AD"/>
    <w:rsid w:val="00C3394A"/>
    <w:rsid w:val="00C339A4"/>
    <w:rsid w:val="00C33C2C"/>
    <w:rsid w:val="00C359AA"/>
    <w:rsid w:val="00C35B70"/>
    <w:rsid w:val="00C37186"/>
    <w:rsid w:val="00C3783D"/>
    <w:rsid w:val="00C42286"/>
    <w:rsid w:val="00C43378"/>
    <w:rsid w:val="00C44098"/>
    <w:rsid w:val="00C46DC0"/>
    <w:rsid w:val="00C47E1A"/>
    <w:rsid w:val="00C50CA5"/>
    <w:rsid w:val="00C51FC6"/>
    <w:rsid w:val="00C52C57"/>
    <w:rsid w:val="00C52E14"/>
    <w:rsid w:val="00C532DF"/>
    <w:rsid w:val="00C5352C"/>
    <w:rsid w:val="00C53B54"/>
    <w:rsid w:val="00C54D25"/>
    <w:rsid w:val="00C5528D"/>
    <w:rsid w:val="00C56CA5"/>
    <w:rsid w:val="00C57DB9"/>
    <w:rsid w:val="00C617D8"/>
    <w:rsid w:val="00C6385E"/>
    <w:rsid w:val="00C63F7B"/>
    <w:rsid w:val="00C6533E"/>
    <w:rsid w:val="00C6717A"/>
    <w:rsid w:val="00C679AC"/>
    <w:rsid w:val="00C7084A"/>
    <w:rsid w:val="00C708D6"/>
    <w:rsid w:val="00C70D99"/>
    <w:rsid w:val="00C715AE"/>
    <w:rsid w:val="00C73BC0"/>
    <w:rsid w:val="00C75390"/>
    <w:rsid w:val="00C75C27"/>
    <w:rsid w:val="00C76A9C"/>
    <w:rsid w:val="00C770AE"/>
    <w:rsid w:val="00C774F2"/>
    <w:rsid w:val="00C77B64"/>
    <w:rsid w:val="00C805F0"/>
    <w:rsid w:val="00C81D31"/>
    <w:rsid w:val="00C827DC"/>
    <w:rsid w:val="00C82D05"/>
    <w:rsid w:val="00C839EA"/>
    <w:rsid w:val="00C83CB6"/>
    <w:rsid w:val="00C83FF8"/>
    <w:rsid w:val="00C8589A"/>
    <w:rsid w:val="00C85DCF"/>
    <w:rsid w:val="00C87C61"/>
    <w:rsid w:val="00C91277"/>
    <w:rsid w:val="00C91D18"/>
    <w:rsid w:val="00C9285A"/>
    <w:rsid w:val="00C92DCE"/>
    <w:rsid w:val="00C94630"/>
    <w:rsid w:val="00C947D6"/>
    <w:rsid w:val="00C94A41"/>
    <w:rsid w:val="00C976F5"/>
    <w:rsid w:val="00CA19F1"/>
    <w:rsid w:val="00CA316B"/>
    <w:rsid w:val="00CA7FC3"/>
    <w:rsid w:val="00CA7FE3"/>
    <w:rsid w:val="00CB048E"/>
    <w:rsid w:val="00CB269C"/>
    <w:rsid w:val="00CB2748"/>
    <w:rsid w:val="00CB4495"/>
    <w:rsid w:val="00CB494A"/>
    <w:rsid w:val="00CB5068"/>
    <w:rsid w:val="00CB66CD"/>
    <w:rsid w:val="00CB6792"/>
    <w:rsid w:val="00CB7CFB"/>
    <w:rsid w:val="00CB7F06"/>
    <w:rsid w:val="00CC0D8F"/>
    <w:rsid w:val="00CC237A"/>
    <w:rsid w:val="00CC456E"/>
    <w:rsid w:val="00CC534F"/>
    <w:rsid w:val="00CC6D94"/>
    <w:rsid w:val="00CC7827"/>
    <w:rsid w:val="00CD7A47"/>
    <w:rsid w:val="00CD7F8B"/>
    <w:rsid w:val="00CE1B99"/>
    <w:rsid w:val="00CE1DC7"/>
    <w:rsid w:val="00CE24AB"/>
    <w:rsid w:val="00CE2A04"/>
    <w:rsid w:val="00CE2E06"/>
    <w:rsid w:val="00CE3381"/>
    <w:rsid w:val="00CE39F1"/>
    <w:rsid w:val="00CE49D7"/>
    <w:rsid w:val="00CE5656"/>
    <w:rsid w:val="00CF30B3"/>
    <w:rsid w:val="00CF3B73"/>
    <w:rsid w:val="00CF48E8"/>
    <w:rsid w:val="00CF4A99"/>
    <w:rsid w:val="00CF593D"/>
    <w:rsid w:val="00CF6819"/>
    <w:rsid w:val="00CF73BF"/>
    <w:rsid w:val="00CF7448"/>
    <w:rsid w:val="00CF7CB0"/>
    <w:rsid w:val="00D0165F"/>
    <w:rsid w:val="00D0276C"/>
    <w:rsid w:val="00D02B35"/>
    <w:rsid w:val="00D0315B"/>
    <w:rsid w:val="00D03C5E"/>
    <w:rsid w:val="00D054EF"/>
    <w:rsid w:val="00D07176"/>
    <w:rsid w:val="00D077F6"/>
    <w:rsid w:val="00D078B7"/>
    <w:rsid w:val="00D07AB5"/>
    <w:rsid w:val="00D102BF"/>
    <w:rsid w:val="00D1093B"/>
    <w:rsid w:val="00D12300"/>
    <w:rsid w:val="00D12748"/>
    <w:rsid w:val="00D12BAB"/>
    <w:rsid w:val="00D137D2"/>
    <w:rsid w:val="00D1556D"/>
    <w:rsid w:val="00D16881"/>
    <w:rsid w:val="00D177A6"/>
    <w:rsid w:val="00D21FC9"/>
    <w:rsid w:val="00D24B7D"/>
    <w:rsid w:val="00D24DE0"/>
    <w:rsid w:val="00D24FE7"/>
    <w:rsid w:val="00D25E54"/>
    <w:rsid w:val="00D26570"/>
    <w:rsid w:val="00D26965"/>
    <w:rsid w:val="00D27084"/>
    <w:rsid w:val="00D273E9"/>
    <w:rsid w:val="00D31181"/>
    <w:rsid w:val="00D32EA0"/>
    <w:rsid w:val="00D33194"/>
    <w:rsid w:val="00D3399F"/>
    <w:rsid w:val="00D34B69"/>
    <w:rsid w:val="00D34E51"/>
    <w:rsid w:val="00D355EC"/>
    <w:rsid w:val="00D368B2"/>
    <w:rsid w:val="00D378F2"/>
    <w:rsid w:val="00D37BB7"/>
    <w:rsid w:val="00D40C73"/>
    <w:rsid w:val="00D40D02"/>
    <w:rsid w:val="00D4141A"/>
    <w:rsid w:val="00D41758"/>
    <w:rsid w:val="00D41A2C"/>
    <w:rsid w:val="00D4229A"/>
    <w:rsid w:val="00D4241A"/>
    <w:rsid w:val="00D42637"/>
    <w:rsid w:val="00D42941"/>
    <w:rsid w:val="00D43BFF"/>
    <w:rsid w:val="00D46067"/>
    <w:rsid w:val="00D46248"/>
    <w:rsid w:val="00D46AC7"/>
    <w:rsid w:val="00D47C68"/>
    <w:rsid w:val="00D5120C"/>
    <w:rsid w:val="00D516BD"/>
    <w:rsid w:val="00D523DA"/>
    <w:rsid w:val="00D52C3D"/>
    <w:rsid w:val="00D55AE7"/>
    <w:rsid w:val="00D55DC9"/>
    <w:rsid w:val="00D56C5E"/>
    <w:rsid w:val="00D57057"/>
    <w:rsid w:val="00D60121"/>
    <w:rsid w:val="00D61D31"/>
    <w:rsid w:val="00D62936"/>
    <w:rsid w:val="00D6321A"/>
    <w:rsid w:val="00D635CE"/>
    <w:rsid w:val="00D644B5"/>
    <w:rsid w:val="00D645E3"/>
    <w:rsid w:val="00D64FC8"/>
    <w:rsid w:val="00D66743"/>
    <w:rsid w:val="00D704A3"/>
    <w:rsid w:val="00D7159C"/>
    <w:rsid w:val="00D71F32"/>
    <w:rsid w:val="00D730A2"/>
    <w:rsid w:val="00D741A1"/>
    <w:rsid w:val="00D7441B"/>
    <w:rsid w:val="00D74F93"/>
    <w:rsid w:val="00D7526A"/>
    <w:rsid w:val="00D77C70"/>
    <w:rsid w:val="00D800E7"/>
    <w:rsid w:val="00D80494"/>
    <w:rsid w:val="00D80A70"/>
    <w:rsid w:val="00D80BE3"/>
    <w:rsid w:val="00D81D6D"/>
    <w:rsid w:val="00D81DF2"/>
    <w:rsid w:val="00D82356"/>
    <w:rsid w:val="00D84D3A"/>
    <w:rsid w:val="00D84DB5"/>
    <w:rsid w:val="00D84EB2"/>
    <w:rsid w:val="00D859BE"/>
    <w:rsid w:val="00D863A4"/>
    <w:rsid w:val="00D90ABE"/>
    <w:rsid w:val="00D90AFE"/>
    <w:rsid w:val="00D90C1E"/>
    <w:rsid w:val="00D925C0"/>
    <w:rsid w:val="00D927E3"/>
    <w:rsid w:val="00D95EA1"/>
    <w:rsid w:val="00D961B4"/>
    <w:rsid w:val="00DA108B"/>
    <w:rsid w:val="00DA1C5F"/>
    <w:rsid w:val="00DA34C5"/>
    <w:rsid w:val="00DA351B"/>
    <w:rsid w:val="00DA5562"/>
    <w:rsid w:val="00DA60EE"/>
    <w:rsid w:val="00DA6613"/>
    <w:rsid w:val="00DA78B8"/>
    <w:rsid w:val="00DB1E19"/>
    <w:rsid w:val="00DB3038"/>
    <w:rsid w:val="00DB325F"/>
    <w:rsid w:val="00DB6477"/>
    <w:rsid w:val="00DB6601"/>
    <w:rsid w:val="00DB6ECE"/>
    <w:rsid w:val="00DB797F"/>
    <w:rsid w:val="00DB7DF1"/>
    <w:rsid w:val="00DC158C"/>
    <w:rsid w:val="00DC461F"/>
    <w:rsid w:val="00DC5B07"/>
    <w:rsid w:val="00DC7AC4"/>
    <w:rsid w:val="00DD073C"/>
    <w:rsid w:val="00DD42D8"/>
    <w:rsid w:val="00DD4352"/>
    <w:rsid w:val="00DD6F22"/>
    <w:rsid w:val="00DD75FD"/>
    <w:rsid w:val="00DE2793"/>
    <w:rsid w:val="00DE32A7"/>
    <w:rsid w:val="00DE3F3B"/>
    <w:rsid w:val="00DE58B1"/>
    <w:rsid w:val="00DE5A86"/>
    <w:rsid w:val="00DE5EC0"/>
    <w:rsid w:val="00DE6C2E"/>
    <w:rsid w:val="00DE6CEE"/>
    <w:rsid w:val="00DE6D73"/>
    <w:rsid w:val="00DF196D"/>
    <w:rsid w:val="00DF205F"/>
    <w:rsid w:val="00DF66B1"/>
    <w:rsid w:val="00DF6747"/>
    <w:rsid w:val="00DF68EC"/>
    <w:rsid w:val="00DF7396"/>
    <w:rsid w:val="00E00BDC"/>
    <w:rsid w:val="00E00E43"/>
    <w:rsid w:val="00E011EF"/>
    <w:rsid w:val="00E02109"/>
    <w:rsid w:val="00E02645"/>
    <w:rsid w:val="00E026AF"/>
    <w:rsid w:val="00E02A36"/>
    <w:rsid w:val="00E03223"/>
    <w:rsid w:val="00E03701"/>
    <w:rsid w:val="00E03D53"/>
    <w:rsid w:val="00E03EC5"/>
    <w:rsid w:val="00E05A53"/>
    <w:rsid w:val="00E05A63"/>
    <w:rsid w:val="00E07F50"/>
    <w:rsid w:val="00E11737"/>
    <w:rsid w:val="00E11EBE"/>
    <w:rsid w:val="00E136FB"/>
    <w:rsid w:val="00E15702"/>
    <w:rsid w:val="00E15BB1"/>
    <w:rsid w:val="00E16859"/>
    <w:rsid w:val="00E16DC0"/>
    <w:rsid w:val="00E22B49"/>
    <w:rsid w:val="00E24E7D"/>
    <w:rsid w:val="00E2702A"/>
    <w:rsid w:val="00E3054C"/>
    <w:rsid w:val="00E31E97"/>
    <w:rsid w:val="00E31F5E"/>
    <w:rsid w:val="00E33579"/>
    <w:rsid w:val="00E35CE3"/>
    <w:rsid w:val="00E362D8"/>
    <w:rsid w:val="00E363C2"/>
    <w:rsid w:val="00E3681C"/>
    <w:rsid w:val="00E36AEE"/>
    <w:rsid w:val="00E372BE"/>
    <w:rsid w:val="00E408D0"/>
    <w:rsid w:val="00E4193E"/>
    <w:rsid w:val="00E42C79"/>
    <w:rsid w:val="00E4483C"/>
    <w:rsid w:val="00E45023"/>
    <w:rsid w:val="00E46060"/>
    <w:rsid w:val="00E4680C"/>
    <w:rsid w:val="00E5001D"/>
    <w:rsid w:val="00E50BCB"/>
    <w:rsid w:val="00E50CD2"/>
    <w:rsid w:val="00E51125"/>
    <w:rsid w:val="00E52582"/>
    <w:rsid w:val="00E53456"/>
    <w:rsid w:val="00E5433E"/>
    <w:rsid w:val="00E547A2"/>
    <w:rsid w:val="00E5569F"/>
    <w:rsid w:val="00E60BB1"/>
    <w:rsid w:val="00E62ECA"/>
    <w:rsid w:val="00E64FF2"/>
    <w:rsid w:val="00E65376"/>
    <w:rsid w:val="00E662B3"/>
    <w:rsid w:val="00E66670"/>
    <w:rsid w:val="00E66837"/>
    <w:rsid w:val="00E674C6"/>
    <w:rsid w:val="00E6762B"/>
    <w:rsid w:val="00E7140A"/>
    <w:rsid w:val="00E718DF"/>
    <w:rsid w:val="00E76F8E"/>
    <w:rsid w:val="00E77E26"/>
    <w:rsid w:val="00E8040E"/>
    <w:rsid w:val="00E806BD"/>
    <w:rsid w:val="00E816E3"/>
    <w:rsid w:val="00E82762"/>
    <w:rsid w:val="00E82BAE"/>
    <w:rsid w:val="00E8326C"/>
    <w:rsid w:val="00E84B27"/>
    <w:rsid w:val="00E853B7"/>
    <w:rsid w:val="00E858FE"/>
    <w:rsid w:val="00E86871"/>
    <w:rsid w:val="00E868F5"/>
    <w:rsid w:val="00E87049"/>
    <w:rsid w:val="00E90274"/>
    <w:rsid w:val="00E906A1"/>
    <w:rsid w:val="00E907CB"/>
    <w:rsid w:val="00E90A70"/>
    <w:rsid w:val="00E92A33"/>
    <w:rsid w:val="00E92CAB"/>
    <w:rsid w:val="00E936B3"/>
    <w:rsid w:val="00E9396F"/>
    <w:rsid w:val="00E93F98"/>
    <w:rsid w:val="00E94955"/>
    <w:rsid w:val="00E97BCA"/>
    <w:rsid w:val="00E97E41"/>
    <w:rsid w:val="00EA01C0"/>
    <w:rsid w:val="00EA01C5"/>
    <w:rsid w:val="00EA2728"/>
    <w:rsid w:val="00EA5B4C"/>
    <w:rsid w:val="00EB0DDE"/>
    <w:rsid w:val="00EB3A96"/>
    <w:rsid w:val="00EB4D5A"/>
    <w:rsid w:val="00EB57FA"/>
    <w:rsid w:val="00EB6BD8"/>
    <w:rsid w:val="00EC0702"/>
    <w:rsid w:val="00EC09A5"/>
    <w:rsid w:val="00EC0C13"/>
    <w:rsid w:val="00EC155A"/>
    <w:rsid w:val="00EC1D76"/>
    <w:rsid w:val="00EC20A0"/>
    <w:rsid w:val="00EC2243"/>
    <w:rsid w:val="00EC2721"/>
    <w:rsid w:val="00EC3230"/>
    <w:rsid w:val="00EC3294"/>
    <w:rsid w:val="00EC401D"/>
    <w:rsid w:val="00EC572F"/>
    <w:rsid w:val="00EC5CCC"/>
    <w:rsid w:val="00EC5EA6"/>
    <w:rsid w:val="00EC6F22"/>
    <w:rsid w:val="00EC7ADC"/>
    <w:rsid w:val="00ED14D7"/>
    <w:rsid w:val="00ED14EA"/>
    <w:rsid w:val="00ED3404"/>
    <w:rsid w:val="00ED4435"/>
    <w:rsid w:val="00ED551D"/>
    <w:rsid w:val="00ED60A2"/>
    <w:rsid w:val="00ED664D"/>
    <w:rsid w:val="00ED6DA2"/>
    <w:rsid w:val="00ED71E8"/>
    <w:rsid w:val="00ED785A"/>
    <w:rsid w:val="00ED7F5C"/>
    <w:rsid w:val="00EE1BE0"/>
    <w:rsid w:val="00EE1F73"/>
    <w:rsid w:val="00EE204E"/>
    <w:rsid w:val="00EE3458"/>
    <w:rsid w:val="00EE39DF"/>
    <w:rsid w:val="00EE4203"/>
    <w:rsid w:val="00EE4347"/>
    <w:rsid w:val="00EE4918"/>
    <w:rsid w:val="00EE6439"/>
    <w:rsid w:val="00EE6441"/>
    <w:rsid w:val="00EE70AF"/>
    <w:rsid w:val="00EF003C"/>
    <w:rsid w:val="00EF0AD8"/>
    <w:rsid w:val="00EF2159"/>
    <w:rsid w:val="00EF2485"/>
    <w:rsid w:val="00EF3CF9"/>
    <w:rsid w:val="00EF5365"/>
    <w:rsid w:val="00EF630B"/>
    <w:rsid w:val="00EF682E"/>
    <w:rsid w:val="00EF7BC3"/>
    <w:rsid w:val="00F01ABB"/>
    <w:rsid w:val="00F02295"/>
    <w:rsid w:val="00F03F7E"/>
    <w:rsid w:val="00F05901"/>
    <w:rsid w:val="00F07899"/>
    <w:rsid w:val="00F105CF"/>
    <w:rsid w:val="00F1356D"/>
    <w:rsid w:val="00F15F5B"/>
    <w:rsid w:val="00F16C08"/>
    <w:rsid w:val="00F16D5A"/>
    <w:rsid w:val="00F204DC"/>
    <w:rsid w:val="00F216C5"/>
    <w:rsid w:val="00F21D3A"/>
    <w:rsid w:val="00F2245F"/>
    <w:rsid w:val="00F22C77"/>
    <w:rsid w:val="00F236F3"/>
    <w:rsid w:val="00F23C5B"/>
    <w:rsid w:val="00F24BE5"/>
    <w:rsid w:val="00F253E8"/>
    <w:rsid w:val="00F25B1B"/>
    <w:rsid w:val="00F3290A"/>
    <w:rsid w:val="00F331B5"/>
    <w:rsid w:val="00F332E9"/>
    <w:rsid w:val="00F35A8A"/>
    <w:rsid w:val="00F36C74"/>
    <w:rsid w:val="00F378A2"/>
    <w:rsid w:val="00F40455"/>
    <w:rsid w:val="00F41259"/>
    <w:rsid w:val="00F41F52"/>
    <w:rsid w:val="00F427A6"/>
    <w:rsid w:val="00F42A49"/>
    <w:rsid w:val="00F44BF8"/>
    <w:rsid w:val="00F45566"/>
    <w:rsid w:val="00F46130"/>
    <w:rsid w:val="00F46B0A"/>
    <w:rsid w:val="00F46CD4"/>
    <w:rsid w:val="00F47DF5"/>
    <w:rsid w:val="00F50412"/>
    <w:rsid w:val="00F50562"/>
    <w:rsid w:val="00F52723"/>
    <w:rsid w:val="00F543E0"/>
    <w:rsid w:val="00F544F1"/>
    <w:rsid w:val="00F56B98"/>
    <w:rsid w:val="00F600E2"/>
    <w:rsid w:val="00F6032C"/>
    <w:rsid w:val="00F61773"/>
    <w:rsid w:val="00F6197E"/>
    <w:rsid w:val="00F63748"/>
    <w:rsid w:val="00F639A8"/>
    <w:rsid w:val="00F65089"/>
    <w:rsid w:val="00F664A0"/>
    <w:rsid w:val="00F66ACF"/>
    <w:rsid w:val="00F67AEB"/>
    <w:rsid w:val="00F70618"/>
    <w:rsid w:val="00F71BC5"/>
    <w:rsid w:val="00F71F3C"/>
    <w:rsid w:val="00F72CB7"/>
    <w:rsid w:val="00F74B72"/>
    <w:rsid w:val="00F75569"/>
    <w:rsid w:val="00F764FE"/>
    <w:rsid w:val="00F7740F"/>
    <w:rsid w:val="00F77D97"/>
    <w:rsid w:val="00F77E0A"/>
    <w:rsid w:val="00F80A7B"/>
    <w:rsid w:val="00F81027"/>
    <w:rsid w:val="00F833AD"/>
    <w:rsid w:val="00F8346F"/>
    <w:rsid w:val="00F8354A"/>
    <w:rsid w:val="00F83FE9"/>
    <w:rsid w:val="00F8786B"/>
    <w:rsid w:val="00F903DD"/>
    <w:rsid w:val="00F939AB"/>
    <w:rsid w:val="00F93DD2"/>
    <w:rsid w:val="00F94345"/>
    <w:rsid w:val="00F94EF8"/>
    <w:rsid w:val="00F950A8"/>
    <w:rsid w:val="00F95B07"/>
    <w:rsid w:val="00F96937"/>
    <w:rsid w:val="00FA007F"/>
    <w:rsid w:val="00FA200E"/>
    <w:rsid w:val="00FA2B47"/>
    <w:rsid w:val="00FA37EF"/>
    <w:rsid w:val="00FA4EF6"/>
    <w:rsid w:val="00FA5E36"/>
    <w:rsid w:val="00FA614C"/>
    <w:rsid w:val="00FA6FA7"/>
    <w:rsid w:val="00FA782C"/>
    <w:rsid w:val="00FB0FE3"/>
    <w:rsid w:val="00FB1FED"/>
    <w:rsid w:val="00FB3783"/>
    <w:rsid w:val="00FB5335"/>
    <w:rsid w:val="00FB6CBA"/>
    <w:rsid w:val="00FC0271"/>
    <w:rsid w:val="00FC02C9"/>
    <w:rsid w:val="00FC1640"/>
    <w:rsid w:val="00FC3641"/>
    <w:rsid w:val="00FC37B7"/>
    <w:rsid w:val="00FC3E31"/>
    <w:rsid w:val="00FC4262"/>
    <w:rsid w:val="00FC4DA0"/>
    <w:rsid w:val="00FC5151"/>
    <w:rsid w:val="00FC5179"/>
    <w:rsid w:val="00FC5C2D"/>
    <w:rsid w:val="00FC675B"/>
    <w:rsid w:val="00FC7AB2"/>
    <w:rsid w:val="00FD0DAD"/>
    <w:rsid w:val="00FD1A76"/>
    <w:rsid w:val="00FD3BC2"/>
    <w:rsid w:val="00FD4935"/>
    <w:rsid w:val="00FD49B6"/>
    <w:rsid w:val="00FD58CB"/>
    <w:rsid w:val="00FD6031"/>
    <w:rsid w:val="00FD7ABA"/>
    <w:rsid w:val="00FE13D4"/>
    <w:rsid w:val="00FE48FB"/>
    <w:rsid w:val="00FE53A0"/>
    <w:rsid w:val="00FE5AA2"/>
    <w:rsid w:val="00FE5C43"/>
    <w:rsid w:val="00FE6760"/>
    <w:rsid w:val="00FE68F0"/>
    <w:rsid w:val="00FE6D37"/>
    <w:rsid w:val="00FF034B"/>
    <w:rsid w:val="00FF0B54"/>
    <w:rsid w:val="00FF1F40"/>
    <w:rsid w:val="00FF2A81"/>
    <w:rsid w:val="00FF46E3"/>
    <w:rsid w:val="00FF479F"/>
    <w:rsid w:val="00FF4A61"/>
    <w:rsid w:val="00FF536E"/>
    <w:rsid w:val="00FF5921"/>
    <w:rsid w:val="00FF5D31"/>
    <w:rsid w:val="00FF67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98DCBD"/>
  <w15:docId w15:val="{F13C7960-CD43-49D8-A3D6-7D4AAC49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lsdException w:name="heading 7" w:semiHidden="1" w:uiPriority="9" w:unhideWhenUsed="1"/>
    <w:lsdException w:name="heading 8"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4" w:qFormat="1"/>
    <w:lsdException w:name="List Number" w:semiHidden="1" w:uiPriority="3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uiPriority="2"/>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D71CD"/>
  </w:style>
  <w:style w:type="paragraph" w:styleId="Heading1">
    <w:name w:val="heading 1"/>
    <w:next w:val="BodyText"/>
    <w:link w:val="Heading1Char"/>
    <w:uiPriority w:val="9"/>
    <w:qFormat/>
    <w:rsid w:val="00792B98"/>
    <w:pPr>
      <w:keepNext/>
      <w:spacing w:before="240" w:after="120" w:line="240" w:lineRule="auto"/>
      <w:outlineLvl w:val="0"/>
    </w:pPr>
    <w:rPr>
      <w:rFonts w:ascii="Palatino Linotype" w:hAnsi="Palatino Linotype"/>
      <w:b/>
      <w:color w:val="007698"/>
      <w:sz w:val="28"/>
      <w:szCs w:val="28"/>
    </w:rPr>
  </w:style>
  <w:style w:type="paragraph" w:styleId="Heading2">
    <w:name w:val="heading 2"/>
    <w:basedOn w:val="Heading1"/>
    <w:next w:val="Normal"/>
    <w:link w:val="Heading2Char"/>
    <w:uiPriority w:val="9"/>
    <w:qFormat/>
    <w:rsid w:val="000B7816"/>
    <w:pPr>
      <w:numPr>
        <w:ilvl w:val="1"/>
      </w:numPr>
      <w:outlineLvl w:val="1"/>
    </w:pPr>
    <w:rPr>
      <w:sz w:val="26"/>
      <w:szCs w:val="26"/>
    </w:rPr>
  </w:style>
  <w:style w:type="paragraph" w:styleId="Heading3">
    <w:name w:val="heading 3"/>
    <w:basedOn w:val="Heading2"/>
    <w:next w:val="BodyText"/>
    <w:link w:val="Heading3Char"/>
    <w:uiPriority w:val="9"/>
    <w:qFormat/>
    <w:rsid w:val="000B7816"/>
    <w:pPr>
      <w:numPr>
        <w:ilvl w:val="2"/>
      </w:numPr>
      <w:outlineLvl w:val="2"/>
    </w:pPr>
    <w:rPr>
      <w:sz w:val="24"/>
    </w:rPr>
  </w:style>
  <w:style w:type="paragraph" w:styleId="Heading4">
    <w:name w:val="heading 4"/>
    <w:next w:val="BodyText"/>
    <w:link w:val="Heading4Char"/>
    <w:uiPriority w:val="9"/>
    <w:qFormat/>
    <w:rsid w:val="00EF2159"/>
    <w:pPr>
      <w:keepNext/>
      <w:spacing w:before="240" w:after="120" w:line="240" w:lineRule="auto"/>
      <w:outlineLvl w:val="3"/>
    </w:pPr>
    <w:rPr>
      <w:b/>
      <w:sz w:val="21"/>
      <w:szCs w:val="21"/>
    </w:rPr>
  </w:style>
  <w:style w:type="paragraph" w:styleId="Heading5">
    <w:name w:val="heading 5"/>
    <w:next w:val="Normal"/>
    <w:link w:val="Heading5Char"/>
    <w:uiPriority w:val="9"/>
    <w:qFormat/>
    <w:rsid w:val="00EF2159"/>
    <w:pPr>
      <w:keepNext/>
      <w:tabs>
        <w:tab w:val="left" w:pos="709"/>
      </w:tabs>
      <w:spacing w:before="240" w:after="120" w:line="240" w:lineRule="auto"/>
      <w:jc w:val="both"/>
      <w:outlineLvl w:val="4"/>
    </w:pPr>
    <w:rPr>
      <w:b/>
      <w:i/>
      <w:sz w:val="21"/>
      <w:szCs w:val="21"/>
    </w:rPr>
  </w:style>
  <w:style w:type="paragraph" w:styleId="Heading6">
    <w:name w:val="heading 6"/>
    <w:basedOn w:val="Normal"/>
    <w:link w:val="Heading6Char"/>
    <w:uiPriority w:val="9"/>
    <w:semiHidden/>
    <w:rsid w:val="001D71CD"/>
    <w:pPr>
      <w:keepNext/>
      <w:keepLines/>
      <w:spacing w:after="80"/>
      <w:outlineLvl w:val="5"/>
    </w:pPr>
    <w:rPr>
      <w:rFonts w:eastAsiaTheme="majorEastAsia" w:cstheme="majorBidi"/>
      <w:i/>
      <w:iCs/>
    </w:rPr>
  </w:style>
  <w:style w:type="paragraph" w:styleId="Heading7">
    <w:name w:val="heading 7"/>
    <w:basedOn w:val="Normal"/>
    <w:next w:val="Normal"/>
    <w:link w:val="Heading7Char"/>
    <w:uiPriority w:val="9"/>
    <w:semiHidden/>
    <w:rsid w:val="00F617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5377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1B12E5"/>
    <w:pPr>
      <w:keepNext/>
      <w:spacing w:after="0" w:line="240" w:lineRule="auto"/>
      <w:outlineLvl w:val="8"/>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B98"/>
    <w:rPr>
      <w:rFonts w:ascii="Palatino Linotype" w:hAnsi="Palatino Linotype"/>
      <w:b/>
      <w:color w:val="007698"/>
      <w:sz w:val="28"/>
      <w:szCs w:val="28"/>
    </w:rPr>
  </w:style>
  <w:style w:type="paragraph" w:styleId="BodyText">
    <w:name w:val="Body Text"/>
    <w:link w:val="BodyTextChar"/>
    <w:qFormat/>
    <w:rsid w:val="001D71CD"/>
    <w:pPr>
      <w:spacing w:after="120"/>
      <w:jc w:val="both"/>
    </w:pPr>
    <w:rPr>
      <w:sz w:val="21"/>
      <w:szCs w:val="21"/>
    </w:rPr>
  </w:style>
  <w:style w:type="character" w:customStyle="1" w:styleId="BodyTextChar">
    <w:name w:val="Body Text Char"/>
    <w:basedOn w:val="DefaultParagraphFont"/>
    <w:link w:val="BodyText"/>
    <w:rsid w:val="001D71CD"/>
    <w:rPr>
      <w:sz w:val="21"/>
      <w:szCs w:val="21"/>
    </w:rPr>
  </w:style>
  <w:style w:type="paragraph" w:styleId="BlockText">
    <w:name w:val="Block Text"/>
    <w:basedOn w:val="Normal"/>
    <w:uiPriority w:val="99"/>
    <w:semiHidden/>
    <w:unhideWhenUsed/>
    <w:rsid w:val="00C770A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numbering" w:customStyle="1" w:styleId="Bullets">
    <w:name w:val="Bullets"/>
    <w:uiPriority w:val="99"/>
    <w:rsid w:val="002B64F2"/>
    <w:pPr>
      <w:numPr>
        <w:numId w:val="22"/>
      </w:numPr>
    </w:pPr>
  </w:style>
  <w:style w:type="paragraph" w:styleId="ListBullet">
    <w:name w:val="List Bullet"/>
    <w:uiPriority w:val="44"/>
    <w:qFormat/>
    <w:rsid w:val="001B6FD4"/>
    <w:pPr>
      <w:numPr>
        <w:numId w:val="22"/>
      </w:numPr>
      <w:tabs>
        <w:tab w:val="left" w:pos="425"/>
      </w:tabs>
      <w:spacing w:after="120"/>
      <w:jc w:val="both"/>
    </w:pPr>
    <w:rPr>
      <w:sz w:val="21"/>
    </w:rPr>
  </w:style>
  <w:style w:type="character" w:customStyle="1" w:styleId="Heading2Char">
    <w:name w:val="Heading 2 Char"/>
    <w:basedOn w:val="DefaultParagraphFont"/>
    <w:link w:val="Heading2"/>
    <w:uiPriority w:val="9"/>
    <w:rsid w:val="000B7816"/>
    <w:rPr>
      <w:rFonts w:ascii="Palatino Linotype" w:hAnsi="Palatino Linotype"/>
      <w:b/>
      <w:color w:val="007698"/>
      <w:sz w:val="26"/>
      <w:szCs w:val="26"/>
    </w:rPr>
  </w:style>
  <w:style w:type="paragraph" w:styleId="BodyText3">
    <w:name w:val="Body Text 3"/>
    <w:link w:val="BodyText3Char"/>
    <w:uiPriority w:val="99"/>
    <w:semiHidden/>
    <w:rsid w:val="00550696"/>
    <w:pPr>
      <w:keepNext/>
      <w:spacing w:after="160" w:line="280" w:lineRule="atLeast"/>
    </w:pPr>
    <w:rPr>
      <w:b/>
      <w:i/>
      <w:sz w:val="21"/>
      <w:szCs w:val="32"/>
    </w:rPr>
  </w:style>
  <w:style w:type="character" w:customStyle="1" w:styleId="BodyText3Char">
    <w:name w:val="Body Text 3 Char"/>
    <w:basedOn w:val="DefaultParagraphFont"/>
    <w:link w:val="BodyText3"/>
    <w:uiPriority w:val="99"/>
    <w:semiHidden/>
    <w:rsid w:val="009633ED"/>
    <w:rPr>
      <w:b/>
      <w:i/>
      <w:sz w:val="21"/>
      <w:szCs w:val="32"/>
    </w:rPr>
  </w:style>
  <w:style w:type="paragraph" w:styleId="Header">
    <w:name w:val="header"/>
    <w:basedOn w:val="Normal"/>
    <w:link w:val="HeaderChar"/>
    <w:uiPriority w:val="99"/>
    <w:semiHidden/>
    <w:rsid w:val="009A69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64FA"/>
  </w:style>
  <w:style w:type="paragraph" w:styleId="Footer">
    <w:name w:val="footer"/>
    <w:link w:val="FooterChar"/>
    <w:uiPriority w:val="99"/>
    <w:semiHidden/>
    <w:rsid w:val="00895C6A"/>
    <w:pPr>
      <w:tabs>
        <w:tab w:val="center" w:pos="4366"/>
        <w:tab w:val="right" w:pos="8732"/>
      </w:tabs>
      <w:spacing w:after="0" w:line="240" w:lineRule="auto"/>
    </w:pPr>
    <w:rPr>
      <w:rFonts w:ascii="Palatino Linotype" w:hAnsi="Palatino Linotype"/>
      <w:sz w:val="14"/>
    </w:rPr>
  </w:style>
  <w:style w:type="character" w:customStyle="1" w:styleId="FooterChar">
    <w:name w:val="Footer Char"/>
    <w:basedOn w:val="DefaultParagraphFont"/>
    <w:link w:val="Footer"/>
    <w:uiPriority w:val="99"/>
    <w:semiHidden/>
    <w:rsid w:val="00895C6A"/>
    <w:rPr>
      <w:rFonts w:ascii="Palatino Linotype" w:hAnsi="Palatino Linotype"/>
      <w:sz w:val="14"/>
    </w:rPr>
  </w:style>
  <w:style w:type="character" w:customStyle="1" w:styleId="Heading3Char">
    <w:name w:val="Heading 3 Char"/>
    <w:basedOn w:val="DefaultParagraphFont"/>
    <w:link w:val="Heading3"/>
    <w:uiPriority w:val="9"/>
    <w:rsid w:val="000B7816"/>
    <w:rPr>
      <w:rFonts w:ascii="Palatino Linotype" w:hAnsi="Palatino Linotype"/>
      <w:b/>
      <w:color w:val="007698"/>
      <w:sz w:val="24"/>
      <w:szCs w:val="26"/>
    </w:rPr>
  </w:style>
  <w:style w:type="character" w:customStyle="1" w:styleId="Heading5Char">
    <w:name w:val="Heading 5 Char"/>
    <w:basedOn w:val="DefaultParagraphFont"/>
    <w:link w:val="Heading5"/>
    <w:uiPriority w:val="9"/>
    <w:rsid w:val="00EF2159"/>
    <w:rPr>
      <w:b/>
      <w:i/>
      <w:sz w:val="21"/>
      <w:szCs w:val="21"/>
    </w:rPr>
  </w:style>
  <w:style w:type="paragraph" w:styleId="ListBullet2">
    <w:name w:val="List Bullet 2"/>
    <w:aliases w:val="List Bullet 2 Indent"/>
    <w:basedOn w:val="Normal"/>
    <w:uiPriority w:val="99"/>
    <w:semiHidden/>
    <w:rsid w:val="001D71CD"/>
    <w:pPr>
      <w:numPr>
        <w:numId w:val="2"/>
      </w:numPr>
      <w:tabs>
        <w:tab w:val="left" w:pos="851"/>
        <w:tab w:val="left" w:pos="1134"/>
      </w:tabs>
      <w:ind w:left="851" w:hanging="425"/>
    </w:pPr>
    <w:rPr>
      <w:snapToGrid w:val="0"/>
    </w:rPr>
  </w:style>
  <w:style w:type="character" w:customStyle="1" w:styleId="Heading4Char">
    <w:name w:val="Heading 4 Char"/>
    <w:basedOn w:val="DefaultParagraphFont"/>
    <w:link w:val="Heading4"/>
    <w:uiPriority w:val="9"/>
    <w:rsid w:val="00EF2159"/>
    <w:rPr>
      <w:b/>
      <w:sz w:val="21"/>
      <w:szCs w:val="21"/>
    </w:rPr>
  </w:style>
  <w:style w:type="character" w:customStyle="1" w:styleId="Heading6Char">
    <w:name w:val="Heading 6 Char"/>
    <w:basedOn w:val="DefaultParagraphFont"/>
    <w:link w:val="Heading6"/>
    <w:uiPriority w:val="9"/>
    <w:semiHidden/>
    <w:rsid w:val="002B64F2"/>
    <w:rPr>
      <w:rFonts w:eastAsiaTheme="majorEastAsia" w:cstheme="majorBidi"/>
      <w:i/>
      <w:iCs/>
      <w:sz w:val="21"/>
      <w:szCs w:val="21"/>
    </w:rPr>
  </w:style>
  <w:style w:type="character" w:customStyle="1" w:styleId="Heading7Char">
    <w:name w:val="Heading 7 Char"/>
    <w:basedOn w:val="DefaultParagraphFont"/>
    <w:link w:val="Heading7"/>
    <w:uiPriority w:val="9"/>
    <w:semiHidden/>
    <w:rsid w:val="005377CF"/>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9E19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uiPriority w:val="99"/>
    <w:rsid w:val="00D80A70"/>
    <w:pPr>
      <w:spacing w:after="0" w:line="240" w:lineRule="auto"/>
      <w:ind w:left="284" w:hanging="284"/>
      <w:jc w:val="both"/>
    </w:pPr>
    <w:rPr>
      <w:sz w:val="18"/>
      <w:szCs w:val="20"/>
    </w:rPr>
  </w:style>
  <w:style w:type="character" w:customStyle="1" w:styleId="FootnoteTextChar">
    <w:name w:val="Footnote Text Char"/>
    <w:basedOn w:val="DefaultParagraphFont"/>
    <w:link w:val="FootnoteText"/>
    <w:uiPriority w:val="99"/>
    <w:rsid w:val="00D80A70"/>
    <w:rPr>
      <w:sz w:val="18"/>
      <w:szCs w:val="20"/>
    </w:rPr>
  </w:style>
  <w:style w:type="character" w:styleId="FootnoteReference">
    <w:name w:val="footnote reference"/>
    <w:basedOn w:val="DefaultParagraphFont"/>
    <w:uiPriority w:val="99"/>
    <w:semiHidden/>
    <w:unhideWhenUsed/>
    <w:rsid w:val="00CB494A"/>
    <w:rPr>
      <w:vertAlign w:val="superscript"/>
    </w:rPr>
  </w:style>
  <w:style w:type="character" w:styleId="Hyperlink">
    <w:name w:val="Hyperlink"/>
    <w:basedOn w:val="DefaultParagraphFont"/>
    <w:uiPriority w:val="99"/>
    <w:rsid w:val="00D80A70"/>
    <w:rPr>
      <w:color w:val="0000FF" w:themeColor="hyperlink"/>
      <w:u w:val="single"/>
    </w:rPr>
  </w:style>
  <w:style w:type="character" w:customStyle="1" w:styleId="Heading8Char">
    <w:name w:val="Heading 8 Char"/>
    <w:basedOn w:val="DefaultParagraphFont"/>
    <w:link w:val="Heading8"/>
    <w:uiPriority w:val="9"/>
    <w:semiHidden/>
    <w:rsid w:val="005377C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8A69A6"/>
    <w:pPr>
      <w:ind w:left="720"/>
      <w:contextualSpacing/>
    </w:pPr>
  </w:style>
  <w:style w:type="numbering" w:customStyle="1" w:styleId="ListLettera">
    <w:name w:val="List Letter (a)"/>
    <w:uiPriority w:val="99"/>
    <w:rsid w:val="005377CF"/>
    <w:pPr>
      <w:numPr>
        <w:numId w:val="1"/>
      </w:numPr>
    </w:pPr>
  </w:style>
  <w:style w:type="paragraph" w:styleId="BalloonText">
    <w:name w:val="Balloon Text"/>
    <w:basedOn w:val="Normal"/>
    <w:link w:val="BalloonTextChar"/>
    <w:uiPriority w:val="99"/>
    <w:semiHidden/>
    <w:rsid w:val="00E16DC0"/>
    <w:pPr>
      <w:spacing w:after="0" w:line="240" w:lineRule="auto"/>
    </w:pPr>
    <w:rPr>
      <w:rFonts w:ascii="Tahoma" w:hAnsi="Tahoma" w:cs="Tahoma"/>
      <w:sz w:val="16"/>
      <w:szCs w:val="16"/>
    </w:rPr>
  </w:style>
  <w:style w:type="paragraph" w:styleId="ListNumber">
    <w:name w:val="List Number"/>
    <w:aliases w:val="Multilevel"/>
    <w:basedOn w:val="BodyText"/>
    <w:uiPriority w:val="39"/>
    <w:qFormat/>
    <w:rsid w:val="000B7816"/>
  </w:style>
  <w:style w:type="character" w:customStyle="1" w:styleId="BalloonTextChar">
    <w:name w:val="Balloon Text Char"/>
    <w:basedOn w:val="DefaultParagraphFont"/>
    <w:link w:val="BalloonText"/>
    <w:uiPriority w:val="99"/>
    <w:semiHidden/>
    <w:rsid w:val="00F544F1"/>
    <w:rPr>
      <w:rFonts w:ascii="Tahoma" w:hAnsi="Tahoma" w:cs="Tahoma"/>
      <w:sz w:val="16"/>
      <w:szCs w:val="16"/>
    </w:rPr>
  </w:style>
  <w:style w:type="paragraph" w:customStyle="1" w:styleId="TableSubtitle">
    <w:name w:val="Table Subtitle"/>
    <w:next w:val="BodyText"/>
    <w:uiPriority w:val="58"/>
    <w:rsid w:val="00145915"/>
    <w:pPr>
      <w:keepNext/>
      <w:spacing w:before="60" w:after="80" w:line="240" w:lineRule="auto"/>
      <w:jc w:val="center"/>
    </w:pPr>
    <w:rPr>
      <w:rFonts w:ascii="Calibri" w:eastAsia="Times New Roman" w:hAnsi="Calibri" w:cs="Arial"/>
      <w:snapToGrid w:val="0"/>
      <w:sz w:val="21"/>
      <w:szCs w:val="20"/>
      <w:lang w:eastAsia="en-US"/>
    </w:rPr>
  </w:style>
  <w:style w:type="character" w:customStyle="1" w:styleId="Heading9Char">
    <w:name w:val="Heading 9 Char"/>
    <w:basedOn w:val="DefaultParagraphFont"/>
    <w:link w:val="Heading9"/>
    <w:uiPriority w:val="9"/>
    <w:semiHidden/>
    <w:rsid w:val="001B12E5"/>
    <w:rPr>
      <w:rFonts w:ascii="Arial" w:eastAsia="Times New Roman" w:hAnsi="Arial" w:cs="Arial"/>
      <w:b/>
      <w:sz w:val="18"/>
      <w:szCs w:val="18"/>
    </w:rPr>
  </w:style>
  <w:style w:type="paragraph" w:customStyle="1" w:styleId="ChapterTitle">
    <w:name w:val="Chapter Title"/>
    <w:uiPriority w:val="7"/>
    <w:semiHidden/>
    <w:qFormat/>
    <w:rsid w:val="000B7816"/>
    <w:pPr>
      <w:pageBreakBefore/>
      <w:pBdr>
        <w:bottom w:val="single" w:sz="48" w:space="30" w:color="00446A"/>
      </w:pBdr>
      <w:spacing w:after="720" w:line="240" w:lineRule="auto"/>
    </w:pPr>
    <w:rPr>
      <w:rFonts w:ascii="Palatino Linotype" w:hAnsi="Palatino Linotype"/>
      <w:b/>
      <w:color w:val="00446A"/>
      <w:sz w:val="40"/>
      <w:szCs w:val="40"/>
    </w:rPr>
  </w:style>
  <w:style w:type="paragraph" w:customStyle="1" w:styleId="TableBody">
    <w:name w:val="Table Body"/>
    <w:uiPriority w:val="91"/>
    <w:rsid w:val="006C0648"/>
    <w:pPr>
      <w:spacing w:before="40" w:after="80" w:line="240" w:lineRule="auto"/>
    </w:pPr>
    <w:rPr>
      <w:rFonts w:ascii="Arial" w:eastAsia="Times New Roman" w:hAnsi="Arial" w:cs="Arial"/>
      <w:snapToGrid w:val="0"/>
      <w:sz w:val="18"/>
      <w:szCs w:val="16"/>
      <w:lang w:eastAsia="en-US"/>
    </w:rPr>
  </w:style>
  <w:style w:type="table" w:customStyle="1" w:styleId="TableGrid1">
    <w:name w:val="Table Grid1"/>
    <w:basedOn w:val="TableNormal"/>
    <w:next w:val="TableGrid"/>
    <w:rsid w:val="00305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semiHidden/>
    <w:rsid w:val="00240AD9"/>
    <w:pPr>
      <w:tabs>
        <w:tab w:val="right" w:pos="3686"/>
        <w:tab w:val="right" w:pos="5387"/>
        <w:tab w:val="right" w:pos="7088"/>
      </w:tabs>
      <w:spacing w:before="170" w:after="0" w:line="240" w:lineRule="exact"/>
      <w:ind w:left="238"/>
    </w:pPr>
    <w:rPr>
      <w:rFonts w:ascii="Myriad Pro Light" w:eastAsia="Times New Roman" w:hAnsi="Myriad Pro Light" w:cs="Times New Roman"/>
      <w:sz w:val="18"/>
      <w:szCs w:val="20"/>
      <w:lang w:eastAsia="en-US"/>
    </w:rPr>
  </w:style>
  <w:style w:type="paragraph" w:customStyle="1" w:styleId="TableColumnHead1">
    <w:name w:val="Table Column Head 1"/>
    <w:basedOn w:val="TableText"/>
    <w:next w:val="TableText"/>
    <w:semiHidden/>
    <w:rsid w:val="00D37BB7"/>
    <w:pPr>
      <w:spacing w:before="0" w:after="20" w:line="240" w:lineRule="auto"/>
      <w:ind w:left="0"/>
      <w:jc w:val="right"/>
    </w:pPr>
    <w:rPr>
      <w:rFonts w:ascii="Arial" w:hAnsi="Arial"/>
      <w:b/>
    </w:rPr>
  </w:style>
  <w:style w:type="paragraph" w:styleId="CommentSubject">
    <w:name w:val="annotation subject"/>
    <w:basedOn w:val="Normal"/>
    <w:link w:val="CommentSubjectChar"/>
    <w:uiPriority w:val="99"/>
    <w:semiHidden/>
    <w:unhideWhenUsed/>
    <w:rsid w:val="00233C7A"/>
    <w:rPr>
      <w:b/>
      <w:bCs/>
    </w:rPr>
  </w:style>
  <w:style w:type="character" w:customStyle="1" w:styleId="CommentSubjectChar">
    <w:name w:val="Comment Subject Char"/>
    <w:basedOn w:val="DefaultParagraphFont"/>
    <w:link w:val="CommentSubject"/>
    <w:uiPriority w:val="99"/>
    <w:semiHidden/>
    <w:rsid w:val="00233C7A"/>
    <w:rPr>
      <w:b/>
      <w:bCs/>
      <w:sz w:val="20"/>
      <w:szCs w:val="20"/>
    </w:rPr>
  </w:style>
  <w:style w:type="paragraph" w:customStyle="1" w:styleId="PY-Contents">
    <w:name w:val="PY - Contents"/>
    <w:basedOn w:val="Normal"/>
    <w:semiHidden/>
    <w:rsid w:val="00240AD9"/>
    <w:pPr>
      <w:spacing w:after="120" w:line="240" w:lineRule="auto"/>
    </w:pPr>
    <w:rPr>
      <w:rFonts w:eastAsiaTheme="minorEastAsia"/>
      <w:sz w:val="24"/>
      <w:szCs w:val="24"/>
      <w:lang w:val="en-US" w:eastAsia="en-US"/>
    </w:rPr>
  </w:style>
  <w:style w:type="paragraph" w:styleId="Title">
    <w:name w:val="Title"/>
    <w:basedOn w:val="Subtitle"/>
    <w:next w:val="Subtitle"/>
    <w:link w:val="TitleChar"/>
    <w:rsid w:val="00964068"/>
    <w:rPr>
      <w:color w:val="00446A"/>
      <w:sz w:val="40"/>
      <w:szCs w:val="48"/>
    </w:rPr>
  </w:style>
  <w:style w:type="character" w:customStyle="1" w:styleId="TitleChar">
    <w:name w:val="Title Char"/>
    <w:basedOn w:val="DefaultParagraphFont"/>
    <w:link w:val="Title"/>
    <w:rsid w:val="00964068"/>
    <w:rPr>
      <w:rFonts w:ascii="Palatino Linotype" w:hAnsi="Palatino Linotype"/>
      <w:b/>
      <w:color w:val="00446A"/>
      <w:sz w:val="40"/>
      <w:szCs w:val="48"/>
    </w:rPr>
  </w:style>
  <w:style w:type="paragraph" w:styleId="Subtitle">
    <w:name w:val="Subtitle"/>
    <w:basedOn w:val="Normal"/>
    <w:next w:val="Normal"/>
    <w:link w:val="SubtitleChar"/>
    <w:uiPriority w:val="1"/>
    <w:semiHidden/>
    <w:rsid w:val="00E4483C"/>
    <w:pPr>
      <w:pBdr>
        <w:bottom w:val="single" w:sz="48" w:space="31" w:color="00446A"/>
      </w:pBdr>
      <w:spacing w:after="360" w:line="240" w:lineRule="auto"/>
      <w:jc w:val="right"/>
    </w:pPr>
    <w:rPr>
      <w:rFonts w:ascii="Palatino Linotype" w:hAnsi="Palatino Linotype"/>
      <w:b/>
      <w:sz w:val="32"/>
      <w:szCs w:val="32"/>
    </w:rPr>
  </w:style>
  <w:style w:type="character" w:customStyle="1" w:styleId="SubtitleChar">
    <w:name w:val="Subtitle Char"/>
    <w:basedOn w:val="DefaultParagraphFont"/>
    <w:link w:val="Subtitle"/>
    <w:uiPriority w:val="1"/>
    <w:semiHidden/>
    <w:rsid w:val="00E4483C"/>
    <w:rPr>
      <w:rFonts w:ascii="Palatino Linotype" w:hAnsi="Palatino Linotype"/>
      <w:b/>
      <w:sz w:val="32"/>
      <w:szCs w:val="32"/>
    </w:rPr>
  </w:style>
  <w:style w:type="table" w:customStyle="1" w:styleId="TableGrid2">
    <w:name w:val="Table Grid2"/>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next w:val="BodyText"/>
    <w:semiHidden/>
    <w:rsid w:val="000C46C0"/>
    <w:pPr>
      <w:keepNext/>
      <w:keepLines/>
      <w:spacing w:before="120" w:after="240" w:line="240" w:lineRule="auto"/>
      <w:jc w:val="right"/>
    </w:pPr>
    <w:rPr>
      <w:rFonts w:ascii="Arial" w:eastAsia="Times New Roman" w:hAnsi="Arial" w:cs="Times New Roman"/>
      <w:sz w:val="16"/>
      <w:szCs w:val="16"/>
      <w:lang w:eastAsia="en-US"/>
    </w:rPr>
  </w:style>
  <w:style w:type="table" w:customStyle="1" w:styleId="TableGrid8">
    <w:name w:val="Table Grid8"/>
    <w:basedOn w:val="TableNormal"/>
    <w:next w:val="TableGrid"/>
    <w:rsid w:val="00A91D0A"/>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91D0A"/>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C534F"/>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next w:val="Normal"/>
    <w:uiPriority w:val="39"/>
    <w:semiHidden/>
    <w:rsid w:val="004C598C"/>
    <w:pPr>
      <w:tabs>
        <w:tab w:val="left" w:pos="709"/>
        <w:tab w:val="right" w:pos="8720"/>
      </w:tabs>
      <w:spacing w:after="100"/>
      <w:ind w:left="567" w:hanging="567"/>
    </w:pPr>
    <w:rPr>
      <w:color w:val="00446A"/>
    </w:rPr>
  </w:style>
  <w:style w:type="paragraph" w:styleId="TOC1">
    <w:name w:val="toc 1"/>
    <w:next w:val="Normal"/>
    <w:uiPriority w:val="39"/>
    <w:semiHidden/>
    <w:rsid w:val="002019B8"/>
    <w:pPr>
      <w:tabs>
        <w:tab w:val="left" w:pos="567"/>
        <w:tab w:val="right" w:pos="8720"/>
      </w:tabs>
      <w:spacing w:after="100"/>
    </w:pPr>
    <w:rPr>
      <w:rFonts w:eastAsiaTheme="minorEastAsia"/>
      <w:color w:val="00446A"/>
      <w:szCs w:val="24"/>
      <w:lang w:val="en-US" w:eastAsia="en-US"/>
    </w:rPr>
  </w:style>
  <w:style w:type="paragraph" w:styleId="TOC3">
    <w:name w:val="toc 3"/>
    <w:basedOn w:val="Normal"/>
    <w:next w:val="Normal"/>
    <w:uiPriority w:val="39"/>
    <w:semiHidden/>
    <w:rsid w:val="004C598C"/>
    <w:pPr>
      <w:tabs>
        <w:tab w:val="left" w:pos="567"/>
        <w:tab w:val="right" w:pos="8720"/>
      </w:tabs>
      <w:spacing w:after="100"/>
    </w:pPr>
    <w:rPr>
      <w:color w:val="00446A"/>
    </w:rPr>
  </w:style>
  <w:style w:type="paragraph" w:styleId="TOC6">
    <w:name w:val="toc 6"/>
    <w:basedOn w:val="Normal"/>
    <w:next w:val="Normal"/>
    <w:autoRedefine/>
    <w:uiPriority w:val="39"/>
    <w:semiHidden/>
    <w:rsid w:val="00214566"/>
    <w:pPr>
      <w:spacing w:after="100"/>
      <w:ind w:left="1100"/>
    </w:pPr>
  </w:style>
  <w:style w:type="paragraph" w:customStyle="1" w:styleId="PY-MainTitleHeading">
    <w:name w:val="PY - Main Title Heading"/>
    <w:basedOn w:val="Normal"/>
    <w:semiHidden/>
    <w:qFormat/>
    <w:rsid w:val="00FC37B7"/>
    <w:pPr>
      <w:widowControl w:val="0"/>
      <w:autoSpaceDE w:val="0"/>
      <w:autoSpaceDN w:val="0"/>
      <w:adjustRightInd w:val="0"/>
      <w:spacing w:after="600" w:line="240" w:lineRule="auto"/>
      <w:ind w:right="-6"/>
      <w:jc w:val="right"/>
    </w:pPr>
    <w:rPr>
      <w:rFonts w:ascii="Palatino Linotype" w:eastAsiaTheme="minorEastAsia" w:hAnsi="Palatino Linotype" w:cs="Cambria"/>
      <w:color w:val="00446A"/>
      <w:sz w:val="56"/>
      <w:szCs w:val="24"/>
      <w:lang w:val="en-US" w:eastAsia="en-US"/>
    </w:rPr>
  </w:style>
  <w:style w:type="character" w:styleId="FollowedHyperlink">
    <w:name w:val="FollowedHyperlink"/>
    <w:basedOn w:val="DefaultParagraphFont"/>
    <w:uiPriority w:val="99"/>
    <w:semiHidden/>
    <w:unhideWhenUsed/>
    <w:rsid w:val="00F94345"/>
    <w:rPr>
      <w:color w:val="800080" w:themeColor="followedHyperlink"/>
      <w:u w:val="single"/>
    </w:rPr>
  </w:style>
  <w:style w:type="paragraph" w:styleId="Revision">
    <w:name w:val="Revision"/>
    <w:hidden/>
    <w:uiPriority w:val="99"/>
    <w:semiHidden/>
    <w:rsid w:val="002B76E5"/>
    <w:pPr>
      <w:spacing w:after="0" w:line="240" w:lineRule="auto"/>
    </w:pPr>
  </w:style>
  <w:style w:type="paragraph" w:styleId="Date">
    <w:name w:val="Date"/>
    <w:basedOn w:val="Subtitle"/>
    <w:next w:val="Normal"/>
    <w:link w:val="DateChar"/>
    <w:uiPriority w:val="2"/>
    <w:rsid w:val="000A7BB7"/>
  </w:style>
  <w:style w:type="character" w:customStyle="1" w:styleId="DateChar">
    <w:name w:val="Date Char"/>
    <w:basedOn w:val="DefaultParagraphFont"/>
    <w:link w:val="Date"/>
    <w:uiPriority w:val="2"/>
    <w:rsid w:val="000A7BB7"/>
    <w:rPr>
      <w:rFonts w:ascii="Palatino Linotype" w:hAnsi="Palatino Linotype"/>
      <w:b/>
      <w:sz w:val="32"/>
      <w:szCs w:val="32"/>
    </w:rPr>
  </w:style>
  <w:style w:type="paragraph" w:customStyle="1" w:styleId="GraphNumber">
    <w:name w:val="Graph Number"/>
    <w:next w:val="Normal"/>
    <w:uiPriority w:val="89"/>
    <w:rsid w:val="00FF1F40"/>
    <w:pPr>
      <w:keepNext/>
      <w:widowControl w:val="0"/>
      <w:spacing w:after="0" w:line="240" w:lineRule="exact"/>
      <w:jc w:val="center"/>
    </w:pPr>
    <w:rPr>
      <w:rFonts w:ascii="Arial" w:eastAsia="Times New Roman" w:hAnsi="Arial" w:cs="Times New Roman"/>
      <w:b/>
      <w:snapToGrid w:val="0"/>
      <w:sz w:val="20"/>
      <w:szCs w:val="20"/>
      <w:lang w:eastAsia="en-US"/>
    </w:rPr>
  </w:style>
  <w:style w:type="table" w:customStyle="1" w:styleId="TableGrid21">
    <w:name w:val="Table Grid21"/>
    <w:basedOn w:val="TableNormal"/>
    <w:next w:val="TableGrid"/>
    <w:rsid w:val="0016655F"/>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792B98"/>
    <w:pPr>
      <w:numPr>
        <w:numId w:val="20"/>
      </w:numPr>
    </w:pPr>
  </w:style>
  <w:style w:type="paragraph" w:styleId="TOC4">
    <w:name w:val="toc 4"/>
    <w:basedOn w:val="Normal"/>
    <w:next w:val="Normal"/>
    <w:autoRedefine/>
    <w:uiPriority w:val="39"/>
    <w:semiHidden/>
    <w:rsid w:val="004C598C"/>
    <w:pPr>
      <w:spacing w:after="100"/>
      <w:ind w:left="660"/>
    </w:pPr>
  </w:style>
  <w:style w:type="paragraph" w:styleId="TOC5">
    <w:name w:val="toc 5"/>
    <w:basedOn w:val="Normal"/>
    <w:next w:val="Normal"/>
    <w:autoRedefine/>
    <w:uiPriority w:val="39"/>
    <w:semiHidden/>
    <w:rsid w:val="004C598C"/>
    <w:pPr>
      <w:spacing w:after="100"/>
      <w:ind w:left="880"/>
    </w:pPr>
  </w:style>
  <w:style w:type="paragraph" w:customStyle="1" w:styleId="Appendix">
    <w:name w:val="Appendix"/>
    <w:basedOn w:val="Heading1"/>
    <w:next w:val="BodyText"/>
    <w:uiPriority w:val="99"/>
    <w:rsid w:val="00935F4B"/>
    <w:pPr>
      <w:pageBreakBefore/>
      <w:numPr>
        <w:numId w:val="27"/>
      </w:numPr>
    </w:pPr>
  </w:style>
  <w:style w:type="character" w:styleId="PlaceholderText">
    <w:name w:val="Placeholder Text"/>
    <w:basedOn w:val="DefaultParagraphFont"/>
    <w:uiPriority w:val="99"/>
    <w:semiHidden/>
    <w:rsid w:val="0039140E"/>
    <w:rPr>
      <w:color w:val="595959" w:themeColor="text1" w:themeTint="A6"/>
      <w:bdr w:val="none" w:sz="0" w:space="0" w:color="auto"/>
      <w:shd w:val="clear" w:color="auto" w:fill="FFFF00"/>
    </w:rPr>
  </w:style>
  <w:style w:type="paragraph" w:customStyle="1" w:styleId="TableFootnote">
    <w:name w:val="Table Footnote"/>
    <w:basedOn w:val="TableBody"/>
    <w:uiPriority w:val="91"/>
    <w:rsid w:val="00145915"/>
    <w:pPr>
      <w:tabs>
        <w:tab w:val="left" w:pos="425"/>
      </w:tabs>
      <w:spacing w:after="40"/>
      <w:ind w:left="425" w:hanging="425"/>
    </w:pPr>
    <w:rPr>
      <w:sz w:val="16"/>
    </w:rPr>
  </w:style>
  <w:style w:type="paragraph" w:customStyle="1" w:styleId="TableTitle">
    <w:name w:val="Table Title"/>
    <w:next w:val="BodyText"/>
    <w:uiPriority w:val="57"/>
    <w:rsid w:val="00EC1D76"/>
    <w:pPr>
      <w:keepNext/>
      <w:spacing w:before="120" w:after="60" w:line="240" w:lineRule="auto"/>
      <w:jc w:val="center"/>
    </w:pPr>
    <w:rPr>
      <w:rFonts w:eastAsiaTheme="minorEastAsia"/>
      <w:b/>
      <w:sz w:val="21"/>
    </w:rPr>
  </w:style>
  <w:style w:type="paragraph" w:styleId="TOCHeading">
    <w:name w:val="TOC Heading"/>
    <w:basedOn w:val="Heading1"/>
    <w:next w:val="Normal"/>
    <w:uiPriority w:val="39"/>
    <w:semiHidden/>
    <w:unhideWhenUsed/>
    <w:qFormat/>
    <w:rsid w:val="00343472"/>
    <w:pPr>
      <w:keepLines/>
      <w:spacing w:before="480" w:after="240" w:line="276" w:lineRule="auto"/>
      <w:outlineLvl w:val="9"/>
    </w:pPr>
    <w:rPr>
      <w:rFonts w:eastAsiaTheme="majorEastAsia" w:cstheme="majorBidi"/>
      <w:bCs/>
      <w:lang w:val="en-US" w:eastAsia="ja-JP"/>
    </w:rPr>
  </w:style>
  <w:style w:type="paragraph" w:customStyle="1" w:styleId="FootnoteFollowing">
    <w:name w:val="Footnote Following"/>
    <w:basedOn w:val="FootnoteText"/>
    <w:uiPriority w:val="98"/>
    <w:semiHidden/>
    <w:rsid w:val="00FD1A76"/>
  </w:style>
  <w:style w:type="paragraph" w:customStyle="1" w:styleId="GraphTitle">
    <w:name w:val="Graph Title"/>
    <w:next w:val="BodyText"/>
    <w:rsid w:val="006C0648"/>
    <w:pPr>
      <w:keepNext/>
      <w:spacing w:before="120" w:after="60" w:line="240" w:lineRule="auto"/>
      <w:jc w:val="center"/>
    </w:pPr>
    <w:rPr>
      <w:rFonts w:ascii="Arial" w:eastAsiaTheme="minorEastAsia" w:hAnsi="Arial"/>
      <w:b/>
      <w:sz w:val="20"/>
    </w:rPr>
  </w:style>
  <w:style w:type="paragraph" w:customStyle="1" w:styleId="ColumnHeading1">
    <w:name w:val="Column Heading 1"/>
    <w:basedOn w:val="TableBody"/>
    <w:next w:val="ColumnHeading2"/>
    <w:rsid w:val="006C0648"/>
    <w:pPr>
      <w:jc w:val="right"/>
    </w:pPr>
    <w:rPr>
      <w:b/>
      <w:szCs w:val="18"/>
    </w:rPr>
  </w:style>
  <w:style w:type="paragraph" w:customStyle="1" w:styleId="ColumnHeading2">
    <w:name w:val="Column Heading 2"/>
    <w:basedOn w:val="ColumnHeading1"/>
    <w:qFormat/>
    <w:rsid w:val="006C0648"/>
    <w:pPr>
      <w:keepNext/>
      <w:keepLines/>
    </w:pPr>
    <w:rPr>
      <w:rFonts w:cs="Times New Roman"/>
      <w:b w:val="0"/>
    </w:rPr>
  </w:style>
  <w:style w:type="table" w:customStyle="1" w:styleId="TableGrid11">
    <w:name w:val="Table Grid11"/>
    <w:basedOn w:val="TableNormal"/>
    <w:next w:val="TableGrid"/>
    <w:uiPriority w:val="59"/>
    <w:rsid w:val="00CD7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D7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01D"/>
    <w:rPr>
      <w:sz w:val="16"/>
      <w:szCs w:val="16"/>
    </w:rPr>
  </w:style>
  <w:style w:type="paragraph" w:styleId="CommentText">
    <w:name w:val="annotation text"/>
    <w:basedOn w:val="Normal"/>
    <w:link w:val="CommentTextChar"/>
    <w:uiPriority w:val="99"/>
    <w:semiHidden/>
    <w:unhideWhenUsed/>
    <w:rsid w:val="00E5001D"/>
    <w:pPr>
      <w:spacing w:line="240" w:lineRule="auto"/>
    </w:pPr>
    <w:rPr>
      <w:sz w:val="20"/>
      <w:szCs w:val="20"/>
    </w:rPr>
  </w:style>
  <w:style w:type="character" w:customStyle="1" w:styleId="CommentTextChar">
    <w:name w:val="Comment Text Char"/>
    <w:basedOn w:val="DefaultParagraphFont"/>
    <w:link w:val="CommentText"/>
    <w:uiPriority w:val="99"/>
    <w:semiHidden/>
    <w:rsid w:val="00E5001D"/>
    <w:rPr>
      <w:sz w:val="20"/>
      <w:szCs w:val="20"/>
    </w:rPr>
  </w:style>
  <w:style w:type="paragraph" w:styleId="Bibliography">
    <w:name w:val="Bibliography"/>
    <w:basedOn w:val="Normal"/>
    <w:next w:val="Normal"/>
    <w:uiPriority w:val="37"/>
    <w:unhideWhenUsed/>
    <w:rsid w:val="00386EEC"/>
  </w:style>
  <w:style w:type="table" w:customStyle="1" w:styleId="TableGrid13">
    <w:name w:val="Table Grid13"/>
    <w:basedOn w:val="TableNormal"/>
    <w:next w:val="TableGrid"/>
    <w:uiPriority w:val="59"/>
    <w:rsid w:val="006416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06C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uiPriority w:val="99"/>
    <w:rsid w:val="00094021"/>
    <w:pPr>
      <w:numPr>
        <w:numId w:val="56"/>
      </w:numPr>
    </w:pPr>
  </w:style>
  <w:style w:type="character" w:customStyle="1" w:styleId="rss-mr-title">
    <w:name w:val="rss-mr-title"/>
    <w:basedOn w:val="DefaultParagraphFont"/>
    <w:rsid w:val="0009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8263">
      <w:bodyDiv w:val="1"/>
      <w:marLeft w:val="0"/>
      <w:marRight w:val="0"/>
      <w:marTop w:val="0"/>
      <w:marBottom w:val="0"/>
      <w:divBdr>
        <w:top w:val="none" w:sz="0" w:space="0" w:color="auto"/>
        <w:left w:val="none" w:sz="0" w:space="0" w:color="auto"/>
        <w:bottom w:val="none" w:sz="0" w:space="0" w:color="auto"/>
        <w:right w:val="none" w:sz="0" w:space="0" w:color="auto"/>
      </w:divBdr>
    </w:div>
    <w:div w:id="722558038">
      <w:bodyDiv w:val="1"/>
      <w:marLeft w:val="0"/>
      <w:marRight w:val="0"/>
      <w:marTop w:val="0"/>
      <w:marBottom w:val="0"/>
      <w:divBdr>
        <w:top w:val="none" w:sz="0" w:space="0" w:color="auto"/>
        <w:left w:val="none" w:sz="0" w:space="0" w:color="auto"/>
        <w:bottom w:val="none" w:sz="0" w:space="0" w:color="auto"/>
        <w:right w:val="none" w:sz="0" w:space="0" w:color="auto"/>
      </w:divBdr>
      <w:divsChild>
        <w:div w:id="1959291332">
          <w:marLeft w:val="0"/>
          <w:marRight w:val="0"/>
          <w:marTop w:val="0"/>
          <w:marBottom w:val="0"/>
          <w:divBdr>
            <w:top w:val="none" w:sz="0" w:space="0" w:color="auto"/>
            <w:left w:val="none" w:sz="0" w:space="0" w:color="auto"/>
            <w:bottom w:val="none" w:sz="0" w:space="0" w:color="auto"/>
            <w:right w:val="none" w:sz="0" w:space="0" w:color="auto"/>
          </w:divBdr>
          <w:divsChild>
            <w:div w:id="1869635026">
              <w:marLeft w:val="0"/>
              <w:marRight w:val="0"/>
              <w:marTop w:val="0"/>
              <w:marBottom w:val="0"/>
              <w:divBdr>
                <w:top w:val="none" w:sz="0" w:space="0" w:color="auto"/>
                <w:left w:val="none" w:sz="0" w:space="0" w:color="auto"/>
                <w:bottom w:val="none" w:sz="0" w:space="0" w:color="auto"/>
                <w:right w:val="none" w:sz="0" w:space="0" w:color="auto"/>
              </w:divBdr>
              <w:divsChild>
                <w:div w:id="1198471148">
                  <w:marLeft w:val="0"/>
                  <w:marRight w:val="0"/>
                  <w:marTop w:val="0"/>
                  <w:marBottom w:val="0"/>
                  <w:divBdr>
                    <w:top w:val="none" w:sz="0" w:space="0" w:color="auto"/>
                    <w:left w:val="none" w:sz="0" w:space="0" w:color="auto"/>
                    <w:bottom w:val="none" w:sz="0" w:space="0" w:color="auto"/>
                    <w:right w:val="none" w:sz="0" w:space="0" w:color="auto"/>
                  </w:divBdr>
                  <w:divsChild>
                    <w:div w:id="50200835">
                      <w:marLeft w:val="0"/>
                      <w:marRight w:val="0"/>
                      <w:marTop w:val="0"/>
                      <w:marBottom w:val="0"/>
                      <w:divBdr>
                        <w:top w:val="none" w:sz="0" w:space="0" w:color="auto"/>
                        <w:left w:val="none" w:sz="0" w:space="0" w:color="auto"/>
                        <w:bottom w:val="none" w:sz="0" w:space="0" w:color="auto"/>
                        <w:right w:val="none" w:sz="0" w:space="0" w:color="auto"/>
                      </w:divBdr>
                      <w:divsChild>
                        <w:div w:id="1992362728">
                          <w:marLeft w:val="0"/>
                          <w:marRight w:val="0"/>
                          <w:marTop w:val="0"/>
                          <w:marBottom w:val="0"/>
                          <w:divBdr>
                            <w:top w:val="single" w:sz="6" w:space="0" w:color="828282"/>
                            <w:left w:val="single" w:sz="6" w:space="0" w:color="828282"/>
                            <w:bottom w:val="single" w:sz="6" w:space="0" w:color="828282"/>
                            <w:right w:val="single" w:sz="6" w:space="0" w:color="828282"/>
                          </w:divBdr>
                          <w:divsChild>
                            <w:div w:id="101848469">
                              <w:marLeft w:val="0"/>
                              <w:marRight w:val="0"/>
                              <w:marTop w:val="0"/>
                              <w:marBottom w:val="0"/>
                              <w:divBdr>
                                <w:top w:val="none" w:sz="0" w:space="0" w:color="auto"/>
                                <w:left w:val="none" w:sz="0" w:space="0" w:color="auto"/>
                                <w:bottom w:val="none" w:sz="0" w:space="0" w:color="auto"/>
                                <w:right w:val="none" w:sz="0" w:space="0" w:color="auto"/>
                              </w:divBdr>
                              <w:divsChild>
                                <w:div w:id="1432772688">
                                  <w:marLeft w:val="0"/>
                                  <w:marRight w:val="0"/>
                                  <w:marTop w:val="0"/>
                                  <w:marBottom w:val="0"/>
                                  <w:divBdr>
                                    <w:top w:val="none" w:sz="0" w:space="0" w:color="auto"/>
                                    <w:left w:val="none" w:sz="0" w:space="0" w:color="auto"/>
                                    <w:bottom w:val="none" w:sz="0" w:space="0" w:color="auto"/>
                                    <w:right w:val="none" w:sz="0" w:space="0" w:color="auto"/>
                                  </w:divBdr>
                                  <w:divsChild>
                                    <w:div w:id="1172258435">
                                      <w:marLeft w:val="0"/>
                                      <w:marRight w:val="0"/>
                                      <w:marTop w:val="0"/>
                                      <w:marBottom w:val="0"/>
                                      <w:divBdr>
                                        <w:top w:val="none" w:sz="0" w:space="0" w:color="auto"/>
                                        <w:left w:val="none" w:sz="0" w:space="0" w:color="auto"/>
                                        <w:bottom w:val="none" w:sz="0" w:space="0" w:color="auto"/>
                                        <w:right w:val="none" w:sz="0" w:space="0" w:color="auto"/>
                                      </w:divBdr>
                                      <w:divsChild>
                                        <w:div w:id="1438527933">
                                          <w:marLeft w:val="0"/>
                                          <w:marRight w:val="0"/>
                                          <w:marTop w:val="0"/>
                                          <w:marBottom w:val="0"/>
                                          <w:divBdr>
                                            <w:top w:val="none" w:sz="0" w:space="0" w:color="auto"/>
                                            <w:left w:val="none" w:sz="0" w:space="0" w:color="auto"/>
                                            <w:bottom w:val="none" w:sz="0" w:space="0" w:color="auto"/>
                                            <w:right w:val="none" w:sz="0" w:space="0" w:color="auto"/>
                                          </w:divBdr>
                                          <w:divsChild>
                                            <w:div w:id="1779838067">
                                              <w:marLeft w:val="0"/>
                                              <w:marRight w:val="0"/>
                                              <w:marTop w:val="0"/>
                                              <w:marBottom w:val="0"/>
                                              <w:divBdr>
                                                <w:top w:val="none" w:sz="0" w:space="0" w:color="auto"/>
                                                <w:left w:val="none" w:sz="0" w:space="0" w:color="auto"/>
                                                <w:bottom w:val="none" w:sz="0" w:space="0" w:color="auto"/>
                                                <w:right w:val="none" w:sz="0" w:space="0" w:color="auto"/>
                                              </w:divBdr>
                                              <w:divsChild>
                                                <w:div w:id="11368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174844">
      <w:bodyDiv w:val="1"/>
      <w:marLeft w:val="0"/>
      <w:marRight w:val="0"/>
      <w:marTop w:val="0"/>
      <w:marBottom w:val="0"/>
      <w:divBdr>
        <w:top w:val="none" w:sz="0" w:space="0" w:color="auto"/>
        <w:left w:val="none" w:sz="0" w:space="0" w:color="auto"/>
        <w:bottom w:val="none" w:sz="0" w:space="0" w:color="auto"/>
        <w:right w:val="none" w:sz="0" w:space="0" w:color="auto"/>
      </w:divBdr>
    </w:div>
    <w:div w:id="1157768219">
      <w:bodyDiv w:val="1"/>
      <w:marLeft w:val="0"/>
      <w:marRight w:val="0"/>
      <w:marTop w:val="0"/>
      <w:marBottom w:val="0"/>
      <w:divBdr>
        <w:top w:val="none" w:sz="0" w:space="0" w:color="auto"/>
        <w:left w:val="none" w:sz="0" w:space="0" w:color="auto"/>
        <w:bottom w:val="none" w:sz="0" w:space="0" w:color="auto"/>
        <w:right w:val="none" w:sz="0" w:space="0" w:color="auto"/>
      </w:divBdr>
    </w:div>
    <w:div w:id="1546327855">
      <w:bodyDiv w:val="1"/>
      <w:marLeft w:val="0"/>
      <w:marRight w:val="0"/>
      <w:marTop w:val="0"/>
      <w:marBottom w:val="0"/>
      <w:divBdr>
        <w:top w:val="none" w:sz="0" w:space="0" w:color="auto"/>
        <w:left w:val="none" w:sz="0" w:space="0" w:color="auto"/>
        <w:bottom w:val="none" w:sz="0" w:space="0" w:color="auto"/>
        <w:right w:val="none" w:sz="0" w:space="0" w:color="auto"/>
      </w:divBdr>
    </w:div>
    <w:div w:id="18892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hyperlink" Target="http://www.rba.gov.au/publications/bulletin/2017/mar/5.html" TargetMode="External"/><Relationship Id="rId55" Type="http://schemas.openxmlformats.org/officeDocument/2006/relationships/hyperlink" Target="https://www.rba.gov.au/publications/consultations/201106-strategic-review-innovation/issues/pdf/201106-strategic-review-innovation-issues.pdf" TargetMode="External"/><Relationship Id="rId63" Type="http://schemas.openxmlformats.org/officeDocument/2006/relationships/hyperlink" Target="http://www.rba.gov.au/publications/bulletin/2016/mar/3.html" TargetMode="Externa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hyperlink" Target="http://www.rba.gov.au/publications/bulletin/2017/jun/4.html" TargetMode="External"/><Relationship Id="rId58" Type="http://schemas.openxmlformats.org/officeDocument/2006/relationships/hyperlink" Target="https://www.rba.gov.au/payments-and-infrastructure/review-of-card-payments-regulation/pdf/review-of-card-payments-regulation-issues-paper.pdf"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hyperlink" Target="%20%20%20%20%20%20http://www.rba.gov.au/speeches/2016/sp-so-2016-11-22.html%20%20%20%20" TargetMode="External"/><Relationship Id="rId57" Type="http://schemas.openxmlformats.org/officeDocument/2006/relationships/hyperlink" Target="http://www.rba.gov.au/publications/fsr/2015/oct/box-c.html" TargetMode="External"/><Relationship Id="rId61" Type="http://schemas.openxmlformats.org/officeDocument/2006/relationships/hyperlink" Target="http://www.rba.gov.au/payments-and-infrastructure/review-of-card-payments-regulation/pdf/review-of-card-payments-regulation-conclusions-paper-2016-05.pdf"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hyperlink" Target="https://www.rba.gov.au/publications/rdp/2017/pdf/rdp2017-04.pdf" TargetMode="External"/><Relationship Id="rId60" Type="http://schemas.openxmlformats.org/officeDocument/2006/relationships/hyperlink" Target="https://www.rba.gov.au/publications/consultations/201612-dual-network-cards-and-mobile-wallet-technology/pdf/20161207-dual-network-cards-and-mobile-wallet-technology.pdf"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hyperlink" Target="http://www.rba.gov.au/publications/bulletin/2017/jun/5.html" TargetMode="External"/><Relationship Id="rId56" Type="http://schemas.openxmlformats.org/officeDocument/2006/relationships/hyperlink" Target="https://www.rba.gov.au/payments-and-infrastructure/payments-system-regulation/past-regulatory-reviews/strategic-review-of-innovation-in-the-payments-system/conclusions/pdf/conclusions-062012.pdf" TargetMode="External"/><Relationship Id="rId64" Type="http://schemas.openxmlformats.org/officeDocument/2006/relationships/footer" Target="footer1.xml"/><Relationship Id="rId69"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20%20%20%20%20%20http://www.rba.gov.au/speeches/2015/sp-ag-2015-12-16.html%20%20%20%20"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hyperlink" Target="http://www.rba.gov.au/publications/submissions/financial-sector/pdf/inquiry-matters-relating-to-credit-card-interest-rates-2015-08.pdf" TargetMode="External"/><Relationship Id="rId67" Type="http://schemas.openxmlformats.org/officeDocument/2006/relationships/footer" Target="footer3.xml"/><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hyperlink" Target="http://www.rba.gov.au/publications/fsr/2006/mar/struct-aus-fin-sys.html" TargetMode="External"/><Relationship Id="rId62" Type="http://schemas.openxmlformats.org/officeDocument/2006/relationships/hyperlink" Target="https://www.rba.gov.au/publications/rdp/2013/pdf/rdp2013-15.pdf"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pp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serve%20Bank%20of%20Australia\RBA%20Templates\WordTemplates\Publications\Submis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B7FB84D51C4424ADE55B04280229E4"/>
        <w:category>
          <w:name w:val="General"/>
          <w:gallery w:val="placeholder"/>
        </w:category>
        <w:types>
          <w:type w:val="bbPlcHdr"/>
        </w:types>
        <w:behaviors>
          <w:behavior w:val="content"/>
        </w:behaviors>
        <w:guid w:val="{122DE354-61DD-4AEE-B5E1-F92F317E527D}"/>
      </w:docPartPr>
      <w:docPartBody>
        <w:p w:rsidR="00803DC5" w:rsidRDefault="00803DC5">
          <w:pPr>
            <w:pStyle w:val="29B7FB84D51C4424ADE55B04280229E4"/>
          </w:pPr>
          <w:r w:rsidRPr="009644B8">
            <w:rPr>
              <w:rStyle w:val="PlaceholderText"/>
            </w:rPr>
            <w:t>[Title]</w:t>
          </w:r>
        </w:p>
      </w:docPartBody>
    </w:docPart>
    <w:docPart>
      <w:docPartPr>
        <w:name w:val="F9D0D1D3574249A6A812E2F3A6660920"/>
        <w:category>
          <w:name w:val="General"/>
          <w:gallery w:val="placeholder"/>
        </w:category>
        <w:types>
          <w:type w:val="bbPlcHdr"/>
        </w:types>
        <w:behaviors>
          <w:behavior w:val="content"/>
        </w:behaviors>
        <w:guid w:val="{B10A1F12-5E9D-4CA1-8150-916D835A3F93}"/>
      </w:docPartPr>
      <w:docPartBody>
        <w:p w:rsidR="00803DC5" w:rsidRDefault="00803DC5">
          <w:pPr>
            <w:pStyle w:val="F9D0D1D3574249A6A812E2F3A6660920"/>
          </w:pPr>
          <w:r>
            <w:rPr>
              <w:rStyle w:val="PlaceholderText"/>
            </w:rPr>
            <w:t>[Draft]</w:t>
          </w:r>
        </w:p>
      </w:docPartBody>
    </w:docPart>
    <w:docPart>
      <w:docPartPr>
        <w:name w:val="85BC8E3006C846699516C754671D70B8"/>
        <w:category>
          <w:name w:val="General"/>
          <w:gallery w:val="placeholder"/>
        </w:category>
        <w:types>
          <w:type w:val="bbPlcHdr"/>
        </w:types>
        <w:behaviors>
          <w:behavior w:val="content"/>
        </w:behaviors>
        <w:guid w:val="{712F1BEC-894D-4E1A-ACA7-9767F043F3A9}"/>
      </w:docPartPr>
      <w:docPartBody>
        <w:p w:rsidR="00803DC5" w:rsidRDefault="00803DC5">
          <w:pPr>
            <w:pStyle w:val="85BC8E3006C846699516C754671D70B8"/>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yriad Pro Light">
    <w:altName w:val="Times New Roman"/>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C5"/>
    <w:rsid w:val="00066B92"/>
    <w:rsid w:val="000854F0"/>
    <w:rsid w:val="00087696"/>
    <w:rsid w:val="00087BD0"/>
    <w:rsid w:val="000B44EC"/>
    <w:rsid w:val="001B3A50"/>
    <w:rsid w:val="002116C5"/>
    <w:rsid w:val="00280C01"/>
    <w:rsid w:val="003071E2"/>
    <w:rsid w:val="003A115E"/>
    <w:rsid w:val="003D144A"/>
    <w:rsid w:val="00442CB3"/>
    <w:rsid w:val="0049407B"/>
    <w:rsid w:val="004B718E"/>
    <w:rsid w:val="004E5971"/>
    <w:rsid w:val="00594387"/>
    <w:rsid w:val="005D2426"/>
    <w:rsid w:val="005E3E43"/>
    <w:rsid w:val="006479D0"/>
    <w:rsid w:val="00734893"/>
    <w:rsid w:val="00754FDE"/>
    <w:rsid w:val="00772B52"/>
    <w:rsid w:val="00776664"/>
    <w:rsid w:val="007B032A"/>
    <w:rsid w:val="00803DC5"/>
    <w:rsid w:val="00825C2E"/>
    <w:rsid w:val="008407F4"/>
    <w:rsid w:val="00854B2E"/>
    <w:rsid w:val="008616AF"/>
    <w:rsid w:val="00883AC3"/>
    <w:rsid w:val="00912255"/>
    <w:rsid w:val="009268BF"/>
    <w:rsid w:val="00997C6A"/>
    <w:rsid w:val="009B189C"/>
    <w:rsid w:val="009E3C51"/>
    <w:rsid w:val="00A02E63"/>
    <w:rsid w:val="00AB405C"/>
    <w:rsid w:val="00AD7293"/>
    <w:rsid w:val="00B51647"/>
    <w:rsid w:val="00BC2815"/>
    <w:rsid w:val="00BD4F82"/>
    <w:rsid w:val="00C17C8F"/>
    <w:rsid w:val="00C834EC"/>
    <w:rsid w:val="00CA7310"/>
    <w:rsid w:val="00D132DA"/>
    <w:rsid w:val="00D273AE"/>
    <w:rsid w:val="00D3536F"/>
    <w:rsid w:val="00E75210"/>
    <w:rsid w:val="00EB67A3"/>
    <w:rsid w:val="00F11823"/>
    <w:rsid w:val="00F95AB0"/>
    <w:rsid w:val="00FB7023"/>
    <w:rsid w:val="00FC5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B2E"/>
    <w:rPr>
      <w:color w:val="595959" w:themeColor="text1" w:themeTint="A6"/>
      <w:bdr w:val="none" w:sz="0" w:space="0" w:color="auto"/>
      <w:shd w:val="clear" w:color="auto" w:fill="FFFF00"/>
    </w:rPr>
  </w:style>
  <w:style w:type="paragraph" w:customStyle="1" w:styleId="29B7FB84D51C4424ADE55B04280229E4">
    <w:name w:val="29B7FB84D51C4424ADE55B04280229E4"/>
  </w:style>
  <w:style w:type="paragraph" w:customStyle="1" w:styleId="4E001D263AC24997AD35865FEA0CA2BA">
    <w:name w:val="4E001D263AC24997AD35865FEA0CA2BA"/>
  </w:style>
  <w:style w:type="paragraph" w:customStyle="1" w:styleId="F9D0D1D3574249A6A812E2F3A6660920">
    <w:name w:val="F9D0D1D3574249A6A812E2F3A6660920"/>
  </w:style>
  <w:style w:type="paragraph" w:customStyle="1" w:styleId="85BC8E3006C846699516C754671D70B8">
    <w:name w:val="85BC8E3006C846699516C754671D70B8"/>
  </w:style>
  <w:style w:type="paragraph" w:customStyle="1" w:styleId="98DCA0B8491F40378F13115322736D99">
    <w:name w:val="98DCA0B8491F40378F13115322736D99"/>
  </w:style>
  <w:style w:type="paragraph" w:customStyle="1" w:styleId="496C807471354145BEE91D9C6928D28E">
    <w:name w:val="496C807471354145BEE91D9C6928D28E"/>
  </w:style>
  <w:style w:type="paragraph" w:customStyle="1" w:styleId="A6A4AAFD0FA64A8991DA7FD2393D2A21">
    <w:name w:val="A6A4AAFD0FA64A8991DA7FD2393D2A21"/>
    <w:rsid w:val="008616AF"/>
  </w:style>
  <w:style w:type="paragraph" w:customStyle="1" w:styleId="CD4C261125344C30B814BCD8C467ED68">
    <w:name w:val="CD4C261125344C30B814BCD8C467ED68"/>
    <w:rsid w:val="00B51647"/>
  </w:style>
  <w:style w:type="paragraph" w:customStyle="1" w:styleId="3AE5FDB024884687B0480BDF27EFBEB7">
    <w:name w:val="3AE5FDB024884687B0480BDF27EFBEB7"/>
    <w:rsid w:val="00B51647"/>
  </w:style>
  <w:style w:type="paragraph" w:customStyle="1" w:styleId="99BED8BD9AB84F1A9C929EFEC9FEE069">
    <w:name w:val="99BED8BD9AB84F1A9C929EFEC9FEE069"/>
    <w:rsid w:val="00B51647"/>
  </w:style>
  <w:style w:type="paragraph" w:customStyle="1" w:styleId="C907C40F6F8440EBA7D79620136CF129">
    <w:name w:val="C907C40F6F8440EBA7D79620136CF129"/>
    <w:rsid w:val="00B51647"/>
  </w:style>
  <w:style w:type="paragraph" w:customStyle="1" w:styleId="1196DC4FDB664FC995FE3F7777C25E3E">
    <w:name w:val="1196DC4FDB664FC995FE3F7777C25E3E"/>
    <w:rsid w:val="00B51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RBA.XSL" StyleName="RBA">
  <b:Source>
    <b:Tag>Bul_2017_06_05</b:Tag>
    <b:SourceType>RBAPublication</b:SourceType>
    <b:Guid>{12346A00-B554-4F61-9E30-385F966D187A}</b:Guid>
    <b:Title>How Have Australian Banks Responded to Tighter Capital and Liquidity Requirements?</b:Title>
    <b:PublicationTitle>Bulletin</b:PublicationTitle>
    <b:Year>2017</b:Year>
    <b:Month>June</b:Month>
    <b:Pages>41-50</b:Pages>
    <b:Author>
      <b:Author>
        <b:NameList>
          <b:Person>
            <b:Last>Atkin</b:Last>
            <b:First>Tim</b:First>
          </b:Person>
          <b:Person>
            <b:Last>Cheung</b:Last>
            <b:First>Belinda</b:First>
          </b:Person>
        </b:NameList>
      </b:Author>
    </b:Author>
    <b:URL>http://www.rba.gov.au/publications/bulletin/2017/jun/5.html</b:URL>
    <b:RefOrder>17</b:RefOrder>
  </b:Source>
  <b:Source>
    <b:Tag>Spe_2016_11_22</b:Tag>
    <b:SourceType>Speech</b:SourceType>
    <b:Guid>{3D6CC7D0-5934-416B-91CE-F191EE2DCE6D}</b:Guid>
    <b:Title>Towards a more Transparent Securitisation Market</b:Title>
    <b:ShortTitle>Australian Securitisation Conference</b:ShortTitle>
    <b:City>Sydney</b:City>
    <b:Day>22</b:Day>
    <b:Month>November</b:Month>
    <b:Year>2016</b:Year>
    <b:URL>
      http://www.rba.gov.au/speeches/2016/sp-so-2016-11-22.html
    </b:URL>
    <b:Author>
      <b:Author>
        <b:NameList>
          <b:Person>
            <b:Last>Aylmer</b:Last>
            <b:First>Chris</b:First>
          </b:Person>
        </b:NameList>
      </b:Author>
    </b:Author>
    <b:RefOrder>20</b:RefOrder>
  </b:Source>
  <b:Source>
    <b:Tag>Bul_2017_03_05</b:Tag>
    <b:SourceType>RBAPublication</b:SourceType>
    <b:Guid>{18786A00-B554-4F61-9E30-385F966D187A}</b:Guid>
    <b:Title>Developments in Banks' Funding Costs and Lending Rates</b:Title>
    <b:PublicationTitle>Bulletin</b:PublicationTitle>
    <b:Year>2017</b:Year>
    <b:Month>March</b:Month>
    <b:Pages>45-50</b:Pages>
    <b:Author>
      <b:Author>
        <b:NameList>
          <b:Person>
            <b:Last>Cheung</b:Last>
            <b:First>Belinda</b:First>
          </b:Person>
        </b:NameList>
      </b:Author>
    </b:Author>
    <b:URL>http://www.rba.gov.au/publications/bulletin/2017/mar/5.html</b:URL>
    <b:RefOrder>36</b:RefOrder>
  </b:Source>
  <b:Source>
    <b:Tag>Spe_2015_12_16</b:Tag>
    <b:SourceType>Speech</b:SourceType>
    <b:Guid>{48AEAE04-4873-447A-A2FC-880D6D983A4D}</b:Guid>
    <b:Title>Some Effects of the New Liquidity Regime</b:Title>
    <b:ShortTitle>28th Australasian Finance and Banking Conference</b:ShortTitle>
    <b:City>Sydney</b:City>
    <b:Day>16</b:Day>
    <b:Month>December</b:Month>
    <b:Year>2015</b:Year>
    <b:URL>
      http://www.rba.gov.au/speeches/2015/sp-ag-2015-12-16.html
    </b:URL>
    <b:Author>
      <b:Author>
        <b:NameList>
          <b:Person>
            <b:Last>Debelle</b:Last>
            <b:First>Guy</b:First>
          </b:Person>
        </b:NameList>
      </b:Author>
    </b:Author>
    <b:RefOrder>18</b:RefOrder>
  </b:Source>
  <b:Source>
    <b:Tag>Bul_2017_06_04</b:Tag>
    <b:SourceType>RBAPublication</b:SourceType>
    <b:Guid>{12349AB1-A17B-472C-A830-2F97BD007C15}</b:Guid>
    <b:Title>Banking Fees in Australia</b:Title>
    <b:PublicationTitle>Bulletin</b:PublicationTitle>
    <b:Year>2017</b:Year>
    <b:Month>June</b:Month>
    <b:Pages>35-40</b:Pages>
    <b:Author>
      <b:Author>
        <b:NameList>
          <b:Person>
            <b:Last>Fitzpatrick</b:Last>
            <b:First>Rachael</b:First>
          </b:Person>
          <b:Person>
            <b:Last>White</b:Last>
            <b:First>Graham</b:First>
          </b:Person>
        </b:NameList>
      </b:Author>
    </b:Author>
    <b:URL>http://www.rba.gov.au/publications/bulletin/2017/jun/4.html</b:URL>
    <b:RefOrder>27</b:RefOrder>
  </b:Source>
  <b:Source>
    <b:Tag>Bul_2016_03_03</b:Tag>
    <b:SourceType>RBAPublication</b:SourceType>
    <b:Guid>{03B4AB99-E40B-40CC-837A-19D87B9015E5}</b:Guid>
    <b:Title>Developments in Banks' Funding Costs and Lending Rates</b:Title>
    <b:PublicationTitle>Bulletin</b:PublicationTitle>
    <b:Year>2016</b:Year>
    <b:Month>March</b:Month>
    <b:Pages>21-30</b:Pages>
    <b:Author>
      <b:Author>
        <b:NameList>
          <b:Person>
            <b:Last>Wilkins</b:Last>
            <b:First>Kelsey</b:First>
          </b:Person>
          <b:Person>
            <b:Last>Gardner</b:Last>
            <b:First>George</b:First>
          </b:Person>
          <b:Person>
            <b:Last>Chapman</b:Last>
            <b:First>Blair</b:First>
          </b:Person>
        </b:NameList>
      </b:Author>
    </b:Author>
    <b:URL>http://www.rba.gov.au/publications/bulletin/2016/mar/3.html</b:URL>
    <b:RefOrder>37</b:RefOrder>
  </b:Source>
  <b:Source>
    <b:Tag>Ken17</b:Tag>
    <b:SourceType>RBAConferenceVolume</b:SourceType>
    <b:Guid>{68063C1E-30DB-4B6B-9BDA-CE0119678487}</b:Guid>
    <b:Title>Some Innovative Mortgage Data</b:Title>
    <b:PublicationTitle>Moody's Analytics Australia Conference 2017</b:PublicationTitle>
    <b:Year>2017</b:Year>
    <b:Author>
      <b:Author>
        <b:NameList>
          <b:Person>
            <b:Last>Kent</b:Last>
            <b:First>C</b:First>
          </b:Person>
        </b:NameList>
      </b:Author>
    </b:Author>
    <b:City>Sydney</b:City>
    <b:RefOrder>23</b:RefOrder>
  </b:Source>
  <b:Source>
    <b:Tag>Dav07</b:Tag>
    <b:SourceType>RBAConferenceVolume</b:SourceType>
    <b:Guid>{4C5C9F21-98AF-46E2-BD4C-D54A646EF68E}</b:Guid>
    <b:Author>
      <b:Author>
        <b:NameList>
          <b:Person>
            <b:Last>Davis</b:Last>
            <b:First>K</b:First>
          </b:Person>
        </b:NameList>
      </b:Author>
    </b:Author>
    <b:Title>Banking Concentration, Financial Stability and Public Policy</b:Title>
    <b:PublicationTitle>Proceedings of a Conference</b:PublicationTitle>
    <b:Year>2007</b:Year>
    <b:Publisher>Reserve Bank of Australia</b:Publisher>
    <b:RefOrder>22</b:RefOrder>
  </b:Source>
  <b:Source>
    <b:Tag>Rev16</b:Tag>
    <b:SourceType>MediaRelease</b:SourceType>
    <b:Guid>{655B4DDA-2224-41FC-84E7-525CF7208B7B}</b:Guid>
    <b:Title>Revised Standard on Securitisation</b:Title>
    <b:Year>2016</b:Year>
    <b:URL>http://www.apra.gov.au/MediaReleases/Pages/16_43.aspx</b:URL>
    <b:Institution>APRA</b:Institution>
    <b:Month>November</b:Month>
    <b:RefOrder>21</b:RefOrder>
  </b:Source>
  <b:Source>
    <b:Tag>ASI16</b:Tag>
    <b:SourceType>Report</b:SourceType>
    <b:Guid>{CAE60D06-BBF4-4F65-BCCE-E7756F04F255}</b:Guid>
    <b:Institution>ASIC</b:Institution>
    <b:Title>Survey of marketplace lending providers</b:Title>
    <b:Month>June</b:Month>
    <b:Year>2016</b:Year>
    <b:Author>
      <b:Author>
        <b:NameList>
          <b:Person>
            <b:Last>ASIC</b:Last>
          </b:Person>
        </b:NameList>
      </b:Author>
    </b:Author>
    <b:RefOrder>26</b:RefOrder>
  </b:Source>
  <b:Source>
    <b:Tag>APR15</b:Tag>
    <b:SourceType>MediaRelease</b:SourceType>
    <b:Guid>{A8212B1F-C390-4AEB-BCBE-50986265C289}</b:Guid>
    <b:Title>APRA increases capital adequacy requirements for residential mortgage exposures under the internal ratings-based approach</b:Title>
    <b:Day>20</b:Day>
    <b:Month>July</b:Month>
    <b:Year>2015</b:Year>
    <b:Institution>APRA</b:Institution>
    <b:NumberVolumes>15.19</b:NumberVolumes>
    <b:RefOrder>3</b:RefOrder>
  </b:Source>
  <b:Source>
    <b:Tag>The15</b:Tag>
    <b:SourceType>Report</b:SourceType>
    <b:Guid>{95A78ED7-506A-4C27-A777-BBB989DC88D2}</b:Guid>
    <b:Author>
      <b:Author>
        <b:Corporate>The Australian Government</b:Corporate>
      </b:Author>
    </b:Author>
    <b:Title>Improving Australia's Financial System, Government response to the Financial System Inquiry</b:Title>
    <b:Month>October</b:Month>
    <b:Year>2015</b:Year>
    <b:RefOrder>2</b:RefOrder>
  </b:Source>
  <b:Source>
    <b:Tag>The</b:Tag>
    <b:SourceType>WebsiteAndOnline</b:SourceType>
    <b:Guid>{944CD9A1-42D3-434A-A01B-DF84407930B0}</b:Guid>
    <b:Title>Review into open banking in Australia</b:Title>
    <b:URL>https://treasury.gov.au/review/review-into-open-banking-in-australia/</b:URL>
    <b:Author>
      <b:Author>
        <b:Corporate>The Treasury</b:Corporate>
      </b:Author>
    </b:Author>
    <b:Year>2017</b:Year>
    <b:RefOrder>5</b:RefOrder>
  </b:Source>
  <b:Source>
    <b:Tag>Fit13</b:Tag>
    <b:SourceType>RBAPublication</b:SourceType>
    <b:Guid>{6A22003A-8E94-4C82-9073-498E21F5F989}</b:Guid>
    <b:Title>The Use of Trade Credit by Businesses</b:Title>
    <b:Month>September</b:Month>
    <b:Year>2013</b:Year>
    <b:Author>
      <b:Author>
        <b:NameList>
          <b:Person>
            <b:Last>Fitzpatrick</b:Last>
            <b:First>A</b:First>
          </b:Person>
          <b:Person>
            <b:Last>Lien</b:Last>
            <b:First>B</b:First>
          </b:Person>
        </b:NameList>
      </b:Author>
    </b:Author>
    <b:PublicationTitle>RBA Bulletin</b:PublicationTitle>
    <b:Pages>39-46</b:Pages>
    <b:RefOrder>25</b:RefOrder>
  </b:Source>
  <b:Source>
    <b:Tag>Jay98</b:Tag>
    <b:SourceType>JournalArticle</b:SourceType>
    <b:Guid>{75AB146C-6ADF-4FCF-AA3D-FE19810E81D0}</b:Guid>
    <b:Title>Entry Restrictions, Industry Evolution, and Dynamic Efficiency: Evidence From Commercial Banking</b:Title>
    <b:Year>1998</b:Year>
    <b:Author>
      <b:Author>
        <b:NameList>
          <b:Person>
            <b:Last>Jayaratne</b:Last>
          </b:Person>
          <b:Person>
            <b:Last>J</b:Last>
            <b:First>Strahan</b:First>
          </b:Person>
          <b:Person>
            <b:Last>P</b:Last>
          </b:Person>
        </b:NameList>
      </b:Author>
    </b:Author>
    <b:JournalName>The Journal of Law &amp; Economics</b:JournalName>
    <b:Volume>41</b:Volume>
    <b:Issue>1</b:Issue>
    <b:Pages>239-274</b:Pages>
    <b:RefOrder>9</b:RefOrder>
  </b:Source>
  <b:Source>
    <b:Tag>Ber09</b:Tag>
    <b:SourceType>JournalArticle</b:SourceType>
    <b:Guid>{951DEC03-739C-43C1-9207-3E0E8F316C9D}</b:Guid>
    <b:Title>Bank Competition and Financial Stability</b:Title>
    <b:Year>2009</b:Year>
    <b:Author>
      <b:Author>
        <b:NameList>
          <b:Person>
            <b:Last>Berger</b:Last>
            <b:First>A</b:First>
          </b:Person>
          <b:Person>
            <b:Last>Klapper</b:Last>
            <b:First>L</b:First>
          </b:Person>
          <b:Person>
            <b:Last>Turk-Ariss</b:Last>
            <b:First>R</b:First>
          </b:Person>
        </b:NameList>
      </b:Author>
    </b:Author>
    <b:JournalName>Journal of Financial Services Research</b:JournalName>
    <b:Volume>35</b:Volume>
    <b:Issue>2</b:Issue>
    <b:Pages>99-118</b:Pages>
    <b:RefOrder>11</b:RefOrder>
  </b:Source>
  <b:Source>
    <b:Tag>Ago11</b:Tag>
    <b:SourceType>JournalArticle</b:SourceType>
    <b:Guid>{95987279-1EEF-4061-8CBA-392428F582EF}</b:Guid>
    <b:Author>
      <b:Author>
        <b:NameList>
          <b:Person>
            <b:Last>Agoraki</b:Last>
            <b:First>M</b:First>
          </b:Person>
          <b:Person>
            <b:Last>Delis</b:Last>
            <b:First>M</b:First>
          </b:Person>
          <b:Person>
            <b:Last>Pasiouras</b:Last>
            <b:First>F</b:First>
          </b:Person>
        </b:NameList>
      </b:Author>
    </b:Author>
    <b:Title>Regulations, competition and bank risk-taking in transition countries</b:Title>
    <b:Year>2011</b:Year>
    <b:JournalName>Journal of Financial Stability</b:JournalName>
    <b:Pages>38-48</b:Pages>
    <b:RefOrder>12</b:RefOrder>
  </b:Source>
  <b:Source>
    <b:Tag>Hug01</b:Tag>
    <b:SourceType>JournalArticle</b:SourceType>
    <b:Guid>{75750089-0159-453E-9908-B55149F162DD}</b:Guid>
    <b:Author>
      <b:Author>
        <b:NameList>
          <b:Person>
            <b:Last>Hughes</b:Last>
            <b:First>J</b:First>
          </b:Person>
          <b:Person>
            <b:Last>Mester</b:Last>
            <b:First>L</b:First>
          </b:Person>
          <b:Person>
            <b:Last>Moon</b:Last>
            <b:First>C</b:First>
          </b:Person>
        </b:NameList>
      </b:Author>
    </b:Author>
    <b:Title>re scale economies in banking elusive or illusive?: Evidence obtained by incorporating capital structure and risk-taking into models of bank production</b:Title>
    <b:Year>2001</b:Year>
    <b:JournalName>Journal of Banking &amp; Finance</b:JournalName>
    <b:Volume>25</b:Volume>
    <b:Issue>12</b:Issue>
    <b:Pages>2169-2208</b:Pages>
    <b:RefOrder>13</b:RefOrder>
  </b:Source>
  <b:Source>
    <b:Tag>Cla04</b:Tag>
    <b:SourceType>JournalArticle</b:SourceType>
    <b:Guid>{D1672D73-85D5-412D-96AC-9AC0A9B2E0EE}</b:Guid>
    <b:Author>
      <b:Author>
        <b:NameList>
          <b:Person>
            <b:Last>Claessens</b:Last>
            <b:First>S</b:First>
          </b:Person>
          <b:Person>
            <b:Last>Laeven</b:Last>
            <b:First>L</b:First>
          </b:Person>
        </b:NameList>
      </b:Author>
    </b:Author>
    <b:Title>What Drives Bank Competition? Some International Evidence'</b:Title>
    <b:Year>2004</b:Year>
    <b:JournalName>Journal of Money, Credit and Banking</b:JournalName>
    <b:Volume>36</b:Volume>
    <b:Issue>3</b:Issue>
    <b:Pages>563-583</b:Pages>
    <b:RefOrder>14</b:RefOrder>
  </b:Source>
  <b:Source>
    <b:Tag>Dom16</b:Tag>
    <b:SourceType>Speech</b:SourceType>
    <b:Guid>{0B9CEE60-925A-4B04-A836-7CCBB92F8781}</b:Guid>
    <b:Title>Are there too many banks? The banking sector after the financial crisis</b:Title>
    <b:Year>2016</b:Year>
    <b:Author>
      <b:Author>
        <b:NameList>
          <b:Person>
            <b:Last>Dombret</b:Last>
            <b:First>A</b:First>
          </b:Person>
        </b:NameList>
      </b:Author>
    </b:Author>
    <b:ShortTitle>Speech given at the general meeting of the Austrian Society for Bank Research</b:ShortTitle>
    <b:Day>27</b:Day>
    <b:Month>September</b:Month>
    <b:RefOrder>15</b:RefOrder>
  </b:Source>
  <b:Source>
    <b:Tag>Ban17</b:Tag>
    <b:SourceType>Report</b:SourceType>
    <b:Guid>{6B8EC7ED-E470-4A78-86D4-C25215B18E7D}</b:Guid>
    <b:Title>Financial System Report</b:Title>
    <b:Month>April </b:Month>
    <b:Year>2017</b:Year>
    <b:URL>https://www.boj.or.jp/en/research/brp/fsr/data/fsr170419a.pdf</b:URL>
    <b:Author>
      <b:Author>
        <b:Corporate>Bank of Japan</b:Corporate>
      </b:Author>
    </b:Author>
    <b:RefOrder>16</b:RefOrder>
  </b:Source>
  <b:Source>
    <b:Tag>Ste13</b:Tag>
    <b:SourceType>RBAResearchDiscussionPaper</b:SourceType>
    <b:Guid>{C5680FFE-EB76-437B-9E39-1423B51E26DA}</b:Guid>
    <b:Title>Trends in the Funding and Lending Behaviour of Australian Banks</b:Title>
    <b:Year>2013</b:Year>
    <b:URL>https://www.rba.gov.au/publications/rdp/2013/pdf/rdp2013-15.pdf</b:URL>
    <b:Author>
      <b:Author>
        <b:NameList>
          <b:Person>
            <b:Last>Stewart</b:Last>
            <b:First>C</b:First>
          </b:Person>
          <b:Person>
            <b:Last>Robertson</b:Last>
            <b:First>B</b:First>
          </b:Person>
          <b:Person>
            <b:Last>Heath</b:Last>
            <b:First>A</b:First>
          </b:Person>
        </b:NameList>
      </b:Author>
    </b:Author>
    <b:NumberVolumes>5</b:NumberVolumes>
    <b:RefOrder>38</b:RefOrder>
  </b:Source>
  <b:Source>
    <b:Tag>Sim</b:Tag>
    <b:SourceType>PublishedProceedings</b:SourceType>
    <b:Guid>{02E02310-CDEA-42A9-9DF1-BD94AB9237C8}</b:Guid>
    <b:Author>
      <b:Author>
        <b:NameList>
          <b:Person>
            <b:Last>Simon</b:Last>
            <b:First>J</b:First>
          </b:Person>
          <b:Person>
            <b:Last>Moore</b:Last>
            <b:First>A</b:First>
          </b:Person>
        </b:NameList>
      </b:Author>
    </b:Author>
    <b:Title>Small business Conditions and Finance</b:Title>
    <b:PublicationTitle>Proceedings of a Conference</b:PublicationTitle>
    <b:Publisher>Reserve Bank of Australia</b:Publisher>
    <b:City>Sydney</b:City>
    <b:Year>2015</b:Year>
    <b:RefOrder>24</b:RefOrder>
  </b:Source>
  <b:Source>
    <b:Tag>Dua13</b:Tag>
    <b:SourceType>MediaRelease</b:SourceType>
    <b:Guid>{E867B3C0-AD7C-4D2A-8932-BDB55A3D2B6D}</b:Guid>
    <b:Title>Dual-network Debit Cards</b:Title>
    <b:Day>21</b:Day>
    <b:Month>August</b:Month>
    <b:Year>2013</b:Year>
    <b:URL>https://www.rba.gov.au/media-releases/2013/mr-13-16.html</b:URL>
    <b:Institution>RBA</b:Institution>
    <b:NumberVolumes>2013-16</b:NumberVolumes>
    <b:RefOrder>28</b:RefOrder>
  </b:Source>
  <b:Source>
    <b:Tag>Pay17</b:Tag>
    <b:SourceType>MediaRelease</b:SourceType>
    <b:Guid>{007235A2-6D27-4AC1-92A2-6879C0EE5FD7}</b:Guid>
    <b:Title>Payments System Board Update: May 2017 Meeting</b:Title>
    <b:Day>19</b:Day>
    <b:Month>May</b:Month>
    <b:Year>2017</b:Year>
    <b:URL>https://www.rba.gov.au/media-releases/2017/mr-17-10.html</b:URL>
    <b:Institution>RBA</b:Institution>
    <b:NumberVolumes>201-10</b:NumberVolumes>
    <b:RefOrder>30</b:RefOrder>
  </b:Source>
  <b:Source>
    <b:Tag>Doy17</b:Tag>
    <b:SourceType>RBAResearchDiscussionPaper</b:SourceType>
    <b:Guid>{A3EBB352-A434-4FF1-9F0A-F4A6273F0C5F}</b:Guid>
    <b:Title>How Australians Pay: Evidence from the 2016 Consumer Payments Survey</b:Title>
    <b:NumberVolumes>2017-04</b:NumberVolumes>
    <b:Year>2017</b:Year>
    <b:Author>
      <b:Author>
        <b:NameList>
          <b:Person>
            <b:Last>Doyle</b:Last>
            <b:First>M-A</b:First>
          </b:Person>
          <b:Person>
            <b:Last>Fisher</b:Last>
            <b:First>C</b:First>
          </b:Person>
          <b:Person>
            <b:Last>Tellez</b:Last>
            <b:First>E</b:First>
          </b:Person>
          <b:Person>
            <b:Last>Yadav</b:Last>
            <b:First>A</b:First>
          </b:Person>
        </b:NameList>
      </b:Author>
    </b:Author>
    <b:URL>https://www.rba.gov.au/publications/rdp/2017/pdf/rdp2017-04.pdf</b:URL>
    <b:RefOrder>31</b:RefOrder>
  </b:Source>
  <b:Source>
    <b:Tag>Hou16</b:Tag>
    <b:SourceType>Report</b:SourceType>
    <b:Guid>{479F7564-B01C-4685-B001-FA009F039E69}</b:Guid>
    <b:Title>Review of the Four Major Banks: First Report</b:Title>
    <b:Month>November</b:Month>
    <b:Year>2016</b:Year>
    <b:Author>
      <b:Author>
        <b:Corporate>House of Representatives</b:Corporate>
      </b:Author>
    </b:Author>
    <b:Type>Standing Committee on Economics</b:Type>
    <b:RefOrder>39</b:RefOrder>
  </b:Source>
  <b:Source>
    <b:Tag>Aus91</b:Tag>
    <b:SourceType>JournalArticle</b:SourceType>
    <b:Guid>{ED3017E3-10C8-4AE8-90F7-354649CA8255}</b:Guid>
    <b:Title>The Failure of Competition in the Credit Card Market</b:Title>
    <b:Year>1991</b:Year>
    <b:Author>
      <b:Author>
        <b:NameList>
          <b:Person>
            <b:Last>Ausubel</b:Last>
            <b:First>L</b:First>
          </b:Person>
        </b:NameList>
      </b:Author>
    </b:Author>
    <b:JournalName>The American Economic Review</b:JournalName>
    <b:Volume>81</b:Volume>
    <b:Issue>1</b:Issue>
    <b:Pages>50-81</b:Pages>
    <b:RefOrder>33</b:RefOrder>
  </b:Source>
  <b:Source>
    <b:Tag>Str11</b:Tag>
    <b:SourceType>RBASubmission</b:SourceType>
    <b:Guid>{0BFE2E40-17B6-496E-88BB-52257F4DCE92}</b:Guid>
    <b:Title>Strategic Review of Innovation in the Payments System</b:Title>
    <b:Month>June</b:Month>
    <b:Year>2011</b:Year>
    <b:URL>https://www.rba.gov.au/publications/consultations/201106-strategic-review-innovation/issues/pdf/201106-strategic-review-innovation-issues.pdf</b:URL>
    <b:RefOrder>35</b:RefOrder>
  </b:Source>
  <b:Source>
    <b:Tag>Str12</b:Tag>
    <b:SourceType>RBASubmission</b:SourceType>
    <b:Guid>{F372A189-F4D8-4CDC-A6C5-3A664D49789A}</b:Guid>
    <b:Title>Strategic Review of Innovation in the Payments System: Conclusions</b:Title>
    <b:Month>June</b:Month>
    <b:Year>2012</b:Year>
    <b:URL>https://www.rba.gov.au/payments-and-infrastructure/payments-system-regulation/past-regulatory-reviews/strategic-review-of-innovation-in-the-payments-system/conclusions/pdf/conclusions-062012.pdf</b:URL>
    <b:RefOrder>40</b:RefOrder>
  </b:Source>
  <b:Source>
    <b:Tag>Gut07</b:Tag>
    <b:SourceType>JournalArticle</b:SourceType>
    <b:Guid>{68886F66-3045-4265-A497-50B2C095A807}</b:Guid>
    <b:Title>Competing Payment Schemes</b:Title>
    <b:Year>2007</b:Year>
    <b:Pages>37-67</b:Pages>
    <b:Author>
      <b:Author>
        <b:NameList>
          <b:Person>
            <b:Last>Guthrie</b:Last>
            <b:First>G</b:First>
          </b:Person>
          <b:Person>
            <b:Last>Wright</b:Last>
            <b:First>J</b:First>
          </b:Person>
        </b:NameList>
      </b:Author>
    </b:Author>
    <b:JournalName>Journal of Industrial Economics</b:JournalName>
    <b:Volume>55</b:Volume>
    <b:Issue>1</b:Issue>
    <b:RefOrder>32</b:RefOrder>
  </b:Source>
  <b:Source>
    <b:Tag>RBA06</b:Tag>
    <b:SourceType>RBAPublication</b:SourceType>
    <b:Guid>{D3238F97-11AE-4280-A9A0-56A20AF4A6ED}</b:Guid>
    <b:Title>The Structure of the Australian Financial System</b:Title>
    <b:Month>March</b:Month>
    <b:Year>2006</b:Year>
    <b:PublicationTitle>Financial Stability Review</b:PublicationTitle>
    <b:URL>http://www.rba.gov.au/publications/fsr/2006/mar/struct-aus-fin-sys.html</b:URL>
    <b:Author>
      <b:Author>
        <b:Corporate>RBA</b:Corporate>
      </b:Author>
    </b:Author>
    <b:Pages>49-61</b:Pages>
    <b:RefOrder>41</b:RefOrder>
  </b:Source>
  <b:Source xmlns:b="http://schemas.openxmlformats.org/officeDocument/2006/bibliography">
    <b:Tag>ATO17</b:Tag>
    <b:SourceType>WebsiteAndOnline</b:SourceType>
    <b:Guid>{DF383B73-5C89-498E-A4F8-D054780B30D8}</b:Guid>
    <b:Title>GST – removing the double taxation of digital currency</b:Title>
    <b:Year>2017</b:Year>
    <b:Author>
      <b:Author>
        <b:Corporate>ATO</b:Corporate>
      </b:Author>
    </b:Author>
    <b:Day>10</b:Day>
    <b:Month>July</b:Month>
    <b:URL>https://www.ato.gov.au/General/New-legislation/In-detail/Indirect-taxes/GST/GST---removing-the-double-taxation-of-digital-currency/</b:URL>
    <b:RefOrder>34</b:RefOrder>
  </b:Source>
  <b:Source>
    <b:Tag>APR17</b:Tag>
    <b:SourceType>MediaRelease</b:SourceType>
    <b:Guid>{EEC325D0-3AA0-41DD-9D39-98F7515BD59F}</b:Guid>
    <b:Institution>APRA</b:Institution>
    <b:Title>APRA announces ‘unquestionably strong’ capital benchmarks</b:Title>
    <b:NumberVolumes>17.23</b:NumberVolumes>
    <b:Day>19</b:Day>
    <b:Month>July</b:Month>
    <b:Year>2017a</b:Year>
    <b:RefOrder>4</b:RefOrder>
  </b:Source>
  <b:Source>
    <b:Tag>APR171</b:Tag>
    <b:SourceType>MediaRelease</b:SourceType>
    <b:Guid>{0179A8E6-251E-4FB5-931A-7F2EE714E266}</b:Guid>
    <b:Institution>APRA</b:Institution>
    <b:Title>APRA consults on changes to authorising new entrants to banking industry</b:Title>
    <b:NumberVolumes>17.31</b:NumberVolumes>
    <b:Day>15</b:Day>
    <b:Month>August</b:Month>
    <b:Year>2017b</b:Year>
    <b:URL>http://www.apra.gov.au/MediaReleases/Pages/17_31.aspx</b:URL>
    <b:RefOrder>8</b:RefOrder>
  </b:Source>
  <b:Source>
    <b:Tag>Res14</b:Tag>
    <b:SourceType>RBAPublication</b:SourceType>
    <b:Guid>{356B03EC-1ECA-46F6-888A-8B8DFCE66EDD}</b:Guid>
    <b:Title>Box B: Australian Major Banks' Cost-to-income Ratios</b:Title>
    <b:Year>2014a</b:Year>
    <b:Author>
      <b:Author>
        <b:Corporate>RBA</b:Corporate>
      </b:Author>
    </b:Author>
    <b:PublicationTitle>Financial Stability Review</b:PublicationTitle>
    <b:Month>September</b:Month>
    <b:Pages>35-38</b:Pages>
    <b:RefOrder>42</b:RefOrder>
  </b:Source>
  <b:Source>
    <b:Tag>FSR_2015_10_C</b:Tag>
    <b:SourceType>RBAPublication</b:SourceType>
    <b:Guid>{A9567547-D7C7-41AA-BFC6-A5DFCBB2EB20}</b:Guid>
    <b:Title>Box C The Regulatory Capital Framework for Residential Mortgages</b:Title>
    <b:Year>2015a</b:Year>
    <b:PublicationTitle>Financial Stability Review</b:PublicationTitle>
    <b:URL>http://www.rba.gov.au/publications/fsr/2015/oct/box-c.html</b:URL>
    <b:Month>October</b:Month>
    <b:Pages>52-55</b:Pages>
    <b:Author>
      <b:Author>
        <b:Corporate>RBA</b:Corporate>
      </b:Author>
    </b:Author>
    <b:RefOrder>43</b:RefOrder>
  </b:Source>
  <b:Source>
    <b:Tag>Sub14</b:Tag>
    <b:SourceType>RBASubmission</b:SourceType>
    <b:Guid>{C1009F1A-8703-4BF0-B942-114690192BFE}</b:Guid>
    <b:Title>Submission to the Financial System Inquiry</b:Title>
    <b:Year>2014b</b:Year>
    <b:Month>March</b:Month>
    <b:RefOrder>19</b:RefOrder>
  </b:Source>
  <b:Source>
    <b:Tag>Sub</b:Tag>
    <b:SourceType>RBASubmission</b:SourceType>
    <b:Guid>{F11EFC14-4D12-4D5C-9C55-9E18BCC90B97}</b:Guid>
    <b:Title>Submission to the Senate Inquiry into Matters Relating to Credit Card Interest Rates</b:Title>
    <b:Month>August</b:Month>
    <b:Year>2015c</b:Year>
    <b:URL>http://www.rba.gov.au/publications/submissions/financial-sector/pdf/inquiry-matters-relating-to-credit-card-interest-rates-2015-08.pdf</b:URL>
    <b:RefOrder>44</b:RefOrder>
  </b:Source>
  <b:Source>
    <b:Tag>Dua16</b:Tag>
    <b:SourceType>RBASubmission</b:SourceType>
    <b:Guid>{4E8782EE-3EB5-4CD4-B68D-8294DBB5938F}</b:Guid>
    <b:Title>Dual-Network Cards and Mobile Wallet Technology</b:Title>
    <b:Month>December</b:Month>
    <b:Year>2016a</b:Year>
    <b:URL>https://www.rba.gov.au/publications/consultations/201612-dual-network-cards-and-mobile-wallet-technology/pdf/20161207-dual-network-cards-and-mobile-wallet-technology.pdf</b:URL>
    <b:RefOrder>29</b:RefOrder>
  </b:Source>
  <b:Source>
    <b:Tag>Con16</b:Tag>
    <b:SourceType>RBASubmission</b:SourceType>
    <b:Guid>{844E831E-052C-4C75-99B4-4FC35270E6A7}</b:Guid>
    <b:Title>Review of Card Payments Regulation: Conclusions Paper</b:Title>
    <b:Year>2016b</b:Year>
    <b:URL>http://www.rba.gov.au/payments-and-infrastructure/review-of-card-payments-regulation/pdf/review-of-card-payments-regulation-conclusions-paper-2016-05.pdf</b:URL>
    <b:Month>May</b:Month>
    <b:RefOrder>7</b:RefOrder>
  </b:Source>
  <b:Source>
    <b:Tag>RBA15</b:Tag>
    <b:SourceType>RBASubmission</b:SourceType>
    <b:Guid>{733DDFFD-9E7F-4578-8341-6F237E4DA735}</b:Guid>
    <b:Author>
      <b:Author>
        <b:Corporate>RBA</b:Corporate>
      </b:Author>
    </b:Author>
    <b:Title>Review of Card Payments Regulation</b:Title>
    <b:Year>2015b</b:Year>
    <b:Month>March</b:Month>
    <b:URL>https://www.rba.gov.au/payments-and-infrastructure/review-of-card-payments-regulation/pdf/review-of-card-payments-regulation-issues-paper.pdf</b:URL>
    <b:RefOrder>45</b:RefOrder>
  </b:Source>
  <b:Source>
    <b:Tag>Fra</b:Tag>
    <b:SourceType>Speech</b:SourceType>
    <b:Guid>{6CDCA3E6-998E-452A-95C7-01AEAA8A1081}</b:Guid>
    <b:Title>Foreign Banks in Australia</b:Title>
    <b:City>Melbourne</b:City>
    <b:Author>
      <b:Author>
        <b:NameList>
          <b:Person>
            <b:Last>Fraser</b:Last>
            <b:First>B</b:First>
          </b:Person>
        </b:NameList>
      </b:Author>
    </b:Author>
    <b:ShortTitle>Talk to the Overseas Bankers’ Association of Australia</b:ShortTitle>
    <b:Year>1994</b:Year>
    <b:RefOrder>46</b:RefOrder>
  </b:Source>
  <b:Source>
    <b:Tag>Del01</b:Tag>
    <b:SourceType>WorkingOrDiscussionPaper</b:SourceType>
    <b:Guid>{3F4FEC91-A946-44C1-9EEA-FB27D13767AE}</b:Guid>
    <b:Title>Flight to Quality or to Captivity: Information and Credit Allocation</b:Title>
    <b:Year>2001</b:Year>
    <b:Author>
      <b:Author>
        <b:NameList>
          <b:Person>
            <b:Last>Dell’Ariccia</b:Last>
            <b:First>G</b:First>
          </b:Person>
          <b:Person>
            <b:Last>Marquez</b:Last>
            <b:First>R</b:First>
          </b:Person>
        </b:NameList>
      </b:Author>
    </b:Author>
    <b:Type>IMF Working Paper</b:Type>
    <b:JournalName>IMF Working Paper</b:JournalName>
    <b:RefOrder>10</b:RefOrder>
  </b:Source>
  <b:Source>
    <b:Tag>Fin14</b:Tag>
    <b:SourceType>Report</b:SourceType>
    <b:Guid>{E5209A6F-28F5-4164-860A-F8EC26EC29A6}</b:Guid>
    <b:Title>Financial System Inquiry Final Report</b:Title>
    <b:Year>2014</b:Year>
    <b:Author>
      <b:Author>
        <b:Corporate>Financial System Inquiry</b:Corporate>
      </b:Author>
    </b:Author>
    <b:Month>November</b:Month>
    <b:URL>http://fsi.gov.au/publications/final-report/</b:URL>
    <b:RefOrder>1</b:RefOrder>
  </b:Source>
  <b:Source>
    <b:Tag>Bui17</b:Tag>
    <b:SourceType>MediaRelease</b:SourceType>
    <b:Guid>{37282C93-CCFC-42F7-9361-A2329C1666EE}</b:Guid>
    <b:Title>Building an accountable and competitive banking system</b:Title>
    <b:Day>9</b:Day>
    <b:Month>May</b:Month>
    <b:Year>2017</b:Year>
    <b:Institution>The Australian Government</b:Institution>
    <b:URL>http://sjm.ministers.treasury.gov.au/media-release/044-2017/</b:URL>
    <b:RefOrder>6</b:RefOrder>
  </b:Source>
</b:Sources>
</file>

<file path=customXml/itemProps1.xml><?xml version="1.0" encoding="utf-8"?>
<ds:datastoreItem xmlns:ds="http://schemas.openxmlformats.org/officeDocument/2006/customXml" ds:itemID="{5C98425C-88DB-4B58-B684-CFB5B57E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FA16F-9DCE-4215-973F-406069DA6E94}">
  <ds:schemaRefs>
    <ds:schemaRef ds:uri="http://schemas.microsoft.com/sharepoint/v3/contenttype/forms"/>
  </ds:schemaRefs>
</ds:datastoreItem>
</file>

<file path=customXml/itemProps3.xml><?xml version="1.0" encoding="utf-8"?>
<ds:datastoreItem xmlns:ds="http://schemas.openxmlformats.org/officeDocument/2006/customXml" ds:itemID="{499EB24E-C37E-4DA7-8128-058922997DEA}">
  <ds:schemaRefs>
    <ds:schemaRef ds:uri="Microsoft.SharePoint.Taxonomy.ContentTypeSync"/>
  </ds:schemaRefs>
</ds:datastoreItem>
</file>

<file path=customXml/itemProps4.xml><?xml version="1.0" encoding="utf-8"?>
<ds:datastoreItem xmlns:ds="http://schemas.openxmlformats.org/officeDocument/2006/customXml" ds:itemID="{B58C049F-5F60-4EA3-A340-07CEB5110A09}">
  <ds:schemaRefs>
    <ds:schemaRef ds:uri="http://schemas.microsoft.com/sharepoint/events"/>
  </ds:schemaRefs>
</ds:datastoreItem>
</file>

<file path=customXml/itemProps5.xml><?xml version="1.0" encoding="utf-8"?>
<ds:datastoreItem xmlns:ds="http://schemas.openxmlformats.org/officeDocument/2006/customXml" ds:itemID="{4DDBB25E-DD65-4E74-8E28-2151EB4CEE89}">
  <ds:schemaRefs>
    <ds:schemaRef ds:uri="3f4bcce7-ac1a-4c9d-aa3e-7e77695652db"/>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sharepoint/v3"/>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CDC403CC-CBE2-437A-8250-97025CA613E3}">
  <ds:schemaRefs>
    <ds:schemaRef ds:uri="http://schemas.microsoft.com/office/2006/metadata/customXsn"/>
  </ds:schemaRefs>
</ds:datastoreItem>
</file>

<file path=customXml/itemProps7.xml><?xml version="1.0" encoding="utf-8"?>
<ds:datastoreItem xmlns:ds="http://schemas.openxmlformats.org/officeDocument/2006/customXml" ds:itemID="{CE3BCBA6-C143-4A77-B72C-92497098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Submission.dotx</Template>
  <TotalTime>1</TotalTime>
  <Pages>44</Pages>
  <Words>16717</Words>
  <Characters>95290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Submission 29 - Reserve Bank of Australia (RBA) - Competition in the Australian Financial System - Public inquiry</vt:lpstr>
    </vt:vector>
  </TitlesOfParts>
  <Company>Reserve Bank of Australia (RBA)</Company>
  <LinksUpToDate>false</LinksUpToDate>
  <CharactersWithSpaces>111784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Reserve Bank of Australia (RBA) - Competition in the Australian Financial System - Public inquiry</dc:title>
  <dc:creator>Reserve Bank of Australia (RBA)</dc:creator>
  <cp:keywords/>
  <cp:lastModifiedBy>Productivity Commission</cp:lastModifiedBy>
  <cp:revision>4</cp:revision>
  <cp:lastPrinted>2017-09-17T23:22:00Z</cp:lastPrinted>
  <dcterms:created xsi:type="dcterms:W3CDTF">2017-09-19T02:04:00Z</dcterms:created>
  <dcterms:modified xsi:type="dcterms:W3CDTF">2017-09-19T03:36:00Z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A_TemplateVersion">
    <vt:lpwstr>1.2743.17079.1</vt:lpwstr>
  </property>
  <property fmtid="{D5CDD505-2E9C-101B-9397-08002B2CF9AE}" pid="3" name="RBA_TrimNumber">
    <vt:lpwstr>D17/270508</vt:lpwstr>
  </property>
  <property fmtid="{D5CDD505-2E9C-101B-9397-08002B2CF9AE}" pid="4" name="RBA_TrimSecurity">
    <vt:lpwstr>GENERAL</vt:lpwstr>
  </property>
  <property fmtid="{D5CDD505-2E9C-101B-9397-08002B2CF9AE}" pid="5" name="RBA_TrimDateCreated">
    <vt:lpwstr>2/08/2017</vt:lpwstr>
  </property>
  <property fmtid="{D5CDD505-2E9C-101B-9397-08002B2CF9AE}" pid="6" name="RBA_TrimFolder">
    <vt:lpwstr>17/1638</vt:lpwstr>
  </property>
  <property fmtid="{D5CDD505-2E9C-101B-9397-08002B2CF9AE}" pid="7" name="ContentTypeId">
    <vt:lpwstr>0x0101007916246811615643A710C6FEAFF56A871105003C96DB499DA44345860536E75257F88B</vt:lpwstr>
  </property>
  <property fmtid="{D5CDD505-2E9C-101B-9397-08002B2CF9AE}" pid="8" name="Record Tag">
    <vt:lpwstr>139;#Submissions|c6e0dbf8-5444-433c-844d-d567dd519a05</vt:lpwstr>
  </property>
  <property fmtid="{D5CDD505-2E9C-101B-9397-08002B2CF9AE}" pid="9" name="TaxKeyword">
    <vt:lpwstr/>
  </property>
</Properties>
</file>