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2931040"/>
        <w:docPartObj>
          <w:docPartGallery w:val="Cover Pages"/>
          <w:docPartUnique/>
        </w:docPartObj>
      </w:sdtPr>
      <w:sdtEndPr>
        <w:rPr>
          <w:i/>
        </w:rPr>
      </w:sdtEndPr>
      <w:sdtContent>
        <w:bookmarkStart w:id="0" w:name="_GoBack" w:displacedByCustomXml="prev"/>
        <w:bookmarkEnd w:id="0" w:displacedByCustomXml="prev"/>
        <w:p w14:paraId="2A3FBFE6" w14:textId="77777777" w:rsidR="00FE2267" w:rsidRDefault="00FE2267">
          <w:r>
            <w:rPr>
              <w:noProof/>
            </w:rPr>
            <w:drawing>
              <wp:anchor distT="0" distB="0" distL="114300" distR="114300" simplePos="0" relativeHeight="251659264" behindDoc="0" locked="0" layoutInCell="1" allowOverlap="1" wp14:anchorId="73C045CA" wp14:editId="32425BFB">
                <wp:simplePos x="0" y="0"/>
                <wp:positionH relativeFrom="column">
                  <wp:posOffset>1724025</wp:posOffset>
                </wp:positionH>
                <wp:positionV relativeFrom="paragraph">
                  <wp:posOffset>-461010</wp:posOffset>
                </wp:positionV>
                <wp:extent cx="2399030" cy="1899613"/>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399030" cy="18996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AB1A6D4" w14:textId="77777777" w:rsidR="00FE2267" w:rsidRDefault="00FE2267"/>
        <w:tbl>
          <w:tblPr>
            <w:tblpPr w:leftFromText="187" w:rightFromText="187" w:horzAnchor="margin" w:tblpXSpec="center" w:tblpYSpec="bottom"/>
            <w:tblW w:w="4000" w:type="pct"/>
            <w:tblLook w:val="04A0" w:firstRow="1" w:lastRow="0" w:firstColumn="1" w:lastColumn="0" w:noHBand="0" w:noVBand="1"/>
          </w:tblPr>
          <w:tblGrid>
            <w:gridCol w:w="7764"/>
          </w:tblGrid>
          <w:tr w:rsidR="00FE2267" w14:paraId="661BE2F6" w14:textId="77777777" w:rsidTr="00FE2267">
            <w:tc>
              <w:tcPr>
                <w:tcW w:w="7405" w:type="dxa"/>
                <w:tcMar>
                  <w:top w:w="216" w:type="dxa"/>
                  <w:left w:w="115" w:type="dxa"/>
                  <w:bottom w:w="216" w:type="dxa"/>
                  <w:right w:w="115" w:type="dxa"/>
                </w:tcMar>
              </w:tcPr>
              <w:p w14:paraId="3C5A0FC6" w14:textId="77777777" w:rsidR="00FE2267" w:rsidRDefault="00FE2267" w:rsidP="00E9649C">
                <w:pPr>
                  <w:pStyle w:val="NoSpacing"/>
                  <w:rPr>
                    <w:color w:val="4F81BD" w:themeColor="accent1"/>
                  </w:rPr>
                </w:pPr>
              </w:p>
            </w:tc>
          </w:tr>
        </w:tbl>
        <w:p w14:paraId="56DEF4DF" w14:textId="77777777" w:rsidR="00FE2267" w:rsidRDefault="00FE2267"/>
        <w:p w14:paraId="4264F25E" w14:textId="77777777" w:rsidR="0009597B" w:rsidRDefault="0009597B"/>
        <w:p w14:paraId="35B2D472" w14:textId="77777777" w:rsidR="0009597B" w:rsidRDefault="0009597B"/>
        <w:p w14:paraId="288CDA27" w14:textId="77777777" w:rsidR="0009597B" w:rsidRDefault="0009597B"/>
        <w:tbl>
          <w:tblPr>
            <w:tblpPr w:leftFromText="187" w:rightFromText="187" w:vertAnchor="page" w:horzAnchor="margin" w:tblpY="5056"/>
            <w:tblW w:w="4737" w:type="pct"/>
            <w:tblLook w:val="04A0" w:firstRow="1" w:lastRow="0" w:firstColumn="1" w:lastColumn="0" w:noHBand="0" w:noVBand="1"/>
          </w:tblPr>
          <w:tblGrid>
            <w:gridCol w:w="9181"/>
          </w:tblGrid>
          <w:tr w:rsidR="004818BC" w14:paraId="3070F68A" w14:textId="77777777" w:rsidTr="004818BC">
            <w:trPr>
              <w:trHeight w:val="2269"/>
            </w:trPr>
            <w:tc>
              <w:tcPr>
                <w:tcW w:w="9181" w:type="dxa"/>
              </w:tcPr>
              <w:p w14:paraId="3E99E19C" w14:textId="6C201B4C" w:rsidR="004818BC" w:rsidRDefault="00890724" w:rsidP="004818BC">
                <w:pPr>
                  <w:pStyle w:val="NoSpacing"/>
                  <w:ind w:right="-102"/>
                  <w:jc w:val="center"/>
                  <w:rPr>
                    <w:rFonts w:asciiTheme="majorHAnsi" w:eastAsiaTheme="majorEastAsia" w:hAnsiTheme="majorHAnsi" w:cstheme="majorBidi"/>
                    <w:color w:val="4F81BD" w:themeColor="accent1"/>
                    <w:sz w:val="80"/>
                    <w:szCs w:val="80"/>
                  </w:rPr>
                </w:pPr>
                <w:sdt>
                  <w:sdtPr>
                    <w:rPr>
                      <w:rFonts w:asciiTheme="majorHAnsi" w:eastAsiaTheme="majorEastAsia" w:hAnsiTheme="majorHAnsi" w:cstheme="majorBidi"/>
                      <w:color w:val="000A7C"/>
                      <w:sz w:val="56"/>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color w:val="000A7C"/>
                        <w:sz w:val="56"/>
                        <w:szCs w:val="80"/>
                      </w:rPr>
                      <w:t>Submission 33 - Bonlac Supply Company - Murray-Darling Basin Plan: Five-year assessment - Public inquiry</w:t>
                    </w:r>
                  </w:sdtContent>
                </w:sdt>
              </w:p>
            </w:tc>
          </w:tr>
          <w:tr w:rsidR="004818BC" w14:paraId="656C3926" w14:textId="77777777" w:rsidTr="004818BC">
            <w:trPr>
              <w:trHeight w:val="358"/>
            </w:trPr>
            <w:tc>
              <w:tcPr>
                <w:tcW w:w="9181" w:type="dxa"/>
                <w:tcMar>
                  <w:top w:w="216" w:type="dxa"/>
                  <w:left w:w="115" w:type="dxa"/>
                  <w:bottom w:w="216" w:type="dxa"/>
                  <w:right w:w="115" w:type="dxa"/>
                </w:tcMar>
              </w:tcPr>
              <w:p w14:paraId="78AECFF1" w14:textId="77777777" w:rsidR="004818BC" w:rsidRDefault="004818BC" w:rsidP="004818BC">
                <w:pPr>
                  <w:pStyle w:val="NoSpacing"/>
                  <w:rPr>
                    <w:rFonts w:asciiTheme="majorHAnsi" w:eastAsiaTheme="majorEastAsia" w:hAnsiTheme="majorHAnsi" w:cstheme="majorBidi"/>
                  </w:rPr>
                </w:pPr>
              </w:p>
            </w:tc>
          </w:tr>
        </w:tbl>
        <w:p w14:paraId="03D95687" w14:textId="77777777" w:rsidR="00C70BD4" w:rsidRPr="00C70BD4" w:rsidRDefault="00C70BD4" w:rsidP="00C70BD4">
          <w:pPr>
            <w:pStyle w:val="Default"/>
            <w:ind w:left="284"/>
            <w:rPr>
              <w:sz w:val="36"/>
              <w:szCs w:val="36"/>
            </w:rPr>
          </w:pPr>
          <w:r w:rsidRPr="00C70BD4">
            <w:rPr>
              <w:sz w:val="36"/>
              <w:szCs w:val="36"/>
            </w:rPr>
            <w:t>Submission to:</w:t>
          </w:r>
        </w:p>
        <w:p w14:paraId="43D925DA" w14:textId="77777777" w:rsidR="00C70BD4" w:rsidRPr="00C70BD4" w:rsidRDefault="003720C1" w:rsidP="00C70BD4">
          <w:pPr>
            <w:pStyle w:val="Default"/>
            <w:ind w:left="567"/>
          </w:pPr>
          <w:r>
            <w:t>Productivity Commission</w:t>
          </w:r>
          <w:r w:rsidR="00C70BD4" w:rsidRPr="00C70BD4">
            <w:t xml:space="preserve"> </w:t>
          </w:r>
        </w:p>
        <w:p w14:paraId="7C8DE77F" w14:textId="77777777" w:rsidR="00C70BD4" w:rsidRPr="004818BC" w:rsidRDefault="00C70BD4" w:rsidP="004818BC">
          <w:pPr>
            <w:ind w:left="567"/>
            <w:rPr>
              <w:i/>
              <w:iCs/>
              <w:color w:val="0000FF"/>
            </w:rPr>
          </w:pPr>
          <w:r w:rsidRPr="00C70BD4">
            <w:rPr>
              <w:i/>
              <w:iCs/>
              <w:sz w:val="24"/>
              <w:szCs w:val="24"/>
            </w:rPr>
            <w:t>Submitted online via</w:t>
          </w:r>
          <w:r w:rsidRPr="00C70BD4">
            <w:rPr>
              <w:i/>
              <w:iCs/>
            </w:rPr>
            <w:t xml:space="preserve"> </w:t>
          </w:r>
          <w:hyperlink r:id="rId16" w:history="1">
            <w:r w:rsidR="003720C1" w:rsidRPr="00DE0695">
              <w:rPr>
                <w:rStyle w:val="Hyperlink"/>
              </w:rPr>
              <w:t>http://www.pc.gov.au/inquiries/current/basin-plan</w:t>
            </w:r>
          </w:hyperlink>
        </w:p>
        <w:p w14:paraId="6AF6E207" w14:textId="77777777" w:rsidR="004818BC" w:rsidRDefault="00DF4667">
          <w:pPr>
            <w:rPr>
              <w:sz w:val="36"/>
              <w:szCs w:val="36"/>
              <w:lang w:val="en-US"/>
            </w:rPr>
          </w:pPr>
          <w:r>
            <w:rPr>
              <w:sz w:val="36"/>
              <w:szCs w:val="36"/>
              <w:lang w:val="en-US"/>
            </w:rPr>
            <w:t xml:space="preserve"> </w:t>
          </w:r>
        </w:p>
        <w:p w14:paraId="1C4A2027" w14:textId="77777777" w:rsidR="008504BC" w:rsidRPr="004818BC" w:rsidRDefault="00DF4667">
          <w:pPr>
            <w:rPr>
              <w:sz w:val="32"/>
              <w:szCs w:val="32"/>
              <w:lang w:val="en-US"/>
            </w:rPr>
          </w:pPr>
          <w:r w:rsidRPr="004818BC">
            <w:rPr>
              <w:sz w:val="32"/>
              <w:szCs w:val="32"/>
              <w:lang w:val="en-US"/>
            </w:rPr>
            <w:t xml:space="preserve">   </w:t>
          </w:r>
          <w:r w:rsidR="003720C1" w:rsidRPr="004818BC">
            <w:rPr>
              <w:sz w:val="32"/>
              <w:szCs w:val="32"/>
              <w:lang w:val="en-US"/>
            </w:rPr>
            <w:t>19 April 2018</w:t>
          </w:r>
        </w:p>
        <w:p w14:paraId="62C04A83" w14:textId="77777777" w:rsidR="004818BC" w:rsidRPr="004818BC" w:rsidRDefault="004818BC" w:rsidP="004818BC">
          <w:pPr>
            <w:pStyle w:val="Heading1"/>
            <w:rPr>
              <w:b w:val="0"/>
              <w:sz w:val="36"/>
              <w:szCs w:val="36"/>
            </w:rPr>
          </w:pPr>
          <w:bookmarkStart w:id="1" w:name="_Toc511816628"/>
          <w:r w:rsidRPr="004818BC">
            <w:rPr>
              <w:b w:val="0"/>
              <w:sz w:val="36"/>
              <w:szCs w:val="36"/>
            </w:rPr>
            <w:t>Contacts for submission</w:t>
          </w:r>
          <w:bookmarkEnd w:id="1"/>
        </w:p>
        <w:p w14:paraId="05F77556" w14:textId="77777777" w:rsidR="004818BC" w:rsidRPr="0009597B" w:rsidRDefault="004818BC" w:rsidP="004818BC">
          <w:pPr>
            <w:spacing w:after="60" w:line="240" w:lineRule="auto"/>
            <w:ind w:left="284"/>
            <w:rPr>
              <w:sz w:val="24"/>
              <w:szCs w:val="24"/>
            </w:rPr>
          </w:pPr>
          <w:r w:rsidRPr="0009597B">
            <w:rPr>
              <w:b/>
              <w:sz w:val="24"/>
              <w:szCs w:val="24"/>
            </w:rPr>
            <w:t>Anthony Marwood</w:t>
          </w:r>
          <w:r w:rsidRPr="0009597B">
            <w:rPr>
              <w:sz w:val="24"/>
              <w:szCs w:val="24"/>
            </w:rPr>
            <w:t xml:space="preserve"> – Chairman, Bonlac Supply Company</w:t>
          </w:r>
        </w:p>
        <w:p w14:paraId="015D0D62" w14:textId="4E92A192" w:rsidR="004818BC" w:rsidRPr="0009597B" w:rsidRDefault="004818BC" w:rsidP="004818BC">
          <w:pPr>
            <w:spacing w:after="60" w:line="240" w:lineRule="auto"/>
            <w:ind w:left="284"/>
            <w:rPr>
              <w:sz w:val="24"/>
              <w:szCs w:val="24"/>
            </w:rPr>
          </w:pPr>
        </w:p>
        <w:p w14:paraId="69D7115C" w14:textId="77777777" w:rsidR="004818BC" w:rsidRPr="002C4B75" w:rsidRDefault="004818BC" w:rsidP="004818BC">
          <w:pPr>
            <w:spacing w:line="240" w:lineRule="auto"/>
            <w:ind w:left="284"/>
            <w:rPr>
              <w:sz w:val="8"/>
              <w:szCs w:val="8"/>
            </w:rPr>
          </w:pPr>
        </w:p>
        <w:p w14:paraId="7AC1EF6E" w14:textId="77777777" w:rsidR="004818BC" w:rsidRPr="0009597B" w:rsidRDefault="004818BC" w:rsidP="004818BC">
          <w:pPr>
            <w:spacing w:after="60" w:line="240" w:lineRule="auto"/>
            <w:ind w:left="284"/>
            <w:rPr>
              <w:sz w:val="24"/>
              <w:szCs w:val="24"/>
            </w:rPr>
          </w:pPr>
          <w:r w:rsidRPr="0009597B">
            <w:rPr>
              <w:b/>
              <w:sz w:val="24"/>
              <w:szCs w:val="24"/>
            </w:rPr>
            <w:t>Will Kermode</w:t>
          </w:r>
          <w:r w:rsidRPr="0009597B">
            <w:rPr>
              <w:sz w:val="24"/>
              <w:szCs w:val="24"/>
            </w:rPr>
            <w:t xml:space="preserve"> – Company Secretary, Bonlac </w:t>
          </w:r>
          <w:r>
            <w:rPr>
              <w:sz w:val="24"/>
              <w:szCs w:val="24"/>
            </w:rPr>
            <w:t>Supply Compan</w:t>
          </w:r>
          <w:r w:rsidRPr="0009597B">
            <w:rPr>
              <w:sz w:val="24"/>
              <w:szCs w:val="24"/>
            </w:rPr>
            <w:t>y</w:t>
          </w:r>
        </w:p>
        <w:p w14:paraId="7D0B41AC" w14:textId="6A4D451A" w:rsidR="004818BC" w:rsidRDefault="004818BC" w:rsidP="004818BC">
          <w:pPr>
            <w:spacing w:after="60" w:line="240" w:lineRule="auto"/>
            <w:ind w:left="284"/>
          </w:pPr>
        </w:p>
        <w:p w14:paraId="33E36749" w14:textId="77777777" w:rsidR="00E901C7" w:rsidRDefault="00E901C7" w:rsidP="004818BC">
          <w:pPr>
            <w:spacing w:after="60" w:line="240" w:lineRule="auto"/>
            <w:ind w:left="284"/>
          </w:pPr>
        </w:p>
        <w:p w14:paraId="35FE227A" w14:textId="77777777" w:rsidR="00E901C7" w:rsidRPr="004818BC" w:rsidRDefault="00E901C7" w:rsidP="004818BC">
          <w:pPr>
            <w:spacing w:after="60" w:line="240" w:lineRule="auto"/>
            <w:ind w:left="284"/>
          </w:pPr>
        </w:p>
        <w:p w14:paraId="717D7CAE" w14:textId="77777777" w:rsidR="0094551D" w:rsidRPr="004818BC" w:rsidRDefault="00AE12B6" w:rsidP="004818BC">
          <w:pPr>
            <w:spacing w:before="240"/>
            <w:rPr>
              <w:i/>
            </w:rPr>
          </w:pPr>
          <w:r w:rsidRPr="004818BC">
            <w:rPr>
              <w:i/>
            </w:rPr>
            <w:t xml:space="preserve">  Version:  </w:t>
          </w:r>
          <w:r w:rsidR="003325C5" w:rsidRPr="004818BC">
            <w:rPr>
              <w:i/>
            </w:rPr>
            <w:fldChar w:fldCharType="begin"/>
          </w:r>
          <w:r w:rsidR="003325C5" w:rsidRPr="004818BC">
            <w:rPr>
              <w:i/>
            </w:rPr>
            <w:instrText xml:space="preserve"> FILENAME   \* MERGEFORMAT </w:instrText>
          </w:r>
          <w:r w:rsidR="003325C5" w:rsidRPr="004818BC">
            <w:rPr>
              <w:i/>
            </w:rPr>
            <w:fldChar w:fldCharType="separate"/>
          </w:r>
          <w:r w:rsidR="009F19BC" w:rsidRPr="004818BC">
            <w:rPr>
              <w:i/>
              <w:noProof/>
            </w:rPr>
            <w:t>B</w:t>
          </w:r>
          <w:r w:rsidR="004818BC" w:rsidRPr="004818BC">
            <w:rPr>
              <w:i/>
              <w:noProof/>
            </w:rPr>
            <w:t>o</w:t>
          </w:r>
          <w:r w:rsidR="009F19BC" w:rsidRPr="004818BC">
            <w:rPr>
              <w:i/>
              <w:noProof/>
            </w:rPr>
            <w:t>n</w:t>
          </w:r>
          <w:r w:rsidR="003720C1" w:rsidRPr="004818BC">
            <w:rPr>
              <w:i/>
              <w:noProof/>
            </w:rPr>
            <w:t>lac Supply Company Submission to PC _ MDBP five-year assessment 20180419</w:t>
          </w:r>
          <w:r w:rsidR="009F19BC" w:rsidRPr="004818BC">
            <w:rPr>
              <w:i/>
              <w:noProof/>
            </w:rPr>
            <w:t xml:space="preserve"> </w:t>
          </w:r>
          <w:r w:rsidR="003325C5" w:rsidRPr="004818BC">
            <w:rPr>
              <w:i/>
              <w:noProof/>
            </w:rPr>
            <w:fldChar w:fldCharType="end"/>
          </w:r>
        </w:p>
      </w:sdtContent>
    </w:sdt>
    <w:p w14:paraId="762521A8" w14:textId="77777777" w:rsidR="00081487" w:rsidRPr="00062D83" w:rsidRDefault="008B1378" w:rsidP="00062D83">
      <w:r>
        <w:t xml:space="preserve">     </w:t>
      </w:r>
      <w:r w:rsidR="0094551D">
        <w:br w:type="page"/>
      </w:r>
    </w:p>
    <w:p w14:paraId="09893361" w14:textId="77777777" w:rsidR="000E5C9F" w:rsidRPr="0094551D" w:rsidRDefault="000E5C9F" w:rsidP="000E5C9F">
      <w:pPr>
        <w:pStyle w:val="Heading1"/>
        <w:rPr>
          <w:b w:val="0"/>
          <w:sz w:val="44"/>
          <w:szCs w:val="44"/>
        </w:rPr>
      </w:pPr>
      <w:bookmarkStart w:id="2" w:name="_Toc511816630"/>
      <w:r w:rsidRPr="0094551D">
        <w:rPr>
          <w:b w:val="0"/>
          <w:sz w:val="44"/>
          <w:szCs w:val="44"/>
        </w:rPr>
        <w:lastRenderedPageBreak/>
        <w:t>Who we are</w:t>
      </w:r>
      <w:bookmarkEnd w:id="2"/>
      <w:r>
        <w:rPr>
          <w:b w:val="0"/>
          <w:sz w:val="44"/>
          <w:szCs w:val="44"/>
        </w:rPr>
        <w:t xml:space="preserve"> </w:t>
      </w:r>
    </w:p>
    <w:p w14:paraId="6F84C1C3" w14:textId="77777777" w:rsidR="000E5C9F" w:rsidRPr="000E5C9F" w:rsidRDefault="000E5C9F" w:rsidP="000E5C9F">
      <w:pPr>
        <w:rPr>
          <w:sz w:val="24"/>
          <w:szCs w:val="24"/>
        </w:rPr>
      </w:pPr>
      <w:r w:rsidRPr="000E5C9F">
        <w:rPr>
          <w:sz w:val="24"/>
          <w:szCs w:val="24"/>
        </w:rPr>
        <w:t>Bonlac Supply Company (BSC) is a farmer representative body representing the 1,200 dairy farmer suppliers to Fonterra Aus</w:t>
      </w:r>
      <w:r w:rsidR="0078302D">
        <w:rPr>
          <w:sz w:val="24"/>
          <w:szCs w:val="24"/>
        </w:rPr>
        <w:t>tralia (throughout Victoria,</w:t>
      </w:r>
      <w:r w:rsidRPr="000E5C9F">
        <w:rPr>
          <w:sz w:val="24"/>
          <w:szCs w:val="24"/>
        </w:rPr>
        <w:t xml:space="preserve"> Tasmania and NSW).  </w:t>
      </w:r>
    </w:p>
    <w:p w14:paraId="530A5884" w14:textId="77777777" w:rsidR="000E5C9F" w:rsidRPr="000E5C9F" w:rsidRDefault="000E5C9F" w:rsidP="000E5C9F">
      <w:pPr>
        <w:spacing w:line="240" w:lineRule="auto"/>
        <w:rPr>
          <w:sz w:val="24"/>
          <w:szCs w:val="24"/>
        </w:rPr>
      </w:pPr>
      <w:r w:rsidRPr="000E5C9F">
        <w:rPr>
          <w:sz w:val="24"/>
          <w:szCs w:val="24"/>
        </w:rPr>
        <w:t>Of these suppliers, over 250 are located in the Murray-Darling Basin region, supplying over 300 million litres of milk annually with a farm-gate value of A$170million.</w:t>
      </w:r>
    </w:p>
    <w:p w14:paraId="4EF29166" w14:textId="77777777" w:rsidR="000E5C9F" w:rsidRPr="000E5C9F" w:rsidRDefault="000E5C9F" w:rsidP="000E5C9F">
      <w:pPr>
        <w:spacing w:line="240" w:lineRule="auto"/>
        <w:rPr>
          <w:sz w:val="24"/>
          <w:szCs w:val="24"/>
        </w:rPr>
      </w:pPr>
      <w:r w:rsidRPr="000E5C9F">
        <w:rPr>
          <w:sz w:val="24"/>
          <w:szCs w:val="24"/>
        </w:rPr>
        <w:t xml:space="preserve">The Bonlac Supply Company Board, five of whom are dairy farmers, provide active representation of all supplier interests at a local, industry and government level.  </w:t>
      </w:r>
    </w:p>
    <w:p w14:paraId="4AC0E0E7" w14:textId="77777777" w:rsidR="000E5C9F" w:rsidRPr="000E5C9F" w:rsidRDefault="000E5C9F" w:rsidP="000E5C9F">
      <w:pPr>
        <w:spacing w:line="240" w:lineRule="auto"/>
        <w:rPr>
          <w:sz w:val="24"/>
          <w:szCs w:val="24"/>
        </w:rPr>
      </w:pPr>
      <w:r w:rsidRPr="000E5C9F">
        <w:rPr>
          <w:sz w:val="24"/>
          <w:szCs w:val="24"/>
        </w:rPr>
        <w:t>Our other key activities include development of the next generation of dairy industry leaders through the BSC Leadership program, oversight of the BSC Fonterra Supplier Forum which provides direct farmer feedback to the BSC Board and Fonterra Australia, and the development of other initiatives in conjunction with Fonterra to support farmers.</w:t>
      </w:r>
    </w:p>
    <w:p w14:paraId="6480D881" w14:textId="77777777" w:rsidR="000E5C9F" w:rsidRPr="000E5C9F" w:rsidRDefault="000E5C9F" w:rsidP="000E5C9F">
      <w:pPr>
        <w:spacing w:line="240" w:lineRule="auto"/>
        <w:rPr>
          <w:sz w:val="24"/>
          <w:szCs w:val="24"/>
        </w:rPr>
      </w:pPr>
      <w:r w:rsidRPr="000E5C9F">
        <w:rPr>
          <w:sz w:val="24"/>
          <w:szCs w:val="24"/>
        </w:rPr>
        <w:t>Fonterra collects and processes this milk at its Stanhope site where it’s made into household dairy brands such as Bega and Perfect Italiano cheeses.  A portion of Fonterra’s Australian dairy products from the Murray Darling Basin (primarily cheese and milk powders) are also exported.</w:t>
      </w:r>
    </w:p>
    <w:p w14:paraId="3DFEBDDB" w14:textId="77777777" w:rsidR="000E5C9F" w:rsidRPr="000E5C9F" w:rsidRDefault="000E5C9F" w:rsidP="000E5C9F">
      <w:pPr>
        <w:spacing w:line="240" w:lineRule="auto"/>
        <w:rPr>
          <w:sz w:val="24"/>
          <w:szCs w:val="24"/>
        </w:rPr>
      </w:pPr>
      <w:r w:rsidRPr="000E5C9F">
        <w:rPr>
          <w:sz w:val="24"/>
          <w:szCs w:val="24"/>
        </w:rPr>
        <w:t xml:space="preserve">Bonlac Supply Company and Fonterra are part of the Australian Dairy Industry Council and fully supportive of the Productivity Commission review.  </w:t>
      </w:r>
    </w:p>
    <w:p w14:paraId="70C65119" w14:textId="77777777" w:rsidR="000E5C9F" w:rsidRDefault="000E5C9F" w:rsidP="000E5C9F">
      <w:pPr>
        <w:pStyle w:val="Heading1"/>
        <w:rPr>
          <w:b w:val="0"/>
          <w:sz w:val="44"/>
          <w:szCs w:val="44"/>
        </w:rPr>
      </w:pPr>
      <w:bookmarkStart w:id="3" w:name="_Toc511816631"/>
      <w:r>
        <w:rPr>
          <w:b w:val="0"/>
          <w:sz w:val="44"/>
          <w:szCs w:val="44"/>
        </w:rPr>
        <w:t>Key points</w:t>
      </w:r>
      <w:bookmarkEnd w:id="3"/>
    </w:p>
    <w:p w14:paraId="0322246C" w14:textId="77777777" w:rsidR="00A1682E" w:rsidRPr="00E901C7" w:rsidRDefault="00AB233B" w:rsidP="00AB233B">
      <w:pPr>
        <w:rPr>
          <w:sz w:val="24"/>
          <w:szCs w:val="24"/>
        </w:rPr>
      </w:pPr>
      <w:r w:rsidRPr="000E5C9F">
        <w:rPr>
          <w:sz w:val="24"/>
          <w:szCs w:val="24"/>
        </w:rPr>
        <w:t xml:space="preserve">The introduction of the Murray Darling Basin Plan, particularly reductions in Sustainable Diversion Limits (SDLs) has had a dramatic socio-economic effect on dairy farmers and the dairy </w:t>
      </w:r>
      <w:r w:rsidRPr="00E901C7">
        <w:rPr>
          <w:sz w:val="24"/>
          <w:szCs w:val="24"/>
        </w:rPr>
        <w:t xml:space="preserve">processing companies that they supply, notably in the southern part of the MD Basin.  </w:t>
      </w:r>
    </w:p>
    <w:p w14:paraId="4FDBEBEB" w14:textId="77777777" w:rsidR="008356A8" w:rsidRPr="00E901C7" w:rsidRDefault="00DC20AD" w:rsidP="008356A8">
      <w:pPr>
        <w:rPr>
          <w:rFonts w:eastAsia="Times New Roman"/>
        </w:rPr>
      </w:pPr>
      <w:r w:rsidRPr="00E901C7">
        <w:rPr>
          <w:rFonts w:eastAsia="Times New Roman"/>
        </w:rPr>
        <w:t>With 50% of water used in dairy being temporary water</w:t>
      </w:r>
      <w:r w:rsidR="00B323F7" w:rsidRPr="00E901C7">
        <w:rPr>
          <w:rStyle w:val="FootnoteReference"/>
          <w:rFonts w:eastAsia="Times New Roman"/>
        </w:rPr>
        <w:footnoteReference w:id="1"/>
      </w:r>
      <w:r w:rsidRPr="00E901C7">
        <w:rPr>
          <w:rFonts w:eastAsia="Times New Roman"/>
        </w:rPr>
        <w:t xml:space="preserve">, dairy’s exposure to water market volatility is immense.  </w:t>
      </w:r>
      <w:r w:rsidR="000E5C9F" w:rsidRPr="00E901C7">
        <w:rPr>
          <w:sz w:val="24"/>
          <w:szCs w:val="24"/>
        </w:rPr>
        <w:t>The reduction</w:t>
      </w:r>
      <w:r w:rsidRPr="00E901C7">
        <w:rPr>
          <w:sz w:val="24"/>
          <w:szCs w:val="24"/>
        </w:rPr>
        <w:t>s</w:t>
      </w:r>
      <w:r w:rsidR="000E5C9F" w:rsidRPr="00E901C7">
        <w:rPr>
          <w:sz w:val="24"/>
          <w:szCs w:val="24"/>
        </w:rPr>
        <w:t xml:space="preserve"> in</w:t>
      </w:r>
      <w:r w:rsidRPr="00E901C7">
        <w:rPr>
          <w:sz w:val="24"/>
          <w:szCs w:val="24"/>
        </w:rPr>
        <w:t xml:space="preserve"> the level</w:t>
      </w:r>
      <w:r w:rsidR="000E5C9F" w:rsidRPr="00E901C7">
        <w:rPr>
          <w:sz w:val="24"/>
          <w:szCs w:val="24"/>
        </w:rPr>
        <w:t xml:space="preserve"> </w:t>
      </w:r>
      <w:r w:rsidR="0078302D" w:rsidRPr="00E901C7">
        <w:rPr>
          <w:sz w:val="24"/>
          <w:szCs w:val="24"/>
        </w:rPr>
        <w:t xml:space="preserve">of </w:t>
      </w:r>
      <w:r w:rsidR="000E5C9F" w:rsidRPr="00E901C7">
        <w:rPr>
          <w:sz w:val="24"/>
          <w:szCs w:val="24"/>
        </w:rPr>
        <w:t>water ava</w:t>
      </w:r>
      <w:r w:rsidR="00AB233B" w:rsidRPr="00E901C7">
        <w:rPr>
          <w:sz w:val="24"/>
          <w:szCs w:val="24"/>
        </w:rPr>
        <w:t>ilable (and high costs) has had b</w:t>
      </w:r>
      <w:r w:rsidR="000E5C9F" w:rsidRPr="00E901C7">
        <w:rPr>
          <w:sz w:val="24"/>
          <w:szCs w:val="24"/>
        </w:rPr>
        <w:t>road adverse consequences for milk production and on farm investment</w:t>
      </w:r>
      <w:r w:rsidR="008356A8" w:rsidRPr="00E901C7">
        <w:rPr>
          <w:sz w:val="24"/>
          <w:szCs w:val="24"/>
        </w:rPr>
        <w:t xml:space="preserve">.  </w:t>
      </w:r>
    </w:p>
    <w:p w14:paraId="42F6886A" w14:textId="77777777" w:rsidR="000E5C9F" w:rsidRPr="00E901C7" w:rsidRDefault="00DC20AD" w:rsidP="00AB233B">
      <w:pPr>
        <w:rPr>
          <w:sz w:val="24"/>
          <w:szCs w:val="24"/>
        </w:rPr>
      </w:pPr>
      <w:r w:rsidRPr="00E901C7">
        <w:rPr>
          <w:sz w:val="24"/>
          <w:szCs w:val="24"/>
        </w:rPr>
        <w:t xml:space="preserve">This uncertainty around water supply and cost is </w:t>
      </w:r>
      <w:r w:rsidR="000E5C9F" w:rsidRPr="00E901C7">
        <w:rPr>
          <w:sz w:val="24"/>
          <w:szCs w:val="24"/>
        </w:rPr>
        <w:t xml:space="preserve">leading to reduced on farm incomes </w:t>
      </w:r>
      <w:r w:rsidRPr="00E901C7">
        <w:rPr>
          <w:sz w:val="24"/>
          <w:szCs w:val="24"/>
        </w:rPr>
        <w:t>and investment, with reduced direct employment, with multiplied</w:t>
      </w:r>
      <w:r w:rsidR="000E5C9F" w:rsidRPr="00E901C7">
        <w:rPr>
          <w:sz w:val="24"/>
          <w:szCs w:val="24"/>
        </w:rPr>
        <w:t xml:space="preserve"> related socio economic effects </w:t>
      </w:r>
      <w:r w:rsidR="0078302D" w:rsidRPr="00E901C7">
        <w:rPr>
          <w:sz w:val="24"/>
          <w:szCs w:val="24"/>
        </w:rPr>
        <w:t>our Basin</w:t>
      </w:r>
      <w:r w:rsidR="000E5C9F" w:rsidRPr="00E901C7">
        <w:rPr>
          <w:sz w:val="24"/>
          <w:szCs w:val="24"/>
        </w:rPr>
        <w:t xml:space="preserve"> communities</w:t>
      </w:r>
      <w:r w:rsidRPr="00E901C7">
        <w:rPr>
          <w:sz w:val="24"/>
          <w:szCs w:val="24"/>
        </w:rPr>
        <w:t>.</w:t>
      </w:r>
    </w:p>
    <w:p w14:paraId="06DC2686" w14:textId="77777777" w:rsidR="00A1682E" w:rsidRPr="00E901C7" w:rsidRDefault="00A1682E" w:rsidP="00A1682E">
      <w:pPr>
        <w:rPr>
          <w:rFonts w:eastAsia="Times New Roman"/>
          <w:sz w:val="24"/>
          <w:szCs w:val="24"/>
        </w:rPr>
      </w:pPr>
      <w:r w:rsidRPr="00E901C7">
        <w:rPr>
          <w:rFonts w:eastAsia="Times New Roman"/>
          <w:sz w:val="24"/>
          <w:szCs w:val="24"/>
        </w:rPr>
        <w:t xml:space="preserve">Our key concern is that the Basin Plan is in fact limiting growth in Dairy, </w:t>
      </w:r>
      <w:r w:rsidR="0078302D" w:rsidRPr="00E901C7">
        <w:rPr>
          <w:rFonts w:eastAsia="Times New Roman"/>
          <w:sz w:val="24"/>
          <w:szCs w:val="24"/>
        </w:rPr>
        <w:t xml:space="preserve">when </w:t>
      </w:r>
      <w:r w:rsidRPr="00E901C7">
        <w:rPr>
          <w:rFonts w:eastAsia="Times New Roman"/>
          <w:sz w:val="24"/>
          <w:szCs w:val="24"/>
        </w:rPr>
        <w:t>compared to national trends</w:t>
      </w:r>
      <w:r w:rsidR="0078302D" w:rsidRPr="00E901C7">
        <w:rPr>
          <w:rFonts w:eastAsia="Times New Roman"/>
          <w:sz w:val="24"/>
          <w:szCs w:val="24"/>
        </w:rPr>
        <w:t xml:space="preserve">.  </w:t>
      </w:r>
      <w:r w:rsidRPr="00E901C7">
        <w:rPr>
          <w:sz w:val="24"/>
          <w:szCs w:val="24"/>
        </w:rPr>
        <w:t>Dairy is one of the largest economic drivers within the Southern Basin . The value of Agriculture in the Basin has only grown by 4% in real terms, compared to 11% nationally</w:t>
      </w:r>
      <w:r w:rsidR="00E901C7" w:rsidRPr="00E901C7">
        <w:rPr>
          <w:rStyle w:val="FootnoteReference"/>
          <w:sz w:val="24"/>
          <w:szCs w:val="24"/>
        </w:rPr>
        <w:footnoteReference w:id="2"/>
      </w:r>
      <w:r w:rsidR="00E901C7">
        <w:rPr>
          <w:sz w:val="24"/>
          <w:szCs w:val="24"/>
        </w:rPr>
        <w:t>.  Using this analysis, i</w:t>
      </w:r>
      <w:r w:rsidRPr="00E901C7">
        <w:rPr>
          <w:sz w:val="24"/>
          <w:szCs w:val="24"/>
        </w:rPr>
        <w:t>rrigated agriculture would have grown by another $770 million in 2017 alone, had its value grown with the 11% national trend</w:t>
      </w:r>
      <w:r w:rsidR="0078302D" w:rsidRPr="00E901C7">
        <w:rPr>
          <w:sz w:val="24"/>
          <w:szCs w:val="24"/>
        </w:rPr>
        <w:t>.</w:t>
      </w:r>
    </w:p>
    <w:p w14:paraId="46BE9841" w14:textId="77777777" w:rsidR="008356A8" w:rsidRPr="00E901C7" w:rsidRDefault="00A1682E" w:rsidP="00AB233B">
      <w:pPr>
        <w:rPr>
          <w:sz w:val="24"/>
          <w:szCs w:val="24"/>
        </w:rPr>
      </w:pPr>
      <w:r w:rsidRPr="00E901C7">
        <w:rPr>
          <w:sz w:val="24"/>
          <w:szCs w:val="24"/>
        </w:rPr>
        <w:lastRenderedPageBreak/>
        <w:t>ABS data shows the gross value of irrigated Dairy has fallen by 24% ($283 million) in real terms since 2001</w:t>
      </w:r>
      <w:r w:rsidR="008356A8" w:rsidRPr="00E901C7">
        <w:rPr>
          <w:sz w:val="24"/>
          <w:szCs w:val="24"/>
        </w:rPr>
        <w:t>.</w:t>
      </w:r>
      <w:r w:rsidR="005D7A3B" w:rsidRPr="00E901C7">
        <w:rPr>
          <w:sz w:val="24"/>
          <w:szCs w:val="24"/>
        </w:rPr>
        <w:t xml:space="preserve">  With dairy a</w:t>
      </w:r>
      <w:r w:rsidR="008356A8" w:rsidRPr="00E901C7">
        <w:rPr>
          <w:sz w:val="24"/>
          <w:szCs w:val="24"/>
        </w:rPr>
        <w:t>s one of the largest economic drivers within the Southern Basin</w:t>
      </w:r>
      <w:r w:rsidR="005D7A3B" w:rsidRPr="00E901C7">
        <w:rPr>
          <w:sz w:val="24"/>
          <w:szCs w:val="24"/>
        </w:rPr>
        <w:t>, these reductions in output affect every community</w:t>
      </w:r>
      <w:r w:rsidR="00E901C7">
        <w:rPr>
          <w:sz w:val="24"/>
          <w:szCs w:val="24"/>
        </w:rPr>
        <w:t xml:space="preserve"> as much of this value is not being replaced</w:t>
      </w:r>
      <w:r w:rsidR="005D7A3B" w:rsidRPr="00E901C7">
        <w:rPr>
          <w:sz w:val="24"/>
          <w:szCs w:val="24"/>
        </w:rPr>
        <w:t>.</w:t>
      </w:r>
    </w:p>
    <w:p w14:paraId="18E3CA96" w14:textId="77777777" w:rsidR="004818BC" w:rsidRPr="00E901C7" w:rsidRDefault="004818BC" w:rsidP="00C14DBB">
      <w:pPr>
        <w:rPr>
          <w:sz w:val="24"/>
          <w:szCs w:val="24"/>
        </w:rPr>
      </w:pPr>
      <w:r w:rsidRPr="00E901C7">
        <w:rPr>
          <w:sz w:val="24"/>
          <w:szCs w:val="24"/>
        </w:rPr>
        <w:t xml:space="preserve">Please also note that we support all the recommendations put forward in the ADIC Water Taskforce submission (of which we have been a contributor) and we do not intend to duplicate </w:t>
      </w:r>
      <w:r w:rsidR="00457093" w:rsidRPr="00E901C7">
        <w:rPr>
          <w:sz w:val="24"/>
          <w:szCs w:val="24"/>
        </w:rPr>
        <w:t>in any detai</w:t>
      </w:r>
      <w:r w:rsidR="005D7A3B" w:rsidRPr="00E901C7">
        <w:rPr>
          <w:sz w:val="24"/>
          <w:szCs w:val="24"/>
        </w:rPr>
        <w:t xml:space="preserve">l </w:t>
      </w:r>
      <w:r w:rsidRPr="00E901C7">
        <w:rPr>
          <w:sz w:val="24"/>
          <w:szCs w:val="24"/>
        </w:rPr>
        <w:t>the p</w:t>
      </w:r>
      <w:r w:rsidR="00AB233B" w:rsidRPr="00E901C7">
        <w:rPr>
          <w:sz w:val="24"/>
          <w:szCs w:val="24"/>
        </w:rPr>
        <w:t>oints raised in that submission.</w:t>
      </w:r>
    </w:p>
    <w:p w14:paraId="75DF8F37" w14:textId="77777777" w:rsidR="00457093" w:rsidRPr="00457093" w:rsidRDefault="00457093" w:rsidP="00457093">
      <w:pPr>
        <w:pStyle w:val="Heading1"/>
        <w:rPr>
          <w:b w:val="0"/>
          <w:sz w:val="44"/>
        </w:rPr>
      </w:pPr>
      <w:bookmarkStart w:id="4" w:name="_Toc511816632"/>
      <w:r>
        <w:rPr>
          <w:b w:val="0"/>
          <w:sz w:val="44"/>
        </w:rPr>
        <w:t>Proposed Assessment Approach</w:t>
      </w:r>
      <w:bookmarkEnd w:id="4"/>
      <w:r>
        <w:rPr>
          <w:b w:val="0"/>
          <w:sz w:val="44"/>
        </w:rPr>
        <w:t xml:space="preserve"> </w:t>
      </w:r>
    </w:p>
    <w:p w14:paraId="1C863010" w14:textId="77777777" w:rsidR="005D7A3B" w:rsidRPr="00E901C7" w:rsidRDefault="0078302D" w:rsidP="00C14DBB">
      <w:pPr>
        <w:rPr>
          <w:sz w:val="24"/>
          <w:szCs w:val="24"/>
        </w:rPr>
      </w:pPr>
      <w:r w:rsidRPr="00E901C7">
        <w:rPr>
          <w:sz w:val="24"/>
          <w:szCs w:val="24"/>
        </w:rPr>
        <w:t>T</w:t>
      </w:r>
      <w:r w:rsidR="00A403D2" w:rsidRPr="00E901C7">
        <w:rPr>
          <w:sz w:val="24"/>
          <w:szCs w:val="24"/>
        </w:rPr>
        <w:t>he cost of production for many of the dairy farmers in the Bas</w:t>
      </w:r>
      <w:r w:rsidR="005D7A3B" w:rsidRPr="00E901C7">
        <w:rPr>
          <w:sz w:val="24"/>
          <w:szCs w:val="24"/>
        </w:rPr>
        <w:t>in has increased dramatically, and the value of dairy output, in relative terms has fallen. When combined with continued future uncertainty around water availability, t</w:t>
      </w:r>
      <w:r w:rsidR="00A403D2" w:rsidRPr="00E901C7">
        <w:rPr>
          <w:sz w:val="24"/>
          <w:szCs w:val="24"/>
        </w:rPr>
        <w:t xml:space="preserve">his makes milk production less competitive in this region. </w:t>
      </w:r>
    </w:p>
    <w:p w14:paraId="62EE8BAF" w14:textId="77777777" w:rsidR="00A403D2" w:rsidRPr="00AB233B" w:rsidRDefault="005D7A3B" w:rsidP="00C14DBB">
      <w:pPr>
        <w:rPr>
          <w:sz w:val="24"/>
          <w:szCs w:val="24"/>
        </w:rPr>
      </w:pPr>
      <w:r>
        <w:rPr>
          <w:sz w:val="24"/>
          <w:szCs w:val="24"/>
        </w:rPr>
        <w:t>This uncertainty</w:t>
      </w:r>
      <w:r w:rsidR="00A403D2" w:rsidRPr="00AB233B">
        <w:rPr>
          <w:sz w:val="24"/>
          <w:szCs w:val="24"/>
        </w:rPr>
        <w:t xml:space="preserve"> also reduces the ability of the region to attract </w:t>
      </w:r>
      <w:r w:rsidR="002B153D" w:rsidRPr="00AB233B">
        <w:rPr>
          <w:sz w:val="24"/>
          <w:szCs w:val="24"/>
        </w:rPr>
        <w:t xml:space="preserve">further </w:t>
      </w:r>
      <w:r w:rsidR="00A403D2" w:rsidRPr="00AB233B">
        <w:rPr>
          <w:sz w:val="24"/>
          <w:szCs w:val="24"/>
        </w:rPr>
        <w:t>investment in dairy processing.  This is particularly problematic given t</w:t>
      </w:r>
      <w:r w:rsidR="002B153D" w:rsidRPr="00AB233B">
        <w:rPr>
          <w:sz w:val="24"/>
          <w:szCs w:val="24"/>
        </w:rPr>
        <w:t>here are many other good reasons to in</w:t>
      </w:r>
      <w:r w:rsidR="00A403D2" w:rsidRPr="00AB233B">
        <w:rPr>
          <w:sz w:val="24"/>
          <w:szCs w:val="24"/>
        </w:rPr>
        <w:t>vest in dairy farming and dairy processing in the Southern Basin</w:t>
      </w:r>
      <w:r w:rsidR="008504BC" w:rsidRPr="00AB233B">
        <w:rPr>
          <w:sz w:val="24"/>
          <w:szCs w:val="24"/>
        </w:rPr>
        <w:t>,</w:t>
      </w:r>
      <w:r w:rsidR="00A403D2" w:rsidRPr="00AB233B">
        <w:rPr>
          <w:sz w:val="24"/>
          <w:szCs w:val="24"/>
        </w:rPr>
        <w:t xml:space="preserve"> </w:t>
      </w:r>
      <w:r w:rsidR="002B153D" w:rsidRPr="00AB233B">
        <w:rPr>
          <w:sz w:val="24"/>
          <w:szCs w:val="24"/>
        </w:rPr>
        <w:t>provided the water inputs are reasonably well managed.</w:t>
      </w:r>
    </w:p>
    <w:p w14:paraId="7471A96A" w14:textId="77777777" w:rsidR="00A403D2" w:rsidRPr="00AB233B" w:rsidRDefault="00A403D2" w:rsidP="00C14DBB">
      <w:pPr>
        <w:rPr>
          <w:sz w:val="24"/>
          <w:szCs w:val="24"/>
        </w:rPr>
      </w:pPr>
      <w:r w:rsidRPr="00AB233B">
        <w:rPr>
          <w:sz w:val="24"/>
          <w:szCs w:val="24"/>
        </w:rPr>
        <w:t xml:space="preserve">We believe the </w:t>
      </w:r>
      <w:r w:rsidR="002B153D" w:rsidRPr="00AB233B">
        <w:rPr>
          <w:sz w:val="24"/>
          <w:szCs w:val="24"/>
        </w:rPr>
        <w:t xml:space="preserve">deep social and economic </w:t>
      </w:r>
      <w:r w:rsidR="003720C1" w:rsidRPr="00AB233B">
        <w:rPr>
          <w:sz w:val="24"/>
          <w:szCs w:val="24"/>
        </w:rPr>
        <w:t xml:space="preserve">impacts of the Plan </w:t>
      </w:r>
      <w:r w:rsidR="000E5C9F" w:rsidRPr="00AB233B">
        <w:rPr>
          <w:sz w:val="24"/>
          <w:szCs w:val="24"/>
        </w:rPr>
        <w:t xml:space="preserve">on the dairy communities </w:t>
      </w:r>
      <w:r w:rsidR="003720C1" w:rsidRPr="00AB233B">
        <w:rPr>
          <w:sz w:val="24"/>
          <w:szCs w:val="24"/>
        </w:rPr>
        <w:t xml:space="preserve">have </w:t>
      </w:r>
      <w:r w:rsidRPr="00AB233B">
        <w:rPr>
          <w:sz w:val="24"/>
          <w:szCs w:val="24"/>
        </w:rPr>
        <w:t xml:space="preserve">become evident as </w:t>
      </w:r>
      <w:r w:rsidR="002B153D" w:rsidRPr="00AB233B">
        <w:rPr>
          <w:sz w:val="24"/>
          <w:szCs w:val="24"/>
        </w:rPr>
        <w:t>water scarcity increases in a drying period</w:t>
      </w:r>
      <w:r w:rsidR="003720C1" w:rsidRPr="00AB233B">
        <w:rPr>
          <w:sz w:val="24"/>
          <w:szCs w:val="24"/>
        </w:rPr>
        <w:t xml:space="preserve"> as has been experienced</w:t>
      </w:r>
      <w:r w:rsidR="002B153D" w:rsidRPr="00AB233B">
        <w:rPr>
          <w:sz w:val="24"/>
          <w:szCs w:val="24"/>
        </w:rPr>
        <w:t xml:space="preserve">. </w:t>
      </w:r>
      <w:r w:rsidR="000E5C9F" w:rsidRPr="00AB233B">
        <w:rPr>
          <w:sz w:val="24"/>
          <w:szCs w:val="24"/>
        </w:rPr>
        <w:t>The</w:t>
      </w:r>
      <w:r w:rsidR="003720C1" w:rsidRPr="00AB233B">
        <w:rPr>
          <w:sz w:val="24"/>
          <w:szCs w:val="24"/>
        </w:rPr>
        <w:t xml:space="preserve"> dry periods</w:t>
      </w:r>
      <w:r w:rsidRPr="00AB233B">
        <w:rPr>
          <w:sz w:val="24"/>
          <w:szCs w:val="24"/>
        </w:rPr>
        <w:t xml:space="preserve"> </w:t>
      </w:r>
      <w:r w:rsidR="002B153D" w:rsidRPr="00AB233B">
        <w:rPr>
          <w:sz w:val="24"/>
          <w:szCs w:val="24"/>
        </w:rPr>
        <w:t xml:space="preserve">in the Southern Basin </w:t>
      </w:r>
      <w:r w:rsidR="0062738A" w:rsidRPr="00AB233B">
        <w:rPr>
          <w:sz w:val="24"/>
          <w:szCs w:val="24"/>
        </w:rPr>
        <w:t xml:space="preserve">have on many occasions meant that </w:t>
      </w:r>
      <w:r w:rsidR="008504BC" w:rsidRPr="00AB233B">
        <w:rPr>
          <w:sz w:val="24"/>
          <w:szCs w:val="24"/>
        </w:rPr>
        <w:t>current</w:t>
      </w:r>
      <w:r w:rsidR="0031082A" w:rsidRPr="00AB233B">
        <w:rPr>
          <w:sz w:val="24"/>
          <w:szCs w:val="24"/>
        </w:rPr>
        <w:t xml:space="preserve"> market forces have </w:t>
      </w:r>
      <w:r w:rsidRPr="00AB233B">
        <w:rPr>
          <w:sz w:val="24"/>
          <w:szCs w:val="24"/>
        </w:rPr>
        <w:t xml:space="preserve">led to </w:t>
      </w:r>
      <w:r w:rsidR="002B153D" w:rsidRPr="00AB233B">
        <w:rPr>
          <w:sz w:val="24"/>
          <w:szCs w:val="24"/>
        </w:rPr>
        <w:t xml:space="preserve">significantly </w:t>
      </w:r>
      <w:r w:rsidRPr="00AB233B">
        <w:rPr>
          <w:sz w:val="24"/>
          <w:szCs w:val="24"/>
        </w:rPr>
        <w:t xml:space="preserve">increased water prices.  In some cases the costs of </w:t>
      </w:r>
      <w:r w:rsidR="002B153D" w:rsidRPr="00AB233B">
        <w:rPr>
          <w:sz w:val="24"/>
          <w:szCs w:val="24"/>
        </w:rPr>
        <w:t xml:space="preserve">irrigation </w:t>
      </w:r>
      <w:r w:rsidRPr="00AB233B">
        <w:rPr>
          <w:sz w:val="24"/>
          <w:szCs w:val="24"/>
        </w:rPr>
        <w:t>water right</w:t>
      </w:r>
      <w:r w:rsidR="002B153D" w:rsidRPr="00AB233B">
        <w:rPr>
          <w:sz w:val="24"/>
          <w:szCs w:val="24"/>
        </w:rPr>
        <w:t>s</w:t>
      </w:r>
      <w:r w:rsidR="0062738A" w:rsidRPr="00AB233B">
        <w:rPr>
          <w:sz w:val="24"/>
          <w:szCs w:val="24"/>
        </w:rPr>
        <w:t xml:space="preserve"> have risen by 300% </w:t>
      </w:r>
      <w:r w:rsidR="00833420" w:rsidRPr="00AB233B">
        <w:rPr>
          <w:rStyle w:val="FootnoteReference"/>
          <w:sz w:val="24"/>
          <w:szCs w:val="24"/>
        </w:rPr>
        <w:footnoteReference w:id="3"/>
      </w:r>
      <w:r w:rsidR="008504BC" w:rsidRPr="00AB233B">
        <w:rPr>
          <w:sz w:val="24"/>
          <w:szCs w:val="24"/>
        </w:rPr>
        <w:t>.</w:t>
      </w:r>
    </w:p>
    <w:p w14:paraId="477D367A" w14:textId="77777777" w:rsidR="000E5C9F" w:rsidRPr="00AB233B" w:rsidRDefault="000E5C9F" w:rsidP="00C14DBB">
      <w:pPr>
        <w:rPr>
          <w:sz w:val="24"/>
          <w:szCs w:val="24"/>
        </w:rPr>
      </w:pPr>
      <w:r w:rsidRPr="00AB233B">
        <w:rPr>
          <w:sz w:val="24"/>
          <w:szCs w:val="24"/>
        </w:rPr>
        <w:t>As noted by the AIDC submission, the Basin Plan has caused a significant reduction in milk supply in the Murray Region when compared to Gippsland and the Western Region – despite the three regions being exposed to similar influences other than the Basin Plan.</w:t>
      </w:r>
    </w:p>
    <w:p w14:paraId="299FC09C" w14:textId="77777777" w:rsidR="00457093" w:rsidRPr="00062D83" w:rsidRDefault="00457093" w:rsidP="00C14DBB">
      <w:pPr>
        <w:rPr>
          <w:color w:val="000000" w:themeColor="text1"/>
          <w:sz w:val="24"/>
          <w:szCs w:val="24"/>
        </w:rPr>
      </w:pPr>
      <w:r w:rsidRPr="00AB233B">
        <w:rPr>
          <w:sz w:val="24"/>
          <w:szCs w:val="24"/>
        </w:rPr>
        <w:t xml:space="preserve">Whilst we support the environmental outcomes sought we believe the current reliance on a largely “volume based” solution is difficult to justify in light of the increasing social and economic </w:t>
      </w:r>
      <w:r w:rsidRPr="00062D83">
        <w:rPr>
          <w:color w:val="000000" w:themeColor="text1"/>
          <w:sz w:val="24"/>
          <w:szCs w:val="24"/>
        </w:rPr>
        <w:t xml:space="preserve">impacts of SDL reductions.  </w:t>
      </w:r>
    </w:p>
    <w:p w14:paraId="70ACF5CA" w14:textId="77777777" w:rsidR="00457093" w:rsidRPr="00062D83" w:rsidRDefault="00457093" w:rsidP="00C14DBB">
      <w:pPr>
        <w:rPr>
          <w:color w:val="000000" w:themeColor="text1"/>
        </w:rPr>
      </w:pPr>
      <w:r w:rsidRPr="00062D83">
        <w:rPr>
          <w:color w:val="000000" w:themeColor="text1"/>
          <w:sz w:val="24"/>
          <w:szCs w:val="24"/>
        </w:rPr>
        <w:t>Based on the increasing social-economic issues developing, we agree with and support the points raised by the ADIC Water taskforce that the coverage for the proposed PC Assessment framework include a framework to at least qualitatively assess and evaluate</w:t>
      </w:r>
      <w:r w:rsidRPr="00062D83">
        <w:rPr>
          <w:color w:val="000000" w:themeColor="text1"/>
        </w:rPr>
        <w:t xml:space="preserve"> progress on each of the objectives and outcomes of section 5.02 of the Basin Plan (BP 5.02)</w:t>
      </w:r>
      <w:r w:rsidR="00062D83" w:rsidRPr="00062D83">
        <w:rPr>
          <w:color w:val="000000" w:themeColor="text1"/>
        </w:rPr>
        <w:t>.</w:t>
      </w:r>
    </w:p>
    <w:p w14:paraId="365E2D69" w14:textId="77777777" w:rsidR="004818BC" w:rsidRPr="00062D83" w:rsidRDefault="00AB233B" w:rsidP="00C14DBB">
      <w:pPr>
        <w:rPr>
          <w:sz w:val="24"/>
          <w:szCs w:val="24"/>
        </w:rPr>
      </w:pPr>
      <w:r>
        <w:rPr>
          <w:sz w:val="24"/>
          <w:szCs w:val="24"/>
        </w:rPr>
        <w:t>Broadly we would like to see g</w:t>
      </w:r>
      <w:r w:rsidRPr="003325C5">
        <w:rPr>
          <w:sz w:val="24"/>
          <w:szCs w:val="24"/>
        </w:rPr>
        <w:t>reater consideration of the socio-economic effects of reducing irrigation water volumes and especially the adaptive capacity of basin commun</w:t>
      </w:r>
      <w:r w:rsidR="000C6C08">
        <w:rPr>
          <w:sz w:val="24"/>
          <w:szCs w:val="24"/>
        </w:rPr>
        <w:t>ities to respond</w:t>
      </w:r>
      <w:r w:rsidRPr="003325C5">
        <w:rPr>
          <w:sz w:val="24"/>
          <w:szCs w:val="24"/>
        </w:rPr>
        <w:t xml:space="preserve">. </w:t>
      </w:r>
    </w:p>
    <w:p w14:paraId="5600E5B1" w14:textId="77777777" w:rsidR="000C6C08" w:rsidRDefault="00062D83" w:rsidP="000C6C08">
      <w:pPr>
        <w:pStyle w:val="Heading1"/>
        <w:rPr>
          <w:b w:val="0"/>
          <w:sz w:val="44"/>
        </w:rPr>
      </w:pPr>
      <w:bookmarkStart w:id="5" w:name="_Toc511816633"/>
      <w:r>
        <w:rPr>
          <w:b w:val="0"/>
          <w:sz w:val="44"/>
        </w:rPr>
        <w:t>Basin Institutional and governance arrangements</w:t>
      </w:r>
      <w:bookmarkEnd w:id="5"/>
    </w:p>
    <w:p w14:paraId="7B789B40" w14:textId="77777777" w:rsidR="0078302D" w:rsidRPr="005D7A3B" w:rsidRDefault="00062D83" w:rsidP="0078302D">
      <w:pPr>
        <w:rPr>
          <w:sz w:val="24"/>
          <w:szCs w:val="24"/>
        </w:rPr>
      </w:pPr>
      <w:bookmarkStart w:id="6" w:name="_Toc511816634"/>
      <w:r w:rsidRPr="005D7A3B">
        <w:rPr>
          <w:sz w:val="24"/>
          <w:szCs w:val="24"/>
        </w:rPr>
        <w:t xml:space="preserve">Again, as per the ADIC submission, </w:t>
      </w:r>
      <w:r w:rsidR="0078302D">
        <w:rPr>
          <w:sz w:val="24"/>
          <w:szCs w:val="24"/>
        </w:rPr>
        <w:t>w</w:t>
      </w:r>
      <w:r w:rsidR="0078302D" w:rsidRPr="005D7A3B">
        <w:rPr>
          <w:sz w:val="24"/>
          <w:szCs w:val="24"/>
        </w:rPr>
        <w:t>e would also like to confirm our ongoing concerns regarding the lack of a wholistic body to oversee and control the Murray Darling Basin Plan.</w:t>
      </w:r>
    </w:p>
    <w:p w14:paraId="5CE8F24A" w14:textId="77777777" w:rsidR="00062D83" w:rsidRDefault="0078302D" w:rsidP="005D7A3B">
      <w:pPr>
        <w:pStyle w:val="Heading1"/>
        <w:spacing w:before="0"/>
        <w:rPr>
          <w:rFonts w:asciiTheme="minorHAnsi" w:eastAsiaTheme="minorEastAsia" w:hAnsiTheme="minorHAnsi" w:cstheme="minorBidi"/>
          <w:b w:val="0"/>
          <w:bCs w:val="0"/>
          <w:color w:val="auto"/>
          <w:sz w:val="24"/>
          <w:szCs w:val="24"/>
        </w:rPr>
      </w:pPr>
      <w:r>
        <w:rPr>
          <w:rFonts w:asciiTheme="minorHAnsi" w:eastAsiaTheme="minorEastAsia" w:hAnsiTheme="minorHAnsi" w:cstheme="minorBidi"/>
          <w:b w:val="0"/>
          <w:bCs w:val="0"/>
          <w:color w:val="auto"/>
          <w:sz w:val="24"/>
          <w:szCs w:val="24"/>
        </w:rPr>
        <w:t>W</w:t>
      </w:r>
      <w:r w:rsidR="00062D83" w:rsidRPr="005D7A3B">
        <w:rPr>
          <w:rFonts w:asciiTheme="minorHAnsi" w:eastAsiaTheme="minorEastAsia" w:hAnsiTheme="minorHAnsi" w:cstheme="minorBidi"/>
          <w:b w:val="0"/>
          <w:bCs w:val="0"/>
          <w:color w:val="auto"/>
          <w:sz w:val="24"/>
          <w:szCs w:val="24"/>
        </w:rPr>
        <w:t xml:space="preserve">e </w:t>
      </w:r>
      <w:r>
        <w:rPr>
          <w:rFonts w:asciiTheme="minorHAnsi" w:eastAsiaTheme="minorEastAsia" w:hAnsiTheme="minorHAnsi" w:cstheme="minorBidi"/>
          <w:b w:val="0"/>
          <w:bCs w:val="0"/>
          <w:color w:val="auto"/>
          <w:sz w:val="24"/>
          <w:szCs w:val="24"/>
        </w:rPr>
        <w:t xml:space="preserve">too </w:t>
      </w:r>
      <w:r w:rsidR="00062D83" w:rsidRPr="005D7A3B">
        <w:rPr>
          <w:rFonts w:asciiTheme="minorHAnsi" w:eastAsiaTheme="minorEastAsia" w:hAnsiTheme="minorHAnsi" w:cstheme="minorBidi"/>
          <w:b w:val="0"/>
          <w:bCs w:val="0"/>
          <w:color w:val="auto"/>
          <w:sz w:val="24"/>
          <w:szCs w:val="24"/>
        </w:rPr>
        <w:t>believe that the institutional arrangements of the Commonwealth Water Act confuse the role of state governments and state water agencies, in addition to the many conflicting roles held by the MDBA.</w:t>
      </w:r>
      <w:bookmarkEnd w:id="6"/>
    </w:p>
    <w:p w14:paraId="6FA3ED74" w14:textId="77777777" w:rsidR="005D7A3B" w:rsidRPr="005D7A3B" w:rsidRDefault="005D7A3B" w:rsidP="005D7A3B">
      <w:pPr>
        <w:rPr>
          <w:sz w:val="4"/>
          <w:szCs w:val="4"/>
        </w:rPr>
      </w:pPr>
    </w:p>
    <w:p w14:paraId="7ED95C8B" w14:textId="77777777" w:rsidR="0094490B" w:rsidRPr="005D7A3B" w:rsidRDefault="00062D83">
      <w:pPr>
        <w:rPr>
          <w:sz w:val="24"/>
          <w:szCs w:val="24"/>
        </w:rPr>
      </w:pPr>
      <w:r w:rsidRPr="005D7A3B">
        <w:rPr>
          <w:sz w:val="24"/>
          <w:szCs w:val="24"/>
        </w:rPr>
        <w:t>We agree with the ADIC recommendation that the institutional and governance arrangements be reformed to align with clause 74 of the 2004 National Water Initiative that requires the roles of water resource management, standard setting and regulatory enforcement and service provision to be separated institutionally.</w:t>
      </w:r>
    </w:p>
    <w:sectPr w:rsidR="0094490B" w:rsidRPr="005D7A3B" w:rsidSect="00062D83">
      <w:footerReference w:type="default" r:id="rId17"/>
      <w:pgSz w:w="11906" w:h="16838"/>
      <w:pgMar w:top="1418" w:right="991" w:bottom="1418"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1AAEB" w14:textId="77777777" w:rsidR="000E5C9F" w:rsidRDefault="000E5C9F" w:rsidP="00FE2267">
      <w:pPr>
        <w:spacing w:after="0" w:line="240" w:lineRule="auto"/>
      </w:pPr>
      <w:r>
        <w:separator/>
      </w:r>
    </w:p>
  </w:endnote>
  <w:endnote w:type="continuationSeparator" w:id="0">
    <w:p w14:paraId="6C2DD6DE" w14:textId="77777777" w:rsidR="000E5C9F" w:rsidRDefault="000E5C9F" w:rsidP="00FE2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7859"/>
      <w:docPartObj>
        <w:docPartGallery w:val="Page Numbers (Bottom of Page)"/>
        <w:docPartUnique/>
      </w:docPartObj>
    </w:sdtPr>
    <w:sdtEndPr/>
    <w:sdtContent>
      <w:p w14:paraId="45FEA5C2" w14:textId="77777777" w:rsidR="000E5C9F" w:rsidRDefault="000E5C9F">
        <w:pPr>
          <w:pStyle w:val="Footer"/>
          <w:jc w:val="right"/>
        </w:pPr>
        <w:r>
          <w:fldChar w:fldCharType="begin"/>
        </w:r>
        <w:r>
          <w:instrText xml:space="preserve"> PAGE   \* MERGEFORMAT </w:instrText>
        </w:r>
        <w:r>
          <w:fldChar w:fldCharType="separate"/>
        </w:r>
        <w:r w:rsidR="00890724">
          <w:rPr>
            <w:noProof/>
          </w:rPr>
          <w:t>3</w:t>
        </w:r>
        <w:r>
          <w:rPr>
            <w:noProof/>
          </w:rPr>
          <w:fldChar w:fldCharType="end"/>
        </w:r>
      </w:p>
    </w:sdtContent>
  </w:sdt>
  <w:p w14:paraId="5529DF7D" w14:textId="77777777" w:rsidR="000E5C9F" w:rsidRDefault="000E5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1EEA5" w14:textId="77777777" w:rsidR="000E5C9F" w:rsidRDefault="000E5C9F" w:rsidP="00FE2267">
      <w:pPr>
        <w:spacing w:after="0" w:line="240" w:lineRule="auto"/>
      </w:pPr>
      <w:r>
        <w:separator/>
      </w:r>
    </w:p>
  </w:footnote>
  <w:footnote w:type="continuationSeparator" w:id="0">
    <w:p w14:paraId="679C3BED" w14:textId="77777777" w:rsidR="000E5C9F" w:rsidRDefault="000E5C9F" w:rsidP="00FE2267">
      <w:pPr>
        <w:spacing w:after="0" w:line="240" w:lineRule="auto"/>
      </w:pPr>
      <w:r>
        <w:continuationSeparator/>
      </w:r>
    </w:p>
  </w:footnote>
  <w:footnote w:id="1">
    <w:p w14:paraId="4A4DEC10" w14:textId="77777777" w:rsidR="00B323F7" w:rsidRDefault="00B323F7">
      <w:pPr>
        <w:pStyle w:val="FootnoteText"/>
      </w:pPr>
      <w:r>
        <w:rPr>
          <w:rStyle w:val="FootnoteReference"/>
        </w:rPr>
        <w:footnoteRef/>
      </w:r>
      <w:r>
        <w:t xml:space="preserve"> </w:t>
      </w:r>
      <w:r w:rsidR="00E901C7">
        <w:t>Internal Fonterra analysis on Norther region suppliers</w:t>
      </w:r>
    </w:p>
  </w:footnote>
  <w:footnote w:id="2">
    <w:p w14:paraId="2A65FA87" w14:textId="77777777" w:rsidR="00E901C7" w:rsidRDefault="00E901C7">
      <w:pPr>
        <w:pStyle w:val="FootnoteText"/>
      </w:pPr>
      <w:r>
        <w:rPr>
          <w:rStyle w:val="FootnoteReference"/>
        </w:rPr>
        <w:footnoteRef/>
      </w:r>
      <w:r>
        <w:t xml:space="preserve"> AITHER review report 2016/17</w:t>
      </w:r>
    </w:p>
  </w:footnote>
  <w:footnote w:id="3">
    <w:p w14:paraId="2548E948" w14:textId="77777777" w:rsidR="000E5C9F" w:rsidRDefault="000E5C9F">
      <w:pPr>
        <w:pStyle w:val="FootnoteText"/>
      </w:pPr>
      <w:r>
        <w:rPr>
          <w:rStyle w:val="FootnoteReference"/>
        </w:rPr>
        <w:footnoteRef/>
      </w:r>
      <w:r>
        <w:t xml:space="preserve"> Waterfind pricing reports at </w:t>
      </w:r>
      <w:hyperlink r:id="rId1" w:history="1">
        <w:r w:rsidRPr="00C17FB3">
          <w:rPr>
            <w:rStyle w:val="Hyperlink"/>
          </w:rPr>
          <w:t>www.waterfind.com.au</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56A"/>
    <w:multiLevelType w:val="hybridMultilevel"/>
    <w:tmpl w:val="AD089560"/>
    <w:lvl w:ilvl="0" w:tplc="12B034D8">
      <w:start w:val="1"/>
      <w:numFmt w:val="bullet"/>
      <w:lvlText w:val="•"/>
      <w:lvlJc w:val="left"/>
      <w:pPr>
        <w:tabs>
          <w:tab w:val="num" w:pos="720"/>
        </w:tabs>
        <w:ind w:left="720" w:hanging="360"/>
      </w:pPr>
      <w:rPr>
        <w:rFonts w:ascii="Arial" w:hAnsi="Arial" w:hint="default"/>
      </w:rPr>
    </w:lvl>
    <w:lvl w:ilvl="1" w:tplc="B93CCF20" w:tentative="1">
      <w:start w:val="1"/>
      <w:numFmt w:val="bullet"/>
      <w:lvlText w:val="•"/>
      <w:lvlJc w:val="left"/>
      <w:pPr>
        <w:tabs>
          <w:tab w:val="num" w:pos="1440"/>
        </w:tabs>
        <w:ind w:left="1440" w:hanging="360"/>
      </w:pPr>
      <w:rPr>
        <w:rFonts w:ascii="Arial" w:hAnsi="Arial" w:hint="default"/>
      </w:rPr>
    </w:lvl>
    <w:lvl w:ilvl="2" w:tplc="9E34A788" w:tentative="1">
      <w:start w:val="1"/>
      <w:numFmt w:val="bullet"/>
      <w:lvlText w:val="•"/>
      <w:lvlJc w:val="left"/>
      <w:pPr>
        <w:tabs>
          <w:tab w:val="num" w:pos="2160"/>
        </w:tabs>
        <w:ind w:left="2160" w:hanging="360"/>
      </w:pPr>
      <w:rPr>
        <w:rFonts w:ascii="Arial" w:hAnsi="Arial" w:hint="default"/>
      </w:rPr>
    </w:lvl>
    <w:lvl w:ilvl="3" w:tplc="ABDA3D58" w:tentative="1">
      <w:start w:val="1"/>
      <w:numFmt w:val="bullet"/>
      <w:lvlText w:val="•"/>
      <w:lvlJc w:val="left"/>
      <w:pPr>
        <w:tabs>
          <w:tab w:val="num" w:pos="2880"/>
        </w:tabs>
        <w:ind w:left="2880" w:hanging="360"/>
      </w:pPr>
      <w:rPr>
        <w:rFonts w:ascii="Arial" w:hAnsi="Arial" w:hint="default"/>
      </w:rPr>
    </w:lvl>
    <w:lvl w:ilvl="4" w:tplc="B8C62CE4" w:tentative="1">
      <w:start w:val="1"/>
      <w:numFmt w:val="bullet"/>
      <w:lvlText w:val="•"/>
      <w:lvlJc w:val="left"/>
      <w:pPr>
        <w:tabs>
          <w:tab w:val="num" w:pos="3600"/>
        </w:tabs>
        <w:ind w:left="3600" w:hanging="360"/>
      </w:pPr>
      <w:rPr>
        <w:rFonts w:ascii="Arial" w:hAnsi="Arial" w:hint="default"/>
      </w:rPr>
    </w:lvl>
    <w:lvl w:ilvl="5" w:tplc="ACCA2FBC" w:tentative="1">
      <w:start w:val="1"/>
      <w:numFmt w:val="bullet"/>
      <w:lvlText w:val="•"/>
      <w:lvlJc w:val="left"/>
      <w:pPr>
        <w:tabs>
          <w:tab w:val="num" w:pos="4320"/>
        </w:tabs>
        <w:ind w:left="4320" w:hanging="360"/>
      </w:pPr>
      <w:rPr>
        <w:rFonts w:ascii="Arial" w:hAnsi="Arial" w:hint="default"/>
      </w:rPr>
    </w:lvl>
    <w:lvl w:ilvl="6" w:tplc="901E590A" w:tentative="1">
      <w:start w:val="1"/>
      <w:numFmt w:val="bullet"/>
      <w:lvlText w:val="•"/>
      <w:lvlJc w:val="left"/>
      <w:pPr>
        <w:tabs>
          <w:tab w:val="num" w:pos="5040"/>
        </w:tabs>
        <w:ind w:left="5040" w:hanging="360"/>
      </w:pPr>
      <w:rPr>
        <w:rFonts w:ascii="Arial" w:hAnsi="Arial" w:hint="default"/>
      </w:rPr>
    </w:lvl>
    <w:lvl w:ilvl="7" w:tplc="3FECBAB4" w:tentative="1">
      <w:start w:val="1"/>
      <w:numFmt w:val="bullet"/>
      <w:lvlText w:val="•"/>
      <w:lvlJc w:val="left"/>
      <w:pPr>
        <w:tabs>
          <w:tab w:val="num" w:pos="5760"/>
        </w:tabs>
        <w:ind w:left="5760" w:hanging="360"/>
      </w:pPr>
      <w:rPr>
        <w:rFonts w:ascii="Arial" w:hAnsi="Arial" w:hint="default"/>
      </w:rPr>
    </w:lvl>
    <w:lvl w:ilvl="8" w:tplc="1890B6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2C5AC7"/>
    <w:multiLevelType w:val="hybridMultilevel"/>
    <w:tmpl w:val="965CC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387A9F"/>
    <w:multiLevelType w:val="hybridMultilevel"/>
    <w:tmpl w:val="ED72E8EA"/>
    <w:lvl w:ilvl="0" w:tplc="19180F48">
      <w:start w:val="1"/>
      <w:numFmt w:val="bullet"/>
      <w:lvlText w:val="–"/>
      <w:lvlJc w:val="left"/>
      <w:pPr>
        <w:tabs>
          <w:tab w:val="num" w:pos="720"/>
        </w:tabs>
        <w:ind w:left="720" w:hanging="360"/>
      </w:pPr>
      <w:rPr>
        <w:rFonts w:ascii="Arial" w:hAnsi="Arial" w:hint="default"/>
      </w:rPr>
    </w:lvl>
    <w:lvl w:ilvl="1" w:tplc="7B668B92" w:tentative="1">
      <w:start w:val="1"/>
      <w:numFmt w:val="bullet"/>
      <w:lvlText w:val="–"/>
      <w:lvlJc w:val="left"/>
      <w:pPr>
        <w:tabs>
          <w:tab w:val="num" w:pos="1440"/>
        </w:tabs>
        <w:ind w:left="1440" w:hanging="360"/>
      </w:pPr>
      <w:rPr>
        <w:rFonts w:ascii="Arial" w:hAnsi="Arial" w:hint="default"/>
      </w:rPr>
    </w:lvl>
    <w:lvl w:ilvl="2" w:tplc="EE4EB4EC">
      <w:start w:val="1118"/>
      <w:numFmt w:val="bullet"/>
      <w:lvlText w:val="•"/>
      <w:lvlJc w:val="left"/>
      <w:pPr>
        <w:tabs>
          <w:tab w:val="num" w:pos="2160"/>
        </w:tabs>
        <w:ind w:left="2160" w:hanging="360"/>
      </w:pPr>
      <w:rPr>
        <w:rFonts w:ascii="Arial" w:hAnsi="Arial" w:hint="default"/>
      </w:rPr>
    </w:lvl>
    <w:lvl w:ilvl="3" w:tplc="75A83D1A" w:tentative="1">
      <w:start w:val="1"/>
      <w:numFmt w:val="bullet"/>
      <w:lvlText w:val="–"/>
      <w:lvlJc w:val="left"/>
      <w:pPr>
        <w:tabs>
          <w:tab w:val="num" w:pos="2880"/>
        </w:tabs>
        <w:ind w:left="2880" w:hanging="360"/>
      </w:pPr>
      <w:rPr>
        <w:rFonts w:ascii="Arial" w:hAnsi="Arial" w:hint="default"/>
      </w:rPr>
    </w:lvl>
    <w:lvl w:ilvl="4" w:tplc="8DF22268" w:tentative="1">
      <w:start w:val="1"/>
      <w:numFmt w:val="bullet"/>
      <w:lvlText w:val="–"/>
      <w:lvlJc w:val="left"/>
      <w:pPr>
        <w:tabs>
          <w:tab w:val="num" w:pos="3600"/>
        </w:tabs>
        <w:ind w:left="3600" w:hanging="360"/>
      </w:pPr>
      <w:rPr>
        <w:rFonts w:ascii="Arial" w:hAnsi="Arial" w:hint="default"/>
      </w:rPr>
    </w:lvl>
    <w:lvl w:ilvl="5" w:tplc="564AE3CA" w:tentative="1">
      <w:start w:val="1"/>
      <w:numFmt w:val="bullet"/>
      <w:lvlText w:val="–"/>
      <w:lvlJc w:val="left"/>
      <w:pPr>
        <w:tabs>
          <w:tab w:val="num" w:pos="4320"/>
        </w:tabs>
        <w:ind w:left="4320" w:hanging="360"/>
      </w:pPr>
      <w:rPr>
        <w:rFonts w:ascii="Arial" w:hAnsi="Arial" w:hint="default"/>
      </w:rPr>
    </w:lvl>
    <w:lvl w:ilvl="6" w:tplc="59E87778" w:tentative="1">
      <w:start w:val="1"/>
      <w:numFmt w:val="bullet"/>
      <w:lvlText w:val="–"/>
      <w:lvlJc w:val="left"/>
      <w:pPr>
        <w:tabs>
          <w:tab w:val="num" w:pos="5040"/>
        </w:tabs>
        <w:ind w:left="5040" w:hanging="360"/>
      </w:pPr>
      <w:rPr>
        <w:rFonts w:ascii="Arial" w:hAnsi="Arial" w:hint="default"/>
      </w:rPr>
    </w:lvl>
    <w:lvl w:ilvl="7" w:tplc="A51A8088" w:tentative="1">
      <w:start w:val="1"/>
      <w:numFmt w:val="bullet"/>
      <w:lvlText w:val="–"/>
      <w:lvlJc w:val="left"/>
      <w:pPr>
        <w:tabs>
          <w:tab w:val="num" w:pos="5760"/>
        </w:tabs>
        <w:ind w:left="5760" w:hanging="360"/>
      </w:pPr>
      <w:rPr>
        <w:rFonts w:ascii="Arial" w:hAnsi="Arial" w:hint="default"/>
      </w:rPr>
    </w:lvl>
    <w:lvl w:ilvl="8" w:tplc="72FCD1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850FC6"/>
    <w:multiLevelType w:val="hybridMultilevel"/>
    <w:tmpl w:val="B3C4F5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EE6599"/>
    <w:multiLevelType w:val="hybridMultilevel"/>
    <w:tmpl w:val="C32882F0"/>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start w:val="1"/>
      <w:numFmt w:val="bullet"/>
      <w:lvlText w:val=""/>
      <w:lvlJc w:val="left"/>
      <w:pPr>
        <w:ind w:left="2940" w:hanging="360"/>
      </w:pPr>
      <w:rPr>
        <w:rFonts w:ascii="Wingdings" w:hAnsi="Wingdings" w:hint="default"/>
      </w:rPr>
    </w:lvl>
    <w:lvl w:ilvl="3" w:tplc="0C090001">
      <w:start w:val="1"/>
      <w:numFmt w:val="bullet"/>
      <w:lvlText w:val=""/>
      <w:lvlJc w:val="left"/>
      <w:pPr>
        <w:ind w:left="3660" w:hanging="360"/>
      </w:pPr>
      <w:rPr>
        <w:rFonts w:ascii="Symbol" w:hAnsi="Symbol" w:hint="default"/>
      </w:rPr>
    </w:lvl>
    <w:lvl w:ilvl="4" w:tplc="0C090003">
      <w:start w:val="1"/>
      <w:numFmt w:val="bullet"/>
      <w:lvlText w:val="o"/>
      <w:lvlJc w:val="left"/>
      <w:pPr>
        <w:ind w:left="4380" w:hanging="360"/>
      </w:pPr>
      <w:rPr>
        <w:rFonts w:ascii="Courier New" w:hAnsi="Courier New" w:cs="Courier New" w:hint="default"/>
      </w:rPr>
    </w:lvl>
    <w:lvl w:ilvl="5" w:tplc="0C090005">
      <w:start w:val="1"/>
      <w:numFmt w:val="bullet"/>
      <w:lvlText w:val=""/>
      <w:lvlJc w:val="left"/>
      <w:pPr>
        <w:ind w:left="5100" w:hanging="360"/>
      </w:pPr>
      <w:rPr>
        <w:rFonts w:ascii="Wingdings" w:hAnsi="Wingdings" w:hint="default"/>
      </w:rPr>
    </w:lvl>
    <w:lvl w:ilvl="6" w:tplc="0C090001">
      <w:start w:val="1"/>
      <w:numFmt w:val="bullet"/>
      <w:lvlText w:val=""/>
      <w:lvlJc w:val="left"/>
      <w:pPr>
        <w:ind w:left="5820" w:hanging="360"/>
      </w:pPr>
      <w:rPr>
        <w:rFonts w:ascii="Symbol" w:hAnsi="Symbol" w:hint="default"/>
      </w:rPr>
    </w:lvl>
    <w:lvl w:ilvl="7" w:tplc="0C090003">
      <w:start w:val="1"/>
      <w:numFmt w:val="bullet"/>
      <w:lvlText w:val="o"/>
      <w:lvlJc w:val="left"/>
      <w:pPr>
        <w:ind w:left="6540" w:hanging="360"/>
      </w:pPr>
      <w:rPr>
        <w:rFonts w:ascii="Courier New" w:hAnsi="Courier New" w:cs="Courier New" w:hint="default"/>
      </w:rPr>
    </w:lvl>
    <w:lvl w:ilvl="8" w:tplc="0C090005">
      <w:start w:val="1"/>
      <w:numFmt w:val="bullet"/>
      <w:lvlText w:val=""/>
      <w:lvlJc w:val="left"/>
      <w:pPr>
        <w:ind w:left="7260" w:hanging="360"/>
      </w:pPr>
      <w:rPr>
        <w:rFonts w:ascii="Wingdings" w:hAnsi="Wingdings" w:hint="default"/>
      </w:rPr>
    </w:lvl>
  </w:abstractNum>
  <w:abstractNum w:abstractNumId="5" w15:restartNumberingAfterBreak="0">
    <w:nsid w:val="21C41A8D"/>
    <w:multiLevelType w:val="hybridMultilevel"/>
    <w:tmpl w:val="55E0EBB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A84CDE"/>
    <w:multiLevelType w:val="hybridMultilevel"/>
    <w:tmpl w:val="D8DAD830"/>
    <w:lvl w:ilvl="0" w:tplc="7DAA5628">
      <w:start w:val="5"/>
      <w:numFmt w:val="bullet"/>
      <w:lvlText w:val="-"/>
      <w:lvlJc w:val="left"/>
      <w:pPr>
        <w:ind w:left="390" w:hanging="360"/>
      </w:pPr>
      <w:rPr>
        <w:rFonts w:ascii="Calibri" w:eastAsiaTheme="minorHAnsi" w:hAnsi="Calibri" w:cs="Calibri" w:hint="default"/>
      </w:rPr>
    </w:lvl>
    <w:lvl w:ilvl="1" w:tplc="14090003" w:tentative="1">
      <w:start w:val="1"/>
      <w:numFmt w:val="bullet"/>
      <w:lvlText w:val="o"/>
      <w:lvlJc w:val="left"/>
      <w:pPr>
        <w:ind w:left="1110" w:hanging="360"/>
      </w:pPr>
      <w:rPr>
        <w:rFonts w:ascii="Courier New" w:hAnsi="Courier New" w:cs="Courier New" w:hint="default"/>
      </w:rPr>
    </w:lvl>
    <w:lvl w:ilvl="2" w:tplc="14090005" w:tentative="1">
      <w:start w:val="1"/>
      <w:numFmt w:val="bullet"/>
      <w:lvlText w:val=""/>
      <w:lvlJc w:val="left"/>
      <w:pPr>
        <w:ind w:left="1830" w:hanging="360"/>
      </w:pPr>
      <w:rPr>
        <w:rFonts w:ascii="Wingdings" w:hAnsi="Wingdings" w:hint="default"/>
      </w:rPr>
    </w:lvl>
    <w:lvl w:ilvl="3" w:tplc="14090001" w:tentative="1">
      <w:start w:val="1"/>
      <w:numFmt w:val="bullet"/>
      <w:lvlText w:val=""/>
      <w:lvlJc w:val="left"/>
      <w:pPr>
        <w:ind w:left="2550" w:hanging="360"/>
      </w:pPr>
      <w:rPr>
        <w:rFonts w:ascii="Symbol" w:hAnsi="Symbol" w:hint="default"/>
      </w:rPr>
    </w:lvl>
    <w:lvl w:ilvl="4" w:tplc="14090003" w:tentative="1">
      <w:start w:val="1"/>
      <w:numFmt w:val="bullet"/>
      <w:lvlText w:val="o"/>
      <w:lvlJc w:val="left"/>
      <w:pPr>
        <w:ind w:left="3270" w:hanging="360"/>
      </w:pPr>
      <w:rPr>
        <w:rFonts w:ascii="Courier New" w:hAnsi="Courier New" w:cs="Courier New" w:hint="default"/>
      </w:rPr>
    </w:lvl>
    <w:lvl w:ilvl="5" w:tplc="14090005" w:tentative="1">
      <w:start w:val="1"/>
      <w:numFmt w:val="bullet"/>
      <w:lvlText w:val=""/>
      <w:lvlJc w:val="left"/>
      <w:pPr>
        <w:ind w:left="3990" w:hanging="360"/>
      </w:pPr>
      <w:rPr>
        <w:rFonts w:ascii="Wingdings" w:hAnsi="Wingdings" w:hint="default"/>
      </w:rPr>
    </w:lvl>
    <w:lvl w:ilvl="6" w:tplc="14090001" w:tentative="1">
      <w:start w:val="1"/>
      <w:numFmt w:val="bullet"/>
      <w:lvlText w:val=""/>
      <w:lvlJc w:val="left"/>
      <w:pPr>
        <w:ind w:left="4710" w:hanging="360"/>
      </w:pPr>
      <w:rPr>
        <w:rFonts w:ascii="Symbol" w:hAnsi="Symbol" w:hint="default"/>
      </w:rPr>
    </w:lvl>
    <w:lvl w:ilvl="7" w:tplc="14090003" w:tentative="1">
      <w:start w:val="1"/>
      <w:numFmt w:val="bullet"/>
      <w:lvlText w:val="o"/>
      <w:lvlJc w:val="left"/>
      <w:pPr>
        <w:ind w:left="5430" w:hanging="360"/>
      </w:pPr>
      <w:rPr>
        <w:rFonts w:ascii="Courier New" w:hAnsi="Courier New" w:cs="Courier New" w:hint="default"/>
      </w:rPr>
    </w:lvl>
    <w:lvl w:ilvl="8" w:tplc="14090005" w:tentative="1">
      <w:start w:val="1"/>
      <w:numFmt w:val="bullet"/>
      <w:lvlText w:val=""/>
      <w:lvlJc w:val="left"/>
      <w:pPr>
        <w:ind w:left="6150" w:hanging="360"/>
      </w:pPr>
      <w:rPr>
        <w:rFonts w:ascii="Wingdings" w:hAnsi="Wingdings" w:hint="default"/>
      </w:rPr>
    </w:lvl>
  </w:abstractNum>
  <w:abstractNum w:abstractNumId="7" w15:restartNumberingAfterBreak="0">
    <w:nsid w:val="3A8712CA"/>
    <w:multiLevelType w:val="hybridMultilevel"/>
    <w:tmpl w:val="21B48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EF13D1"/>
    <w:multiLevelType w:val="hybridMultilevel"/>
    <w:tmpl w:val="BC9E7696"/>
    <w:lvl w:ilvl="0" w:tplc="BCCC4ED6">
      <w:start w:val="5"/>
      <w:numFmt w:val="bullet"/>
      <w:lvlText w:val="-"/>
      <w:lvlJc w:val="left"/>
      <w:pPr>
        <w:ind w:left="390" w:hanging="360"/>
      </w:pPr>
      <w:rPr>
        <w:rFonts w:ascii="Calibri" w:eastAsiaTheme="minorHAnsi" w:hAnsi="Calibri" w:cs="Calibri" w:hint="default"/>
      </w:rPr>
    </w:lvl>
    <w:lvl w:ilvl="1" w:tplc="14090003" w:tentative="1">
      <w:start w:val="1"/>
      <w:numFmt w:val="bullet"/>
      <w:lvlText w:val="o"/>
      <w:lvlJc w:val="left"/>
      <w:pPr>
        <w:ind w:left="1110" w:hanging="360"/>
      </w:pPr>
      <w:rPr>
        <w:rFonts w:ascii="Courier New" w:hAnsi="Courier New" w:cs="Courier New" w:hint="default"/>
      </w:rPr>
    </w:lvl>
    <w:lvl w:ilvl="2" w:tplc="14090005" w:tentative="1">
      <w:start w:val="1"/>
      <w:numFmt w:val="bullet"/>
      <w:lvlText w:val=""/>
      <w:lvlJc w:val="left"/>
      <w:pPr>
        <w:ind w:left="1830" w:hanging="360"/>
      </w:pPr>
      <w:rPr>
        <w:rFonts w:ascii="Wingdings" w:hAnsi="Wingdings" w:hint="default"/>
      </w:rPr>
    </w:lvl>
    <w:lvl w:ilvl="3" w:tplc="14090001" w:tentative="1">
      <w:start w:val="1"/>
      <w:numFmt w:val="bullet"/>
      <w:lvlText w:val=""/>
      <w:lvlJc w:val="left"/>
      <w:pPr>
        <w:ind w:left="2550" w:hanging="360"/>
      </w:pPr>
      <w:rPr>
        <w:rFonts w:ascii="Symbol" w:hAnsi="Symbol" w:hint="default"/>
      </w:rPr>
    </w:lvl>
    <w:lvl w:ilvl="4" w:tplc="14090003" w:tentative="1">
      <w:start w:val="1"/>
      <w:numFmt w:val="bullet"/>
      <w:lvlText w:val="o"/>
      <w:lvlJc w:val="left"/>
      <w:pPr>
        <w:ind w:left="3270" w:hanging="360"/>
      </w:pPr>
      <w:rPr>
        <w:rFonts w:ascii="Courier New" w:hAnsi="Courier New" w:cs="Courier New" w:hint="default"/>
      </w:rPr>
    </w:lvl>
    <w:lvl w:ilvl="5" w:tplc="14090005" w:tentative="1">
      <w:start w:val="1"/>
      <w:numFmt w:val="bullet"/>
      <w:lvlText w:val=""/>
      <w:lvlJc w:val="left"/>
      <w:pPr>
        <w:ind w:left="3990" w:hanging="360"/>
      </w:pPr>
      <w:rPr>
        <w:rFonts w:ascii="Wingdings" w:hAnsi="Wingdings" w:hint="default"/>
      </w:rPr>
    </w:lvl>
    <w:lvl w:ilvl="6" w:tplc="14090001" w:tentative="1">
      <w:start w:val="1"/>
      <w:numFmt w:val="bullet"/>
      <w:lvlText w:val=""/>
      <w:lvlJc w:val="left"/>
      <w:pPr>
        <w:ind w:left="4710" w:hanging="360"/>
      </w:pPr>
      <w:rPr>
        <w:rFonts w:ascii="Symbol" w:hAnsi="Symbol" w:hint="default"/>
      </w:rPr>
    </w:lvl>
    <w:lvl w:ilvl="7" w:tplc="14090003" w:tentative="1">
      <w:start w:val="1"/>
      <w:numFmt w:val="bullet"/>
      <w:lvlText w:val="o"/>
      <w:lvlJc w:val="left"/>
      <w:pPr>
        <w:ind w:left="5430" w:hanging="360"/>
      </w:pPr>
      <w:rPr>
        <w:rFonts w:ascii="Courier New" w:hAnsi="Courier New" w:cs="Courier New" w:hint="default"/>
      </w:rPr>
    </w:lvl>
    <w:lvl w:ilvl="8" w:tplc="14090005" w:tentative="1">
      <w:start w:val="1"/>
      <w:numFmt w:val="bullet"/>
      <w:lvlText w:val=""/>
      <w:lvlJc w:val="left"/>
      <w:pPr>
        <w:ind w:left="6150" w:hanging="360"/>
      </w:pPr>
      <w:rPr>
        <w:rFonts w:ascii="Wingdings" w:hAnsi="Wingdings" w:hint="default"/>
      </w:rPr>
    </w:lvl>
  </w:abstractNum>
  <w:abstractNum w:abstractNumId="9" w15:restartNumberingAfterBreak="0">
    <w:nsid w:val="6C0F4A34"/>
    <w:multiLevelType w:val="hybridMultilevel"/>
    <w:tmpl w:val="068467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1564322"/>
    <w:multiLevelType w:val="hybridMultilevel"/>
    <w:tmpl w:val="81423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6A4AF4"/>
    <w:multiLevelType w:val="hybridMultilevel"/>
    <w:tmpl w:val="7F44B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3C43FA"/>
    <w:multiLevelType w:val="hybridMultilevel"/>
    <w:tmpl w:val="7D302DD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48745D"/>
    <w:multiLevelType w:val="hybridMultilevel"/>
    <w:tmpl w:val="068467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F5D775E"/>
    <w:multiLevelType w:val="hybridMultilevel"/>
    <w:tmpl w:val="5FF4A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13"/>
  </w:num>
  <w:num w:numId="6">
    <w:abstractNumId w:val="2"/>
  </w:num>
  <w:num w:numId="7">
    <w:abstractNumId w:val="0"/>
  </w:num>
  <w:num w:numId="8">
    <w:abstractNumId w:val="7"/>
  </w:num>
  <w:num w:numId="9">
    <w:abstractNumId w:val="14"/>
  </w:num>
  <w:num w:numId="10">
    <w:abstractNumId w:val="1"/>
  </w:num>
  <w:num w:numId="11">
    <w:abstractNumId w:val="12"/>
  </w:num>
  <w:num w:numId="12">
    <w:abstractNumId w:val="11"/>
  </w:num>
  <w:num w:numId="13">
    <w:abstractNumId w:val="10"/>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8671FE"/>
    <w:rsid w:val="000003CA"/>
    <w:rsid w:val="0002233A"/>
    <w:rsid w:val="00034B16"/>
    <w:rsid w:val="00062D83"/>
    <w:rsid w:val="00081487"/>
    <w:rsid w:val="00091771"/>
    <w:rsid w:val="00092127"/>
    <w:rsid w:val="0009231E"/>
    <w:rsid w:val="0009597B"/>
    <w:rsid w:val="000A298E"/>
    <w:rsid w:val="000C6C08"/>
    <w:rsid w:val="000E5C9F"/>
    <w:rsid w:val="000F3B84"/>
    <w:rsid w:val="00111647"/>
    <w:rsid w:val="0011478D"/>
    <w:rsid w:val="00117CBC"/>
    <w:rsid w:val="00132A68"/>
    <w:rsid w:val="001467EC"/>
    <w:rsid w:val="00152F69"/>
    <w:rsid w:val="00156804"/>
    <w:rsid w:val="001712FB"/>
    <w:rsid w:val="00172610"/>
    <w:rsid w:val="00177C07"/>
    <w:rsid w:val="00193BAB"/>
    <w:rsid w:val="00195F29"/>
    <w:rsid w:val="001A533B"/>
    <w:rsid w:val="001C12B0"/>
    <w:rsid w:val="001C3378"/>
    <w:rsid w:val="001C376E"/>
    <w:rsid w:val="001C5CA8"/>
    <w:rsid w:val="001F3E86"/>
    <w:rsid w:val="00205C4A"/>
    <w:rsid w:val="00231E49"/>
    <w:rsid w:val="00234ABE"/>
    <w:rsid w:val="00235E8A"/>
    <w:rsid w:val="00241160"/>
    <w:rsid w:val="00241CC5"/>
    <w:rsid w:val="00243C02"/>
    <w:rsid w:val="00250CD4"/>
    <w:rsid w:val="00256C09"/>
    <w:rsid w:val="00263078"/>
    <w:rsid w:val="00281AF0"/>
    <w:rsid w:val="002A2827"/>
    <w:rsid w:val="002B153D"/>
    <w:rsid w:val="002C4B75"/>
    <w:rsid w:val="002F1134"/>
    <w:rsid w:val="002F3EE5"/>
    <w:rsid w:val="0031082A"/>
    <w:rsid w:val="0031220F"/>
    <w:rsid w:val="003325C5"/>
    <w:rsid w:val="003428B4"/>
    <w:rsid w:val="00356972"/>
    <w:rsid w:val="00357573"/>
    <w:rsid w:val="003652EB"/>
    <w:rsid w:val="003720C1"/>
    <w:rsid w:val="0037613A"/>
    <w:rsid w:val="00385321"/>
    <w:rsid w:val="003954F7"/>
    <w:rsid w:val="003A40D8"/>
    <w:rsid w:val="003A584B"/>
    <w:rsid w:val="003A7170"/>
    <w:rsid w:val="003B07BD"/>
    <w:rsid w:val="003B1664"/>
    <w:rsid w:val="003B39ED"/>
    <w:rsid w:val="003D0069"/>
    <w:rsid w:val="003D13A0"/>
    <w:rsid w:val="003D2272"/>
    <w:rsid w:val="003F1EE7"/>
    <w:rsid w:val="003F7BF9"/>
    <w:rsid w:val="00432DD9"/>
    <w:rsid w:val="00435855"/>
    <w:rsid w:val="004555DA"/>
    <w:rsid w:val="00457093"/>
    <w:rsid w:val="004818BC"/>
    <w:rsid w:val="00482E3C"/>
    <w:rsid w:val="00492468"/>
    <w:rsid w:val="004B408B"/>
    <w:rsid w:val="004B7CD6"/>
    <w:rsid w:val="004C73B5"/>
    <w:rsid w:val="004D1FD3"/>
    <w:rsid w:val="004F68CD"/>
    <w:rsid w:val="00500D34"/>
    <w:rsid w:val="00507F99"/>
    <w:rsid w:val="005207ED"/>
    <w:rsid w:val="00526153"/>
    <w:rsid w:val="00543DDE"/>
    <w:rsid w:val="0055213D"/>
    <w:rsid w:val="00553CBA"/>
    <w:rsid w:val="005556B2"/>
    <w:rsid w:val="00560A78"/>
    <w:rsid w:val="00570800"/>
    <w:rsid w:val="00591005"/>
    <w:rsid w:val="005968B4"/>
    <w:rsid w:val="005977FB"/>
    <w:rsid w:val="005A42C8"/>
    <w:rsid w:val="005D3164"/>
    <w:rsid w:val="005D6421"/>
    <w:rsid w:val="005D7A3B"/>
    <w:rsid w:val="005E0B3A"/>
    <w:rsid w:val="005E5BB2"/>
    <w:rsid w:val="006121B8"/>
    <w:rsid w:val="00615419"/>
    <w:rsid w:val="0062174E"/>
    <w:rsid w:val="0062738A"/>
    <w:rsid w:val="00634D40"/>
    <w:rsid w:val="006352BB"/>
    <w:rsid w:val="00666C43"/>
    <w:rsid w:val="0067164E"/>
    <w:rsid w:val="00683FBD"/>
    <w:rsid w:val="00685ECE"/>
    <w:rsid w:val="006A0782"/>
    <w:rsid w:val="006A6214"/>
    <w:rsid w:val="006B5687"/>
    <w:rsid w:val="006C77A2"/>
    <w:rsid w:val="006E59C9"/>
    <w:rsid w:val="00700528"/>
    <w:rsid w:val="0075374A"/>
    <w:rsid w:val="00755CBF"/>
    <w:rsid w:val="0077783F"/>
    <w:rsid w:val="0078302D"/>
    <w:rsid w:val="00787312"/>
    <w:rsid w:val="007B237B"/>
    <w:rsid w:val="007B445C"/>
    <w:rsid w:val="007C4BEC"/>
    <w:rsid w:val="007C55B4"/>
    <w:rsid w:val="007F0CF7"/>
    <w:rsid w:val="00832A1B"/>
    <w:rsid w:val="00833420"/>
    <w:rsid w:val="008356A8"/>
    <w:rsid w:val="008504BC"/>
    <w:rsid w:val="0085789A"/>
    <w:rsid w:val="00857C43"/>
    <w:rsid w:val="00865642"/>
    <w:rsid w:val="008671FE"/>
    <w:rsid w:val="00872E19"/>
    <w:rsid w:val="00890724"/>
    <w:rsid w:val="00891CD0"/>
    <w:rsid w:val="008A19D1"/>
    <w:rsid w:val="008A726C"/>
    <w:rsid w:val="008B1378"/>
    <w:rsid w:val="008D0518"/>
    <w:rsid w:val="008D36B0"/>
    <w:rsid w:val="008D5C4D"/>
    <w:rsid w:val="008E4212"/>
    <w:rsid w:val="009027BA"/>
    <w:rsid w:val="00931B77"/>
    <w:rsid w:val="0094490B"/>
    <w:rsid w:val="0094551D"/>
    <w:rsid w:val="00945C22"/>
    <w:rsid w:val="00955B5C"/>
    <w:rsid w:val="00957C97"/>
    <w:rsid w:val="009671D6"/>
    <w:rsid w:val="00975A29"/>
    <w:rsid w:val="00980786"/>
    <w:rsid w:val="0098363C"/>
    <w:rsid w:val="00987612"/>
    <w:rsid w:val="009C5053"/>
    <w:rsid w:val="009D41FF"/>
    <w:rsid w:val="009F19BC"/>
    <w:rsid w:val="00A030F1"/>
    <w:rsid w:val="00A1682E"/>
    <w:rsid w:val="00A213CD"/>
    <w:rsid w:val="00A3290A"/>
    <w:rsid w:val="00A3370C"/>
    <w:rsid w:val="00A343DE"/>
    <w:rsid w:val="00A4024F"/>
    <w:rsid w:val="00A403D2"/>
    <w:rsid w:val="00A43AD6"/>
    <w:rsid w:val="00A81B2B"/>
    <w:rsid w:val="00AB233B"/>
    <w:rsid w:val="00AC14BD"/>
    <w:rsid w:val="00AC7706"/>
    <w:rsid w:val="00AD3C2C"/>
    <w:rsid w:val="00AE12B6"/>
    <w:rsid w:val="00AE5C0E"/>
    <w:rsid w:val="00AF4D39"/>
    <w:rsid w:val="00B05210"/>
    <w:rsid w:val="00B06DB5"/>
    <w:rsid w:val="00B2706A"/>
    <w:rsid w:val="00B323F7"/>
    <w:rsid w:val="00B400B8"/>
    <w:rsid w:val="00B45B04"/>
    <w:rsid w:val="00B55A9A"/>
    <w:rsid w:val="00B66123"/>
    <w:rsid w:val="00B75235"/>
    <w:rsid w:val="00B8119B"/>
    <w:rsid w:val="00B83C35"/>
    <w:rsid w:val="00BA0064"/>
    <w:rsid w:val="00BA7BCC"/>
    <w:rsid w:val="00BC47A6"/>
    <w:rsid w:val="00BD54AD"/>
    <w:rsid w:val="00BD6ED6"/>
    <w:rsid w:val="00BD75AE"/>
    <w:rsid w:val="00BE6CBE"/>
    <w:rsid w:val="00BF1063"/>
    <w:rsid w:val="00C0169B"/>
    <w:rsid w:val="00C055F1"/>
    <w:rsid w:val="00C14DBB"/>
    <w:rsid w:val="00C216C4"/>
    <w:rsid w:val="00C30003"/>
    <w:rsid w:val="00C37FBB"/>
    <w:rsid w:val="00C45EAC"/>
    <w:rsid w:val="00C6251B"/>
    <w:rsid w:val="00C70BD4"/>
    <w:rsid w:val="00C74DA1"/>
    <w:rsid w:val="00CA310A"/>
    <w:rsid w:val="00CB2B03"/>
    <w:rsid w:val="00CC0A6F"/>
    <w:rsid w:val="00CC69B8"/>
    <w:rsid w:val="00CD224C"/>
    <w:rsid w:val="00CF385E"/>
    <w:rsid w:val="00D0125E"/>
    <w:rsid w:val="00D527D9"/>
    <w:rsid w:val="00D534E7"/>
    <w:rsid w:val="00D65EFB"/>
    <w:rsid w:val="00D8320A"/>
    <w:rsid w:val="00D912E3"/>
    <w:rsid w:val="00D9561C"/>
    <w:rsid w:val="00DC20AD"/>
    <w:rsid w:val="00DE2D03"/>
    <w:rsid w:val="00DE3004"/>
    <w:rsid w:val="00DF3691"/>
    <w:rsid w:val="00DF4667"/>
    <w:rsid w:val="00DF5381"/>
    <w:rsid w:val="00E30003"/>
    <w:rsid w:val="00E33E04"/>
    <w:rsid w:val="00E418A4"/>
    <w:rsid w:val="00E427B1"/>
    <w:rsid w:val="00E46E5D"/>
    <w:rsid w:val="00E47042"/>
    <w:rsid w:val="00E51C94"/>
    <w:rsid w:val="00E52793"/>
    <w:rsid w:val="00E71199"/>
    <w:rsid w:val="00E73BC2"/>
    <w:rsid w:val="00E81138"/>
    <w:rsid w:val="00E901C7"/>
    <w:rsid w:val="00E9649C"/>
    <w:rsid w:val="00EA1F1F"/>
    <w:rsid w:val="00EA3AC6"/>
    <w:rsid w:val="00EB1C5F"/>
    <w:rsid w:val="00EC76E4"/>
    <w:rsid w:val="00EF76EF"/>
    <w:rsid w:val="00F24A64"/>
    <w:rsid w:val="00F45AB6"/>
    <w:rsid w:val="00F5216F"/>
    <w:rsid w:val="00F66485"/>
    <w:rsid w:val="00F91015"/>
    <w:rsid w:val="00FA328C"/>
    <w:rsid w:val="00FA61E6"/>
    <w:rsid w:val="00FD0FF2"/>
    <w:rsid w:val="00FE2267"/>
    <w:rsid w:val="00FF0F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CA5494"/>
  <w15:docId w15:val="{AD1CE1DA-FC8C-4A31-AE47-C6D720FD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EAC"/>
  </w:style>
  <w:style w:type="paragraph" w:styleId="Heading1">
    <w:name w:val="heading 1"/>
    <w:basedOn w:val="Normal"/>
    <w:next w:val="Normal"/>
    <w:link w:val="Heading1Char"/>
    <w:uiPriority w:val="9"/>
    <w:qFormat/>
    <w:rsid w:val="00D012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05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1C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8B4"/>
    <w:pPr>
      <w:ind w:left="720"/>
      <w:contextualSpacing/>
    </w:pPr>
  </w:style>
  <w:style w:type="character" w:customStyle="1" w:styleId="Heading1Char">
    <w:name w:val="Heading 1 Char"/>
    <w:basedOn w:val="DefaultParagraphFont"/>
    <w:link w:val="Heading1"/>
    <w:uiPriority w:val="9"/>
    <w:rsid w:val="00D0125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0125E"/>
    <w:pPr>
      <w:outlineLvl w:val="9"/>
    </w:pPr>
    <w:rPr>
      <w:lang w:val="en-US"/>
    </w:rPr>
  </w:style>
  <w:style w:type="paragraph" w:styleId="BalloonText">
    <w:name w:val="Balloon Text"/>
    <w:basedOn w:val="Normal"/>
    <w:link w:val="BalloonTextChar"/>
    <w:uiPriority w:val="99"/>
    <w:semiHidden/>
    <w:unhideWhenUsed/>
    <w:rsid w:val="00D01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25E"/>
    <w:rPr>
      <w:rFonts w:ascii="Tahoma" w:hAnsi="Tahoma" w:cs="Tahoma"/>
      <w:sz w:val="16"/>
      <w:szCs w:val="16"/>
    </w:rPr>
  </w:style>
  <w:style w:type="paragraph" w:styleId="TOC1">
    <w:name w:val="toc 1"/>
    <w:basedOn w:val="Normal"/>
    <w:next w:val="Normal"/>
    <w:autoRedefine/>
    <w:uiPriority w:val="39"/>
    <w:unhideWhenUsed/>
    <w:rsid w:val="00D0125E"/>
    <w:pPr>
      <w:spacing w:after="100"/>
    </w:pPr>
  </w:style>
  <w:style w:type="character" w:styleId="Hyperlink">
    <w:name w:val="Hyperlink"/>
    <w:basedOn w:val="DefaultParagraphFont"/>
    <w:uiPriority w:val="99"/>
    <w:unhideWhenUsed/>
    <w:rsid w:val="00D0125E"/>
    <w:rPr>
      <w:color w:val="0000FF" w:themeColor="hyperlink"/>
      <w:u w:val="single"/>
    </w:rPr>
  </w:style>
  <w:style w:type="paragraph" w:styleId="Header">
    <w:name w:val="header"/>
    <w:basedOn w:val="Normal"/>
    <w:link w:val="HeaderChar"/>
    <w:uiPriority w:val="99"/>
    <w:unhideWhenUsed/>
    <w:rsid w:val="00FE2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267"/>
  </w:style>
  <w:style w:type="paragraph" w:styleId="Footer">
    <w:name w:val="footer"/>
    <w:basedOn w:val="Normal"/>
    <w:link w:val="FooterChar"/>
    <w:uiPriority w:val="99"/>
    <w:unhideWhenUsed/>
    <w:rsid w:val="00FE2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267"/>
  </w:style>
  <w:style w:type="paragraph" w:styleId="NoSpacing">
    <w:name w:val="No Spacing"/>
    <w:link w:val="NoSpacingChar"/>
    <w:uiPriority w:val="1"/>
    <w:qFormat/>
    <w:rsid w:val="00FE2267"/>
    <w:pPr>
      <w:spacing w:after="0" w:line="240" w:lineRule="auto"/>
    </w:pPr>
    <w:rPr>
      <w:lang w:val="en-US"/>
    </w:rPr>
  </w:style>
  <w:style w:type="character" w:customStyle="1" w:styleId="NoSpacingChar">
    <w:name w:val="No Spacing Char"/>
    <w:basedOn w:val="DefaultParagraphFont"/>
    <w:link w:val="NoSpacing"/>
    <w:uiPriority w:val="1"/>
    <w:rsid w:val="00FE2267"/>
    <w:rPr>
      <w:rFonts w:eastAsiaTheme="minorEastAsia"/>
      <w:lang w:val="en-US"/>
    </w:rPr>
  </w:style>
  <w:style w:type="character" w:styleId="CommentReference">
    <w:name w:val="annotation reference"/>
    <w:basedOn w:val="DefaultParagraphFont"/>
    <w:uiPriority w:val="99"/>
    <w:semiHidden/>
    <w:unhideWhenUsed/>
    <w:rsid w:val="005D6421"/>
    <w:rPr>
      <w:sz w:val="16"/>
      <w:szCs w:val="16"/>
    </w:rPr>
  </w:style>
  <w:style w:type="paragraph" w:styleId="CommentText">
    <w:name w:val="annotation text"/>
    <w:basedOn w:val="Normal"/>
    <w:link w:val="CommentTextChar"/>
    <w:uiPriority w:val="99"/>
    <w:semiHidden/>
    <w:unhideWhenUsed/>
    <w:rsid w:val="005D6421"/>
    <w:pPr>
      <w:spacing w:line="240" w:lineRule="auto"/>
    </w:pPr>
    <w:rPr>
      <w:sz w:val="20"/>
      <w:szCs w:val="20"/>
    </w:rPr>
  </w:style>
  <w:style w:type="character" w:customStyle="1" w:styleId="CommentTextChar">
    <w:name w:val="Comment Text Char"/>
    <w:basedOn w:val="DefaultParagraphFont"/>
    <w:link w:val="CommentText"/>
    <w:uiPriority w:val="99"/>
    <w:semiHidden/>
    <w:rsid w:val="005D6421"/>
    <w:rPr>
      <w:sz w:val="20"/>
      <w:szCs w:val="20"/>
    </w:rPr>
  </w:style>
  <w:style w:type="paragraph" w:styleId="CommentSubject">
    <w:name w:val="annotation subject"/>
    <w:basedOn w:val="CommentText"/>
    <w:next w:val="CommentText"/>
    <w:link w:val="CommentSubjectChar"/>
    <w:uiPriority w:val="99"/>
    <w:semiHidden/>
    <w:unhideWhenUsed/>
    <w:rsid w:val="005D6421"/>
    <w:rPr>
      <w:b/>
      <w:bCs/>
    </w:rPr>
  </w:style>
  <w:style w:type="character" w:customStyle="1" w:styleId="CommentSubjectChar">
    <w:name w:val="Comment Subject Char"/>
    <w:basedOn w:val="CommentTextChar"/>
    <w:link w:val="CommentSubject"/>
    <w:uiPriority w:val="99"/>
    <w:semiHidden/>
    <w:rsid w:val="005D6421"/>
    <w:rPr>
      <w:b/>
      <w:bCs/>
      <w:sz w:val="20"/>
      <w:szCs w:val="20"/>
    </w:rPr>
  </w:style>
  <w:style w:type="character" w:customStyle="1" w:styleId="Heading2Char">
    <w:name w:val="Heading 2 Char"/>
    <w:basedOn w:val="DefaultParagraphFont"/>
    <w:link w:val="Heading2"/>
    <w:uiPriority w:val="9"/>
    <w:rsid w:val="008D051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152F69"/>
    <w:pPr>
      <w:spacing w:after="100"/>
      <w:ind w:left="220"/>
    </w:pPr>
  </w:style>
  <w:style w:type="paragraph" w:styleId="FootnoteText">
    <w:name w:val="footnote text"/>
    <w:basedOn w:val="Normal"/>
    <w:link w:val="FootnoteTextChar"/>
    <w:uiPriority w:val="99"/>
    <w:semiHidden/>
    <w:unhideWhenUsed/>
    <w:rsid w:val="00B06D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6DB5"/>
    <w:rPr>
      <w:sz w:val="20"/>
      <w:szCs w:val="20"/>
    </w:rPr>
  </w:style>
  <w:style w:type="character" w:styleId="FootnoteReference">
    <w:name w:val="footnote reference"/>
    <w:basedOn w:val="DefaultParagraphFont"/>
    <w:uiPriority w:val="99"/>
    <w:semiHidden/>
    <w:unhideWhenUsed/>
    <w:rsid w:val="00B06DB5"/>
    <w:rPr>
      <w:vertAlign w:val="superscript"/>
    </w:rPr>
  </w:style>
  <w:style w:type="character" w:styleId="PlaceholderText">
    <w:name w:val="Placeholder Text"/>
    <w:basedOn w:val="DefaultParagraphFont"/>
    <w:uiPriority w:val="99"/>
    <w:semiHidden/>
    <w:rsid w:val="00AE12B6"/>
    <w:rPr>
      <w:color w:val="808080"/>
    </w:rPr>
  </w:style>
  <w:style w:type="paragraph" w:styleId="EndnoteText">
    <w:name w:val="endnote text"/>
    <w:basedOn w:val="Normal"/>
    <w:link w:val="EndnoteTextChar"/>
    <w:uiPriority w:val="99"/>
    <w:semiHidden/>
    <w:unhideWhenUsed/>
    <w:rsid w:val="001A53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533B"/>
    <w:rPr>
      <w:sz w:val="20"/>
      <w:szCs w:val="20"/>
    </w:rPr>
  </w:style>
  <w:style w:type="character" w:styleId="EndnoteReference">
    <w:name w:val="endnote reference"/>
    <w:basedOn w:val="DefaultParagraphFont"/>
    <w:uiPriority w:val="99"/>
    <w:semiHidden/>
    <w:unhideWhenUsed/>
    <w:rsid w:val="001A533B"/>
    <w:rPr>
      <w:vertAlign w:val="superscript"/>
    </w:rPr>
  </w:style>
  <w:style w:type="paragraph" w:styleId="NormalWeb">
    <w:name w:val="Normal (Web)"/>
    <w:basedOn w:val="Normal"/>
    <w:uiPriority w:val="99"/>
    <w:unhideWhenUsed/>
    <w:rsid w:val="002F1134"/>
    <w:pPr>
      <w:spacing w:before="100" w:beforeAutospacing="1" w:after="100" w:afterAutospacing="1" w:line="240" w:lineRule="auto"/>
    </w:pPr>
    <w:rPr>
      <w:rFonts w:ascii="Times New Roman" w:eastAsiaTheme="minorHAnsi" w:hAnsi="Times New Roman" w:cs="Times New Roman"/>
      <w:sz w:val="24"/>
      <w:szCs w:val="24"/>
      <w:lang w:val="en-NZ" w:eastAsia="en-NZ"/>
    </w:rPr>
  </w:style>
  <w:style w:type="character" w:customStyle="1" w:styleId="Heading3Char">
    <w:name w:val="Heading 3 Char"/>
    <w:basedOn w:val="DefaultParagraphFont"/>
    <w:link w:val="Heading3"/>
    <w:uiPriority w:val="9"/>
    <w:rsid w:val="00241CC5"/>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241CC5"/>
    <w:pPr>
      <w:spacing w:after="100"/>
      <w:ind w:left="440"/>
    </w:pPr>
  </w:style>
  <w:style w:type="paragraph" w:customStyle="1" w:styleId="Default">
    <w:name w:val="Default"/>
    <w:rsid w:val="00C70BD4"/>
    <w:pPr>
      <w:autoSpaceDE w:val="0"/>
      <w:autoSpaceDN w:val="0"/>
      <w:adjustRightInd w:val="0"/>
      <w:spacing w:after="0" w:line="240" w:lineRule="auto"/>
    </w:pPr>
    <w:rPr>
      <w:rFonts w:ascii="Palatino Linotype" w:hAnsi="Palatino Linotype" w:cs="Palatino Linotype"/>
      <w:color w:val="000000"/>
      <w:sz w:val="24"/>
      <w:szCs w:val="24"/>
      <w:lang w:val="en-NZ"/>
    </w:rPr>
  </w:style>
  <w:style w:type="character" w:customStyle="1" w:styleId="UnresolvedMention">
    <w:name w:val="Unresolved Mention"/>
    <w:basedOn w:val="DefaultParagraphFont"/>
    <w:uiPriority w:val="99"/>
    <w:semiHidden/>
    <w:unhideWhenUsed/>
    <w:rsid w:val="003720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1719">
      <w:bodyDiv w:val="1"/>
      <w:marLeft w:val="0"/>
      <w:marRight w:val="0"/>
      <w:marTop w:val="0"/>
      <w:marBottom w:val="0"/>
      <w:divBdr>
        <w:top w:val="none" w:sz="0" w:space="0" w:color="auto"/>
        <w:left w:val="none" w:sz="0" w:space="0" w:color="auto"/>
        <w:bottom w:val="none" w:sz="0" w:space="0" w:color="auto"/>
        <w:right w:val="none" w:sz="0" w:space="0" w:color="auto"/>
      </w:divBdr>
    </w:div>
    <w:div w:id="68041365">
      <w:bodyDiv w:val="1"/>
      <w:marLeft w:val="0"/>
      <w:marRight w:val="0"/>
      <w:marTop w:val="0"/>
      <w:marBottom w:val="0"/>
      <w:divBdr>
        <w:top w:val="none" w:sz="0" w:space="0" w:color="auto"/>
        <w:left w:val="none" w:sz="0" w:space="0" w:color="auto"/>
        <w:bottom w:val="none" w:sz="0" w:space="0" w:color="auto"/>
        <w:right w:val="none" w:sz="0" w:space="0" w:color="auto"/>
      </w:divBdr>
      <w:divsChild>
        <w:div w:id="979651947">
          <w:marLeft w:val="288"/>
          <w:marRight w:val="0"/>
          <w:marTop w:val="0"/>
          <w:marBottom w:val="0"/>
          <w:divBdr>
            <w:top w:val="none" w:sz="0" w:space="0" w:color="auto"/>
            <w:left w:val="none" w:sz="0" w:space="0" w:color="auto"/>
            <w:bottom w:val="none" w:sz="0" w:space="0" w:color="auto"/>
            <w:right w:val="none" w:sz="0" w:space="0" w:color="auto"/>
          </w:divBdr>
        </w:div>
        <w:div w:id="713501195">
          <w:marLeft w:val="288"/>
          <w:marRight w:val="0"/>
          <w:marTop w:val="0"/>
          <w:marBottom w:val="0"/>
          <w:divBdr>
            <w:top w:val="none" w:sz="0" w:space="0" w:color="auto"/>
            <w:left w:val="none" w:sz="0" w:space="0" w:color="auto"/>
            <w:bottom w:val="none" w:sz="0" w:space="0" w:color="auto"/>
            <w:right w:val="none" w:sz="0" w:space="0" w:color="auto"/>
          </w:divBdr>
        </w:div>
        <w:div w:id="236863467">
          <w:marLeft w:val="288"/>
          <w:marRight w:val="0"/>
          <w:marTop w:val="0"/>
          <w:marBottom w:val="0"/>
          <w:divBdr>
            <w:top w:val="none" w:sz="0" w:space="0" w:color="auto"/>
            <w:left w:val="none" w:sz="0" w:space="0" w:color="auto"/>
            <w:bottom w:val="none" w:sz="0" w:space="0" w:color="auto"/>
            <w:right w:val="none" w:sz="0" w:space="0" w:color="auto"/>
          </w:divBdr>
        </w:div>
        <w:div w:id="1088428943">
          <w:marLeft w:val="288"/>
          <w:marRight w:val="0"/>
          <w:marTop w:val="0"/>
          <w:marBottom w:val="0"/>
          <w:divBdr>
            <w:top w:val="none" w:sz="0" w:space="0" w:color="auto"/>
            <w:left w:val="none" w:sz="0" w:space="0" w:color="auto"/>
            <w:bottom w:val="none" w:sz="0" w:space="0" w:color="auto"/>
            <w:right w:val="none" w:sz="0" w:space="0" w:color="auto"/>
          </w:divBdr>
        </w:div>
        <w:div w:id="1153989678">
          <w:marLeft w:val="288"/>
          <w:marRight w:val="0"/>
          <w:marTop w:val="0"/>
          <w:marBottom w:val="0"/>
          <w:divBdr>
            <w:top w:val="none" w:sz="0" w:space="0" w:color="auto"/>
            <w:left w:val="none" w:sz="0" w:space="0" w:color="auto"/>
            <w:bottom w:val="none" w:sz="0" w:space="0" w:color="auto"/>
            <w:right w:val="none" w:sz="0" w:space="0" w:color="auto"/>
          </w:divBdr>
        </w:div>
        <w:div w:id="534542595">
          <w:marLeft w:val="288"/>
          <w:marRight w:val="0"/>
          <w:marTop w:val="0"/>
          <w:marBottom w:val="0"/>
          <w:divBdr>
            <w:top w:val="none" w:sz="0" w:space="0" w:color="auto"/>
            <w:left w:val="none" w:sz="0" w:space="0" w:color="auto"/>
            <w:bottom w:val="none" w:sz="0" w:space="0" w:color="auto"/>
            <w:right w:val="none" w:sz="0" w:space="0" w:color="auto"/>
          </w:divBdr>
        </w:div>
        <w:div w:id="642198939">
          <w:marLeft w:val="288"/>
          <w:marRight w:val="0"/>
          <w:marTop w:val="0"/>
          <w:marBottom w:val="0"/>
          <w:divBdr>
            <w:top w:val="none" w:sz="0" w:space="0" w:color="auto"/>
            <w:left w:val="none" w:sz="0" w:space="0" w:color="auto"/>
            <w:bottom w:val="none" w:sz="0" w:space="0" w:color="auto"/>
            <w:right w:val="none" w:sz="0" w:space="0" w:color="auto"/>
          </w:divBdr>
        </w:div>
        <w:div w:id="415178504">
          <w:marLeft w:val="850"/>
          <w:marRight w:val="0"/>
          <w:marTop w:val="0"/>
          <w:marBottom w:val="0"/>
          <w:divBdr>
            <w:top w:val="none" w:sz="0" w:space="0" w:color="auto"/>
            <w:left w:val="none" w:sz="0" w:space="0" w:color="auto"/>
            <w:bottom w:val="none" w:sz="0" w:space="0" w:color="auto"/>
            <w:right w:val="none" w:sz="0" w:space="0" w:color="auto"/>
          </w:divBdr>
        </w:div>
      </w:divsChild>
    </w:div>
    <w:div w:id="258568389">
      <w:bodyDiv w:val="1"/>
      <w:marLeft w:val="0"/>
      <w:marRight w:val="0"/>
      <w:marTop w:val="0"/>
      <w:marBottom w:val="0"/>
      <w:divBdr>
        <w:top w:val="none" w:sz="0" w:space="0" w:color="auto"/>
        <w:left w:val="none" w:sz="0" w:space="0" w:color="auto"/>
        <w:bottom w:val="none" w:sz="0" w:space="0" w:color="auto"/>
        <w:right w:val="none" w:sz="0" w:space="0" w:color="auto"/>
      </w:divBdr>
    </w:div>
    <w:div w:id="894585585">
      <w:bodyDiv w:val="1"/>
      <w:marLeft w:val="0"/>
      <w:marRight w:val="0"/>
      <w:marTop w:val="0"/>
      <w:marBottom w:val="0"/>
      <w:divBdr>
        <w:top w:val="none" w:sz="0" w:space="0" w:color="auto"/>
        <w:left w:val="none" w:sz="0" w:space="0" w:color="auto"/>
        <w:bottom w:val="none" w:sz="0" w:space="0" w:color="auto"/>
        <w:right w:val="none" w:sz="0" w:space="0" w:color="auto"/>
      </w:divBdr>
    </w:div>
    <w:div w:id="1035353505">
      <w:bodyDiv w:val="1"/>
      <w:marLeft w:val="0"/>
      <w:marRight w:val="0"/>
      <w:marTop w:val="0"/>
      <w:marBottom w:val="0"/>
      <w:divBdr>
        <w:top w:val="none" w:sz="0" w:space="0" w:color="auto"/>
        <w:left w:val="none" w:sz="0" w:space="0" w:color="auto"/>
        <w:bottom w:val="none" w:sz="0" w:space="0" w:color="auto"/>
        <w:right w:val="none" w:sz="0" w:space="0" w:color="auto"/>
      </w:divBdr>
    </w:div>
    <w:div w:id="1476680240">
      <w:bodyDiv w:val="1"/>
      <w:marLeft w:val="0"/>
      <w:marRight w:val="0"/>
      <w:marTop w:val="0"/>
      <w:marBottom w:val="0"/>
      <w:divBdr>
        <w:top w:val="none" w:sz="0" w:space="0" w:color="auto"/>
        <w:left w:val="none" w:sz="0" w:space="0" w:color="auto"/>
        <w:bottom w:val="none" w:sz="0" w:space="0" w:color="auto"/>
        <w:right w:val="none" w:sz="0" w:space="0" w:color="auto"/>
      </w:divBdr>
    </w:div>
    <w:div w:id="1523275429">
      <w:bodyDiv w:val="1"/>
      <w:marLeft w:val="0"/>
      <w:marRight w:val="0"/>
      <w:marTop w:val="0"/>
      <w:marBottom w:val="0"/>
      <w:divBdr>
        <w:top w:val="none" w:sz="0" w:space="0" w:color="auto"/>
        <w:left w:val="none" w:sz="0" w:space="0" w:color="auto"/>
        <w:bottom w:val="none" w:sz="0" w:space="0" w:color="auto"/>
        <w:right w:val="none" w:sz="0" w:space="0" w:color="auto"/>
      </w:divBdr>
    </w:div>
    <w:div w:id="1539463498">
      <w:bodyDiv w:val="1"/>
      <w:marLeft w:val="0"/>
      <w:marRight w:val="0"/>
      <w:marTop w:val="0"/>
      <w:marBottom w:val="0"/>
      <w:divBdr>
        <w:top w:val="none" w:sz="0" w:space="0" w:color="auto"/>
        <w:left w:val="none" w:sz="0" w:space="0" w:color="auto"/>
        <w:bottom w:val="none" w:sz="0" w:space="0" w:color="auto"/>
        <w:right w:val="none" w:sz="0" w:space="0" w:color="auto"/>
      </w:divBdr>
    </w:div>
    <w:div w:id="1581867889">
      <w:bodyDiv w:val="1"/>
      <w:marLeft w:val="0"/>
      <w:marRight w:val="0"/>
      <w:marTop w:val="0"/>
      <w:marBottom w:val="0"/>
      <w:divBdr>
        <w:top w:val="none" w:sz="0" w:space="0" w:color="auto"/>
        <w:left w:val="none" w:sz="0" w:space="0" w:color="auto"/>
        <w:bottom w:val="none" w:sz="0" w:space="0" w:color="auto"/>
        <w:right w:val="none" w:sz="0" w:space="0" w:color="auto"/>
      </w:divBdr>
    </w:div>
    <w:div w:id="1598057009">
      <w:bodyDiv w:val="1"/>
      <w:marLeft w:val="0"/>
      <w:marRight w:val="0"/>
      <w:marTop w:val="0"/>
      <w:marBottom w:val="0"/>
      <w:divBdr>
        <w:top w:val="none" w:sz="0" w:space="0" w:color="auto"/>
        <w:left w:val="none" w:sz="0" w:space="0" w:color="auto"/>
        <w:bottom w:val="none" w:sz="0" w:space="0" w:color="auto"/>
        <w:right w:val="none" w:sz="0" w:space="0" w:color="auto"/>
      </w:divBdr>
      <w:divsChild>
        <w:div w:id="164438981">
          <w:marLeft w:val="288"/>
          <w:marRight w:val="0"/>
          <w:marTop w:val="0"/>
          <w:marBottom w:val="0"/>
          <w:divBdr>
            <w:top w:val="none" w:sz="0" w:space="0" w:color="auto"/>
            <w:left w:val="none" w:sz="0" w:space="0" w:color="auto"/>
            <w:bottom w:val="none" w:sz="0" w:space="0" w:color="auto"/>
            <w:right w:val="none" w:sz="0" w:space="0" w:color="auto"/>
          </w:divBdr>
        </w:div>
      </w:divsChild>
    </w:div>
    <w:div w:id="1796871828">
      <w:bodyDiv w:val="1"/>
      <w:marLeft w:val="0"/>
      <w:marRight w:val="0"/>
      <w:marTop w:val="0"/>
      <w:marBottom w:val="0"/>
      <w:divBdr>
        <w:top w:val="none" w:sz="0" w:space="0" w:color="auto"/>
        <w:left w:val="none" w:sz="0" w:space="0" w:color="auto"/>
        <w:bottom w:val="none" w:sz="0" w:space="0" w:color="auto"/>
        <w:right w:val="none" w:sz="0" w:space="0" w:color="auto"/>
      </w:divBdr>
    </w:div>
    <w:div w:id="20029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c.gov.au/inquiries/current/basin-pla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waterfind.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2015-10-14T00:00:00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PCDOC-679391099-48</_dlc_DocId>
    <_dlc_DocIdUrl xmlns="3f4bcce7-ac1a-4c9d-aa3e-7e77695652db">
      <Url>http://inet.pc.gov.au/pmo/inq/mdbp/_layouts/15/DocIdRedir.aspx?ID=PCDOC-679391099-48</Url>
      <Description>PCDOC-679391099-48</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7ADCA5-C1C3-4FB7-B40C-3DF7FDF5A6EB}">
  <ds:schemaRefs>
    <ds:schemaRef ds:uri="http://schemas.microsoft.com/sharepoint/v3/contenttype/forms"/>
  </ds:schemaRefs>
</ds:datastoreItem>
</file>

<file path=customXml/itemProps3.xml><?xml version="1.0" encoding="utf-8"?>
<ds:datastoreItem xmlns:ds="http://schemas.openxmlformats.org/officeDocument/2006/customXml" ds:itemID="{3D39DCEC-2351-4001-9424-E778DF395E35}">
  <ds:schemaRefs>
    <ds:schemaRef ds:uri="http://schemas.microsoft.com/sharepoint/events"/>
  </ds:schemaRefs>
</ds:datastoreItem>
</file>

<file path=customXml/itemProps4.xml><?xml version="1.0" encoding="utf-8"?>
<ds:datastoreItem xmlns:ds="http://schemas.openxmlformats.org/officeDocument/2006/customXml" ds:itemID="{8FF06739-6F4F-45A1-8CFA-14E8F1E50176}">
  <ds:schemaRefs>
    <ds:schemaRef ds:uri="http://schemas.microsoft.com/office/2006/metadata/customXsn"/>
  </ds:schemaRefs>
</ds:datastoreItem>
</file>

<file path=customXml/itemProps5.xml><?xml version="1.0" encoding="utf-8"?>
<ds:datastoreItem xmlns:ds="http://schemas.openxmlformats.org/officeDocument/2006/customXml" ds:itemID="{20FBE554-3EB3-4D87-9388-81C0950EAA8D}">
  <ds:schemaRefs>
    <ds:schemaRef ds:uri="Microsoft.SharePoint.Taxonomy.ContentTypeSync"/>
  </ds:schemaRefs>
</ds:datastoreItem>
</file>

<file path=customXml/itemProps6.xml><?xml version="1.0" encoding="utf-8"?>
<ds:datastoreItem xmlns:ds="http://schemas.openxmlformats.org/officeDocument/2006/customXml" ds:itemID="{907C162F-CF4C-4EAA-9BF6-B1139C8A5739}">
  <ds:schemaRefs>
    <ds:schemaRef ds:uri="http://purl.org/dc/elements/1.1/"/>
    <ds:schemaRef ds:uri="http://schemas.microsoft.com/sharepoint/v3"/>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3f4bcce7-ac1a-4c9d-aa3e-7e77695652db"/>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A8DCBAF8-91B2-40A6-9603-C26BC0D89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25B0981-4BE7-418A-9621-68B0AF4C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Submission 33 - Bonlac Supply Company - Murray-Darling Basin Plan: Five-year assessment - Public inquiry</vt:lpstr>
    </vt:vector>
  </TitlesOfParts>
  <Company>Bonlac Supply Company</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33 - Bonlac Supply Company - Murray-Darling Basin Plan: Five-year assessment - Public inquiry</dc:title>
  <dc:subject/>
  <dc:creator>Bonlac Supply Company</dc:creator>
  <cp:lastModifiedBy>Productivity Commission</cp:lastModifiedBy>
  <cp:revision>3</cp:revision>
  <cp:lastPrinted>2015-10-13T22:49:00Z</cp:lastPrinted>
  <dcterms:created xsi:type="dcterms:W3CDTF">2018-04-23T05:49:00Z</dcterms:created>
  <dcterms:modified xsi:type="dcterms:W3CDTF">2018-04-24T05:10:00Z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TaxKeyword">
    <vt:lpwstr/>
  </property>
  <property fmtid="{D5CDD505-2E9C-101B-9397-08002B2CF9AE}" pid="4" name="Record Tag">
    <vt:lpwstr>139;#Submissions|c6e0dbf8-5444-433c-844d-d567dd519a05</vt:lpwstr>
  </property>
  <property fmtid="{D5CDD505-2E9C-101B-9397-08002B2CF9AE}" pid="5" name="_dlc_DocIdItemGuid">
    <vt:lpwstr>7138bd95-b747-4d21-8bba-68324e6ccba6</vt:lpwstr>
  </property>
</Properties>
</file>