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D4C0F" w14:textId="62E79027" w:rsidR="00F27B5B" w:rsidRPr="00833344" w:rsidRDefault="00F27B5B" w:rsidP="003B332A">
      <w:pPr>
        <w:spacing w:before="120"/>
        <w:jc w:val="center"/>
        <w:rPr>
          <w:b/>
          <w:sz w:val="24"/>
          <w:szCs w:val="24"/>
        </w:rPr>
      </w:pPr>
      <w:bookmarkStart w:id="0" w:name="_GoBack"/>
      <w:bookmarkEnd w:id="0"/>
      <w:r w:rsidRPr="00833344">
        <w:rPr>
          <w:b/>
          <w:sz w:val="24"/>
          <w:szCs w:val="24"/>
        </w:rPr>
        <w:t>Submission</w:t>
      </w:r>
      <w:r w:rsidRPr="00833344">
        <w:rPr>
          <w:sz w:val="24"/>
          <w:szCs w:val="24"/>
        </w:rPr>
        <w:t xml:space="preserve"> </w:t>
      </w:r>
      <w:r w:rsidRPr="00833344">
        <w:rPr>
          <w:b/>
          <w:sz w:val="24"/>
          <w:szCs w:val="24"/>
        </w:rPr>
        <w:t>to Productivity Commission Assessment of the Efficiency and Competit</w:t>
      </w:r>
      <w:r w:rsidR="00604B37">
        <w:rPr>
          <w:b/>
          <w:sz w:val="24"/>
          <w:szCs w:val="24"/>
        </w:rPr>
        <w:t>i</w:t>
      </w:r>
      <w:r w:rsidRPr="00833344">
        <w:rPr>
          <w:b/>
          <w:sz w:val="24"/>
          <w:szCs w:val="24"/>
        </w:rPr>
        <w:t xml:space="preserve">veness of the </w:t>
      </w:r>
      <w:r w:rsidR="003B332A" w:rsidRPr="00833344">
        <w:rPr>
          <w:b/>
          <w:sz w:val="24"/>
          <w:szCs w:val="24"/>
        </w:rPr>
        <w:t xml:space="preserve">Australian </w:t>
      </w:r>
      <w:r w:rsidRPr="00833344">
        <w:rPr>
          <w:b/>
          <w:sz w:val="24"/>
          <w:szCs w:val="24"/>
        </w:rPr>
        <w:t>Superannuation System</w:t>
      </w:r>
    </w:p>
    <w:p w14:paraId="5F102941" w14:textId="2F4ACFCD" w:rsidR="00CD4C87" w:rsidRPr="00833344" w:rsidRDefault="00064E24" w:rsidP="003B332A">
      <w:pPr>
        <w:spacing w:before="360" w:after="360"/>
        <w:jc w:val="center"/>
        <w:rPr>
          <w:b/>
          <w:sz w:val="28"/>
          <w:szCs w:val="28"/>
        </w:rPr>
      </w:pPr>
      <w:r>
        <w:rPr>
          <w:b/>
          <w:sz w:val="28"/>
          <w:szCs w:val="28"/>
        </w:rPr>
        <w:t>Comments on</w:t>
      </w:r>
      <w:r w:rsidR="00F27B5B" w:rsidRPr="00833344">
        <w:rPr>
          <w:b/>
          <w:sz w:val="28"/>
          <w:szCs w:val="28"/>
        </w:rPr>
        <w:t xml:space="preserve"> the Draft Report</w:t>
      </w:r>
    </w:p>
    <w:p w14:paraId="00F5ADBF" w14:textId="2737E624" w:rsidR="00CD4C87" w:rsidRDefault="005D410D" w:rsidP="003B332A">
      <w:pPr>
        <w:spacing w:before="120"/>
        <w:jc w:val="center"/>
        <w:rPr>
          <w:sz w:val="22"/>
        </w:rPr>
      </w:pPr>
      <w:r>
        <w:rPr>
          <w:sz w:val="22"/>
        </w:rPr>
        <w:t>A/</w:t>
      </w:r>
      <w:r w:rsidR="00F27B5B">
        <w:rPr>
          <w:sz w:val="22"/>
        </w:rPr>
        <w:t>Prof. Geoff Warren</w:t>
      </w:r>
    </w:p>
    <w:p w14:paraId="2684C174" w14:textId="30F6AEBF" w:rsidR="00F27B5B" w:rsidRDefault="00F27B5B" w:rsidP="003B332A">
      <w:pPr>
        <w:spacing w:after="360"/>
        <w:jc w:val="center"/>
        <w:rPr>
          <w:sz w:val="22"/>
        </w:rPr>
      </w:pPr>
      <w:r>
        <w:rPr>
          <w:sz w:val="22"/>
        </w:rPr>
        <w:t>The Australian National University</w:t>
      </w:r>
    </w:p>
    <w:p w14:paraId="029AAC88" w14:textId="532004C6" w:rsidR="00357848" w:rsidRPr="00383139" w:rsidRDefault="001C4633" w:rsidP="00833344">
      <w:pPr>
        <w:spacing w:after="480"/>
        <w:jc w:val="center"/>
        <w:rPr>
          <w:sz w:val="22"/>
        </w:rPr>
      </w:pPr>
      <w:r>
        <w:rPr>
          <w:sz w:val="22"/>
        </w:rPr>
        <w:t>28</w:t>
      </w:r>
      <w:r w:rsidR="006B07AE">
        <w:rPr>
          <w:sz w:val="22"/>
        </w:rPr>
        <w:t xml:space="preserve"> June, 201</w:t>
      </w:r>
      <w:r w:rsidR="00357848">
        <w:rPr>
          <w:sz w:val="22"/>
        </w:rPr>
        <w:t>8</w:t>
      </w:r>
    </w:p>
    <w:p w14:paraId="7ECD543C" w14:textId="02EF9F5A" w:rsidR="001F06F9" w:rsidRDefault="001F06F9" w:rsidP="00B44CEC">
      <w:pPr>
        <w:jc w:val="both"/>
      </w:pPr>
      <w:r>
        <w:t xml:space="preserve">I congratulate the </w:t>
      </w:r>
      <w:r w:rsidR="00F5545C">
        <w:t>Productivity Commission (</w:t>
      </w:r>
      <w:r>
        <w:t>PC</w:t>
      </w:r>
      <w:r w:rsidR="00F5545C">
        <w:t>)</w:t>
      </w:r>
      <w:r>
        <w:t xml:space="preserve"> on </w:t>
      </w:r>
      <w:r w:rsidR="00F34574">
        <w:t>their</w:t>
      </w:r>
      <w:r w:rsidR="00B44CEC">
        <w:t xml:space="preserve"> </w:t>
      </w:r>
      <w:r w:rsidR="003636F8">
        <w:t>excellent Draft R</w:t>
      </w:r>
      <w:r>
        <w:t>eport</w:t>
      </w:r>
      <w:r w:rsidR="00F34574">
        <w:t>,</w:t>
      </w:r>
      <w:r w:rsidR="00B44CEC">
        <w:t xml:space="preserve"> a</w:t>
      </w:r>
      <w:r w:rsidR="003636F8">
        <w:t>nd the manner in which they are conducting the review</w:t>
      </w:r>
      <w:r w:rsidR="00F34574">
        <w:t>. M</w:t>
      </w:r>
      <w:r>
        <w:t>ost of the recommendations</w:t>
      </w:r>
      <w:r w:rsidR="00B44CEC">
        <w:t xml:space="preserve"> </w:t>
      </w:r>
      <w:r w:rsidR="00713D1D">
        <w:t xml:space="preserve">appear </w:t>
      </w:r>
      <w:r w:rsidR="00B44CEC">
        <w:t>to be sensible</w:t>
      </w:r>
      <w:r w:rsidR="00F34574">
        <w:t>, and should act as a catalyst for change for the better</w:t>
      </w:r>
      <w:r>
        <w:t xml:space="preserve">. </w:t>
      </w:r>
      <w:r w:rsidR="00F34574">
        <w:t>My submission provides</w:t>
      </w:r>
      <w:r>
        <w:t xml:space="preserve"> comments </w:t>
      </w:r>
      <w:r w:rsidR="00B44CEC">
        <w:t xml:space="preserve">on four </w:t>
      </w:r>
      <w:r w:rsidR="003B332A">
        <w:t>matt</w:t>
      </w:r>
      <w:r>
        <w:t>ers:</w:t>
      </w:r>
      <w:r w:rsidR="003B332A">
        <w:t xml:space="preserve"> </w:t>
      </w:r>
    </w:p>
    <w:p w14:paraId="685CB9F6" w14:textId="7D9C365D" w:rsidR="00B41DD5" w:rsidRDefault="00B41DD5" w:rsidP="00B41DD5">
      <w:pPr>
        <w:pStyle w:val="ListParagraph"/>
        <w:numPr>
          <w:ilvl w:val="0"/>
          <w:numId w:val="27"/>
        </w:numPr>
        <w:spacing w:before="120"/>
        <w:ind w:left="274" w:hanging="274"/>
        <w:contextualSpacing w:val="0"/>
        <w:jc w:val="both"/>
      </w:pPr>
      <w:r w:rsidRPr="00B41DD5">
        <w:rPr>
          <w:i/>
        </w:rPr>
        <w:t>Importance of stewardship, especially in the default segment</w:t>
      </w:r>
      <w:r w:rsidR="00B37DF6">
        <w:t xml:space="preserve"> – context for other </w:t>
      </w:r>
      <w:r>
        <w:t>comments</w:t>
      </w:r>
    </w:p>
    <w:p w14:paraId="0FC14E16" w14:textId="7E98AFFA" w:rsidR="001F06F9" w:rsidRPr="00B44CEC" w:rsidRDefault="001F06F9" w:rsidP="00B41DD5">
      <w:pPr>
        <w:pStyle w:val="ListParagraph"/>
        <w:numPr>
          <w:ilvl w:val="0"/>
          <w:numId w:val="27"/>
        </w:numPr>
        <w:spacing w:before="120"/>
        <w:ind w:left="274" w:hanging="274"/>
        <w:contextualSpacing w:val="0"/>
        <w:jc w:val="both"/>
      </w:pPr>
      <w:r w:rsidRPr="00B41DD5">
        <w:rPr>
          <w:i/>
        </w:rPr>
        <w:t>Proposal for ‘</w:t>
      </w:r>
      <w:r w:rsidR="00F5545C">
        <w:rPr>
          <w:i/>
        </w:rPr>
        <w:t>best-in-class</w:t>
      </w:r>
      <w:r w:rsidRPr="00B41DD5">
        <w:rPr>
          <w:i/>
        </w:rPr>
        <w:t>’ method of allocating members to default funds</w:t>
      </w:r>
      <w:r w:rsidR="00B41DD5">
        <w:t xml:space="preserve"> – </w:t>
      </w:r>
      <w:r w:rsidRPr="00B44CEC">
        <w:t>g</w:t>
      </w:r>
      <w:r w:rsidR="003B332A" w:rsidRPr="00B44CEC">
        <w:t xml:space="preserve">eneral </w:t>
      </w:r>
      <w:r w:rsidRPr="00B44CEC">
        <w:t>impressions</w:t>
      </w:r>
      <w:r w:rsidR="00B41DD5">
        <w:t>,</w:t>
      </w:r>
      <w:r w:rsidRPr="00B44CEC">
        <w:t xml:space="preserve"> and </w:t>
      </w:r>
      <w:r w:rsidR="00B41DD5">
        <w:t xml:space="preserve">a few </w:t>
      </w:r>
      <w:r w:rsidRPr="00B44CEC">
        <w:t>suggestions</w:t>
      </w:r>
    </w:p>
    <w:p w14:paraId="311741A6" w14:textId="2FA6EE74" w:rsidR="001F06F9" w:rsidRPr="00B44CEC" w:rsidRDefault="001F06F9" w:rsidP="00B41DD5">
      <w:pPr>
        <w:pStyle w:val="ListParagraph"/>
        <w:numPr>
          <w:ilvl w:val="0"/>
          <w:numId w:val="27"/>
        </w:numPr>
        <w:spacing w:before="120"/>
        <w:ind w:left="274" w:hanging="274"/>
        <w:contextualSpacing w:val="0"/>
        <w:jc w:val="both"/>
      </w:pPr>
      <w:r w:rsidRPr="00B41DD5">
        <w:rPr>
          <w:i/>
        </w:rPr>
        <w:t>Investment performance benchmarking</w:t>
      </w:r>
      <w:r w:rsidR="00B41DD5">
        <w:t xml:space="preserve"> – some </w:t>
      </w:r>
      <w:r w:rsidRPr="00B44CEC">
        <w:t>ideas on how this might</w:t>
      </w:r>
      <w:r w:rsidR="00B44CEC">
        <w:t xml:space="preserve"> be</w:t>
      </w:r>
      <w:r w:rsidRPr="00B44CEC">
        <w:t xml:space="preserve"> improved</w:t>
      </w:r>
      <w:r w:rsidR="001C4633">
        <w:t>, and a warning</w:t>
      </w:r>
    </w:p>
    <w:p w14:paraId="10D80B3E" w14:textId="17E179D9" w:rsidR="001F06F9" w:rsidRPr="00B44CEC" w:rsidRDefault="00B41DD5" w:rsidP="00B41DD5">
      <w:pPr>
        <w:pStyle w:val="ListParagraph"/>
        <w:numPr>
          <w:ilvl w:val="0"/>
          <w:numId w:val="27"/>
        </w:numPr>
        <w:spacing w:before="120"/>
        <w:ind w:left="274" w:hanging="274"/>
        <w:contextualSpacing w:val="0"/>
        <w:jc w:val="both"/>
      </w:pPr>
      <w:r w:rsidRPr="00B41DD5">
        <w:rPr>
          <w:i/>
        </w:rPr>
        <w:t>M</w:t>
      </w:r>
      <w:r w:rsidR="00B44CEC" w:rsidRPr="00B41DD5">
        <w:rPr>
          <w:i/>
        </w:rPr>
        <w:t>odelling of l</w:t>
      </w:r>
      <w:r w:rsidR="00190A20">
        <w:rPr>
          <w:i/>
        </w:rPr>
        <w:t>ife</w:t>
      </w:r>
      <w:r w:rsidR="001F06F9" w:rsidRPr="00B41DD5">
        <w:rPr>
          <w:i/>
        </w:rPr>
        <w:t xml:space="preserve">cycle </w:t>
      </w:r>
      <w:r w:rsidR="00B44CEC" w:rsidRPr="00B41DD5">
        <w:rPr>
          <w:i/>
        </w:rPr>
        <w:t>pr</w:t>
      </w:r>
      <w:r w:rsidRPr="00B41DD5">
        <w:rPr>
          <w:i/>
        </w:rPr>
        <w:t>oducts</w:t>
      </w:r>
      <w:r w:rsidR="00B37DF6">
        <w:t xml:space="preserve"> – developing the analysis</w:t>
      </w:r>
      <w:r w:rsidR="00713D1D">
        <w:t>, including</w:t>
      </w:r>
      <w:r w:rsidR="00B37DF6">
        <w:t xml:space="preserve"> to look ‘through retirement’</w:t>
      </w:r>
    </w:p>
    <w:p w14:paraId="658A8E53" w14:textId="6A7D23A4" w:rsidR="00B44CEC" w:rsidRDefault="003B332A" w:rsidP="00F34574">
      <w:pPr>
        <w:spacing w:before="180"/>
        <w:jc w:val="both"/>
      </w:pPr>
      <w:r>
        <w:t>Th</w:t>
      </w:r>
      <w:r w:rsidRPr="003B332A">
        <w:t>is submission</w:t>
      </w:r>
      <w:r w:rsidR="001F06F9">
        <w:t xml:space="preserve"> represents my</w:t>
      </w:r>
      <w:r>
        <w:t xml:space="preserve"> personal views, informed by both my own research and a number </w:t>
      </w:r>
      <w:r w:rsidR="001F06F9">
        <w:t xml:space="preserve">of years </w:t>
      </w:r>
      <w:r>
        <w:t>in the investment industry</w:t>
      </w:r>
      <w:r w:rsidR="001F06F9">
        <w:t xml:space="preserve">. It </w:t>
      </w:r>
      <w:r>
        <w:t xml:space="preserve">should not be read as an official position by the Australian National University. </w:t>
      </w:r>
    </w:p>
    <w:p w14:paraId="552867B4" w14:textId="12546D13" w:rsidR="00B41DD5" w:rsidRPr="00833344" w:rsidRDefault="00B41DD5" w:rsidP="00B41DD5">
      <w:pPr>
        <w:pStyle w:val="ListParagraph"/>
        <w:numPr>
          <w:ilvl w:val="0"/>
          <w:numId w:val="17"/>
        </w:numPr>
        <w:spacing w:before="300" w:line="252" w:lineRule="auto"/>
        <w:ind w:left="360"/>
        <w:contextualSpacing w:val="0"/>
        <w:jc w:val="both"/>
        <w:rPr>
          <w:b/>
          <w:sz w:val="23"/>
          <w:szCs w:val="23"/>
        </w:rPr>
      </w:pPr>
      <w:r w:rsidRPr="00833344">
        <w:rPr>
          <w:b/>
          <w:sz w:val="23"/>
          <w:szCs w:val="23"/>
        </w:rPr>
        <w:t xml:space="preserve">Stewardship </w:t>
      </w:r>
    </w:p>
    <w:p w14:paraId="266A6D2C" w14:textId="3C7AFF9A" w:rsidR="0054276F" w:rsidRDefault="00F5545C" w:rsidP="00F34574">
      <w:pPr>
        <w:spacing w:before="180"/>
        <w:jc w:val="both"/>
      </w:pPr>
      <w:r>
        <w:t>Many</w:t>
      </w:r>
      <w:r w:rsidR="00B41DD5">
        <w:t xml:space="preserve"> default members </w:t>
      </w:r>
      <w:r w:rsidR="00713D1D">
        <w:t>struggle with financial concepts; and e</w:t>
      </w:r>
      <w:r w:rsidR="00B41DD5">
        <w:t xml:space="preserve">vidence exists that they are seeking </w:t>
      </w:r>
      <w:r>
        <w:t xml:space="preserve">direction </w:t>
      </w:r>
      <w:r w:rsidR="00B41DD5">
        <w:t>on what to do with their superannuation</w:t>
      </w:r>
      <w:r>
        <w:t>,</w:t>
      </w:r>
      <w:r w:rsidR="00B41DD5">
        <w:t xml:space="preserve"> and</w:t>
      </w:r>
      <w:r>
        <w:t>/or</w:t>
      </w:r>
      <w:r w:rsidR="00B41DD5">
        <w:t xml:space="preserve"> are looking for somebody to take care of </w:t>
      </w:r>
      <w:r>
        <w:t>it for them</w:t>
      </w:r>
      <w:r w:rsidR="00B41DD5">
        <w:t>.</w:t>
      </w:r>
      <w:r w:rsidR="00B41DD5">
        <w:rPr>
          <w:rStyle w:val="FootnoteReference"/>
        </w:rPr>
        <w:footnoteReference w:id="1"/>
      </w:r>
      <w:r>
        <w:t xml:space="preserve"> It is questionable whether most default members can</w:t>
      </w:r>
      <w:r w:rsidR="0054276F">
        <w:t xml:space="preserve"> ever build the </w:t>
      </w:r>
      <w:r>
        <w:t>personal capacity for informed choice;</w:t>
      </w:r>
      <w:r w:rsidR="0054276F">
        <w:t xml:space="preserve"> although some will</w:t>
      </w:r>
      <w:r>
        <w:t xml:space="preserve">, and efforts to enhance the capability to make </w:t>
      </w:r>
      <w:r w:rsidR="0054276F">
        <w:t>better choices are worthwhile. This situation has two implications. First, default members may never be able to drive effective compe</w:t>
      </w:r>
      <w:r w:rsidR="00604B37">
        <w:t>ti</w:t>
      </w:r>
      <w:r w:rsidR="00B37DF6">
        <w:t xml:space="preserve">tion. Essentially, </w:t>
      </w:r>
      <w:r w:rsidR="00604B37">
        <w:t xml:space="preserve">the </w:t>
      </w:r>
      <w:r w:rsidR="0054276F">
        <w:t>risk of market failure</w:t>
      </w:r>
      <w:r w:rsidR="00B37DF6">
        <w:t xml:space="preserve"> exists</w:t>
      </w:r>
      <w:r w:rsidR="0054276F">
        <w:t xml:space="preserve"> due to intractable information asymmetries. Second, default members are </w:t>
      </w:r>
      <w:r w:rsidR="00B37DF6">
        <w:t xml:space="preserve">seeking </w:t>
      </w:r>
      <w:r w:rsidR="0054276F">
        <w:t>some kind</w:t>
      </w:r>
      <w:r>
        <w:t xml:space="preserve"> of fiduciary relationship</w:t>
      </w:r>
      <w:r w:rsidR="0054276F">
        <w:t>. Against this background, my opinion is that it is more important to place emphasis on ensuring the agents in the system who act for default members play the role of trusted stewards, rather than treating default s</w:t>
      </w:r>
      <w:r w:rsidR="00B37DF6">
        <w:t>u</w:t>
      </w:r>
      <w:r w:rsidR="00713D1D">
        <w:t>perannuation</w:t>
      </w:r>
      <w:r w:rsidR="00B37DF6">
        <w:t xml:space="preserve"> as a product sale </w:t>
      </w:r>
      <w:r w:rsidR="0054276F">
        <w:t>and relying on competition by itself</w:t>
      </w:r>
      <w:r w:rsidR="00B37DF6">
        <w:t xml:space="preserve"> to generate good outcomes</w:t>
      </w:r>
      <w:r w:rsidR="0054276F">
        <w:t>.</w:t>
      </w:r>
    </w:p>
    <w:p w14:paraId="5DCD2E9B" w14:textId="12E71112" w:rsidR="00B41DD5" w:rsidRPr="00B44CEC" w:rsidRDefault="00B37DF6" w:rsidP="00B93A9C">
      <w:pPr>
        <w:spacing w:before="180" w:line="252" w:lineRule="auto"/>
        <w:jc w:val="both"/>
      </w:pPr>
      <w:r>
        <w:t>Fortunately, the</w:t>
      </w:r>
      <w:r w:rsidR="00B93A9C">
        <w:t xml:space="preserve"> proposed r</w:t>
      </w:r>
      <w:r w:rsidR="0054276F">
        <w:t>ecommendation</w:t>
      </w:r>
      <w:r>
        <w:t>s in the Draft R</w:t>
      </w:r>
      <w:r w:rsidR="00426169">
        <w:t xml:space="preserve">eport </w:t>
      </w:r>
      <w:r w:rsidR="00B93A9C">
        <w:t xml:space="preserve">cover both angles. The idea of having a panel choose </w:t>
      </w:r>
      <w:r w:rsidR="00F5545C">
        <w:t>a set of best-in-class</w:t>
      </w:r>
      <w:r w:rsidR="00B93A9C">
        <w:t xml:space="preserve"> funds </w:t>
      </w:r>
      <w:r w:rsidR="00F5545C">
        <w:t>will inject</w:t>
      </w:r>
      <w:r>
        <w:t xml:space="preserve"> an informed player</w:t>
      </w:r>
      <w:r w:rsidR="00B93A9C">
        <w:t xml:space="preserve"> </w:t>
      </w:r>
      <w:r>
        <w:t>that can act as a steward for default members at the fund selection stage</w:t>
      </w:r>
      <w:r w:rsidR="00F5545C">
        <w:t>. Mean</w:t>
      </w:r>
      <w:r w:rsidR="00B93A9C">
        <w:t>while</w:t>
      </w:r>
      <w:r w:rsidR="00F5545C">
        <w:t>,</w:t>
      </w:r>
      <w:r w:rsidR="00B93A9C">
        <w:t xml:space="preserve"> proposal</w:t>
      </w:r>
      <w:r w:rsidR="00F5545C">
        <w:t>s</w:t>
      </w:r>
      <w:r w:rsidR="00B93A9C">
        <w:t xml:space="preserve"> related to governance and oversight by the regulators ar</w:t>
      </w:r>
      <w:r w:rsidR="002076C6">
        <w:t xml:space="preserve">e focused </w:t>
      </w:r>
      <w:r w:rsidR="00426169">
        <w:t xml:space="preserve">to an extent </w:t>
      </w:r>
      <w:r w:rsidR="00713D1D">
        <w:t>on ensuring the funds that</w:t>
      </w:r>
      <w:r w:rsidR="002076C6">
        <w:t xml:space="preserve"> </w:t>
      </w:r>
      <w:r w:rsidR="00B93A9C">
        <w:t>manage member balances</w:t>
      </w:r>
      <w:r w:rsidR="00AC2B71">
        <w:t xml:space="preserve"> are looking after member interests</w:t>
      </w:r>
      <w:r w:rsidR="00B93A9C">
        <w:t xml:space="preserve">. </w:t>
      </w:r>
      <w:r w:rsidR="00B93A9C" w:rsidRPr="00833344">
        <w:rPr>
          <w:b/>
          <w:i/>
        </w:rPr>
        <w:t xml:space="preserve">My main suggestion is </w:t>
      </w:r>
      <w:r w:rsidR="00AC2B71" w:rsidRPr="00833344">
        <w:rPr>
          <w:b/>
          <w:i/>
        </w:rPr>
        <w:t>that the PC place a keen</w:t>
      </w:r>
      <w:r w:rsidR="00B93A9C" w:rsidRPr="00833344">
        <w:rPr>
          <w:b/>
          <w:i/>
        </w:rPr>
        <w:t xml:space="preserve"> focus on </w:t>
      </w:r>
      <w:r w:rsidR="00AC2B71" w:rsidRPr="00833344">
        <w:rPr>
          <w:b/>
          <w:i/>
        </w:rPr>
        <w:t xml:space="preserve">identifying </w:t>
      </w:r>
      <w:r w:rsidR="00B93A9C" w:rsidRPr="00833344">
        <w:rPr>
          <w:b/>
          <w:i/>
        </w:rPr>
        <w:t xml:space="preserve">where market mechanisms may fail </w:t>
      </w:r>
      <w:r w:rsidR="00AC2B71" w:rsidRPr="00833344">
        <w:rPr>
          <w:b/>
          <w:i/>
        </w:rPr>
        <w:t>when</w:t>
      </w:r>
      <w:r w:rsidR="00B93A9C" w:rsidRPr="00833344">
        <w:rPr>
          <w:b/>
          <w:i/>
        </w:rPr>
        <w:t xml:space="preserve"> generating</w:t>
      </w:r>
      <w:r w:rsidR="00AC2B71" w:rsidRPr="00833344">
        <w:rPr>
          <w:b/>
          <w:i/>
        </w:rPr>
        <w:t xml:space="preserve"> its Final R</w:t>
      </w:r>
      <w:r w:rsidR="00B93A9C" w:rsidRPr="00833344">
        <w:rPr>
          <w:b/>
          <w:i/>
        </w:rPr>
        <w:t>eport.</w:t>
      </w:r>
      <w:r w:rsidR="00B93A9C">
        <w:t xml:space="preserve"> Many of my comments in the next section relate to t</w:t>
      </w:r>
      <w:r w:rsidR="00573210">
        <w:t>his concept</w:t>
      </w:r>
      <w:r w:rsidR="00B93A9C">
        <w:t>.</w:t>
      </w:r>
    </w:p>
    <w:p w14:paraId="7933D42F" w14:textId="4C2652A7" w:rsidR="00CD4C87" w:rsidRPr="00833344" w:rsidRDefault="00B44CEC" w:rsidP="00B44CEC">
      <w:pPr>
        <w:pStyle w:val="ListParagraph"/>
        <w:numPr>
          <w:ilvl w:val="0"/>
          <w:numId w:val="17"/>
        </w:numPr>
        <w:spacing w:before="240" w:after="120"/>
        <w:ind w:left="360"/>
        <w:contextualSpacing w:val="0"/>
        <w:jc w:val="both"/>
        <w:rPr>
          <w:b/>
          <w:sz w:val="23"/>
          <w:szCs w:val="23"/>
        </w:rPr>
      </w:pPr>
      <w:r w:rsidRPr="00833344">
        <w:rPr>
          <w:b/>
          <w:sz w:val="23"/>
          <w:szCs w:val="23"/>
        </w:rPr>
        <w:t>Allocating Default Members</w:t>
      </w:r>
    </w:p>
    <w:p w14:paraId="1E537BF1" w14:textId="5F89BF31" w:rsidR="00F34574" w:rsidRDefault="00F34574" w:rsidP="00F34574">
      <w:pPr>
        <w:spacing w:before="180" w:line="252" w:lineRule="auto"/>
        <w:jc w:val="both"/>
      </w:pPr>
      <w:r>
        <w:t>The idea</w:t>
      </w:r>
      <w:r w:rsidR="005D4256">
        <w:t xml:space="preserve"> of </w:t>
      </w:r>
      <w:r>
        <w:t xml:space="preserve">appointing </w:t>
      </w:r>
      <w:r w:rsidR="005D4256">
        <w:t xml:space="preserve">a panel </w:t>
      </w:r>
      <w:r>
        <w:t>to select the</w:t>
      </w:r>
      <w:r w:rsidR="00027512">
        <w:t xml:space="preserve"> ‘</w:t>
      </w:r>
      <w:r w:rsidR="00F5545C">
        <w:t>best-in-class</w:t>
      </w:r>
      <w:r w:rsidR="005D4256">
        <w:t xml:space="preserve">’ </w:t>
      </w:r>
      <w:r w:rsidR="00027512">
        <w:t xml:space="preserve">funds </w:t>
      </w:r>
      <w:r w:rsidR="005D4256">
        <w:t xml:space="preserve">has </w:t>
      </w:r>
      <w:r w:rsidR="00AC2B71">
        <w:t xml:space="preserve">many </w:t>
      </w:r>
      <w:r w:rsidR="005D4256">
        <w:t>merit</w:t>
      </w:r>
      <w:r w:rsidR="00AC2B71">
        <w:t xml:space="preserve">s. </w:t>
      </w:r>
      <w:r w:rsidR="00573210">
        <w:t xml:space="preserve">In addition to placing the selection of default funds likely be used by many members in the hands of an informed steward, </w:t>
      </w:r>
      <w:r w:rsidR="00AC2B71">
        <w:t xml:space="preserve">I see the </w:t>
      </w:r>
      <w:r w:rsidR="00573210">
        <w:t xml:space="preserve">other </w:t>
      </w:r>
      <w:r w:rsidR="00AC2B71">
        <w:t>main benefits as</w:t>
      </w:r>
      <w:r>
        <w:t xml:space="preserve"> relate</w:t>
      </w:r>
      <w:r w:rsidR="00AC2B71">
        <w:t>d</w:t>
      </w:r>
      <w:r>
        <w:t xml:space="preserve"> to spurring competition</w:t>
      </w:r>
      <w:r w:rsidR="00B93A9C">
        <w:t xml:space="preserve"> in the market for fund selection</w:t>
      </w:r>
      <w:r>
        <w:t xml:space="preserve">, </w:t>
      </w:r>
      <w:r w:rsidR="00573210">
        <w:t xml:space="preserve">and </w:t>
      </w:r>
      <w:r w:rsidR="00B93A9C">
        <w:t xml:space="preserve">providing a mechanism for </w:t>
      </w:r>
      <w:r>
        <w:t>ad</w:t>
      </w:r>
      <w:r w:rsidR="00573210">
        <w:t>dressing multiple accounts</w:t>
      </w:r>
      <w:r w:rsidR="00B93A9C">
        <w:t>.</w:t>
      </w:r>
      <w:r>
        <w:t xml:space="preserve"> </w:t>
      </w:r>
    </w:p>
    <w:p w14:paraId="249C5DBE" w14:textId="6A23AADF" w:rsidR="005D4256" w:rsidRDefault="00AC2B71" w:rsidP="00F34574">
      <w:pPr>
        <w:spacing w:before="180" w:line="252" w:lineRule="auto"/>
        <w:jc w:val="both"/>
      </w:pPr>
      <w:r>
        <w:lastRenderedPageBreak/>
        <w:t>While agreeing on the merits of the</w:t>
      </w:r>
      <w:r w:rsidR="00CB0AD1">
        <w:t xml:space="preserve"> proposal</w:t>
      </w:r>
      <w:r w:rsidR="00027512">
        <w:t xml:space="preserve">, I </w:t>
      </w:r>
      <w:r w:rsidR="00CB0AD1">
        <w:t xml:space="preserve">have some suggestions. First, </w:t>
      </w:r>
      <w:r w:rsidR="00027512">
        <w:t xml:space="preserve">the </w:t>
      </w:r>
      <w:r w:rsidR="00F5545C">
        <w:t>best-in-class</w:t>
      </w:r>
      <w:r w:rsidR="00027512">
        <w:t xml:space="preserve"> proposal </w:t>
      </w:r>
      <w:r w:rsidR="00CB0AD1">
        <w:t xml:space="preserve">should </w:t>
      </w:r>
      <w:r w:rsidR="00027512">
        <w:t>b</w:t>
      </w:r>
      <w:r w:rsidR="00573210">
        <w:t>e firmed up</w:t>
      </w:r>
      <w:r w:rsidR="00027512">
        <w:t xml:space="preserve">. A keener job </w:t>
      </w:r>
      <w:r w:rsidR="00CB0AD1">
        <w:t>needs to be done to</w:t>
      </w:r>
      <w:r w:rsidR="00027512">
        <w:t xml:space="preserve"> es</w:t>
      </w:r>
      <w:r w:rsidR="00CB0AD1">
        <w:t>tablish</w:t>
      </w:r>
      <w:r w:rsidR="00027512">
        <w:t xml:space="preserve"> the cost-benefit versus the alternative of ‘cleaning up the</w:t>
      </w:r>
      <w:r w:rsidR="00D56E36">
        <w:t xml:space="preserve"> tail’ of poor performing funds, g</w:t>
      </w:r>
      <w:r w:rsidR="00027512">
        <w:t>i</w:t>
      </w:r>
      <w:r w:rsidR="008C3BC1">
        <w:t>ven that the proposal</w:t>
      </w:r>
      <w:r w:rsidR="00027512">
        <w:t xml:space="preserve"> would amount to a major disruption</w:t>
      </w:r>
      <w:r w:rsidR="00573210">
        <w:t>,</w:t>
      </w:r>
      <w:r w:rsidR="00027512">
        <w:t xml:space="preserve"> </w:t>
      </w:r>
      <w:r w:rsidR="00D56E36">
        <w:t>and</w:t>
      </w:r>
      <w:r w:rsidR="00027512">
        <w:t xml:space="preserve"> problems </w:t>
      </w:r>
      <w:r w:rsidR="00D56E36">
        <w:t>seem to limited to ce</w:t>
      </w:r>
      <w:r w:rsidR="00573210">
        <w:t xml:space="preserve">rtain aspects of the industry design and </w:t>
      </w:r>
      <w:r w:rsidR="00713D1D">
        <w:t xml:space="preserve">certain </w:t>
      </w:r>
      <w:r w:rsidR="00573210">
        <w:t>players rather than</w:t>
      </w:r>
      <w:r w:rsidR="00D56E36">
        <w:t xml:space="preserve"> ubiquitous</w:t>
      </w:r>
      <w:r w:rsidR="00027512">
        <w:t xml:space="preserve">. </w:t>
      </w:r>
      <w:r w:rsidR="00D56E36">
        <w:t xml:space="preserve">Second, I </w:t>
      </w:r>
      <w:r w:rsidR="00CB0AD1">
        <w:t>suggest</w:t>
      </w:r>
      <w:r w:rsidR="00941C99">
        <w:t xml:space="preserve"> that the PC puts effort into firming up its</w:t>
      </w:r>
      <w:r w:rsidR="00F45D7C">
        <w:t xml:space="preserve"> recommendations on the constitution of the </w:t>
      </w:r>
      <w:r w:rsidR="00CB0AD1">
        <w:t>panel</w:t>
      </w:r>
      <w:r w:rsidR="00F45D7C">
        <w:t>, and not attempt to be too prescriptive over the criteria that the panel uses in selecting funds</w:t>
      </w:r>
      <w:r w:rsidR="00CB0AD1">
        <w:t xml:space="preserve">. </w:t>
      </w:r>
      <w:r w:rsidR="00B40745">
        <w:t xml:space="preserve">Finally, </w:t>
      </w:r>
      <w:r w:rsidR="00941C99">
        <w:t>an explicit attempt should be made to identify potential unintended consequences as part of the process.</w:t>
      </w:r>
    </w:p>
    <w:p w14:paraId="0ABBAC42" w14:textId="52382203" w:rsidR="00CB0AD1" w:rsidRPr="00833344" w:rsidRDefault="00CB0AD1" w:rsidP="00096FC7">
      <w:pPr>
        <w:spacing w:before="240" w:line="252" w:lineRule="auto"/>
        <w:jc w:val="both"/>
        <w:rPr>
          <w:b/>
          <w:sz w:val="21"/>
          <w:szCs w:val="21"/>
        </w:rPr>
      </w:pPr>
      <w:r w:rsidRPr="00833344">
        <w:rPr>
          <w:b/>
          <w:sz w:val="21"/>
          <w:szCs w:val="21"/>
        </w:rPr>
        <w:t xml:space="preserve">Cleaning Up the Tail as the Main Alternative </w:t>
      </w:r>
    </w:p>
    <w:p w14:paraId="1DC4FA4C" w14:textId="1C01EF10" w:rsidR="005D4256" w:rsidRPr="00833344" w:rsidRDefault="00CB0AD1" w:rsidP="00CB0AD1">
      <w:pPr>
        <w:spacing w:before="180" w:line="252" w:lineRule="auto"/>
        <w:jc w:val="both"/>
        <w:rPr>
          <w:b/>
          <w:i/>
        </w:rPr>
      </w:pPr>
      <w:r>
        <w:t>The performance benchmarking analysis is notable for revealing what appears to be a tail of poorl</w:t>
      </w:r>
      <w:r w:rsidR="00294873">
        <w:t>y performing funds. It</w:t>
      </w:r>
      <w:r>
        <w:t xml:space="preserve"> is not clear that the remainder of the industry is delivering anything different from random variation around their benchmarks. (I discuss this is</w:t>
      </w:r>
      <w:r w:rsidR="00294873">
        <w:t>sue further below). Some of the PC</w:t>
      </w:r>
      <w:r w:rsidR="003A324D">
        <w:t>’s</w:t>
      </w:r>
      <w:r w:rsidR="00294873">
        <w:t xml:space="preserve"> proposals will reinforce</w:t>
      </w:r>
      <w:r>
        <w:t xml:space="preserve"> other regulatory developments </w:t>
      </w:r>
      <w:r w:rsidR="00294873">
        <w:t xml:space="preserve">currently </w:t>
      </w:r>
      <w:r>
        <w:t>underway to rais</w:t>
      </w:r>
      <w:r w:rsidR="00294873">
        <w:t>e the bar for all default funds. These</w:t>
      </w:r>
      <w:r>
        <w:t xml:space="preserve"> </w:t>
      </w:r>
      <w:r w:rsidR="00294873">
        <w:t>relate</w:t>
      </w:r>
      <w:r w:rsidR="002E3984">
        <w:t xml:space="preserve"> </w:t>
      </w:r>
      <w:r>
        <w:t xml:space="preserve">to the outcomes test, </w:t>
      </w:r>
      <w:proofErr w:type="spellStart"/>
      <w:r>
        <w:t>MySuper</w:t>
      </w:r>
      <w:proofErr w:type="spellEnd"/>
      <w:r>
        <w:t xml:space="preserve"> registration, governance, facilitating and encouraging mergers, and so on. </w:t>
      </w:r>
      <w:r w:rsidR="00294873">
        <w:t>Meanwhile,</w:t>
      </w:r>
      <w:r w:rsidR="00294873" w:rsidRPr="00294873">
        <w:t xml:space="preserve"> </w:t>
      </w:r>
      <w:r w:rsidR="00294873">
        <w:t>anointing a handful of funds has risks and as well as benefits</w:t>
      </w:r>
      <w:r w:rsidR="002E164A">
        <w:t xml:space="preserve">, related to </w:t>
      </w:r>
      <w:r>
        <w:t xml:space="preserve">the difficulty of identifying the ‘best’ funds, and </w:t>
      </w:r>
      <w:r w:rsidR="002E164A">
        <w:t xml:space="preserve">the </w:t>
      </w:r>
      <w:r>
        <w:t>poss</w:t>
      </w:r>
      <w:r w:rsidR="002E164A">
        <w:t>ibility unintended consequences. I discuss</w:t>
      </w:r>
      <w:r>
        <w:t xml:space="preserve"> both of</w:t>
      </w:r>
      <w:r w:rsidR="002E164A">
        <w:t xml:space="preserve"> these matters below</w:t>
      </w:r>
      <w:r>
        <w:t>.</w:t>
      </w:r>
      <w:r w:rsidR="002E164A">
        <w:t xml:space="preserve"> </w:t>
      </w:r>
      <w:r w:rsidR="002E164A" w:rsidRPr="00833344">
        <w:rPr>
          <w:b/>
          <w:i/>
        </w:rPr>
        <w:t xml:space="preserve">I recommend that the proposal that </w:t>
      </w:r>
      <w:r w:rsidR="003A324D">
        <w:rPr>
          <w:b/>
          <w:i/>
        </w:rPr>
        <w:t xml:space="preserve">a </w:t>
      </w:r>
      <w:r w:rsidR="002E164A" w:rsidRPr="00833344">
        <w:rPr>
          <w:b/>
          <w:i/>
        </w:rPr>
        <w:t>panel b</w:t>
      </w:r>
      <w:r w:rsidR="003A324D">
        <w:rPr>
          <w:b/>
          <w:i/>
        </w:rPr>
        <w:t>e appointed to select a set of best-in-class</w:t>
      </w:r>
      <w:r w:rsidR="002E164A" w:rsidRPr="00833344">
        <w:rPr>
          <w:b/>
          <w:i/>
        </w:rPr>
        <w:t xml:space="preserve"> fund</w:t>
      </w:r>
      <w:r w:rsidR="003A324D">
        <w:rPr>
          <w:b/>
          <w:i/>
        </w:rPr>
        <w:t>s</w:t>
      </w:r>
      <w:r w:rsidR="002E164A" w:rsidRPr="00833344">
        <w:rPr>
          <w:b/>
          <w:i/>
        </w:rPr>
        <w:t xml:space="preserve"> be evaluated against the alternative of relying on other measures to clean up the tail</w:t>
      </w:r>
      <w:r w:rsidRPr="00833344">
        <w:rPr>
          <w:b/>
          <w:i/>
        </w:rPr>
        <w:t xml:space="preserve"> </w:t>
      </w:r>
      <w:r w:rsidR="002E164A" w:rsidRPr="00833344">
        <w:rPr>
          <w:b/>
          <w:i/>
        </w:rPr>
        <w:t>of underperformers.</w:t>
      </w:r>
      <w:r w:rsidR="005D4256" w:rsidRPr="00833344">
        <w:rPr>
          <w:b/>
          <w:i/>
        </w:rPr>
        <w:t xml:space="preserve">  </w:t>
      </w:r>
    </w:p>
    <w:p w14:paraId="376E7953" w14:textId="3533DBD1" w:rsidR="00562FAA" w:rsidRPr="001F77C9" w:rsidRDefault="00562FAA" w:rsidP="00096FC7">
      <w:pPr>
        <w:spacing w:before="240" w:line="252" w:lineRule="auto"/>
        <w:jc w:val="both"/>
        <w:rPr>
          <w:b/>
          <w:sz w:val="21"/>
          <w:szCs w:val="21"/>
        </w:rPr>
      </w:pPr>
      <w:r w:rsidRPr="001F77C9">
        <w:rPr>
          <w:b/>
          <w:sz w:val="21"/>
          <w:szCs w:val="21"/>
        </w:rPr>
        <w:t>Unintended C</w:t>
      </w:r>
      <w:r w:rsidR="005D4256" w:rsidRPr="001F77C9">
        <w:rPr>
          <w:b/>
          <w:sz w:val="21"/>
          <w:szCs w:val="21"/>
        </w:rPr>
        <w:t>onsequences</w:t>
      </w:r>
    </w:p>
    <w:p w14:paraId="1C5552C7" w14:textId="486D6FEC" w:rsidR="003437D6" w:rsidRDefault="003437D6" w:rsidP="003437D6">
      <w:pPr>
        <w:spacing w:before="180" w:line="252" w:lineRule="auto"/>
        <w:jc w:val="both"/>
      </w:pPr>
      <w:r>
        <w:t xml:space="preserve">Any major policy </w:t>
      </w:r>
      <w:r w:rsidR="00DF038A">
        <w:t>change</w:t>
      </w:r>
      <w:r>
        <w:t xml:space="preserve"> bring</w:t>
      </w:r>
      <w:r w:rsidR="00DF038A">
        <w:t>s</w:t>
      </w:r>
      <w:r>
        <w:t xml:space="preserve"> the possibility of unintended consequences. </w:t>
      </w:r>
      <w:r w:rsidR="00B40745">
        <w:rPr>
          <w:b/>
          <w:i/>
        </w:rPr>
        <w:t xml:space="preserve">I suggest that </w:t>
      </w:r>
      <w:r w:rsidRPr="003437D6">
        <w:rPr>
          <w:b/>
          <w:i/>
        </w:rPr>
        <w:t>the PC formally engage</w:t>
      </w:r>
      <w:r w:rsidR="00B40745">
        <w:rPr>
          <w:b/>
          <w:i/>
        </w:rPr>
        <w:t>s</w:t>
      </w:r>
      <w:r w:rsidRPr="003437D6">
        <w:rPr>
          <w:b/>
          <w:i/>
        </w:rPr>
        <w:t xml:space="preserve"> with key stakeholders </w:t>
      </w:r>
      <w:r w:rsidR="00657B5A">
        <w:rPr>
          <w:b/>
          <w:i/>
        </w:rPr>
        <w:t>(</w:t>
      </w:r>
      <w:r w:rsidR="00657B5A" w:rsidRPr="003437D6">
        <w:rPr>
          <w:b/>
          <w:i/>
        </w:rPr>
        <w:t>poss</w:t>
      </w:r>
      <w:r w:rsidR="00713D1D">
        <w:rPr>
          <w:b/>
          <w:i/>
        </w:rPr>
        <w:t>ibly including</w:t>
      </w:r>
      <w:r w:rsidR="00657B5A">
        <w:rPr>
          <w:b/>
          <w:i/>
        </w:rPr>
        <w:t xml:space="preserve"> a workshop)</w:t>
      </w:r>
      <w:r w:rsidR="00657B5A" w:rsidRPr="00BD71B6">
        <w:t xml:space="preserve"> </w:t>
      </w:r>
      <w:r w:rsidR="00B40745" w:rsidRPr="00B40745">
        <w:rPr>
          <w:b/>
          <w:i/>
        </w:rPr>
        <w:t xml:space="preserve">with a view </w:t>
      </w:r>
      <w:r w:rsidR="00657B5A" w:rsidRPr="00B40745">
        <w:rPr>
          <w:b/>
          <w:i/>
        </w:rPr>
        <w:t>to</w:t>
      </w:r>
      <w:r w:rsidR="00657B5A">
        <w:rPr>
          <w:b/>
          <w:i/>
        </w:rPr>
        <w:t xml:space="preserve"> identify</w:t>
      </w:r>
      <w:r w:rsidR="00B40745">
        <w:rPr>
          <w:b/>
          <w:i/>
        </w:rPr>
        <w:t>ing</w:t>
      </w:r>
      <w:r w:rsidRPr="003437D6">
        <w:rPr>
          <w:b/>
          <w:i/>
        </w:rPr>
        <w:t xml:space="preserve"> potential unintended consequences of appointing a panel to select best-in-class funds, </w:t>
      </w:r>
      <w:r w:rsidR="00DF038A">
        <w:rPr>
          <w:b/>
          <w:i/>
        </w:rPr>
        <w:t xml:space="preserve">and </w:t>
      </w:r>
      <w:r w:rsidR="00B40745">
        <w:rPr>
          <w:b/>
          <w:i/>
        </w:rPr>
        <w:t>offer recommendation</w:t>
      </w:r>
      <w:r w:rsidR="00713D1D">
        <w:rPr>
          <w:b/>
          <w:i/>
        </w:rPr>
        <w:t>s</w:t>
      </w:r>
      <w:r w:rsidR="00B40745">
        <w:rPr>
          <w:b/>
          <w:i/>
        </w:rPr>
        <w:t xml:space="preserve"> on </w:t>
      </w:r>
      <w:r w:rsidR="00DF038A">
        <w:rPr>
          <w:b/>
          <w:i/>
        </w:rPr>
        <w:t>how problems</w:t>
      </w:r>
      <w:r w:rsidR="00657B5A">
        <w:rPr>
          <w:b/>
          <w:i/>
        </w:rPr>
        <w:t xml:space="preserve"> might be mitigated. </w:t>
      </w:r>
      <w:r>
        <w:t xml:space="preserve">Below </w:t>
      </w:r>
      <w:r w:rsidR="00BD71B6">
        <w:t xml:space="preserve">are a few </w:t>
      </w:r>
      <w:r>
        <w:t>possibilities that come to mind.</w:t>
      </w:r>
    </w:p>
    <w:p w14:paraId="7F5EC303" w14:textId="2CE1CA54" w:rsidR="005D4256" w:rsidRPr="001F77C9" w:rsidRDefault="00F47381" w:rsidP="00B40745">
      <w:pPr>
        <w:pStyle w:val="ListParagraph"/>
        <w:numPr>
          <w:ilvl w:val="2"/>
          <w:numId w:val="17"/>
        </w:numPr>
        <w:spacing w:before="180" w:line="252" w:lineRule="auto"/>
        <w:ind w:left="274" w:hanging="274"/>
        <w:contextualSpacing w:val="0"/>
        <w:jc w:val="both"/>
      </w:pPr>
      <w:r w:rsidRPr="00F47381">
        <w:rPr>
          <w:i/>
        </w:rPr>
        <w:t xml:space="preserve">There </w:t>
      </w:r>
      <w:r w:rsidR="00DF038A">
        <w:rPr>
          <w:i/>
        </w:rPr>
        <w:t>could remain</w:t>
      </w:r>
      <w:r w:rsidRPr="00F47381">
        <w:rPr>
          <w:i/>
        </w:rPr>
        <w:t xml:space="preserve"> a tail of underperforming </w:t>
      </w:r>
      <w:r w:rsidR="00533FAC" w:rsidRPr="00F47381">
        <w:rPr>
          <w:i/>
        </w:rPr>
        <w:t>funds</w:t>
      </w:r>
      <w:r w:rsidR="00B40745">
        <w:rPr>
          <w:i/>
        </w:rPr>
        <w:t xml:space="preserve"> </w:t>
      </w:r>
      <w:r>
        <w:t>–</w:t>
      </w:r>
      <w:r w:rsidR="00533FAC" w:rsidRPr="001F77C9">
        <w:t xml:space="preserve"> </w:t>
      </w:r>
      <w:r w:rsidR="00722803">
        <w:t>My comments take a long</w:t>
      </w:r>
      <w:r w:rsidR="00DF038A">
        <w:t>er</w:t>
      </w:r>
      <w:r w:rsidR="00722803">
        <w:t xml:space="preserve">-term view, thinking </w:t>
      </w:r>
      <w:r w:rsidR="00DF038A">
        <w:t xml:space="preserve">what could happen </w:t>
      </w:r>
      <w:r w:rsidR="00722803">
        <w:t xml:space="preserve">10 or 20 years down the track. </w:t>
      </w:r>
      <w:r w:rsidR="007F7B4B">
        <w:t xml:space="preserve">The best-in-class proposal should be </w:t>
      </w:r>
      <w:r w:rsidR="00DF038A">
        <w:t xml:space="preserve">most </w:t>
      </w:r>
      <w:r w:rsidR="007F7B4B">
        <w:t xml:space="preserve">effective if all funds </w:t>
      </w:r>
      <w:r w:rsidR="007F7B4B" w:rsidRPr="001F77C9">
        <w:t>engage in the program</w:t>
      </w:r>
      <w:r w:rsidR="007F7B4B">
        <w:t xml:space="preserve"> by competing to be on the list, or otherwise exiting</w:t>
      </w:r>
      <w:r w:rsidR="007F7B4B" w:rsidRPr="001F77C9">
        <w:t>.</w:t>
      </w:r>
      <w:r w:rsidR="007F7B4B">
        <w:t xml:space="preserve"> There is some risk that</w:t>
      </w:r>
      <w:r w:rsidR="00DF038A">
        <w:t xml:space="preserve"> this does not happen, with</w:t>
      </w:r>
      <w:r w:rsidR="007F7B4B">
        <w:t xml:space="preserve"> a class of funds develop</w:t>
      </w:r>
      <w:r w:rsidR="00DF038A">
        <w:t>ing</w:t>
      </w:r>
      <w:r w:rsidR="007F7B4B">
        <w:t xml:space="preserve"> that do not </w:t>
      </w:r>
      <w:r w:rsidR="00DF038A">
        <w:t xml:space="preserve">compete vigorously. This might occur </w:t>
      </w:r>
      <w:r w:rsidR="007F7B4B">
        <w:t>because</w:t>
      </w:r>
      <w:r w:rsidR="00B40745">
        <w:t xml:space="preserve"> some funds</w:t>
      </w:r>
      <w:r w:rsidR="00DF038A">
        <w:t xml:space="preserve"> consider</w:t>
      </w:r>
      <w:r w:rsidR="007F7B4B">
        <w:t xml:space="preserve"> pursuing </w:t>
      </w:r>
      <w:r w:rsidR="00DF038A">
        <w:t xml:space="preserve">a position on </w:t>
      </w:r>
      <w:r w:rsidR="007F7B4B">
        <w:t>the list as entailing too much cost and effort</w:t>
      </w:r>
      <w:r w:rsidR="00DF038A">
        <w:t>,</w:t>
      </w:r>
      <w:r w:rsidR="007F7B4B">
        <w:t xml:space="preserve"> given the probability of success. For instance, funds with </w:t>
      </w:r>
      <w:r w:rsidR="00B40745">
        <w:t xml:space="preserve">a </w:t>
      </w:r>
      <w:r w:rsidR="007F7B4B">
        <w:t xml:space="preserve">mediocre </w:t>
      </w:r>
      <w:r w:rsidR="00B40745">
        <w:t xml:space="preserve">history of </w:t>
      </w:r>
      <w:r w:rsidR="007F7B4B">
        <w:t xml:space="preserve">performance </w:t>
      </w:r>
      <w:r w:rsidR="00DF038A">
        <w:t>may view themselves as unlikely to be</w:t>
      </w:r>
      <w:r w:rsidR="007F7B4B">
        <w:t xml:space="preserve"> selected, </w:t>
      </w:r>
      <w:r w:rsidR="00B40745">
        <w:t xml:space="preserve">but </w:t>
      </w:r>
      <w:r w:rsidR="007F7B4B">
        <w:t xml:space="preserve">yet </w:t>
      </w:r>
      <w:r w:rsidR="00B40745">
        <w:t xml:space="preserve">are </w:t>
      </w:r>
      <w:r w:rsidR="007F7B4B">
        <w:t xml:space="preserve">not poor enough to justify deregistration. </w:t>
      </w:r>
      <w:r w:rsidR="00DF038A">
        <w:t>Funds in this situation could</w:t>
      </w:r>
      <w:r w:rsidR="007F7B4B">
        <w:t xml:space="preserve"> decide to ‘milk’ their </w:t>
      </w:r>
      <w:r w:rsidR="00E70B1F">
        <w:t xml:space="preserve">existing </w:t>
      </w:r>
      <w:r w:rsidR="007F7B4B">
        <w:t>members</w:t>
      </w:r>
      <w:r w:rsidR="00E70B1F">
        <w:t>, stop innovating</w:t>
      </w:r>
      <w:r w:rsidR="00DF038A">
        <w:t>,</w:t>
      </w:r>
      <w:r w:rsidR="00E70B1F">
        <w:t xml:space="preserve"> and </w:t>
      </w:r>
      <w:r w:rsidR="00B40745">
        <w:t>may move into rundown</w:t>
      </w:r>
      <w:r w:rsidR="00142FFF">
        <w:t xml:space="preserve"> </w:t>
      </w:r>
      <w:r w:rsidR="00B40745">
        <w:t xml:space="preserve">– </w:t>
      </w:r>
      <w:r w:rsidR="00142FFF">
        <w:t>leading to lackluster performance.</w:t>
      </w:r>
      <w:r w:rsidR="00E70B1F">
        <w:t xml:space="preserve"> </w:t>
      </w:r>
      <w:r w:rsidR="00931F9C">
        <w:t xml:space="preserve">There are </w:t>
      </w:r>
      <w:r w:rsidR="00E70B1F">
        <w:t xml:space="preserve">also </w:t>
      </w:r>
      <w:r w:rsidR="00931F9C">
        <w:t>dangers in the a</w:t>
      </w:r>
      <w:r w:rsidR="00931F9C" w:rsidRPr="001F77C9">
        <w:t>ssumption that a ‘best’ fund for now is a place to be for life</w:t>
      </w:r>
      <w:r w:rsidR="00B40745">
        <w:t>, noting</w:t>
      </w:r>
      <w:r w:rsidR="00931F9C">
        <w:t xml:space="preserve"> that once assigned</w:t>
      </w:r>
      <w:r w:rsidR="00B40745">
        <w:t>,</w:t>
      </w:r>
      <w:r w:rsidR="00931F9C">
        <w:t xml:space="preserve"> </w:t>
      </w:r>
      <w:r w:rsidR="00B40745">
        <w:t>m</w:t>
      </w:r>
      <w:r w:rsidR="00931F9C">
        <w:t xml:space="preserve">any default members will not </w:t>
      </w:r>
      <w:r w:rsidR="00722803">
        <w:t xml:space="preserve">willingly </w:t>
      </w:r>
      <w:r w:rsidR="00931F9C">
        <w:t>switch</w:t>
      </w:r>
      <w:r w:rsidR="00142FFF">
        <w:t xml:space="preserve"> funds</w:t>
      </w:r>
      <w:r w:rsidR="00931F9C">
        <w:t xml:space="preserve">. </w:t>
      </w:r>
      <w:r w:rsidR="00713D1D">
        <w:t>G</w:t>
      </w:r>
      <w:r w:rsidR="00142FFF">
        <w:t>ood f</w:t>
      </w:r>
      <w:r w:rsidR="00931F9C">
        <w:t xml:space="preserve">unds may become poor </w:t>
      </w:r>
      <w:r w:rsidR="00142FFF">
        <w:t xml:space="preserve">funds </w:t>
      </w:r>
      <w:r w:rsidR="00931F9C">
        <w:t xml:space="preserve">over time </w:t>
      </w:r>
      <w:r w:rsidR="00722803">
        <w:t>for variety</w:t>
      </w:r>
      <w:r w:rsidR="00931F9C">
        <w:t xml:space="preserve"> of reasons</w:t>
      </w:r>
      <w:r w:rsidR="00E70B1F">
        <w:t>, e.g.</w:t>
      </w:r>
      <w:r w:rsidR="00722803">
        <w:t xml:space="preserve"> </w:t>
      </w:r>
      <w:r w:rsidR="00E70B1F">
        <w:t>change in m</w:t>
      </w:r>
      <w:r w:rsidR="00722803">
        <w:t>anagement for the worse</w:t>
      </w:r>
      <w:r w:rsidR="00142FFF">
        <w:t xml:space="preserve">, or a </w:t>
      </w:r>
      <w:r w:rsidR="00E70B1F">
        <w:t xml:space="preserve">change </w:t>
      </w:r>
      <w:r w:rsidR="00142FFF">
        <w:t xml:space="preserve">in behavior if they </w:t>
      </w:r>
      <w:r w:rsidR="00E70B1F">
        <w:t xml:space="preserve">become a </w:t>
      </w:r>
      <w:r w:rsidR="00142FFF">
        <w:t xml:space="preserve">fund that ‘once was’ on the best-in-class list. The aim should </w:t>
      </w:r>
      <w:r w:rsidR="00E70B1F">
        <w:t xml:space="preserve">be to build </w:t>
      </w:r>
      <w:r w:rsidR="00B40745">
        <w:t xml:space="preserve">in </w:t>
      </w:r>
      <w:r w:rsidR="00142FFF">
        <w:t>mechanism</w:t>
      </w:r>
      <w:r w:rsidR="00B40745">
        <w:t xml:space="preserve">s </w:t>
      </w:r>
      <w:r w:rsidR="00E70B1F">
        <w:t>that</w:t>
      </w:r>
      <w:r w:rsidR="00B40745">
        <w:t xml:space="preserve"> </w:t>
      </w:r>
      <w:proofErr w:type="spellStart"/>
      <w:r w:rsidR="00B40745">
        <w:t>incentivis</w:t>
      </w:r>
      <w:r w:rsidR="00142FFF">
        <w:t>e</w:t>
      </w:r>
      <w:proofErr w:type="spellEnd"/>
      <w:r w:rsidR="00142FFF">
        <w:t xml:space="preserve"> all funds to </w:t>
      </w:r>
      <w:r w:rsidR="00B40745">
        <w:t>keep trying, and cull those that</w:t>
      </w:r>
      <w:r w:rsidR="00142FFF">
        <w:t xml:space="preserve"> do not</w:t>
      </w:r>
      <w:r w:rsidR="00E70B1F">
        <w:t xml:space="preserve">. Raising the bar for </w:t>
      </w:r>
      <w:proofErr w:type="spellStart"/>
      <w:r w:rsidR="00E70B1F">
        <w:t>MySuper</w:t>
      </w:r>
      <w:proofErr w:type="spellEnd"/>
      <w:r w:rsidR="00E70B1F">
        <w:t xml:space="preserve"> registration will play an important role</w:t>
      </w:r>
      <w:r w:rsidR="00B40745">
        <w:t>. This</w:t>
      </w:r>
      <w:r w:rsidR="00142FFF">
        <w:t xml:space="preserve"> can act as a </w:t>
      </w:r>
      <w:r w:rsidR="00E70B1F">
        <w:t xml:space="preserve">stick that </w:t>
      </w:r>
      <w:r w:rsidR="00142FFF">
        <w:t xml:space="preserve">accompanies </w:t>
      </w:r>
      <w:r w:rsidR="00E70B1F">
        <w:t>the carrot</w:t>
      </w:r>
      <w:r w:rsidR="00142FFF">
        <w:t xml:space="preserve"> of being selected for the list, and provides </w:t>
      </w:r>
      <w:r w:rsidR="00713D1D">
        <w:t xml:space="preserve">one means </w:t>
      </w:r>
      <w:r w:rsidR="00142FFF">
        <w:t>for weeding out poor performers</w:t>
      </w:r>
      <w:r w:rsidR="00E70B1F">
        <w:t xml:space="preserve">. Encouraging mergers may also play an important role, given that it is more likely that some funds </w:t>
      </w:r>
      <w:r w:rsidR="00142FFF">
        <w:t>will give up trying i</w:t>
      </w:r>
      <w:r w:rsidR="00E70B1F">
        <w:t>f they</w:t>
      </w:r>
      <w:r w:rsidR="00142FFF">
        <w:t xml:space="preserve"> are one of very la</w:t>
      </w:r>
      <w:r w:rsidR="00B40745">
        <w:t>rge group competing for a limited number of</w:t>
      </w:r>
      <w:r w:rsidR="00142FFF">
        <w:t xml:space="preserve"> spots</w:t>
      </w:r>
      <w:r w:rsidR="00722803">
        <w:t>.</w:t>
      </w:r>
    </w:p>
    <w:p w14:paraId="14125FA2" w14:textId="30FF13B5" w:rsidR="00BD71B6" w:rsidRDefault="001A0C33" w:rsidP="00B40745">
      <w:pPr>
        <w:pStyle w:val="ListParagraph"/>
        <w:numPr>
          <w:ilvl w:val="2"/>
          <w:numId w:val="17"/>
        </w:numPr>
        <w:spacing w:before="180" w:line="252" w:lineRule="auto"/>
        <w:ind w:left="274" w:hanging="274"/>
        <w:contextualSpacing w:val="0"/>
        <w:jc w:val="both"/>
      </w:pPr>
      <w:r>
        <w:rPr>
          <w:i/>
        </w:rPr>
        <w:t xml:space="preserve">Impacts from product-based </w:t>
      </w:r>
      <w:r w:rsidRPr="001A0C33">
        <w:rPr>
          <w:i/>
        </w:rPr>
        <w:t>competition</w:t>
      </w:r>
      <w:r>
        <w:t xml:space="preserve"> – </w:t>
      </w:r>
      <w:r w:rsidR="00272C40">
        <w:t xml:space="preserve">The ‘best-in-class’ proposal </w:t>
      </w:r>
      <w:r w:rsidR="00142FFF">
        <w:t>will have the effect of positioning</w:t>
      </w:r>
      <w:r w:rsidR="00272C40">
        <w:t xml:space="preserve"> </w:t>
      </w:r>
      <w:r w:rsidR="00142FFF">
        <w:t xml:space="preserve">both panel members and </w:t>
      </w:r>
      <w:r w:rsidR="00272C40">
        <w:t xml:space="preserve">default members </w:t>
      </w:r>
      <w:r w:rsidR="005D4256" w:rsidRPr="001F77C9">
        <w:t xml:space="preserve">as customers to be won over. </w:t>
      </w:r>
      <w:r w:rsidR="00142FFF">
        <w:t>This is not so much of an issue at the panel level, providing it is wel</w:t>
      </w:r>
      <w:r w:rsidR="00B40745">
        <w:t>l constituted (discussed below)</w:t>
      </w:r>
      <w:r w:rsidR="00142FFF">
        <w:t>. However, it might cause issue</w:t>
      </w:r>
      <w:r w:rsidR="00B40745">
        <w:t>s</w:t>
      </w:r>
      <w:r w:rsidR="00142FFF">
        <w:t xml:space="preserve"> at the member level, where </w:t>
      </w:r>
      <w:r w:rsidR="00272C40">
        <w:t xml:space="preserve">funds who </w:t>
      </w:r>
      <w:r w:rsidR="00B40745">
        <w:t xml:space="preserve">are selected </w:t>
      </w:r>
      <w:r w:rsidR="00142FFF">
        <w:t>will be aiming to get default m</w:t>
      </w:r>
      <w:r w:rsidR="00272C40">
        <w:t>embers to choose</w:t>
      </w:r>
      <w:r w:rsidR="00142FFF">
        <w:t xml:space="preserve"> them out of a list of</w:t>
      </w:r>
      <w:r w:rsidR="00272C40">
        <w:t xml:space="preserve"> names. One consequence is that t</w:t>
      </w:r>
      <w:r w:rsidR="005D4256" w:rsidRPr="001F77C9">
        <w:t>he</w:t>
      </w:r>
      <w:r w:rsidR="00142FFF">
        <w:t>se funds might</w:t>
      </w:r>
      <w:r w:rsidR="00272C40">
        <w:t xml:space="preserve"> ramp</w:t>
      </w:r>
      <w:r w:rsidR="005D4256" w:rsidRPr="001F77C9">
        <w:t xml:space="preserve"> up </w:t>
      </w:r>
      <w:r w:rsidR="00142FFF">
        <w:t xml:space="preserve">their </w:t>
      </w:r>
      <w:r w:rsidR="005D4256" w:rsidRPr="001F77C9">
        <w:t>brand marketing</w:t>
      </w:r>
      <w:r w:rsidR="00272C40">
        <w:t xml:space="preserve">, </w:t>
      </w:r>
      <w:r w:rsidR="00142FFF">
        <w:t xml:space="preserve">or </w:t>
      </w:r>
      <w:r w:rsidR="005731CF">
        <w:t xml:space="preserve">even </w:t>
      </w:r>
      <w:r w:rsidR="00142FFF">
        <w:t xml:space="preserve">offer incentives </w:t>
      </w:r>
      <w:r w:rsidR="005731CF">
        <w:t xml:space="preserve">for selection. </w:t>
      </w:r>
      <w:r w:rsidR="00272C40">
        <w:t xml:space="preserve">Another risk is that </w:t>
      </w:r>
      <w:r w:rsidR="005731CF">
        <w:t xml:space="preserve">positioning </w:t>
      </w:r>
      <w:r w:rsidR="00272C40">
        <w:t xml:space="preserve">default funds as a product </w:t>
      </w:r>
      <w:r w:rsidR="005731CF">
        <w:t xml:space="preserve">to be sold </w:t>
      </w:r>
      <w:r w:rsidR="00272C40">
        <w:t>run</w:t>
      </w:r>
      <w:r w:rsidR="00E160F8">
        <w:t>s</w:t>
      </w:r>
      <w:r w:rsidR="00272C40">
        <w:t xml:space="preserve"> co</w:t>
      </w:r>
      <w:r w:rsidR="005731CF">
        <w:t>unter to the notion that default members need</w:t>
      </w:r>
      <w:r w:rsidR="00272C40">
        <w:t xml:space="preserve"> stewardship</w:t>
      </w:r>
      <w:r w:rsidR="0035171D">
        <w:t>, rather than just</w:t>
      </w:r>
      <w:r w:rsidR="005731CF">
        <w:t xml:space="preserve"> be</w:t>
      </w:r>
      <w:r w:rsidR="0035171D">
        <w:t>ing</w:t>
      </w:r>
      <w:r w:rsidR="005731CF">
        <w:t xml:space="preserve"> </w:t>
      </w:r>
      <w:r w:rsidR="0035171D">
        <w:t>viewed</w:t>
      </w:r>
      <w:r w:rsidR="005731CF">
        <w:t xml:space="preserve"> as customers. S</w:t>
      </w:r>
      <w:r w:rsidR="00E160F8">
        <w:t xml:space="preserve">ome funds currently have an element </w:t>
      </w:r>
      <w:r w:rsidR="0035171D">
        <w:t xml:space="preserve">of </w:t>
      </w:r>
      <w:r w:rsidR="005D4256" w:rsidRPr="001F77C9">
        <w:t>alignment and connection with members</w:t>
      </w:r>
      <w:r w:rsidR="00E160F8">
        <w:t>, and this would be</w:t>
      </w:r>
      <w:r w:rsidR="0035171D">
        <w:t>come</w:t>
      </w:r>
      <w:r w:rsidR="00E160F8">
        <w:t xml:space="preserve"> lost over time. While some of these consequences are unavoidable, </w:t>
      </w:r>
      <w:r w:rsidR="0035171D">
        <w:t xml:space="preserve">the basis of </w:t>
      </w:r>
      <w:r w:rsidR="005731CF">
        <w:t>competition</w:t>
      </w:r>
      <w:r w:rsidR="0035171D">
        <w:t xml:space="preserve"> </w:t>
      </w:r>
      <w:r w:rsidR="00713D1D">
        <w:t xml:space="preserve">can be strengthened </w:t>
      </w:r>
      <w:r w:rsidR="0035171D">
        <w:t>through the type of informat</w:t>
      </w:r>
      <w:r w:rsidR="00713D1D">
        <w:t>ion that is made available to members when</w:t>
      </w:r>
      <w:r w:rsidR="0035171D">
        <w:t xml:space="preserve"> making their selection</w:t>
      </w:r>
      <w:r w:rsidR="00713D1D">
        <w:t xml:space="preserve"> (as the PC </w:t>
      </w:r>
      <w:proofErr w:type="spellStart"/>
      <w:r w:rsidR="00713D1D">
        <w:t>recognises</w:t>
      </w:r>
      <w:proofErr w:type="spellEnd"/>
      <w:r w:rsidR="00713D1D">
        <w:t>)</w:t>
      </w:r>
      <w:r w:rsidR="0035171D">
        <w:t xml:space="preserve">. One </w:t>
      </w:r>
      <w:r w:rsidR="00713D1D">
        <w:t xml:space="preserve">additional </w:t>
      </w:r>
      <w:r w:rsidR="0035171D">
        <w:t>idea is to make</w:t>
      </w:r>
      <w:r w:rsidR="00E160F8">
        <w:t xml:space="preserve"> </w:t>
      </w:r>
      <w:r w:rsidR="006240EE" w:rsidRPr="001F77C9">
        <w:t>reports</w:t>
      </w:r>
      <w:r w:rsidR="005731CF">
        <w:rPr>
          <w:rStyle w:val="FootnoteReference"/>
        </w:rPr>
        <w:footnoteReference w:id="2"/>
      </w:r>
      <w:r w:rsidR="006240EE" w:rsidRPr="001F77C9">
        <w:t xml:space="preserve"> </w:t>
      </w:r>
      <w:r w:rsidR="0035171D">
        <w:t xml:space="preserve">on the funds </w:t>
      </w:r>
      <w:r w:rsidR="006240EE" w:rsidRPr="001F77C9">
        <w:t xml:space="preserve">available, so </w:t>
      </w:r>
      <w:r w:rsidR="0035171D">
        <w:t>that members at least h</w:t>
      </w:r>
      <w:r w:rsidR="005731CF">
        <w:t>ave</w:t>
      </w:r>
      <w:r w:rsidR="006240EE" w:rsidRPr="001F77C9">
        <w:t xml:space="preserve"> access </w:t>
      </w:r>
      <w:r w:rsidR="005731CF">
        <w:t xml:space="preserve">to </w:t>
      </w:r>
      <w:r w:rsidR="0035171D">
        <w:t>rich</w:t>
      </w:r>
      <w:r w:rsidR="005731CF">
        <w:t xml:space="preserve"> </w:t>
      </w:r>
      <w:r w:rsidR="00A00A0D">
        <w:t>information</w:t>
      </w:r>
      <w:r w:rsidR="006240EE" w:rsidRPr="001F77C9">
        <w:t>.</w:t>
      </w:r>
    </w:p>
    <w:p w14:paraId="789D5C84" w14:textId="472076DE" w:rsidR="001C4633" w:rsidRDefault="00BD71B6" w:rsidP="00B40745">
      <w:pPr>
        <w:pStyle w:val="ListParagraph"/>
        <w:numPr>
          <w:ilvl w:val="2"/>
          <w:numId w:val="17"/>
        </w:numPr>
        <w:spacing w:before="180" w:line="252" w:lineRule="auto"/>
        <w:ind w:left="274" w:hanging="274"/>
        <w:contextualSpacing w:val="0"/>
        <w:jc w:val="both"/>
      </w:pPr>
      <w:proofErr w:type="spellStart"/>
      <w:r w:rsidRPr="00BD71B6">
        <w:rPr>
          <w:i/>
        </w:rPr>
        <w:lastRenderedPageBreak/>
        <w:t>Behavioural</w:t>
      </w:r>
      <w:proofErr w:type="spellEnd"/>
      <w:r w:rsidRPr="00BD71B6">
        <w:rPr>
          <w:i/>
        </w:rPr>
        <w:t xml:space="preserve"> </w:t>
      </w:r>
      <w:r>
        <w:rPr>
          <w:i/>
        </w:rPr>
        <w:t xml:space="preserve">responses </w:t>
      </w:r>
      <w:r w:rsidRPr="00BD71B6">
        <w:t xml:space="preserve">– </w:t>
      </w:r>
      <w:r w:rsidR="00DB39A2">
        <w:t xml:space="preserve">A best-in-class system might </w:t>
      </w:r>
      <w:r>
        <w:t xml:space="preserve">elicit </w:t>
      </w:r>
      <w:r w:rsidR="00DB39A2">
        <w:t xml:space="preserve">some </w:t>
      </w:r>
      <w:proofErr w:type="spellStart"/>
      <w:r>
        <w:t>behavioural</w:t>
      </w:r>
      <w:proofErr w:type="spellEnd"/>
      <w:r>
        <w:t xml:space="preserve"> re</w:t>
      </w:r>
      <w:r w:rsidR="00DB39A2">
        <w:t>sponses</w:t>
      </w:r>
      <w:r>
        <w:t xml:space="preserve"> from</w:t>
      </w:r>
      <w:r w:rsidRPr="001F77C9">
        <w:t xml:space="preserve"> funds, </w:t>
      </w:r>
      <w:r>
        <w:t xml:space="preserve">the panel and </w:t>
      </w:r>
      <w:r w:rsidRPr="001F77C9">
        <w:t>members</w:t>
      </w:r>
      <w:r w:rsidR="00DB39A2">
        <w:t xml:space="preserve"> tha</w:t>
      </w:r>
      <w:r w:rsidR="005731CF">
        <w:t>t</w:t>
      </w:r>
      <w:r w:rsidR="00DB39A2">
        <w:t xml:space="preserve"> could have adverse effects</w:t>
      </w:r>
      <w:r w:rsidRPr="001F77C9">
        <w:t xml:space="preserve">. For instance, </w:t>
      </w:r>
      <w:r>
        <w:t xml:space="preserve">funds may be </w:t>
      </w:r>
      <w:proofErr w:type="spellStart"/>
      <w:r>
        <w:t>incentivised</w:t>
      </w:r>
      <w:proofErr w:type="spellEnd"/>
      <w:r>
        <w:t xml:space="preserve"> to take</w:t>
      </w:r>
      <w:r w:rsidRPr="001F77C9">
        <w:t xml:space="preserve"> too much risk, or </w:t>
      </w:r>
      <w:r w:rsidR="00713D1D">
        <w:t>alternatively become</w:t>
      </w:r>
      <w:r>
        <w:t xml:space="preserve"> unwilling to take </w:t>
      </w:r>
      <w:r w:rsidR="0035171D">
        <w:t xml:space="preserve">appropriate </w:t>
      </w:r>
      <w:r w:rsidRPr="001F77C9">
        <w:t>risk</w:t>
      </w:r>
      <w:r w:rsidR="0035171D">
        <w:t xml:space="preserve">s </w:t>
      </w:r>
      <w:r w:rsidR="00713D1D">
        <w:t>and/</w:t>
      </w:r>
      <w:r w:rsidR="0035171D">
        <w:t xml:space="preserve">or start herding, </w:t>
      </w:r>
      <w:r>
        <w:t xml:space="preserve">with a view to either </w:t>
      </w:r>
      <w:r w:rsidRPr="001F77C9">
        <w:t>g</w:t>
      </w:r>
      <w:r>
        <w:t>etting on the list or securing their position</w:t>
      </w:r>
      <w:r w:rsidRPr="001F77C9">
        <w:t>.</w:t>
      </w:r>
      <w:r w:rsidR="00365E03">
        <w:t xml:space="preserve"> (I make comments on how benchmarks could act as anchors further below.) </w:t>
      </w:r>
      <w:r>
        <w:t>The p</w:t>
      </w:r>
      <w:r w:rsidRPr="001F77C9">
        <w:t xml:space="preserve">anel </w:t>
      </w:r>
      <w:r w:rsidR="00713D1D">
        <w:t>may focus</w:t>
      </w:r>
      <w:r>
        <w:t xml:space="preserve"> on </w:t>
      </w:r>
      <w:r w:rsidRPr="001F77C9">
        <w:t>managing its own reputation</w:t>
      </w:r>
      <w:r>
        <w:t xml:space="preserve"> in the way it </w:t>
      </w:r>
      <w:r w:rsidR="00657B5A">
        <w:t>selects funds</w:t>
      </w:r>
      <w:r w:rsidR="00713D1D">
        <w:t xml:space="preserve">, </w:t>
      </w:r>
      <w:r>
        <w:t xml:space="preserve">making conservative choices that </w:t>
      </w:r>
      <w:r w:rsidR="00DB39A2">
        <w:t xml:space="preserve">in turn </w:t>
      </w:r>
      <w:r>
        <w:t>hamper innovation</w:t>
      </w:r>
      <w:r w:rsidR="00DB39A2">
        <w:t xml:space="preserve"> and act as a disincentive to non-mainstream operators</w:t>
      </w:r>
      <w:r w:rsidR="00713D1D">
        <w:t xml:space="preserve"> and new entrants. </w:t>
      </w:r>
      <w:r w:rsidR="007536AA">
        <w:t xml:space="preserve">Related to this is the </w:t>
      </w:r>
      <w:r w:rsidR="0035171D">
        <w:t>risk that the panel cha</w:t>
      </w:r>
      <w:r w:rsidR="007536AA">
        <w:t>ses</w:t>
      </w:r>
      <w:r w:rsidR="0035171D">
        <w:t xml:space="preserve"> performance,</w:t>
      </w:r>
      <w:r w:rsidR="007536AA">
        <w:t xml:space="preserve"> which only works if persistence exists, and can be dangerous under mean reversion.</w:t>
      </w:r>
      <w:r w:rsidR="0035171D">
        <w:t xml:space="preserve"> </w:t>
      </w:r>
      <w:r>
        <w:t xml:space="preserve">How </w:t>
      </w:r>
      <w:r w:rsidRPr="001F77C9">
        <w:t xml:space="preserve">members </w:t>
      </w:r>
      <w:r>
        <w:t xml:space="preserve">actually </w:t>
      </w:r>
      <w:r w:rsidRPr="001F77C9">
        <w:t xml:space="preserve">respond </w:t>
      </w:r>
      <w:r>
        <w:t xml:space="preserve">in the face of </w:t>
      </w:r>
      <w:r w:rsidRPr="001F77C9">
        <w:t>choice</w:t>
      </w:r>
      <w:r>
        <w:t xml:space="preserve"> is also a moot point</w:t>
      </w:r>
      <w:r w:rsidRPr="001F77C9">
        <w:t>.</w:t>
      </w:r>
      <w:r w:rsidR="005731CF">
        <w:t xml:space="preserve"> While the PC has done some useful choice experiments, they might want to investigate this angle further and extend it to considering potential </w:t>
      </w:r>
      <w:proofErr w:type="spellStart"/>
      <w:r w:rsidR="005731CF">
        <w:t>behavioural</w:t>
      </w:r>
      <w:proofErr w:type="spellEnd"/>
      <w:r w:rsidR="005731CF">
        <w:t xml:space="preserve"> responses from the funds and the panel.</w:t>
      </w:r>
    </w:p>
    <w:p w14:paraId="338CB974" w14:textId="22AB284B" w:rsidR="00B40745" w:rsidRPr="00833344" w:rsidRDefault="00B40745" w:rsidP="00B40745">
      <w:pPr>
        <w:spacing w:before="240" w:line="252" w:lineRule="auto"/>
        <w:jc w:val="both"/>
        <w:rPr>
          <w:b/>
          <w:sz w:val="21"/>
          <w:szCs w:val="21"/>
        </w:rPr>
      </w:pPr>
      <w:r>
        <w:rPr>
          <w:b/>
          <w:sz w:val="21"/>
          <w:szCs w:val="21"/>
        </w:rPr>
        <w:t xml:space="preserve">Identifying </w:t>
      </w:r>
      <w:r w:rsidRPr="00833344">
        <w:rPr>
          <w:b/>
          <w:sz w:val="21"/>
          <w:szCs w:val="21"/>
        </w:rPr>
        <w:t>Best-in-Class Funds</w:t>
      </w:r>
      <w:r w:rsidR="007536AA">
        <w:rPr>
          <w:b/>
          <w:sz w:val="21"/>
          <w:szCs w:val="21"/>
        </w:rPr>
        <w:t xml:space="preserve"> and Constitution of the Panel</w:t>
      </w:r>
    </w:p>
    <w:p w14:paraId="38B35D20" w14:textId="2423D711" w:rsidR="00B40745" w:rsidRDefault="00B40745" w:rsidP="00B40745">
      <w:pPr>
        <w:spacing w:before="180" w:line="252" w:lineRule="auto"/>
        <w:jc w:val="both"/>
      </w:pPr>
      <w:r>
        <w:t xml:space="preserve">The task that any panel will need to undertake is similar to the selection of investment managers as currently conducted by asset owners like the superannuation funds themselves, asset </w:t>
      </w:r>
      <w:r w:rsidR="00713D1D">
        <w:t xml:space="preserve">consultants and research houses. In addition, </w:t>
      </w:r>
      <w:r w:rsidR="007536AA">
        <w:t>superannuation research houses</w:t>
      </w:r>
      <w:r>
        <w:t xml:space="preserve"> </w:t>
      </w:r>
      <w:r w:rsidR="00713D1D">
        <w:t>and tender consultants have been conducting</w:t>
      </w:r>
      <w:r>
        <w:t xml:space="preserve"> tenders in the corporat</w:t>
      </w:r>
      <w:r w:rsidR="00713D1D">
        <w:t>e superannuation segment</w:t>
      </w:r>
      <w:r>
        <w:t xml:space="preserve"> over the years. </w:t>
      </w:r>
      <w:r w:rsidR="007536AA">
        <w:t>As I will describe below, the selection task should be viewed as</w:t>
      </w:r>
      <w:r>
        <w:t xml:space="preserve"> inherently subjective</w:t>
      </w:r>
      <w:r w:rsidR="007536AA">
        <w:t xml:space="preserve">. It </w:t>
      </w:r>
      <w:r>
        <w:t>larg</w:t>
      </w:r>
      <w:r w:rsidR="007536AA">
        <w:t>ely relies</w:t>
      </w:r>
      <w:r>
        <w:t xml:space="preserve"> on judgement, and is only vaguely informed by historical performance and other quantitative metrics. Picking the ‘best’ funds going forward is, quite frankly, hard. </w:t>
      </w:r>
    </w:p>
    <w:p w14:paraId="54086120" w14:textId="000FEF01" w:rsidR="00B40745" w:rsidRDefault="00B40745" w:rsidP="00B40745">
      <w:pPr>
        <w:spacing w:before="180" w:line="252" w:lineRule="auto"/>
        <w:jc w:val="both"/>
      </w:pPr>
      <w:r>
        <w:t>Research on the success of the ‘craft’ of manager selection is limited. But what there is suggests no guarantee of success,</w:t>
      </w:r>
      <w:r>
        <w:rPr>
          <w:rStyle w:val="FootnoteReference"/>
        </w:rPr>
        <w:footnoteReference w:id="3"/>
      </w:r>
      <w:r>
        <w:t xml:space="preserve"> and underlines the difficulty of the task. It also contains a strong hint that behavioral influences are at play, including the fact that chasing performance is hard to resist</w:t>
      </w:r>
      <w:r w:rsidR="00F00964">
        <w:t xml:space="preserve"> and may lead to adverse outcomes</w:t>
      </w:r>
      <w:r>
        <w:t xml:space="preserve">. Hope that a panel process will lead to default members being allocated to top-performing funds going forward could easily prove disappointing. Nevertheless, creating a panel to select funds </w:t>
      </w:r>
      <w:r w:rsidRPr="002E164A">
        <w:rPr>
          <w:i/>
          <w:u w:val="single"/>
        </w:rPr>
        <w:t>will</w:t>
      </w:r>
      <w:r>
        <w:t xml:space="preserve"> create competitive tension in the market. It should also help members </w:t>
      </w:r>
      <w:r w:rsidR="007536AA">
        <w:t xml:space="preserve">to </w:t>
      </w:r>
      <w:r>
        <w:t xml:space="preserve">avoid poor funds. And it is better than what is currently an allocation process that is somewhat of a lucky dip. It might be justified based on </w:t>
      </w:r>
      <w:r w:rsidR="007536AA">
        <w:t xml:space="preserve">all </w:t>
      </w:r>
      <w:r>
        <w:t xml:space="preserve">these considerations. The question is how to design the selection process to </w:t>
      </w:r>
      <w:proofErr w:type="spellStart"/>
      <w:r w:rsidR="007536AA">
        <w:t>maximis</w:t>
      </w:r>
      <w:r>
        <w:t>e</w:t>
      </w:r>
      <w:proofErr w:type="spellEnd"/>
      <w:r>
        <w:t xml:space="preserve"> the chance of better member outcomes. </w:t>
      </w:r>
    </w:p>
    <w:p w14:paraId="6082F3EC" w14:textId="282E73DF" w:rsidR="00B40745" w:rsidRDefault="00B40745" w:rsidP="00B40745">
      <w:pPr>
        <w:spacing w:before="180" w:line="252" w:lineRule="auto"/>
        <w:jc w:val="both"/>
      </w:pPr>
      <w:r>
        <w:t>How manager selection is undertaken provides helpful</w:t>
      </w:r>
      <w:r w:rsidR="00713D1D">
        <w:t xml:space="preserve"> background. Doug Foster (now at</w:t>
      </w:r>
      <w:r>
        <w:t xml:space="preserve"> University of Sydney) and myself have interviewed superannuation funds on how they approach the task of selecting Australian equity managers.</w:t>
      </w:r>
      <w:r>
        <w:rPr>
          <w:rStyle w:val="FootnoteReference"/>
        </w:rPr>
        <w:footnoteReference w:id="4"/>
      </w:r>
      <w:r>
        <w:t xml:space="preserve"> Two key takeaways from this work are relevant in the context of the PC’s proposal. One is that manager selection is largely a </w:t>
      </w:r>
      <w:r w:rsidRPr="00C81825">
        <w:rPr>
          <w:i/>
        </w:rPr>
        <w:t>subjective</w:t>
      </w:r>
      <w:r>
        <w:t xml:space="preserve"> process. The aim is to establish whether an investment manager can be relied on to do the job they are assigned within a portfolio. Words like confidence, conviction, faith and trust often</w:t>
      </w:r>
      <w:r w:rsidR="00713D1D">
        <w:t xml:space="preserve"> appeared during the interviews</w:t>
      </w:r>
      <w:r>
        <w:t xml:space="preserve">. Considerations related to softer issues such as the quality of people and the </w:t>
      </w:r>
      <w:proofErr w:type="spellStart"/>
      <w:r>
        <w:t>organisation</w:t>
      </w:r>
      <w:proofErr w:type="spellEnd"/>
      <w:r>
        <w:t xml:space="preserve"> they work for featured prominently. The other takeaway is that </w:t>
      </w:r>
      <w:r w:rsidRPr="00533FAC">
        <w:rPr>
          <w:i/>
        </w:rPr>
        <w:t>past performance is considered unreliable and hence not taken at face value</w:t>
      </w:r>
      <w:r>
        <w:t xml:space="preserve">. Rather, past performance tends to be evaluated and </w:t>
      </w:r>
      <w:proofErr w:type="spellStart"/>
      <w:r>
        <w:t>analysed</w:t>
      </w:r>
      <w:proofErr w:type="spellEnd"/>
      <w:r>
        <w:t xml:space="preserve"> in order to understand the sources of returns, and with a view to building confidence in the investment manager and understand the way that they invest. A few interviewees were even keen to point out they had sacked a manager after good performance, either because the way it was achieved raised doubts over whether it was repeatable, or due to a recognition that mean reversion exists. A tome by Stewart (2013)</w:t>
      </w:r>
      <w:r>
        <w:rPr>
          <w:rStyle w:val="FootnoteReference"/>
        </w:rPr>
        <w:footnoteReference w:id="5"/>
      </w:r>
      <w:r>
        <w:t xml:space="preserve"> also outlines the art of manager selection.</w:t>
      </w:r>
    </w:p>
    <w:p w14:paraId="1AD482C6" w14:textId="09DD309C" w:rsidR="00B40745" w:rsidRDefault="00713D1D" w:rsidP="00B40745">
      <w:pPr>
        <w:spacing w:before="180" w:line="252" w:lineRule="auto"/>
        <w:jc w:val="both"/>
      </w:pPr>
      <w:r>
        <w:t>In addition, t</w:t>
      </w:r>
      <w:r w:rsidR="007536AA">
        <w:t xml:space="preserve">he </w:t>
      </w:r>
      <w:r w:rsidR="00B40745">
        <w:t>panel will need to take</w:t>
      </w:r>
      <w:r>
        <w:t xml:space="preserve"> a much broader view than just</w:t>
      </w:r>
      <w:r w:rsidR="00B40745">
        <w:t xml:space="preserve"> evaluating investment capability. A ‘good’ superannuation </w:t>
      </w:r>
      <w:r w:rsidR="007536AA">
        <w:t xml:space="preserve">fund </w:t>
      </w:r>
      <w:r w:rsidR="00B40745">
        <w:t xml:space="preserve">provides a range of services to members beyond just generating investment returns. In accumulation, this includes aspects related to engagement with members, such as communication, advice and their systems and platforms. The superannuation industry also needs to </w:t>
      </w:r>
      <w:r w:rsidR="00CB683B">
        <w:t xml:space="preserve">grapple with </w:t>
      </w:r>
      <w:r w:rsidR="00B40745">
        <w:t xml:space="preserve">retirement. </w:t>
      </w:r>
      <w:r w:rsidR="00CB683B">
        <w:t xml:space="preserve">Here investment performance is less important relative to the capability to craft appropriate strategies for differing members. </w:t>
      </w:r>
      <w:r w:rsidR="00254B09">
        <w:rPr>
          <w:b/>
          <w:i/>
        </w:rPr>
        <w:t>H</w:t>
      </w:r>
      <w:r w:rsidR="00CB683B" w:rsidRPr="00254B09">
        <w:rPr>
          <w:b/>
          <w:i/>
        </w:rPr>
        <w:t xml:space="preserve">ow </w:t>
      </w:r>
      <w:r w:rsidR="00B40745" w:rsidRPr="00254B09">
        <w:rPr>
          <w:b/>
          <w:i/>
        </w:rPr>
        <w:t xml:space="preserve">the best-in-class model </w:t>
      </w:r>
      <w:r w:rsidR="00CB683B" w:rsidRPr="00254B09">
        <w:rPr>
          <w:b/>
          <w:i/>
        </w:rPr>
        <w:t xml:space="preserve">dovetails with </w:t>
      </w:r>
      <w:r w:rsidR="00B40745" w:rsidRPr="00254B09">
        <w:rPr>
          <w:b/>
          <w:i/>
        </w:rPr>
        <w:t>retirement is currently missing from the picture</w:t>
      </w:r>
      <w:r w:rsidR="00CB683B" w:rsidRPr="00254B09">
        <w:rPr>
          <w:b/>
          <w:i/>
        </w:rPr>
        <w:t>, and</w:t>
      </w:r>
      <w:r w:rsidR="007536AA" w:rsidRPr="00254B09">
        <w:rPr>
          <w:b/>
          <w:i/>
        </w:rPr>
        <w:t xml:space="preserve"> should be addressed by the PC in </w:t>
      </w:r>
      <w:proofErr w:type="spellStart"/>
      <w:r w:rsidR="007536AA" w:rsidRPr="00254B09">
        <w:rPr>
          <w:b/>
          <w:i/>
        </w:rPr>
        <w:t>finalising</w:t>
      </w:r>
      <w:proofErr w:type="spellEnd"/>
      <w:r w:rsidR="007536AA" w:rsidRPr="00254B09">
        <w:rPr>
          <w:b/>
          <w:i/>
        </w:rPr>
        <w:t xml:space="preserve"> its recommendations</w:t>
      </w:r>
      <w:r w:rsidR="00B40745" w:rsidRPr="00254B09">
        <w:rPr>
          <w:b/>
          <w:i/>
        </w:rPr>
        <w:t>.</w:t>
      </w:r>
      <w:r w:rsidR="00AD5BD0">
        <w:t xml:space="preserve"> </w:t>
      </w:r>
      <w:r w:rsidR="00CB683B">
        <w:t>O</w:t>
      </w:r>
      <w:r w:rsidR="007536AA">
        <w:t xml:space="preserve">ne way to go might </w:t>
      </w:r>
      <w:r w:rsidR="00CB683B">
        <w:t>be to make</w:t>
      </w:r>
      <w:r w:rsidR="007536AA">
        <w:t xml:space="preserve"> provision for </w:t>
      </w:r>
      <w:r w:rsidR="00B40745">
        <w:t>differ</w:t>
      </w:r>
      <w:r w:rsidR="007536AA">
        <w:t>ing lists</w:t>
      </w:r>
      <w:r w:rsidR="00B40745">
        <w:t xml:space="preserve"> </w:t>
      </w:r>
      <w:r w:rsidR="00CB683B">
        <w:t xml:space="preserve">of best-in-class funds </w:t>
      </w:r>
      <w:r w:rsidR="00B40745">
        <w:t xml:space="preserve">in the accumulation and retirement phase. </w:t>
      </w:r>
      <w:r w:rsidR="00CB683B">
        <w:t xml:space="preserve">Another way would be to require the panel to select funds based on their capabilities spanning both accumulation and retirement. </w:t>
      </w:r>
      <w:r w:rsidR="00CB683B">
        <w:lastRenderedPageBreak/>
        <w:t xml:space="preserve">Another </w:t>
      </w:r>
      <w:r w:rsidR="00AD5BD0">
        <w:t>would be</w:t>
      </w:r>
      <w:r w:rsidR="00CB683B">
        <w:t xml:space="preserve"> to state that the best-in-class lists is solely intended for new accumulation members, kicking the retirement issue can down the road. </w:t>
      </w:r>
      <w:r w:rsidR="00AD5BD0">
        <w:t xml:space="preserve">In any event, such </w:t>
      </w:r>
      <w:r w:rsidR="00B40745">
        <w:t xml:space="preserve">aspects </w:t>
      </w:r>
      <w:r w:rsidR="00AD5BD0">
        <w:t>should</w:t>
      </w:r>
      <w:r w:rsidR="00B40745">
        <w:t xml:space="preserve"> be considered in how the brief of the panel is framed, and hence what the panel might take into account when selecting funds. </w:t>
      </w:r>
    </w:p>
    <w:p w14:paraId="65A997D4" w14:textId="273ED70C" w:rsidR="00B40745" w:rsidRDefault="00AD5BD0" w:rsidP="00B40745">
      <w:pPr>
        <w:spacing w:before="180" w:line="252" w:lineRule="auto"/>
        <w:jc w:val="both"/>
      </w:pPr>
      <w:r>
        <w:rPr>
          <w:b/>
          <w:i/>
        </w:rPr>
        <w:t>Against the above background, the</w:t>
      </w:r>
      <w:r w:rsidR="00B40745" w:rsidRPr="00833344">
        <w:rPr>
          <w:b/>
          <w:i/>
        </w:rPr>
        <w:t xml:space="preserve"> PC </w:t>
      </w:r>
      <w:r>
        <w:rPr>
          <w:b/>
          <w:i/>
        </w:rPr>
        <w:t xml:space="preserve">needs to substantially </w:t>
      </w:r>
      <w:r w:rsidR="00B40745">
        <w:rPr>
          <w:b/>
          <w:i/>
        </w:rPr>
        <w:t>enhance the</w:t>
      </w:r>
      <w:r w:rsidR="00B40745" w:rsidRPr="00833344">
        <w:rPr>
          <w:b/>
          <w:i/>
        </w:rPr>
        <w:t xml:space="preserve"> direction </w:t>
      </w:r>
      <w:r>
        <w:rPr>
          <w:b/>
          <w:i/>
        </w:rPr>
        <w:t>it gives</w:t>
      </w:r>
      <w:r w:rsidR="00B40745">
        <w:rPr>
          <w:b/>
          <w:i/>
        </w:rPr>
        <w:t xml:space="preserve"> </w:t>
      </w:r>
      <w:r w:rsidR="00B40745" w:rsidRPr="00833344">
        <w:rPr>
          <w:b/>
          <w:i/>
        </w:rPr>
        <w:t>o</w:t>
      </w:r>
      <w:r w:rsidR="00B40745">
        <w:rPr>
          <w:b/>
          <w:i/>
        </w:rPr>
        <w:t xml:space="preserve">n the constitution of the panel. </w:t>
      </w:r>
      <w:r w:rsidR="00B40745" w:rsidRPr="00DD0C16">
        <w:t xml:space="preserve">Meanwhile, they should shy away from attempting to provide </w:t>
      </w:r>
      <w:r w:rsidR="00B40745">
        <w:t xml:space="preserve">specific </w:t>
      </w:r>
      <w:r w:rsidR="00B40745" w:rsidRPr="00DD0C16">
        <w:t>guidance on the criteria used by the panel to select funds</w:t>
      </w:r>
      <w:r>
        <w:t>, other than scoping its</w:t>
      </w:r>
      <w:r w:rsidR="00B40745" w:rsidRPr="00DD0C16">
        <w:t xml:space="preserve"> </w:t>
      </w:r>
      <w:r w:rsidR="00B40745">
        <w:t xml:space="preserve">brief and </w:t>
      </w:r>
      <w:r w:rsidR="00B40745" w:rsidRPr="00DD0C16">
        <w:t>objectives</w:t>
      </w:r>
      <w:r>
        <w:t>. The prime aim should be to ensure th</w:t>
      </w:r>
      <w:r w:rsidR="00B40745" w:rsidRPr="00DD0C16">
        <w:t>at the panel itself is effective</w:t>
      </w:r>
      <w:r w:rsidR="00713D1D">
        <w:t>, and let them wo</w:t>
      </w:r>
      <w:r w:rsidR="00DC587E">
        <w:t>r</w:t>
      </w:r>
      <w:r w:rsidR="00713D1D">
        <w:t>k it out</w:t>
      </w:r>
      <w:r w:rsidR="00B40745">
        <w:t xml:space="preserve">. Section 12.4 of the draft report is a good start, but I have a few additional suggestions: </w:t>
      </w:r>
    </w:p>
    <w:p w14:paraId="36329F2B" w14:textId="77777777" w:rsidR="00B40745" w:rsidRDefault="00B40745" w:rsidP="00B40745">
      <w:pPr>
        <w:pStyle w:val="ListParagraph"/>
        <w:numPr>
          <w:ilvl w:val="0"/>
          <w:numId w:val="29"/>
        </w:numPr>
        <w:spacing w:before="120" w:line="252" w:lineRule="auto"/>
        <w:ind w:left="274" w:hanging="274"/>
        <w:contextualSpacing w:val="0"/>
        <w:jc w:val="both"/>
      </w:pPr>
      <w:r w:rsidRPr="00E86463">
        <w:rPr>
          <w:i/>
        </w:rPr>
        <w:t>Mandate an appropriate mix of expertise</w:t>
      </w:r>
      <w:r>
        <w:t xml:space="preserve"> – While a mix of skills and personalities is desirable, the panel should have expertise in three key areas: manager (fund) selection, the investment management process from an asset owner context, and understanding of the superannuation industry and the needs of members. </w:t>
      </w:r>
    </w:p>
    <w:p w14:paraId="4F1117D3" w14:textId="1853155D" w:rsidR="00B40745" w:rsidRDefault="00B40745" w:rsidP="00B40745">
      <w:pPr>
        <w:pStyle w:val="ListParagraph"/>
        <w:numPr>
          <w:ilvl w:val="0"/>
          <w:numId w:val="29"/>
        </w:numPr>
        <w:spacing w:before="120" w:line="252" w:lineRule="auto"/>
        <w:ind w:left="274" w:hanging="274"/>
        <w:contextualSpacing w:val="0"/>
        <w:jc w:val="both"/>
      </w:pPr>
      <w:r w:rsidRPr="00FC4889">
        <w:rPr>
          <w:i/>
        </w:rPr>
        <w:t>The Chair</w:t>
      </w:r>
      <w:r>
        <w:t xml:space="preserve"> – This is the key appointment. Consideration should be given to having a Chair that is clearly independent from players in the superannuation industry, and not aligned with any political party or interest group. An appropriate Chair might be sought by executive search, and possibly come from outside of the </w:t>
      </w:r>
      <w:r w:rsidR="00DC587E">
        <w:t xml:space="preserve">superannuation or perhaps even finance </w:t>
      </w:r>
      <w:r>
        <w:t>industry.</w:t>
      </w:r>
    </w:p>
    <w:p w14:paraId="5DCBE65F" w14:textId="2CFACB01" w:rsidR="00B40745" w:rsidRDefault="00B40745" w:rsidP="00B40745">
      <w:pPr>
        <w:pStyle w:val="ListParagraph"/>
        <w:numPr>
          <w:ilvl w:val="0"/>
          <w:numId w:val="29"/>
        </w:numPr>
        <w:spacing w:before="120" w:line="252" w:lineRule="auto"/>
        <w:ind w:left="274" w:hanging="274"/>
        <w:contextualSpacing w:val="0"/>
        <w:jc w:val="both"/>
      </w:pPr>
      <w:r>
        <w:rPr>
          <w:i/>
        </w:rPr>
        <w:t xml:space="preserve">Tenure </w:t>
      </w:r>
      <w:r>
        <w:t>–</w:t>
      </w:r>
      <w:r w:rsidR="00DC587E">
        <w:t xml:space="preserve"> </w:t>
      </w:r>
      <w:r>
        <w:t xml:space="preserve">The aim should be to strike the right balance between the need for renewal, and retention of knowledge. Short </w:t>
      </w:r>
      <w:r w:rsidR="00DC587E">
        <w:t xml:space="preserve">and </w:t>
      </w:r>
      <w:r>
        <w:t xml:space="preserve">strictly limited </w:t>
      </w:r>
      <w:r w:rsidR="00DC587E">
        <w:t xml:space="preserve">tenures can </w:t>
      </w:r>
      <w:r>
        <w:t>also chip away at the incentive to take a longer-term view, which would be encouraged if the potential exists to be associated with decisions for some time to come. The PC has suggested ‘no more than one-third’ of the panel carry-over. This contains a hint of over-</w:t>
      </w:r>
      <w:proofErr w:type="spellStart"/>
      <w:r>
        <w:t>emphasising</w:t>
      </w:r>
      <w:proofErr w:type="spellEnd"/>
      <w:r>
        <w:t xml:space="preserve"> renewal. A better approach may be to structure the panel so that (say) 50% of the panel stays for a second term, but with a two-term limit. Four year terms seem about right.      </w:t>
      </w:r>
    </w:p>
    <w:p w14:paraId="7251B9DA" w14:textId="77777777" w:rsidR="00B40745" w:rsidRDefault="00B40745" w:rsidP="00B40745">
      <w:pPr>
        <w:pStyle w:val="ListParagraph"/>
        <w:numPr>
          <w:ilvl w:val="0"/>
          <w:numId w:val="29"/>
        </w:numPr>
        <w:spacing w:before="120" w:line="252" w:lineRule="auto"/>
        <w:ind w:left="274" w:hanging="274"/>
        <w:contextualSpacing w:val="0"/>
        <w:jc w:val="both"/>
      </w:pPr>
      <w:r w:rsidRPr="00FC4889">
        <w:rPr>
          <w:i/>
        </w:rPr>
        <w:t>Research capability</w:t>
      </w:r>
      <w:r>
        <w:t xml:space="preserve"> – Basing decisions on ‘pitches’ from a ‘beauty parade’ of funds may lead to poor outcomes. Rather, identifying appropriate funds for the list should be seen as a process requiring a research capability. The panel needs to be able to extract the information it needs, and follow lines of inquiry. Research should ideally be performed by the secretariat with oversight and involvement by panel members, but might outsourced in part to independent research houses. </w:t>
      </w:r>
    </w:p>
    <w:p w14:paraId="6AB7FC69" w14:textId="11C75EF2" w:rsidR="00B40745" w:rsidRDefault="00B40745" w:rsidP="00AD5BD0">
      <w:pPr>
        <w:pStyle w:val="ListParagraph"/>
        <w:numPr>
          <w:ilvl w:val="0"/>
          <w:numId w:val="29"/>
        </w:numPr>
        <w:spacing w:before="120" w:line="252" w:lineRule="auto"/>
        <w:ind w:left="274" w:hanging="274"/>
        <w:contextualSpacing w:val="0"/>
        <w:jc w:val="both"/>
      </w:pPr>
      <w:r w:rsidRPr="00E86463">
        <w:rPr>
          <w:i/>
        </w:rPr>
        <w:t>Resourcing</w:t>
      </w:r>
      <w:r>
        <w:t xml:space="preserve"> – The panel should be properly resourced, including having its own secretariat. The PC suggests that the Australian Government Actuary may house the secretariat. I question whether the AGA is the right body to assist in a subjective evaluation of the mechanics of how superannuation funds as </w:t>
      </w:r>
      <w:proofErr w:type="spellStart"/>
      <w:r>
        <w:t>organisations</w:t>
      </w:r>
      <w:proofErr w:type="spellEnd"/>
      <w:r>
        <w:t xml:space="preserve"> </w:t>
      </w:r>
      <w:r w:rsidR="00DC587E">
        <w:t xml:space="preserve">actually </w:t>
      </w:r>
      <w:r>
        <w:t xml:space="preserve">make investment decisions and meet member needs. </w:t>
      </w:r>
    </w:p>
    <w:p w14:paraId="204D000D" w14:textId="3211AECA" w:rsidR="005D4256" w:rsidRPr="00833344" w:rsidRDefault="005D4256" w:rsidP="00F34574">
      <w:pPr>
        <w:pStyle w:val="ListParagraph"/>
        <w:numPr>
          <w:ilvl w:val="0"/>
          <w:numId w:val="17"/>
        </w:numPr>
        <w:spacing w:before="300" w:line="252" w:lineRule="auto"/>
        <w:ind w:left="360"/>
        <w:contextualSpacing w:val="0"/>
        <w:jc w:val="both"/>
        <w:rPr>
          <w:b/>
          <w:sz w:val="23"/>
          <w:szCs w:val="23"/>
        </w:rPr>
      </w:pPr>
      <w:r w:rsidRPr="00833344">
        <w:rPr>
          <w:b/>
          <w:sz w:val="23"/>
          <w:szCs w:val="23"/>
        </w:rPr>
        <w:t>Investment Performance Benchmarking</w:t>
      </w:r>
    </w:p>
    <w:p w14:paraId="40C1FF39" w14:textId="5E61E526" w:rsidR="005D4256" w:rsidRDefault="00BF577C" w:rsidP="00BF577C">
      <w:pPr>
        <w:spacing w:before="180" w:line="252" w:lineRule="auto"/>
        <w:jc w:val="both"/>
      </w:pPr>
      <w:r>
        <w:t xml:space="preserve">The </w:t>
      </w:r>
      <w:r w:rsidR="00413686">
        <w:t xml:space="preserve">analysis comparing fund performance versus tailored benchmarks </w:t>
      </w:r>
      <w:r w:rsidR="00AD5BD0">
        <w:t>i</w:t>
      </w:r>
      <w:r>
        <w:t xml:space="preserve">s very revealing, and </w:t>
      </w:r>
      <w:r w:rsidR="00357848">
        <w:t>appears to ‘do</w:t>
      </w:r>
      <w:r w:rsidR="005D4256">
        <w:t xml:space="preserve"> the trick’ of teasing out </w:t>
      </w:r>
      <w:r>
        <w:t xml:space="preserve">potential </w:t>
      </w:r>
      <w:r w:rsidR="005D4256">
        <w:t>problem areas.</w:t>
      </w:r>
      <w:r w:rsidR="00413686">
        <w:t xml:space="preserve"> In particular, the kink</w:t>
      </w:r>
      <w:r>
        <w:t xml:space="preserve"> down to a lower tail of underperfo</w:t>
      </w:r>
      <w:r w:rsidR="00413686">
        <w:t>rmers is evocative</w:t>
      </w:r>
      <w:r w:rsidR="00357848">
        <w:t>. While</w:t>
      </w:r>
      <w:r>
        <w:t xml:space="preserve"> no major problems </w:t>
      </w:r>
      <w:r w:rsidR="00357848">
        <w:t xml:space="preserve">were evident </w:t>
      </w:r>
      <w:r w:rsidR="00AD5BD0">
        <w:t xml:space="preserve">with the analysis </w:t>
      </w:r>
      <w:r>
        <w:t>that might undermine the bro</w:t>
      </w:r>
      <w:r w:rsidR="00357848">
        <w:t xml:space="preserve">ad tenor of the findings, I </w:t>
      </w:r>
      <w:r w:rsidR="00413686">
        <w:t>have some</w:t>
      </w:r>
      <w:r w:rsidR="00B83079">
        <w:t xml:space="preserve"> </w:t>
      </w:r>
      <w:r>
        <w:t>suggesti</w:t>
      </w:r>
      <w:r w:rsidR="00413686">
        <w:t>ons to tighten up what is a solid</w:t>
      </w:r>
      <w:r>
        <w:t xml:space="preserve"> piece of </w:t>
      </w:r>
      <w:r w:rsidR="00AD5BD0">
        <w:t>work</w:t>
      </w:r>
      <w:r w:rsidR="00413686">
        <w:t>. These suggestions</w:t>
      </w:r>
      <w:r w:rsidR="00357848">
        <w:t xml:space="preserve"> relate</w:t>
      </w:r>
      <w:r w:rsidR="00B83079">
        <w:t xml:space="preserve"> to statistical testing</w:t>
      </w:r>
      <w:r w:rsidR="00357848">
        <w:t>,</w:t>
      </w:r>
      <w:r w:rsidR="00B83079">
        <w:t xml:space="preserve"> and </w:t>
      </w:r>
      <w:r w:rsidR="00357848">
        <w:t>tweaking</w:t>
      </w:r>
      <w:r w:rsidR="00B83079">
        <w:t xml:space="preserve"> </w:t>
      </w:r>
      <w:r w:rsidR="00413686">
        <w:t xml:space="preserve">of </w:t>
      </w:r>
      <w:r w:rsidR="00B83079">
        <w:t>the ben</w:t>
      </w:r>
      <w:r w:rsidR="00357848">
        <w:t>c</w:t>
      </w:r>
      <w:r w:rsidR="00B83079">
        <w:t>hmarks</w:t>
      </w:r>
      <w:r>
        <w:t>.</w:t>
      </w:r>
      <w:r w:rsidR="001C4633">
        <w:t xml:space="preserve"> I also warn against relying too heavily on using performance versus benchmark in evaluating funds.</w:t>
      </w:r>
    </w:p>
    <w:p w14:paraId="0EAA5A4D" w14:textId="62CE2333" w:rsidR="00B83079" w:rsidRPr="00833344" w:rsidRDefault="00B83079" w:rsidP="00096FC7">
      <w:pPr>
        <w:spacing w:before="240" w:line="252" w:lineRule="auto"/>
        <w:jc w:val="both"/>
        <w:rPr>
          <w:b/>
          <w:sz w:val="21"/>
          <w:szCs w:val="21"/>
        </w:rPr>
      </w:pPr>
      <w:r w:rsidRPr="00833344">
        <w:rPr>
          <w:b/>
          <w:sz w:val="21"/>
          <w:szCs w:val="21"/>
        </w:rPr>
        <w:t>Statistical Testing</w:t>
      </w:r>
    </w:p>
    <w:p w14:paraId="1B7281BC" w14:textId="285A2B37" w:rsidR="00B83079" w:rsidRDefault="00357848" w:rsidP="00B83079">
      <w:pPr>
        <w:spacing w:before="180" w:line="252" w:lineRule="auto"/>
        <w:jc w:val="both"/>
      </w:pPr>
      <w:r>
        <w:t xml:space="preserve">The </w:t>
      </w:r>
      <w:r w:rsidR="00413686">
        <w:t xml:space="preserve">analysis of fund performance </w:t>
      </w:r>
      <w:r>
        <w:t>c</w:t>
      </w:r>
      <w:r w:rsidR="00B83079">
        <w:t>ould be strengthened through statis</w:t>
      </w:r>
      <w:r w:rsidR="0096585F">
        <w:t>tical analysis, with t</w:t>
      </w:r>
      <w:r w:rsidR="00413686">
        <w:t>w</w:t>
      </w:r>
      <w:r w:rsidR="0096585F">
        <w:t>o</w:t>
      </w:r>
      <w:r w:rsidR="00413686">
        <w:t xml:space="preserve"> aims. The first </w:t>
      </w:r>
      <w:r>
        <w:t>would be</w:t>
      </w:r>
      <w:r w:rsidR="00B83079">
        <w:t xml:space="preserve"> to establish whether the distribution of performance differs</w:t>
      </w:r>
      <w:r w:rsidR="00413686">
        <w:t xml:space="preserve"> from what is expected under random variation. The second</w:t>
      </w:r>
      <w:r w:rsidR="00B83079">
        <w:t xml:space="preserve"> aim would be to generate a better-founded estimate of the cut-off f</w:t>
      </w:r>
      <w:r>
        <w:t>or poor performance th</w:t>
      </w:r>
      <w:r w:rsidR="00D0375A">
        <w:t>an the</w:t>
      </w:r>
      <w:r w:rsidR="00B83079">
        <w:t xml:space="preserve"> notional </w:t>
      </w:r>
      <w:r>
        <w:t>-0.25%</w:t>
      </w:r>
      <w:r w:rsidR="00D0375A">
        <w:t xml:space="preserve"> currently being used</w:t>
      </w:r>
      <w:r>
        <w:t xml:space="preserve">. </w:t>
      </w:r>
      <w:r w:rsidR="00D0375A">
        <w:t xml:space="preserve">Below </w:t>
      </w:r>
      <w:r w:rsidR="00B83079">
        <w:t xml:space="preserve">I </w:t>
      </w:r>
      <w:r>
        <w:t>offer</w:t>
      </w:r>
      <w:r w:rsidR="00B83079">
        <w:t xml:space="preserve"> some general guidance, but the PC </w:t>
      </w:r>
      <w:r>
        <w:t xml:space="preserve">might like </w:t>
      </w:r>
      <w:r w:rsidR="00B83079">
        <w:t xml:space="preserve">to seek </w:t>
      </w:r>
      <w:r>
        <w:t xml:space="preserve">further </w:t>
      </w:r>
      <w:r w:rsidR="00B83079">
        <w:t>input from statisticians.</w:t>
      </w:r>
    </w:p>
    <w:p w14:paraId="6D68F689" w14:textId="08A0EDE9" w:rsidR="005D4256" w:rsidRDefault="00753007" w:rsidP="00B83079">
      <w:pPr>
        <w:spacing w:before="180" w:line="252" w:lineRule="auto"/>
        <w:jc w:val="both"/>
      </w:pPr>
      <w:r>
        <w:t>The</w:t>
      </w:r>
      <w:r w:rsidR="00B83079">
        <w:t xml:space="preserve"> underlying concept is that investment</w:t>
      </w:r>
      <w:r w:rsidR="00D0375A">
        <w:t xml:space="preserve"> positions are essentially a ‘bet</w:t>
      </w:r>
      <w:r w:rsidR="00703EFB">
        <w:t xml:space="preserve">’ </w:t>
      </w:r>
      <w:r w:rsidR="00357848">
        <w:t>aim</w:t>
      </w:r>
      <w:r w:rsidR="00703EFB">
        <w:t>ed at increasing</w:t>
      </w:r>
      <w:r w:rsidR="00357848">
        <w:t xml:space="preserve"> </w:t>
      </w:r>
      <w:r w:rsidR="00B83079">
        <w:t>the odds</w:t>
      </w:r>
      <w:r w:rsidR="00357848">
        <w:t xml:space="preserve"> of a better outcome</w:t>
      </w:r>
      <w:r w:rsidR="00B83079">
        <w:t>,</w:t>
      </w:r>
      <w:r>
        <w:t xml:space="preserve"> </w:t>
      </w:r>
      <w:r w:rsidR="00D0375A">
        <w:t xml:space="preserve">but </w:t>
      </w:r>
      <w:r w:rsidR="00357848">
        <w:t xml:space="preserve">with no </w:t>
      </w:r>
      <w:r w:rsidR="00D0375A">
        <w:t>guarantee that the bet</w:t>
      </w:r>
      <w:r w:rsidR="00703EFB">
        <w:t xml:space="preserve"> will </w:t>
      </w:r>
      <w:r w:rsidR="00357848">
        <w:t>pay</w:t>
      </w:r>
      <w:r>
        <w:t xml:space="preserve"> off</w:t>
      </w:r>
      <w:r w:rsidR="00B83079">
        <w:t>. The objective</w:t>
      </w:r>
      <w:r w:rsidR="00357848">
        <w:t xml:space="preserve"> in evaluating investment performance</w:t>
      </w:r>
      <w:r w:rsidR="00B83079">
        <w:t xml:space="preserve"> is to </w:t>
      </w:r>
      <w:r w:rsidR="00357848">
        <w:t xml:space="preserve">distinguish </w:t>
      </w:r>
      <w:r w:rsidR="00012EB3">
        <w:t>skill from luck</w:t>
      </w:r>
      <w:r w:rsidR="00D0375A">
        <w:t xml:space="preserve">. </w:t>
      </w:r>
      <w:r w:rsidR="00703EFB">
        <w:t xml:space="preserve">This </w:t>
      </w:r>
      <w:r w:rsidR="00D0375A">
        <w:t>amounts to trying to ascertain whether a fund has the ability to identify and acc</w:t>
      </w:r>
      <w:r w:rsidR="00254B09">
        <w:t xml:space="preserve">ess sensible bets, allowing for that fact that </w:t>
      </w:r>
      <w:r w:rsidR="00B83079">
        <w:t>(good and bad) luck</w:t>
      </w:r>
      <w:r w:rsidR="00254B09">
        <w:t xml:space="preserve"> </w:t>
      </w:r>
      <w:r>
        <w:t>arise</w:t>
      </w:r>
      <w:r w:rsidR="00357848">
        <w:t>s</w:t>
      </w:r>
      <w:r>
        <w:t xml:space="preserve"> </w:t>
      </w:r>
      <w:r w:rsidR="00D0375A">
        <w:t xml:space="preserve">from the vagaries of markets and </w:t>
      </w:r>
      <w:r w:rsidR="00357848">
        <w:t>inab</w:t>
      </w:r>
      <w:r w:rsidR="00D0375A">
        <w:t>ility to know the future</w:t>
      </w:r>
      <w:r w:rsidR="00B83079">
        <w:t xml:space="preserve">. </w:t>
      </w:r>
      <w:r>
        <w:t xml:space="preserve">The </w:t>
      </w:r>
      <w:r w:rsidR="00357848">
        <w:t xml:space="preserve">PC’s </w:t>
      </w:r>
      <w:r w:rsidR="00B83079">
        <w:t>benchmark</w:t>
      </w:r>
      <w:r>
        <w:t>ing process</w:t>
      </w:r>
      <w:r w:rsidR="00B83079">
        <w:t xml:space="preserve"> removes </w:t>
      </w:r>
      <w:r>
        <w:t>a good portion of the market effect</w:t>
      </w:r>
      <w:r w:rsidR="008A300F">
        <w:t xml:space="preserve">s and hence </w:t>
      </w:r>
      <w:r w:rsidR="00DC587E">
        <w:t>noise. What remains to</w:t>
      </w:r>
      <w:r w:rsidR="00357848">
        <w:t xml:space="preserve"> </w:t>
      </w:r>
      <w:r w:rsidR="00254B09">
        <w:t>be evaluated is</w:t>
      </w:r>
      <w:r>
        <w:t xml:space="preserve"> </w:t>
      </w:r>
      <w:r w:rsidR="00357848">
        <w:t xml:space="preserve">the </w:t>
      </w:r>
      <w:r w:rsidR="00D0375A">
        <w:t xml:space="preserve">combined </w:t>
      </w:r>
      <w:r w:rsidR="00357848">
        <w:t xml:space="preserve">effect of </w:t>
      </w:r>
      <w:r w:rsidR="00703EFB">
        <w:t>two set</w:t>
      </w:r>
      <w:r w:rsidR="00254B09">
        <w:t>s</w:t>
      </w:r>
      <w:r w:rsidR="00703EFB">
        <w:t xml:space="preserve"> of </w:t>
      </w:r>
      <w:r w:rsidR="00357848">
        <w:t xml:space="preserve">active </w:t>
      </w:r>
      <w:r w:rsidR="00254B09">
        <w:t>decisions</w:t>
      </w:r>
      <w:r w:rsidR="00703EFB">
        <w:t xml:space="preserve">. The first are </w:t>
      </w:r>
      <w:r w:rsidR="00254B09">
        <w:t>positions</w:t>
      </w:r>
      <w:r>
        <w:t xml:space="preserve"> taken within asset classes ver</w:t>
      </w:r>
      <w:r w:rsidR="00703EFB">
        <w:t xml:space="preserve">sus the asset class benchmarks. The second are </w:t>
      </w:r>
      <w:r>
        <w:t xml:space="preserve">variations from the asset allocation </w:t>
      </w:r>
      <w:r w:rsidR="00357848">
        <w:t xml:space="preserve">weights </w:t>
      </w:r>
      <w:r>
        <w:t>assumed in the benchmark</w:t>
      </w:r>
      <w:r w:rsidR="00254B09">
        <w:t xml:space="preserve">, which should reflect the policy </w:t>
      </w:r>
      <w:r w:rsidR="00254B09">
        <w:lastRenderedPageBreak/>
        <w:t>weights for the segment being evaluated</w:t>
      </w:r>
      <w:r>
        <w:t xml:space="preserve">. </w:t>
      </w:r>
      <w:r w:rsidR="00703EFB">
        <w:t>Of the two</w:t>
      </w:r>
      <w:r w:rsidR="00357848">
        <w:t>, a</w:t>
      </w:r>
      <w:r>
        <w:t xml:space="preserve">sset allocation </w:t>
      </w:r>
      <w:r w:rsidR="00357848">
        <w:t>decisions</w:t>
      </w:r>
      <w:r>
        <w:t xml:space="preserve"> are lik</w:t>
      </w:r>
      <w:r w:rsidR="00D0375A">
        <w:t>ely to have the greatest impact</w:t>
      </w:r>
      <w:r>
        <w:t xml:space="preserve">. </w:t>
      </w:r>
    </w:p>
    <w:p w14:paraId="0EF010DD" w14:textId="77777777" w:rsidR="00413DAB" w:rsidRDefault="00D0375A" w:rsidP="00B83079">
      <w:pPr>
        <w:spacing w:before="180" w:line="252" w:lineRule="auto"/>
        <w:jc w:val="both"/>
      </w:pPr>
      <w:r w:rsidRPr="0096585F">
        <w:rPr>
          <w:b/>
          <w:i/>
        </w:rPr>
        <w:t>A</w:t>
      </w:r>
      <w:r w:rsidR="00357848" w:rsidRPr="0096585F">
        <w:rPr>
          <w:b/>
          <w:i/>
        </w:rPr>
        <w:t>n effective</w:t>
      </w:r>
      <w:r w:rsidR="00EE6240" w:rsidRPr="0096585F">
        <w:rPr>
          <w:b/>
          <w:i/>
        </w:rPr>
        <w:t xml:space="preserve"> </w:t>
      </w:r>
      <w:r w:rsidRPr="0096585F">
        <w:rPr>
          <w:b/>
          <w:i/>
        </w:rPr>
        <w:t>approach to</w:t>
      </w:r>
      <w:r w:rsidR="00EE6240" w:rsidRPr="0096585F">
        <w:rPr>
          <w:b/>
          <w:i/>
        </w:rPr>
        <w:t xml:space="preserve"> statistical</w:t>
      </w:r>
      <w:r w:rsidR="00753007" w:rsidRPr="0096585F">
        <w:rPr>
          <w:b/>
          <w:i/>
        </w:rPr>
        <w:t xml:space="preserve"> </w:t>
      </w:r>
      <w:r w:rsidR="00EE6240" w:rsidRPr="0096585F">
        <w:rPr>
          <w:b/>
          <w:i/>
        </w:rPr>
        <w:t>a</w:t>
      </w:r>
      <w:r w:rsidRPr="0096585F">
        <w:rPr>
          <w:b/>
          <w:i/>
        </w:rPr>
        <w:t>nalysis under these</w:t>
      </w:r>
      <w:r w:rsidR="00EE6240" w:rsidRPr="0096585F">
        <w:rPr>
          <w:b/>
          <w:i/>
        </w:rPr>
        <w:t xml:space="preserve"> circums</w:t>
      </w:r>
      <w:r w:rsidR="00357848" w:rsidRPr="0096585F">
        <w:rPr>
          <w:b/>
          <w:i/>
        </w:rPr>
        <w:t xml:space="preserve">tances </w:t>
      </w:r>
      <w:r w:rsidRPr="0096585F">
        <w:rPr>
          <w:b/>
          <w:i/>
        </w:rPr>
        <w:t xml:space="preserve">might </w:t>
      </w:r>
      <w:r w:rsidR="00357848" w:rsidRPr="0096585F">
        <w:rPr>
          <w:b/>
          <w:i/>
        </w:rPr>
        <w:t xml:space="preserve">be to simulate a predicted </w:t>
      </w:r>
      <w:r w:rsidR="00EE6240" w:rsidRPr="0096585F">
        <w:rPr>
          <w:b/>
          <w:i/>
        </w:rPr>
        <w:t xml:space="preserve">distribution of fund returns versus </w:t>
      </w:r>
      <w:r w:rsidR="00357848" w:rsidRPr="0096585F">
        <w:rPr>
          <w:b/>
          <w:i/>
        </w:rPr>
        <w:t xml:space="preserve">the </w:t>
      </w:r>
      <w:r w:rsidR="00EE6240" w:rsidRPr="0096585F">
        <w:rPr>
          <w:b/>
          <w:i/>
        </w:rPr>
        <w:t>benchmark under th</w:t>
      </w:r>
      <w:r w:rsidR="00B44F62" w:rsidRPr="0096585F">
        <w:rPr>
          <w:b/>
          <w:i/>
        </w:rPr>
        <w:t xml:space="preserve">e assumption of zero skill. </w:t>
      </w:r>
      <w:r w:rsidR="00B44F62">
        <w:t xml:space="preserve">The predicted distribution can then be compared to the </w:t>
      </w:r>
      <w:r w:rsidR="00EE6240">
        <w:t>observed distribution to establish if the</w:t>
      </w:r>
      <w:r w:rsidR="00B44F62">
        <w:t>re is any meaningful difference.</w:t>
      </w:r>
      <w:r w:rsidR="00EE6240">
        <w:rPr>
          <w:rStyle w:val="FootnoteReference"/>
        </w:rPr>
        <w:footnoteReference w:id="6"/>
      </w:r>
      <w:r w:rsidR="00B44F62">
        <w:t xml:space="preserve"> The predicted</w:t>
      </w:r>
      <w:r w:rsidR="00EA09A9">
        <w:t xml:space="preserve"> distributions would also deliver significance cut-offs, </w:t>
      </w:r>
      <w:r w:rsidR="00B44F62">
        <w:t xml:space="preserve">simply </w:t>
      </w:r>
      <w:r w:rsidR="00EA09A9">
        <w:t xml:space="preserve">by taking the </w:t>
      </w:r>
      <w:proofErr w:type="spellStart"/>
      <w:r w:rsidR="00EA09A9">
        <w:t>x</w:t>
      </w:r>
      <w:r w:rsidR="00EA09A9" w:rsidRPr="00EA09A9">
        <w:rPr>
          <w:vertAlign w:val="superscript"/>
        </w:rPr>
        <w:t>th</w:t>
      </w:r>
      <w:proofErr w:type="spellEnd"/>
      <w:r w:rsidR="00EA09A9" w:rsidRPr="00EA09A9">
        <w:t xml:space="preserve"> per</w:t>
      </w:r>
      <w:r w:rsidR="00EA09A9">
        <w:t xml:space="preserve">centile of the </w:t>
      </w:r>
      <w:r w:rsidR="00413DAB">
        <w:t xml:space="preserve">predicted </w:t>
      </w:r>
      <w:r w:rsidR="00EA09A9">
        <w:t>distribution</w:t>
      </w:r>
      <w:r w:rsidR="00B44F62">
        <w:t xml:space="preserve"> as appropriate</w:t>
      </w:r>
      <w:r w:rsidR="00EA09A9">
        <w:t xml:space="preserve">. </w:t>
      </w:r>
    </w:p>
    <w:p w14:paraId="1842FF8B" w14:textId="2843FB58" w:rsidR="00EA09A9" w:rsidRDefault="00EA09A9" w:rsidP="00B83079">
      <w:pPr>
        <w:spacing w:before="180" w:line="252" w:lineRule="auto"/>
        <w:jc w:val="both"/>
      </w:pPr>
      <w:r>
        <w:t>The PC appears to</w:t>
      </w:r>
      <w:r w:rsidR="00413DAB">
        <w:t xml:space="preserve"> have established the mechanics for the simulation in</w:t>
      </w:r>
      <w:r>
        <w:t xml:space="preserve"> </w:t>
      </w:r>
      <w:r w:rsidR="00B44F62">
        <w:t xml:space="preserve">conducting </w:t>
      </w:r>
      <w:r>
        <w:t>the stochastic analysis r</w:t>
      </w:r>
      <w:r w:rsidR="00B44F62">
        <w:t>epo</w:t>
      </w:r>
      <w:r>
        <w:t xml:space="preserve">rted in Technical Supplement 4 </w:t>
      </w:r>
      <w:r w:rsidR="00413DAB">
        <w:t>(TS</w:t>
      </w:r>
      <w:r w:rsidR="0057746E">
        <w:t>4)</w:t>
      </w:r>
      <w:r>
        <w:t>.</w:t>
      </w:r>
      <w:r w:rsidR="00B44F62">
        <w:t xml:space="preserve"> </w:t>
      </w:r>
      <w:r w:rsidR="00254B09">
        <w:t>E</w:t>
      </w:r>
      <w:r w:rsidR="00B44F62">
        <w:t>xtend</w:t>
      </w:r>
      <w:r w:rsidR="00254B09">
        <w:t>ing</w:t>
      </w:r>
      <w:r w:rsidR="00B44F62">
        <w:t xml:space="preserve"> this a</w:t>
      </w:r>
      <w:r w:rsidR="00254B09">
        <w:t>nalysis to generate a predicted</w:t>
      </w:r>
      <w:r w:rsidR="00B44F62">
        <w:t xml:space="preserve"> distribution</w:t>
      </w:r>
      <w:r w:rsidR="00254B09">
        <w:t xml:space="preserve"> should not be too difficult</w:t>
      </w:r>
      <w:r w:rsidR="00B44F62">
        <w:t xml:space="preserve">. I suggest doing this by simulating from the historical data series </w:t>
      </w:r>
      <w:r w:rsidR="000B6D84">
        <w:t>through the following steps</w:t>
      </w:r>
      <w:r w:rsidR="00B44F62">
        <w:t>:</w:t>
      </w:r>
    </w:p>
    <w:p w14:paraId="70F4871F" w14:textId="750222B4" w:rsidR="00B44F62" w:rsidRDefault="00B44F62" w:rsidP="00DC587E">
      <w:pPr>
        <w:pStyle w:val="ListParagraph"/>
        <w:numPr>
          <w:ilvl w:val="0"/>
          <w:numId w:val="31"/>
        </w:numPr>
        <w:spacing w:before="180" w:line="252" w:lineRule="auto"/>
        <w:ind w:left="360"/>
        <w:jc w:val="both"/>
      </w:pPr>
      <w:r>
        <w:t>For each asset</w:t>
      </w:r>
      <w:r w:rsidR="000B6D84">
        <w:t xml:space="preserve"> class</w:t>
      </w:r>
      <w:r>
        <w:t>, randomly draw an active return. This can be done by assuming a mean equal to the benchmark return, and a s</w:t>
      </w:r>
      <w:r w:rsidR="00413DAB">
        <w:t>tandard deviation reflecting a</w:t>
      </w:r>
      <w:r>
        <w:t xml:space="preserve"> typical ‘tracking error’ versus the benchmark.</w:t>
      </w:r>
    </w:p>
    <w:p w14:paraId="6702384F" w14:textId="080E3266" w:rsidR="00B44F62" w:rsidRDefault="002019C3" w:rsidP="00DC587E">
      <w:pPr>
        <w:pStyle w:val="ListParagraph"/>
        <w:numPr>
          <w:ilvl w:val="0"/>
          <w:numId w:val="31"/>
        </w:numPr>
        <w:spacing w:before="180" w:line="252" w:lineRule="auto"/>
        <w:ind w:left="360"/>
        <w:contextualSpacing w:val="0"/>
        <w:jc w:val="both"/>
      </w:pPr>
      <w:r>
        <w:t>Randomly draw an</w:t>
      </w:r>
      <w:r w:rsidR="00B44F62">
        <w:t xml:space="preserve"> asset allocation</w:t>
      </w:r>
      <w:r w:rsidR="00512F36">
        <w:t xml:space="preserve"> that</w:t>
      </w:r>
      <w:r w:rsidR="00B44F62">
        <w:t xml:space="preserve"> deviates from the benchmark</w:t>
      </w:r>
      <w:r w:rsidR="00096FC7">
        <w:t xml:space="preserve"> asset weights</w:t>
      </w:r>
      <w:r w:rsidR="00B44F62">
        <w:t xml:space="preserve">. This analysis would piggy back off the simulation analysis presented in </w:t>
      </w:r>
      <w:r w:rsidR="00413DAB">
        <w:t>TS</w:t>
      </w:r>
      <w:r w:rsidR="00B44F62">
        <w:t xml:space="preserve">4, </w:t>
      </w:r>
      <w:r w:rsidR="00096FC7">
        <w:t xml:space="preserve">although </w:t>
      </w:r>
      <w:r w:rsidR="00413DAB">
        <w:t>it may be appropriate to adjust the approach to form</w:t>
      </w:r>
      <w:r w:rsidR="00CF0751">
        <w:t>ing</w:t>
      </w:r>
      <w:r w:rsidR="00413DAB">
        <w:t xml:space="preserve"> the asset weights</w:t>
      </w:r>
      <w:r w:rsidR="00CF0751">
        <w:t xml:space="preserve"> (see footnote </w:t>
      </w:r>
      <w:r w:rsidR="0057746E">
        <w:rPr>
          <w:rStyle w:val="FootnoteReference"/>
        </w:rPr>
        <w:footnoteReference w:id="7"/>
      </w:r>
      <w:r w:rsidR="00CF0751">
        <w:t>).</w:t>
      </w:r>
      <w:r w:rsidR="00512F36">
        <w:t xml:space="preserve">   </w:t>
      </w:r>
    </w:p>
    <w:p w14:paraId="7FE1685E" w14:textId="0731A6D0" w:rsidR="00096FC7" w:rsidRDefault="0065031B" w:rsidP="00DC587E">
      <w:pPr>
        <w:pStyle w:val="ListParagraph"/>
        <w:numPr>
          <w:ilvl w:val="0"/>
          <w:numId w:val="31"/>
        </w:numPr>
        <w:spacing w:before="180" w:line="252" w:lineRule="auto"/>
        <w:ind w:left="360"/>
        <w:contextualSpacing w:val="0"/>
        <w:jc w:val="both"/>
      </w:pPr>
      <w:r>
        <w:t>Estimate a</w:t>
      </w:r>
      <w:r w:rsidR="00096FC7">
        <w:t xml:space="preserve"> return for each period based on </w:t>
      </w:r>
      <w:r w:rsidR="00DC587E">
        <w:t xml:space="preserve">the asset class returns adjusted for the active returns from step (a), and </w:t>
      </w:r>
      <w:r w:rsidR="00096FC7">
        <w:t xml:space="preserve">the asset weights from step </w:t>
      </w:r>
      <w:r>
        <w:t>(</w:t>
      </w:r>
      <w:r w:rsidR="00096FC7">
        <w:t>b</w:t>
      </w:r>
      <w:r>
        <w:t>)</w:t>
      </w:r>
      <w:r w:rsidR="00096FC7">
        <w:t xml:space="preserve">. </w:t>
      </w:r>
      <w:r w:rsidR="00096FC7" w:rsidRPr="0065031B">
        <w:rPr>
          <w:i/>
        </w:rPr>
        <w:t>Note</w:t>
      </w:r>
      <w:r w:rsidR="00096FC7">
        <w:t>: Basing the analysis on yearly data will probably suffice.</w:t>
      </w:r>
    </w:p>
    <w:p w14:paraId="341D8742" w14:textId="3B53CA19" w:rsidR="000B6D84" w:rsidRDefault="000B6D84" w:rsidP="00DC587E">
      <w:pPr>
        <w:pStyle w:val="ListParagraph"/>
        <w:numPr>
          <w:ilvl w:val="0"/>
          <w:numId w:val="31"/>
        </w:numPr>
        <w:spacing w:before="180" w:line="252" w:lineRule="auto"/>
        <w:ind w:left="360"/>
        <w:contextualSpacing w:val="0"/>
        <w:jc w:val="both"/>
      </w:pPr>
      <w:r>
        <w:t xml:space="preserve">Simulate the compound return over the analysis period by accumulating </w:t>
      </w:r>
      <w:r w:rsidR="0065031B">
        <w:t xml:space="preserve">estimated </w:t>
      </w:r>
      <w:r>
        <w:t xml:space="preserve">returns </w:t>
      </w:r>
      <w:r w:rsidR="00096FC7">
        <w:t>for each period.</w:t>
      </w:r>
    </w:p>
    <w:p w14:paraId="663B39BE" w14:textId="33F59D80" w:rsidR="000B6D84" w:rsidRDefault="000B6D84" w:rsidP="00DC587E">
      <w:pPr>
        <w:pStyle w:val="ListParagraph"/>
        <w:numPr>
          <w:ilvl w:val="0"/>
          <w:numId w:val="31"/>
        </w:numPr>
        <w:spacing w:before="180" w:line="252" w:lineRule="auto"/>
        <w:ind w:left="360"/>
        <w:contextualSpacing w:val="0"/>
        <w:jc w:val="both"/>
      </w:pPr>
      <w:r>
        <w:t xml:space="preserve">Repeat as many times as required to </w:t>
      </w:r>
      <w:r w:rsidR="00EC356E">
        <w:t xml:space="preserve">adequately </w:t>
      </w:r>
      <w:proofErr w:type="spellStart"/>
      <w:r>
        <w:t>characterise</w:t>
      </w:r>
      <w:proofErr w:type="spellEnd"/>
      <w:r>
        <w:t xml:space="preserve"> the predicted distribution.     </w:t>
      </w:r>
    </w:p>
    <w:p w14:paraId="6EC6D4E3" w14:textId="65670F80" w:rsidR="005D4256" w:rsidRDefault="00096FC7" w:rsidP="00096FC7">
      <w:pPr>
        <w:spacing w:before="180" w:line="252" w:lineRule="auto"/>
        <w:jc w:val="both"/>
      </w:pPr>
      <w:r>
        <w:t>T</w:t>
      </w:r>
      <w:r w:rsidR="000B6D84">
        <w:t xml:space="preserve">he observed distribution </w:t>
      </w:r>
      <w:r>
        <w:t>of accumulated returns over the analysis period can then be compared with</w:t>
      </w:r>
      <w:r w:rsidR="000B6D84">
        <w:t xml:space="preserve"> the predicted distribution</w:t>
      </w:r>
      <w:r w:rsidR="00EC356E">
        <w:t>, and significant cut-off</w:t>
      </w:r>
      <w:r w:rsidR="00254B09">
        <w:t>s</w:t>
      </w:r>
      <w:r w:rsidR="00EC356E">
        <w:t xml:space="preserve"> extracted</w:t>
      </w:r>
      <w:r>
        <w:t>.</w:t>
      </w:r>
      <w:r w:rsidR="000B6D84">
        <w:t xml:space="preserve"> </w:t>
      </w:r>
      <w:r w:rsidR="005D4256">
        <w:t xml:space="preserve"> </w:t>
      </w:r>
    </w:p>
    <w:p w14:paraId="3BA21259" w14:textId="0E935477" w:rsidR="00EA09A9" w:rsidRPr="00833344" w:rsidRDefault="004470C0" w:rsidP="00096FC7">
      <w:pPr>
        <w:spacing w:before="240" w:line="252" w:lineRule="auto"/>
        <w:jc w:val="both"/>
        <w:rPr>
          <w:b/>
          <w:sz w:val="21"/>
          <w:szCs w:val="21"/>
        </w:rPr>
      </w:pPr>
      <w:r w:rsidRPr="00833344">
        <w:rPr>
          <w:b/>
          <w:sz w:val="21"/>
          <w:szCs w:val="21"/>
        </w:rPr>
        <w:t xml:space="preserve">Tweaking </w:t>
      </w:r>
      <w:r w:rsidR="00EA09A9" w:rsidRPr="00833344">
        <w:rPr>
          <w:b/>
          <w:sz w:val="21"/>
          <w:szCs w:val="21"/>
        </w:rPr>
        <w:t>the Benchmarks</w:t>
      </w:r>
    </w:p>
    <w:p w14:paraId="0A11E9FB" w14:textId="472DCD8E" w:rsidR="005D4256" w:rsidRDefault="005D4256" w:rsidP="00F34574">
      <w:pPr>
        <w:spacing w:before="180" w:line="252" w:lineRule="auto"/>
        <w:jc w:val="both"/>
      </w:pPr>
      <w:r w:rsidRPr="0096585F">
        <w:rPr>
          <w:b/>
          <w:i/>
        </w:rPr>
        <w:t xml:space="preserve">Below is a list of </w:t>
      </w:r>
      <w:r w:rsidR="0096585F">
        <w:rPr>
          <w:b/>
          <w:i/>
        </w:rPr>
        <w:t>possible</w:t>
      </w:r>
      <w:r w:rsidR="004470C0" w:rsidRPr="0096585F">
        <w:rPr>
          <w:b/>
          <w:i/>
        </w:rPr>
        <w:t xml:space="preserve"> tweaks to </w:t>
      </w:r>
      <w:r w:rsidRPr="0096585F">
        <w:rPr>
          <w:b/>
          <w:i/>
        </w:rPr>
        <w:t>the benchmarking analysis</w:t>
      </w:r>
      <w:r w:rsidR="00EC356E" w:rsidRPr="0096585F">
        <w:rPr>
          <w:b/>
          <w:i/>
        </w:rPr>
        <w:t xml:space="preserve"> </w:t>
      </w:r>
      <w:r w:rsidR="0096585F">
        <w:rPr>
          <w:b/>
          <w:i/>
        </w:rPr>
        <w:t xml:space="preserve">of </w:t>
      </w:r>
      <w:r w:rsidR="00EC356E" w:rsidRPr="0096585F">
        <w:rPr>
          <w:b/>
          <w:i/>
        </w:rPr>
        <w:t>TS</w:t>
      </w:r>
      <w:r w:rsidR="004470C0" w:rsidRPr="0096585F">
        <w:rPr>
          <w:b/>
          <w:i/>
        </w:rPr>
        <w:t>4</w:t>
      </w:r>
      <w:r w:rsidRPr="0096585F">
        <w:rPr>
          <w:b/>
          <w:i/>
        </w:rPr>
        <w:t>.</w:t>
      </w:r>
      <w:r>
        <w:t xml:space="preserve"> Most of </w:t>
      </w:r>
      <w:r w:rsidR="0096585F">
        <w:t>the</w:t>
      </w:r>
      <w:r w:rsidR="004470C0">
        <w:t xml:space="preserve"> suggestions </w:t>
      </w:r>
      <w:r w:rsidR="00EC356E">
        <w:t>should</w:t>
      </w:r>
      <w:r w:rsidR="004470C0">
        <w:t xml:space="preserve"> make only marginal difference to the findings. They hence could be adopted with a</w:t>
      </w:r>
      <w:r>
        <w:t xml:space="preserve"> </w:t>
      </w:r>
      <w:r w:rsidR="004470C0">
        <w:t xml:space="preserve">view to adding </w:t>
      </w:r>
      <w:r w:rsidR="00EC356E">
        <w:t xml:space="preserve">a bit more </w:t>
      </w:r>
      <w:r w:rsidR="004470C0">
        <w:t xml:space="preserve">precision, </w:t>
      </w:r>
      <w:r w:rsidR="00DC587E">
        <w:t>and pursued</w:t>
      </w:r>
      <w:r w:rsidR="00EC356E">
        <w:t xml:space="preserve"> only if the</w:t>
      </w:r>
      <w:r w:rsidR="00254B09">
        <w:t xml:space="preserve"> potential benefit is</w:t>
      </w:r>
      <w:r w:rsidR="004470C0">
        <w:t xml:space="preserve"> worth the additional effort required. </w:t>
      </w:r>
      <w:r>
        <w:t xml:space="preserve"> </w:t>
      </w:r>
    </w:p>
    <w:p w14:paraId="6C4A0B89" w14:textId="3036EB07" w:rsidR="005D4256" w:rsidRDefault="004470C0" w:rsidP="00DC587E">
      <w:pPr>
        <w:pStyle w:val="ListParagraph"/>
        <w:numPr>
          <w:ilvl w:val="1"/>
          <w:numId w:val="33"/>
        </w:numPr>
        <w:spacing w:before="180" w:line="252" w:lineRule="auto"/>
        <w:ind w:left="288" w:hanging="288"/>
        <w:contextualSpacing w:val="0"/>
        <w:jc w:val="both"/>
      </w:pPr>
      <w:r w:rsidRPr="004470C0">
        <w:rPr>
          <w:i/>
        </w:rPr>
        <w:t>World equities</w:t>
      </w:r>
      <w:r>
        <w:t xml:space="preserve"> – Consider using the </w:t>
      </w:r>
      <w:r w:rsidR="005D4256">
        <w:t>MSCI All Country World</w:t>
      </w:r>
      <w:r>
        <w:t xml:space="preserve"> rather than the MSCI World</w:t>
      </w:r>
      <w:r w:rsidR="00EC356E">
        <w:t xml:space="preserve"> Index. The MSCI AWCI </w:t>
      </w:r>
      <w:r>
        <w:t>includes emerging market</w:t>
      </w:r>
      <w:r w:rsidR="00EC356E">
        <w:t>s,</w:t>
      </w:r>
      <w:r>
        <w:t xml:space="preserve"> which are a component of the opportunity </w:t>
      </w:r>
      <w:r w:rsidR="00EC356E">
        <w:t xml:space="preserve">and investment </w:t>
      </w:r>
      <w:r>
        <w:t>set.</w:t>
      </w:r>
    </w:p>
    <w:p w14:paraId="6FA9804D" w14:textId="5D02E46C" w:rsidR="005D4256" w:rsidRDefault="004470C0" w:rsidP="00DC587E">
      <w:pPr>
        <w:pStyle w:val="ListParagraph"/>
        <w:numPr>
          <w:ilvl w:val="1"/>
          <w:numId w:val="33"/>
        </w:numPr>
        <w:spacing w:before="180" w:line="252" w:lineRule="auto"/>
        <w:ind w:left="288" w:hanging="288"/>
        <w:contextualSpacing w:val="0"/>
        <w:jc w:val="both"/>
      </w:pPr>
      <w:r w:rsidRPr="00C1635B">
        <w:rPr>
          <w:i/>
        </w:rPr>
        <w:t>Private equity</w:t>
      </w:r>
      <w:r>
        <w:t xml:space="preserve"> – M</w:t>
      </w:r>
      <w:r w:rsidR="005D4256">
        <w:t xml:space="preserve">y understanding is that </w:t>
      </w:r>
      <w:r>
        <w:t xml:space="preserve">the holdings in </w:t>
      </w:r>
      <w:r w:rsidR="005D4256">
        <w:t xml:space="preserve">this asset class </w:t>
      </w:r>
      <w:r>
        <w:t>may be</w:t>
      </w:r>
      <w:r w:rsidR="005D4256">
        <w:t xml:space="preserve"> more international than Australian</w:t>
      </w:r>
      <w:r>
        <w:t xml:space="preserve">-based, </w:t>
      </w:r>
      <w:r w:rsidR="00EC356E">
        <w:t xml:space="preserve">implemented </w:t>
      </w:r>
      <w:r>
        <w:t>via either international private equity managers or perhaps fund-of-funds</w:t>
      </w:r>
      <w:r w:rsidR="00C1635B">
        <w:t xml:space="preserve">. </w:t>
      </w:r>
      <w:r>
        <w:t>Cambrid</w:t>
      </w:r>
      <w:r w:rsidR="00C1635B">
        <w:t>g</w:t>
      </w:r>
      <w:r>
        <w:t>e Associates</w:t>
      </w:r>
      <w:r w:rsidR="00C1635B">
        <w:t>, whi</w:t>
      </w:r>
      <w:r w:rsidR="00EC356E">
        <w:t>ch supplies the AVCAL index, generates</w:t>
      </w:r>
      <w:r w:rsidR="00C1635B">
        <w:t xml:space="preserve"> a </w:t>
      </w:r>
      <w:r>
        <w:t>U</w:t>
      </w:r>
      <w:r w:rsidR="00C1635B">
        <w:t>S and a</w:t>
      </w:r>
      <w:r w:rsidR="005D4256">
        <w:t xml:space="preserve"> world index. </w:t>
      </w:r>
    </w:p>
    <w:p w14:paraId="54ABFBCA" w14:textId="5CE5D200" w:rsidR="005D4256" w:rsidRDefault="00DC587E" w:rsidP="00DC587E">
      <w:pPr>
        <w:pStyle w:val="ListParagraph"/>
        <w:numPr>
          <w:ilvl w:val="1"/>
          <w:numId w:val="33"/>
        </w:numPr>
        <w:spacing w:before="180" w:line="252" w:lineRule="auto"/>
        <w:ind w:left="288" w:hanging="288"/>
        <w:contextualSpacing w:val="0"/>
        <w:jc w:val="both"/>
      </w:pPr>
      <w:r>
        <w:rPr>
          <w:i/>
        </w:rPr>
        <w:t>World property</w:t>
      </w:r>
      <w:r w:rsidR="00C1635B">
        <w:rPr>
          <w:i/>
        </w:rPr>
        <w:t xml:space="preserve"> and currency</w:t>
      </w:r>
      <w:r w:rsidR="00EC356E">
        <w:t xml:space="preserve"> – The F</w:t>
      </w:r>
      <w:r w:rsidR="00C1635B">
        <w:t>T</w:t>
      </w:r>
      <w:r w:rsidR="00EC356E">
        <w:t>S</w:t>
      </w:r>
      <w:r w:rsidR="00C1635B">
        <w:t xml:space="preserve">E EPRA NAREIT index </w:t>
      </w:r>
      <w:r w:rsidR="005D4256">
        <w:t xml:space="preserve">might </w:t>
      </w:r>
      <w:r w:rsidR="00EC356E">
        <w:t xml:space="preserve">be </w:t>
      </w:r>
      <w:r w:rsidR="005D4256">
        <w:t>adjust</w:t>
      </w:r>
      <w:r w:rsidR="00EC356E">
        <w:t>ed</w:t>
      </w:r>
      <w:r w:rsidR="005D4256">
        <w:t xml:space="preserve"> back to unhedged by imputing the impact of hedging by comparing the hedged and unhedged MSCI world equity indices.</w:t>
      </w:r>
      <w:r>
        <w:rPr>
          <w:rStyle w:val="FootnoteReference"/>
        </w:rPr>
        <w:footnoteReference w:id="8"/>
      </w:r>
      <w:r w:rsidR="005D4256">
        <w:t xml:space="preserve">  </w:t>
      </w:r>
    </w:p>
    <w:p w14:paraId="64E74AEC" w14:textId="4F2860ED" w:rsidR="005D4256" w:rsidRDefault="00C1635B" w:rsidP="00DC587E">
      <w:pPr>
        <w:pStyle w:val="ListParagraph"/>
        <w:numPr>
          <w:ilvl w:val="1"/>
          <w:numId w:val="33"/>
        </w:numPr>
        <w:spacing w:before="180" w:line="252" w:lineRule="auto"/>
        <w:ind w:left="288" w:hanging="288"/>
        <w:contextualSpacing w:val="0"/>
        <w:jc w:val="both"/>
      </w:pPr>
      <w:r w:rsidRPr="00C1635B">
        <w:rPr>
          <w:i/>
        </w:rPr>
        <w:lastRenderedPageBreak/>
        <w:t>Other assets</w:t>
      </w:r>
      <w:r>
        <w:t xml:space="preserve"> – The use of equities as </w:t>
      </w:r>
      <w:r w:rsidR="005D4256">
        <w:t xml:space="preserve">a proxy </w:t>
      </w:r>
      <w:r>
        <w:t xml:space="preserve">here </w:t>
      </w:r>
      <w:r w:rsidR="00EC356E">
        <w:t xml:space="preserve">may be an issue, as this category includes assets that are often lowly correlated with equities, such as </w:t>
      </w:r>
      <w:r w:rsidR="005D4256">
        <w:t xml:space="preserve">hedge funds, commodities, resources, </w:t>
      </w:r>
      <w:r w:rsidR="00EC356E">
        <w:t xml:space="preserve">exotic debt, </w:t>
      </w:r>
      <w:r w:rsidR="005D4256">
        <w:t xml:space="preserve">agriculture, forestry, </w:t>
      </w:r>
      <w:r w:rsidR="00EC356E">
        <w:t>and so on</w:t>
      </w:r>
      <w:r w:rsidR="005D4256">
        <w:t>.</w:t>
      </w:r>
      <w:r>
        <w:t xml:space="preserve"> Why not just gross up the returns</w:t>
      </w:r>
      <w:r w:rsidR="00EC356E">
        <w:t xml:space="preserve"> estimated from observed asset classes</w:t>
      </w:r>
      <w:r>
        <w:t>, rather than try to form an explicit proxy?</w:t>
      </w:r>
    </w:p>
    <w:p w14:paraId="18323812" w14:textId="16159552" w:rsidR="005D4256" w:rsidRDefault="00C1635B" w:rsidP="00DC587E">
      <w:pPr>
        <w:pStyle w:val="ListParagraph"/>
        <w:numPr>
          <w:ilvl w:val="1"/>
          <w:numId w:val="33"/>
        </w:numPr>
        <w:spacing w:before="180" w:line="252" w:lineRule="auto"/>
        <w:ind w:left="288" w:hanging="288"/>
        <w:contextualSpacing w:val="0"/>
        <w:jc w:val="both"/>
      </w:pPr>
      <w:r w:rsidRPr="00C1635B">
        <w:rPr>
          <w:i/>
        </w:rPr>
        <w:t>C</w:t>
      </w:r>
      <w:r w:rsidR="005D4256" w:rsidRPr="00C1635B">
        <w:rPr>
          <w:i/>
        </w:rPr>
        <w:t>ommoditie</w:t>
      </w:r>
      <w:r w:rsidR="005D4256">
        <w:t xml:space="preserve">s </w:t>
      </w:r>
      <w:r>
        <w:t>– If the PC want</w:t>
      </w:r>
      <w:r w:rsidR="00EC356E">
        <w:t>s</w:t>
      </w:r>
      <w:r>
        <w:t xml:space="preserve"> to include a measure</w:t>
      </w:r>
      <w:r w:rsidR="00EC356E">
        <w:t xml:space="preserve"> for this asset class</w:t>
      </w:r>
      <w:r>
        <w:t xml:space="preserve">, </w:t>
      </w:r>
      <w:r w:rsidR="00EC356E">
        <w:t xml:space="preserve">I suggest that </w:t>
      </w:r>
      <w:r>
        <w:t>use a</w:t>
      </w:r>
      <w:r w:rsidR="005D4256">
        <w:t xml:space="preserve"> proxy for </w:t>
      </w:r>
      <w:proofErr w:type="spellStart"/>
      <w:r w:rsidR="005D4256">
        <w:t>collateralised</w:t>
      </w:r>
      <w:proofErr w:type="spellEnd"/>
      <w:r w:rsidR="005D4256">
        <w:t xml:space="preserve"> commodity future funds (CCFs) which are the prime vehicle. (</w:t>
      </w:r>
      <w:r w:rsidR="00EC356E">
        <w:t>Note: CCFs</w:t>
      </w:r>
      <w:r>
        <w:t xml:space="preserve"> are n</w:t>
      </w:r>
      <w:r w:rsidR="005D4256">
        <w:t>ot the same as physical commodities.)</w:t>
      </w:r>
      <w:r>
        <w:t xml:space="preserve"> One example is the Goldman Sachs Commodities Total Return I</w:t>
      </w:r>
      <w:r w:rsidR="005D4256">
        <w:t>ndex</w:t>
      </w:r>
      <w:r w:rsidR="00EC356E">
        <w:t>, although this is heavily weighted to energy and other indices</w:t>
      </w:r>
      <w:r>
        <w:t xml:space="preserve"> exist</w:t>
      </w:r>
      <w:r w:rsidR="005D4256">
        <w:t>.</w:t>
      </w:r>
    </w:p>
    <w:p w14:paraId="599DD970" w14:textId="6408CD32" w:rsidR="005D4256" w:rsidRDefault="00C1635B" w:rsidP="00DC587E">
      <w:pPr>
        <w:pStyle w:val="ListParagraph"/>
        <w:numPr>
          <w:ilvl w:val="1"/>
          <w:numId w:val="33"/>
        </w:numPr>
        <w:spacing w:before="180" w:line="252" w:lineRule="auto"/>
        <w:ind w:left="288" w:hanging="288"/>
        <w:contextualSpacing w:val="0"/>
        <w:jc w:val="both"/>
      </w:pPr>
      <w:r w:rsidRPr="00C1635B">
        <w:rPr>
          <w:i/>
        </w:rPr>
        <w:t>Hedge F</w:t>
      </w:r>
      <w:r w:rsidR="005D4256" w:rsidRPr="00C1635B">
        <w:rPr>
          <w:i/>
        </w:rPr>
        <w:t>unds</w:t>
      </w:r>
      <w:r w:rsidR="005D4256">
        <w:t xml:space="preserve"> </w:t>
      </w:r>
      <w:r>
        <w:t>–</w:t>
      </w:r>
      <w:r w:rsidR="00EC356E">
        <w:t xml:space="preserve"> Benchmark r</w:t>
      </w:r>
      <w:r>
        <w:t xml:space="preserve">eturn data is </w:t>
      </w:r>
      <w:r w:rsidR="00EC356E">
        <w:t>also readily available for hedge funds</w:t>
      </w:r>
      <w:r>
        <w:t xml:space="preserve">. For example, </w:t>
      </w:r>
      <w:proofErr w:type="spellStart"/>
      <w:r w:rsidR="005D4256">
        <w:t>EurekaHedge</w:t>
      </w:r>
      <w:proofErr w:type="spellEnd"/>
      <w:r w:rsidR="005D4256">
        <w:t xml:space="preserve"> </w:t>
      </w:r>
      <w:r>
        <w:t>provides i</w:t>
      </w:r>
      <w:r w:rsidR="005D4256">
        <w:t xml:space="preserve">ndices </w:t>
      </w:r>
      <w:r>
        <w:t xml:space="preserve">that </w:t>
      </w:r>
      <w:r w:rsidR="005D4256">
        <w:t xml:space="preserve">are publically available. </w:t>
      </w:r>
      <w:r>
        <w:t>(</w:t>
      </w:r>
      <w:r w:rsidR="005D4256">
        <w:t>http://www.eurekahedge.com/Indices</w:t>
      </w:r>
      <w:r>
        <w:t>)</w:t>
      </w:r>
    </w:p>
    <w:p w14:paraId="299F1600" w14:textId="54DF5500" w:rsidR="005D4256" w:rsidRDefault="00C1635B" w:rsidP="00DC587E">
      <w:pPr>
        <w:pStyle w:val="ListParagraph"/>
        <w:numPr>
          <w:ilvl w:val="1"/>
          <w:numId w:val="33"/>
        </w:numPr>
        <w:spacing w:before="180" w:line="252" w:lineRule="auto"/>
        <w:ind w:left="288" w:hanging="288"/>
        <w:contextualSpacing w:val="0"/>
        <w:jc w:val="both"/>
      </w:pPr>
      <w:r w:rsidRPr="00C1635B">
        <w:rPr>
          <w:i/>
        </w:rPr>
        <w:t>Hedge ratios</w:t>
      </w:r>
      <w:r>
        <w:t xml:space="preserve"> – </w:t>
      </w:r>
      <w:r w:rsidR="00EC356E">
        <w:t xml:space="preserve">The </w:t>
      </w:r>
      <w:r w:rsidR="005D4256">
        <w:t xml:space="preserve">Chant West </w:t>
      </w:r>
      <w:r w:rsidR="00EC356E">
        <w:t xml:space="preserve">asset allocation survey </w:t>
      </w:r>
      <w:r w:rsidR="005D4256">
        <w:t>collects hedged and unhedge</w:t>
      </w:r>
      <w:r>
        <w:t>d world equities, and would</w:t>
      </w:r>
      <w:r w:rsidR="005D4256">
        <w:t xml:space="preserve"> give you a time series</w:t>
      </w:r>
      <w:r>
        <w:t xml:space="preserve"> proxy for hedge ratios</w:t>
      </w:r>
      <w:r w:rsidR="005D4256">
        <w:t>.</w:t>
      </w:r>
      <w:r w:rsidR="00BA1ED9">
        <w:t xml:space="preserve"> </w:t>
      </w:r>
      <w:r w:rsidR="00C12E61">
        <w:t xml:space="preserve">An average hedge ratio of 34%is reported by </w:t>
      </w:r>
      <w:r w:rsidR="00BA1ED9">
        <w:t>Chant, Mohankumar and Warren (2014)</w:t>
      </w:r>
      <w:r w:rsidR="00C12E61">
        <w:rPr>
          <w:rStyle w:val="FootnoteReference"/>
        </w:rPr>
        <w:footnoteReference w:id="9"/>
      </w:r>
      <w:r w:rsidR="00C12E61">
        <w:t xml:space="preserve"> </w:t>
      </w:r>
      <w:r w:rsidR="00BA1ED9">
        <w:t>at December 2013, which is not greatly different from the 30% used by the PC.</w:t>
      </w:r>
      <w:r w:rsidR="00EC356E">
        <w:t xml:space="preserve"> Nevertheless, given the noted sensitivity to the hedging assumption, it may be worth exploring this aspect further.</w:t>
      </w:r>
    </w:p>
    <w:p w14:paraId="158B430A" w14:textId="5A96C994" w:rsidR="001C4633" w:rsidRDefault="00BA1ED9" w:rsidP="00DC587E">
      <w:pPr>
        <w:pStyle w:val="ListParagraph"/>
        <w:numPr>
          <w:ilvl w:val="1"/>
          <w:numId w:val="33"/>
        </w:numPr>
        <w:spacing w:before="180" w:line="252" w:lineRule="auto"/>
        <w:ind w:left="288" w:hanging="288"/>
        <w:contextualSpacing w:val="0"/>
        <w:jc w:val="both"/>
      </w:pPr>
      <w:r w:rsidRPr="00431937">
        <w:rPr>
          <w:i/>
        </w:rPr>
        <w:t>Other data sources</w:t>
      </w:r>
      <w:r>
        <w:t xml:space="preserve"> – The PC might consider supplementing </w:t>
      </w:r>
      <w:r w:rsidR="00EC356E">
        <w:t xml:space="preserve">the </w:t>
      </w:r>
      <w:proofErr w:type="spellStart"/>
      <w:r>
        <w:t>SuperRatings</w:t>
      </w:r>
      <w:proofErr w:type="spellEnd"/>
      <w:r>
        <w:t xml:space="preserve"> and Morningstar data with data from Chant West, in particular because they collect more granular asset wei</w:t>
      </w:r>
      <w:r w:rsidR="00EC356E">
        <w:t>ghts for a subset of funds. P</w:t>
      </w:r>
      <w:r w:rsidR="005D4256">
        <w:t xml:space="preserve">age 9 </w:t>
      </w:r>
      <w:r>
        <w:t>of Ch</w:t>
      </w:r>
      <w:r w:rsidR="00EC356E">
        <w:t>ant, Mohankumar and Warren (</w:t>
      </w:r>
      <w:r w:rsidR="00EC356E" w:rsidRPr="00EC356E">
        <w:rPr>
          <w:i/>
        </w:rPr>
        <w:t>op. cit.</w:t>
      </w:r>
      <w:r>
        <w:t xml:space="preserve">) </w:t>
      </w:r>
      <w:r w:rsidR="00EC356E">
        <w:t xml:space="preserve">provides </w:t>
      </w:r>
      <w:r w:rsidR="005D4256">
        <w:t xml:space="preserve">an </w:t>
      </w:r>
      <w:r>
        <w:t>overview. Also, Me</w:t>
      </w:r>
      <w:r w:rsidR="00C12E61">
        <w:t>rcer produces a Fee R</w:t>
      </w:r>
      <w:r w:rsidR="007B0B1E">
        <w:t>eport that</w:t>
      </w:r>
      <w:r>
        <w:t xml:space="preserve"> could provide an additional reference and </w:t>
      </w:r>
      <w:r w:rsidR="005D4256">
        <w:t xml:space="preserve">check </w:t>
      </w:r>
      <w:r>
        <w:t xml:space="preserve">on the fee assumptions, including </w:t>
      </w:r>
      <w:r w:rsidR="00C12E61">
        <w:t>reporting f</w:t>
      </w:r>
      <w:r>
        <w:t>ees across market segments (retail, wholesale</w:t>
      </w:r>
      <w:r w:rsidR="00C12E61">
        <w:t xml:space="preserve">, separate </w:t>
      </w:r>
      <w:r w:rsidR="005D4256">
        <w:t>mandates</w:t>
      </w:r>
      <w:r>
        <w:t>)</w:t>
      </w:r>
      <w:r w:rsidR="005D4256">
        <w:t>.</w:t>
      </w:r>
    </w:p>
    <w:p w14:paraId="414BCAF2" w14:textId="14565AD1" w:rsidR="001C4633" w:rsidRPr="00345A21" w:rsidRDefault="001C4633" w:rsidP="001C4633">
      <w:pPr>
        <w:spacing w:before="240" w:line="252" w:lineRule="auto"/>
        <w:jc w:val="both"/>
        <w:rPr>
          <w:b/>
          <w:sz w:val="21"/>
          <w:szCs w:val="21"/>
        </w:rPr>
      </w:pPr>
      <w:r w:rsidRPr="00345A21">
        <w:rPr>
          <w:b/>
          <w:sz w:val="21"/>
          <w:szCs w:val="21"/>
        </w:rPr>
        <w:t>Potential Issues with Benchmarks</w:t>
      </w:r>
    </w:p>
    <w:p w14:paraId="3B8C914E" w14:textId="21E7159E" w:rsidR="00613137" w:rsidRDefault="00365E03" w:rsidP="00613137">
      <w:pPr>
        <w:spacing w:before="180" w:line="252" w:lineRule="auto"/>
        <w:jc w:val="both"/>
      </w:pPr>
      <w:r>
        <w:t xml:space="preserve">The PC’s Draft Report seems to envisage that performance versus benchmark </w:t>
      </w:r>
      <w:r w:rsidR="007803D8">
        <w:t>be</w:t>
      </w:r>
      <w:r>
        <w:t xml:space="preserve"> established as a primary means of evaluating default funds, including notably for </w:t>
      </w:r>
      <w:proofErr w:type="spellStart"/>
      <w:r>
        <w:t>MySuper</w:t>
      </w:r>
      <w:proofErr w:type="spellEnd"/>
      <w:r>
        <w:t xml:space="preserve"> registration (Recommendation 4). </w:t>
      </w:r>
      <w:r w:rsidR="006539C4">
        <w:t>There are a number of dangers in relying too heavily on benchmark-relative performance</w:t>
      </w:r>
      <w:r w:rsidR="00C12E61">
        <w:t xml:space="preserve"> when it comes to system design</w:t>
      </w:r>
      <w:r w:rsidR="006539C4">
        <w:t>. It w</w:t>
      </w:r>
      <w:r>
        <w:t xml:space="preserve">ould </w:t>
      </w:r>
      <w:proofErr w:type="spellStart"/>
      <w:r w:rsidR="006539C4">
        <w:t>incentivise</w:t>
      </w:r>
      <w:proofErr w:type="spellEnd"/>
      <w:r>
        <w:t xml:space="preserve"> funds to manage towards their benchmark, </w:t>
      </w:r>
      <w:r w:rsidR="00613137">
        <w:t xml:space="preserve">when </w:t>
      </w:r>
      <w:r w:rsidR="00820E7A">
        <w:t>the</w:t>
      </w:r>
      <w:r>
        <w:t xml:space="preserve"> </w:t>
      </w:r>
      <w:r w:rsidR="00650D01">
        <w:t xml:space="preserve">primary </w:t>
      </w:r>
      <w:r w:rsidR="00613137">
        <w:t xml:space="preserve">concern should be </w:t>
      </w:r>
      <w:r w:rsidR="00650D01">
        <w:t>w</w:t>
      </w:r>
      <w:r>
        <w:t>hat is best for members</w:t>
      </w:r>
      <w:r w:rsidR="00650D01">
        <w:t>. B</w:t>
      </w:r>
      <w:r>
        <w:t>enchmark</w:t>
      </w:r>
      <w:r w:rsidR="00650D01">
        <w:t>s</w:t>
      </w:r>
      <w:r>
        <w:t xml:space="preserve"> can act as anchors</w:t>
      </w:r>
      <w:r w:rsidR="006539C4">
        <w:t>,</w:t>
      </w:r>
      <w:r w:rsidR="00733397">
        <w:rPr>
          <w:rStyle w:val="FootnoteReference"/>
        </w:rPr>
        <w:footnoteReference w:id="10"/>
      </w:r>
      <w:r w:rsidR="006539C4">
        <w:t xml:space="preserve"> and </w:t>
      </w:r>
      <w:r w:rsidR="00613137">
        <w:t xml:space="preserve">may be gamed. </w:t>
      </w:r>
    </w:p>
    <w:p w14:paraId="20AB6010" w14:textId="6129D72B" w:rsidR="00613137" w:rsidRDefault="00613137" w:rsidP="00613137">
      <w:pPr>
        <w:spacing w:before="180" w:line="252" w:lineRule="auto"/>
        <w:jc w:val="both"/>
      </w:pPr>
      <w:r>
        <w:t xml:space="preserve">Benchmarks </w:t>
      </w:r>
      <w:r w:rsidR="006539C4">
        <w:t xml:space="preserve">encourage </w:t>
      </w:r>
      <w:r w:rsidR="00820E7A">
        <w:t xml:space="preserve">investment </w:t>
      </w:r>
      <w:r w:rsidR="006539C4">
        <w:t>positions that have a high chance of outperforming in the shorter term</w:t>
      </w:r>
      <w:r>
        <w:t>, even though they</w:t>
      </w:r>
      <w:r w:rsidR="006539C4">
        <w:t xml:space="preserve"> may</w:t>
      </w:r>
      <w:r w:rsidR="000D48AD">
        <w:t xml:space="preserve"> not</w:t>
      </w:r>
      <w:r w:rsidR="006539C4">
        <w:t xml:space="preserve"> be </w:t>
      </w:r>
      <w:r w:rsidR="000D48AD">
        <w:t xml:space="preserve">the </w:t>
      </w:r>
      <w:r w:rsidR="006539C4">
        <w:t xml:space="preserve">best </w:t>
      </w:r>
      <w:r w:rsidR="000D48AD">
        <w:t>option</w:t>
      </w:r>
      <w:r>
        <w:t xml:space="preserve"> </w:t>
      </w:r>
      <w:r w:rsidR="006539C4">
        <w:t xml:space="preserve">for members over the long term. </w:t>
      </w:r>
      <w:r w:rsidR="00365E03">
        <w:t>For instance, say</w:t>
      </w:r>
      <w:r w:rsidR="00650D01">
        <w:t xml:space="preserve"> equity markets enter bubble territory</w:t>
      </w:r>
      <w:r w:rsidR="00365E03">
        <w:t xml:space="preserve"> </w:t>
      </w:r>
      <w:r w:rsidR="00650D01">
        <w:t xml:space="preserve">where the sensible response might </w:t>
      </w:r>
      <w:r>
        <w:t xml:space="preserve">be </w:t>
      </w:r>
      <w:r w:rsidR="00650D01">
        <w:t xml:space="preserve">to reduce equity weightings. </w:t>
      </w:r>
      <w:r>
        <w:t xml:space="preserve">Funds managing their benchmark-relative performance may shy away from </w:t>
      </w:r>
      <w:r w:rsidR="00820E7A">
        <w:t>making the</w:t>
      </w:r>
      <w:r>
        <w:t xml:space="preserve"> appropriate </w:t>
      </w:r>
      <w:r w:rsidR="00820E7A">
        <w:t>ad</w:t>
      </w:r>
      <w:r w:rsidR="00CF0751">
        <w:t>j</w:t>
      </w:r>
      <w:r w:rsidR="00820E7A">
        <w:t>ustment</w:t>
      </w:r>
      <w:r>
        <w:t xml:space="preserve">. </w:t>
      </w:r>
      <w:r w:rsidR="006539C4">
        <w:t xml:space="preserve">A converse example is that fixed income portfolios are often seen with high credit exposure </w:t>
      </w:r>
      <w:r w:rsidR="00CF0751">
        <w:t>because</w:t>
      </w:r>
      <w:r w:rsidR="006539C4">
        <w:t xml:space="preserve"> it offers higher yields </w:t>
      </w:r>
      <w:r>
        <w:t xml:space="preserve">and hence </w:t>
      </w:r>
      <w:r w:rsidR="006539C4">
        <w:t>a good chance of near-term outperformance</w:t>
      </w:r>
      <w:r w:rsidR="00CF0751">
        <w:t>, while</w:t>
      </w:r>
      <w:r w:rsidR="006539C4">
        <w:t xml:space="preserve"> </w:t>
      </w:r>
      <w:r w:rsidR="00CF0751">
        <w:t>leaving</w:t>
      </w:r>
      <w:r w:rsidR="006539C4">
        <w:t xml:space="preserve"> the portfolio exposed to losses and illiquidity </w:t>
      </w:r>
      <w:r>
        <w:t>during</w:t>
      </w:r>
      <w:r w:rsidR="006539C4">
        <w:t xml:space="preserve"> downturn</w:t>
      </w:r>
      <w:r>
        <w:t>s. Also, s</w:t>
      </w:r>
      <w:r w:rsidR="006539C4">
        <w:t xml:space="preserve">ome </w:t>
      </w:r>
      <w:r w:rsidR="00C12E61">
        <w:t xml:space="preserve">private market </w:t>
      </w:r>
      <w:r w:rsidR="006539C4">
        <w:t xml:space="preserve">investments </w:t>
      </w:r>
      <w:r>
        <w:t>entail</w:t>
      </w:r>
      <w:r w:rsidR="006539C4">
        <w:t xml:space="preserve"> initial </w:t>
      </w:r>
      <w:r>
        <w:t>costs with</w:t>
      </w:r>
      <w:r w:rsidR="006539C4">
        <w:t xml:space="preserve"> returns </w:t>
      </w:r>
      <w:r>
        <w:t>accruing only over the long run</w:t>
      </w:r>
      <w:r w:rsidR="006539C4">
        <w:t xml:space="preserve"> (the </w:t>
      </w:r>
      <w:r>
        <w:t>‘</w:t>
      </w:r>
      <w:r w:rsidR="006539C4">
        <w:t>J-curve</w:t>
      </w:r>
      <w:r>
        <w:t>’</w:t>
      </w:r>
      <w:r w:rsidR="006539C4">
        <w:t>)</w:t>
      </w:r>
      <w:r w:rsidR="00C12E61">
        <w:t>. Such investments</w:t>
      </w:r>
      <w:r w:rsidR="006539C4">
        <w:t xml:space="preserve"> may look unattractive if the </w:t>
      </w:r>
      <w:r>
        <w:t xml:space="preserve">focus of </w:t>
      </w:r>
      <w:r w:rsidR="006539C4">
        <w:t xml:space="preserve">concern is </w:t>
      </w:r>
      <w:r>
        <w:t xml:space="preserve">shorter term </w:t>
      </w:r>
      <w:r w:rsidR="006539C4">
        <w:t>performance</w:t>
      </w:r>
      <w:r>
        <w:t>, looking towards the next review by APRA or the selection panel</w:t>
      </w:r>
      <w:r w:rsidR="006539C4">
        <w:t xml:space="preserve">. </w:t>
      </w:r>
    </w:p>
    <w:p w14:paraId="6DE2A953" w14:textId="3BB7F7BE" w:rsidR="00431937" w:rsidRDefault="00CF0751" w:rsidP="00613137">
      <w:pPr>
        <w:spacing w:before="180" w:line="252" w:lineRule="auto"/>
        <w:jc w:val="both"/>
      </w:pPr>
      <w:r>
        <w:t>An</w:t>
      </w:r>
      <w:r w:rsidR="00613137">
        <w:t xml:space="preserve">other issue is how the </w:t>
      </w:r>
      <w:r>
        <w:t>benchmark will be</w:t>
      </w:r>
      <w:r w:rsidR="00613137">
        <w:t xml:space="preserve"> determined. </w:t>
      </w:r>
      <w:r w:rsidR="00650D01">
        <w:t xml:space="preserve">If funds </w:t>
      </w:r>
      <w:r w:rsidR="006539C4">
        <w:t>are allowed</w:t>
      </w:r>
      <w:r w:rsidR="00650D01">
        <w:t xml:space="preserve"> to choose their own benchmarks, or have influence over benchmark design, they will aim to secure one that is easy to beat.</w:t>
      </w:r>
      <w:r w:rsidR="006539C4">
        <w:t xml:space="preserve"> </w:t>
      </w:r>
      <w:r w:rsidR="00613137">
        <w:t xml:space="preserve">If benchmarks are specified by an external party for a segment (e.g. 70/30 balanced funds), the potential problems related to anchoring discussed above could become an industry-wide issue, </w:t>
      </w:r>
      <w:r w:rsidR="000D48AD">
        <w:t xml:space="preserve">possibly </w:t>
      </w:r>
      <w:r w:rsidR="00613137">
        <w:t xml:space="preserve">with </w:t>
      </w:r>
      <w:r w:rsidR="000D48AD">
        <w:t xml:space="preserve">some </w:t>
      </w:r>
      <w:r w:rsidR="00613137">
        <w:t>systemic effects.</w:t>
      </w:r>
    </w:p>
    <w:p w14:paraId="3CC104E5" w14:textId="1505874D" w:rsidR="00613137" w:rsidRDefault="00613137" w:rsidP="00613137">
      <w:pPr>
        <w:spacing w:before="180" w:line="252" w:lineRule="auto"/>
        <w:jc w:val="both"/>
      </w:pPr>
      <w:r>
        <w:t xml:space="preserve">To an extent, </w:t>
      </w:r>
      <w:r w:rsidR="007803D8">
        <w:t xml:space="preserve">exposure to </w:t>
      </w:r>
      <w:r>
        <w:t>the</w:t>
      </w:r>
      <w:r w:rsidR="007803D8">
        <w:t xml:space="preserve"> above problems are </w:t>
      </w:r>
      <w:r w:rsidR="00CF0751">
        <w:t xml:space="preserve">an </w:t>
      </w:r>
      <w:r w:rsidR="007803D8">
        <w:t xml:space="preserve">unavoidable consequence of accessing the benefits of using benchmarks. The question is how to mitigate the problems. </w:t>
      </w:r>
      <w:r w:rsidR="007803D8">
        <w:rPr>
          <w:b/>
          <w:i/>
        </w:rPr>
        <w:t xml:space="preserve">I suggest </w:t>
      </w:r>
      <w:r w:rsidR="007803D8" w:rsidRPr="007803D8">
        <w:rPr>
          <w:b/>
          <w:i/>
        </w:rPr>
        <w:t xml:space="preserve">that </w:t>
      </w:r>
      <w:r w:rsidR="007803D8">
        <w:rPr>
          <w:b/>
          <w:i/>
        </w:rPr>
        <w:t xml:space="preserve">the PC makes the recommendation that </w:t>
      </w:r>
      <w:r w:rsidR="007803D8" w:rsidRPr="007803D8">
        <w:rPr>
          <w:b/>
          <w:i/>
        </w:rPr>
        <w:t xml:space="preserve">evaluation </w:t>
      </w:r>
      <w:r w:rsidR="007803D8">
        <w:rPr>
          <w:b/>
          <w:i/>
        </w:rPr>
        <w:t xml:space="preserve">of default funds </w:t>
      </w:r>
      <w:r w:rsidR="007803D8" w:rsidRPr="007803D8">
        <w:rPr>
          <w:b/>
          <w:i/>
        </w:rPr>
        <w:t xml:space="preserve">by both APRA and any selection panel be based on </w:t>
      </w:r>
      <w:r w:rsidR="007803D8">
        <w:rPr>
          <w:b/>
          <w:i/>
        </w:rPr>
        <w:t xml:space="preserve">a </w:t>
      </w:r>
      <w:r w:rsidR="007803D8" w:rsidRPr="007803D8">
        <w:rPr>
          <w:b/>
          <w:i/>
        </w:rPr>
        <w:t>holistic evaluation</w:t>
      </w:r>
      <w:r w:rsidR="007803D8">
        <w:rPr>
          <w:b/>
          <w:i/>
        </w:rPr>
        <w:t xml:space="preserve"> </w:t>
      </w:r>
      <w:r w:rsidR="00CF0751">
        <w:rPr>
          <w:b/>
          <w:i/>
        </w:rPr>
        <w:t>based on</w:t>
      </w:r>
      <w:r w:rsidR="007803D8">
        <w:rPr>
          <w:b/>
          <w:i/>
        </w:rPr>
        <w:t xml:space="preserve"> in-depth research.</w:t>
      </w:r>
      <w:r w:rsidR="007803D8" w:rsidRPr="007803D8">
        <w:rPr>
          <w:b/>
          <w:i/>
        </w:rPr>
        <w:t xml:space="preserve"> </w:t>
      </w:r>
      <w:r w:rsidR="007803D8" w:rsidRPr="007803D8">
        <w:t xml:space="preserve">Evaluation </w:t>
      </w:r>
      <w:r w:rsidR="007803D8">
        <w:t>o</w:t>
      </w:r>
      <w:r w:rsidR="007803D8" w:rsidRPr="007803D8">
        <w:t xml:space="preserve">f performance versus benchmark </w:t>
      </w:r>
      <w:r w:rsidR="00CF0751">
        <w:t>sh</w:t>
      </w:r>
      <w:r w:rsidR="007803D8">
        <w:t>ould be</w:t>
      </w:r>
      <w:r w:rsidR="007803D8" w:rsidRPr="007803D8">
        <w:t xml:space="preserve"> only one component</w:t>
      </w:r>
      <w:r w:rsidR="00CF0751">
        <w:t xml:space="preserve"> of any</w:t>
      </w:r>
      <w:r w:rsidR="00C12E61">
        <w:t xml:space="preserve"> evaluation, and should</w:t>
      </w:r>
      <w:r w:rsidR="007803D8">
        <w:t xml:space="preserve"> entail a deeper-dive to </w:t>
      </w:r>
      <w:r w:rsidR="00CF0751">
        <w:t xml:space="preserve">better </w:t>
      </w:r>
      <w:r w:rsidR="007803D8">
        <w:t>understand the reasons for performance</w:t>
      </w:r>
      <w:r w:rsidR="007803D8" w:rsidRPr="007803D8">
        <w:t>.</w:t>
      </w:r>
      <w:r w:rsidR="007803D8" w:rsidRPr="007803D8">
        <w:rPr>
          <w:b/>
          <w:i/>
        </w:rPr>
        <w:t xml:space="preserve"> </w:t>
      </w:r>
      <w:r w:rsidR="007803D8">
        <w:t xml:space="preserve">My discussion above of how the panel might evaluate funds provides an indication.      </w:t>
      </w:r>
      <w:r>
        <w:t xml:space="preserve">   </w:t>
      </w:r>
    </w:p>
    <w:p w14:paraId="04AAB629" w14:textId="77777777" w:rsidR="00C12E61" w:rsidRDefault="00C12E61">
      <w:pPr>
        <w:rPr>
          <w:b/>
          <w:sz w:val="22"/>
        </w:rPr>
      </w:pPr>
      <w:r>
        <w:rPr>
          <w:b/>
          <w:sz w:val="22"/>
        </w:rPr>
        <w:br w:type="page"/>
      </w:r>
    </w:p>
    <w:p w14:paraId="08B05DDA" w14:textId="3D65C7B1" w:rsidR="005D4256" w:rsidRPr="00431937" w:rsidRDefault="005D4256" w:rsidP="00431937">
      <w:pPr>
        <w:pStyle w:val="ListParagraph"/>
        <w:numPr>
          <w:ilvl w:val="0"/>
          <w:numId w:val="17"/>
        </w:numPr>
        <w:spacing w:before="300" w:line="252" w:lineRule="auto"/>
        <w:ind w:left="360"/>
        <w:contextualSpacing w:val="0"/>
        <w:jc w:val="both"/>
        <w:rPr>
          <w:b/>
          <w:sz w:val="22"/>
        </w:rPr>
      </w:pPr>
      <w:r w:rsidRPr="00431937">
        <w:rPr>
          <w:b/>
          <w:sz w:val="22"/>
        </w:rPr>
        <w:lastRenderedPageBreak/>
        <w:t xml:space="preserve">Modelling </w:t>
      </w:r>
      <w:r w:rsidR="00FE29F2">
        <w:rPr>
          <w:b/>
          <w:sz w:val="22"/>
        </w:rPr>
        <w:t xml:space="preserve">of </w:t>
      </w:r>
      <w:r w:rsidR="00190A20">
        <w:rPr>
          <w:b/>
          <w:sz w:val="22"/>
        </w:rPr>
        <w:t>Life</w:t>
      </w:r>
      <w:r w:rsidRPr="00431937">
        <w:rPr>
          <w:b/>
          <w:sz w:val="22"/>
        </w:rPr>
        <w:t>cycle Products</w:t>
      </w:r>
    </w:p>
    <w:p w14:paraId="3A6A7A72" w14:textId="3492A5DE" w:rsidR="00453E4C" w:rsidRDefault="00564DEA" w:rsidP="00564DEA">
      <w:pPr>
        <w:spacing w:before="180" w:line="252" w:lineRule="auto"/>
        <w:jc w:val="both"/>
      </w:pPr>
      <w:r>
        <w:t>The observations made by the PC in the Draft R</w:t>
      </w:r>
      <w:r w:rsidR="00190A20">
        <w:t xml:space="preserve">eport </w:t>
      </w:r>
      <w:r w:rsidR="00F00964">
        <w:t>appear broadly correct with respect to</w:t>
      </w:r>
      <w:r w:rsidR="00084082">
        <w:t xml:space="preserve"> </w:t>
      </w:r>
      <w:r w:rsidR="00190A20">
        <w:t>life</w:t>
      </w:r>
      <w:r>
        <w:t xml:space="preserve">cycle products </w:t>
      </w:r>
      <w:r w:rsidR="00084082">
        <w:t xml:space="preserve">as </w:t>
      </w:r>
      <w:r w:rsidR="00453E4C">
        <w:t xml:space="preserve">they are </w:t>
      </w:r>
      <w:r w:rsidR="00084082">
        <w:t xml:space="preserve">commonly </w:t>
      </w:r>
      <w:r w:rsidR="006B5FE1">
        <w:t>constructed in the industry</w:t>
      </w:r>
      <w:r w:rsidR="00190A20">
        <w:t>. The idea that life</w:t>
      </w:r>
      <w:r>
        <w:t xml:space="preserve">cycle products </w:t>
      </w:r>
      <w:r w:rsidR="00084082">
        <w:t xml:space="preserve">can </w:t>
      </w:r>
      <w:r>
        <w:t xml:space="preserve">result in a lower balance at retirement for </w:t>
      </w:r>
      <w:r w:rsidR="003940D9">
        <w:t xml:space="preserve">a </w:t>
      </w:r>
      <w:r>
        <w:t xml:space="preserve">limited reduction in risk agrees with </w:t>
      </w:r>
      <w:r w:rsidR="00084082">
        <w:t xml:space="preserve">some </w:t>
      </w:r>
      <w:r w:rsidR="00FE29F2">
        <w:t xml:space="preserve">findings reported in the literature, and my own research. </w:t>
      </w:r>
      <w:r w:rsidR="00D43E34">
        <w:t>My main comment</w:t>
      </w:r>
      <w:r w:rsidR="008C2737">
        <w:t xml:space="preserve"> relate</w:t>
      </w:r>
      <w:r w:rsidR="00F00964">
        <w:t>s</w:t>
      </w:r>
      <w:r w:rsidR="008C2737">
        <w:t xml:space="preserve"> to the </w:t>
      </w:r>
      <w:r w:rsidR="00FE29F2">
        <w:t xml:space="preserve">framing </w:t>
      </w:r>
      <w:r w:rsidR="00084082">
        <w:t xml:space="preserve">of </w:t>
      </w:r>
      <w:r w:rsidR="002E1E9D">
        <w:t xml:space="preserve">the discussion and </w:t>
      </w:r>
      <w:r w:rsidR="003940D9">
        <w:t xml:space="preserve">related </w:t>
      </w:r>
      <w:r w:rsidR="002E1E9D">
        <w:t xml:space="preserve">analysis </w:t>
      </w:r>
      <w:r w:rsidR="008C2737">
        <w:t>around balance at retirement</w:t>
      </w:r>
      <w:r w:rsidR="002E1E9D">
        <w:t>. T</w:t>
      </w:r>
      <w:r w:rsidR="00FE29F2">
        <w:t>his</w:t>
      </w:r>
      <w:r w:rsidR="00A229A1">
        <w:t xml:space="preserve"> </w:t>
      </w:r>
      <w:r w:rsidR="008C2737">
        <w:t>is the perspective</w:t>
      </w:r>
      <w:r w:rsidR="00FE29F2">
        <w:t xml:space="preserve"> not only</w:t>
      </w:r>
      <w:r w:rsidR="008C2737">
        <w:t xml:space="preserve"> adopted by the PC in </w:t>
      </w:r>
      <w:r>
        <w:t>Techn</w:t>
      </w:r>
      <w:r w:rsidR="008C2737">
        <w:t>ical Supplement 6</w:t>
      </w:r>
      <w:r w:rsidR="00FE29F2">
        <w:t xml:space="preserve"> (TS</w:t>
      </w:r>
      <w:r w:rsidR="00CC56F7">
        <w:t>6)</w:t>
      </w:r>
      <w:r w:rsidR="008C2737">
        <w:t xml:space="preserve">, </w:t>
      </w:r>
      <w:r w:rsidR="00FE29F2">
        <w:t>but appear</w:t>
      </w:r>
      <w:r w:rsidR="002E1E9D">
        <w:t>s</w:t>
      </w:r>
      <w:r w:rsidR="00FE29F2">
        <w:t xml:space="preserve"> to have informed the development of </w:t>
      </w:r>
      <w:r w:rsidR="00190A20">
        <w:t>life</w:t>
      </w:r>
      <w:r w:rsidR="008C2737">
        <w:t xml:space="preserve">cycle products in </w:t>
      </w:r>
      <w:r w:rsidR="000D48AD">
        <w:t xml:space="preserve">much of </w:t>
      </w:r>
      <w:r w:rsidR="008C2737">
        <w:t>the industry.</w:t>
      </w:r>
      <w:r w:rsidR="00D43E34">
        <w:rPr>
          <w:rStyle w:val="FootnoteReference"/>
        </w:rPr>
        <w:footnoteReference w:id="11"/>
      </w:r>
      <w:r w:rsidR="008C2737">
        <w:t xml:space="preserve"> </w:t>
      </w:r>
    </w:p>
    <w:p w14:paraId="3A0050CD" w14:textId="2B3D2AC1" w:rsidR="00E853A7" w:rsidRDefault="00A229A1" w:rsidP="00453E4C">
      <w:pPr>
        <w:spacing w:before="180" w:line="252" w:lineRule="auto"/>
        <w:jc w:val="both"/>
      </w:pPr>
      <w:r>
        <w:t>F</w:t>
      </w:r>
      <w:r w:rsidR="008C2737">
        <w:t>ocusing on balance at retirement</w:t>
      </w:r>
      <w:r>
        <w:t xml:space="preserve"> amount</w:t>
      </w:r>
      <w:r w:rsidR="00D43E34">
        <w:t>s</w:t>
      </w:r>
      <w:r>
        <w:t xml:space="preserve"> to solving part of </w:t>
      </w:r>
      <w:r w:rsidR="00D43E34">
        <w:t xml:space="preserve">what is </w:t>
      </w:r>
      <w:r>
        <w:t>a life-time consump</w:t>
      </w:r>
      <w:r w:rsidR="00AF67B6">
        <w:t>tion and investment problem. The</w:t>
      </w:r>
      <w:r w:rsidR="00FE29F2">
        <w:t xml:space="preserve"> key </w:t>
      </w:r>
      <w:r w:rsidR="00084082">
        <w:t xml:space="preserve">issue </w:t>
      </w:r>
      <w:r w:rsidR="00FE29F2">
        <w:t>is whether a</w:t>
      </w:r>
      <w:r>
        <w:t xml:space="preserve"> product </w:t>
      </w:r>
      <w:r w:rsidR="00FE29F2">
        <w:t>is effective at s</w:t>
      </w:r>
      <w:r>
        <w:t xml:space="preserve">upporting </w:t>
      </w:r>
      <w:r w:rsidR="00D43E34">
        <w:t>financial outcomes (spending</w:t>
      </w:r>
      <w:r w:rsidR="00FE29F2">
        <w:t>,</w:t>
      </w:r>
      <w:r w:rsidR="00D43E34">
        <w:t xml:space="preserve"> and possibly a bequest) </w:t>
      </w:r>
      <w:r>
        <w:t>over the cours</w:t>
      </w:r>
      <w:r w:rsidR="00FE29F2">
        <w:t>e of the retirement phase. B</w:t>
      </w:r>
      <w:r>
        <w:t xml:space="preserve">alance at retirement is </w:t>
      </w:r>
      <w:r w:rsidR="00AF67B6">
        <w:t xml:space="preserve">just one point on an ongoing investment journey. It is </w:t>
      </w:r>
      <w:r>
        <w:t>only</w:t>
      </w:r>
      <w:r w:rsidR="00FE29F2">
        <w:t xml:space="preserve"> relevant </w:t>
      </w:r>
      <w:r w:rsidR="00AF67B6">
        <w:t xml:space="preserve">from a financial </w:t>
      </w:r>
      <w:r w:rsidR="00CD4DB1">
        <w:t xml:space="preserve">outcomes </w:t>
      </w:r>
      <w:r w:rsidR="00AF67B6">
        <w:t xml:space="preserve">perspective </w:t>
      </w:r>
      <w:r w:rsidR="00FE29F2">
        <w:t xml:space="preserve">to the extent that it </w:t>
      </w:r>
      <w:r>
        <w:t>wi</w:t>
      </w:r>
      <w:r w:rsidR="00FE29F2">
        <w:t>ll be either spent at retirement</w:t>
      </w:r>
      <w:r>
        <w:t xml:space="preserve">, or used to purchase an annuity. </w:t>
      </w:r>
      <w:r w:rsidR="002E1E9D">
        <w:t>Ideally any model aimed at evaluating an</w:t>
      </w:r>
      <w:r w:rsidR="00C85EAD">
        <w:t xml:space="preserve"> </w:t>
      </w:r>
      <w:r>
        <w:t xml:space="preserve">investment strategy </w:t>
      </w:r>
      <w:r w:rsidR="002E1E9D">
        <w:t>w</w:t>
      </w:r>
      <w:r w:rsidR="00453E4C">
        <w:t xml:space="preserve">ould </w:t>
      </w:r>
      <w:r w:rsidR="002E1E9D">
        <w:t xml:space="preserve">span </w:t>
      </w:r>
      <w:r>
        <w:t>the enti</w:t>
      </w:r>
      <w:r w:rsidR="002E1E9D">
        <w:t>re life-cycle. It would</w:t>
      </w:r>
      <w:r w:rsidR="00453E4C">
        <w:t>:</w:t>
      </w:r>
      <w:r w:rsidR="002E1E9D">
        <w:t xml:space="preserve"> look </w:t>
      </w:r>
      <w:r>
        <w:t xml:space="preserve">‘through retirement’ rather than </w:t>
      </w:r>
      <w:r w:rsidR="00453E4C">
        <w:t>just ‘to retirement’;</w:t>
      </w:r>
      <w:r w:rsidR="002E1E9D">
        <w:t xml:space="preserve"> </w:t>
      </w:r>
      <w:r>
        <w:t xml:space="preserve">take into account </w:t>
      </w:r>
      <w:r w:rsidR="00CC56F7">
        <w:t>all</w:t>
      </w:r>
      <w:r>
        <w:t xml:space="preserve"> </w:t>
      </w:r>
      <w:r w:rsidR="00CC56F7">
        <w:t xml:space="preserve">assets </w:t>
      </w:r>
      <w:r w:rsidR="002E1E9D">
        <w:t>available to support f</w:t>
      </w:r>
      <w:r w:rsidR="00453E4C">
        <w:t xml:space="preserve">inancial outcomes in retirement; </w:t>
      </w:r>
      <w:r w:rsidR="002E1E9D">
        <w:t xml:space="preserve">consider </w:t>
      </w:r>
      <w:r w:rsidR="00C85EAD">
        <w:t>the drawdown strategy</w:t>
      </w:r>
      <w:r w:rsidR="00453E4C">
        <w:t>; and incorporate</w:t>
      </w:r>
      <w:r w:rsidR="002E1E9D">
        <w:t xml:space="preserve"> member preferences</w:t>
      </w:r>
      <w:r w:rsidR="00453E4C">
        <w:t xml:space="preserve"> including</w:t>
      </w:r>
      <w:r w:rsidR="00AF67B6">
        <w:t xml:space="preserve"> risk tolerance</w:t>
      </w:r>
      <w:r w:rsidR="00CC56F7">
        <w:t>.</w:t>
      </w:r>
    </w:p>
    <w:p w14:paraId="155181D0" w14:textId="705A41F5" w:rsidR="001E6ACD" w:rsidRDefault="0002336F" w:rsidP="00453E4C">
      <w:pPr>
        <w:spacing w:before="180" w:line="252" w:lineRule="auto"/>
        <w:jc w:val="both"/>
      </w:pPr>
      <w:r>
        <w:rPr>
          <w:b/>
          <w:i/>
        </w:rPr>
        <w:t>Below I offer</w:t>
      </w:r>
      <w:r w:rsidR="002E1E9D">
        <w:rPr>
          <w:b/>
          <w:i/>
        </w:rPr>
        <w:t xml:space="preserve"> </w:t>
      </w:r>
      <w:r w:rsidR="002E1E9D" w:rsidRPr="00195167">
        <w:rPr>
          <w:b/>
          <w:i/>
        </w:rPr>
        <w:t>suggest</w:t>
      </w:r>
      <w:r w:rsidR="00141947">
        <w:rPr>
          <w:b/>
          <w:i/>
        </w:rPr>
        <w:t>ion</w:t>
      </w:r>
      <w:r>
        <w:rPr>
          <w:b/>
          <w:i/>
        </w:rPr>
        <w:t>s</w:t>
      </w:r>
      <w:r w:rsidR="00141947">
        <w:rPr>
          <w:b/>
          <w:i/>
        </w:rPr>
        <w:t xml:space="preserve"> for how </w:t>
      </w:r>
      <w:r w:rsidR="002E1E9D" w:rsidRPr="00195167">
        <w:rPr>
          <w:b/>
          <w:i/>
        </w:rPr>
        <w:t xml:space="preserve">the PC </w:t>
      </w:r>
      <w:r w:rsidR="00141947">
        <w:rPr>
          <w:b/>
          <w:i/>
        </w:rPr>
        <w:t xml:space="preserve">might </w:t>
      </w:r>
      <w:r w:rsidR="002E1E9D" w:rsidRPr="00195167">
        <w:rPr>
          <w:b/>
          <w:i/>
        </w:rPr>
        <w:t>develop its st</w:t>
      </w:r>
      <w:r>
        <w:rPr>
          <w:b/>
          <w:i/>
        </w:rPr>
        <w:t>ochastic modelling</w:t>
      </w:r>
      <w:r w:rsidR="0053369D">
        <w:rPr>
          <w:b/>
          <w:i/>
        </w:rPr>
        <w:t xml:space="preserve"> a bit further</w:t>
      </w:r>
      <w:r w:rsidR="002E1E9D" w:rsidRPr="00195167">
        <w:rPr>
          <w:b/>
          <w:i/>
        </w:rPr>
        <w:t>.</w:t>
      </w:r>
      <w:r w:rsidR="002E1E9D">
        <w:t xml:space="preserve"> </w:t>
      </w:r>
      <w:r w:rsidR="00141947">
        <w:t>My premise is that the PC aims to evaluate</w:t>
      </w:r>
      <w:r w:rsidR="00141947" w:rsidRPr="00141947">
        <w:t xml:space="preserve"> alternative investment strategies, rather than solv</w:t>
      </w:r>
      <w:r w:rsidR="00141947">
        <w:t>e the entire life-cycle problem to identify the optimal strategy.</w:t>
      </w:r>
      <w:r w:rsidR="00141947">
        <w:rPr>
          <w:rStyle w:val="FootnoteReference"/>
        </w:rPr>
        <w:footnoteReference w:id="12"/>
      </w:r>
      <w:r w:rsidR="00141947">
        <w:t xml:space="preserve"> </w:t>
      </w:r>
      <w:r w:rsidR="00141947" w:rsidRPr="00F00964">
        <w:rPr>
          <w:b/>
          <w:i/>
        </w:rPr>
        <w:t xml:space="preserve">The </w:t>
      </w:r>
      <w:r w:rsidR="00C85EAD" w:rsidRPr="00F00964">
        <w:rPr>
          <w:b/>
          <w:i/>
        </w:rPr>
        <w:t>stochastic analysis in TS</w:t>
      </w:r>
      <w:r w:rsidR="00CC56F7" w:rsidRPr="00F00964">
        <w:rPr>
          <w:b/>
          <w:i/>
        </w:rPr>
        <w:t xml:space="preserve">6 </w:t>
      </w:r>
      <w:r w:rsidR="000D48AD" w:rsidRPr="00F00964">
        <w:rPr>
          <w:b/>
          <w:i/>
        </w:rPr>
        <w:t>should</w:t>
      </w:r>
      <w:r w:rsidRPr="00F00964">
        <w:rPr>
          <w:b/>
          <w:i/>
        </w:rPr>
        <w:t xml:space="preserve"> be</w:t>
      </w:r>
      <w:r w:rsidRPr="00F00964">
        <w:rPr>
          <w:b/>
        </w:rPr>
        <w:t xml:space="preserve"> </w:t>
      </w:r>
      <w:r w:rsidRPr="00F00964">
        <w:rPr>
          <w:b/>
          <w:i/>
        </w:rPr>
        <w:t xml:space="preserve">extended </w:t>
      </w:r>
      <w:r w:rsidR="00E87A72" w:rsidRPr="00F00964">
        <w:rPr>
          <w:b/>
          <w:i/>
        </w:rPr>
        <w:t>both back and forward</w:t>
      </w:r>
      <w:r w:rsidR="00F00964">
        <w:t>, by</w:t>
      </w:r>
      <w:r w:rsidR="00E87A72">
        <w:t xml:space="preserve"> starting at entry into the workforce, and </w:t>
      </w:r>
      <w:r>
        <w:t>look</w:t>
      </w:r>
      <w:r w:rsidR="00E87A72">
        <w:t>ing</w:t>
      </w:r>
      <w:r w:rsidR="00141947">
        <w:t xml:space="preserve"> through </w:t>
      </w:r>
      <w:r w:rsidR="003940D9">
        <w:t xml:space="preserve">into </w:t>
      </w:r>
      <w:r w:rsidR="00141947">
        <w:t>the retirement phase</w:t>
      </w:r>
      <w:r w:rsidR="00CC56F7">
        <w:t xml:space="preserve"> </w:t>
      </w:r>
      <w:r w:rsidR="00E87A72">
        <w:t>including taking</w:t>
      </w:r>
      <w:r w:rsidR="00141947">
        <w:t xml:space="preserve"> into account the </w:t>
      </w:r>
      <w:r>
        <w:t xml:space="preserve">age pension. </w:t>
      </w:r>
      <w:r w:rsidR="00F00964">
        <w:t>By</w:t>
      </w:r>
      <w:r w:rsidR="003940D9">
        <w:t xml:space="preserve"> starting</w:t>
      </w:r>
      <w:r w:rsidR="00F00964">
        <w:t xml:space="preserve"> 5 </w:t>
      </w:r>
      <w:r w:rsidR="00E87A72">
        <w:t xml:space="preserve">years from retirement, the analysis </w:t>
      </w:r>
      <w:r w:rsidR="001E6ACD">
        <w:t>in TS6 is</w:t>
      </w:r>
      <w:r w:rsidR="00E87A72">
        <w:t xml:space="preserve"> unfair to lifecycle funds</w:t>
      </w:r>
      <w:r w:rsidR="001E6ACD">
        <w:t>. This is because</w:t>
      </w:r>
      <w:r w:rsidR="00E87A72">
        <w:t xml:space="preserve"> it does not </w:t>
      </w:r>
      <w:r w:rsidR="001E6ACD">
        <w:t xml:space="preserve">allow for the fact that lifecycle funds </w:t>
      </w:r>
      <w:r w:rsidR="003940D9">
        <w:t xml:space="preserve">are designed to </w:t>
      </w:r>
      <w:r w:rsidR="001E6ACD">
        <w:t xml:space="preserve">hold </w:t>
      </w:r>
      <w:r w:rsidR="003940D9">
        <w:t xml:space="preserve">a </w:t>
      </w:r>
      <w:r w:rsidR="001E6ACD">
        <w:t xml:space="preserve">higher weight in growth assets earlier on, and hence may have a higher balance than achieved under a 70/30 allocation. </w:t>
      </w:r>
      <w:r w:rsidR="00C85EAD">
        <w:t xml:space="preserve">The </w:t>
      </w:r>
      <w:r w:rsidR="001E6ACD">
        <w:t xml:space="preserve">age pension </w:t>
      </w:r>
      <w:r w:rsidR="003940D9">
        <w:t xml:space="preserve">needs to be accounted for </w:t>
      </w:r>
      <w:r w:rsidR="00CC56F7">
        <w:t>as a valuable asset that provides a hedge against investment losses</w:t>
      </w:r>
      <w:r w:rsidR="00141947">
        <w:t xml:space="preserve"> in the superannuation portfolio</w:t>
      </w:r>
      <w:r w:rsidR="00FD00DF">
        <w:t>, especially for members with lower balances</w:t>
      </w:r>
      <w:r w:rsidR="00CC56F7">
        <w:t>.</w:t>
      </w:r>
      <w:r w:rsidR="00FD00DF">
        <w:t xml:space="preserve"> </w:t>
      </w:r>
      <w:r w:rsidR="00517A18">
        <w:t xml:space="preserve">It is also available to all Australians. Hence it </w:t>
      </w:r>
      <w:r w:rsidR="000E1D2D">
        <w:t>is</w:t>
      </w:r>
      <w:r w:rsidR="00517A18">
        <w:t xml:space="preserve"> important that the </w:t>
      </w:r>
      <w:r w:rsidR="00453E4C">
        <w:t xml:space="preserve">age </w:t>
      </w:r>
      <w:r w:rsidR="00517A18">
        <w:t>pension be in</w:t>
      </w:r>
      <w:r w:rsidR="000D48AD">
        <w:t>cluded as a key component of the</w:t>
      </w:r>
      <w:r w:rsidR="00517A18">
        <w:t xml:space="preserve"> </w:t>
      </w:r>
      <w:r>
        <w:t>member</w:t>
      </w:r>
      <w:r w:rsidR="000E1D2D">
        <w:t xml:space="preserve"> </w:t>
      </w:r>
      <w:r w:rsidR="00453E4C">
        <w:t>‘portfolio’ in evaluating investment strategies</w:t>
      </w:r>
      <w:r w:rsidR="00517A18">
        <w:t xml:space="preserve"> taken within the superannuation fund. </w:t>
      </w:r>
    </w:p>
    <w:p w14:paraId="08628BA2" w14:textId="4DFD4197" w:rsidR="00FD00DF" w:rsidRDefault="001E6ACD" w:rsidP="00453E4C">
      <w:pPr>
        <w:spacing w:before="180" w:line="252" w:lineRule="auto"/>
        <w:jc w:val="both"/>
      </w:pPr>
      <w:r>
        <w:t>The</w:t>
      </w:r>
      <w:r w:rsidR="00EE6CBF">
        <w:t xml:space="preserve"> above</w:t>
      </w:r>
      <w:r>
        <w:t xml:space="preserve"> aspects can be incorporated by simulating strategies over a full life-cycle, and </w:t>
      </w:r>
      <w:r w:rsidR="00EE6CBF">
        <w:t xml:space="preserve">making </w:t>
      </w:r>
      <w:r>
        <w:t>comp</w:t>
      </w:r>
      <w:r w:rsidR="00EE6CBF">
        <w:t>arison</w:t>
      </w:r>
      <w:r w:rsidR="003940D9">
        <w:t>s</w:t>
      </w:r>
      <w:r w:rsidR="00EE6CBF">
        <w:t xml:space="preserve"> </w:t>
      </w:r>
      <w:r>
        <w:t xml:space="preserve">based on </w:t>
      </w:r>
      <w:r w:rsidR="003940D9">
        <w:t xml:space="preserve">financial </w:t>
      </w:r>
      <w:r>
        <w:t xml:space="preserve">outcomes during the retirement phase. </w:t>
      </w:r>
      <w:r w:rsidR="003F2D3B">
        <w:t>My suggestion</w:t>
      </w:r>
      <w:r w:rsidR="00EE6CBF">
        <w:t xml:space="preserve"> for developing the model </w:t>
      </w:r>
      <w:r w:rsidR="003940D9">
        <w:t xml:space="preserve">in this direction </w:t>
      </w:r>
      <w:r w:rsidR="00EE6CBF">
        <w:t>is</w:t>
      </w:r>
      <w:r w:rsidR="003F2D3B">
        <w:t xml:space="preserve"> as follows:</w:t>
      </w:r>
    </w:p>
    <w:p w14:paraId="1C519C08" w14:textId="10CEAD26" w:rsidR="00EE6CBF" w:rsidRDefault="00EE6CBF" w:rsidP="00733397">
      <w:pPr>
        <w:pStyle w:val="ListParagraph"/>
        <w:numPr>
          <w:ilvl w:val="0"/>
          <w:numId w:val="35"/>
        </w:numPr>
        <w:spacing w:before="180" w:line="252" w:lineRule="auto"/>
        <w:ind w:left="288" w:hanging="288"/>
        <w:contextualSpacing w:val="0"/>
        <w:jc w:val="both"/>
      </w:pPr>
      <w:r>
        <w:t>Start modelling at workforce entry, i.e. age 21.</w:t>
      </w:r>
    </w:p>
    <w:p w14:paraId="4B6EA98D" w14:textId="30813CCD" w:rsidR="0053369D" w:rsidRDefault="00EE6CBF" w:rsidP="00733397">
      <w:pPr>
        <w:pStyle w:val="ListParagraph"/>
        <w:numPr>
          <w:ilvl w:val="0"/>
          <w:numId w:val="35"/>
        </w:numPr>
        <w:spacing w:before="180" w:line="252" w:lineRule="auto"/>
        <w:ind w:left="288" w:hanging="288"/>
        <w:contextualSpacing w:val="0"/>
        <w:jc w:val="both"/>
      </w:pPr>
      <w:r>
        <w:t>From retirement</w:t>
      </w:r>
      <w:r w:rsidR="003940D9">
        <w:t xml:space="preserve"> (age 67)</w:t>
      </w:r>
      <w:r>
        <w:t>, a</w:t>
      </w:r>
      <w:r w:rsidR="0053369D">
        <w:t xml:space="preserve">ssume that the member invests in an account based pension (ABP), on which they draw </w:t>
      </w:r>
      <w:r w:rsidR="00351714">
        <w:t xml:space="preserve">income </w:t>
      </w:r>
      <w:r w:rsidR="0053369D">
        <w:t>in accordance with the minimum drawdown rates.</w:t>
      </w:r>
    </w:p>
    <w:p w14:paraId="2E278B42" w14:textId="3A29289D" w:rsidR="00A7670B" w:rsidRDefault="000D48AD" w:rsidP="00733397">
      <w:pPr>
        <w:pStyle w:val="ListParagraph"/>
        <w:numPr>
          <w:ilvl w:val="0"/>
          <w:numId w:val="35"/>
        </w:numPr>
        <w:spacing w:before="180" w:line="252" w:lineRule="auto"/>
        <w:ind w:left="288" w:hanging="288"/>
        <w:contextualSpacing w:val="0"/>
        <w:jc w:val="both"/>
      </w:pPr>
      <w:r>
        <w:t>Model through to some</w:t>
      </w:r>
      <w:r w:rsidR="00A7670B">
        <w:t xml:space="preserve"> fixed </w:t>
      </w:r>
      <w:r>
        <w:t xml:space="preserve">target </w:t>
      </w:r>
      <w:r w:rsidR="00A7670B">
        <w:t>age, at which</w:t>
      </w:r>
      <w:r w:rsidR="00351714">
        <w:t xml:space="preserve"> point a</w:t>
      </w:r>
      <w:r w:rsidR="00A7670B">
        <w:t xml:space="preserve"> residual balance is </w:t>
      </w:r>
      <w:r>
        <w:t>recorded</w:t>
      </w:r>
      <w:r w:rsidR="00A7670B">
        <w:t>.</w:t>
      </w:r>
      <w:r w:rsidR="00351714">
        <w:t xml:space="preserve"> The lat</w:t>
      </w:r>
      <w:r w:rsidR="0040332D">
        <w:t>ter may be considered a bequest;</w:t>
      </w:r>
      <w:r w:rsidR="00351714">
        <w:t xml:space="preserve"> although it might also be taken as representing the remaining balance available to support income beyond that point. An appropriate age may be 87, as this approx</w:t>
      </w:r>
      <w:r w:rsidR="00F00964">
        <w:t>imates life expectancy at age 65</w:t>
      </w:r>
      <w:r w:rsidR="00351714">
        <w:t xml:space="preserve"> (for females),</w:t>
      </w:r>
      <w:r w:rsidR="00351714">
        <w:rPr>
          <w:rStyle w:val="FootnoteReference"/>
        </w:rPr>
        <w:footnoteReference w:id="13"/>
      </w:r>
      <w:r w:rsidR="00351714">
        <w:t xml:space="preserve"> and affords a 20-year period over which to evaluate </w:t>
      </w:r>
      <w:r>
        <w:t xml:space="preserve">the resulting </w:t>
      </w:r>
      <w:r w:rsidR="00351714">
        <w:t xml:space="preserve">retirement income.     </w:t>
      </w:r>
      <w:r w:rsidR="00A7670B">
        <w:t xml:space="preserve">  </w:t>
      </w:r>
    </w:p>
    <w:p w14:paraId="36E29B8B" w14:textId="2CDC9B6F" w:rsidR="003F2D3B" w:rsidRDefault="00E86D39" w:rsidP="00733397">
      <w:pPr>
        <w:pStyle w:val="ListParagraph"/>
        <w:numPr>
          <w:ilvl w:val="0"/>
          <w:numId w:val="35"/>
        </w:numPr>
        <w:spacing w:before="180" w:line="252" w:lineRule="auto"/>
        <w:ind w:left="288" w:hanging="288"/>
        <w:contextualSpacing w:val="0"/>
        <w:jc w:val="both"/>
      </w:pPr>
      <w:r>
        <w:t>The</w:t>
      </w:r>
      <w:r w:rsidR="00FD2AAE">
        <w:t xml:space="preserve"> investment strategy </w:t>
      </w:r>
      <w:r>
        <w:t xml:space="preserve">for </w:t>
      </w:r>
      <w:r w:rsidR="00351714">
        <w:t xml:space="preserve">the </w:t>
      </w:r>
      <w:r>
        <w:t>evaluation will need to</w:t>
      </w:r>
      <w:r w:rsidR="00FD2AAE">
        <w:t xml:space="preserve"> </w:t>
      </w:r>
      <w:r>
        <w:t xml:space="preserve">include </w:t>
      </w:r>
      <w:r w:rsidR="00EE6CBF">
        <w:t xml:space="preserve">both </w:t>
      </w:r>
      <w:r>
        <w:t xml:space="preserve">a </w:t>
      </w:r>
      <w:r w:rsidR="00FD2AAE">
        <w:t xml:space="preserve">pre-retirement and post-retirement </w:t>
      </w:r>
      <w:r>
        <w:t>component</w:t>
      </w:r>
      <w:r w:rsidR="00FD2AAE">
        <w:t>.</w:t>
      </w:r>
      <w:r w:rsidR="00AB4AB9">
        <w:t xml:space="preserve"> </w:t>
      </w:r>
      <w:r>
        <w:t xml:space="preserve">Below is a </w:t>
      </w:r>
      <w:r w:rsidR="00AB4AB9">
        <w:t>list</w:t>
      </w:r>
      <w:r w:rsidR="00FD2AAE">
        <w:t xml:space="preserve"> </w:t>
      </w:r>
      <w:r>
        <w:t xml:space="preserve">of </w:t>
      </w:r>
      <w:r w:rsidR="00294C2B">
        <w:t>plausible strategies</w:t>
      </w:r>
      <w:r w:rsidR="00453E4C">
        <w:t xml:space="preserve"> that a member might take under the current system</w:t>
      </w:r>
      <w:r w:rsidR="00F00964">
        <w:t xml:space="preserve">. They bracket a </w:t>
      </w:r>
      <w:r w:rsidR="000D48AD">
        <w:t>range of options</w:t>
      </w:r>
      <w:r w:rsidR="00F00964">
        <w:t>, with</w:t>
      </w:r>
      <w:r w:rsidR="004249E0">
        <w:t xml:space="preserve"> (b</w:t>
      </w:r>
      <w:r w:rsidR="00F00964">
        <w:t xml:space="preserve">) </w:t>
      </w:r>
      <w:r w:rsidR="004249E0">
        <w:t xml:space="preserve">and (c) supporting a direct comparison of applying balanced versus lifecycle strategies during accumulation by applying a common strategy post-retirement. The </w:t>
      </w:r>
      <w:r w:rsidR="00453E4C">
        <w:t>PC may wish to go further</w:t>
      </w:r>
      <w:r w:rsidR="0040332D">
        <w:t xml:space="preserve"> to examine other possibilities</w:t>
      </w:r>
      <w:r w:rsidR="004249E0">
        <w:t>, perhaps 100% growth and 0% defensive for reference.</w:t>
      </w:r>
    </w:p>
    <w:p w14:paraId="14CE051C" w14:textId="7EDE83B6" w:rsidR="00E86D39" w:rsidRDefault="000E1D2D" w:rsidP="00F00964">
      <w:pPr>
        <w:pStyle w:val="ListParagraph"/>
        <w:numPr>
          <w:ilvl w:val="0"/>
          <w:numId w:val="40"/>
        </w:numPr>
        <w:spacing w:before="60" w:line="252" w:lineRule="auto"/>
        <w:contextualSpacing w:val="0"/>
        <w:jc w:val="both"/>
      </w:pPr>
      <w:r>
        <w:t xml:space="preserve">Balanced strategy A: </w:t>
      </w:r>
      <w:r w:rsidR="007144FC">
        <w:t>c</w:t>
      </w:r>
      <w:r w:rsidR="00E86D39">
        <w:t>onstant 70/30 mix</w:t>
      </w:r>
      <w:r>
        <w:t xml:space="preserve"> </w:t>
      </w:r>
      <w:r w:rsidR="007144FC">
        <w:t>in both pre-retirement and post-retirement</w:t>
      </w:r>
    </w:p>
    <w:p w14:paraId="3EA6C3C3" w14:textId="3508ECFC" w:rsidR="00E86D39" w:rsidRDefault="000E1D2D" w:rsidP="00F00964">
      <w:pPr>
        <w:pStyle w:val="ListParagraph"/>
        <w:numPr>
          <w:ilvl w:val="0"/>
          <w:numId w:val="40"/>
        </w:numPr>
        <w:spacing w:before="60" w:line="252" w:lineRule="auto"/>
        <w:contextualSpacing w:val="0"/>
        <w:jc w:val="both"/>
      </w:pPr>
      <w:r>
        <w:t xml:space="preserve">Balanced strategy B: </w:t>
      </w:r>
      <w:r w:rsidR="00E86D39">
        <w:t xml:space="preserve">70/30 mix pre-retirement, </w:t>
      </w:r>
      <w:r w:rsidR="00294C2B">
        <w:t xml:space="preserve">followed by </w:t>
      </w:r>
      <w:r w:rsidR="00E86D39">
        <w:t>‘typical’ mix observed in ABP post-retirement. Estimates by Mercer</w:t>
      </w:r>
      <w:r w:rsidR="00E86D39">
        <w:rPr>
          <w:rStyle w:val="FootnoteReference"/>
        </w:rPr>
        <w:footnoteReference w:id="14"/>
      </w:r>
      <w:r w:rsidR="00E86D39">
        <w:t xml:space="preserve"> in 2014 suggest 57/43, although the PC </w:t>
      </w:r>
      <w:r>
        <w:t xml:space="preserve">might </w:t>
      </w:r>
      <w:r w:rsidR="00E86D39">
        <w:t>investigate further</w:t>
      </w:r>
      <w:r>
        <w:t>.</w:t>
      </w:r>
      <w:r w:rsidR="00E86D39">
        <w:t xml:space="preserve"> </w:t>
      </w:r>
    </w:p>
    <w:p w14:paraId="1EB0D959" w14:textId="0D09C198" w:rsidR="00E86D39" w:rsidRDefault="000E1D2D" w:rsidP="00F00964">
      <w:pPr>
        <w:pStyle w:val="ListParagraph"/>
        <w:numPr>
          <w:ilvl w:val="0"/>
          <w:numId w:val="40"/>
        </w:numPr>
        <w:spacing w:before="60" w:line="252" w:lineRule="auto"/>
        <w:contextualSpacing w:val="0"/>
        <w:jc w:val="both"/>
      </w:pPr>
      <w:r>
        <w:lastRenderedPageBreak/>
        <w:t>Life-cycle strategy C: Re</w:t>
      </w:r>
      <w:r w:rsidR="00E86D39">
        <w:t xml:space="preserve">presentative </w:t>
      </w:r>
      <w:r>
        <w:t xml:space="preserve">glide path </w:t>
      </w:r>
      <w:r w:rsidR="00EE6CBF">
        <w:t xml:space="preserve">from workforce entry </w:t>
      </w:r>
      <w:r w:rsidR="0040332D">
        <w:t>until</w:t>
      </w:r>
      <w:r w:rsidR="00E86D39">
        <w:t xml:space="preserve"> retirement</w:t>
      </w:r>
      <w:r w:rsidR="00EE6CBF">
        <w:t>,</w:t>
      </w:r>
      <w:r w:rsidR="00EE6CBF">
        <w:rPr>
          <w:rStyle w:val="FootnoteReference"/>
        </w:rPr>
        <w:footnoteReference w:id="15"/>
      </w:r>
      <w:r w:rsidR="00E86D39">
        <w:t xml:space="preserve"> </w:t>
      </w:r>
      <w:r>
        <w:t xml:space="preserve">followed by </w:t>
      </w:r>
      <w:r w:rsidR="00EE6CBF">
        <w:t>typical A</w:t>
      </w:r>
      <w:r w:rsidR="00E86D39">
        <w:t>B</w:t>
      </w:r>
      <w:r w:rsidR="00EE6CBF">
        <w:t>P</w:t>
      </w:r>
      <w:r w:rsidR="00E86D39">
        <w:t xml:space="preserve"> mix post-retirement.</w:t>
      </w:r>
    </w:p>
    <w:p w14:paraId="3D9EE26B" w14:textId="2EB43910" w:rsidR="00FD2AAE" w:rsidRDefault="000E1D2D" w:rsidP="00F00964">
      <w:pPr>
        <w:pStyle w:val="ListParagraph"/>
        <w:numPr>
          <w:ilvl w:val="0"/>
          <w:numId w:val="40"/>
        </w:numPr>
        <w:spacing w:before="60" w:line="252" w:lineRule="auto"/>
        <w:contextualSpacing w:val="0"/>
        <w:jc w:val="both"/>
      </w:pPr>
      <w:r>
        <w:t xml:space="preserve">Life-cycle strategy D: Representative glide path </w:t>
      </w:r>
      <w:r w:rsidR="00EE6CBF">
        <w:t xml:space="preserve">from workforce entry </w:t>
      </w:r>
      <w:r w:rsidR="0040332D">
        <w:t>until</w:t>
      </w:r>
      <w:r w:rsidR="00EE6CBF">
        <w:t xml:space="preserve"> retirement</w:t>
      </w:r>
      <w:r w:rsidR="00E86D39">
        <w:t xml:space="preserve">, then retaining the asset mix at the point of retirement. </w:t>
      </w:r>
      <w:r w:rsidR="007132BF">
        <w:t>Chant, Mohankumar and Warren</w:t>
      </w:r>
      <w:r w:rsidR="00E86D39">
        <w:t xml:space="preserve"> (</w:t>
      </w:r>
      <w:r w:rsidR="00E86D39" w:rsidRPr="00E86D39">
        <w:rPr>
          <w:i/>
        </w:rPr>
        <w:t>op. cit.)</w:t>
      </w:r>
      <w:r w:rsidR="00E86D39">
        <w:t xml:space="preserve"> estimated </w:t>
      </w:r>
      <w:r w:rsidR="00A7670B">
        <w:t xml:space="preserve">the </w:t>
      </w:r>
      <w:r w:rsidR="007144FC">
        <w:t>mix for lifecycle products at age 65</w:t>
      </w:r>
      <w:r w:rsidR="00A7670B">
        <w:t>-70</w:t>
      </w:r>
      <w:r w:rsidR="007144FC">
        <w:t xml:space="preserve"> </w:t>
      </w:r>
      <w:r w:rsidR="0040332D">
        <w:t>at</w:t>
      </w:r>
      <w:r w:rsidR="00A7670B">
        <w:t xml:space="preserve"> 34/66 on average (median of 40/60)</w:t>
      </w:r>
      <w:r w:rsidR="000D48AD">
        <w:t xml:space="preserve"> as at early-2014</w:t>
      </w:r>
      <w:r w:rsidR="00E86D39">
        <w:t xml:space="preserve">, although </w:t>
      </w:r>
      <w:r w:rsidR="00EE6CBF">
        <w:t>this may have changed since that time</w:t>
      </w:r>
      <w:r w:rsidR="00E86D39">
        <w:t xml:space="preserve">. </w:t>
      </w:r>
    </w:p>
    <w:p w14:paraId="167AED6C" w14:textId="46353458" w:rsidR="00FD2AAE" w:rsidRDefault="00FD2AAE" w:rsidP="00733397">
      <w:pPr>
        <w:pStyle w:val="ListParagraph"/>
        <w:numPr>
          <w:ilvl w:val="0"/>
          <w:numId w:val="35"/>
        </w:numPr>
        <w:spacing w:before="180" w:line="252" w:lineRule="auto"/>
        <w:ind w:left="288" w:hanging="288"/>
        <w:contextualSpacing w:val="0"/>
        <w:jc w:val="both"/>
      </w:pPr>
      <w:r>
        <w:t xml:space="preserve">Estimate </w:t>
      </w:r>
      <w:r w:rsidR="00AB4AB9">
        <w:t xml:space="preserve">total </w:t>
      </w:r>
      <w:r>
        <w:t xml:space="preserve">income as the sum of </w:t>
      </w:r>
      <w:r w:rsidR="00AB4AB9">
        <w:t>income from the ABP</w:t>
      </w:r>
      <w:r>
        <w:t xml:space="preserve"> and the age pension, with the latter </w:t>
      </w:r>
      <w:r w:rsidR="000D48AD">
        <w:t xml:space="preserve">modelled </w:t>
      </w:r>
      <w:r>
        <w:t>with reference to the eligibility rules.</w:t>
      </w:r>
    </w:p>
    <w:p w14:paraId="00301571" w14:textId="02DE72CD" w:rsidR="00FD2AAE" w:rsidRDefault="00FD2AAE" w:rsidP="0089506C">
      <w:pPr>
        <w:pStyle w:val="ListParagraph"/>
        <w:numPr>
          <w:ilvl w:val="0"/>
          <w:numId w:val="35"/>
        </w:numPr>
        <w:spacing w:before="180" w:line="252" w:lineRule="auto"/>
        <w:ind w:left="288" w:hanging="288"/>
        <w:contextualSpacing w:val="0"/>
        <w:jc w:val="both"/>
      </w:pPr>
      <w:r>
        <w:t>Evalua</w:t>
      </w:r>
      <w:r w:rsidR="00281472">
        <w:t xml:space="preserve">te the distribution of </w:t>
      </w:r>
      <w:r>
        <w:t xml:space="preserve">member outcomes in terms of </w:t>
      </w:r>
      <w:r w:rsidR="000E1D2D">
        <w:t xml:space="preserve">both </w:t>
      </w:r>
      <w:r w:rsidR="00A7670B">
        <w:t xml:space="preserve">income and the residual </w:t>
      </w:r>
      <w:r w:rsidR="00351714">
        <w:t xml:space="preserve">ABP </w:t>
      </w:r>
      <w:r w:rsidR="00A7670B">
        <w:t>balance</w:t>
      </w:r>
      <w:r>
        <w:t xml:space="preserve">. </w:t>
      </w:r>
      <w:r w:rsidR="00281472">
        <w:t>Possible summary m</w:t>
      </w:r>
      <w:r>
        <w:t>easures</w:t>
      </w:r>
      <w:r w:rsidR="00281472">
        <w:t xml:space="preserve"> might include</w:t>
      </w:r>
      <w:r>
        <w:t>:</w:t>
      </w:r>
    </w:p>
    <w:p w14:paraId="6813DD6F" w14:textId="5A1B5ECA" w:rsidR="00281472" w:rsidRDefault="00281472" w:rsidP="0089506C">
      <w:pPr>
        <w:pStyle w:val="ListParagraph"/>
        <w:numPr>
          <w:ilvl w:val="1"/>
          <w:numId w:val="35"/>
        </w:numPr>
        <w:spacing w:before="120" w:line="252" w:lineRule="auto"/>
        <w:ind w:left="634" w:hanging="187"/>
        <w:contextualSpacing w:val="0"/>
        <w:jc w:val="both"/>
      </w:pPr>
      <w:r>
        <w:t>Average and median income, and possibly selected points on the distribution</w:t>
      </w:r>
      <w:r w:rsidR="00794121">
        <w:t xml:space="preserve"> (box plot</w:t>
      </w:r>
      <w:r w:rsidR="00351714">
        <w:t>?</w:t>
      </w:r>
      <w:r w:rsidR="00794121">
        <w:t>)</w:t>
      </w:r>
    </w:p>
    <w:p w14:paraId="76D974ED" w14:textId="2EB9C9A5" w:rsidR="00794121" w:rsidRDefault="00794121" w:rsidP="0089506C">
      <w:pPr>
        <w:pStyle w:val="ListParagraph"/>
        <w:numPr>
          <w:ilvl w:val="1"/>
          <w:numId w:val="35"/>
        </w:numPr>
        <w:spacing w:before="120" w:line="252" w:lineRule="auto"/>
        <w:ind w:left="633" w:hanging="187"/>
        <w:contextualSpacing w:val="0"/>
        <w:jc w:val="both"/>
      </w:pPr>
      <w:r>
        <w:t xml:space="preserve">Average and median residual </w:t>
      </w:r>
      <w:r w:rsidR="00AB4AB9">
        <w:t xml:space="preserve">ABP </w:t>
      </w:r>
      <w:r w:rsidR="00351714">
        <w:t>balance</w:t>
      </w:r>
      <w:r>
        <w:t>, and possibly selected point</w:t>
      </w:r>
      <w:r w:rsidR="00351714">
        <w:t>s on the distribution</w:t>
      </w:r>
    </w:p>
    <w:p w14:paraId="5452EDD4" w14:textId="77777777" w:rsidR="00DF038A" w:rsidRDefault="00281472" w:rsidP="0089506C">
      <w:pPr>
        <w:pStyle w:val="ListParagraph"/>
        <w:numPr>
          <w:ilvl w:val="1"/>
          <w:numId w:val="35"/>
        </w:numPr>
        <w:spacing w:before="120" w:line="252" w:lineRule="auto"/>
        <w:ind w:left="633" w:hanging="187"/>
        <w:contextualSpacing w:val="0"/>
        <w:jc w:val="both"/>
      </w:pPr>
      <w:r>
        <w:t>Percentage of years of shortfall versus the ASFA retirement standards (modest and comfortable)</w:t>
      </w:r>
    </w:p>
    <w:p w14:paraId="31A518F6" w14:textId="77777777" w:rsidR="00EE6CBF" w:rsidRDefault="00281472" w:rsidP="0089506C">
      <w:pPr>
        <w:pStyle w:val="ListParagraph"/>
        <w:numPr>
          <w:ilvl w:val="1"/>
          <w:numId w:val="35"/>
        </w:numPr>
        <w:spacing w:before="120" w:line="252" w:lineRule="auto"/>
        <w:ind w:left="633" w:hanging="187"/>
        <w:contextualSpacing w:val="0"/>
        <w:jc w:val="both"/>
      </w:pPr>
      <w:r>
        <w:t>Average dollar shortfall versus the ASFA retirement standards</w:t>
      </w:r>
    </w:p>
    <w:p w14:paraId="3ABB9723" w14:textId="16D98128" w:rsidR="00F27B5B" w:rsidRPr="00941FE0" w:rsidRDefault="00EE6CBF" w:rsidP="00EE6CBF">
      <w:pPr>
        <w:spacing w:before="180" w:line="252" w:lineRule="auto"/>
        <w:jc w:val="both"/>
      </w:pPr>
      <w:r>
        <w:t xml:space="preserve">If the existing </w:t>
      </w:r>
      <w:r w:rsidR="0089506C">
        <w:t xml:space="preserve">stochastic </w:t>
      </w:r>
      <w:r>
        <w:t>model was developed in the direction</w:t>
      </w:r>
      <w:r w:rsidR="003940D9">
        <w:t xml:space="preserve"> set out above</w:t>
      </w:r>
      <w:r>
        <w:t xml:space="preserve">, I anticipate that the analysis would still </w:t>
      </w:r>
      <w:r w:rsidR="0040332D">
        <w:t>find that d</w:t>
      </w:r>
      <w:r>
        <w:t xml:space="preserve">e-risking under lifecycle funds as they are currently structured incurs </w:t>
      </w:r>
      <w:r w:rsidR="003940D9">
        <w:t>some cost relative to a balanced fund</w:t>
      </w:r>
      <w:r>
        <w:t xml:space="preserve">, </w:t>
      </w:r>
      <w:r w:rsidR="0040332D">
        <w:t xml:space="preserve">thus </w:t>
      </w:r>
      <w:r>
        <w:t xml:space="preserve">implying that the glide paths seen in the </w:t>
      </w:r>
      <w:r w:rsidR="0040332D">
        <w:t>industry may be</w:t>
      </w:r>
      <w:r>
        <w:t xml:space="preserve"> too aggr</w:t>
      </w:r>
      <w:r w:rsidR="0089506C">
        <w:t xml:space="preserve">essive. If this turns out </w:t>
      </w:r>
      <w:r>
        <w:t xml:space="preserve">the case, I would caution against </w:t>
      </w:r>
      <w:r w:rsidR="0040332D">
        <w:t xml:space="preserve">using this to </w:t>
      </w:r>
      <w:r>
        <w:t>conclud</w:t>
      </w:r>
      <w:r w:rsidR="0040332D">
        <w:t>e</w:t>
      </w:r>
      <w:r>
        <w:t xml:space="preserve"> that life-cycle investing is universally flawed</w:t>
      </w:r>
      <w:r w:rsidR="0040332D">
        <w:t>. D</w:t>
      </w:r>
      <w:r w:rsidR="003940D9">
        <w:t xml:space="preserve">ynamically shifting </w:t>
      </w:r>
      <w:r w:rsidR="0040332D">
        <w:t xml:space="preserve">asset </w:t>
      </w:r>
      <w:r w:rsidR="003940D9">
        <w:t xml:space="preserve">weights can be optimal, although </w:t>
      </w:r>
      <w:r w:rsidR="0089506C">
        <w:t xml:space="preserve">the optimal path </w:t>
      </w:r>
      <w:r w:rsidR="0040332D">
        <w:t xml:space="preserve">will </w:t>
      </w:r>
      <w:r w:rsidR="003940D9">
        <w:t>depend on a range of assumptions</w:t>
      </w:r>
      <w:r>
        <w:t xml:space="preserve">. </w:t>
      </w:r>
      <w:r w:rsidR="0089506C">
        <w:t>Nevertheless</w:t>
      </w:r>
      <w:r w:rsidR="0040332D">
        <w:t>, it may support the conclusion</w:t>
      </w:r>
      <w:r>
        <w:t xml:space="preserve"> that the current crop of life-cycle products is sub-optimal </w:t>
      </w:r>
      <w:r w:rsidR="0040332D">
        <w:t>versus</w:t>
      </w:r>
      <w:r w:rsidR="003940D9">
        <w:t xml:space="preserve"> a balanced strategy </w:t>
      </w:r>
      <w:r>
        <w:t xml:space="preserve">for many members. </w:t>
      </w:r>
      <w:r w:rsidR="00A229A1">
        <w:t xml:space="preserve">        </w:t>
      </w:r>
      <w:r w:rsidR="008C2737">
        <w:t xml:space="preserve">   </w:t>
      </w:r>
    </w:p>
    <w:sectPr w:rsidR="00F27B5B" w:rsidRPr="00941FE0" w:rsidSect="00CB683B">
      <w:headerReference w:type="default" r:id="rId8"/>
      <w:footerReference w:type="default" r:id="rId9"/>
      <w:headerReference w:type="first" r:id="rId10"/>
      <w:footerReference w:type="first" r:id="rId11"/>
      <w:pgSz w:w="11906" w:h="16838" w:code="9"/>
      <w:pgMar w:top="1296" w:right="1152" w:bottom="1008" w:left="1152" w:header="0"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97108" w14:textId="77777777" w:rsidR="00D4065D" w:rsidRDefault="00D4065D" w:rsidP="006B2FC3">
      <w:r>
        <w:separator/>
      </w:r>
    </w:p>
  </w:endnote>
  <w:endnote w:type="continuationSeparator" w:id="0">
    <w:p w14:paraId="079881DE" w14:textId="77777777" w:rsidR="00D4065D" w:rsidRDefault="00D4065D" w:rsidP="006B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0CA6F" w14:textId="60CF46E4" w:rsidR="004D495C" w:rsidRPr="00AB3E56" w:rsidRDefault="004D495C" w:rsidP="006B2FC3">
    <w:pPr>
      <w:pStyle w:val="Footer"/>
      <w:rPr>
        <w:spacing w:val="40"/>
      </w:rPr>
    </w:pPr>
    <w:r w:rsidRPr="00A6097C">
      <w:fldChar w:fldCharType="begin"/>
    </w:r>
    <w:r w:rsidRPr="00A6097C">
      <w:instrText xml:space="preserve"> PAGE   \* MERGEFORMAT </w:instrText>
    </w:r>
    <w:r w:rsidRPr="00A6097C">
      <w:fldChar w:fldCharType="separate"/>
    </w:r>
    <w:r w:rsidR="003C5312">
      <w:rPr>
        <w:noProof/>
      </w:rPr>
      <w:t>8</w:t>
    </w:r>
    <w:r w:rsidRPr="00A6097C">
      <w:fldChar w:fldCharType="end"/>
    </w:r>
    <w:r w:rsidRPr="00A6097C">
      <w:t xml:space="preserve">  |  </w:t>
    </w:r>
    <w:r>
      <w:rPr>
        <w:spacing w:val="40"/>
      </w:rPr>
      <w:t xml:space="preserve">THE </w:t>
    </w:r>
    <w:r w:rsidRPr="00AB3E56">
      <w:rPr>
        <w:spacing w:val="40"/>
      </w:rPr>
      <w:t>AUSTRALIAN NATIONAL UNIVERSITY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CED9" w14:textId="6D892868" w:rsidR="004D495C" w:rsidRPr="00A6097C" w:rsidRDefault="004D495C" w:rsidP="006B2FC3">
    <w:pPr>
      <w:pStyle w:val="Footer"/>
      <w:rPr>
        <w:szCs w:val="16"/>
      </w:rPr>
    </w:pPr>
    <w:r w:rsidRPr="00A6097C">
      <w:rPr>
        <w:szCs w:val="16"/>
      </w:rPr>
      <w:fldChar w:fldCharType="begin"/>
    </w:r>
    <w:r w:rsidRPr="00A6097C">
      <w:rPr>
        <w:szCs w:val="16"/>
      </w:rPr>
      <w:instrText xml:space="preserve"> PAGE   \* MERGEFORMAT </w:instrText>
    </w:r>
    <w:r w:rsidRPr="00A6097C">
      <w:rPr>
        <w:szCs w:val="16"/>
      </w:rPr>
      <w:fldChar w:fldCharType="separate"/>
    </w:r>
    <w:r w:rsidR="003C5312" w:rsidRPr="003C5312">
      <w:rPr>
        <w:noProof/>
      </w:rPr>
      <w:t>1</w:t>
    </w:r>
    <w:r w:rsidRPr="00A6097C">
      <w:rPr>
        <w:szCs w:val="16"/>
      </w:rPr>
      <w:fldChar w:fldCharType="end"/>
    </w:r>
    <w:r w:rsidRPr="00A6097C">
      <w:rPr>
        <w:szCs w:val="16"/>
      </w:rPr>
      <w:t xml:space="preserve">  |  </w:t>
    </w:r>
    <w:r>
      <w:rPr>
        <w:spacing w:val="40"/>
        <w:szCs w:val="16"/>
      </w:rPr>
      <w:t>THE</w:t>
    </w:r>
    <w:r w:rsidRPr="00CD1A1A">
      <w:rPr>
        <w:spacing w:val="40"/>
        <w:szCs w:val="16"/>
      </w:rPr>
      <w:t xml:space="preserve"> AUSTRALIAN NATIONAL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84583" w14:textId="77777777" w:rsidR="00D4065D" w:rsidRDefault="00D4065D" w:rsidP="006B2FC3">
      <w:r>
        <w:separator/>
      </w:r>
    </w:p>
  </w:footnote>
  <w:footnote w:type="continuationSeparator" w:id="0">
    <w:p w14:paraId="3E2F8F32" w14:textId="77777777" w:rsidR="00D4065D" w:rsidRDefault="00D4065D" w:rsidP="006B2FC3">
      <w:r>
        <w:continuationSeparator/>
      </w:r>
    </w:p>
  </w:footnote>
  <w:footnote w:id="1">
    <w:p w14:paraId="5F876BF9" w14:textId="5EECCAB1" w:rsidR="004D495C" w:rsidRPr="00CD0B57" w:rsidRDefault="004D495C" w:rsidP="00413DAB">
      <w:pPr>
        <w:pStyle w:val="FootnoteText"/>
        <w:jc w:val="both"/>
        <w:rPr>
          <w:sz w:val="18"/>
          <w:szCs w:val="18"/>
        </w:rPr>
      </w:pPr>
      <w:r w:rsidRPr="00CD0B57">
        <w:rPr>
          <w:rStyle w:val="FootnoteReference"/>
          <w:sz w:val="18"/>
          <w:szCs w:val="18"/>
        </w:rPr>
        <w:footnoteRef/>
      </w:r>
      <w:r w:rsidRPr="00CD0B57">
        <w:rPr>
          <w:sz w:val="18"/>
          <w:szCs w:val="18"/>
        </w:rPr>
        <w:t xml:space="preserve"> This concept arose in the public hearings on 20</w:t>
      </w:r>
      <w:r w:rsidRPr="00CD0B57">
        <w:rPr>
          <w:sz w:val="18"/>
          <w:szCs w:val="18"/>
          <w:vertAlign w:val="superscript"/>
        </w:rPr>
        <w:t>th</w:t>
      </w:r>
      <w:r w:rsidRPr="00CD0B57">
        <w:rPr>
          <w:sz w:val="18"/>
          <w:szCs w:val="18"/>
        </w:rPr>
        <w:t xml:space="preserve"> June 2018, including the testimonies by Susan Thorp and Choice. It also emerged from research in which both Susan and I were involved, see: Butt, A., Donald, M.S., Foster, F.D., Thorp, S. and Warren, G.J. (2018), “One Size Fits All: Tailoring Retirement Plan Defaults”, </w:t>
      </w:r>
      <w:r w:rsidRPr="00CD0B57">
        <w:rPr>
          <w:i/>
          <w:sz w:val="18"/>
          <w:szCs w:val="18"/>
        </w:rPr>
        <w:t>Journal of Economic Behavior and Organization</w:t>
      </w:r>
      <w:r w:rsidRPr="00CD0B57">
        <w:rPr>
          <w:sz w:val="18"/>
          <w:szCs w:val="18"/>
        </w:rPr>
        <w:t xml:space="preserve">, 145: 546-566.   </w:t>
      </w:r>
    </w:p>
  </w:footnote>
  <w:footnote w:id="2">
    <w:p w14:paraId="6068A31E" w14:textId="43BA62CA" w:rsidR="005731CF" w:rsidRPr="00E160F8" w:rsidRDefault="005731CF" w:rsidP="005731CF">
      <w:pPr>
        <w:pStyle w:val="FootnoteText"/>
        <w:rPr>
          <w:sz w:val="18"/>
          <w:szCs w:val="18"/>
        </w:rPr>
      </w:pPr>
      <w:r w:rsidRPr="00E160F8">
        <w:rPr>
          <w:rStyle w:val="FootnoteReference"/>
          <w:sz w:val="18"/>
          <w:szCs w:val="18"/>
        </w:rPr>
        <w:footnoteRef/>
      </w:r>
      <w:r w:rsidRPr="00E160F8">
        <w:rPr>
          <w:sz w:val="18"/>
          <w:szCs w:val="18"/>
        </w:rPr>
        <w:t xml:space="preserve"> </w:t>
      </w:r>
      <w:r>
        <w:rPr>
          <w:sz w:val="18"/>
          <w:szCs w:val="18"/>
        </w:rPr>
        <w:t xml:space="preserve">Reports might be generated by the panel, </w:t>
      </w:r>
      <w:r w:rsidR="0035171D">
        <w:rPr>
          <w:sz w:val="18"/>
          <w:szCs w:val="18"/>
        </w:rPr>
        <w:t>or sourced from research houses</w:t>
      </w:r>
      <w:r>
        <w:rPr>
          <w:sz w:val="18"/>
          <w:szCs w:val="18"/>
        </w:rPr>
        <w:t xml:space="preserve">. </w:t>
      </w:r>
    </w:p>
  </w:footnote>
  <w:footnote w:id="3">
    <w:p w14:paraId="605BC03B" w14:textId="77777777" w:rsidR="00B40745" w:rsidRPr="00AB5026" w:rsidRDefault="00B40745" w:rsidP="00B40745">
      <w:pPr>
        <w:pStyle w:val="FootnoteText"/>
        <w:jc w:val="both"/>
        <w:rPr>
          <w:sz w:val="18"/>
          <w:szCs w:val="18"/>
        </w:rPr>
      </w:pPr>
      <w:r w:rsidRPr="00AB5026">
        <w:rPr>
          <w:rStyle w:val="FootnoteReference"/>
          <w:sz w:val="18"/>
          <w:szCs w:val="18"/>
        </w:rPr>
        <w:footnoteRef/>
      </w:r>
      <w:r w:rsidRPr="00AB5026">
        <w:rPr>
          <w:sz w:val="18"/>
          <w:szCs w:val="18"/>
        </w:rPr>
        <w:t xml:space="preserve"> See: </w:t>
      </w:r>
      <w:proofErr w:type="spellStart"/>
      <w:r>
        <w:rPr>
          <w:sz w:val="18"/>
          <w:szCs w:val="18"/>
        </w:rPr>
        <w:t>Goyal</w:t>
      </w:r>
      <w:proofErr w:type="spellEnd"/>
      <w:r>
        <w:rPr>
          <w:sz w:val="18"/>
          <w:szCs w:val="18"/>
        </w:rPr>
        <w:t xml:space="preserve">, A. and </w:t>
      </w:r>
      <w:proofErr w:type="spellStart"/>
      <w:r>
        <w:rPr>
          <w:sz w:val="18"/>
          <w:szCs w:val="18"/>
        </w:rPr>
        <w:t>Wahal</w:t>
      </w:r>
      <w:proofErr w:type="spellEnd"/>
      <w:r>
        <w:rPr>
          <w:sz w:val="18"/>
          <w:szCs w:val="18"/>
        </w:rPr>
        <w:t>, S. (2008),</w:t>
      </w:r>
      <w:r w:rsidRPr="00CD0B57">
        <w:rPr>
          <w:sz w:val="18"/>
          <w:szCs w:val="18"/>
        </w:rPr>
        <w:t xml:space="preserve"> </w:t>
      </w:r>
      <w:r>
        <w:rPr>
          <w:sz w:val="18"/>
          <w:szCs w:val="18"/>
        </w:rPr>
        <w:t>“The selection and termination of investment m</w:t>
      </w:r>
      <w:r w:rsidRPr="00CD0B57">
        <w:rPr>
          <w:sz w:val="18"/>
          <w:szCs w:val="18"/>
        </w:rPr>
        <w:t>anagem</w:t>
      </w:r>
      <w:r>
        <w:rPr>
          <w:sz w:val="18"/>
          <w:szCs w:val="18"/>
        </w:rPr>
        <w:t xml:space="preserve">ent firms by plan sponsors”, </w:t>
      </w:r>
      <w:r w:rsidRPr="00CD0B57">
        <w:rPr>
          <w:i/>
          <w:sz w:val="18"/>
          <w:szCs w:val="18"/>
        </w:rPr>
        <w:t>Journal of Finance</w:t>
      </w:r>
      <w:r>
        <w:rPr>
          <w:sz w:val="18"/>
          <w:szCs w:val="18"/>
        </w:rPr>
        <w:t>, 63(4), 1805-1847; Stewart, S</w:t>
      </w:r>
      <w:r w:rsidRPr="00CD0B57">
        <w:rPr>
          <w:sz w:val="18"/>
          <w:szCs w:val="18"/>
        </w:rPr>
        <w:t xml:space="preserve">, </w:t>
      </w:r>
      <w:proofErr w:type="spellStart"/>
      <w:r w:rsidRPr="00CD0B57">
        <w:rPr>
          <w:sz w:val="18"/>
          <w:szCs w:val="18"/>
        </w:rPr>
        <w:t>Heisler</w:t>
      </w:r>
      <w:proofErr w:type="spellEnd"/>
      <w:r w:rsidRPr="00CD0B57">
        <w:rPr>
          <w:sz w:val="18"/>
          <w:szCs w:val="18"/>
        </w:rPr>
        <w:t xml:space="preserve">, </w:t>
      </w:r>
      <w:r>
        <w:rPr>
          <w:sz w:val="18"/>
          <w:szCs w:val="18"/>
        </w:rPr>
        <w:t xml:space="preserve">J., </w:t>
      </w:r>
      <w:proofErr w:type="spellStart"/>
      <w:r w:rsidRPr="00CD0B57">
        <w:rPr>
          <w:sz w:val="18"/>
          <w:szCs w:val="18"/>
        </w:rPr>
        <w:t>Knittel</w:t>
      </w:r>
      <w:proofErr w:type="spellEnd"/>
      <w:r w:rsidRPr="00CD0B57">
        <w:rPr>
          <w:sz w:val="18"/>
          <w:szCs w:val="18"/>
        </w:rPr>
        <w:t xml:space="preserve">, </w:t>
      </w:r>
      <w:r>
        <w:rPr>
          <w:sz w:val="18"/>
          <w:szCs w:val="18"/>
        </w:rPr>
        <w:t xml:space="preserve">C. </w:t>
      </w:r>
      <w:r w:rsidRPr="00CD0B57">
        <w:rPr>
          <w:sz w:val="18"/>
          <w:szCs w:val="18"/>
        </w:rPr>
        <w:t xml:space="preserve">and </w:t>
      </w:r>
      <w:r>
        <w:rPr>
          <w:sz w:val="18"/>
          <w:szCs w:val="18"/>
        </w:rPr>
        <w:t>Neumann, J. (2</w:t>
      </w:r>
      <w:r w:rsidRPr="00CD0B57">
        <w:rPr>
          <w:sz w:val="18"/>
          <w:szCs w:val="18"/>
        </w:rPr>
        <w:t>009</w:t>
      </w:r>
      <w:r>
        <w:rPr>
          <w:sz w:val="18"/>
          <w:szCs w:val="18"/>
        </w:rPr>
        <w:t>), “Absence of value: An analysis of investment allocation d</w:t>
      </w:r>
      <w:r w:rsidRPr="00CD0B57">
        <w:rPr>
          <w:sz w:val="18"/>
          <w:szCs w:val="18"/>
        </w:rPr>
        <w:t>ecisions by</w:t>
      </w:r>
      <w:r>
        <w:rPr>
          <w:sz w:val="18"/>
          <w:szCs w:val="18"/>
        </w:rPr>
        <w:t xml:space="preserve"> institutional plan sponsors</w:t>
      </w:r>
      <w:r w:rsidRPr="00CD0B57">
        <w:rPr>
          <w:sz w:val="18"/>
          <w:szCs w:val="18"/>
        </w:rPr>
        <w:t>”</w:t>
      </w:r>
      <w:r>
        <w:rPr>
          <w:sz w:val="18"/>
          <w:szCs w:val="18"/>
        </w:rPr>
        <w:t>,</w:t>
      </w:r>
      <w:r w:rsidRPr="00CD0B57">
        <w:rPr>
          <w:sz w:val="18"/>
          <w:szCs w:val="18"/>
        </w:rPr>
        <w:t xml:space="preserve"> </w:t>
      </w:r>
      <w:r w:rsidRPr="00CD0B57">
        <w:rPr>
          <w:i/>
          <w:sz w:val="18"/>
          <w:szCs w:val="18"/>
        </w:rPr>
        <w:t>Financial Analysts Journal</w:t>
      </w:r>
      <w:r>
        <w:rPr>
          <w:sz w:val="18"/>
          <w:szCs w:val="18"/>
        </w:rPr>
        <w:t xml:space="preserve">, </w:t>
      </w:r>
      <w:r w:rsidRPr="00CD0B57">
        <w:rPr>
          <w:sz w:val="18"/>
          <w:szCs w:val="18"/>
        </w:rPr>
        <w:t>65</w:t>
      </w:r>
      <w:r>
        <w:rPr>
          <w:sz w:val="18"/>
          <w:szCs w:val="18"/>
        </w:rPr>
        <w:t>(</w:t>
      </w:r>
      <w:r w:rsidRPr="00CD0B57">
        <w:rPr>
          <w:sz w:val="18"/>
          <w:szCs w:val="18"/>
        </w:rPr>
        <w:t>6</w:t>
      </w:r>
      <w:r>
        <w:rPr>
          <w:sz w:val="18"/>
          <w:szCs w:val="18"/>
        </w:rPr>
        <w:t xml:space="preserve">), 34–51; Jenkinson, T., </w:t>
      </w:r>
      <w:r w:rsidRPr="00AB5026">
        <w:rPr>
          <w:sz w:val="18"/>
          <w:szCs w:val="18"/>
        </w:rPr>
        <w:t xml:space="preserve">Jones, </w:t>
      </w:r>
      <w:r>
        <w:rPr>
          <w:sz w:val="18"/>
          <w:szCs w:val="18"/>
        </w:rPr>
        <w:t xml:space="preserve">H. </w:t>
      </w:r>
      <w:r w:rsidRPr="00AB5026">
        <w:rPr>
          <w:sz w:val="18"/>
          <w:szCs w:val="18"/>
        </w:rPr>
        <w:t>and Martinez</w:t>
      </w:r>
      <w:r>
        <w:rPr>
          <w:sz w:val="18"/>
          <w:szCs w:val="18"/>
        </w:rPr>
        <w:t>, J.V. (2016),</w:t>
      </w:r>
      <w:r w:rsidRPr="00AB5026">
        <w:rPr>
          <w:sz w:val="18"/>
          <w:szCs w:val="18"/>
        </w:rPr>
        <w:t xml:space="preserve"> "Picking winners? Investment consultants’ recommendations of fund managers." </w:t>
      </w:r>
      <w:r w:rsidRPr="00AB5026">
        <w:rPr>
          <w:i/>
          <w:sz w:val="18"/>
          <w:szCs w:val="18"/>
        </w:rPr>
        <w:t>Journal of Finance</w:t>
      </w:r>
      <w:r w:rsidRPr="00AB5026">
        <w:rPr>
          <w:sz w:val="18"/>
          <w:szCs w:val="18"/>
        </w:rPr>
        <w:t>, 71</w:t>
      </w:r>
      <w:r>
        <w:rPr>
          <w:sz w:val="18"/>
          <w:szCs w:val="18"/>
        </w:rPr>
        <w:t>(5), 2333-2370.</w:t>
      </w:r>
    </w:p>
  </w:footnote>
  <w:footnote w:id="4">
    <w:p w14:paraId="3AEA8B6C" w14:textId="77777777" w:rsidR="00B40745" w:rsidRPr="00533FAC" w:rsidRDefault="00B40745" w:rsidP="00B40745">
      <w:pPr>
        <w:pStyle w:val="FootnoteText"/>
        <w:jc w:val="both"/>
        <w:rPr>
          <w:sz w:val="18"/>
          <w:szCs w:val="18"/>
        </w:rPr>
      </w:pPr>
      <w:r w:rsidRPr="00533FAC">
        <w:rPr>
          <w:rStyle w:val="FootnoteReference"/>
          <w:sz w:val="18"/>
          <w:szCs w:val="18"/>
        </w:rPr>
        <w:footnoteRef/>
      </w:r>
      <w:r w:rsidRPr="00533FAC">
        <w:rPr>
          <w:sz w:val="18"/>
          <w:szCs w:val="18"/>
        </w:rPr>
        <w:t xml:space="preserve"> </w:t>
      </w:r>
      <w:r>
        <w:rPr>
          <w:rStyle w:val="tagline2"/>
          <w:rFonts w:cs="Arial"/>
          <w:bCs/>
          <w:sz w:val="18"/>
          <w:szCs w:val="18"/>
          <w:specVanish w:val="0"/>
        </w:rPr>
        <w:t>Foster, F.D. and Warren, G.J. (2016), “Interviews with i</w:t>
      </w:r>
      <w:r w:rsidRPr="00533FAC">
        <w:rPr>
          <w:rStyle w:val="tagline2"/>
          <w:rFonts w:cs="Arial"/>
          <w:bCs/>
          <w:sz w:val="18"/>
          <w:szCs w:val="18"/>
          <w:specVanish w:val="0"/>
        </w:rPr>
        <w:t>nstitu</w:t>
      </w:r>
      <w:r>
        <w:rPr>
          <w:rStyle w:val="tagline2"/>
          <w:rFonts w:cs="Arial"/>
          <w:bCs/>
          <w:sz w:val="18"/>
          <w:szCs w:val="18"/>
          <w:specVanish w:val="0"/>
        </w:rPr>
        <w:t>tional investors: The how and why of active i</w:t>
      </w:r>
      <w:r w:rsidRPr="00533FAC">
        <w:rPr>
          <w:rStyle w:val="tagline2"/>
          <w:rFonts w:cs="Arial"/>
          <w:bCs/>
          <w:sz w:val="18"/>
          <w:szCs w:val="18"/>
          <w:specVanish w:val="0"/>
        </w:rPr>
        <w:t xml:space="preserve">nvesting”, </w:t>
      </w:r>
      <w:r w:rsidRPr="00533FAC">
        <w:rPr>
          <w:rFonts w:cs="Arial"/>
          <w:i/>
          <w:sz w:val="18"/>
          <w:szCs w:val="18"/>
        </w:rPr>
        <w:t>Journal of Behavioral Finance</w:t>
      </w:r>
      <w:r>
        <w:rPr>
          <w:rFonts w:cs="Arial"/>
          <w:sz w:val="18"/>
          <w:szCs w:val="18"/>
        </w:rPr>
        <w:t xml:space="preserve">, 17(1), </w:t>
      </w:r>
      <w:r w:rsidRPr="00533FAC">
        <w:rPr>
          <w:rFonts w:cs="Arial"/>
          <w:sz w:val="18"/>
          <w:szCs w:val="18"/>
        </w:rPr>
        <w:t>60-84</w:t>
      </w:r>
      <w:r>
        <w:rPr>
          <w:rFonts w:cs="Arial"/>
          <w:sz w:val="18"/>
          <w:szCs w:val="18"/>
        </w:rPr>
        <w:t xml:space="preserve">. </w:t>
      </w:r>
    </w:p>
  </w:footnote>
  <w:footnote w:id="5">
    <w:p w14:paraId="52F38EF7" w14:textId="3EE69FDB" w:rsidR="00B40745" w:rsidRPr="00F3000E" w:rsidRDefault="00B40745" w:rsidP="00B40745">
      <w:pPr>
        <w:pStyle w:val="FootnoteText"/>
        <w:jc w:val="both"/>
        <w:rPr>
          <w:sz w:val="18"/>
          <w:szCs w:val="18"/>
        </w:rPr>
      </w:pPr>
      <w:r w:rsidRPr="00F3000E">
        <w:rPr>
          <w:rStyle w:val="FootnoteReference"/>
          <w:sz w:val="18"/>
          <w:szCs w:val="18"/>
        </w:rPr>
        <w:footnoteRef/>
      </w:r>
      <w:r w:rsidRPr="00F3000E">
        <w:rPr>
          <w:sz w:val="18"/>
          <w:szCs w:val="18"/>
        </w:rPr>
        <w:t xml:space="preserve"> </w:t>
      </w:r>
      <w:r>
        <w:rPr>
          <w:sz w:val="18"/>
          <w:szCs w:val="18"/>
        </w:rPr>
        <w:t xml:space="preserve">Stewart, S. </w:t>
      </w:r>
      <w:r w:rsidRPr="00F3000E">
        <w:rPr>
          <w:sz w:val="18"/>
          <w:szCs w:val="18"/>
        </w:rPr>
        <w:t xml:space="preserve">D. </w:t>
      </w:r>
      <w:r>
        <w:rPr>
          <w:sz w:val="18"/>
          <w:szCs w:val="18"/>
        </w:rPr>
        <w:t>(2013), "Manager selection</w:t>
      </w:r>
      <w:r w:rsidRPr="00F3000E">
        <w:rPr>
          <w:sz w:val="18"/>
          <w:szCs w:val="18"/>
        </w:rPr>
        <w:t>"</w:t>
      </w:r>
      <w:r>
        <w:rPr>
          <w:sz w:val="18"/>
          <w:szCs w:val="18"/>
        </w:rPr>
        <w:t xml:space="preserve">, </w:t>
      </w:r>
      <w:r w:rsidR="00713D1D">
        <w:rPr>
          <w:i/>
          <w:sz w:val="18"/>
          <w:szCs w:val="18"/>
        </w:rPr>
        <w:t>Research Foundation of the CFA I</w:t>
      </w:r>
      <w:r w:rsidRPr="00F3000E">
        <w:rPr>
          <w:i/>
          <w:sz w:val="18"/>
          <w:szCs w:val="18"/>
        </w:rPr>
        <w:t>nstitute</w:t>
      </w:r>
      <w:r w:rsidRPr="00F3000E">
        <w:rPr>
          <w:sz w:val="18"/>
          <w:szCs w:val="18"/>
        </w:rPr>
        <w:t>.</w:t>
      </w:r>
    </w:p>
  </w:footnote>
  <w:footnote w:id="6">
    <w:p w14:paraId="1679FF76" w14:textId="42B7BA51" w:rsidR="004D495C" w:rsidRPr="00EE6240" w:rsidRDefault="004D495C" w:rsidP="00413DAB">
      <w:pPr>
        <w:pStyle w:val="FootnoteText"/>
        <w:jc w:val="both"/>
        <w:rPr>
          <w:sz w:val="18"/>
          <w:szCs w:val="18"/>
        </w:rPr>
      </w:pPr>
      <w:r w:rsidRPr="00EE6240">
        <w:rPr>
          <w:rStyle w:val="FootnoteReference"/>
          <w:sz w:val="18"/>
          <w:szCs w:val="18"/>
        </w:rPr>
        <w:footnoteRef/>
      </w:r>
      <w:r w:rsidRPr="00EE6240">
        <w:rPr>
          <w:sz w:val="18"/>
          <w:szCs w:val="18"/>
        </w:rPr>
        <w:t xml:space="preserve"> </w:t>
      </w:r>
      <w:r>
        <w:rPr>
          <w:sz w:val="18"/>
          <w:szCs w:val="18"/>
        </w:rPr>
        <w:t>I would anticipate that the predicted</w:t>
      </w:r>
      <w:r w:rsidRPr="00EE6240">
        <w:rPr>
          <w:sz w:val="18"/>
          <w:szCs w:val="18"/>
        </w:rPr>
        <w:t xml:space="preserve"> distribution would be approximately normal</w:t>
      </w:r>
      <w:r>
        <w:rPr>
          <w:sz w:val="18"/>
          <w:szCs w:val="18"/>
        </w:rPr>
        <w:t xml:space="preserve"> for which there are standard tests. However, the analysis would need to be done to see if this was actually the case.</w:t>
      </w:r>
    </w:p>
  </w:footnote>
  <w:footnote w:id="7">
    <w:p w14:paraId="6326A38F" w14:textId="67E5B9C5" w:rsidR="00CF0751" w:rsidRDefault="004D495C" w:rsidP="00413DAB">
      <w:pPr>
        <w:pStyle w:val="FootnoteText"/>
        <w:jc w:val="both"/>
        <w:rPr>
          <w:rFonts w:cs="Arial"/>
          <w:sz w:val="18"/>
          <w:szCs w:val="18"/>
        </w:rPr>
      </w:pPr>
      <w:r w:rsidRPr="0057746E">
        <w:rPr>
          <w:rStyle w:val="FootnoteReference"/>
          <w:rFonts w:cs="Arial"/>
          <w:sz w:val="18"/>
          <w:szCs w:val="18"/>
        </w:rPr>
        <w:footnoteRef/>
      </w:r>
      <w:r>
        <w:rPr>
          <w:rFonts w:cs="Arial"/>
          <w:sz w:val="18"/>
          <w:szCs w:val="18"/>
        </w:rPr>
        <w:t xml:space="preserve"> An element of experimentation may be required to </w:t>
      </w:r>
      <w:r w:rsidR="005024A7">
        <w:rPr>
          <w:rFonts w:cs="Arial"/>
          <w:sz w:val="18"/>
          <w:szCs w:val="18"/>
        </w:rPr>
        <w:t xml:space="preserve">around the method of generating asset allocation weights, to </w:t>
      </w:r>
      <w:r>
        <w:rPr>
          <w:rFonts w:cs="Arial"/>
          <w:sz w:val="18"/>
          <w:szCs w:val="18"/>
        </w:rPr>
        <w:t xml:space="preserve">ensure that the resulting distributions </w:t>
      </w:r>
      <w:r w:rsidR="005024A7">
        <w:rPr>
          <w:rFonts w:cs="Arial"/>
          <w:sz w:val="18"/>
          <w:szCs w:val="18"/>
        </w:rPr>
        <w:t>is</w:t>
      </w:r>
      <w:r>
        <w:rPr>
          <w:rFonts w:cs="Arial"/>
          <w:sz w:val="18"/>
          <w:szCs w:val="18"/>
        </w:rPr>
        <w:t xml:space="preserve"> reasonable.</w:t>
      </w:r>
      <w:r w:rsidR="00CF0751">
        <w:rPr>
          <w:rFonts w:cs="Arial"/>
          <w:sz w:val="18"/>
          <w:szCs w:val="18"/>
        </w:rPr>
        <w:t xml:space="preserve"> Here are some ideas:</w:t>
      </w:r>
      <w:r>
        <w:rPr>
          <w:rFonts w:cs="Arial"/>
          <w:sz w:val="18"/>
          <w:szCs w:val="18"/>
        </w:rPr>
        <w:t xml:space="preserve"> </w:t>
      </w:r>
    </w:p>
    <w:p w14:paraId="2A2C3FB5" w14:textId="77777777" w:rsidR="00CF0751" w:rsidRDefault="004D495C" w:rsidP="00CF0751">
      <w:pPr>
        <w:pStyle w:val="FootnoteText"/>
        <w:numPr>
          <w:ilvl w:val="0"/>
          <w:numId w:val="39"/>
        </w:numPr>
        <w:ind w:left="360" w:hanging="180"/>
        <w:jc w:val="both"/>
        <w:rPr>
          <w:rFonts w:cs="Arial"/>
          <w:sz w:val="18"/>
          <w:szCs w:val="18"/>
        </w:rPr>
      </w:pPr>
      <w:r>
        <w:rPr>
          <w:rFonts w:cs="Arial"/>
          <w:sz w:val="18"/>
          <w:szCs w:val="18"/>
        </w:rPr>
        <w:t xml:space="preserve">In TS4, </w:t>
      </w:r>
      <w:r w:rsidRPr="00512F36">
        <w:rPr>
          <w:rFonts w:cs="Arial"/>
          <w:sz w:val="18"/>
          <w:szCs w:val="18"/>
        </w:rPr>
        <w:t xml:space="preserve">the analysis </w:t>
      </w:r>
      <w:r>
        <w:rPr>
          <w:rFonts w:cs="Arial"/>
          <w:sz w:val="18"/>
          <w:szCs w:val="18"/>
        </w:rPr>
        <w:t>appears to span</w:t>
      </w:r>
      <w:r w:rsidRPr="00512F36">
        <w:rPr>
          <w:rFonts w:cs="Arial"/>
          <w:sz w:val="18"/>
          <w:szCs w:val="18"/>
        </w:rPr>
        <w:t xml:space="preserve"> the full range of weights with equal probability. Argua</w:t>
      </w:r>
      <w:r>
        <w:rPr>
          <w:rFonts w:cs="Arial"/>
          <w:sz w:val="18"/>
          <w:szCs w:val="18"/>
        </w:rPr>
        <w:t>bly, smaller weighting deviations may be more likely. This suggests</w:t>
      </w:r>
      <w:r w:rsidRPr="00512F36">
        <w:rPr>
          <w:rFonts w:cs="Arial"/>
          <w:sz w:val="18"/>
          <w:szCs w:val="18"/>
        </w:rPr>
        <w:t xml:space="preserve"> that deviations might be modelled as following a normal distribution</w:t>
      </w:r>
      <w:r>
        <w:rPr>
          <w:rFonts w:cs="Arial"/>
          <w:sz w:val="18"/>
          <w:szCs w:val="18"/>
        </w:rPr>
        <w:t>,</w:t>
      </w:r>
      <w:r w:rsidRPr="00512F36">
        <w:rPr>
          <w:rFonts w:cs="Arial"/>
          <w:sz w:val="18"/>
          <w:szCs w:val="18"/>
        </w:rPr>
        <w:t xml:space="preserve"> or perhaps </w:t>
      </w:r>
      <w:r>
        <w:rPr>
          <w:rFonts w:cs="Arial"/>
          <w:sz w:val="18"/>
          <w:szCs w:val="18"/>
        </w:rPr>
        <w:t xml:space="preserve">a more </w:t>
      </w:r>
      <w:r w:rsidRPr="00512F36">
        <w:rPr>
          <w:rFonts w:cs="Arial"/>
          <w:sz w:val="18"/>
          <w:szCs w:val="18"/>
        </w:rPr>
        <w:t>fat-tailed</w:t>
      </w:r>
      <w:r>
        <w:rPr>
          <w:rFonts w:cs="Arial"/>
          <w:sz w:val="18"/>
          <w:szCs w:val="18"/>
        </w:rPr>
        <w:t xml:space="preserve"> distribution that is also somewhat clustered around the benchmark. W</w:t>
      </w:r>
      <w:r w:rsidRPr="00512F36">
        <w:rPr>
          <w:rFonts w:cs="Arial"/>
          <w:sz w:val="18"/>
          <w:szCs w:val="18"/>
        </w:rPr>
        <w:t xml:space="preserve">eightings </w:t>
      </w:r>
      <w:r w:rsidR="007132BF">
        <w:rPr>
          <w:rFonts w:cs="Arial"/>
          <w:sz w:val="18"/>
          <w:szCs w:val="18"/>
        </w:rPr>
        <w:t>could</w:t>
      </w:r>
      <w:r>
        <w:rPr>
          <w:rFonts w:cs="Arial"/>
          <w:sz w:val="18"/>
          <w:szCs w:val="18"/>
        </w:rPr>
        <w:t xml:space="preserve"> be </w:t>
      </w:r>
      <w:r w:rsidRPr="00512F36">
        <w:rPr>
          <w:rFonts w:cs="Arial"/>
          <w:sz w:val="18"/>
          <w:szCs w:val="18"/>
        </w:rPr>
        <w:t>constrained by zero and the maximum</w:t>
      </w:r>
      <w:r>
        <w:rPr>
          <w:rFonts w:cs="Arial"/>
          <w:sz w:val="18"/>
          <w:szCs w:val="18"/>
        </w:rPr>
        <w:t xml:space="preserve"> observed weight,</w:t>
      </w:r>
      <w:r w:rsidRPr="00512F36">
        <w:rPr>
          <w:rFonts w:cs="Arial"/>
          <w:sz w:val="18"/>
          <w:szCs w:val="18"/>
        </w:rPr>
        <w:t xml:space="preserve"> so that the distribution is truncated.</w:t>
      </w:r>
      <w:r>
        <w:rPr>
          <w:rFonts w:cs="Arial"/>
          <w:sz w:val="18"/>
          <w:szCs w:val="18"/>
        </w:rPr>
        <w:t xml:space="preserve"> </w:t>
      </w:r>
    </w:p>
    <w:p w14:paraId="371F108E" w14:textId="3DF8C388" w:rsidR="00CF0751" w:rsidRPr="00CF0751" w:rsidRDefault="004D495C" w:rsidP="00CF0751">
      <w:pPr>
        <w:pStyle w:val="FootnoteText"/>
        <w:numPr>
          <w:ilvl w:val="0"/>
          <w:numId w:val="39"/>
        </w:numPr>
        <w:ind w:left="360" w:hanging="180"/>
        <w:jc w:val="both"/>
        <w:rPr>
          <w:rFonts w:cs="Arial"/>
          <w:sz w:val="18"/>
          <w:szCs w:val="18"/>
        </w:rPr>
      </w:pPr>
      <w:r w:rsidRPr="002019C3">
        <w:rPr>
          <w:sz w:val="18"/>
          <w:szCs w:val="18"/>
        </w:rPr>
        <w:t xml:space="preserve">One approach </w:t>
      </w:r>
      <w:r w:rsidR="005024A7">
        <w:rPr>
          <w:sz w:val="18"/>
          <w:szCs w:val="18"/>
        </w:rPr>
        <w:t>could</w:t>
      </w:r>
      <w:r w:rsidRPr="002019C3">
        <w:rPr>
          <w:sz w:val="18"/>
          <w:szCs w:val="18"/>
        </w:rPr>
        <w:t xml:space="preserve"> be </w:t>
      </w:r>
      <w:r w:rsidR="005024A7">
        <w:rPr>
          <w:sz w:val="18"/>
          <w:szCs w:val="18"/>
        </w:rPr>
        <w:t>to simulate</w:t>
      </w:r>
      <w:r w:rsidRPr="002019C3">
        <w:rPr>
          <w:sz w:val="18"/>
          <w:szCs w:val="18"/>
        </w:rPr>
        <w:t xml:space="preserve"> ‘pairs’ trades, going overweight and underweight two assets </w:t>
      </w:r>
      <w:r w:rsidR="005024A7">
        <w:rPr>
          <w:sz w:val="18"/>
          <w:szCs w:val="18"/>
        </w:rPr>
        <w:t>or asset categories (see below) selected</w:t>
      </w:r>
      <w:r w:rsidRPr="002019C3">
        <w:rPr>
          <w:sz w:val="18"/>
          <w:szCs w:val="18"/>
        </w:rPr>
        <w:t xml:space="preserve"> at random.</w:t>
      </w:r>
      <w:r>
        <w:rPr>
          <w:sz w:val="18"/>
          <w:szCs w:val="18"/>
        </w:rPr>
        <w:t xml:space="preserve"> A given asset allocation could contain one pair trade, or a number of pairs trades. </w:t>
      </w:r>
    </w:p>
    <w:p w14:paraId="57900383" w14:textId="5D253B64" w:rsidR="00CF0751" w:rsidRPr="00CF0751" w:rsidRDefault="004D495C" w:rsidP="00CF0751">
      <w:pPr>
        <w:pStyle w:val="FootnoteText"/>
        <w:numPr>
          <w:ilvl w:val="0"/>
          <w:numId w:val="39"/>
        </w:numPr>
        <w:ind w:left="360" w:hanging="180"/>
        <w:jc w:val="both"/>
        <w:rPr>
          <w:rFonts w:cs="Arial"/>
          <w:sz w:val="18"/>
          <w:szCs w:val="18"/>
        </w:rPr>
      </w:pPr>
      <w:r>
        <w:rPr>
          <w:sz w:val="18"/>
          <w:szCs w:val="18"/>
        </w:rPr>
        <w:t>Currency decisions might be included in the simulations by treating the mix between hedged and unhedged versions of the same international asset class</w:t>
      </w:r>
      <w:r w:rsidR="005024A7">
        <w:rPr>
          <w:sz w:val="18"/>
          <w:szCs w:val="18"/>
        </w:rPr>
        <w:t>es</w:t>
      </w:r>
      <w:r>
        <w:rPr>
          <w:sz w:val="18"/>
          <w:szCs w:val="18"/>
        </w:rPr>
        <w:t xml:space="preserve"> (other than fixed income) as a secondary decision, with </w:t>
      </w:r>
      <w:r w:rsidR="005024A7">
        <w:rPr>
          <w:sz w:val="18"/>
          <w:szCs w:val="18"/>
        </w:rPr>
        <w:t xml:space="preserve">a common </w:t>
      </w:r>
      <w:r w:rsidR="00B23BF2">
        <w:rPr>
          <w:sz w:val="18"/>
          <w:szCs w:val="18"/>
        </w:rPr>
        <w:t xml:space="preserve">hedge/unhedged mix applied within </w:t>
      </w:r>
      <w:r w:rsidR="00CF0751">
        <w:rPr>
          <w:sz w:val="18"/>
          <w:szCs w:val="18"/>
        </w:rPr>
        <w:t>each international asset class</w:t>
      </w:r>
      <w:r>
        <w:rPr>
          <w:sz w:val="18"/>
          <w:szCs w:val="18"/>
        </w:rPr>
        <w:t xml:space="preserve"> </w:t>
      </w:r>
      <w:r w:rsidR="00B23BF2">
        <w:rPr>
          <w:sz w:val="18"/>
          <w:szCs w:val="18"/>
        </w:rPr>
        <w:t>deemed subject to potential hedging</w:t>
      </w:r>
      <w:r>
        <w:rPr>
          <w:sz w:val="18"/>
          <w:szCs w:val="18"/>
        </w:rPr>
        <w:t xml:space="preserve">. </w:t>
      </w:r>
    </w:p>
    <w:p w14:paraId="56BE321E" w14:textId="5B3E9C89" w:rsidR="004D495C" w:rsidRPr="002019C3" w:rsidRDefault="005024A7" w:rsidP="00CF0751">
      <w:pPr>
        <w:pStyle w:val="FootnoteText"/>
        <w:numPr>
          <w:ilvl w:val="0"/>
          <w:numId w:val="39"/>
        </w:numPr>
        <w:ind w:left="360" w:hanging="180"/>
        <w:jc w:val="both"/>
        <w:rPr>
          <w:rFonts w:cs="Arial"/>
          <w:sz w:val="18"/>
          <w:szCs w:val="18"/>
        </w:rPr>
      </w:pPr>
      <w:r>
        <w:rPr>
          <w:sz w:val="18"/>
          <w:szCs w:val="18"/>
        </w:rPr>
        <w:t>Another approach could be</w:t>
      </w:r>
      <w:r w:rsidR="00CF0751">
        <w:rPr>
          <w:sz w:val="18"/>
          <w:szCs w:val="18"/>
        </w:rPr>
        <w:t xml:space="preserve"> to adopt a tiered structure. In the top tier, deviations are generated versus the benchmark in the broad categories of equities, fixed income </w:t>
      </w:r>
      <w:r w:rsidR="00B23BF2">
        <w:rPr>
          <w:sz w:val="18"/>
          <w:szCs w:val="18"/>
        </w:rPr>
        <w:t xml:space="preserve">plus, </w:t>
      </w:r>
      <w:r w:rsidR="00CF0751">
        <w:rPr>
          <w:sz w:val="18"/>
          <w:szCs w:val="18"/>
        </w:rPr>
        <w:t xml:space="preserve">and alternatives. In the second tier, deviations from the benchmark are generated within each </w:t>
      </w:r>
      <w:r>
        <w:rPr>
          <w:sz w:val="18"/>
          <w:szCs w:val="18"/>
        </w:rPr>
        <w:t xml:space="preserve">broad, </w:t>
      </w:r>
      <w:r w:rsidR="00CF0751">
        <w:rPr>
          <w:sz w:val="18"/>
          <w:szCs w:val="18"/>
        </w:rPr>
        <w:t>category, e.g. a choice between Australian and world equities is made. There may be call for a third tier in some instances, e.g. choice between unhedged and world equities</w:t>
      </w:r>
      <w:r>
        <w:rPr>
          <w:sz w:val="18"/>
          <w:szCs w:val="18"/>
        </w:rPr>
        <w:t>, or</w:t>
      </w:r>
      <w:r w:rsidR="00B23BF2">
        <w:rPr>
          <w:sz w:val="18"/>
          <w:szCs w:val="18"/>
        </w:rPr>
        <w:t xml:space="preserve"> listed and unlisted forms of alternative</w:t>
      </w:r>
      <w:r>
        <w:rPr>
          <w:sz w:val="18"/>
          <w:szCs w:val="18"/>
        </w:rPr>
        <w:t xml:space="preserve"> asset class</w:t>
      </w:r>
      <w:r w:rsidR="00B23BF2">
        <w:rPr>
          <w:sz w:val="18"/>
          <w:szCs w:val="18"/>
        </w:rPr>
        <w:t>es</w:t>
      </w:r>
      <w:r w:rsidR="00CF0751">
        <w:rPr>
          <w:sz w:val="18"/>
          <w:szCs w:val="18"/>
        </w:rPr>
        <w:t xml:space="preserve">.      </w:t>
      </w:r>
    </w:p>
  </w:footnote>
  <w:footnote w:id="8">
    <w:p w14:paraId="77B6281B" w14:textId="70780EAA" w:rsidR="00DC587E" w:rsidRPr="00DC587E" w:rsidRDefault="00DC587E">
      <w:pPr>
        <w:pStyle w:val="FootnoteText"/>
        <w:rPr>
          <w:sz w:val="18"/>
          <w:szCs w:val="18"/>
        </w:rPr>
      </w:pPr>
      <w:r w:rsidRPr="00DC587E">
        <w:rPr>
          <w:rStyle w:val="FootnoteReference"/>
          <w:sz w:val="18"/>
          <w:szCs w:val="18"/>
        </w:rPr>
        <w:footnoteRef/>
      </w:r>
      <w:r w:rsidRPr="00DC587E">
        <w:rPr>
          <w:sz w:val="18"/>
          <w:szCs w:val="18"/>
        </w:rPr>
        <w:t xml:space="preserve"> </w:t>
      </w:r>
      <w:r>
        <w:rPr>
          <w:sz w:val="18"/>
          <w:szCs w:val="18"/>
        </w:rPr>
        <w:t xml:space="preserve">If a hedged total return series is unavailable (the case in </w:t>
      </w:r>
      <w:proofErr w:type="spellStart"/>
      <w:r>
        <w:rPr>
          <w:sz w:val="18"/>
          <w:szCs w:val="18"/>
        </w:rPr>
        <w:t>Data</w:t>
      </w:r>
      <w:r w:rsidR="00FE3CAD">
        <w:rPr>
          <w:sz w:val="18"/>
          <w:szCs w:val="18"/>
        </w:rPr>
        <w:t>s</w:t>
      </w:r>
      <w:r>
        <w:rPr>
          <w:sz w:val="18"/>
          <w:szCs w:val="18"/>
        </w:rPr>
        <w:t>tream</w:t>
      </w:r>
      <w:proofErr w:type="spellEnd"/>
      <w:r>
        <w:rPr>
          <w:sz w:val="18"/>
          <w:szCs w:val="18"/>
        </w:rPr>
        <w:t xml:space="preserve">), try the unhedged and hedged price series. </w:t>
      </w:r>
    </w:p>
  </w:footnote>
  <w:footnote w:id="9">
    <w:p w14:paraId="24C721C6" w14:textId="77777777" w:rsidR="00C12E61" w:rsidRPr="00D43E34" w:rsidRDefault="00C12E61" w:rsidP="00C12E61">
      <w:pPr>
        <w:pStyle w:val="FootnoteText"/>
        <w:jc w:val="both"/>
        <w:rPr>
          <w:sz w:val="18"/>
          <w:szCs w:val="18"/>
          <w:lang w:val="en-AU"/>
        </w:rPr>
      </w:pPr>
      <w:r w:rsidRPr="00D43E34">
        <w:rPr>
          <w:rStyle w:val="FootnoteReference"/>
          <w:sz w:val="18"/>
          <w:szCs w:val="18"/>
        </w:rPr>
        <w:footnoteRef/>
      </w:r>
      <w:r w:rsidRPr="00D43E34">
        <w:rPr>
          <w:sz w:val="18"/>
          <w:szCs w:val="18"/>
        </w:rPr>
        <w:t xml:space="preserve"> Chant, W., Mohankumar, M. and Warren, G. (2014). “</w:t>
      </w:r>
      <w:proofErr w:type="spellStart"/>
      <w:r w:rsidRPr="00D43E34">
        <w:rPr>
          <w:sz w:val="18"/>
          <w:szCs w:val="18"/>
        </w:rPr>
        <w:t>MySuper</w:t>
      </w:r>
      <w:proofErr w:type="spellEnd"/>
      <w:r w:rsidRPr="00D43E34">
        <w:rPr>
          <w:sz w:val="18"/>
          <w:szCs w:val="18"/>
        </w:rPr>
        <w:t xml:space="preserve">: A new landscape for default superannuation funds”, </w:t>
      </w:r>
      <w:r w:rsidRPr="00D43E34">
        <w:rPr>
          <w:i/>
          <w:sz w:val="18"/>
          <w:szCs w:val="18"/>
        </w:rPr>
        <w:t>CIFR Research Working Paper</w:t>
      </w:r>
      <w:r>
        <w:rPr>
          <w:sz w:val="18"/>
          <w:szCs w:val="18"/>
        </w:rPr>
        <w:t>, No. 020/2014</w:t>
      </w:r>
      <w:r w:rsidRPr="00D43E34">
        <w:rPr>
          <w:sz w:val="18"/>
          <w:szCs w:val="18"/>
        </w:rPr>
        <w:t xml:space="preserve"> (July)</w:t>
      </w:r>
    </w:p>
  </w:footnote>
  <w:footnote w:id="10">
    <w:p w14:paraId="034DB41F" w14:textId="4D7AD295" w:rsidR="00733397" w:rsidRPr="00733397" w:rsidRDefault="00733397" w:rsidP="00733397">
      <w:pPr>
        <w:pStyle w:val="FootnoteText"/>
        <w:jc w:val="both"/>
        <w:rPr>
          <w:sz w:val="18"/>
          <w:szCs w:val="18"/>
        </w:rPr>
      </w:pPr>
      <w:r w:rsidRPr="00733397">
        <w:rPr>
          <w:rStyle w:val="FootnoteReference"/>
          <w:sz w:val="18"/>
          <w:szCs w:val="18"/>
        </w:rPr>
        <w:footnoteRef/>
      </w:r>
      <w:r w:rsidRPr="00733397">
        <w:rPr>
          <w:sz w:val="18"/>
          <w:szCs w:val="18"/>
        </w:rPr>
        <w:t xml:space="preserve"> For a discussion </w:t>
      </w:r>
      <w:r>
        <w:rPr>
          <w:sz w:val="18"/>
          <w:szCs w:val="18"/>
        </w:rPr>
        <w:t>in the</w:t>
      </w:r>
      <w:r w:rsidRPr="00733397">
        <w:rPr>
          <w:sz w:val="18"/>
          <w:szCs w:val="18"/>
        </w:rPr>
        <w:t xml:space="preserve"> con</w:t>
      </w:r>
      <w:r>
        <w:rPr>
          <w:sz w:val="18"/>
          <w:szCs w:val="18"/>
        </w:rPr>
        <w:t>t</w:t>
      </w:r>
      <w:r w:rsidRPr="00733397">
        <w:rPr>
          <w:sz w:val="18"/>
          <w:szCs w:val="18"/>
        </w:rPr>
        <w:t xml:space="preserve">ext of Australian </w:t>
      </w:r>
      <w:r>
        <w:rPr>
          <w:sz w:val="18"/>
          <w:szCs w:val="18"/>
        </w:rPr>
        <w:t>super</w:t>
      </w:r>
      <w:r w:rsidRPr="00733397">
        <w:rPr>
          <w:sz w:val="18"/>
          <w:szCs w:val="18"/>
        </w:rPr>
        <w:t xml:space="preserve"> funds, refer </w:t>
      </w:r>
      <w:r w:rsidRPr="00733397">
        <w:rPr>
          <w:rFonts w:cs="Arial"/>
          <w:color w:val="222222"/>
          <w:sz w:val="18"/>
          <w:szCs w:val="18"/>
          <w:shd w:val="clear" w:color="auto" w:fill="FFFFFF"/>
        </w:rPr>
        <w:t xml:space="preserve">Carruthers, D. (2015). </w:t>
      </w:r>
      <w:r>
        <w:rPr>
          <w:rFonts w:cs="Arial"/>
          <w:color w:val="222222"/>
          <w:sz w:val="18"/>
          <w:szCs w:val="18"/>
          <w:shd w:val="clear" w:color="auto" w:fill="FFFFFF"/>
        </w:rPr>
        <w:t>“The use of active asset allocation by superannuation f</w:t>
      </w:r>
      <w:r w:rsidRPr="00733397">
        <w:rPr>
          <w:rFonts w:cs="Arial"/>
          <w:color w:val="222222"/>
          <w:sz w:val="18"/>
          <w:szCs w:val="18"/>
          <w:shd w:val="clear" w:color="auto" w:fill="FFFFFF"/>
        </w:rPr>
        <w:t>unds</w:t>
      </w:r>
      <w:r>
        <w:rPr>
          <w:rFonts w:cs="Arial"/>
          <w:color w:val="222222"/>
          <w:sz w:val="18"/>
          <w:szCs w:val="18"/>
          <w:shd w:val="clear" w:color="auto" w:fill="FFFFFF"/>
        </w:rPr>
        <w:t>”</w:t>
      </w:r>
      <w:r w:rsidRPr="00733397">
        <w:rPr>
          <w:rFonts w:cs="Arial"/>
          <w:color w:val="222222"/>
          <w:sz w:val="18"/>
          <w:szCs w:val="18"/>
          <w:shd w:val="clear" w:color="auto" w:fill="FFFFFF"/>
        </w:rPr>
        <w:t xml:space="preserve">, </w:t>
      </w:r>
      <w:r w:rsidRPr="00733397">
        <w:rPr>
          <w:rFonts w:cs="Arial"/>
          <w:i/>
          <w:color w:val="222222"/>
          <w:sz w:val="18"/>
          <w:szCs w:val="18"/>
          <w:shd w:val="clear" w:color="auto" w:fill="FFFFFF"/>
        </w:rPr>
        <w:t>CIFR Working Paper</w:t>
      </w:r>
      <w:r w:rsidRPr="00733397">
        <w:rPr>
          <w:rFonts w:cs="Arial"/>
          <w:color w:val="222222"/>
          <w:sz w:val="18"/>
          <w:szCs w:val="18"/>
          <w:shd w:val="clear" w:color="auto" w:fill="FFFFFF"/>
        </w:rPr>
        <w:t>, No</w:t>
      </w:r>
      <w:r>
        <w:rPr>
          <w:rFonts w:cs="Arial"/>
          <w:color w:val="222222"/>
          <w:sz w:val="18"/>
          <w:szCs w:val="18"/>
          <w:shd w:val="clear" w:color="auto" w:fill="FFFFFF"/>
        </w:rPr>
        <w:t xml:space="preserve">. 060/2015  </w:t>
      </w:r>
      <w:hyperlink r:id="rId1" w:history="1">
        <w:r w:rsidRPr="004017B4">
          <w:rPr>
            <w:rStyle w:val="Hyperlink"/>
            <w:rFonts w:cs="Arial"/>
            <w:sz w:val="18"/>
            <w:szCs w:val="18"/>
            <w:shd w:val="clear" w:color="auto" w:fill="FFFFFF"/>
          </w:rPr>
          <w:t>https://core.ac.uk/download/pdf/51343171.pdf</w:t>
        </w:r>
      </w:hyperlink>
    </w:p>
  </w:footnote>
  <w:footnote w:id="11">
    <w:p w14:paraId="71E80F7F" w14:textId="3438486E" w:rsidR="004D495C" w:rsidRPr="00D43E34" w:rsidRDefault="004D495C" w:rsidP="00413DAB">
      <w:pPr>
        <w:pStyle w:val="FootnoteText"/>
        <w:jc w:val="both"/>
        <w:rPr>
          <w:lang w:val="en-AU"/>
        </w:rPr>
      </w:pPr>
      <w:r w:rsidRPr="00D43E34">
        <w:rPr>
          <w:rStyle w:val="FootnoteReference"/>
          <w:sz w:val="18"/>
          <w:szCs w:val="18"/>
        </w:rPr>
        <w:footnoteRef/>
      </w:r>
      <w:r>
        <w:rPr>
          <w:sz w:val="18"/>
          <w:szCs w:val="18"/>
        </w:rPr>
        <w:t xml:space="preserve"> The framing around balance at retirement</w:t>
      </w:r>
      <w:r w:rsidR="00E853A7">
        <w:rPr>
          <w:sz w:val="18"/>
          <w:szCs w:val="18"/>
        </w:rPr>
        <w:t xml:space="preserve"> </w:t>
      </w:r>
      <w:r w:rsidRPr="00D43E34">
        <w:rPr>
          <w:sz w:val="18"/>
          <w:szCs w:val="18"/>
        </w:rPr>
        <w:t>arises to a large extent from</w:t>
      </w:r>
      <w:r>
        <w:rPr>
          <w:sz w:val="18"/>
          <w:szCs w:val="18"/>
        </w:rPr>
        <w:t xml:space="preserve"> the </w:t>
      </w:r>
      <w:proofErr w:type="spellStart"/>
      <w:r>
        <w:rPr>
          <w:sz w:val="18"/>
          <w:szCs w:val="18"/>
        </w:rPr>
        <w:t>MySuper</w:t>
      </w:r>
      <w:proofErr w:type="spellEnd"/>
      <w:r>
        <w:rPr>
          <w:sz w:val="18"/>
          <w:szCs w:val="18"/>
        </w:rPr>
        <w:t xml:space="preserve"> regime being directed at the accumulation phase</w:t>
      </w:r>
      <w:r w:rsidRPr="00D43E34">
        <w:rPr>
          <w:sz w:val="18"/>
          <w:szCs w:val="18"/>
        </w:rPr>
        <w:t>,</w:t>
      </w:r>
      <w:r>
        <w:rPr>
          <w:sz w:val="18"/>
          <w:szCs w:val="18"/>
        </w:rPr>
        <w:t xml:space="preserve"> and funds acting under some</w:t>
      </w:r>
      <w:r w:rsidRPr="00D43E34">
        <w:rPr>
          <w:sz w:val="18"/>
          <w:szCs w:val="18"/>
        </w:rPr>
        <w:t xml:space="preserve"> </w:t>
      </w:r>
      <w:r w:rsidR="0002336F">
        <w:rPr>
          <w:sz w:val="18"/>
          <w:szCs w:val="18"/>
        </w:rPr>
        <w:t>sense that their mandate relates</w:t>
      </w:r>
      <w:r w:rsidRPr="00D43E34">
        <w:rPr>
          <w:sz w:val="18"/>
          <w:szCs w:val="18"/>
        </w:rPr>
        <w:t xml:space="preserve"> to </w:t>
      </w:r>
      <w:r w:rsidR="00453E4C">
        <w:rPr>
          <w:sz w:val="18"/>
          <w:szCs w:val="18"/>
        </w:rPr>
        <w:t>securing the</w:t>
      </w:r>
      <w:r w:rsidRPr="00D43E34">
        <w:rPr>
          <w:sz w:val="18"/>
          <w:szCs w:val="18"/>
        </w:rPr>
        <w:t xml:space="preserve"> </w:t>
      </w:r>
      <w:r w:rsidR="00453E4C">
        <w:rPr>
          <w:sz w:val="18"/>
          <w:szCs w:val="18"/>
        </w:rPr>
        <w:t>balance at retirement by</w:t>
      </w:r>
      <w:r w:rsidRPr="00D43E34">
        <w:rPr>
          <w:sz w:val="18"/>
          <w:szCs w:val="18"/>
        </w:rPr>
        <w:t xml:space="preserve"> controlling the risk of member disappointment as retirement</w:t>
      </w:r>
      <w:r>
        <w:rPr>
          <w:sz w:val="18"/>
          <w:szCs w:val="18"/>
        </w:rPr>
        <w:t xml:space="preserve"> approaches</w:t>
      </w:r>
      <w:r w:rsidR="00E853A7">
        <w:rPr>
          <w:sz w:val="18"/>
          <w:szCs w:val="18"/>
        </w:rPr>
        <w:t xml:space="preserve">. Indeed, the separation of accumulation and retirement phases under the regulatory framework </w:t>
      </w:r>
      <w:r w:rsidR="0002336F">
        <w:rPr>
          <w:sz w:val="18"/>
          <w:szCs w:val="18"/>
        </w:rPr>
        <w:t>is unhelpful as</w:t>
      </w:r>
      <w:r w:rsidR="00E853A7">
        <w:rPr>
          <w:sz w:val="18"/>
          <w:szCs w:val="18"/>
        </w:rPr>
        <w:t xml:space="preserve"> it </w:t>
      </w:r>
      <w:r w:rsidR="006E1641">
        <w:rPr>
          <w:sz w:val="18"/>
          <w:szCs w:val="18"/>
        </w:rPr>
        <w:t>creates</w:t>
      </w:r>
      <w:r w:rsidR="0002336F">
        <w:rPr>
          <w:sz w:val="18"/>
          <w:szCs w:val="18"/>
        </w:rPr>
        <w:t xml:space="preserve"> </w:t>
      </w:r>
      <w:r w:rsidR="006E1641">
        <w:rPr>
          <w:sz w:val="18"/>
          <w:szCs w:val="18"/>
        </w:rPr>
        <w:t>framing that encourages</w:t>
      </w:r>
      <w:r w:rsidR="00E853A7">
        <w:rPr>
          <w:sz w:val="18"/>
          <w:szCs w:val="18"/>
        </w:rPr>
        <w:t xml:space="preserve"> sub-optimal</w:t>
      </w:r>
      <w:r w:rsidR="006E1641">
        <w:rPr>
          <w:sz w:val="18"/>
          <w:szCs w:val="18"/>
        </w:rPr>
        <w:t xml:space="preserve"> </w:t>
      </w:r>
      <w:proofErr w:type="spellStart"/>
      <w:r w:rsidR="006E1641">
        <w:rPr>
          <w:sz w:val="18"/>
          <w:szCs w:val="18"/>
        </w:rPr>
        <w:t>behaviours</w:t>
      </w:r>
      <w:proofErr w:type="spellEnd"/>
      <w:r w:rsidR="006E1641">
        <w:rPr>
          <w:sz w:val="18"/>
          <w:szCs w:val="18"/>
        </w:rPr>
        <w:t xml:space="preserve"> from both funds and members</w:t>
      </w:r>
      <w:r w:rsidRPr="00D43E34">
        <w:rPr>
          <w:sz w:val="18"/>
          <w:szCs w:val="18"/>
        </w:rPr>
        <w:t>.</w:t>
      </w:r>
      <w:r>
        <w:rPr>
          <w:sz w:val="18"/>
          <w:szCs w:val="18"/>
        </w:rPr>
        <w:t xml:space="preserve"> </w:t>
      </w:r>
      <w:r>
        <w:t xml:space="preserve">  </w:t>
      </w:r>
    </w:p>
  </w:footnote>
  <w:footnote w:id="12">
    <w:p w14:paraId="3245C9CD" w14:textId="506099D2" w:rsidR="004D495C" w:rsidRPr="00141947" w:rsidRDefault="004D495C">
      <w:pPr>
        <w:pStyle w:val="FootnoteText"/>
        <w:rPr>
          <w:sz w:val="18"/>
          <w:szCs w:val="18"/>
        </w:rPr>
      </w:pPr>
      <w:r w:rsidRPr="00141947">
        <w:rPr>
          <w:rStyle w:val="FootnoteReference"/>
          <w:sz w:val="18"/>
          <w:szCs w:val="18"/>
        </w:rPr>
        <w:footnoteRef/>
      </w:r>
      <w:r w:rsidRPr="00141947">
        <w:rPr>
          <w:sz w:val="18"/>
          <w:szCs w:val="18"/>
        </w:rPr>
        <w:t xml:space="preserve"> This</w:t>
      </w:r>
      <w:r w:rsidR="00453E4C">
        <w:rPr>
          <w:sz w:val="18"/>
          <w:szCs w:val="18"/>
        </w:rPr>
        <w:t xml:space="preserve"> is difficult, </w:t>
      </w:r>
      <w:r>
        <w:rPr>
          <w:sz w:val="18"/>
          <w:szCs w:val="18"/>
        </w:rPr>
        <w:t>and will be highly dependent on assumptions related to the member</w:t>
      </w:r>
      <w:r w:rsidR="00453E4C">
        <w:rPr>
          <w:sz w:val="18"/>
          <w:szCs w:val="18"/>
        </w:rPr>
        <w:t xml:space="preserve">. It </w:t>
      </w:r>
      <w:r w:rsidR="002130A3">
        <w:rPr>
          <w:sz w:val="18"/>
          <w:szCs w:val="18"/>
        </w:rPr>
        <w:t xml:space="preserve">may </w:t>
      </w:r>
      <w:r w:rsidR="00453E4C">
        <w:rPr>
          <w:sz w:val="18"/>
          <w:szCs w:val="18"/>
        </w:rPr>
        <w:t xml:space="preserve">also </w:t>
      </w:r>
      <w:r w:rsidR="002130A3">
        <w:rPr>
          <w:sz w:val="18"/>
          <w:szCs w:val="18"/>
        </w:rPr>
        <w:t>be dynamic.</w:t>
      </w:r>
    </w:p>
  </w:footnote>
  <w:footnote w:id="13">
    <w:p w14:paraId="0700D3F1" w14:textId="6D76F649" w:rsidR="00351714" w:rsidRPr="00351714" w:rsidRDefault="00351714">
      <w:pPr>
        <w:pStyle w:val="FootnoteText"/>
        <w:rPr>
          <w:sz w:val="18"/>
          <w:szCs w:val="18"/>
        </w:rPr>
      </w:pPr>
      <w:r w:rsidRPr="00351714">
        <w:rPr>
          <w:rStyle w:val="FootnoteReference"/>
          <w:sz w:val="18"/>
          <w:szCs w:val="18"/>
        </w:rPr>
        <w:footnoteRef/>
      </w:r>
      <w:r w:rsidRPr="00351714">
        <w:rPr>
          <w:sz w:val="18"/>
          <w:szCs w:val="18"/>
        </w:rPr>
        <w:t xml:space="preserve"> </w:t>
      </w:r>
      <w:hyperlink r:id="rId2" w:history="1">
        <w:r w:rsidRPr="00707D7E">
          <w:rPr>
            <w:rStyle w:val="Hyperlink"/>
            <w:sz w:val="18"/>
            <w:szCs w:val="18"/>
          </w:rPr>
          <w:t>https://www.aihw.gov.au/reports/life-expectancy-death/deaths-in-australia/contents/life-expectancy</w:t>
        </w:r>
      </w:hyperlink>
    </w:p>
  </w:footnote>
  <w:footnote w:id="14">
    <w:p w14:paraId="621D5053" w14:textId="77777777" w:rsidR="004D495C" w:rsidRDefault="004D495C" w:rsidP="00E86D39">
      <w:pPr>
        <w:pStyle w:val="FootnoteText"/>
      </w:pPr>
      <w:r>
        <w:rPr>
          <w:rStyle w:val="FootnoteReference"/>
        </w:rPr>
        <w:footnoteRef/>
      </w:r>
      <w:r>
        <w:t xml:space="preserve"> </w:t>
      </w:r>
      <w:hyperlink r:id="rId3" w:history="1">
        <w:r w:rsidRPr="00CE2623">
          <w:rPr>
            <w:rStyle w:val="Hyperlink"/>
            <w:sz w:val="18"/>
            <w:szCs w:val="18"/>
            <w:lang w:val="en-AU"/>
          </w:rPr>
          <w:t>https://www.mercer.com.au/content/dam/mercer/attachments/asia-pacific/australia/investment/Mercer_Post-Retirement-Market-Trends-In-Australia-June2014.pdf</w:t>
        </w:r>
      </w:hyperlink>
    </w:p>
  </w:footnote>
  <w:footnote w:id="15">
    <w:p w14:paraId="143F0517" w14:textId="0B0179EF" w:rsidR="00EE6CBF" w:rsidRPr="00EE6CBF" w:rsidRDefault="00EE6CBF">
      <w:pPr>
        <w:pStyle w:val="FootnoteText"/>
        <w:rPr>
          <w:sz w:val="18"/>
          <w:szCs w:val="18"/>
        </w:rPr>
      </w:pPr>
      <w:r w:rsidRPr="00EE6CBF">
        <w:rPr>
          <w:rStyle w:val="FootnoteReference"/>
          <w:sz w:val="18"/>
          <w:szCs w:val="18"/>
        </w:rPr>
        <w:footnoteRef/>
      </w:r>
      <w:r w:rsidRPr="00EE6CBF">
        <w:rPr>
          <w:sz w:val="18"/>
          <w:szCs w:val="18"/>
        </w:rPr>
        <w:t xml:space="preserve"> </w:t>
      </w:r>
      <w:r>
        <w:rPr>
          <w:sz w:val="18"/>
          <w:szCs w:val="18"/>
        </w:rPr>
        <w:t>D</w:t>
      </w:r>
      <w:r w:rsidRPr="00EE6CBF">
        <w:rPr>
          <w:sz w:val="18"/>
          <w:szCs w:val="18"/>
        </w:rPr>
        <w:t xml:space="preserve">ata is available from the APRA quarterly </w:t>
      </w:r>
      <w:proofErr w:type="spellStart"/>
      <w:r w:rsidRPr="00EE6CBF">
        <w:rPr>
          <w:sz w:val="18"/>
          <w:szCs w:val="18"/>
        </w:rPr>
        <w:t>MySuper</w:t>
      </w:r>
      <w:proofErr w:type="spellEnd"/>
      <w:r w:rsidRPr="00EE6CBF">
        <w:rPr>
          <w:sz w:val="18"/>
          <w:szCs w:val="18"/>
        </w:rPr>
        <w:t xml:space="preserve"> statistics</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D596E" w14:textId="77777777" w:rsidR="004D495C" w:rsidRPr="00AB3E56" w:rsidRDefault="004D495C" w:rsidP="006B2FC3">
    <w:pPr>
      <w:pStyle w:val="Header"/>
      <w:rPr>
        <w:spacing w:val="40"/>
        <w:szCs w:val="16"/>
      </w:rPr>
    </w:pPr>
    <w:bookmarkStart w:id="1" w:name="bm_Header_2"/>
  </w:p>
  <w:p w14:paraId="325C8D5B" w14:textId="77777777" w:rsidR="004D495C" w:rsidRPr="00AB3E56" w:rsidRDefault="004D495C" w:rsidP="006B2FC3">
    <w:pPr>
      <w:pStyle w:val="Header"/>
      <w:rPr>
        <w:spacing w:val="40"/>
        <w:szCs w:val="16"/>
      </w:rPr>
    </w:pPr>
  </w:p>
  <w:p w14:paraId="23A79EF9" w14:textId="77777777" w:rsidR="004D495C" w:rsidRPr="00AB3E56" w:rsidRDefault="004D495C" w:rsidP="006B2FC3">
    <w:pPr>
      <w:pStyle w:val="Header"/>
      <w:rPr>
        <w:spacing w:val="40"/>
        <w:szCs w:val="16"/>
      </w:rPr>
    </w:pPr>
  </w:p>
  <w:bookmarkEnd w:i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B4CA6" w14:textId="77777777" w:rsidR="004D495C" w:rsidRPr="00E87663" w:rsidRDefault="004D495C" w:rsidP="006B2FC3">
    <w:pPr>
      <w:pStyle w:val="Header"/>
      <w:ind w:left="-1080"/>
    </w:pPr>
    <w:r>
      <w:rPr>
        <w:noProof/>
        <w:lang w:val="en-AU" w:eastAsia="en-AU" w:bidi="ar-SA"/>
      </w:rPr>
      <w:drawing>
        <wp:inline distT="0" distB="0" distL="0" distR="0" wp14:anchorId="534B024E" wp14:editId="14A4A247">
          <wp:extent cx="7543800" cy="1213757"/>
          <wp:effectExtent l="0" t="0" r="0" b="5715"/>
          <wp:docPr id="1" name="Picture 1" descr="logo with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199" cy="12162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DD683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D0899"/>
    <w:multiLevelType w:val="hybridMultilevel"/>
    <w:tmpl w:val="17F80A60"/>
    <w:lvl w:ilvl="0" w:tplc="0C09000F">
      <w:start w:val="1"/>
      <w:numFmt w:val="decimal"/>
      <w:lvlText w:val="%1."/>
      <w:lvlJc w:val="left"/>
      <w:pPr>
        <w:ind w:left="720" w:hanging="360"/>
      </w:pPr>
      <w:rPr>
        <w:rFonts w:hint="default"/>
      </w:rPr>
    </w:lvl>
    <w:lvl w:ilvl="1" w:tplc="67EADF1A">
      <w:start w:val="1"/>
      <w:numFmt w:val="bullet"/>
      <w:lvlText w:val=""/>
      <w:lvlJc w:val="left"/>
      <w:pPr>
        <w:ind w:left="1440" w:hanging="360"/>
      </w:pPr>
      <w:rPr>
        <w:rFonts w:ascii="Symbol" w:hAnsi="Symbol" w:hint="default"/>
        <w:color w:val="000000" w:themeColor="text1"/>
      </w:rPr>
    </w:lvl>
    <w:lvl w:ilvl="2" w:tplc="F188B042">
      <w:start w:val="1"/>
      <w:numFmt w:val="bullet"/>
      <w:lvlText w:val="­"/>
      <w:lvlJc w:val="left"/>
      <w:pPr>
        <w:ind w:left="2160" w:hanging="360"/>
      </w:pPr>
      <w:rPr>
        <w:rFonts w:ascii="Times New Roman" w:hAnsi="Times New Roman" w:cs="Times New Roman" w:hint="default"/>
        <w:color w:val="000000" w:themeColor="tex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81754"/>
    <w:multiLevelType w:val="hybridMultilevel"/>
    <w:tmpl w:val="6C5EBF8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color w:val="000000" w:themeColor="text1"/>
      </w:rPr>
    </w:lvl>
    <w:lvl w:ilvl="2" w:tplc="F188B042">
      <w:start w:val="1"/>
      <w:numFmt w:val="bullet"/>
      <w:lvlText w:val="­"/>
      <w:lvlJc w:val="left"/>
      <w:pPr>
        <w:ind w:left="2160" w:hanging="360"/>
      </w:pPr>
      <w:rPr>
        <w:rFonts w:ascii="Times New Roman" w:hAnsi="Times New Roman" w:cs="Times New Roman" w:hint="default"/>
        <w:color w:val="000000" w:themeColor="tex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E503C3"/>
    <w:multiLevelType w:val="hybridMultilevel"/>
    <w:tmpl w:val="E2124768"/>
    <w:lvl w:ilvl="0" w:tplc="0C09000F">
      <w:start w:val="1"/>
      <w:numFmt w:val="decimal"/>
      <w:lvlText w:val="%1."/>
      <w:lvlJc w:val="left"/>
      <w:pPr>
        <w:ind w:left="720" w:hanging="360"/>
      </w:pPr>
      <w:rPr>
        <w:rFonts w:hint="default"/>
      </w:rPr>
    </w:lvl>
    <w:lvl w:ilvl="1" w:tplc="F188B042">
      <w:start w:val="1"/>
      <w:numFmt w:val="bullet"/>
      <w:lvlText w:val="­"/>
      <w:lvlJc w:val="left"/>
      <w:pPr>
        <w:ind w:left="1440" w:hanging="360"/>
      </w:pPr>
      <w:rPr>
        <w:rFonts w:ascii="Times New Roman" w:hAnsi="Times New Roman" w:cs="Times New Roman" w:hint="default"/>
        <w:color w:val="000000" w:themeColor="text1"/>
      </w:rPr>
    </w:lvl>
    <w:lvl w:ilvl="2" w:tplc="F188B042">
      <w:start w:val="1"/>
      <w:numFmt w:val="bullet"/>
      <w:lvlText w:val="­"/>
      <w:lvlJc w:val="left"/>
      <w:pPr>
        <w:ind w:left="2160" w:hanging="360"/>
      </w:pPr>
      <w:rPr>
        <w:rFonts w:ascii="Times New Roman" w:hAnsi="Times New Roman" w:cs="Times New Roman" w:hint="default"/>
        <w:color w:val="000000" w:themeColor="tex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B6D66"/>
    <w:multiLevelType w:val="hybridMultilevel"/>
    <w:tmpl w:val="28A0045A"/>
    <w:lvl w:ilvl="0" w:tplc="0C090001">
      <w:start w:val="1"/>
      <w:numFmt w:val="bullet"/>
      <w:lvlText w:val=""/>
      <w:lvlJc w:val="left"/>
      <w:pPr>
        <w:ind w:left="720" w:hanging="360"/>
      </w:pPr>
      <w:rPr>
        <w:rFonts w:ascii="Symbol" w:hAnsi="Symbol" w:hint="default"/>
      </w:rPr>
    </w:lvl>
    <w:lvl w:ilvl="1" w:tplc="51D6051C">
      <w:numFmt w:val="bullet"/>
      <w:lvlText w:val="·"/>
      <w:lvlJc w:val="left"/>
      <w:pPr>
        <w:ind w:left="1860" w:hanging="78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D1563"/>
    <w:multiLevelType w:val="hybridMultilevel"/>
    <w:tmpl w:val="5BEA9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6591E"/>
    <w:multiLevelType w:val="hybridMultilevel"/>
    <w:tmpl w:val="4B149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1646978"/>
    <w:multiLevelType w:val="hybridMultilevel"/>
    <w:tmpl w:val="BF6C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101BF"/>
    <w:multiLevelType w:val="hybridMultilevel"/>
    <w:tmpl w:val="3E56FC40"/>
    <w:lvl w:ilvl="0" w:tplc="08090001">
      <w:start w:val="1"/>
      <w:numFmt w:val="bullet"/>
      <w:lvlText w:val=""/>
      <w:lvlJc w:val="left"/>
      <w:pPr>
        <w:ind w:left="2159" w:hanging="360"/>
      </w:pPr>
      <w:rPr>
        <w:rFonts w:ascii="Symbol" w:hAnsi="Symbol" w:hint="default"/>
      </w:rPr>
    </w:lvl>
    <w:lvl w:ilvl="1" w:tplc="08090003" w:tentative="1">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9" w15:restartNumberingAfterBreak="0">
    <w:nsid w:val="16712F29"/>
    <w:multiLevelType w:val="hybridMultilevel"/>
    <w:tmpl w:val="DDD60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C1719B"/>
    <w:multiLevelType w:val="hybridMultilevel"/>
    <w:tmpl w:val="FF68F946"/>
    <w:lvl w:ilvl="0" w:tplc="94BEB68E">
      <w:start w:val="1"/>
      <w:numFmt w:val="lowerLetter"/>
      <w:lvlText w:val="(%1)"/>
      <w:lvlJc w:val="left"/>
      <w:pPr>
        <w:ind w:left="720" w:hanging="360"/>
      </w:pPr>
      <w:rPr>
        <w:rFonts w:ascii="Arial" w:hAnsi="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2007C"/>
    <w:multiLevelType w:val="hybridMultilevel"/>
    <w:tmpl w:val="A48AD3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B05B88"/>
    <w:multiLevelType w:val="hybridMultilevel"/>
    <w:tmpl w:val="20026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EA0280"/>
    <w:multiLevelType w:val="hybridMultilevel"/>
    <w:tmpl w:val="FA982778"/>
    <w:lvl w:ilvl="0" w:tplc="0C090001">
      <w:start w:val="1"/>
      <w:numFmt w:val="bullet"/>
      <w:lvlText w:val=""/>
      <w:lvlJc w:val="left"/>
      <w:pPr>
        <w:ind w:left="771" w:hanging="360"/>
      </w:pPr>
      <w:rPr>
        <w:rFonts w:ascii="Symbol" w:hAnsi="Symbol" w:hint="default"/>
      </w:rPr>
    </w:lvl>
    <w:lvl w:ilvl="1" w:tplc="67EADF1A">
      <w:start w:val="1"/>
      <w:numFmt w:val="bullet"/>
      <w:lvlText w:val=""/>
      <w:lvlJc w:val="left"/>
      <w:pPr>
        <w:ind w:left="1491" w:hanging="360"/>
      </w:pPr>
      <w:rPr>
        <w:rFonts w:ascii="Symbol" w:hAnsi="Symbol" w:hint="default"/>
        <w:color w:val="000000" w:themeColor="text1"/>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4" w15:restartNumberingAfterBreak="0">
    <w:nsid w:val="38280A88"/>
    <w:multiLevelType w:val="hybridMultilevel"/>
    <w:tmpl w:val="9AF40802"/>
    <w:lvl w:ilvl="0" w:tplc="0C090001">
      <w:start w:val="1"/>
      <w:numFmt w:val="bullet"/>
      <w:lvlText w:val=""/>
      <w:lvlJc w:val="left"/>
      <w:pPr>
        <w:ind w:left="720" w:hanging="360"/>
      </w:pPr>
      <w:rPr>
        <w:rFonts w:ascii="Symbol" w:hAnsi="Symbol" w:hint="default"/>
      </w:rPr>
    </w:lvl>
    <w:lvl w:ilvl="1" w:tplc="67EADF1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D35E17"/>
    <w:multiLevelType w:val="hybridMultilevel"/>
    <w:tmpl w:val="79B0E494"/>
    <w:lvl w:ilvl="0" w:tplc="23BC4048">
      <w:start w:val="1"/>
      <w:numFmt w:val="lowerLetter"/>
      <w:lvlText w:val="(%1)"/>
      <w:lvlJc w:val="left"/>
      <w:pPr>
        <w:ind w:left="720" w:hanging="360"/>
      </w:pPr>
      <w:rPr>
        <w:rFonts w:ascii="Arial" w:hAnsi="Arial" w:hint="default"/>
        <w:b w:val="0"/>
        <w:i w:val="0"/>
        <w:sz w:val="20"/>
      </w:rPr>
    </w:lvl>
    <w:lvl w:ilvl="1" w:tplc="67EADF1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846801"/>
    <w:multiLevelType w:val="hybridMultilevel"/>
    <w:tmpl w:val="5A141C3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60" w:hanging="78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8A4F01"/>
    <w:multiLevelType w:val="hybridMultilevel"/>
    <w:tmpl w:val="2E42D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DD3E2E"/>
    <w:multiLevelType w:val="hybridMultilevel"/>
    <w:tmpl w:val="F30EE792"/>
    <w:lvl w:ilvl="0" w:tplc="0C090001">
      <w:start w:val="1"/>
      <w:numFmt w:val="bullet"/>
      <w:lvlText w:val=""/>
      <w:lvlJc w:val="left"/>
      <w:pPr>
        <w:ind w:left="720" w:hanging="360"/>
      </w:pPr>
      <w:rPr>
        <w:rFonts w:ascii="Symbol" w:hAnsi="Symbol" w:hint="default"/>
      </w:rPr>
    </w:lvl>
    <w:lvl w:ilvl="1" w:tplc="5E569CFA">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ED3BCE"/>
    <w:multiLevelType w:val="hybridMultilevel"/>
    <w:tmpl w:val="05107CC0"/>
    <w:lvl w:ilvl="0" w:tplc="67EADF1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DF046BA"/>
    <w:multiLevelType w:val="hybridMultilevel"/>
    <w:tmpl w:val="0152EE0A"/>
    <w:lvl w:ilvl="0" w:tplc="0C09000F">
      <w:start w:val="1"/>
      <w:numFmt w:val="decimal"/>
      <w:lvlText w:val="%1."/>
      <w:lvlJc w:val="left"/>
      <w:pPr>
        <w:ind w:left="720" w:hanging="360"/>
      </w:pPr>
      <w:rPr>
        <w:rFonts w:hint="default"/>
      </w:rPr>
    </w:lvl>
    <w:lvl w:ilvl="1" w:tplc="67EADF1A">
      <w:start w:val="1"/>
      <w:numFmt w:val="bullet"/>
      <w:lvlText w:val=""/>
      <w:lvlJc w:val="left"/>
      <w:pPr>
        <w:ind w:left="1440" w:hanging="360"/>
      </w:pPr>
      <w:rPr>
        <w:rFonts w:ascii="Symbol" w:hAnsi="Symbol" w:hint="default"/>
        <w:color w:val="000000" w:themeColor="text1"/>
      </w:rPr>
    </w:lvl>
    <w:lvl w:ilvl="2" w:tplc="F188B042">
      <w:start w:val="1"/>
      <w:numFmt w:val="bullet"/>
      <w:lvlText w:val="­"/>
      <w:lvlJc w:val="left"/>
      <w:pPr>
        <w:ind w:left="2160" w:hanging="360"/>
      </w:pPr>
      <w:rPr>
        <w:rFonts w:ascii="Times New Roman" w:hAnsi="Times New Roman" w:cs="Times New Roman" w:hint="default"/>
        <w:color w:val="000000" w:themeColor="tex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261B43"/>
    <w:multiLevelType w:val="hybridMultilevel"/>
    <w:tmpl w:val="442A8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411FEF"/>
    <w:multiLevelType w:val="hybridMultilevel"/>
    <w:tmpl w:val="D802414A"/>
    <w:lvl w:ilvl="0" w:tplc="0C09000F">
      <w:start w:val="1"/>
      <w:numFmt w:val="decimal"/>
      <w:lvlText w:val="%1."/>
      <w:lvlJc w:val="left"/>
      <w:pPr>
        <w:ind w:left="720" w:hanging="360"/>
      </w:pPr>
      <w:rPr>
        <w:rFonts w:hint="default"/>
      </w:rPr>
    </w:lvl>
    <w:lvl w:ilvl="1" w:tplc="F188B042">
      <w:start w:val="1"/>
      <w:numFmt w:val="bullet"/>
      <w:lvlText w:val="­"/>
      <w:lvlJc w:val="left"/>
      <w:pPr>
        <w:ind w:left="1440" w:hanging="360"/>
      </w:pPr>
      <w:rPr>
        <w:rFonts w:ascii="Times New Roman" w:hAnsi="Times New Roman" w:cs="Times New Roman" w:hint="default"/>
        <w:color w:val="000000" w:themeColor="text1"/>
      </w:rPr>
    </w:lvl>
    <w:lvl w:ilvl="2" w:tplc="0C090001">
      <w:start w:val="1"/>
      <w:numFmt w:val="bullet"/>
      <w:lvlText w:val=""/>
      <w:lvlJc w:val="left"/>
      <w:pPr>
        <w:ind w:left="2160" w:hanging="360"/>
      </w:pPr>
      <w:rPr>
        <w:rFonts w:ascii="Symbol" w:hAnsi="Symbol" w:hint="default"/>
        <w:color w:val="000000" w:themeColor="text1"/>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E52A8A"/>
    <w:multiLevelType w:val="hybridMultilevel"/>
    <w:tmpl w:val="6116E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490465"/>
    <w:multiLevelType w:val="hybridMultilevel"/>
    <w:tmpl w:val="95E4E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BB033B"/>
    <w:multiLevelType w:val="hybridMultilevel"/>
    <w:tmpl w:val="3342D11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color w:val="000000" w:themeColor="text1"/>
      </w:rPr>
    </w:lvl>
    <w:lvl w:ilvl="2" w:tplc="F188B042">
      <w:start w:val="1"/>
      <w:numFmt w:val="bullet"/>
      <w:lvlText w:val="­"/>
      <w:lvlJc w:val="left"/>
      <w:pPr>
        <w:ind w:left="2160" w:hanging="360"/>
      </w:pPr>
      <w:rPr>
        <w:rFonts w:ascii="Times New Roman" w:hAnsi="Times New Roman" w:cs="Times New Roman" w:hint="default"/>
        <w:color w:val="000000" w:themeColor="tex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26B44"/>
    <w:multiLevelType w:val="hybridMultilevel"/>
    <w:tmpl w:val="96F6E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584987"/>
    <w:multiLevelType w:val="hybridMultilevel"/>
    <w:tmpl w:val="FADC6BC2"/>
    <w:lvl w:ilvl="0" w:tplc="67EADF1A">
      <w:start w:val="1"/>
      <w:numFmt w:val="bullet"/>
      <w:lvlText w:val=""/>
      <w:lvlJc w:val="left"/>
      <w:pPr>
        <w:ind w:left="720" w:hanging="360"/>
      </w:pPr>
      <w:rPr>
        <w:rFonts w:ascii="Symbol" w:hAnsi="Symbol" w:hint="default"/>
      </w:rPr>
    </w:lvl>
    <w:lvl w:ilvl="1" w:tplc="67EADF1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0F4493"/>
    <w:multiLevelType w:val="hybridMultilevel"/>
    <w:tmpl w:val="FA589F4C"/>
    <w:lvl w:ilvl="0" w:tplc="F188B042">
      <w:start w:val="1"/>
      <w:numFmt w:val="bullet"/>
      <w:lvlText w:val="­"/>
      <w:lvlJc w:val="left"/>
      <w:pPr>
        <w:ind w:left="720" w:hanging="360"/>
      </w:pPr>
      <w:rPr>
        <w:rFonts w:ascii="Times New Roman" w:hAnsi="Times New Roman" w:cs="Times New Roman"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1B6FE3"/>
    <w:multiLevelType w:val="hybridMultilevel"/>
    <w:tmpl w:val="5E544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F517EF"/>
    <w:multiLevelType w:val="hybridMultilevel"/>
    <w:tmpl w:val="7C86AD2A"/>
    <w:lvl w:ilvl="0" w:tplc="4888EE74">
      <w:start w:val="1"/>
      <w:numFmt w:val="lowerLetter"/>
      <w:lvlText w:val="(%1)"/>
      <w:lvlJc w:val="left"/>
      <w:pPr>
        <w:ind w:left="1439" w:hanging="79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6DBA3652"/>
    <w:multiLevelType w:val="hybridMultilevel"/>
    <w:tmpl w:val="344491A4"/>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color w:val="000000" w:themeColor="text1"/>
      </w:rPr>
    </w:lvl>
    <w:lvl w:ilvl="2" w:tplc="F188B042">
      <w:start w:val="1"/>
      <w:numFmt w:val="bullet"/>
      <w:lvlText w:val="­"/>
      <w:lvlJc w:val="left"/>
      <w:pPr>
        <w:ind w:left="2160" w:hanging="360"/>
      </w:pPr>
      <w:rPr>
        <w:rFonts w:ascii="Times New Roman" w:hAnsi="Times New Roman" w:cs="Times New Roman" w:hint="default"/>
        <w:color w:val="000000" w:themeColor="tex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0F4F76"/>
    <w:multiLevelType w:val="hybridMultilevel"/>
    <w:tmpl w:val="3D346D38"/>
    <w:lvl w:ilvl="0" w:tplc="0C09000F">
      <w:start w:val="1"/>
      <w:numFmt w:val="decimal"/>
      <w:lvlText w:val="%1."/>
      <w:lvlJc w:val="left"/>
      <w:pPr>
        <w:ind w:left="720" w:hanging="360"/>
      </w:pPr>
      <w:rPr>
        <w:rFonts w:hint="default"/>
      </w:rPr>
    </w:lvl>
    <w:lvl w:ilvl="1" w:tplc="67EADF1A">
      <w:start w:val="1"/>
      <w:numFmt w:val="bullet"/>
      <w:lvlText w:val=""/>
      <w:lvlJc w:val="left"/>
      <w:pPr>
        <w:ind w:left="1440" w:hanging="360"/>
      </w:pPr>
      <w:rPr>
        <w:rFonts w:ascii="Symbol" w:hAnsi="Symbol" w:hint="default"/>
        <w:color w:val="000000" w:themeColor="text1"/>
      </w:rPr>
    </w:lvl>
    <w:lvl w:ilvl="2" w:tplc="F188B042">
      <w:start w:val="1"/>
      <w:numFmt w:val="bullet"/>
      <w:lvlText w:val="­"/>
      <w:lvlJc w:val="left"/>
      <w:pPr>
        <w:ind w:left="2160" w:hanging="360"/>
      </w:pPr>
      <w:rPr>
        <w:rFonts w:ascii="Times New Roman" w:hAnsi="Times New Roman" w:cs="Times New Roman" w:hint="default"/>
        <w:color w:val="000000" w:themeColor="tex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354B0C"/>
    <w:multiLevelType w:val="hybridMultilevel"/>
    <w:tmpl w:val="BBF8B2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433693"/>
    <w:multiLevelType w:val="hybridMultilevel"/>
    <w:tmpl w:val="C3A66C30"/>
    <w:lvl w:ilvl="0" w:tplc="0C09000F">
      <w:start w:val="1"/>
      <w:numFmt w:val="decimal"/>
      <w:lvlText w:val="%1."/>
      <w:lvlJc w:val="left"/>
      <w:pPr>
        <w:ind w:left="720" w:hanging="360"/>
      </w:pPr>
      <w:rPr>
        <w:rFonts w:hint="default"/>
      </w:rPr>
    </w:lvl>
    <w:lvl w:ilvl="1" w:tplc="F188B042">
      <w:start w:val="1"/>
      <w:numFmt w:val="bullet"/>
      <w:lvlText w:val="­"/>
      <w:lvlJc w:val="left"/>
      <w:pPr>
        <w:ind w:left="1440" w:hanging="360"/>
      </w:pPr>
      <w:rPr>
        <w:rFonts w:ascii="Times New Roman" w:hAnsi="Times New Roman" w:cs="Times New Roman" w:hint="default"/>
        <w:color w:val="000000" w:themeColor="text1"/>
      </w:rPr>
    </w:lvl>
    <w:lvl w:ilvl="2" w:tplc="F188B042">
      <w:start w:val="1"/>
      <w:numFmt w:val="bullet"/>
      <w:lvlText w:val="­"/>
      <w:lvlJc w:val="left"/>
      <w:pPr>
        <w:ind w:left="2160" w:hanging="360"/>
      </w:pPr>
      <w:rPr>
        <w:rFonts w:ascii="Times New Roman" w:hAnsi="Times New Roman" w:cs="Times New Roman" w:hint="default"/>
        <w:color w:val="000000" w:themeColor="tex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9478C2"/>
    <w:multiLevelType w:val="hybridMultilevel"/>
    <w:tmpl w:val="E526A058"/>
    <w:lvl w:ilvl="0" w:tplc="0C09000F">
      <w:start w:val="1"/>
      <w:numFmt w:val="decimal"/>
      <w:lvlText w:val="%1."/>
      <w:lvlJc w:val="left"/>
      <w:pPr>
        <w:ind w:left="720" w:hanging="360"/>
      </w:pPr>
      <w:rPr>
        <w:rFonts w:hint="default"/>
      </w:rPr>
    </w:lvl>
    <w:lvl w:ilvl="1" w:tplc="67EADF1A">
      <w:start w:val="1"/>
      <w:numFmt w:val="bullet"/>
      <w:lvlText w:val=""/>
      <w:lvlJc w:val="left"/>
      <w:pPr>
        <w:ind w:left="1440" w:hanging="360"/>
      </w:pPr>
      <w:rPr>
        <w:rFonts w:ascii="Symbol" w:hAnsi="Symbol" w:hint="default"/>
        <w:color w:val="000000" w:themeColor="text1"/>
      </w:rPr>
    </w:lvl>
    <w:lvl w:ilvl="2" w:tplc="F188B042">
      <w:start w:val="1"/>
      <w:numFmt w:val="bullet"/>
      <w:lvlText w:val="­"/>
      <w:lvlJc w:val="left"/>
      <w:pPr>
        <w:ind w:left="2160" w:hanging="360"/>
      </w:pPr>
      <w:rPr>
        <w:rFonts w:ascii="Times New Roman" w:hAnsi="Times New Roman" w:cs="Times New Roman" w:hint="default"/>
        <w:color w:val="000000" w:themeColor="tex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9658A3"/>
    <w:multiLevelType w:val="hybridMultilevel"/>
    <w:tmpl w:val="7F845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8573D9"/>
    <w:multiLevelType w:val="hybridMultilevel"/>
    <w:tmpl w:val="509A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1F1816"/>
    <w:multiLevelType w:val="hybridMultilevel"/>
    <w:tmpl w:val="898A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BB6766"/>
    <w:multiLevelType w:val="hybridMultilevel"/>
    <w:tmpl w:val="EF24E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37"/>
  </w:num>
  <w:num w:numId="4">
    <w:abstractNumId w:val="36"/>
  </w:num>
  <w:num w:numId="5">
    <w:abstractNumId w:val="29"/>
  </w:num>
  <w:num w:numId="6">
    <w:abstractNumId w:val="12"/>
  </w:num>
  <w:num w:numId="7">
    <w:abstractNumId w:val="7"/>
  </w:num>
  <w:num w:numId="8">
    <w:abstractNumId w:val="5"/>
  </w:num>
  <w:num w:numId="9">
    <w:abstractNumId w:val="30"/>
  </w:num>
  <w:num w:numId="10">
    <w:abstractNumId w:val="8"/>
  </w:num>
  <w:num w:numId="11">
    <w:abstractNumId w:val="17"/>
  </w:num>
  <w:num w:numId="12">
    <w:abstractNumId w:val="11"/>
  </w:num>
  <w:num w:numId="13">
    <w:abstractNumId w:val="0"/>
  </w:num>
  <w:num w:numId="14">
    <w:abstractNumId w:val="38"/>
  </w:num>
  <w:num w:numId="15">
    <w:abstractNumId w:val="39"/>
  </w:num>
  <w:num w:numId="16">
    <w:abstractNumId w:val="13"/>
  </w:num>
  <w:num w:numId="17">
    <w:abstractNumId w:val="22"/>
  </w:num>
  <w:num w:numId="18">
    <w:abstractNumId w:val="35"/>
  </w:num>
  <w:num w:numId="19">
    <w:abstractNumId w:val="32"/>
  </w:num>
  <w:num w:numId="20">
    <w:abstractNumId w:val="20"/>
  </w:num>
  <w:num w:numId="21">
    <w:abstractNumId w:val="1"/>
  </w:num>
  <w:num w:numId="22">
    <w:abstractNumId w:val="31"/>
  </w:num>
  <w:num w:numId="23">
    <w:abstractNumId w:val="3"/>
  </w:num>
  <w:num w:numId="24">
    <w:abstractNumId w:val="2"/>
  </w:num>
  <w:num w:numId="25">
    <w:abstractNumId w:val="34"/>
  </w:num>
  <w:num w:numId="26">
    <w:abstractNumId w:val="25"/>
  </w:num>
  <w:num w:numId="27">
    <w:abstractNumId w:val="24"/>
  </w:num>
  <w:num w:numId="28">
    <w:abstractNumId w:val="18"/>
  </w:num>
  <w:num w:numId="29">
    <w:abstractNumId w:val="4"/>
  </w:num>
  <w:num w:numId="30">
    <w:abstractNumId w:val="23"/>
  </w:num>
  <w:num w:numId="31">
    <w:abstractNumId w:val="10"/>
  </w:num>
  <w:num w:numId="32">
    <w:abstractNumId w:val="9"/>
  </w:num>
  <w:num w:numId="33">
    <w:abstractNumId w:val="16"/>
  </w:num>
  <w:num w:numId="34">
    <w:abstractNumId w:val="33"/>
  </w:num>
  <w:num w:numId="35">
    <w:abstractNumId w:val="14"/>
  </w:num>
  <w:num w:numId="36">
    <w:abstractNumId w:val="19"/>
  </w:num>
  <w:num w:numId="37">
    <w:abstractNumId w:val="27"/>
  </w:num>
  <w:num w:numId="38">
    <w:abstractNumId w:val="21"/>
  </w:num>
  <w:num w:numId="39">
    <w:abstractNumId w:val="2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3F1D98"/>
    <w:rsid w:val="00000FA0"/>
    <w:rsid w:val="000036C8"/>
    <w:rsid w:val="00007111"/>
    <w:rsid w:val="00012EB3"/>
    <w:rsid w:val="00015760"/>
    <w:rsid w:val="0002336F"/>
    <w:rsid w:val="00027512"/>
    <w:rsid w:val="00036923"/>
    <w:rsid w:val="000405AA"/>
    <w:rsid w:val="000433E7"/>
    <w:rsid w:val="00062DD8"/>
    <w:rsid w:val="00064E24"/>
    <w:rsid w:val="000754C5"/>
    <w:rsid w:val="00083E96"/>
    <w:rsid w:val="00084082"/>
    <w:rsid w:val="00091CC7"/>
    <w:rsid w:val="00096FC7"/>
    <w:rsid w:val="000B18AC"/>
    <w:rsid w:val="000B6D84"/>
    <w:rsid w:val="000D48AD"/>
    <w:rsid w:val="000D4E59"/>
    <w:rsid w:val="000E1D2D"/>
    <w:rsid w:val="000E36F7"/>
    <w:rsid w:val="00101704"/>
    <w:rsid w:val="00115CEC"/>
    <w:rsid w:val="00136B48"/>
    <w:rsid w:val="00141947"/>
    <w:rsid w:val="00142FFF"/>
    <w:rsid w:val="00173C89"/>
    <w:rsid w:val="00175DE5"/>
    <w:rsid w:val="001844F3"/>
    <w:rsid w:val="00190A20"/>
    <w:rsid w:val="00195167"/>
    <w:rsid w:val="001A0C33"/>
    <w:rsid w:val="001A198B"/>
    <w:rsid w:val="001C0CED"/>
    <w:rsid w:val="001C4633"/>
    <w:rsid w:val="001D670F"/>
    <w:rsid w:val="001E0E04"/>
    <w:rsid w:val="001E6ACD"/>
    <w:rsid w:val="001F06F9"/>
    <w:rsid w:val="001F77C9"/>
    <w:rsid w:val="001F7F59"/>
    <w:rsid w:val="00200589"/>
    <w:rsid w:val="002019C3"/>
    <w:rsid w:val="002019D1"/>
    <w:rsid w:val="00202FA6"/>
    <w:rsid w:val="002037E4"/>
    <w:rsid w:val="002076C6"/>
    <w:rsid w:val="00211E8F"/>
    <w:rsid w:val="002130A3"/>
    <w:rsid w:val="0022390E"/>
    <w:rsid w:val="002320E4"/>
    <w:rsid w:val="00232509"/>
    <w:rsid w:val="00254B09"/>
    <w:rsid w:val="002703B7"/>
    <w:rsid w:val="00272C40"/>
    <w:rsid w:val="00281472"/>
    <w:rsid w:val="00294873"/>
    <w:rsid w:val="00294C2B"/>
    <w:rsid w:val="002A5287"/>
    <w:rsid w:val="002A5E23"/>
    <w:rsid w:val="002B1E3A"/>
    <w:rsid w:val="002C6E54"/>
    <w:rsid w:val="002D44F2"/>
    <w:rsid w:val="002E164A"/>
    <w:rsid w:val="002E1E9D"/>
    <w:rsid w:val="002E3984"/>
    <w:rsid w:val="0030179B"/>
    <w:rsid w:val="00307F82"/>
    <w:rsid w:val="00311887"/>
    <w:rsid w:val="003268C7"/>
    <w:rsid w:val="00336675"/>
    <w:rsid w:val="003437D6"/>
    <w:rsid w:val="00345A21"/>
    <w:rsid w:val="00351714"/>
    <w:rsid w:val="0035171D"/>
    <w:rsid w:val="00357848"/>
    <w:rsid w:val="003636F8"/>
    <w:rsid w:val="00365E03"/>
    <w:rsid w:val="00383139"/>
    <w:rsid w:val="00383367"/>
    <w:rsid w:val="0038506E"/>
    <w:rsid w:val="003940D9"/>
    <w:rsid w:val="003A1F72"/>
    <w:rsid w:val="003A324D"/>
    <w:rsid w:val="003A5179"/>
    <w:rsid w:val="003B2D8D"/>
    <w:rsid w:val="003B332A"/>
    <w:rsid w:val="003C386B"/>
    <w:rsid w:val="003C5312"/>
    <w:rsid w:val="003E24FA"/>
    <w:rsid w:val="003E7007"/>
    <w:rsid w:val="003F1D98"/>
    <w:rsid w:val="003F2D3B"/>
    <w:rsid w:val="003F3AFF"/>
    <w:rsid w:val="00400600"/>
    <w:rsid w:val="0040332D"/>
    <w:rsid w:val="00413686"/>
    <w:rsid w:val="00413DAB"/>
    <w:rsid w:val="004249E0"/>
    <w:rsid w:val="00426169"/>
    <w:rsid w:val="00430314"/>
    <w:rsid w:val="00431937"/>
    <w:rsid w:val="004470C0"/>
    <w:rsid w:val="00453E4C"/>
    <w:rsid w:val="00480518"/>
    <w:rsid w:val="0049654A"/>
    <w:rsid w:val="004A63A1"/>
    <w:rsid w:val="004B25C3"/>
    <w:rsid w:val="004B7B80"/>
    <w:rsid w:val="004C2881"/>
    <w:rsid w:val="004D1285"/>
    <w:rsid w:val="004D495C"/>
    <w:rsid w:val="004F0754"/>
    <w:rsid w:val="004F71A4"/>
    <w:rsid w:val="005024A7"/>
    <w:rsid w:val="00503C71"/>
    <w:rsid w:val="00506136"/>
    <w:rsid w:val="00512F36"/>
    <w:rsid w:val="00517A18"/>
    <w:rsid w:val="00533401"/>
    <w:rsid w:val="0053369D"/>
    <w:rsid w:val="00533FAC"/>
    <w:rsid w:val="0054276F"/>
    <w:rsid w:val="0055372B"/>
    <w:rsid w:val="005571FF"/>
    <w:rsid w:val="00561FB2"/>
    <w:rsid w:val="00562FAA"/>
    <w:rsid w:val="00563554"/>
    <w:rsid w:val="00564163"/>
    <w:rsid w:val="00564DEA"/>
    <w:rsid w:val="005731CF"/>
    <w:rsid w:val="00573210"/>
    <w:rsid w:val="00576B2A"/>
    <w:rsid w:val="0057746E"/>
    <w:rsid w:val="0057778C"/>
    <w:rsid w:val="0058392B"/>
    <w:rsid w:val="005A4F9B"/>
    <w:rsid w:val="005A5516"/>
    <w:rsid w:val="005B357D"/>
    <w:rsid w:val="005C5468"/>
    <w:rsid w:val="005D3657"/>
    <w:rsid w:val="005D410D"/>
    <w:rsid w:val="005D4256"/>
    <w:rsid w:val="005E0223"/>
    <w:rsid w:val="005F217B"/>
    <w:rsid w:val="006011CF"/>
    <w:rsid w:val="00603BF0"/>
    <w:rsid w:val="00604AA1"/>
    <w:rsid w:val="00604B37"/>
    <w:rsid w:val="00613137"/>
    <w:rsid w:val="00616D1D"/>
    <w:rsid w:val="006240EE"/>
    <w:rsid w:val="00625C5F"/>
    <w:rsid w:val="0065031B"/>
    <w:rsid w:val="00650D01"/>
    <w:rsid w:val="006539C4"/>
    <w:rsid w:val="00657B5A"/>
    <w:rsid w:val="00667DBB"/>
    <w:rsid w:val="00675D85"/>
    <w:rsid w:val="006816FD"/>
    <w:rsid w:val="00690AA9"/>
    <w:rsid w:val="006A3156"/>
    <w:rsid w:val="006A654E"/>
    <w:rsid w:val="006B07AE"/>
    <w:rsid w:val="006B0ADC"/>
    <w:rsid w:val="006B2FC3"/>
    <w:rsid w:val="006B5FE1"/>
    <w:rsid w:val="006D5F6E"/>
    <w:rsid w:val="006E1641"/>
    <w:rsid w:val="006E7B1A"/>
    <w:rsid w:val="006F134A"/>
    <w:rsid w:val="00703EFB"/>
    <w:rsid w:val="007132BF"/>
    <w:rsid w:val="0071330D"/>
    <w:rsid w:val="00713D1D"/>
    <w:rsid w:val="007144FC"/>
    <w:rsid w:val="00722803"/>
    <w:rsid w:val="00733397"/>
    <w:rsid w:val="007374DD"/>
    <w:rsid w:val="00744040"/>
    <w:rsid w:val="007521AE"/>
    <w:rsid w:val="00753007"/>
    <w:rsid w:val="007536AA"/>
    <w:rsid w:val="007803D8"/>
    <w:rsid w:val="00786BD1"/>
    <w:rsid w:val="00794121"/>
    <w:rsid w:val="007B0B1E"/>
    <w:rsid w:val="007B5D67"/>
    <w:rsid w:val="007C6747"/>
    <w:rsid w:val="007E7E22"/>
    <w:rsid w:val="007F7B4B"/>
    <w:rsid w:val="00820E7A"/>
    <w:rsid w:val="00824210"/>
    <w:rsid w:val="00833344"/>
    <w:rsid w:val="00862FDA"/>
    <w:rsid w:val="0086330F"/>
    <w:rsid w:val="00882A98"/>
    <w:rsid w:val="0089506C"/>
    <w:rsid w:val="008A300F"/>
    <w:rsid w:val="008A42A6"/>
    <w:rsid w:val="008B67FA"/>
    <w:rsid w:val="008B6E67"/>
    <w:rsid w:val="008C2737"/>
    <w:rsid w:val="008C3BC1"/>
    <w:rsid w:val="008C46B6"/>
    <w:rsid w:val="008C6990"/>
    <w:rsid w:val="008D4EEB"/>
    <w:rsid w:val="00931F9C"/>
    <w:rsid w:val="00941C99"/>
    <w:rsid w:val="00941FE0"/>
    <w:rsid w:val="00943283"/>
    <w:rsid w:val="009500EF"/>
    <w:rsid w:val="00952FF6"/>
    <w:rsid w:val="0096585F"/>
    <w:rsid w:val="009854CA"/>
    <w:rsid w:val="00994D36"/>
    <w:rsid w:val="009A37B7"/>
    <w:rsid w:val="009C01C2"/>
    <w:rsid w:val="009E108A"/>
    <w:rsid w:val="009F48A3"/>
    <w:rsid w:val="00A00A0D"/>
    <w:rsid w:val="00A229A1"/>
    <w:rsid w:val="00A27464"/>
    <w:rsid w:val="00A426BE"/>
    <w:rsid w:val="00A57BFE"/>
    <w:rsid w:val="00A6027C"/>
    <w:rsid w:val="00A7670B"/>
    <w:rsid w:val="00A80DD2"/>
    <w:rsid w:val="00A822B1"/>
    <w:rsid w:val="00A96A65"/>
    <w:rsid w:val="00AB4AB9"/>
    <w:rsid w:val="00AB5026"/>
    <w:rsid w:val="00AC2B71"/>
    <w:rsid w:val="00AD5BD0"/>
    <w:rsid w:val="00AF67B6"/>
    <w:rsid w:val="00B23BF2"/>
    <w:rsid w:val="00B242CF"/>
    <w:rsid w:val="00B37DF6"/>
    <w:rsid w:val="00B40745"/>
    <w:rsid w:val="00B41DD5"/>
    <w:rsid w:val="00B44CEC"/>
    <w:rsid w:val="00B44F62"/>
    <w:rsid w:val="00B53ADC"/>
    <w:rsid w:val="00B53B6F"/>
    <w:rsid w:val="00B74BF4"/>
    <w:rsid w:val="00B82594"/>
    <w:rsid w:val="00B83079"/>
    <w:rsid w:val="00B86F56"/>
    <w:rsid w:val="00B93A9C"/>
    <w:rsid w:val="00BA1ED9"/>
    <w:rsid w:val="00BB6AE2"/>
    <w:rsid w:val="00BD0E07"/>
    <w:rsid w:val="00BD173F"/>
    <w:rsid w:val="00BD71B6"/>
    <w:rsid w:val="00BE025D"/>
    <w:rsid w:val="00BF13C0"/>
    <w:rsid w:val="00BF577C"/>
    <w:rsid w:val="00BF75CD"/>
    <w:rsid w:val="00C02404"/>
    <w:rsid w:val="00C04829"/>
    <w:rsid w:val="00C12E61"/>
    <w:rsid w:val="00C1635B"/>
    <w:rsid w:val="00C3281F"/>
    <w:rsid w:val="00C47D9E"/>
    <w:rsid w:val="00C52B1B"/>
    <w:rsid w:val="00C63C6D"/>
    <w:rsid w:val="00C7583C"/>
    <w:rsid w:val="00C75B1F"/>
    <w:rsid w:val="00C81825"/>
    <w:rsid w:val="00C85EAD"/>
    <w:rsid w:val="00CA3AD4"/>
    <w:rsid w:val="00CA4A4A"/>
    <w:rsid w:val="00CB0AD1"/>
    <w:rsid w:val="00CB2B44"/>
    <w:rsid w:val="00CB683B"/>
    <w:rsid w:val="00CC56F7"/>
    <w:rsid w:val="00CD0B57"/>
    <w:rsid w:val="00CD1B1B"/>
    <w:rsid w:val="00CD2CF6"/>
    <w:rsid w:val="00CD4C87"/>
    <w:rsid w:val="00CD4DB1"/>
    <w:rsid w:val="00CF0751"/>
    <w:rsid w:val="00D0375A"/>
    <w:rsid w:val="00D4065D"/>
    <w:rsid w:val="00D4319A"/>
    <w:rsid w:val="00D433A2"/>
    <w:rsid w:val="00D43E34"/>
    <w:rsid w:val="00D56E36"/>
    <w:rsid w:val="00D6425B"/>
    <w:rsid w:val="00D776F3"/>
    <w:rsid w:val="00D81314"/>
    <w:rsid w:val="00D875B9"/>
    <w:rsid w:val="00D878BB"/>
    <w:rsid w:val="00D97438"/>
    <w:rsid w:val="00DA1F9C"/>
    <w:rsid w:val="00DB001C"/>
    <w:rsid w:val="00DB2FC2"/>
    <w:rsid w:val="00DB39A2"/>
    <w:rsid w:val="00DB5EE6"/>
    <w:rsid w:val="00DC1266"/>
    <w:rsid w:val="00DC587E"/>
    <w:rsid w:val="00DD0C16"/>
    <w:rsid w:val="00DD296A"/>
    <w:rsid w:val="00DE04B3"/>
    <w:rsid w:val="00DF038A"/>
    <w:rsid w:val="00E02C19"/>
    <w:rsid w:val="00E1032F"/>
    <w:rsid w:val="00E11091"/>
    <w:rsid w:val="00E11C74"/>
    <w:rsid w:val="00E160F8"/>
    <w:rsid w:val="00E25BD1"/>
    <w:rsid w:val="00E32F50"/>
    <w:rsid w:val="00E5562C"/>
    <w:rsid w:val="00E56B25"/>
    <w:rsid w:val="00E70B1F"/>
    <w:rsid w:val="00E853A7"/>
    <w:rsid w:val="00E86463"/>
    <w:rsid w:val="00E86D39"/>
    <w:rsid w:val="00E87A72"/>
    <w:rsid w:val="00E930B1"/>
    <w:rsid w:val="00EA09A9"/>
    <w:rsid w:val="00EB4D99"/>
    <w:rsid w:val="00EC356E"/>
    <w:rsid w:val="00EE6240"/>
    <w:rsid w:val="00EE6CBF"/>
    <w:rsid w:val="00EF0119"/>
    <w:rsid w:val="00EF0D1C"/>
    <w:rsid w:val="00EF6A7E"/>
    <w:rsid w:val="00F00964"/>
    <w:rsid w:val="00F032D7"/>
    <w:rsid w:val="00F050DC"/>
    <w:rsid w:val="00F15FF9"/>
    <w:rsid w:val="00F27B5B"/>
    <w:rsid w:val="00F3000E"/>
    <w:rsid w:val="00F34574"/>
    <w:rsid w:val="00F35500"/>
    <w:rsid w:val="00F3645D"/>
    <w:rsid w:val="00F45D7C"/>
    <w:rsid w:val="00F47381"/>
    <w:rsid w:val="00F545D4"/>
    <w:rsid w:val="00F5545C"/>
    <w:rsid w:val="00F725DB"/>
    <w:rsid w:val="00FA148D"/>
    <w:rsid w:val="00FA7235"/>
    <w:rsid w:val="00FC4889"/>
    <w:rsid w:val="00FD00DF"/>
    <w:rsid w:val="00FD1A7E"/>
    <w:rsid w:val="00FD2AAE"/>
    <w:rsid w:val="00FE29F2"/>
    <w:rsid w:val="00FE3C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67845"/>
  <w14:defaultImageDpi w14:val="300"/>
  <w15:docId w15:val="{D6F23523-5430-459B-8100-2B795BAD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177"/>
    <w:rPr>
      <w:rFonts w:ascii="Arial" w:hAnsi="Arial"/>
      <w:szCs w:val="22"/>
      <w:lang w:val="en-US" w:bidi="en-US"/>
    </w:rPr>
  </w:style>
  <w:style w:type="paragraph" w:styleId="Heading1">
    <w:name w:val="heading 1"/>
    <w:basedOn w:val="Normal"/>
    <w:next w:val="Normal"/>
    <w:link w:val="Heading1Char"/>
    <w:uiPriority w:val="9"/>
    <w:qFormat/>
    <w:rsid w:val="001D665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D665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1D665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1D6659"/>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1D6659"/>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1D665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1D665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1D6659"/>
    <w:pPr>
      <w:keepNext/>
      <w:keepLines/>
      <w:spacing w:before="200"/>
      <w:outlineLvl w:val="7"/>
    </w:pPr>
    <w:rPr>
      <w:rFonts w:ascii="Cambria" w:hAnsi="Cambria"/>
      <w:color w:val="4F81BD"/>
      <w:szCs w:val="20"/>
    </w:rPr>
  </w:style>
  <w:style w:type="paragraph" w:styleId="Heading9">
    <w:name w:val="heading 9"/>
    <w:basedOn w:val="Normal"/>
    <w:next w:val="Normal"/>
    <w:link w:val="Heading9Char"/>
    <w:uiPriority w:val="9"/>
    <w:qFormat/>
    <w:rsid w:val="001D6659"/>
    <w:pPr>
      <w:keepNext/>
      <w:keepLines/>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65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1D665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D6659"/>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D6659"/>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1D6659"/>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1D6659"/>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1D6659"/>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1D6659"/>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1D6659"/>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1D6659"/>
    <w:rPr>
      <w:b/>
      <w:bCs/>
      <w:color w:val="4F81BD"/>
      <w:sz w:val="18"/>
      <w:szCs w:val="18"/>
    </w:rPr>
  </w:style>
  <w:style w:type="paragraph" w:styleId="Title">
    <w:name w:val="Title"/>
    <w:basedOn w:val="Normal"/>
    <w:next w:val="Normal"/>
    <w:link w:val="TitleChar"/>
    <w:uiPriority w:val="10"/>
    <w:qFormat/>
    <w:rsid w:val="001D66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D665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D665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1D6659"/>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1D6659"/>
    <w:rPr>
      <w:b/>
      <w:bCs/>
    </w:rPr>
  </w:style>
  <w:style w:type="character" w:styleId="Emphasis">
    <w:name w:val="Emphasis"/>
    <w:basedOn w:val="DefaultParagraphFont"/>
    <w:uiPriority w:val="20"/>
    <w:qFormat/>
    <w:rsid w:val="001D6659"/>
    <w:rPr>
      <w:i/>
      <w:iCs/>
    </w:rPr>
  </w:style>
  <w:style w:type="paragraph" w:styleId="NoSpacing">
    <w:name w:val="No Spacing"/>
    <w:uiPriority w:val="1"/>
    <w:qFormat/>
    <w:rsid w:val="001D6659"/>
    <w:rPr>
      <w:sz w:val="22"/>
      <w:szCs w:val="22"/>
      <w:lang w:val="en-US" w:bidi="en-US"/>
    </w:rPr>
  </w:style>
  <w:style w:type="paragraph" w:styleId="ListParagraph">
    <w:name w:val="List Paragraph"/>
    <w:basedOn w:val="Normal"/>
    <w:uiPriority w:val="34"/>
    <w:qFormat/>
    <w:rsid w:val="001D6659"/>
    <w:pPr>
      <w:ind w:left="720"/>
      <w:contextualSpacing/>
    </w:pPr>
  </w:style>
  <w:style w:type="paragraph" w:styleId="Quote">
    <w:name w:val="Quote"/>
    <w:basedOn w:val="Normal"/>
    <w:next w:val="Normal"/>
    <w:link w:val="QuoteChar"/>
    <w:uiPriority w:val="29"/>
    <w:qFormat/>
    <w:rsid w:val="001D6659"/>
    <w:rPr>
      <w:i/>
      <w:iCs/>
      <w:color w:val="000000"/>
    </w:rPr>
  </w:style>
  <w:style w:type="character" w:customStyle="1" w:styleId="QuoteChar">
    <w:name w:val="Quote Char"/>
    <w:basedOn w:val="DefaultParagraphFont"/>
    <w:link w:val="Quote"/>
    <w:uiPriority w:val="29"/>
    <w:rsid w:val="001D6659"/>
    <w:rPr>
      <w:i/>
      <w:iCs/>
      <w:color w:val="000000"/>
    </w:rPr>
  </w:style>
  <w:style w:type="paragraph" w:styleId="IntenseQuote">
    <w:name w:val="Intense Quote"/>
    <w:basedOn w:val="Normal"/>
    <w:next w:val="Normal"/>
    <w:link w:val="IntenseQuoteChar"/>
    <w:uiPriority w:val="30"/>
    <w:qFormat/>
    <w:rsid w:val="001D665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D6659"/>
    <w:rPr>
      <w:b/>
      <w:bCs/>
      <w:i/>
      <w:iCs/>
      <w:color w:val="4F81BD"/>
    </w:rPr>
  </w:style>
  <w:style w:type="character" w:styleId="SubtleEmphasis">
    <w:name w:val="Subtle Emphasis"/>
    <w:basedOn w:val="DefaultParagraphFont"/>
    <w:uiPriority w:val="19"/>
    <w:qFormat/>
    <w:rsid w:val="005869A2"/>
    <w:rPr>
      <w:rFonts w:ascii="Arial" w:hAnsi="Arial"/>
      <w:iCs/>
      <w:color w:val="auto"/>
      <w:sz w:val="16"/>
    </w:rPr>
  </w:style>
  <w:style w:type="character" w:styleId="IntenseEmphasis">
    <w:name w:val="Intense Emphasis"/>
    <w:basedOn w:val="DefaultParagraphFont"/>
    <w:uiPriority w:val="21"/>
    <w:qFormat/>
    <w:rsid w:val="001D6659"/>
    <w:rPr>
      <w:b/>
      <w:bCs/>
      <w:i/>
      <w:iCs/>
      <w:color w:val="4F81BD"/>
    </w:rPr>
  </w:style>
  <w:style w:type="character" w:styleId="SubtleReference">
    <w:name w:val="Subtle Reference"/>
    <w:basedOn w:val="DefaultParagraphFont"/>
    <w:uiPriority w:val="31"/>
    <w:qFormat/>
    <w:rsid w:val="001D6659"/>
    <w:rPr>
      <w:smallCaps/>
      <w:color w:val="C0504D"/>
      <w:u w:val="single"/>
    </w:rPr>
  </w:style>
  <w:style w:type="character" w:styleId="IntenseReference">
    <w:name w:val="Intense Reference"/>
    <w:basedOn w:val="DefaultParagraphFont"/>
    <w:uiPriority w:val="32"/>
    <w:qFormat/>
    <w:rsid w:val="001D6659"/>
    <w:rPr>
      <w:b/>
      <w:bCs/>
      <w:smallCaps/>
      <w:color w:val="C0504D"/>
      <w:spacing w:val="5"/>
      <w:u w:val="single"/>
    </w:rPr>
  </w:style>
  <w:style w:type="character" w:styleId="BookTitle">
    <w:name w:val="Book Title"/>
    <w:basedOn w:val="DefaultParagraphFont"/>
    <w:uiPriority w:val="33"/>
    <w:qFormat/>
    <w:rsid w:val="001D6659"/>
    <w:rPr>
      <w:b/>
      <w:bCs/>
      <w:smallCaps/>
      <w:spacing w:val="5"/>
    </w:rPr>
  </w:style>
  <w:style w:type="paragraph" w:styleId="TOCHeading">
    <w:name w:val="TOC Heading"/>
    <w:basedOn w:val="Heading1"/>
    <w:next w:val="Normal"/>
    <w:uiPriority w:val="39"/>
    <w:qFormat/>
    <w:rsid w:val="001D6659"/>
    <w:pPr>
      <w:outlineLvl w:val="9"/>
    </w:pPr>
  </w:style>
  <w:style w:type="paragraph" w:styleId="Header">
    <w:name w:val="header"/>
    <w:basedOn w:val="Normal"/>
    <w:link w:val="HeaderChar"/>
    <w:uiPriority w:val="99"/>
    <w:unhideWhenUsed/>
    <w:rsid w:val="00A6097C"/>
    <w:pPr>
      <w:tabs>
        <w:tab w:val="center" w:pos="4513"/>
        <w:tab w:val="right" w:pos="9026"/>
      </w:tabs>
    </w:pPr>
    <w:rPr>
      <w:sz w:val="16"/>
    </w:rPr>
  </w:style>
  <w:style w:type="character" w:customStyle="1" w:styleId="HeaderChar">
    <w:name w:val="Header Char"/>
    <w:basedOn w:val="DefaultParagraphFont"/>
    <w:link w:val="Header"/>
    <w:uiPriority w:val="99"/>
    <w:rsid w:val="00A6097C"/>
    <w:rPr>
      <w:rFonts w:ascii="Arial" w:hAnsi="Arial"/>
      <w:sz w:val="16"/>
      <w:szCs w:val="22"/>
      <w:lang w:val="en-US" w:eastAsia="en-US" w:bidi="en-US"/>
    </w:rPr>
  </w:style>
  <w:style w:type="paragraph" w:styleId="Footer">
    <w:name w:val="footer"/>
    <w:basedOn w:val="Normal"/>
    <w:link w:val="FooterChar"/>
    <w:uiPriority w:val="99"/>
    <w:unhideWhenUsed/>
    <w:rsid w:val="00A6097C"/>
    <w:pPr>
      <w:tabs>
        <w:tab w:val="center" w:pos="4513"/>
        <w:tab w:val="right" w:pos="9026"/>
      </w:tabs>
    </w:pPr>
    <w:rPr>
      <w:sz w:val="16"/>
    </w:rPr>
  </w:style>
  <w:style w:type="character" w:customStyle="1" w:styleId="FooterChar">
    <w:name w:val="Footer Char"/>
    <w:basedOn w:val="DefaultParagraphFont"/>
    <w:link w:val="Footer"/>
    <w:uiPriority w:val="99"/>
    <w:rsid w:val="00A6097C"/>
    <w:rPr>
      <w:rFonts w:ascii="Arial" w:hAnsi="Arial"/>
      <w:sz w:val="16"/>
      <w:szCs w:val="22"/>
      <w:lang w:val="en-US" w:eastAsia="en-US" w:bidi="en-US"/>
    </w:rPr>
  </w:style>
  <w:style w:type="paragraph" w:styleId="BalloonText">
    <w:name w:val="Balloon Text"/>
    <w:basedOn w:val="Normal"/>
    <w:link w:val="BalloonTextChar"/>
    <w:uiPriority w:val="99"/>
    <w:semiHidden/>
    <w:unhideWhenUsed/>
    <w:rsid w:val="00393177"/>
    <w:rPr>
      <w:rFonts w:ascii="Tahoma" w:hAnsi="Tahoma" w:cs="Tahoma"/>
      <w:sz w:val="16"/>
      <w:szCs w:val="16"/>
    </w:rPr>
  </w:style>
  <w:style w:type="character" w:customStyle="1" w:styleId="BalloonTextChar">
    <w:name w:val="Balloon Text Char"/>
    <w:basedOn w:val="DefaultParagraphFont"/>
    <w:link w:val="BalloonText"/>
    <w:uiPriority w:val="99"/>
    <w:semiHidden/>
    <w:rsid w:val="00393177"/>
    <w:rPr>
      <w:rFonts w:ascii="Tahoma" w:hAnsi="Tahoma" w:cs="Tahoma"/>
      <w:sz w:val="16"/>
      <w:szCs w:val="16"/>
    </w:rPr>
  </w:style>
  <w:style w:type="paragraph" w:styleId="DocumentMap">
    <w:name w:val="Document Map"/>
    <w:basedOn w:val="Normal"/>
    <w:link w:val="DocumentMapChar"/>
    <w:uiPriority w:val="99"/>
    <w:semiHidden/>
    <w:unhideWhenUsed/>
    <w:rsid w:val="00393177"/>
    <w:rPr>
      <w:rFonts w:ascii="Tahoma" w:hAnsi="Tahoma" w:cs="Tahoma"/>
      <w:sz w:val="16"/>
      <w:szCs w:val="16"/>
    </w:rPr>
  </w:style>
  <w:style w:type="character" w:customStyle="1" w:styleId="DocumentMapChar">
    <w:name w:val="Document Map Char"/>
    <w:basedOn w:val="DefaultParagraphFont"/>
    <w:link w:val="DocumentMap"/>
    <w:uiPriority w:val="99"/>
    <w:semiHidden/>
    <w:rsid w:val="00393177"/>
    <w:rPr>
      <w:rFonts w:ascii="Tahoma" w:hAnsi="Tahoma" w:cs="Tahoma"/>
      <w:sz w:val="16"/>
      <w:szCs w:val="16"/>
    </w:rPr>
  </w:style>
  <w:style w:type="table" w:styleId="TableGrid">
    <w:name w:val="Table Grid"/>
    <w:basedOn w:val="TableNormal"/>
    <w:rsid w:val="005869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869A2"/>
    <w:rPr>
      <w:color w:val="0000FF"/>
      <w:u w:val="single"/>
    </w:rPr>
  </w:style>
  <w:style w:type="paragraph" w:styleId="ListBullet">
    <w:name w:val="List Bullet"/>
    <w:basedOn w:val="Normal"/>
    <w:unhideWhenUsed/>
    <w:rsid w:val="00DB5EE6"/>
    <w:pPr>
      <w:numPr>
        <w:numId w:val="13"/>
      </w:numPr>
      <w:contextualSpacing/>
    </w:pPr>
  </w:style>
  <w:style w:type="paragraph" w:styleId="FootnoteText">
    <w:name w:val="footnote text"/>
    <w:basedOn w:val="Normal"/>
    <w:link w:val="FootnoteTextChar"/>
    <w:semiHidden/>
    <w:unhideWhenUsed/>
    <w:rsid w:val="00503C71"/>
    <w:rPr>
      <w:szCs w:val="20"/>
    </w:rPr>
  </w:style>
  <w:style w:type="character" w:customStyle="1" w:styleId="FootnoteTextChar">
    <w:name w:val="Footnote Text Char"/>
    <w:basedOn w:val="DefaultParagraphFont"/>
    <w:link w:val="FootnoteText"/>
    <w:semiHidden/>
    <w:rsid w:val="00503C71"/>
    <w:rPr>
      <w:rFonts w:ascii="Arial" w:hAnsi="Arial"/>
      <w:lang w:val="en-US" w:bidi="en-US"/>
    </w:rPr>
  </w:style>
  <w:style w:type="character" w:styleId="FootnoteReference">
    <w:name w:val="footnote reference"/>
    <w:basedOn w:val="DefaultParagraphFont"/>
    <w:semiHidden/>
    <w:unhideWhenUsed/>
    <w:rsid w:val="00503C71"/>
    <w:rPr>
      <w:vertAlign w:val="superscript"/>
    </w:rPr>
  </w:style>
  <w:style w:type="character" w:customStyle="1" w:styleId="tagline2">
    <w:name w:val="tagline2"/>
    <w:basedOn w:val="DefaultParagraphFont"/>
    <w:rsid w:val="00503C71"/>
    <w:rPr>
      <w:b w:val="0"/>
      <w:bCs w:val="0"/>
      <w:vanish w:val="0"/>
      <w:webHidden w:val="0"/>
      <w:sz w:val="22"/>
      <w:szCs w:val="22"/>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095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rcer.com.au/content/dam/mercer/attachments/asia-pacific/australia/investment/Mercer_Post-Retirement-Market-Trends-In-Australia-June2014.pdf" TargetMode="External"/><Relationship Id="rId2" Type="http://schemas.openxmlformats.org/officeDocument/2006/relationships/hyperlink" Target="https://www.aihw.gov.au/reports/life-expectancy-death/deaths-in-australia/contents/life-expectancy" TargetMode="External"/><Relationship Id="rId1" Type="http://schemas.openxmlformats.org/officeDocument/2006/relationships/hyperlink" Target="https://core.ac.uk/download/pdf/5134317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18619-C0AF-4720-B40B-4F070621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2203A089.dotm</Template>
  <TotalTime>23</TotalTime>
  <Pages>8</Pages>
  <Words>4724</Words>
  <Characters>26930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Submission DR118 - Geoff Warren - Superannuation: Assessing Efficiency and Competitiveness - Public inquiry</vt:lpstr>
    </vt:vector>
  </TitlesOfParts>
  <Company>Geoff Warren</Company>
  <LinksUpToDate>false</LinksUpToDate>
  <CharactersWithSpaces>31591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DR118 - Geoff Warren - Superannuation: Assessing Efficiency and Competitiveness - Public inquiry</dc:title>
  <dc:subject/>
  <dc:creator>Geoff Warren</dc:creator>
  <cp:keywords/>
  <dc:description/>
  <cp:lastModifiedBy>Alston, Chris</cp:lastModifiedBy>
  <cp:revision>4</cp:revision>
  <cp:lastPrinted>2018-06-29T04:42:00Z</cp:lastPrinted>
  <dcterms:created xsi:type="dcterms:W3CDTF">2018-06-27T23:43:00Z</dcterms:created>
  <dcterms:modified xsi:type="dcterms:W3CDTF">2018-06-29T05:01:00Z</dcterms:modified>
</cp:coreProperties>
</file>