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0A5" w:rsidRPr="001340A5" w:rsidRDefault="001340A5" w:rsidP="001340A5">
      <w:pPr>
        <w:jc w:val="center"/>
        <w:rPr>
          <w:i/>
        </w:rPr>
      </w:pPr>
      <w:r w:rsidRPr="001340A5">
        <w:rPr>
          <w:i/>
        </w:rPr>
        <w:t>This submission consists of a referred paper presented to the National Centre for Vocational Education Research 'No Frills' International Research Conference held in Adelaide on 10-12 July 2019. The author is Dr Don Zoellner, Honorary Fellow, Charles Darwin University, Alice Springs, Northern Territory.</w:t>
      </w:r>
    </w:p>
    <w:p w:rsidR="00115EE2" w:rsidRDefault="00115EE2" w:rsidP="006821A7">
      <w:pPr>
        <w:jc w:val="center"/>
      </w:pPr>
      <w:bookmarkStart w:id="0" w:name="_GoBack"/>
      <w:r>
        <w:rPr>
          <w:b/>
        </w:rPr>
        <w:t>Student</w:t>
      </w:r>
      <w:r w:rsidRPr="006821A7">
        <w:rPr>
          <w:b/>
        </w:rPr>
        <w:t xml:space="preserve"> choice and lifelong learning: who you gonna call?</w:t>
      </w:r>
    </w:p>
    <w:bookmarkEnd w:id="0"/>
    <w:p w:rsidR="00115EE2" w:rsidRPr="00B340DA" w:rsidRDefault="00115EE2" w:rsidP="006821A7">
      <w:pPr>
        <w:rPr>
          <w:b/>
        </w:rPr>
      </w:pPr>
      <w:r w:rsidRPr="00B340DA">
        <w:rPr>
          <w:b/>
        </w:rPr>
        <w:t>Abstract</w:t>
      </w:r>
    </w:p>
    <w:p w:rsidR="00115EE2" w:rsidRDefault="00115EE2" w:rsidP="006821A7">
      <w:r>
        <w:t>This paper explores some specific outcomes resulting from the progressive implementation of national competition and new public management policies favouring increased user choice. Since the early-1990s vocational education and training strategies have consistently advocated for greater levels of student choice of provider in a contestable market. In addition to noting the significance of choice, the 1974 Kangan Review of TAFE also ensured that the post-school, non-university educational option was intimately linked to notions of access and equity in support of lifelong learning. The National Vocational Education and Training Provider Collection provides the data used to compare student and training package characteristics from different years selected because they mark key policy and program developments on the journey of implementation to the mature contestable training market in which over 4,000 providers compete. In particular the impact of increased student choice on measures of access and equity is identified through a trend analysis. The specific characteristics include system-wide numbers of students and enrolments as well as the number of students by enrolment in the top 20 training packages, the various fields of education, level of relative remoteness/access to services, Indigenous status and level of relative socio-economic disadvantage. If the introduction of contestable markets has delivered the anticipated benefits in access, equity and choice that were projected in the various state and territory training entitlements/guarantees, it would be expected that the trends would show larger numbers of students from each equity group and region obtaining qualifications in a wider range of occupations. If not, the ability of the national training system to produce a nation of lifelong learners who experience equitable access by exercising a wide variety of choices is called into question; as is 25 years of bi-partisan public policy consistency.</w:t>
      </w:r>
    </w:p>
    <w:p w:rsidR="00115EE2" w:rsidRPr="00B340DA" w:rsidRDefault="00115EE2" w:rsidP="006821A7">
      <w:pPr>
        <w:rPr>
          <w:b/>
        </w:rPr>
      </w:pPr>
      <w:r w:rsidRPr="00B340DA">
        <w:rPr>
          <w:b/>
        </w:rPr>
        <w:t>Introduction</w:t>
      </w:r>
    </w:p>
    <w:p w:rsidR="00115EE2" w:rsidRDefault="00115EE2" w:rsidP="006821A7">
      <w:r>
        <w:t xml:space="preserve">The mantra of lifelong learning has been an integral element of the vocational education and training policy environment since the seminal Kangan Report </w:t>
      </w:r>
      <w:r>
        <w:rPr>
          <w:noProof/>
        </w:rPr>
        <w:t>(Australian Committee on Technical and Further Education 1974, p. 17)</w:t>
      </w:r>
      <w:r>
        <w:t xml:space="preserve"> introduced this 'new concept' to Australia nearly half a century ago; while noting that 'the motives for an individual's choice of vocational education are various and mixed' </w:t>
      </w:r>
      <w:r>
        <w:rPr>
          <w:noProof/>
        </w:rPr>
        <w:t>(p. xxii)</w:t>
      </w:r>
      <w:r>
        <w:t xml:space="preserve">. At the time of Kangan, student choice was to be exercised by obtaining access to training programs offered by state-based systems of government-funded Technical and Further Education (TAFE) institutions. Kangan's guiding principles for these new TAFEs contained provisions for accessible recurrent learning throughout one's entire life course, including the establishment of community colleges in country areas </w:t>
      </w:r>
      <w:r>
        <w:rPr>
          <w:noProof/>
        </w:rPr>
        <w:t>(Australian Committee on Technical and Further Education 1974, pp. 11-16)</w:t>
      </w:r>
      <w:r>
        <w:t>.</w:t>
      </w:r>
    </w:p>
    <w:p w:rsidR="00115EE2" w:rsidRDefault="00115EE2" w:rsidP="006821A7">
      <w:r>
        <w:lastRenderedPageBreak/>
        <w:t xml:space="preserve">The position of TAFE as the monopolistic provider of non-university, post-school education and training received its first serious policy challenge in the Deveson Report's </w:t>
      </w:r>
      <w:r>
        <w:rPr>
          <w:noProof/>
        </w:rPr>
        <w:t>(1990)</w:t>
      </w:r>
      <w:r>
        <w:t xml:space="preserve"> alignment with the emergence and eventual introduction of national competition policies into the Australian economy </w:t>
      </w:r>
      <w:r>
        <w:rPr>
          <w:noProof/>
        </w:rPr>
        <w:t>(Hilmer, Rayner &amp; Taperell 1993)</w:t>
      </w:r>
      <w:r>
        <w:t xml:space="preserve">. As state and territory government agencies, TAFEs found themselves also included in the broader suite of micro-economic reforms introduced by the jurisdictions seeking to withdraw from direct responsibility for service delivery in favour of privatisation and/or contracting out to competitive markets that were believed to facilitate each person's ability to choose the range of services that best meet their needs </w:t>
      </w:r>
      <w:r>
        <w:rPr>
          <w:noProof/>
        </w:rPr>
        <w:t>(Keating 2004, p. 11)</w:t>
      </w:r>
      <w:r>
        <w:t xml:space="preserve">. The most recent review of national competition policy reiterates that user choice-type public policy settings should make markets work properly; foster diversity, choice and responsiveness in government services; and secure the necessary standards of access and equity </w:t>
      </w:r>
      <w:r>
        <w:rPr>
          <w:noProof/>
        </w:rPr>
        <w:t>(Harper et al. 2015, p. 7)</w:t>
      </w:r>
      <w:r>
        <w:t>. Vocational education and training (VET) was inextricably bound to the notions of choice, access and equity from the time of Kangan. These same elements have also come to be used to promote VET's marketisation.</w:t>
      </w:r>
    </w:p>
    <w:p w:rsidR="00115EE2" w:rsidRDefault="00115EE2" w:rsidP="006821A7">
      <w:r>
        <w:t xml:space="preserve">From the mid-1990s, national VET policy has inexorably promoted schemes 'to enhance the choice that clients have between the full range of providers – public, private and industry' because increased competition in open markets was 'universally recognised as the most effective way to improve services [and] contain or reduce costs' </w:t>
      </w:r>
      <w:r>
        <w:rPr>
          <w:noProof/>
        </w:rPr>
        <w:t>(Australian National Training Authority 1994, p. 7)</w:t>
      </w:r>
      <w:r>
        <w:t xml:space="preserve">. The pro-market Productivity Commission </w:t>
      </w:r>
      <w:r>
        <w:rPr>
          <w:noProof/>
        </w:rPr>
        <w:t>(2012, p. 11)</w:t>
      </w:r>
      <w:r>
        <w:t xml:space="preserve"> describes that in 1998 the User Choice funding arrangement for the provision of off-the-job training to apprentices and trainees was introduced in order 'to harness market forces in the allocation of VET services' </w:t>
      </w:r>
      <w:r>
        <w:rPr>
          <w:noProof/>
        </w:rPr>
        <w:t>(p. 57)</w:t>
      </w:r>
      <w:r>
        <w:t xml:space="preserve">. There has been a 'growing trend towards greater student choice and less government planning of supply' </w:t>
      </w:r>
      <w:r>
        <w:rPr>
          <w:noProof/>
        </w:rPr>
        <w:t>(Productivity Commission 2011, p. 74)</w:t>
      </w:r>
      <w:r>
        <w:t xml:space="preserve"> in response to a 'change in participation in VET as a result of increasing labour market emphasis on formal training and lifelong learning' </w:t>
      </w:r>
      <w:r>
        <w:rPr>
          <w:noProof/>
        </w:rPr>
        <w:t>(p. viii)</w:t>
      </w:r>
      <w:r>
        <w:t xml:space="preserve">. Numerous contemporary reports and prognostications to do with workforce development and VET policy echo Kangan's prioritisation of lifelong learning </w:t>
      </w:r>
      <w:r>
        <w:rPr>
          <w:noProof/>
        </w:rPr>
        <w:t>(for example, Business Council of Australia 2018; Committee for Economic Development of Australia 2018; Halsey 2018; Parker, Dempster &amp; Warburton 2018; Seet et al. 2018)</w:t>
      </w:r>
      <w:r>
        <w:t>. Policies facilitating student choice have been made into a central requirement for reaching the desired state of affairs where all members of society are expected to embark and remain on the journey of continuous self-improvement.</w:t>
      </w:r>
    </w:p>
    <w:p w:rsidR="00115EE2" w:rsidRDefault="00115EE2" w:rsidP="006821A7">
      <w:r>
        <w:t xml:space="preserve">The confluence of national competition policy and New Public Management principles </w:t>
      </w:r>
      <w:r>
        <w:rPr>
          <w:noProof/>
        </w:rPr>
        <w:t>(Hill &amp; Hupe 2002, pp. 110-1)</w:t>
      </w:r>
      <w:r>
        <w:t xml:space="preserve"> in an attempt to improve quality, increase user choice and reduce costs fitted comfortably with public choice theorists' view the potential benefits of governments managing contracts instead of delivering services </w:t>
      </w:r>
      <w:r>
        <w:rPr>
          <w:noProof/>
        </w:rPr>
        <w:t>(Self 1993)</w:t>
      </w:r>
      <w:r>
        <w:t xml:space="preserve">. As a result, public funding for VET has substantially decreased, partly as a result 'real efficiency improvements' </w:t>
      </w:r>
      <w:r>
        <w:rPr>
          <w:noProof/>
        </w:rPr>
        <w:t>(Noonan 2016, p. 13)</w:t>
      </w:r>
      <w:r>
        <w:t xml:space="preserve"> and a major decline in student enrolments from 2013 </w:t>
      </w:r>
      <w:r>
        <w:rPr>
          <w:noProof/>
        </w:rPr>
        <w:t>(National Centre for Vocational Education Research 2018c, table ten)</w:t>
      </w:r>
      <w:r>
        <w:t>. The intention of reducing TAFE's monopoly of provision has also been achieved with a steady increase in provision of VET by other registered providers as shown in table one indicating the percentage of government-funded students enrolled with different provider types.</w:t>
      </w:r>
    </w:p>
    <w:tbl>
      <w:tblPr>
        <w:tblStyle w:val="LightShading"/>
        <w:tblW w:w="0" w:type="auto"/>
        <w:tblLook w:val="04A0" w:firstRow="1" w:lastRow="0" w:firstColumn="1" w:lastColumn="0" w:noHBand="0" w:noVBand="1"/>
      </w:tblPr>
      <w:tblGrid>
        <w:gridCol w:w="2802"/>
        <w:gridCol w:w="1559"/>
        <w:gridCol w:w="1701"/>
        <w:gridCol w:w="1701"/>
        <w:gridCol w:w="1479"/>
      </w:tblGrid>
      <w:tr w:rsidR="00115EE2" w:rsidTr="002575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115EE2" w:rsidRPr="000616DB" w:rsidRDefault="00115EE2" w:rsidP="00390043">
            <w:pPr>
              <w:jc w:val="center"/>
            </w:pPr>
            <w:r w:rsidRPr="000616DB">
              <w:t>Table one</w:t>
            </w:r>
            <w:r>
              <w:t xml:space="preserve"> (%)</w:t>
            </w:r>
          </w:p>
        </w:tc>
        <w:tc>
          <w:tcPr>
            <w:tcW w:w="1559" w:type="dxa"/>
          </w:tcPr>
          <w:p w:rsidR="00115EE2" w:rsidRPr="000616DB" w:rsidRDefault="00115EE2" w:rsidP="005F7C2C">
            <w:pPr>
              <w:jc w:val="center"/>
              <w:cnfStyle w:val="100000000000" w:firstRow="1" w:lastRow="0" w:firstColumn="0" w:lastColumn="0" w:oddVBand="0" w:evenVBand="0" w:oddHBand="0" w:evenHBand="0" w:firstRowFirstColumn="0" w:firstRowLastColumn="0" w:lastRowFirstColumn="0" w:lastRowLastColumn="0"/>
            </w:pPr>
            <w:r w:rsidRPr="000616DB">
              <w:t>2004</w:t>
            </w:r>
          </w:p>
        </w:tc>
        <w:tc>
          <w:tcPr>
            <w:tcW w:w="1701" w:type="dxa"/>
          </w:tcPr>
          <w:p w:rsidR="00115EE2" w:rsidRPr="000616DB" w:rsidRDefault="00115EE2" w:rsidP="005F7C2C">
            <w:pPr>
              <w:jc w:val="center"/>
              <w:cnfStyle w:val="100000000000" w:firstRow="1" w:lastRow="0" w:firstColumn="0" w:lastColumn="0" w:oddVBand="0" w:evenVBand="0" w:oddHBand="0" w:evenHBand="0" w:firstRowFirstColumn="0" w:firstRowLastColumn="0" w:lastRowFirstColumn="0" w:lastRowLastColumn="0"/>
            </w:pPr>
            <w:r w:rsidRPr="000616DB">
              <w:t>2009</w:t>
            </w:r>
          </w:p>
        </w:tc>
        <w:tc>
          <w:tcPr>
            <w:tcW w:w="1701" w:type="dxa"/>
          </w:tcPr>
          <w:p w:rsidR="00115EE2" w:rsidRPr="000616DB" w:rsidRDefault="00115EE2" w:rsidP="005F7C2C">
            <w:pPr>
              <w:jc w:val="center"/>
              <w:cnfStyle w:val="100000000000" w:firstRow="1" w:lastRow="0" w:firstColumn="0" w:lastColumn="0" w:oddVBand="0" w:evenVBand="0" w:oddHBand="0" w:evenHBand="0" w:firstRowFirstColumn="0" w:firstRowLastColumn="0" w:lastRowFirstColumn="0" w:lastRowLastColumn="0"/>
            </w:pPr>
            <w:r w:rsidRPr="000616DB">
              <w:t>2013</w:t>
            </w:r>
          </w:p>
        </w:tc>
        <w:tc>
          <w:tcPr>
            <w:tcW w:w="1479" w:type="dxa"/>
          </w:tcPr>
          <w:p w:rsidR="00115EE2" w:rsidRPr="000616DB" w:rsidRDefault="00115EE2" w:rsidP="005F7C2C">
            <w:pPr>
              <w:jc w:val="center"/>
              <w:cnfStyle w:val="100000000000" w:firstRow="1" w:lastRow="0" w:firstColumn="0" w:lastColumn="0" w:oddVBand="0" w:evenVBand="0" w:oddHBand="0" w:evenHBand="0" w:firstRowFirstColumn="0" w:firstRowLastColumn="0" w:lastRowFirstColumn="0" w:lastRowLastColumn="0"/>
            </w:pPr>
            <w:r w:rsidRPr="000616DB">
              <w:t>2017</w:t>
            </w:r>
          </w:p>
        </w:tc>
      </w:tr>
      <w:tr w:rsidR="00115EE2" w:rsidTr="00257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115EE2" w:rsidRPr="000616DB" w:rsidRDefault="00115EE2" w:rsidP="006821A7">
            <w:r w:rsidRPr="000616DB">
              <w:t>TAFE and other government providers</w:t>
            </w:r>
          </w:p>
        </w:tc>
        <w:tc>
          <w:tcPr>
            <w:tcW w:w="1559" w:type="dxa"/>
          </w:tcPr>
          <w:p w:rsidR="00115EE2" w:rsidRDefault="00115EE2" w:rsidP="00673E69">
            <w:pPr>
              <w:jc w:val="center"/>
              <w:cnfStyle w:val="000000100000" w:firstRow="0" w:lastRow="0" w:firstColumn="0" w:lastColumn="0" w:oddVBand="0" w:evenVBand="0" w:oddHBand="1" w:evenHBand="0" w:firstRowFirstColumn="0" w:firstRowLastColumn="0" w:lastRowFirstColumn="0" w:lastRowLastColumn="0"/>
            </w:pPr>
            <w:r>
              <w:t>78.8</w:t>
            </w:r>
          </w:p>
        </w:tc>
        <w:tc>
          <w:tcPr>
            <w:tcW w:w="1701" w:type="dxa"/>
          </w:tcPr>
          <w:p w:rsidR="00115EE2" w:rsidRDefault="00115EE2" w:rsidP="00673E69">
            <w:pPr>
              <w:jc w:val="center"/>
              <w:cnfStyle w:val="000000100000" w:firstRow="0" w:lastRow="0" w:firstColumn="0" w:lastColumn="0" w:oddVBand="0" w:evenVBand="0" w:oddHBand="1" w:evenHBand="0" w:firstRowFirstColumn="0" w:firstRowLastColumn="0" w:lastRowFirstColumn="0" w:lastRowLastColumn="0"/>
            </w:pPr>
            <w:r>
              <w:t>76.9</w:t>
            </w:r>
          </w:p>
        </w:tc>
        <w:tc>
          <w:tcPr>
            <w:tcW w:w="1701" w:type="dxa"/>
          </w:tcPr>
          <w:p w:rsidR="00115EE2" w:rsidRDefault="00115EE2" w:rsidP="00673E69">
            <w:pPr>
              <w:jc w:val="center"/>
              <w:cnfStyle w:val="000000100000" w:firstRow="0" w:lastRow="0" w:firstColumn="0" w:lastColumn="0" w:oddVBand="0" w:evenVBand="0" w:oddHBand="1" w:evenHBand="0" w:firstRowFirstColumn="0" w:firstRowLastColumn="0" w:lastRowFirstColumn="0" w:lastRowLastColumn="0"/>
            </w:pPr>
            <w:r>
              <w:t>55.6</w:t>
            </w:r>
          </w:p>
        </w:tc>
        <w:tc>
          <w:tcPr>
            <w:tcW w:w="1479" w:type="dxa"/>
          </w:tcPr>
          <w:p w:rsidR="00115EE2" w:rsidRDefault="00115EE2" w:rsidP="000616DB">
            <w:pPr>
              <w:jc w:val="center"/>
              <w:cnfStyle w:val="000000100000" w:firstRow="0" w:lastRow="0" w:firstColumn="0" w:lastColumn="0" w:oddVBand="0" w:evenVBand="0" w:oddHBand="1" w:evenHBand="0" w:firstRowFirstColumn="0" w:firstRowLastColumn="0" w:lastRowFirstColumn="0" w:lastRowLastColumn="0"/>
            </w:pPr>
            <w:r>
              <w:t>52.3</w:t>
            </w:r>
          </w:p>
        </w:tc>
      </w:tr>
      <w:tr w:rsidR="00115EE2" w:rsidTr="002575D7">
        <w:tc>
          <w:tcPr>
            <w:cnfStyle w:val="001000000000" w:firstRow="0" w:lastRow="0" w:firstColumn="1" w:lastColumn="0" w:oddVBand="0" w:evenVBand="0" w:oddHBand="0" w:evenHBand="0" w:firstRowFirstColumn="0" w:firstRowLastColumn="0" w:lastRowFirstColumn="0" w:lastRowLastColumn="0"/>
            <w:tcW w:w="2802" w:type="dxa"/>
          </w:tcPr>
          <w:p w:rsidR="00115EE2" w:rsidRPr="000616DB" w:rsidRDefault="00115EE2" w:rsidP="006821A7">
            <w:r w:rsidRPr="000616DB">
              <w:lastRenderedPageBreak/>
              <w:t>Community education providers</w:t>
            </w:r>
          </w:p>
        </w:tc>
        <w:tc>
          <w:tcPr>
            <w:tcW w:w="1559" w:type="dxa"/>
          </w:tcPr>
          <w:p w:rsidR="00115EE2" w:rsidRDefault="00115EE2" w:rsidP="00673E69">
            <w:pPr>
              <w:jc w:val="center"/>
              <w:cnfStyle w:val="000000000000" w:firstRow="0" w:lastRow="0" w:firstColumn="0" w:lastColumn="0" w:oddVBand="0" w:evenVBand="0" w:oddHBand="0" w:evenHBand="0" w:firstRowFirstColumn="0" w:firstRowLastColumn="0" w:lastRowFirstColumn="0" w:lastRowLastColumn="0"/>
            </w:pPr>
            <w:r>
              <w:t>10.7</w:t>
            </w:r>
          </w:p>
        </w:tc>
        <w:tc>
          <w:tcPr>
            <w:tcW w:w="1701" w:type="dxa"/>
          </w:tcPr>
          <w:p w:rsidR="00115EE2" w:rsidRDefault="00115EE2" w:rsidP="00673E69">
            <w:pPr>
              <w:jc w:val="center"/>
              <w:cnfStyle w:val="000000000000" w:firstRow="0" w:lastRow="0" w:firstColumn="0" w:lastColumn="0" w:oddVBand="0" w:evenVBand="0" w:oddHBand="0" w:evenHBand="0" w:firstRowFirstColumn="0" w:firstRowLastColumn="0" w:lastRowFirstColumn="0" w:lastRowLastColumn="0"/>
            </w:pPr>
            <w:r>
              <w:t>8.9</w:t>
            </w:r>
          </w:p>
        </w:tc>
        <w:tc>
          <w:tcPr>
            <w:tcW w:w="1701" w:type="dxa"/>
          </w:tcPr>
          <w:p w:rsidR="00115EE2" w:rsidRDefault="00115EE2" w:rsidP="00673E69">
            <w:pPr>
              <w:jc w:val="center"/>
              <w:cnfStyle w:val="000000000000" w:firstRow="0" w:lastRow="0" w:firstColumn="0" w:lastColumn="0" w:oddVBand="0" w:evenVBand="0" w:oddHBand="0" w:evenHBand="0" w:firstRowFirstColumn="0" w:firstRowLastColumn="0" w:lastRowFirstColumn="0" w:lastRowLastColumn="0"/>
            </w:pPr>
            <w:r>
              <w:t>7.3</w:t>
            </w:r>
          </w:p>
        </w:tc>
        <w:tc>
          <w:tcPr>
            <w:tcW w:w="1479" w:type="dxa"/>
          </w:tcPr>
          <w:p w:rsidR="00115EE2" w:rsidRDefault="00115EE2" w:rsidP="000616DB">
            <w:pPr>
              <w:jc w:val="center"/>
              <w:cnfStyle w:val="000000000000" w:firstRow="0" w:lastRow="0" w:firstColumn="0" w:lastColumn="0" w:oddVBand="0" w:evenVBand="0" w:oddHBand="0" w:evenHBand="0" w:firstRowFirstColumn="0" w:firstRowLastColumn="0" w:lastRowFirstColumn="0" w:lastRowLastColumn="0"/>
            </w:pPr>
            <w:r>
              <w:t>5.7</w:t>
            </w:r>
          </w:p>
        </w:tc>
      </w:tr>
      <w:tr w:rsidR="00115EE2" w:rsidTr="00257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115EE2" w:rsidRPr="000616DB" w:rsidRDefault="00115EE2" w:rsidP="006821A7">
            <w:r w:rsidRPr="000616DB">
              <w:t>Other registered providers</w:t>
            </w:r>
          </w:p>
        </w:tc>
        <w:tc>
          <w:tcPr>
            <w:tcW w:w="1559" w:type="dxa"/>
          </w:tcPr>
          <w:p w:rsidR="00115EE2" w:rsidRDefault="00115EE2" w:rsidP="00673E69">
            <w:pPr>
              <w:jc w:val="center"/>
              <w:cnfStyle w:val="000000100000" w:firstRow="0" w:lastRow="0" w:firstColumn="0" w:lastColumn="0" w:oddVBand="0" w:evenVBand="0" w:oddHBand="1" w:evenHBand="0" w:firstRowFirstColumn="0" w:firstRowLastColumn="0" w:lastRowFirstColumn="0" w:lastRowLastColumn="0"/>
            </w:pPr>
            <w:r>
              <w:t>10.1</w:t>
            </w:r>
          </w:p>
        </w:tc>
        <w:tc>
          <w:tcPr>
            <w:tcW w:w="1701" w:type="dxa"/>
          </w:tcPr>
          <w:p w:rsidR="00115EE2" w:rsidRDefault="00115EE2" w:rsidP="00673E69">
            <w:pPr>
              <w:jc w:val="center"/>
              <w:cnfStyle w:val="000000100000" w:firstRow="0" w:lastRow="0" w:firstColumn="0" w:lastColumn="0" w:oddVBand="0" w:evenVBand="0" w:oddHBand="1" w:evenHBand="0" w:firstRowFirstColumn="0" w:firstRowLastColumn="0" w:lastRowFirstColumn="0" w:lastRowLastColumn="0"/>
            </w:pPr>
            <w:r>
              <w:t>13.5</w:t>
            </w:r>
          </w:p>
        </w:tc>
        <w:tc>
          <w:tcPr>
            <w:tcW w:w="1701" w:type="dxa"/>
          </w:tcPr>
          <w:p w:rsidR="00115EE2" w:rsidRDefault="00115EE2" w:rsidP="00673E69">
            <w:pPr>
              <w:jc w:val="center"/>
              <w:cnfStyle w:val="000000100000" w:firstRow="0" w:lastRow="0" w:firstColumn="0" w:lastColumn="0" w:oddVBand="0" w:evenVBand="0" w:oddHBand="1" w:evenHBand="0" w:firstRowFirstColumn="0" w:firstRowLastColumn="0" w:lastRowFirstColumn="0" w:lastRowLastColumn="0"/>
            </w:pPr>
            <w:r>
              <w:t>36.2</w:t>
            </w:r>
          </w:p>
        </w:tc>
        <w:tc>
          <w:tcPr>
            <w:tcW w:w="1479" w:type="dxa"/>
          </w:tcPr>
          <w:p w:rsidR="00115EE2" w:rsidRDefault="00115EE2" w:rsidP="000616DB">
            <w:pPr>
              <w:jc w:val="center"/>
              <w:cnfStyle w:val="000000100000" w:firstRow="0" w:lastRow="0" w:firstColumn="0" w:lastColumn="0" w:oddVBand="0" w:evenVBand="0" w:oddHBand="1" w:evenHBand="0" w:firstRowFirstColumn="0" w:firstRowLastColumn="0" w:lastRowFirstColumn="0" w:lastRowLastColumn="0"/>
            </w:pPr>
            <w:r>
              <w:t>39.9</w:t>
            </w:r>
          </w:p>
        </w:tc>
      </w:tr>
      <w:tr w:rsidR="00115EE2" w:rsidTr="002575D7">
        <w:tc>
          <w:tcPr>
            <w:cnfStyle w:val="001000000000" w:firstRow="0" w:lastRow="0" w:firstColumn="1" w:lastColumn="0" w:oddVBand="0" w:evenVBand="0" w:oddHBand="0" w:evenHBand="0" w:firstRowFirstColumn="0" w:firstRowLastColumn="0" w:lastRowFirstColumn="0" w:lastRowLastColumn="0"/>
            <w:tcW w:w="2802" w:type="dxa"/>
          </w:tcPr>
          <w:p w:rsidR="00115EE2" w:rsidRPr="000616DB" w:rsidRDefault="00115EE2" w:rsidP="006821A7">
            <w:r w:rsidRPr="000616DB">
              <w:t>Source</w:t>
            </w:r>
          </w:p>
        </w:tc>
        <w:tc>
          <w:tcPr>
            <w:tcW w:w="1559" w:type="dxa"/>
          </w:tcPr>
          <w:p w:rsidR="00115EE2" w:rsidRDefault="00115EE2" w:rsidP="00673E69">
            <w:pPr>
              <w:jc w:val="center"/>
              <w:cnfStyle w:val="000000000000" w:firstRow="0" w:lastRow="0" w:firstColumn="0" w:lastColumn="0" w:oddVBand="0" w:evenVBand="0" w:oddHBand="0" w:evenHBand="0" w:firstRowFirstColumn="0" w:firstRowLastColumn="0" w:lastRowFirstColumn="0" w:lastRowLastColumn="0"/>
            </w:pPr>
            <w:r>
              <w:rPr>
                <w:noProof/>
              </w:rPr>
              <w:t>(NCVER 2005, p. 8)</w:t>
            </w:r>
          </w:p>
        </w:tc>
        <w:tc>
          <w:tcPr>
            <w:tcW w:w="1701" w:type="dxa"/>
          </w:tcPr>
          <w:p w:rsidR="00115EE2" w:rsidRDefault="00115EE2" w:rsidP="00673E69">
            <w:pPr>
              <w:jc w:val="center"/>
              <w:cnfStyle w:val="000000000000" w:firstRow="0" w:lastRow="0" w:firstColumn="0" w:lastColumn="0" w:oddVBand="0" w:evenVBand="0" w:oddHBand="0" w:evenHBand="0" w:firstRowFirstColumn="0" w:firstRowLastColumn="0" w:lastRowFirstColumn="0" w:lastRowLastColumn="0"/>
            </w:pPr>
            <w:r>
              <w:rPr>
                <w:noProof/>
              </w:rPr>
              <w:t>(NCVER 2011, p. 15)</w:t>
            </w:r>
          </w:p>
        </w:tc>
        <w:tc>
          <w:tcPr>
            <w:tcW w:w="1701" w:type="dxa"/>
          </w:tcPr>
          <w:p w:rsidR="00115EE2" w:rsidRDefault="00115EE2" w:rsidP="00922F04">
            <w:pPr>
              <w:jc w:val="center"/>
              <w:cnfStyle w:val="000000000000" w:firstRow="0" w:lastRow="0" w:firstColumn="0" w:lastColumn="0" w:oddVBand="0" w:evenVBand="0" w:oddHBand="0" w:evenHBand="0" w:firstRowFirstColumn="0" w:firstRowLastColumn="0" w:lastRowFirstColumn="0" w:lastRowLastColumn="0"/>
            </w:pPr>
            <w:r>
              <w:rPr>
                <w:noProof/>
              </w:rPr>
              <w:t>(NCVER 2014b, p. 17)</w:t>
            </w:r>
          </w:p>
        </w:tc>
        <w:tc>
          <w:tcPr>
            <w:tcW w:w="1479" w:type="dxa"/>
          </w:tcPr>
          <w:p w:rsidR="00115EE2" w:rsidRDefault="00115EE2" w:rsidP="000616DB">
            <w:pPr>
              <w:jc w:val="center"/>
              <w:cnfStyle w:val="000000000000" w:firstRow="0" w:lastRow="0" w:firstColumn="0" w:lastColumn="0" w:oddVBand="0" w:evenVBand="0" w:oddHBand="0" w:evenHBand="0" w:firstRowFirstColumn="0" w:firstRowLastColumn="0" w:lastRowFirstColumn="0" w:lastRowLastColumn="0"/>
            </w:pPr>
            <w:r>
              <w:rPr>
                <w:noProof/>
              </w:rPr>
              <w:t>(NCVER 2018a, p. 5)</w:t>
            </w:r>
          </w:p>
        </w:tc>
      </w:tr>
    </w:tbl>
    <w:p w:rsidR="00115EE2" w:rsidRDefault="00115EE2" w:rsidP="006821A7">
      <w:r>
        <w:t xml:space="preserve">This paper will explore the results of more than two decades of bi-partisan policy consistency </w:t>
      </w:r>
      <w:r>
        <w:rPr>
          <w:noProof/>
        </w:rPr>
        <w:t>(Zoellner 2013, pp. 144-8)</w:t>
      </w:r>
      <w:r>
        <w:t xml:space="preserve"> aimed at increasing the amount of choice available to consumers of marketised VET services as an important mechanism in the encouragement of Australians to increase their commitment to lifelong learning. The introduction of training packages in 1999 allowed VET qualifications to be commoditised in order to facilitate the operations of training markets </w:t>
      </w:r>
      <w:r>
        <w:rPr>
          <w:noProof/>
        </w:rPr>
        <w:t>(Wheelahan 2015, p. 127)</w:t>
      </w:r>
      <w:r>
        <w:t xml:space="preserve">. Pre-training package 1998 will be used as one comparison point for the examination of national data sets on enrolment patterns in these products as well as student characteristics of those enrolled in the national training system. If the implementation of consumer choice in the various state and territory competitive VET marketplaces has facilitated increased commitment to lifelong learning, it should be expected that increased numbers of students are studying in a wider range of occupations with improved access to the more than 4,000 training providers operating in the training market </w:t>
      </w:r>
      <w:r>
        <w:rPr>
          <w:noProof/>
        </w:rPr>
        <w:t>(National Centre for Vocational Education Research 2018b, p. 5)</w:t>
      </w:r>
      <w:r>
        <w:t>.</w:t>
      </w:r>
    </w:p>
    <w:p w:rsidR="00115EE2" w:rsidRPr="00B340DA" w:rsidRDefault="00115EE2" w:rsidP="006821A7">
      <w:pPr>
        <w:rPr>
          <w:b/>
        </w:rPr>
      </w:pPr>
      <w:r w:rsidRPr="00B340DA">
        <w:rPr>
          <w:b/>
        </w:rPr>
        <w:t>Background</w:t>
      </w:r>
      <w:r>
        <w:rPr>
          <w:b/>
        </w:rPr>
        <w:t xml:space="preserve"> and method</w:t>
      </w:r>
    </w:p>
    <w:p w:rsidR="00115EE2" w:rsidRDefault="00115EE2" w:rsidP="006821A7">
      <w:r>
        <w:t xml:space="preserve">ACIL Allen's </w:t>
      </w:r>
      <w:r>
        <w:rPr>
          <w:noProof/>
        </w:rPr>
        <w:t>(2015, p. 10)</w:t>
      </w:r>
      <w:r>
        <w:t xml:space="preserve"> analysis of the initial Victorian experience of implementing the most extensive marketisation of Australian VET proposes that increasing the range of choices through a 'student entitlement to a government-funded qualification at any training provider in a contestable market' guided that state's undertaking which commenced in 2009. The contemporary policy and financial driver of increasingly open, competitive markets at that time was the National Agreement for Skills and Workforce Development </w:t>
      </w:r>
      <w:r>
        <w:rPr>
          <w:noProof/>
        </w:rPr>
        <w:t>(Council of Australian Governments 2008, p. 7)</w:t>
      </w:r>
      <w:r>
        <w:t xml:space="preserve"> which resulted in each state and territory implementing what was commonly referred to as a 'guaranteed' choice of publicly-funded formal qualification while ensuring 'the effective operation of the training market' in return for substantial federal funding. This policy course remained consistent with the Australian National Training Authority's earlier proposition that 'increased choice makes the VET system more responsive to learners, individual firms and industry' </w:t>
      </w:r>
      <w:r>
        <w:rPr>
          <w:noProof/>
        </w:rPr>
        <w:t>(ACIL Allen Consulting 2015, p. 13)</w:t>
      </w:r>
      <w:r>
        <w:t>.</w:t>
      </w:r>
    </w:p>
    <w:p w:rsidR="00115EE2" w:rsidRDefault="00115EE2" w:rsidP="006821A7">
      <w:r>
        <w:t xml:space="preserve">The resulting Victorian Training Guarantee </w:t>
      </w:r>
      <w:r>
        <w:rPr>
          <w:noProof/>
        </w:rPr>
        <w:t>(Department of Innovation 2008, p. 10)</w:t>
      </w:r>
      <w:r>
        <w:t xml:space="preserve"> and its supporting rationales linked VET to labour force productivity growth that would be achieved by 'creating a culture of lifelong skills development'. This major policy position continued the tight connection between access, choice, lifelong learning and VET. The guarantee</w:t>
      </w:r>
    </w:p>
    <w:p w:rsidR="00115EE2" w:rsidRDefault="00115EE2" w:rsidP="005C01E5">
      <w:pPr>
        <w:pStyle w:val="ListParagraph"/>
        <w:numPr>
          <w:ilvl w:val="0"/>
          <w:numId w:val="1"/>
        </w:numPr>
      </w:pPr>
      <w:r>
        <w:t xml:space="preserve">was 'expected to be fully operational for all courses in 2011' </w:t>
      </w:r>
      <w:r>
        <w:rPr>
          <w:noProof/>
        </w:rPr>
        <w:t>(p. 15)</w:t>
      </w:r>
    </w:p>
    <w:p w:rsidR="00115EE2" w:rsidRDefault="00115EE2" w:rsidP="005C01E5">
      <w:pPr>
        <w:pStyle w:val="ListParagraph"/>
        <w:numPr>
          <w:ilvl w:val="0"/>
          <w:numId w:val="1"/>
        </w:numPr>
      </w:pPr>
      <w:r>
        <w:t xml:space="preserve">will provide Victorians 'more choice' from a 'wider range of providers' </w:t>
      </w:r>
      <w:r>
        <w:rPr>
          <w:noProof/>
        </w:rPr>
        <w:t>(p. 23)</w:t>
      </w:r>
    </w:p>
    <w:p w:rsidR="00115EE2" w:rsidRDefault="00115EE2" w:rsidP="005C01E5">
      <w:pPr>
        <w:pStyle w:val="ListParagraph"/>
        <w:numPr>
          <w:ilvl w:val="0"/>
          <w:numId w:val="1"/>
        </w:numPr>
      </w:pPr>
      <w:r>
        <w:t xml:space="preserve">will have 'flexibility in fee charging to allow competition on price' </w:t>
      </w:r>
      <w:r>
        <w:rPr>
          <w:noProof/>
        </w:rPr>
        <w:t>(p. 23)</w:t>
      </w:r>
      <w:r>
        <w:t xml:space="preserve"> and</w:t>
      </w:r>
    </w:p>
    <w:p w:rsidR="00115EE2" w:rsidRDefault="00115EE2" w:rsidP="005C01E5">
      <w:pPr>
        <w:pStyle w:val="ListParagraph"/>
        <w:numPr>
          <w:ilvl w:val="0"/>
          <w:numId w:val="1"/>
        </w:numPr>
      </w:pPr>
      <w:r>
        <w:t xml:space="preserve">ensure 'Victorians living in regional communities will have access to increased choice of training provision within local communities' </w:t>
      </w:r>
      <w:r>
        <w:rPr>
          <w:noProof/>
        </w:rPr>
        <w:t>(Department of Innovation 2008, p. 28)</w:t>
      </w:r>
      <w:r>
        <w:t>.</w:t>
      </w:r>
    </w:p>
    <w:p w:rsidR="00115EE2" w:rsidRDefault="00115EE2" w:rsidP="006821A7">
      <w:r>
        <w:lastRenderedPageBreak/>
        <w:t xml:space="preserve">The South Australian Government </w:t>
      </w:r>
      <w:r>
        <w:rPr>
          <w:noProof/>
        </w:rPr>
        <w:t>(2010)</w:t>
      </w:r>
      <w:r>
        <w:t xml:space="preserve"> followed the Victorian lead with its introduction of the </w:t>
      </w:r>
      <w:r>
        <w:rPr>
          <w:i/>
        </w:rPr>
        <w:t>Skills for All</w:t>
      </w:r>
      <w:r>
        <w:t xml:space="preserve"> policy which contained similar elements:</w:t>
      </w:r>
    </w:p>
    <w:p w:rsidR="00115EE2" w:rsidRDefault="00115EE2" w:rsidP="006E7B6C">
      <w:pPr>
        <w:pStyle w:val="ListParagraph"/>
        <w:numPr>
          <w:ilvl w:val="0"/>
          <w:numId w:val="2"/>
        </w:numPr>
      </w:pPr>
      <w:r>
        <w:t xml:space="preserve">a government-funded training entitlement 'to support everybody, regardless of age' that is demand-driven </w:t>
      </w:r>
      <w:r>
        <w:rPr>
          <w:noProof/>
        </w:rPr>
        <w:t>(p. 20)</w:t>
      </w:r>
    </w:p>
    <w:p w:rsidR="00115EE2" w:rsidRDefault="00115EE2" w:rsidP="006E7B6C">
      <w:pPr>
        <w:pStyle w:val="ListParagraph"/>
        <w:numPr>
          <w:ilvl w:val="0"/>
          <w:numId w:val="2"/>
        </w:numPr>
      </w:pPr>
      <w:r>
        <w:t xml:space="preserve">allowing 'South Australians to choose the training and provider that best suits them' </w:t>
      </w:r>
      <w:r>
        <w:rPr>
          <w:noProof/>
        </w:rPr>
        <w:t>(p. 4)</w:t>
      </w:r>
    </w:p>
    <w:p w:rsidR="00115EE2" w:rsidRPr="006E7B6C" w:rsidRDefault="00115EE2" w:rsidP="006E7B6C">
      <w:pPr>
        <w:pStyle w:val="ListParagraph"/>
        <w:numPr>
          <w:ilvl w:val="0"/>
          <w:numId w:val="2"/>
        </w:numPr>
      </w:pPr>
      <w:r>
        <w:t xml:space="preserve">engaging 'more people in training and retraining' by taking a 'regional approach to the delivery of programs' </w:t>
      </w:r>
      <w:r>
        <w:rPr>
          <w:noProof/>
        </w:rPr>
        <w:t>(p. 28)</w:t>
      </w:r>
      <w:r>
        <w:t>.</w:t>
      </w:r>
    </w:p>
    <w:p w:rsidR="00115EE2" w:rsidRDefault="00115EE2" w:rsidP="006821A7">
      <w:r>
        <w:t xml:space="preserve">Drawing upon the National VET Provider Collection the high-level trend analysis reported in this paper has been undertaken to determine if the promotion of lifelong learning through the introduction of choice in competitive training markets has produced the intended benefits and outcomes. This national data set was introduced in 1994 in order to capture consistent statistics on a variety of aspects of the emerging national training system. The collection was only able to report on government-funded activity </w:t>
      </w:r>
      <w:r>
        <w:rPr>
          <w:noProof/>
        </w:rPr>
        <w:t>(National Centre for Vocational Education Research 2018c, overview)</w:t>
      </w:r>
      <w:r>
        <w:t xml:space="preserve"> until the introduction of Total VET Activity reports in 2015 </w:t>
      </w:r>
      <w:r>
        <w:rPr>
          <w:noProof/>
        </w:rPr>
        <w:t>(National Centre for Vocational Education Research 2016)</w:t>
      </w:r>
      <w:r>
        <w:t>. The detailed data extracts that are used in this article are presented in separate documents.</w:t>
      </w:r>
    </w:p>
    <w:p w:rsidR="00115EE2" w:rsidRDefault="00115EE2" w:rsidP="006821A7">
      <w:r>
        <w:t xml:space="preserve">Because of data modifications to improve comparability in the national provider collection, for example, reporting on student numbers instead of units of competency achieved in each training package, 2004 has been chosen as the earliest year for the multi-year comparative analysis of the more detailed student characteristics presented in this paper. This date also corresponds with very high levels of usage of training packages; this is significant because these curriculum replacements facilitate the operations of the VET market by creating a product that can be monetised and establishing a financial price for learning </w:t>
      </w:r>
      <w:r>
        <w:rPr>
          <w:noProof/>
        </w:rPr>
        <w:t>(Wheelahan 2015)</w:t>
      </w:r>
      <w:r>
        <w:t xml:space="preserve">. 2009 has been chosen as the next comparison point because it marks the introduction of the most extensive open VET market yet seen in Australia with the Victorian Training Guarantee </w:t>
      </w:r>
      <w:r>
        <w:rPr>
          <w:noProof/>
        </w:rPr>
        <w:t>(Department of Innovation 2008)</w:t>
      </w:r>
      <w:r>
        <w:t xml:space="preserve"> and the introduction of the VET FEE-HELP market </w:t>
      </w:r>
      <w:r>
        <w:rPr>
          <w:noProof/>
        </w:rPr>
        <w:t>(Department of Education and Training 2016)</w:t>
      </w:r>
      <w:r>
        <w:t xml:space="preserve">. This serves as an early market point in time. </w:t>
      </w:r>
    </w:p>
    <w:p w:rsidR="00115EE2" w:rsidRDefault="00115EE2" w:rsidP="006821A7">
      <w:r>
        <w:t xml:space="preserve">2013 is the next comparison point as the impacts of the Commonwealth Government's removal of subsidies for a large number of apprenticeships and traineeships commenced the steady decline in government-funded students that continues currently </w:t>
      </w:r>
      <w:r>
        <w:rPr>
          <w:noProof/>
        </w:rPr>
        <w:t>(National Centre for Vocational Education Research 2014a, p. 18)</w:t>
      </w:r>
      <w:r>
        <w:t xml:space="preserve">. 2013 is also when the demand-driven Victorian reforms had been implemented, the heavily market-driven </w:t>
      </w:r>
      <w:r w:rsidRPr="00244255">
        <w:rPr>
          <w:i/>
        </w:rPr>
        <w:t>Skills for All</w:t>
      </w:r>
      <w:r>
        <w:t xml:space="preserve"> initiative was in full operation </w:t>
      </w:r>
      <w:r>
        <w:rPr>
          <w:noProof/>
        </w:rPr>
        <w:t>(South Australia Government 2010)</w:t>
      </w:r>
      <w:r>
        <w:t xml:space="preserve"> and similar moves towards marketisation through the Certificate III Guarantee program were adopted by the Queensland Government </w:t>
      </w:r>
      <w:r>
        <w:rPr>
          <w:noProof/>
        </w:rPr>
        <w:t>(2013)</w:t>
      </w:r>
      <w:r>
        <w:t>. Finally, 2017 was chosen as a comparison point as it offers the most comprehensive up-to-date data from what might be described as a mature training market for both government-funded training and early trend data on total VET activity (TVA).</w:t>
      </w:r>
    </w:p>
    <w:p w:rsidR="00115EE2" w:rsidRPr="00982409" w:rsidRDefault="00115EE2" w:rsidP="006821A7">
      <w:r>
        <w:rPr>
          <w:b/>
        </w:rPr>
        <w:t>Results</w:t>
      </w:r>
    </w:p>
    <w:p w:rsidR="00115EE2" w:rsidRDefault="00115EE2" w:rsidP="006821A7">
      <w:r>
        <w:t xml:space="preserve">Prior to describing the comparative results some contextual information opens this section by drawing upon national statistics on government-funded training from prior to the </w:t>
      </w:r>
      <w:r>
        <w:lastRenderedPageBreak/>
        <w:t xml:space="preserve">introduction of the original 36 training packages in 1999 </w:t>
      </w:r>
      <w:r>
        <w:rPr>
          <w:noProof/>
        </w:rPr>
        <w:t>(National Centre for Vocational Education Research 2002, p. 10)</w:t>
      </w:r>
      <w:r>
        <w:t xml:space="preserve"> and comparing them to the latest 2017 data from the contemporary national training system's approximately 60 training packages by using historical time series data </w:t>
      </w:r>
      <w:r>
        <w:rPr>
          <w:noProof/>
        </w:rPr>
        <w:t>(National Centre for Vocational Education Research 2018c)</w:t>
      </w:r>
      <w:r>
        <w:t xml:space="preserve">. It is also worth noting that during this period from June 1998 to June 2017, Australia's estimated resident population increased by 132 per cent or </w:t>
      </w:r>
      <w:r w:rsidR="00602C86">
        <w:t>nearly</w:t>
      </w:r>
      <w:r>
        <w:t xml:space="preserve"> 6 million persons </w:t>
      </w:r>
      <w:r>
        <w:rPr>
          <w:noProof/>
        </w:rPr>
        <w:t>(Australian Bureau of Statistics 2018)</w:t>
      </w:r>
      <w:r>
        <w:t>.</w:t>
      </w:r>
    </w:p>
    <w:p w:rsidR="00115EE2" w:rsidRDefault="00115EE2" w:rsidP="006821A7">
      <w:r>
        <w:t xml:space="preserve">Between 1998 and 2017, the total number of government-funded students in VET system fell by 21.6 per cent or 328,000 persons to just under 1.2 million </w:t>
      </w:r>
      <w:r>
        <w:rPr>
          <w:noProof/>
        </w:rPr>
        <w:t>(National Centre for Vocational Education Research 2018c, table one)</w:t>
      </w:r>
      <w:r>
        <w:t xml:space="preserve">, which reflects a 27.2 per cent (516,000 persons) decrease in program enrolments (table eight). TAFE and other government providers lost 54 per cent of their 1.16 million students in 1998, while community education providers demonstrated a relatively greater loss with a 71 per cent drop to 68,200 students in 2017 (table ten). Other registered providers increased by 314 per cent to 475,000 students in the same time period (table ten). The decrease in government funding to the VET sector to below levels allocated in 2005-06 has been well-documented </w:t>
      </w:r>
      <w:r>
        <w:rPr>
          <w:noProof/>
        </w:rPr>
        <w:t>(for example, O'Connell &amp; Torii 2016, p. 3)</w:t>
      </w:r>
      <w:r>
        <w:t>. With population growth providing a one-third larger potential market, it appears that the various state and territory governments' entitlement guarantees have not produced the desired commitment of the Australian population to lifelong learning by accessing the national training system. On the other hand, the introduction of greater range of providers through the creation of a VET market has been accomplished.</w:t>
      </w:r>
    </w:p>
    <w:p w:rsidR="00115EE2" w:rsidRPr="006340E9" w:rsidRDefault="00115EE2" w:rsidP="006821A7">
      <w:pPr>
        <w:rPr>
          <w:i/>
        </w:rPr>
      </w:pPr>
      <w:r w:rsidRPr="006340E9">
        <w:rPr>
          <w:i/>
        </w:rPr>
        <w:t>Training package enrolment patterns</w:t>
      </w:r>
    </w:p>
    <w:p w:rsidR="00115EE2" w:rsidRDefault="00115EE2" w:rsidP="006821A7">
      <w:r>
        <w:t xml:space="preserve">Both South Australia and Victoria introduced 'demand-driven' </w:t>
      </w:r>
      <w:r>
        <w:rPr>
          <w:noProof/>
        </w:rPr>
        <w:t>(p. 23)</w:t>
      </w:r>
      <w:r>
        <w:t xml:space="preserve"> entitlements to a VET qualification that were intended to make the 'training systems more responsive to changing labour market demands through more competitive and user-focused delivery' </w:t>
      </w:r>
      <w:r>
        <w:rPr>
          <w:noProof/>
        </w:rPr>
        <w:t>(Department of Innovation 2008, p. 7)</w:t>
      </w:r>
      <w:r>
        <w:t xml:space="preserve">. It could be expected that an increasing range of training package enrolments would have occurred and that changes in training package student numbers would reflect the predicted technology-induced changes in the labour market. In 2004, 84 per cent of all government-funded students were enrolled in the top 20 training packages by number of students </w:t>
      </w:r>
      <w:r>
        <w:rPr>
          <w:noProof/>
        </w:rPr>
        <w:t>(National Centre for Vocational Education Research 2005, pp. 26-7)</w:t>
      </w:r>
      <w:r>
        <w:t xml:space="preserve"> and this has progressively increased to 92.7 per cent of students in the top 20 training packages in 2017 </w:t>
      </w:r>
      <w:r>
        <w:rPr>
          <w:noProof/>
        </w:rPr>
        <w:t>(National Centre for Vocational Education Research 2018a, p. 17)</w:t>
      </w:r>
      <w:r>
        <w:t xml:space="preserve">. Total VET activity reports an almost identical pattern of concentration of enrolments in 2017 with some 92.1 per cent of students enrolled in the top 20 training packages which, with the exception of Training and Education, are the same as for government-funded students </w:t>
      </w:r>
      <w:r>
        <w:rPr>
          <w:noProof/>
        </w:rPr>
        <w:t>(National Centre for Vocational Education Research 2018b, p. 19)</w:t>
      </w:r>
      <w:r>
        <w:t xml:space="preserve">. </w:t>
      </w:r>
    </w:p>
    <w:p w:rsidR="00115EE2" w:rsidRDefault="00115EE2" w:rsidP="006821A7">
      <w:r>
        <w:t>It appears that the intended expansion of the range of occupations and qualifications that students could choose from has not been achieved; nor is the VET market demonstrating the new occupational groupings in the 21</w:t>
      </w:r>
      <w:r w:rsidRPr="00B33660">
        <w:rPr>
          <w:vertAlign w:val="superscript"/>
        </w:rPr>
        <w:t>st</w:t>
      </w:r>
      <w:r>
        <w:t xml:space="preserve"> century labour market that have been forecast. A common view of the future for workers is that they will need a 'genuine commitment to lifelong learning' because 'jobs of intermediate value are at high risk' of being replaced by technology, therefore requiring retraining to enable workers 'to transition to higher value, more skilled jobs' or moving to the 'low value jobs [that] will continue to be performed' </w:t>
      </w:r>
      <w:r>
        <w:rPr>
          <w:noProof/>
        </w:rPr>
        <w:t>(Committee for Economic Development of Australia 2018, p. 119)</w:t>
      </w:r>
      <w:r>
        <w:t xml:space="preserve">. This is the same outlook </w:t>
      </w:r>
      <w:r>
        <w:lastRenderedPageBreak/>
        <w:t xml:space="preserve">provided by the Australian National Training Authority </w:t>
      </w:r>
      <w:r>
        <w:rPr>
          <w:noProof/>
        </w:rPr>
        <w:t>(2003)</w:t>
      </w:r>
      <w:r>
        <w:t xml:space="preserve"> more than a decade earlier when it was predicting 'a sea change in skills requirements' with 'a clear trend to higher skill occupations' and also evidence of the persistence of a group of low skill occupations'.</w:t>
      </w:r>
    </w:p>
    <w:p w:rsidR="00115EE2" w:rsidRDefault="00115EE2" w:rsidP="006821A7">
      <w:r>
        <w:t xml:space="preserve">The same 15 training packages were in the top 20 by student numbers in each of the years 2004, 2009, 2013 and 2017 </w:t>
      </w:r>
      <w:r>
        <w:rPr>
          <w:noProof/>
        </w:rPr>
        <w:t>(National Centre for Vocational Education Research 2005, pp. 26-7; 2011, p. 13; 2014b, p. 13; 2018a, p. 17)</w:t>
      </w:r>
      <w:r>
        <w:t xml:space="preserve">. Due to name changes and the combining of previously separate training packages (e.g., hairdressing and beauty) there have only been minor variations in the range of qualifications offered by providers in the VET market. In fact, of the top 20 of the 33 training packages that were introduced in 1999 </w:t>
      </w:r>
      <w:r>
        <w:rPr>
          <w:noProof/>
        </w:rPr>
        <w:t>(National Centre for Vocational Education Research 2000, p. 19)</w:t>
      </w:r>
      <w:r>
        <w:t xml:space="preserve"> 17 of them were still in the list in 2017. The Australian meat industry, telecommunications training and workplace assessment (later renamed as training and education) training packages are not in the 2017 list, but have periodically re-appeared in the top 20 in the intervening years. </w:t>
      </w:r>
    </w:p>
    <w:p w:rsidR="00115EE2" w:rsidRDefault="00115EE2" w:rsidP="006821A7">
      <w:r>
        <w:t xml:space="preserve">In further confirmation of a trend of concentrated program delivery of nationally recognised training, and the consequent reduction in employer and student choice, the top six (out of 13 reported) fields of education have enrolled 73 per cent of the total government-funded students in 2004, rising to 80 per cent in 2013 </w:t>
      </w:r>
      <w:r>
        <w:rPr>
          <w:noProof/>
        </w:rPr>
        <w:t>(National Centre for Vocational Education Research 2018c, table ten)</w:t>
      </w:r>
      <w:r>
        <w:t xml:space="preserve">. Students taking out VET FEE-HELP loans are even more densely concentrated as "only six courses account for over half of all loans" </w:t>
      </w:r>
      <w:r>
        <w:rPr>
          <w:noProof/>
        </w:rPr>
        <w:t>(Department of Education and Training 2016, p. 22)</w:t>
      </w:r>
      <w:r>
        <w:t xml:space="preserve">. These results suggest that the anticipated changes in labour market demands for higher and different skills that would provide the rationale for lifelong learning have not eventuated nor has the competitive training market increased choices of career or qualification; arguably student, community and employer choices have been reduced. </w:t>
      </w:r>
    </w:p>
    <w:p w:rsidR="00115EE2" w:rsidRPr="006340E9" w:rsidRDefault="00115EE2" w:rsidP="006821A7">
      <w:pPr>
        <w:rPr>
          <w:i/>
        </w:rPr>
      </w:pPr>
      <w:r w:rsidRPr="006340E9">
        <w:rPr>
          <w:i/>
        </w:rPr>
        <w:t>Geographic enrolment patterns</w:t>
      </w:r>
    </w:p>
    <w:p w:rsidR="00115EE2" w:rsidRDefault="00115EE2" w:rsidP="006821A7">
      <w:r>
        <w:t xml:space="preserve">One of the four objectives of the 2004-2010 national VET strategy was that 'communities and regions will be strengthened economically and socially through learning and employment' achieved by encouraging local planning and innovation to increase 'the capacity of TAFE and other providers and brokers' to 'take advantage of opportunities for growth' </w:t>
      </w:r>
      <w:r>
        <w:rPr>
          <w:noProof/>
        </w:rPr>
        <w:t>(Australian National Training Authority 2003, p. 13)</w:t>
      </w:r>
      <w:r>
        <w:t xml:space="preserve">. Similarly, the crucial market-enabling policy drivers enshrined in the national agreement for skills and workforce development recognised that public providers had an 'important function in servicing the training needs of industry, regions and local communities' while providing 'improved skill and job outcomes for disadvantaged learners and communities' </w:t>
      </w:r>
      <w:r>
        <w:rPr>
          <w:noProof/>
        </w:rPr>
        <w:t>(Council of Australian Governments 2008, p. 6)</w:t>
      </w:r>
      <w:r>
        <w:t xml:space="preserve">. As noted previously, both Victoria and South Australia retained this policy intention with clear commitments intended to ensure that marketised VET delivery would increase both the amounts and choices of training options for regional students and communities in pursuit of lifelong learning. </w:t>
      </w:r>
    </w:p>
    <w:p w:rsidR="00115EE2" w:rsidRDefault="00115EE2" w:rsidP="006821A7">
      <w:r>
        <w:t xml:space="preserve">In order to determine if these policy intentions have been achieved, the national VET provider data collection's reporting on government-funded students' remoteness status has been compared in the four reference years. The five categories are a measure of relative access to services with major cities having the highest levels and very remote the least </w:t>
      </w:r>
      <w:r>
        <w:rPr>
          <w:noProof/>
        </w:rPr>
        <w:t>(Australian Bureau of Statistics 2012)</w:t>
      </w:r>
      <w:r>
        <w:t xml:space="preserve">. The following data analysis of government-funded </w:t>
      </w:r>
      <w:r>
        <w:lastRenderedPageBreak/>
        <w:t>remoteness takes place in the context of a system that contracted by 21.6 per cent from 1998 to 2017 enrolling 328,000 fewer students. Detailed figures are supplied in the separate data tables including market shares for 2009 and 2013 which show similar trends that vary by state and territory.</w:t>
      </w:r>
    </w:p>
    <w:p w:rsidR="00115EE2" w:rsidRDefault="00115EE2" w:rsidP="006821A7">
      <w:r>
        <w:t>Nationally, Table two shows the five zones had the following market shares in 2004 and 2017; data in tables two to five are number of government-funded students (per cent of total government-funded students).</w:t>
      </w:r>
    </w:p>
    <w:tbl>
      <w:tblPr>
        <w:tblStyle w:val="LightShading"/>
        <w:tblW w:w="0" w:type="auto"/>
        <w:tblLook w:val="04A0" w:firstRow="1" w:lastRow="0" w:firstColumn="1" w:lastColumn="0" w:noHBand="0" w:noVBand="1"/>
      </w:tblPr>
      <w:tblGrid>
        <w:gridCol w:w="1809"/>
        <w:gridCol w:w="1843"/>
        <w:gridCol w:w="1701"/>
        <w:gridCol w:w="1985"/>
        <w:gridCol w:w="1904"/>
      </w:tblGrid>
      <w:tr w:rsidR="00115EE2" w:rsidTr="004E5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15EE2" w:rsidRPr="00256EA9" w:rsidRDefault="00115EE2" w:rsidP="00244702">
            <w:pPr>
              <w:jc w:val="center"/>
            </w:pPr>
            <w:r w:rsidRPr="00256EA9">
              <w:t>Table two</w:t>
            </w:r>
          </w:p>
        </w:tc>
        <w:tc>
          <w:tcPr>
            <w:tcW w:w="1843" w:type="dxa"/>
          </w:tcPr>
          <w:p w:rsidR="00115EE2" w:rsidRPr="00256EA9" w:rsidRDefault="00115EE2" w:rsidP="00382ED8">
            <w:pPr>
              <w:jc w:val="center"/>
              <w:cnfStyle w:val="100000000000" w:firstRow="1" w:lastRow="0" w:firstColumn="0" w:lastColumn="0" w:oddVBand="0" w:evenVBand="0" w:oddHBand="0" w:evenHBand="0" w:firstRowFirstColumn="0" w:firstRowLastColumn="0" w:lastRowFirstColumn="0" w:lastRowLastColumn="0"/>
            </w:pPr>
            <w:r w:rsidRPr="00256EA9">
              <w:t>2004</w:t>
            </w:r>
          </w:p>
        </w:tc>
        <w:tc>
          <w:tcPr>
            <w:tcW w:w="1701" w:type="dxa"/>
          </w:tcPr>
          <w:p w:rsidR="00115EE2" w:rsidRPr="00256EA9" w:rsidRDefault="00115EE2" w:rsidP="00382ED8">
            <w:pPr>
              <w:jc w:val="center"/>
              <w:cnfStyle w:val="100000000000" w:firstRow="1" w:lastRow="0" w:firstColumn="0" w:lastColumn="0" w:oddVBand="0" w:evenVBand="0" w:oddHBand="0" w:evenHBand="0" w:firstRowFirstColumn="0" w:firstRowLastColumn="0" w:lastRowFirstColumn="0" w:lastRowLastColumn="0"/>
            </w:pPr>
            <w:r w:rsidRPr="00256EA9">
              <w:t>2017</w:t>
            </w:r>
          </w:p>
        </w:tc>
        <w:tc>
          <w:tcPr>
            <w:tcW w:w="1985" w:type="dxa"/>
          </w:tcPr>
          <w:p w:rsidR="00115EE2" w:rsidRPr="00256EA9" w:rsidRDefault="00115EE2" w:rsidP="00382ED8">
            <w:pPr>
              <w:jc w:val="center"/>
              <w:cnfStyle w:val="100000000000" w:firstRow="1" w:lastRow="0" w:firstColumn="0" w:lastColumn="0" w:oddVBand="0" w:evenVBand="0" w:oddHBand="0" w:evenHBand="0" w:firstRowFirstColumn="0" w:firstRowLastColumn="0" w:lastRowFirstColumn="0" w:lastRowLastColumn="0"/>
            </w:pPr>
            <w:r w:rsidRPr="00256EA9">
              <w:t>Change 2004-17</w:t>
            </w:r>
          </w:p>
        </w:tc>
        <w:tc>
          <w:tcPr>
            <w:tcW w:w="1904" w:type="dxa"/>
          </w:tcPr>
          <w:p w:rsidR="00115EE2" w:rsidRPr="00256EA9" w:rsidRDefault="00115EE2" w:rsidP="00382ED8">
            <w:pPr>
              <w:jc w:val="center"/>
              <w:cnfStyle w:val="100000000000" w:firstRow="1" w:lastRow="0" w:firstColumn="0" w:lastColumn="0" w:oddVBand="0" w:evenVBand="0" w:oddHBand="0" w:evenHBand="0" w:firstRowFirstColumn="0" w:firstRowLastColumn="0" w:lastRowFirstColumn="0" w:lastRowLastColumn="0"/>
            </w:pPr>
            <w:r w:rsidRPr="00256EA9">
              <w:t>Change 2009-17</w:t>
            </w:r>
          </w:p>
        </w:tc>
      </w:tr>
      <w:tr w:rsidR="00115EE2"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15EE2" w:rsidRPr="00256EA9" w:rsidRDefault="00115EE2" w:rsidP="006821A7">
            <w:r w:rsidRPr="00256EA9">
              <w:t>Major cities</w:t>
            </w:r>
          </w:p>
        </w:tc>
        <w:tc>
          <w:tcPr>
            <w:tcW w:w="1843" w:type="dxa"/>
          </w:tcPr>
          <w:p w:rsidR="00115EE2" w:rsidRDefault="00115EE2" w:rsidP="00382ED8">
            <w:pPr>
              <w:jc w:val="center"/>
              <w:cnfStyle w:val="000000100000" w:firstRow="0" w:lastRow="0" w:firstColumn="0" w:lastColumn="0" w:oddVBand="0" w:evenVBand="0" w:oddHBand="1" w:evenHBand="0" w:firstRowFirstColumn="0" w:firstRowLastColumn="0" w:lastRowFirstColumn="0" w:lastRowLastColumn="0"/>
            </w:pPr>
            <w:r>
              <w:t>838.8 (52.6%)</w:t>
            </w:r>
          </w:p>
        </w:tc>
        <w:tc>
          <w:tcPr>
            <w:tcW w:w="1701" w:type="dxa"/>
          </w:tcPr>
          <w:p w:rsidR="00115EE2" w:rsidRDefault="00115EE2" w:rsidP="00382ED8">
            <w:pPr>
              <w:jc w:val="center"/>
              <w:cnfStyle w:val="000000100000" w:firstRow="0" w:lastRow="0" w:firstColumn="0" w:lastColumn="0" w:oddVBand="0" w:evenVBand="0" w:oddHBand="1" w:evenHBand="0" w:firstRowFirstColumn="0" w:firstRowLastColumn="0" w:lastRowFirstColumn="0" w:lastRowLastColumn="0"/>
            </w:pPr>
            <w:r>
              <w:t>728.7 (61.2%)</w:t>
            </w:r>
          </w:p>
        </w:tc>
        <w:tc>
          <w:tcPr>
            <w:tcW w:w="1985"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-110.1 (-13.1%)</w:t>
            </w:r>
          </w:p>
        </w:tc>
        <w:tc>
          <w:tcPr>
            <w:tcW w:w="1904" w:type="dxa"/>
          </w:tcPr>
          <w:p w:rsidR="00115EE2" w:rsidRDefault="002C1F7C" w:rsidP="005F4671">
            <w:pPr>
              <w:jc w:val="center"/>
              <w:cnfStyle w:val="000000100000" w:firstRow="0" w:lastRow="0" w:firstColumn="0" w:lastColumn="0" w:oddVBand="0" w:evenVBand="0" w:oddHBand="1" w:evenHBand="0" w:firstRowFirstColumn="0" w:firstRowLastColumn="0" w:lastRowFirstColumn="0" w:lastRowLastColumn="0"/>
            </w:pPr>
            <w:r>
              <w:t>-189.0</w:t>
            </w:r>
            <w:r w:rsidR="00115EE2">
              <w:t xml:space="preserve"> (-20.6%)</w:t>
            </w:r>
          </w:p>
        </w:tc>
      </w:tr>
      <w:tr w:rsidR="00115EE2" w:rsidTr="004E52F1">
        <w:tc>
          <w:tcPr>
            <w:cnfStyle w:val="001000000000" w:firstRow="0" w:lastRow="0" w:firstColumn="1" w:lastColumn="0" w:oddVBand="0" w:evenVBand="0" w:oddHBand="0" w:evenHBand="0" w:firstRowFirstColumn="0" w:firstRowLastColumn="0" w:lastRowFirstColumn="0" w:lastRowLastColumn="0"/>
            <w:tcW w:w="1809" w:type="dxa"/>
          </w:tcPr>
          <w:p w:rsidR="00115EE2" w:rsidRPr="00256EA9" w:rsidRDefault="00115EE2" w:rsidP="006821A7">
            <w:r w:rsidRPr="00256EA9">
              <w:t>Inner regional</w:t>
            </w:r>
          </w:p>
        </w:tc>
        <w:tc>
          <w:tcPr>
            <w:tcW w:w="1843"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350.4 (21.9%)</w:t>
            </w:r>
          </w:p>
        </w:tc>
        <w:tc>
          <w:tcPr>
            <w:tcW w:w="1701"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280.9 (23.6%)</w:t>
            </w:r>
          </w:p>
        </w:tc>
        <w:tc>
          <w:tcPr>
            <w:tcW w:w="1985"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-69.5 (-19.8%)</w:t>
            </w:r>
          </w:p>
        </w:tc>
        <w:tc>
          <w:tcPr>
            <w:tcW w:w="1904" w:type="dxa"/>
          </w:tcPr>
          <w:p w:rsidR="00115EE2" w:rsidRDefault="002C1F7C" w:rsidP="005F4671">
            <w:pPr>
              <w:jc w:val="center"/>
              <w:cnfStyle w:val="000000000000" w:firstRow="0" w:lastRow="0" w:firstColumn="0" w:lastColumn="0" w:oddVBand="0" w:evenVBand="0" w:oddHBand="0" w:evenHBand="0" w:firstRowFirstColumn="0" w:firstRowLastColumn="0" w:lastRowFirstColumn="0" w:lastRowLastColumn="0"/>
            </w:pPr>
            <w:r>
              <w:t>-114.0</w:t>
            </w:r>
            <w:r w:rsidR="00115EE2">
              <w:t xml:space="preserve"> (-28.9%)</w:t>
            </w:r>
          </w:p>
        </w:tc>
      </w:tr>
      <w:tr w:rsidR="00115EE2"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15EE2" w:rsidRPr="00256EA9" w:rsidRDefault="00115EE2" w:rsidP="006821A7">
            <w:r w:rsidRPr="00256EA9">
              <w:t>Outer regional</w:t>
            </w:r>
          </w:p>
        </w:tc>
        <w:tc>
          <w:tcPr>
            <w:tcW w:w="1843"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229.9 (14.4%0</w:t>
            </w:r>
          </w:p>
        </w:tc>
        <w:tc>
          <w:tcPr>
            <w:tcW w:w="1701"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129.9 (10.9%)</w:t>
            </w:r>
          </w:p>
        </w:tc>
        <w:tc>
          <w:tcPr>
            <w:tcW w:w="1985"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-69.7 (-30.3%)</w:t>
            </w:r>
          </w:p>
        </w:tc>
        <w:tc>
          <w:tcPr>
            <w:tcW w:w="1904"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 xml:space="preserve"> </w:t>
            </w:r>
            <w:r w:rsidR="002C1F7C">
              <w:t xml:space="preserve">-120.0 </w:t>
            </w:r>
            <w:r>
              <w:t>(-48.0%)</w:t>
            </w:r>
          </w:p>
        </w:tc>
      </w:tr>
      <w:tr w:rsidR="00115EE2" w:rsidTr="004E52F1">
        <w:tc>
          <w:tcPr>
            <w:cnfStyle w:val="001000000000" w:firstRow="0" w:lastRow="0" w:firstColumn="1" w:lastColumn="0" w:oddVBand="0" w:evenVBand="0" w:oddHBand="0" w:evenHBand="0" w:firstRowFirstColumn="0" w:firstRowLastColumn="0" w:lastRowFirstColumn="0" w:lastRowLastColumn="0"/>
            <w:tcW w:w="1809" w:type="dxa"/>
          </w:tcPr>
          <w:p w:rsidR="00115EE2" w:rsidRPr="00256EA9" w:rsidRDefault="00115EE2" w:rsidP="006821A7">
            <w:r w:rsidRPr="00256EA9">
              <w:t>Remote</w:t>
            </w:r>
          </w:p>
        </w:tc>
        <w:tc>
          <w:tcPr>
            <w:tcW w:w="1843"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39.1 (2.4%)</w:t>
            </w:r>
          </w:p>
        </w:tc>
        <w:tc>
          <w:tcPr>
            <w:tcW w:w="1701"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24.5 (2.1%)</w:t>
            </w:r>
          </w:p>
        </w:tc>
        <w:tc>
          <w:tcPr>
            <w:tcW w:w="1985"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-14.6 (-37.3%)</w:t>
            </w:r>
          </w:p>
        </w:tc>
        <w:tc>
          <w:tcPr>
            <w:tcW w:w="1904" w:type="dxa"/>
          </w:tcPr>
          <w:p w:rsidR="00115EE2" w:rsidRDefault="002C1F7C" w:rsidP="005F4671">
            <w:pPr>
              <w:jc w:val="center"/>
              <w:cnfStyle w:val="000000000000" w:firstRow="0" w:lastRow="0" w:firstColumn="0" w:lastColumn="0" w:oddVBand="0" w:evenVBand="0" w:oddHBand="0" w:evenHBand="0" w:firstRowFirstColumn="0" w:firstRowLastColumn="0" w:lastRowFirstColumn="0" w:lastRowLastColumn="0"/>
            </w:pPr>
            <w:r>
              <w:t>-16.6</w:t>
            </w:r>
            <w:r w:rsidR="00115EE2">
              <w:t xml:space="preserve"> (-40.1%)</w:t>
            </w:r>
          </w:p>
        </w:tc>
      </w:tr>
      <w:tr w:rsidR="00115EE2"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15EE2" w:rsidRPr="00256EA9" w:rsidRDefault="00115EE2" w:rsidP="006821A7">
            <w:r w:rsidRPr="00256EA9">
              <w:t>Very remote</w:t>
            </w:r>
          </w:p>
        </w:tc>
        <w:tc>
          <w:tcPr>
            <w:tcW w:w="1843"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28.0 (1.7%)</w:t>
            </w:r>
          </w:p>
        </w:tc>
        <w:tc>
          <w:tcPr>
            <w:tcW w:w="1701"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16.6 (1.4%)</w:t>
            </w:r>
          </w:p>
        </w:tc>
        <w:tc>
          <w:tcPr>
            <w:tcW w:w="1985"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-11.4 (-40.7%)</w:t>
            </w:r>
          </w:p>
        </w:tc>
        <w:tc>
          <w:tcPr>
            <w:tcW w:w="1904" w:type="dxa"/>
          </w:tcPr>
          <w:p w:rsidR="00115EE2" w:rsidRDefault="002C1F7C" w:rsidP="005F4671">
            <w:pPr>
              <w:jc w:val="center"/>
              <w:cnfStyle w:val="000000100000" w:firstRow="0" w:lastRow="0" w:firstColumn="0" w:lastColumn="0" w:oddVBand="0" w:evenVBand="0" w:oddHBand="1" w:evenHBand="0" w:firstRowFirstColumn="0" w:firstRowLastColumn="0" w:lastRowFirstColumn="0" w:lastRowLastColumn="0"/>
            </w:pPr>
            <w:r>
              <w:t>-18.2</w:t>
            </w:r>
            <w:r w:rsidR="00115EE2">
              <w:t xml:space="preserve"> (-52.3%)</w:t>
            </w:r>
          </w:p>
        </w:tc>
      </w:tr>
    </w:tbl>
    <w:p w:rsidR="00115EE2" w:rsidRDefault="00115EE2" w:rsidP="006821A7">
      <w:r>
        <w:t xml:space="preserve">Not unexpectedly, the metropolitan areas lost the largest absolute number of student enrolments in a shrinking system, but in fact, lost the smallest percentage of persons studying. The further one moves from the major city areas with the best access to services the greater the relative reduction in VET delivery since 2004. The same pattern of change is even more evident in comparing the pre-market introduction of fully contestable VET markets in 2009 with the mature market of 2017, indicating even larger reductions in the market share incurred in non-metropolitan districts. </w:t>
      </w:r>
    </w:p>
    <w:p w:rsidR="00115EE2" w:rsidRDefault="00115EE2" w:rsidP="006821A7">
      <w:r>
        <w:t xml:space="preserve">Due to Australia's federated governance structures, each state and territory has developed idiosyncratic versions of VET policies, delivery mechanisms and markets in response to local conditions and political priorities </w:t>
      </w:r>
      <w:r>
        <w:rPr>
          <w:noProof/>
        </w:rPr>
        <w:t>(Department of Prime Minister and Cabinet 2014)</w:t>
      </w:r>
      <w:r>
        <w:t>. In order to better understand the national data, the three jurisdictions that were the early movers in the creation of more contestable VET markets are examined next to see if there has been a uniform impact on geographical enrolment patterns.</w:t>
      </w:r>
    </w:p>
    <w:p w:rsidR="00115EE2" w:rsidRDefault="00115EE2" w:rsidP="006821A7">
      <w:r>
        <w:t>Victoria (table three) does not have any very remote areas and, given the large numbers of VET students, would be expected to fairly closely resemble the national pattern due to the influence of the size of its contribution to national data sets. The overall national shift of training from regional/remote areas to the city is significantly influenced by changes in that state. In spite of stated intentions to the contrary, remote delivery was reduced by 80 per cent following the introduction of the Victorian Training Guarantee and the regional areas experienced much larger reductions in the availability of government-funded training than experienced in the major cities of Melbourne and Geelong.</w:t>
      </w:r>
    </w:p>
    <w:tbl>
      <w:tblPr>
        <w:tblStyle w:val="LightShading"/>
        <w:tblW w:w="0" w:type="auto"/>
        <w:tblLook w:val="04A0" w:firstRow="1" w:lastRow="0" w:firstColumn="1" w:lastColumn="0" w:noHBand="0" w:noVBand="1"/>
      </w:tblPr>
      <w:tblGrid>
        <w:gridCol w:w="1809"/>
        <w:gridCol w:w="1843"/>
        <w:gridCol w:w="1701"/>
        <w:gridCol w:w="1985"/>
        <w:gridCol w:w="1904"/>
      </w:tblGrid>
      <w:tr w:rsidR="00115EE2" w:rsidRPr="00382ED8" w:rsidTr="004E5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15EE2" w:rsidRPr="00256EA9" w:rsidRDefault="00115EE2" w:rsidP="00244702">
            <w:pPr>
              <w:jc w:val="center"/>
            </w:pPr>
            <w:r w:rsidRPr="00256EA9">
              <w:t>Table three</w:t>
            </w:r>
          </w:p>
        </w:tc>
        <w:tc>
          <w:tcPr>
            <w:tcW w:w="1843" w:type="dxa"/>
          </w:tcPr>
          <w:p w:rsidR="00115EE2" w:rsidRPr="00256EA9" w:rsidRDefault="00115EE2" w:rsidP="005F4671">
            <w:pPr>
              <w:jc w:val="center"/>
              <w:cnfStyle w:val="100000000000" w:firstRow="1" w:lastRow="0" w:firstColumn="0" w:lastColumn="0" w:oddVBand="0" w:evenVBand="0" w:oddHBand="0" w:evenHBand="0" w:firstRowFirstColumn="0" w:firstRowLastColumn="0" w:lastRowFirstColumn="0" w:lastRowLastColumn="0"/>
            </w:pPr>
            <w:r w:rsidRPr="00256EA9">
              <w:t>2004</w:t>
            </w:r>
          </w:p>
        </w:tc>
        <w:tc>
          <w:tcPr>
            <w:tcW w:w="1701" w:type="dxa"/>
          </w:tcPr>
          <w:p w:rsidR="00115EE2" w:rsidRPr="00256EA9" w:rsidRDefault="00115EE2" w:rsidP="005F4671">
            <w:pPr>
              <w:jc w:val="center"/>
              <w:cnfStyle w:val="100000000000" w:firstRow="1" w:lastRow="0" w:firstColumn="0" w:lastColumn="0" w:oddVBand="0" w:evenVBand="0" w:oddHBand="0" w:evenHBand="0" w:firstRowFirstColumn="0" w:firstRowLastColumn="0" w:lastRowFirstColumn="0" w:lastRowLastColumn="0"/>
            </w:pPr>
            <w:r w:rsidRPr="00256EA9">
              <w:t>2017</w:t>
            </w:r>
          </w:p>
        </w:tc>
        <w:tc>
          <w:tcPr>
            <w:tcW w:w="1985" w:type="dxa"/>
          </w:tcPr>
          <w:p w:rsidR="00115EE2" w:rsidRPr="00256EA9" w:rsidRDefault="00115EE2" w:rsidP="005F4671">
            <w:pPr>
              <w:jc w:val="center"/>
              <w:cnfStyle w:val="100000000000" w:firstRow="1" w:lastRow="0" w:firstColumn="0" w:lastColumn="0" w:oddVBand="0" w:evenVBand="0" w:oddHBand="0" w:evenHBand="0" w:firstRowFirstColumn="0" w:firstRowLastColumn="0" w:lastRowFirstColumn="0" w:lastRowLastColumn="0"/>
            </w:pPr>
            <w:r w:rsidRPr="00256EA9">
              <w:t>Change 2004-17</w:t>
            </w:r>
          </w:p>
        </w:tc>
        <w:tc>
          <w:tcPr>
            <w:tcW w:w="1904" w:type="dxa"/>
          </w:tcPr>
          <w:p w:rsidR="00115EE2" w:rsidRPr="00256EA9" w:rsidRDefault="00115EE2" w:rsidP="005F4671">
            <w:pPr>
              <w:jc w:val="center"/>
              <w:cnfStyle w:val="100000000000" w:firstRow="1" w:lastRow="0" w:firstColumn="0" w:lastColumn="0" w:oddVBand="0" w:evenVBand="0" w:oddHBand="0" w:evenHBand="0" w:firstRowFirstColumn="0" w:firstRowLastColumn="0" w:lastRowFirstColumn="0" w:lastRowLastColumn="0"/>
            </w:pPr>
            <w:r w:rsidRPr="00256EA9">
              <w:t>Change 2009-17</w:t>
            </w:r>
          </w:p>
        </w:tc>
      </w:tr>
      <w:tr w:rsidR="00115EE2"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15EE2" w:rsidRPr="00256EA9" w:rsidRDefault="00115EE2" w:rsidP="005F4671">
            <w:r w:rsidRPr="00256EA9">
              <w:t>Major cities</w:t>
            </w:r>
          </w:p>
        </w:tc>
        <w:tc>
          <w:tcPr>
            <w:tcW w:w="1843" w:type="dxa"/>
          </w:tcPr>
          <w:p w:rsidR="00115EE2" w:rsidRDefault="00115EE2" w:rsidP="00794727">
            <w:pPr>
              <w:jc w:val="center"/>
              <w:cnfStyle w:val="000000100000" w:firstRow="0" w:lastRow="0" w:firstColumn="0" w:lastColumn="0" w:oddVBand="0" w:evenVBand="0" w:oddHBand="1" w:evenHBand="0" w:firstRowFirstColumn="0" w:firstRowLastColumn="0" w:lastRowFirstColumn="0" w:lastRowLastColumn="0"/>
            </w:pPr>
            <w:r>
              <w:t>272.8 (56.7%)</w:t>
            </w:r>
          </w:p>
        </w:tc>
        <w:tc>
          <w:tcPr>
            <w:tcW w:w="1701" w:type="dxa"/>
          </w:tcPr>
          <w:p w:rsidR="00115EE2" w:rsidRDefault="00115EE2" w:rsidP="00794727">
            <w:pPr>
              <w:jc w:val="center"/>
              <w:cnfStyle w:val="000000100000" w:firstRow="0" w:lastRow="0" w:firstColumn="0" w:lastColumn="0" w:oddVBand="0" w:evenVBand="0" w:oddHBand="1" w:evenHBand="0" w:firstRowFirstColumn="0" w:firstRowLastColumn="0" w:lastRowFirstColumn="0" w:lastRowLastColumn="0"/>
            </w:pPr>
            <w:r>
              <w:t>215.1 (68.3%)</w:t>
            </w:r>
          </w:p>
        </w:tc>
        <w:tc>
          <w:tcPr>
            <w:tcW w:w="1985"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-57.7 (-21.2%)</w:t>
            </w:r>
          </w:p>
        </w:tc>
        <w:tc>
          <w:tcPr>
            <w:tcW w:w="1904"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-75.2 (-25.9%)</w:t>
            </w:r>
          </w:p>
        </w:tc>
      </w:tr>
      <w:tr w:rsidR="00115EE2" w:rsidTr="004E52F1">
        <w:tc>
          <w:tcPr>
            <w:cnfStyle w:val="001000000000" w:firstRow="0" w:lastRow="0" w:firstColumn="1" w:lastColumn="0" w:oddVBand="0" w:evenVBand="0" w:oddHBand="0" w:evenHBand="0" w:firstRowFirstColumn="0" w:firstRowLastColumn="0" w:lastRowFirstColumn="0" w:lastRowLastColumn="0"/>
            <w:tcW w:w="1809" w:type="dxa"/>
          </w:tcPr>
          <w:p w:rsidR="00115EE2" w:rsidRPr="00256EA9" w:rsidRDefault="00115EE2" w:rsidP="005F4671">
            <w:r w:rsidRPr="00256EA9">
              <w:t>Inner regional</w:t>
            </w:r>
          </w:p>
        </w:tc>
        <w:tc>
          <w:tcPr>
            <w:tcW w:w="1843"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125.9 (26.2%)</w:t>
            </w:r>
          </w:p>
        </w:tc>
        <w:tc>
          <w:tcPr>
            <w:tcW w:w="1701"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81.9 (26.0%)</w:t>
            </w:r>
          </w:p>
        </w:tc>
        <w:tc>
          <w:tcPr>
            <w:tcW w:w="1985"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-44.0 (-34.9%)</w:t>
            </w:r>
          </w:p>
        </w:tc>
        <w:tc>
          <w:tcPr>
            <w:tcW w:w="1904"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-54.9 (-40.1%)</w:t>
            </w:r>
          </w:p>
        </w:tc>
      </w:tr>
      <w:tr w:rsidR="00115EE2"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15EE2" w:rsidRPr="00256EA9" w:rsidRDefault="00115EE2" w:rsidP="005F4671">
            <w:r w:rsidRPr="00256EA9">
              <w:t>Outer regional</w:t>
            </w:r>
          </w:p>
        </w:tc>
        <w:tc>
          <w:tcPr>
            <w:tcW w:w="1843"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36.6 (7.6%)</w:t>
            </w:r>
          </w:p>
        </w:tc>
        <w:tc>
          <w:tcPr>
            <w:tcW w:w="1701"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15.1 (4.8%)</w:t>
            </w:r>
          </w:p>
        </w:tc>
        <w:tc>
          <w:tcPr>
            <w:tcW w:w="1985"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-21.5 (-58.7%)</w:t>
            </w:r>
          </w:p>
        </w:tc>
        <w:tc>
          <w:tcPr>
            <w:tcW w:w="1904"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 xml:space="preserve"> -23.7 (-61.1%)</w:t>
            </w:r>
          </w:p>
        </w:tc>
      </w:tr>
      <w:tr w:rsidR="00115EE2" w:rsidTr="004E52F1">
        <w:tc>
          <w:tcPr>
            <w:cnfStyle w:val="001000000000" w:firstRow="0" w:lastRow="0" w:firstColumn="1" w:lastColumn="0" w:oddVBand="0" w:evenVBand="0" w:oddHBand="0" w:evenHBand="0" w:firstRowFirstColumn="0" w:firstRowLastColumn="0" w:lastRowFirstColumn="0" w:lastRowLastColumn="0"/>
            <w:tcW w:w="1809" w:type="dxa"/>
          </w:tcPr>
          <w:p w:rsidR="00115EE2" w:rsidRPr="00256EA9" w:rsidRDefault="00115EE2" w:rsidP="005F4671">
            <w:r w:rsidRPr="00256EA9">
              <w:t>Remote</w:t>
            </w:r>
          </w:p>
        </w:tc>
        <w:tc>
          <w:tcPr>
            <w:tcW w:w="1843"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4.7 (1%)</w:t>
            </w:r>
          </w:p>
        </w:tc>
        <w:tc>
          <w:tcPr>
            <w:tcW w:w="1701"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0.4 (0.1%)</w:t>
            </w:r>
          </w:p>
        </w:tc>
        <w:tc>
          <w:tcPr>
            <w:tcW w:w="1985"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-4.3 (-91.5%)</w:t>
            </w:r>
          </w:p>
        </w:tc>
        <w:tc>
          <w:tcPr>
            <w:tcW w:w="1904"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-1.6 (-80.0%)</w:t>
            </w:r>
          </w:p>
        </w:tc>
      </w:tr>
      <w:tr w:rsidR="00115EE2"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15EE2" w:rsidRPr="00256EA9" w:rsidRDefault="00115EE2" w:rsidP="005F4671">
            <w:r w:rsidRPr="00256EA9">
              <w:t>Very remote</w:t>
            </w:r>
          </w:p>
        </w:tc>
        <w:tc>
          <w:tcPr>
            <w:tcW w:w="1843"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p>
        </w:tc>
        <w:tc>
          <w:tcPr>
            <w:tcW w:w="1701"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p>
        </w:tc>
        <w:tc>
          <w:tcPr>
            <w:tcW w:w="1985"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p>
        </w:tc>
        <w:tc>
          <w:tcPr>
            <w:tcW w:w="1904" w:type="dxa"/>
          </w:tcPr>
          <w:p w:rsidR="00115EE2" w:rsidRDefault="00115EE2" w:rsidP="00794727">
            <w:pPr>
              <w:jc w:val="center"/>
              <w:cnfStyle w:val="000000100000" w:firstRow="0" w:lastRow="0" w:firstColumn="0" w:lastColumn="0" w:oddVBand="0" w:evenVBand="0" w:oddHBand="1" w:evenHBand="0" w:firstRowFirstColumn="0" w:firstRowLastColumn="0" w:lastRowFirstColumn="0" w:lastRowLastColumn="0"/>
            </w:pPr>
            <w:r>
              <w:t xml:space="preserve"> </w:t>
            </w:r>
          </w:p>
        </w:tc>
      </w:tr>
    </w:tbl>
    <w:p w:rsidR="00115EE2" w:rsidRDefault="00115EE2" w:rsidP="006821A7">
      <w:r>
        <w:t xml:space="preserve">Queensland (table four) also demonstrates the pattern of reduced training delivery in the far reaches of the state in favour of Brisbane and the Gold Coast. In fact there is little change in VET enrolment market shares in the major cities and inner regional areas compared to outer </w:t>
      </w:r>
      <w:r>
        <w:lastRenderedPageBreak/>
        <w:t>regional/remote/very remote reductions in the order of 50 per cent with absolute numbers dropping in a similar pattern. In this case the overall shrinkage of the training system was achieved by removing training choices from those areas that already had the least access to services.</w:t>
      </w:r>
    </w:p>
    <w:tbl>
      <w:tblPr>
        <w:tblStyle w:val="LightShading"/>
        <w:tblW w:w="0" w:type="auto"/>
        <w:tblLook w:val="04A0" w:firstRow="1" w:lastRow="0" w:firstColumn="1" w:lastColumn="0" w:noHBand="0" w:noVBand="1"/>
      </w:tblPr>
      <w:tblGrid>
        <w:gridCol w:w="1809"/>
        <w:gridCol w:w="1843"/>
        <w:gridCol w:w="1701"/>
        <w:gridCol w:w="1985"/>
        <w:gridCol w:w="1904"/>
      </w:tblGrid>
      <w:tr w:rsidR="00115EE2" w:rsidRPr="00382ED8" w:rsidTr="004E5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15EE2" w:rsidRPr="0080664C" w:rsidRDefault="00115EE2" w:rsidP="00244702">
            <w:pPr>
              <w:jc w:val="center"/>
            </w:pPr>
            <w:r w:rsidRPr="0080664C">
              <w:t>Table four</w:t>
            </w:r>
          </w:p>
        </w:tc>
        <w:tc>
          <w:tcPr>
            <w:tcW w:w="1843" w:type="dxa"/>
          </w:tcPr>
          <w:p w:rsidR="00115EE2" w:rsidRPr="0080664C" w:rsidRDefault="00115EE2" w:rsidP="005F4671">
            <w:pPr>
              <w:jc w:val="center"/>
              <w:cnfStyle w:val="100000000000" w:firstRow="1" w:lastRow="0" w:firstColumn="0" w:lastColumn="0" w:oddVBand="0" w:evenVBand="0" w:oddHBand="0" w:evenHBand="0" w:firstRowFirstColumn="0" w:firstRowLastColumn="0" w:lastRowFirstColumn="0" w:lastRowLastColumn="0"/>
            </w:pPr>
            <w:r w:rsidRPr="0080664C">
              <w:t>2004</w:t>
            </w:r>
          </w:p>
        </w:tc>
        <w:tc>
          <w:tcPr>
            <w:tcW w:w="1701" w:type="dxa"/>
          </w:tcPr>
          <w:p w:rsidR="00115EE2" w:rsidRPr="0080664C" w:rsidRDefault="00115EE2" w:rsidP="005F4671">
            <w:pPr>
              <w:jc w:val="center"/>
              <w:cnfStyle w:val="100000000000" w:firstRow="1" w:lastRow="0" w:firstColumn="0" w:lastColumn="0" w:oddVBand="0" w:evenVBand="0" w:oddHBand="0" w:evenHBand="0" w:firstRowFirstColumn="0" w:firstRowLastColumn="0" w:lastRowFirstColumn="0" w:lastRowLastColumn="0"/>
            </w:pPr>
            <w:r w:rsidRPr="0080664C">
              <w:t>2017</w:t>
            </w:r>
          </w:p>
        </w:tc>
        <w:tc>
          <w:tcPr>
            <w:tcW w:w="1985" w:type="dxa"/>
          </w:tcPr>
          <w:p w:rsidR="00115EE2" w:rsidRPr="0080664C" w:rsidRDefault="00115EE2" w:rsidP="005F4671">
            <w:pPr>
              <w:jc w:val="center"/>
              <w:cnfStyle w:val="100000000000" w:firstRow="1" w:lastRow="0" w:firstColumn="0" w:lastColumn="0" w:oddVBand="0" w:evenVBand="0" w:oddHBand="0" w:evenHBand="0" w:firstRowFirstColumn="0" w:firstRowLastColumn="0" w:lastRowFirstColumn="0" w:lastRowLastColumn="0"/>
            </w:pPr>
            <w:r w:rsidRPr="0080664C">
              <w:t>Change 2004-17</w:t>
            </w:r>
          </w:p>
        </w:tc>
        <w:tc>
          <w:tcPr>
            <w:tcW w:w="1904" w:type="dxa"/>
          </w:tcPr>
          <w:p w:rsidR="00115EE2" w:rsidRPr="0080664C" w:rsidRDefault="00115EE2" w:rsidP="005F4671">
            <w:pPr>
              <w:jc w:val="center"/>
              <w:cnfStyle w:val="100000000000" w:firstRow="1" w:lastRow="0" w:firstColumn="0" w:lastColumn="0" w:oddVBand="0" w:evenVBand="0" w:oddHBand="0" w:evenHBand="0" w:firstRowFirstColumn="0" w:firstRowLastColumn="0" w:lastRowFirstColumn="0" w:lastRowLastColumn="0"/>
            </w:pPr>
            <w:r w:rsidRPr="0080664C">
              <w:t>Change 2009-17</w:t>
            </w:r>
          </w:p>
        </w:tc>
      </w:tr>
      <w:tr w:rsidR="00115EE2"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15EE2" w:rsidRPr="0080664C" w:rsidRDefault="00115EE2" w:rsidP="005F4671">
            <w:r w:rsidRPr="0080664C">
              <w:t>Major cities</w:t>
            </w:r>
          </w:p>
        </w:tc>
        <w:tc>
          <w:tcPr>
            <w:tcW w:w="1843" w:type="dxa"/>
          </w:tcPr>
          <w:p w:rsidR="00115EE2" w:rsidRDefault="00115EE2" w:rsidP="00D3664C">
            <w:pPr>
              <w:jc w:val="center"/>
              <w:cnfStyle w:val="000000100000" w:firstRow="0" w:lastRow="0" w:firstColumn="0" w:lastColumn="0" w:oddVBand="0" w:evenVBand="0" w:oddHBand="1" w:evenHBand="0" w:firstRowFirstColumn="0" w:firstRowLastColumn="0" w:lastRowFirstColumn="0" w:lastRowLastColumn="0"/>
            </w:pPr>
            <w:r>
              <w:t>124.7 (44.7%)</w:t>
            </w:r>
          </w:p>
        </w:tc>
        <w:tc>
          <w:tcPr>
            <w:tcW w:w="1701" w:type="dxa"/>
          </w:tcPr>
          <w:p w:rsidR="00115EE2" w:rsidRDefault="00115EE2" w:rsidP="00D3664C">
            <w:pPr>
              <w:jc w:val="center"/>
              <w:cnfStyle w:val="000000100000" w:firstRow="0" w:lastRow="0" w:firstColumn="0" w:lastColumn="0" w:oddVBand="0" w:evenVBand="0" w:oddHBand="1" w:evenHBand="0" w:firstRowFirstColumn="0" w:firstRowLastColumn="0" w:lastRowFirstColumn="0" w:lastRowLastColumn="0"/>
            </w:pPr>
            <w:r>
              <w:t>124.7 (44.7%)</w:t>
            </w:r>
          </w:p>
        </w:tc>
        <w:tc>
          <w:tcPr>
            <w:tcW w:w="1985"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 xml:space="preserve"> -4.6 (-3.7%)</w:t>
            </w:r>
          </w:p>
        </w:tc>
        <w:tc>
          <w:tcPr>
            <w:tcW w:w="1904"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-0.8 (-0.5%)</w:t>
            </w:r>
          </w:p>
        </w:tc>
      </w:tr>
      <w:tr w:rsidR="00115EE2" w:rsidTr="004E52F1">
        <w:tc>
          <w:tcPr>
            <w:cnfStyle w:val="001000000000" w:firstRow="0" w:lastRow="0" w:firstColumn="1" w:lastColumn="0" w:oddVBand="0" w:evenVBand="0" w:oddHBand="0" w:evenHBand="0" w:firstRowFirstColumn="0" w:firstRowLastColumn="0" w:lastRowFirstColumn="0" w:lastRowLastColumn="0"/>
            <w:tcW w:w="1809" w:type="dxa"/>
          </w:tcPr>
          <w:p w:rsidR="00115EE2" w:rsidRPr="0080664C" w:rsidRDefault="00115EE2" w:rsidP="005F4671">
            <w:r w:rsidRPr="0080664C">
              <w:t>Inner regional</w:t>
            </w:r>
          </w:p>
        </w:tc>
        <w:tc>
          <w:tcPr>
            <w:tcW w:w="1843"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48.4 (17.3%)</w:t>
            </w:r>
          </w:p>
        </w:tc>
        <w:tc>
          <w:tcPr>
            <w:tcW w:w="1701"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48.4 (17.3%)</w:t>
            </w:r>
          </w:p>
        </w:tc>
        <w:tc>
          <w:tcPr>
            <w:tcW w:w="1985"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+0.1 (+0.2%)</w:t>
            </w:r>
          </w:p>
        </w:tc>
        <w:tc>
          <w:tcPr>
            <w:tcW w:w="1904"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-10.6 (-17.9%)</w:t>
            </w:r>
          </w:p>
        </w:tc>
      </w:tr>
      <w:tr w:rsidR="00115EE2"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15EE2" w:rsidRPr="0080664C" w:rsidRDefault="00115EE2" w:rsidP="005F4671">
            <w:r w:rsidRPr="0080664C">
              <w:t>Outer regional</w:t>
            </w:r>
          </w:p>
        </w:tc>
        <w:tc>
          <w:tcPr>
            <w:tcW w:w="1843"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63.7 (22.8%)</w:t>
            </w:r>
          </w:p>
        </w:tc>
        <w:tc>
          <w:tcPr>
            <w:tcW w:w="1701"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63.7 (22.8%)</w:t>
            </w:r>
          </w:p>
        </w:tc>
        <w:tc>
          <w:tcPr>
            <w:tcW w:w="1985"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-30.9 (-48.5%)</w:t>
            </w:r>
          </w:p>
        </w:tc>
        <w:tc>
          <w:tcPr>
            <w:tcW w:w="1904"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-28.2 (-46.2%)</w:t>
            </w:r>
          </w:p>
        </w:tc>
      </w:tr>
      <w:tr w:rsidR="00115EE2" w:rsidTr="004E52F1">
        <w:tc>
          <w:tcPr>
            <w:cnfStyle w:val="001000000000" w:firstRow="0" w:lastRow="0" w:firstColumn="1" w:lastColumn="0" w:oddVBand="0" w:evenVBand="0" w:oddHBand="0" w:evenHBand="0" w:firstRowFirstColumn="0" w:firstRowLastColumn="0" w:lastRowFirstColumn="0" w:lastRowLastColumn="0"/>
            <w:tcW w:w="1809" w:type="dxa"/>
          </w:tcPr>
          <w:p w:rsidR="00115EE2" w:rsidRPr="0080664C" w:rsidRDefault="00115EE2" w:rsidP="005F4671">
            <w:r w:rsidRPr="0080664C">
              <w:t>Remote</w:t>
            </w:r>
          </w:p>
        </w:tc>
        <w:tc>
          <w:tcPr>
            <w:tcW w:w="1843"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12.3 (4.4%)</w:t>
            </w:r>
          </w:p>
        </w:tc>
        <w:tc>
          <w:tcPr>
            <w:tcW w:w="1701"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12.3 (4.4%)</w:t>
            </w:r>
          </w:p>
        </w:tc>
        <w:tc>
          <w:tcPr>
            <w:tcW w:w="1985"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-6.9 (-56.0%)</w:t>
            </w:r>
          </w:p>
        </w:tc>
        <w:tc>
          <w:tcPr>
            <w:tcW w:w="1904"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-5.9 (-52.2%)</w:t>
            </w:r>
          </w:p>
        </w:tc>
      </w:tr>
      <w:tr w:rsidR="00115EE2"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15EE2" w:rsidRPr="0080664C" w:rsidRDefault="00115EE2" w:rsidP="005F4671">
            <w:r w:rsidRPr="0080664C">
              <w:t>Very remote</w:t>
            </w:r>
          </w:p>
        </w:tc>
        <w:tc>
          <w:tcPr>
            <w:tcW w:w="1843"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8.9 (3.3%)</w:t>
            </w:r>
          </w:p>
        </w:tc>
        <w:tc>
          <w:tcPr>
            <w:tcW w:w="1701"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8.9 (3.3%)</w:t>
            </w:r>
          </w:p>
        </w:tc>
        <w:tc>
          <w:tcPr>
            <w:tcW w:w="1985"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-4.3 (-48.3%)</w:t>
            </w:r>
          </w:p>
        </w:tc>
        <w:tc>
          <w:tcPr>
            <w:tcW w:w="1904"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-4.5 (-49.5%)</w:t>
            </w:r>
          </w:p>
        </w:tc>
      </w:tr>
    </w:tbl>
    <w:p w:rsidR="00115EE2" w:rsidRPr="00E63DA5" w:rsidRDefault="00115EE2" w:rsidP="006821A7">
      <w:r>
        <w:t>By way of contrast, South Australia's</w:t>
      </w:r>
      <w:r>
        <w:rPr>
          <w:i/>
        </w:rPr>
        <w:t xml:space="preserve"> Skills for All</w:t>
      </w:r>
      <w:r>
        <w:t xml:space="preserve"> (table five) produced very different remoteness factor outcomes while sharing the national pattern of reduced overall provision of government-funded student enrolments. This was achieved by retaining similar pre- and post-marketisation percentages of training in each of the geographical areas, albeit off a much smaller base than the other two states. It also maintained the already very high concentration of VET delivery in Adelaide.</w:t>
      </w:r>
    </w:p>
    <w:tbl>
      <w:tblPr>
        <w:tblStyle w:val="LightShading"/>
        <w:tblW w:w="0" w:type="auto"/>
        <w:tblLook w:val="04A0" w:firstRow="1" w:lastRow="0" w:firstColumn="1" w:lastColumn="0" w:noHBand="0" w:noVBand="1"/>
      </w:tblPr>
      <w:tblGrid>
        <w:gridCol w:w="1809"/>
        <w:gridCol w:w="1843"/>
        <w:gridCol w:w="1701"/>
        <w:gridCol w:w="1985"/>
        <w:gridCol w:w="1904"/>
      </w:tblGrid>
      <w:tr w:rsidR="00115EE2" w:rsidRPr="00382ED8" w:rsidTr="004E5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15EE2" w:rsidRPr="0080664C" w:rsidRDefault="00115EE2" w:rsidP="00244702">
            <w:pPr>
              <w:jc w:val="center"/>
            </w:pPr>
            <w:r w:rsidRPr="0080664C">
              <w:t>Table five</w:t>
            </w:r>
          </w:p>
        </w:tc>
        <w:tc>
          <w:tcPr>
            <w:tcW w:w="1843" w:type="dxa"/>
          </w:tcPr>
          <w:p w:rsidR="00115EE2" w:rsidRPr="0080664C" w:rsidRDefault="00115EE2" w:rsidP="005F4671">
            <w:pPr>
              <w:jc w:val="center"/>
              <w:cnfStyle w:val="100000000000" w:firstRow="1" w:lastRow="0" w:firstColumn="0" w:lastColumn="0" w:oddVBand="0" w:evenVBand="0" w:oddHBand="0" w:evenHBand="0" w:firstRowFirstColumn="0" w:firstRowLastColumn="0" w:lastRowFirstColumn="0" w:lastRowLastColumn="0"/>
            </w:pPr>
            <w:r w:rsidRPr="0080664C">
              <w:t>2004</w:t>
            </w:r>
          </w:p>
        </w:tc>
        <w:tc>
          <w:tcPr>
            <w:tcW w:w="1701" w:type="dxa"/>
          </w:tcPr>
          <w:p w:rsidR="00115EE2" w:rsidRPr="0080664C" w:rsidRDefault="00115EE2" w:rsidP="005F4671">
            <w:pPr>
              <w:jc w:val="center"/>
              <w:cnfStyle w:val="100000000000" w:firstRow="1" w:lastRow="0" w:firstColumn="0" w:lastColumn="0" w:oddVBand="0" w:evenVBand="0" w:oddHBand="0" w:evenHBand="0" w:firstRowFirstColumn="0" w:firstRowLastColumn="0" w:lastRowFirstColumn="0" w:lastRowLastColumn="0"/>
            </w:pPr>
            <w:r w:rsidRPr="0080664C">
              <w:t>2017</w:t>
            </w:r>
          </w:p>
        </w:tc>
        <w:tc>
          <w:tcPr>
            <w:tcW w:w="1985" w:type="dxa"/>
          </w:tcPr>
          <w:p w:rsidR="00115EE2" w:rsidRPr="0080664C" w:rsidRDefault="00115EE2" w:rsidP="005F4671">
            <w:pPr>
              <w:jc w:val="center"/>
              <w:cnfStyle w:val="100000000000" w:firstRow="1" w:lastRow="0" w:firstColumn="0" w:lastColumn="0" w:oddVBand="0" w:evenVBand="0" w:oddHBand="0" w:evenHBand="0" w:firstRowFirstColumn="0" w:firstRowLastColumn="0" w:lastRowFirstColumn="0" w:lastRowLastColumn="0"/>
            </w:pPr>
            <w:r w:rsidRPr="0080664C">
              <w:t>Change 2004-17</w:t>
            </w:r>
          </w:p>
        </w:tc>
        <w:tc>
          <w:tcPr>
            <w:tcW w:w="1904" w:type="dxa"/>
          </w:tcPr>
          <w:p w:rsidR="00115EE2" w:rsidRPr="0080664C" w:rsidRDefault="00115EE2" w:rsidP="005F4671">
            <w:pPr>
              <w:jc w:val="center"/>
              <w:cnfStyle w:val="100000000000" w:firstRow="1" w:lastRow="0" w:firstColumn="0" w:lastColumn="0" w:oddVBand="0" w:evenVBand="0" w:oddHBand="0" w:evenHBand="0" w:firstRowFirstColumn="0" w:firstRowLastColumn="0" w:lastRowFirstColumn="0" w:lastRowLastColumn="0"/>
            </w:pPr>
            <w:r w:rsidRPr="0080664C">
              <w:t>Change 2009-17</w:t>
            </w:r>
          </w:p>
        </w:tc>
      </w:tr>
      <w:tr w:rsidR="00115EE2"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15EE2" w:rsidRPr="0080664C" w:rsidRDefault="00115EE2" w:rsidP="005F4671">
            <w:r w:rsidRPr="0080664C">
              <w:t>Major cities</w:t>
            </w:r>
          </w:p>
        </w:tc>
        <w:tc>
          <w:tcPr>
            <w:tcW w:w="1843" w:type="dxa"/>
          </w:tcPr>
          <w:p w:rsidR="00115EE2" w:rsidRDefault="00115EE2" w:rsidP="002C5F55">
            <w:pPr>
              <w:jc w:val="center"/>
              <w:cnfStyle w:val="000000100000" w:firstRow="0" w:lastRow="0" w:firstColumn="0" w:lastColumn="0" w:oddVBand="0" w:evenVBand="0" w:oddHBand="1" w:evenHBand="0" w:firstRowFirstColumn="0" w:firstRowLastColumn="0" w:lastRowFirstColumn="0" w:lastRowLastColumn="0"/>
            </w:pPr>
            <w:r>
              <w:t>70.4 (63.2%)</w:t>
            </w:r>
          </w:p>
        </w:tc>
        <w:tc>
          <w:tcPr>
            <w:tcW w:w="1701" w:type="dxa"/>
          </w:tcPr>
          <w:p w:rsidR="00115EE2" w:rsidRDefault="00115EE2" w:rsidP="002C5F55">
            <w:pPr>
              <w:jc w:val="center"/>
              <w:cnfStyle w:val="000000100000" w:firstRow="0" w:lastRow="0" w:firstColumn="0" w:lastColumn="0" w:oddVBand="0" w:evenVBand="0" w:oddHBand="1" w:evenHBand="0" w:firstRowFirstColumn="0" w:firstRowLastColumn="0" w:lastRowFirstColumn="0" w:lastRowLastColumn="0"/>
            </w:pPr>
            <w:r>
              <w:t>39.0 (62%)</w:t>
            </w:r>
          </w:p>
        </w:tc>
        <w:tc>
          <w:tcPr>
            <w:tcW w:w="1985"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-31.4 (-44.6%)</w:t>
            </w:r>
          </w:p>
        </w:tc>
        <w:tc>
          <w:tcPr>
            <w:tcW w:w="1904"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-34.1 (-46.6%)</w:t>
            </w:r>
          </w:p>
        </w:tc>
      </w:tr>
      <w:tr w:rsidR="00115EE2" w:rsidTr="004E52F1">
        <w:tc>
          <w:tcPr>
            <w:cnfStyle w:val="001000000000" w:firstRow="0" w:lastRow="0" w:firstColumn="1" w:lastColumn="0" w:oddVBand="0" w:evenVBand="0" w:oddHBand="0" w:evenHBand="0" w:firstRowFirstColumn="0" w:firstRowLastColumn="0" w:lastRowFirstColumn="0" w:lastRowLastColumn="0"/>
            <w:tcW w:w="1809" w:type="dxa"/>
          </w:tcPr>
          <w:p w:rsidR="00115EE2" w:rsidRPr="0080664C" w:rsidRDefault="00115EE2" w:rsidP="005F4671">
            <w:r w:rsidRPr="0080664C">
              <w:t>Inner regional</w:t>
            </w:r>
          </w:p>
        </w:tc>
        <w:tc>
          <w:tcPr>
            <w:tcW w:w="1843"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17.2 (15.4%)</w:t>
            </w:r>
          </w:p>
        </w:tc>
        <w:tc>
          <w:tcPr>
            <w:tcW w:w="1701"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7.9 (12.6%)</w:t>
            </w:r>
          </w:p>
        </w:tc>
        <w:tc>
          <w:tcPr>
            <w:tcW w:w="1985"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-9.3 (-54.1%)</w:t>
            </w:r>
          </w:p>
        </w:tc>
        <w:tc>
          <w:tcPr>
            <w:tcW w:w="1904"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-9.6 (-54.8%)</w:t>
            </w:r>
          </w:p>
        </w:tc>
      </w:tr>
      <w:tr w:rsidR="00115EE2"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15EE2" w:rsidRPr="0080664C" w:rsidRDefault="00115EE2" w:rsidP="005F4671">
            <w:r w:rsidRPr="0080664C">
              <w:t>Outer regional</w:t>
            </w:r>
          </w:p>
        </w:tc>
        <w:tc>
          <w:tcPr>
            <w:tcW w:w="1843"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11.9 (10.7%)</w:t>
            </w:r>
          </w:p>
        </w:tc>
        <w:tc>
          <w:tcPr>
            <w:tcW w:w="1701"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11.2 (17.7%)</w:t>
            </w:r>
          </w:p>
        </w:tc>
        <w:tc>
          <w:tcPr>
            <w:tcW w:w="1985"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-0.7 (-5.8%)</w:t>
            </w:r>
          </w:p>
        </w:tc>
        <w:tc>
          <w:tcPr>
            <w:tcW w:w="1904"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-6.8 (-37.8%)</w:t>
            </w:r>
          </w:p>
        </w:tc>
      </w:tr>
      <w:tr w:rsidR="00115EE2" w:rsidTr="004E52F1">
        <w:tc>
          <w:tcPr>
            <w:cnfStyle w:val="001000000000" w:firstRow="0" w:lastRow="0" w:firstColumn="1" w:lastColumn="0" w:oddVBand="0" w:evenVBand="0" w:oddHBand="0" w:evenHBand="0" w:firstRowFirstColumn="0" w:firstRowLastColumn="0" w:lastRowFirstColumn="0" w:lastRowLastColumn="0"/>
            <w:tcW w:w="1809" w:type="dxa"/>
          </w:tcPr>
          <w:p w:rsidR="00115EE2" w:rsidRPr="0080664C" w:rsidRDefault="00115EE2" w:rsidP="005F4671">
            <w:r w:rsidRPr="0080664C">
              <w:t>Remote</w:t>
            </w:r>
          </w:p>
        </w:tc>
        <w:tc>
          <w:tcPr>
            <w:tcW w:w="1843"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4.4 (3.9%)</w:t>
            </w:r>
          </w:p>
        </w:tc>
        <w:tc>
          <w:tcPr>
            <w:tcW w:w="1701"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2.9 (4.6%)</w:t>
            </w:r>
          </w:p>
        </w:tc>
        <w:tc>
          <w:tcPr>
            <w:tcW w:w="1985"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-1.5 (-34.1%)</w:t>
            </w:r>
          </w:p>
        </w:tc>
        <w:tc>
          <w:tcPr>
            <w:tcW w:w="1904" w:type="dxa"/>
          </w:tcPr>
          <w:p w:rsidR="00115EE2" w:rsidRDefault="00115EE2" w:rsidP="005F4671">
            <w:pPr>
              <w:jc w:val="center"/>
              <w:cnfStyle w:val="000000000000" w:firstRow="0" w:lastRow="0" w:firstColumn="0" w:lastColumn="0" w:oddVBand="0" w:evenVBand="0" w:oddHBand="0" w:evenHBand="0" w:firstRowFirstColumn="0" w:firstRowLastColumn="0" w:lastRowFirstColumn="0" w:lastRowLastColumn="0"/>
            </w:pPr>
            <w:r>
              <w:t>-3.1 (-51.7%)</w:t>
            </w:r>
          </w:p>
        </w:tc>
      </w:tr>
      <w:tr w:rsidR="00115EE2"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115EE2" w:rsidRPr="0080664C" w:rsidRDefault="00115EE2" w:rsidP="005F4671">
            <w:r w:rsidRPr="0080664C">
              <w:t>Very remote</w:t>
            </w:r>
          </w:p>
        </w:tc>
        <w:tc>
          <w:tcPr>
            <w:tcW w:w="1843"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2.1 (1.8%)</w:t>
            </w:r>
          </w:p>
        </w:tc>
        <w:tc>
          <w:tcPr>
            <w:tcW w:w="1701"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1.5 (2.3%)</w:t>
            </w:r>
          </w:p>
        </w:tc>
        <w:tc>
          <w:tcPr>
            <w:tcW w:w="1985"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-0.6 (-28.6%)</w:t>
            </w:r>
          </w:p>
        </w:tc>
        <w:tc>
          <w:tcPr>
            <w:tcW w:w="1904" w:type="dxa"/>
          </w:tcPr>
          <w:p w:rsidR="00115EE2" w:rsidRDefault="00115EE2" w:rsidP="005F4671">
            <w:pPr>
              <w:jc w:val="center"/>
              <w:cnfStyle w:val="000000100000" w:firstRow="0" w:lastRow="0" w:firstColumn="0" w:lastColumn="0" w:oddVBand="0" w:evenVBand="0" w:oddHBand="1" w:evenHBand="0" w:firstRowFirstColumn="0" w:firstRowLastColumn="0" w:lastRowFirstColumn="0" w:lastRowLastColumn="0"/>
            </w:pPr>
            <w:r>
              <w:t>-0.5 (-25.0%)</w:t>
            </w:r>
          </w:p>
        </w:tc>
      </w:tr>
    </w:tbl>
    <w:p w:rsidR="00115EE2" w:rsidRDefault="00115EE2" w:rsidP="006821A7">
      <w:r>
        <w:t xml:space="preserve">Total VET activity reporting offers a much larger data set of students enrolled in both government- and non-government funded training, although it is more difficult to analyse trends as only three years' worth of information is available. However, if the introduction of contestable training markets increased the range of choices to regional and remote areas, as promised in the various policy statements, it could reasonably be expected that TVA statistics would show a different pattern from the government-funded information given above because they capture private provision data. The 2017 TVA reports indicate that 59.2 per cent of student enrolments were in major cities, 19.0 percent in inner regional areas with the remainder in the other three remoteness categories, Between 2016 and 2017 major cities delivery increased by 1.8 per cent while each of the others progressively dropped a larger amount, with remote down 4.7 per cent and very remote reduced by 5.6 per cent </w:t>
      </w:r>
      <w:r>
        <w:rPr>
          <w:noProof/>
        </w:rPr>
        <w:t>(National Centre for Vocational Education Research 2018b, p. 14)</w:t>
      </w:r>
      <w:r>
        <w:t>. The increased range of non-government providers has resulted in a significantly larger concentration of training in the major cities than that produced by the government-funded distribution of training options.</w:t>
      </w:r>
    </w:p>
    <w:p w:rsidR="00115EE2" w:rsidRPr="00114F58" w:rsidRDefault="00115EE2" w:rsidP="006821A7">
      <w:pPr>
        <w:rPr>
          <w:i/>
        </w:rPr>
      </w:pPr>
      <w:r w:rsidRPr="00114F58">
        <w:rPr>
          <w:i/>
        </w:rPr>
        <w:t>Access and equity</w:t>
      </w:r>
    </w:p>
    <w:p w:rsidR="00115EE2" w:rsidRDefault="00115EE2" w:rsidP="006821A7">
      <w:r>
        <w:t xml:space="preserve">In its analysis of the benefits of the VET reforms, ACIL Allen </w:t>
      </w:r>
      <w:r>
        <w:rPr>
          <w:noProof/>
        </w:rPr>
        <w:t>(2015, p. 30)</w:t>
      </w:r>
      <w:r>
        <w:t xml:space="preserve"> cites the growth rate in the number of Indigenous students in Victoria between 2008 and 2013 as a 'prime example' of increased participation of equity and disadvantaged groups in formal training, while noting that 'since the introduction of the Victorian Training Guarantee, the growth in Indigenous enrolments has not matched the growth of the VET market in Victoria'. This view needs to be placed in context of the national population trends for Indigenous Australians. In spite of the overall government-funded training national market shrinking, from 1998 to 2017 </w:t>
      </w:r>
      <w:r>
        <w:lastRenderedPageBreak/>
        <w:t xml:space="preserve">the number of Indigenous students has nearly doubled from 44,200 to 84,500 </w:t>
      </w:r>
      <w:r>
        <w:rPr>
          <w:noProof/>
        </w:rPr>
        <w:t>(National Centre for Vocational Education Research 2018c, table ten)</w:t>
      </w:r>
      <w:r>
        <w:t xml:space="preserve">. In Victoria, the growth was from 3,900 to 6,400 in the corresponding time period (table ten). </w:t>
      </w:r>
    </w:p>
    <w:p w:rsidR="00115EE2" w:rsidRDefault="00115EE2" w:rsidP="006821A7">
      <w:r>
        <w:t xml:space="preserve">Between the 2006 and 2011 censuses the eastern states and the Australian Capital Territory reported a rapid increase in the number of persons identifying as Indigenous of greater than 20 per cent with this growth having been primarily concentrated in capital cities and inner regional areas, continuing a pattern that commenced in 1981 </w:t>
      </w:r>
      <w:r>
        <w:rPr>
          <w:noProof/>
        </w:rPr>
        <w:t>(Taylor &amp; Bell 2013, pp. 5-7)</w:t>
      </w:r>
      <w:r>
        <w:t xml:space="preserve">. These levels and locations of growth were repeated in the 2016 census with the southeast of the nation (Brisbane to Melbourne) experiencing the highest growth rate of Indigenous people (between 20 and 33 per cent) counted in the census and they are 'increasingly likely to live' in the major cities and inner regional areas </w:t>
      </w:r>
      <w:r>
        <w:rPr>
          <w:noProof/>
        </w:rPr>
        <w:t>(Markham &amp; Biddle 2017, pp. 6-7)</w:t>
      </w:r>
      <w:r>
        <w:t>. It is possible that the reported increase in Indigenous enrolments in Victoria was less to do with the benefits of marketisation and more likely the result of the rapid increase in the Indigenous population. This data also serves as another source that confirms the increasing migration of training from regional/remote areas to the more populated areas.</w:t>
      </w:r>
    </w:p>
    <w:p w:rsidR="00115EE2" w:rsidRDefault="00115EE2" w:rsidP="006821A7">
      <w:r>
        <w:t xml:space="preserve">As described earlier, both the Kangan Review of TAFE and the Harper Review of national competition policy stressed the significance of access and equity considerations in public policy development and implementation. The National VET Provider Collection also reports on the Socio-Economic Indexes for Areas (SEIFA), which produces an Index of Relative Socio-Economic Disadvantage based on the resources of people and households in a locality </w:t>
      </w:r>
      <w:r>
        <w:rPr>
          <w:noProof/>
        </w:rPr>
        <w:t>(National Centre for Vocational Education Research 2018b, p. 24)</w:t>
      </w:r>
      <w:r>
        <w:t>. Based on their residential address VET students are assigned to one of five equally-sized statistical groups, with quintile one representing those who are most disadvantaged through to the most advantaged being in quintile five. As with the other student characteristics discussed in this paper, the detailed data is in a separate document which compares the changes in VET student numbers in the 2009, 2013 and 2017 reference years as 2004 data is not reported.</w:t>
      </w:r>
    </w:p>
    <w:p w:rsidR="00115EE2" w:rsidRDefault="00115EE2" w:rsidP="006821A7">
      <w:r>
        <w:t xml:space="preserve">In line with an overall decrease in the number of government-funded students in the national training system, each of the quintiles has a significant reduction in the absolute numbers of students between 2013 and 2017. However, nationally the reduction of 136,100 students from quintiles one and two was significantly larger than the loss of 91,100 students from quintiles four and five. In other words, more students from the most disadvantaged areas suffered a much greater loss of choice and access to training when compared to the most advantaged. The situation in Victoria, as expected, closely resembles the national results with the most disadvantaged two quintiles losing 80,100 students in the same time period compared to a reduction of 60,600 in the most advantaged two quintiles. Queensland does not follow the national pattern with quintiles four and five dropping by 14,300 students compared to a smaller reduction of 11,600 experienced by the most disadvantaged. South Australia reports the most significant of withdrawal of training from the most disadvantaged two quintiles, with enrolments decreasing by 55,800 compared to only 17,800 lost in quintiles four and five. </w:t>
      </w:r>
    </w:p>
    <w:p w:rsidR="00115EE2" w:rsidRDefault="00115EE2" w:rsidP="006821A7">
      <w:r>
        <w:t>Finally, between 2016 and 2017 Total VET Activity reports</w:t>
      </w:r>
      <w:r w:rsidR="001A04D2">
        <w:t xml:space="preserve"> increased</w:t>
      </w:r>
      <w:r>
        <w:t xml:space="preserve"> training of </w:t>
      </w:r>
      <w:r w:rsidR="001A04D2">
        <w:t>+0.03</w:t>
      </w:r>
      <w:r>
        <w:t xml:space="preserve"> per cent nationally for students in the most disadvantaged two quintiles, compared with an increase of </w:t>
      </w:r>
      <w:r w:rsidR="001A04D2">
        <w:t xml:space="preserve">5.9 </w:t>
      </w:r>
      <w:r>
        <w:t xml:space="preserve">per cent for the two most advantaged </w:t>
      </w:r>
      <w:r>
        <w:rPr>
          <w:noProof/>
        </w:rPr>
        <w:t>(National Centre for Vocational Education Research 2018b, p. 14)</w:t>
      </w:r>
      <w:r>
        <w:t xml:space="preserve">. Because the SEIFA IRSD is based on geographic areas, </w:t>
      </w:r>
      <w:r>
        <w:lastRenderedPageBreak/>
        <w:t>these relative shifts in access and choice of training, from the most disadvantaged to those who are better off socio-economically, is likely to also be reflecting the broader shift of training delivered in regional and remote areas to the major cities.</w:t>
      </w:r>
    </w:p>
    <w:p w:rsidR="00115EE2" w:rsidRDefault="00115EE2" w:rsidP="006821A7">
      <w:r>
        <w:rPr>
          <w:b/>
        </w:rPr>
        <w:t>Discussion</w:t>
      </w:r>
    </w:p>
    <w:p w:rsidR="00115EE2" w:rsidRDefault="00115EE2" w:rsidP="00DF3FD6">
      <w:r>
        <w:t xml:space="preserve">There is a 'significant disparity' in tertiary education attainment between regional, rural and remote areas as compared to the major cities; 'university participation is higher in the cities than in regional and remote areas, the opposite is the case in VET' </w:t>
      </w:r>
      <w:r>
        <w:rPr>
          <w:noProof/>
        </w:rPr>
        <w:t>(Department of Education and Training 2019, p. 5)</w:t>
      </w:r>
      <w:r>
        <w:t xml:space="preserve">. In spite of the repeated specific reassurances that a contestable market in VET would benefit regional areas, the results demonstrate a major failure of policy. A New South Wales Legislative Council </w:t>
      </w:r>
      <w:r>
        <w:rPr>
          <w:noProof/>
        </w:rPr>
        <w:t>(General Purpose Standing Committee No. 6 2015, p. 17)</w:t>
      </w:r>
      <w:r>
        <w:t xml:space="preserve"> inquiry into VET concluded that a contestable training market will benefit all sectors of the vocational education and training sector'; but also described that 'the committee received compelling evidence that the contestable training market under Smart and Skilled is not working for regional, rural and remote communities' </w:t>
      </w:r>
      <w:r>
        <w:rPr>
          <w:noProof/>
        </w:rPr>
        <w:t>(p. 65)</w:t>
      </w:r>
      <w:r>
        <w:t xml:space="preserve">. Students living in major cities have a variety of post-school options including much greater access to higher education, whereas VET is often the only option for those who are regionally based. 'In major cities, around 40 per cent of people have a bachelor degree or higher, compared to 20 per cent in regional areas and less than 17 per cent in remote areas' </w:t>
      </w:r>
      <w:r>
        <w:rPr>
          <w:noProof/>
        </w:rPr>
        <w:t>(Department of Education and Training 2019, p. 5)</w:t>
      </w:r>
      <w:r>
        <w:t>.</w:t>
      </w:r>
    </w:p>
    <w:p w:rsidR="00115EE2" w:rsidRDefault="00115EE2" w:rsidP="00740DE4">
      <w:r>
        <w:t xml:space="preserve">The Halsey Review into regional, rural and remote (RRR) education </w:t>
      </w:r>
      <w:r>
        <w:rPr>
          <w:noProof/>
        </w:rPr>
        <w:t>(2018, p. 54)</w:t>
      </w:r>
      <w:r>
        <w:t xml:space="preserve"> concludes that a general review of the availability of training courses and access to training providers in non-metropolitan areas is required and should 'take into account the numbers and diversity of providers, quality, costs, regulation and effectiveness of contestable markets in RRR locations. He writes </w:t>
      </w:r>
      <w:r>
        <w:rPr>
          <w:noProof/>
        </w:rPr>
        <w:t>(p. 53)</w:t>
      </w:r>
      <w:r>
        <w:t xml:space="preserve">, 'The conclusion I have reached is that nationally, TAFE has to be put back into the regions, closer to people, places and the heartland of much of Australia's productivity'. The reality of the situation is that training providers have retreated to the major cities. For example, in late 2018, Victoria had 1014 registered training organisations headquartered in the state </w:t>
      </w:r>
      <w:r>
        <w:rPr>
          <w:noProof/>
        </w:rPr>
        <w:t>(Training.gov.au 2018)</w:t>
      </w:r>
      <w:r>
        <w:t xml:space="preserve">. Based on their post code, 889 (or 88 per cent) of these Victorian training providers are located in the major city zone which includes Geelong. 110 (10.8 per cent) providers are in the inner regions, 15 (1.5 per cent) in the outer regions and none are located in remote Victoria. The 60 private providers in the inner regional areas account for 55 per cent of all those registered training organisations. Of those providers located in outer regional areas, only five are private providers and they are quite specialised in areas such as shearing, diving or pilot training. Overall of the 777 private for-profit providers located in Victoria only 65 (8.3 per cent) are located outside the major city area. Unless one lives in the metropolitan area, or possibly one of the larger regional cities, the VET market is not offering the choice of provider that became the foundation stone for the marketisation of VET enshrined in public training policy since the early 1990s. </w:t>
      </w:r>
    </w:p>
    <w:p w:rsidR="00115EE2" w:rsidRDefault="00115EE2" w:rsidP="004E52F1">
      <w:r>
        <w:t xml:space="preserve">Likewise, the reduction of training being provided to the most disadvantaged Australians is not achieving the notions of access and equity elaborated in the Kangan Review and used as a rationale for the adherence to national competition policy by the Harper Review. The national pattern of defining student choice was generally reduced to the singular choice of provider in order to enable contestable markets for contracting out of government-funded </w:t>
      </w:r>
      <w:r>
        <w:lastRenderedPageBreak/>
        <w:t xml:space="preserve">training. The analysis argued in this paper demonstrates while choice of provider has materialised in the major cities and some inner regional areas, it has not occurred in the other three geographic areas nor for the most socio-economically disadvantaged. In addition, an equally valid range of other student choices have been reduced or ignored altogether in the marketisation of VET. These include choice of career, occupation, quality, location of training, method of study, price, post-school study options and course of study. It is also noted that 'state and territory governments have reduced their support for higher level VET qualifications' </w:t>
      </w:r>
      <w:r>
        <w:rPr>
          <w:noProof/>
        </w:rPr>
        <w:t>(Department of Education and Training 2016, p. 27)</w:t>
      </w:r>
      <w:r>
        <w:t>, thus further reducing choice and a natural progression through lifelong learning.</w:t>
      </w:r>
    </w:p>
    <w:p w:rsidR="00115EE2" w:rsidRDefault="00115EE2" w:rsidP="006821A7">
      <w:r>
        <w:t xml:space="preserve">The concentration of student enrolments in the top 20 training packages demonstrates the absence of some of these other choices because providers have to make financial considerations of the costs of delivery and for the majority of providers in the contestable market there is the need to make a profit. This reductive pattern is also evident in the study supported by VET FEE-HELP loans, where providers are decreasing face-to-face teaching in favour of online delivery. This is believed to have been driven by cost considerations and where 'only six courses account for over half of all loans' </w:t>
      </w:r>
      <w:r>
        <w:rPr>
          <w:noProof/>
        </w:rPr>
        <w:t>(Department of Education and Training 2016, p. 22)</w:t>
      </w:r>
      <w:r>
        <w:t>.</w:t>
      </w:r>
    </w:p>
    <w:p w:rsidR="00115EE2" w:rsidRDefault="00115EE2" w:rsidP="006821A7">
      <w:r>
        <w:rPr>
          <w:b/>
        </w:rPr>
        <w:t>Conclusion</w:t>
      </w:r>
    </w:p>
    <w:p w:rsidR="00115EE2" w:rsidRPr="0045716A" w:rsidRDefault="00115EE2" w:rsidP="006821A7">
      <w:r>
        <w:t>The results of this trend analysis of student and training package characteristics demonstrate that there are some clear patterns emerging from the decade-old, relatively mature contestable VET markets in each of the Australian states and territories. Since the 1974 Kangan Review of TAFE, vocational education and training public policy considerations has inexorably been linked with access and equity in pursuit of lifelong learning goals. From the mid-1990s the importance of these relationships has been systematically reinforced through the collection of nationally consistent statistics that measure how the national training system provides equitable access to training for students in most age groups.</w:t>
      </w:r>
    </w:p>
    <w:p w:rsidR="00115EE2" w:rsidRDefault="00115EE2" w:rsidP="006821A7">
      <w:r>
        <w:t xml:space="preserve">In spite the large increase in the national population and potential market size, there has been an unambiguous reduction in student numbers in the government-funded portion of the training system since 1998.There has also been a substantial decline in government funding as well. While a causal link between student numbers and the availability of public funding can only be speculated upon, it is clear that various state guarantee or entitlement programs have reduced the total amount of government financial support available for lifelong learning and, as well, there has been an increasing concentration of enrolments in a relatively small number of training packages and qualifications inside them. The policy preoccupation with creating contestable training markets in order to give students increased choice of providers has had significant consequences. The singular focus upon increasing the choice of provider has reduced or removed altogether other choices for communities, employers and students.  Some of the choices that have been impacted include the location of training, mode of study, courses, range of occupations, levels of qualifications and post-school options. </w:t>
      </w:r>
    </w:p>
    <w:p w:rsidR="00115EE2" w:rsidRDefault="00115EE2" w:rsidP="006821A7">
      <w:r>
        <w:t xml:space="preserve">The results presented in this paper demonstrate that equity and access in support of lifelong learning are increasingly dependent upon where one lives and an individual's socio-economic status. In some areas and for some groups choice has been removed completely, </w:t>
      </w:r>
      <w:r>
        <w:lastRenderedPageBreak/>
        <w:t xml:space="preserve">as there are no longer registered training organisations of any sort present in local communities. This phenomenon is not solely linked to relative remoteness factors, as it has also been shown that the lowest socio-economic groups have incurred a disproportionate loss of student numbers engaged in the formal training system. Different state-level policies and programs show that this loss of access and choice is not inevitable. For example, Queensland demonstrated that training could be reduced more heavily for those who are relatively more advantaged. This also demonstrates that policy choices do have consequences and that the current situation has resulted from the deliberate application of both national competition policy and new public management principles that remove governments' direct delivery of services. </w:t>
      </w:r>
    </w:p>
    <w:p w:rsidR="00115EE2" w:rsidRDefault="00115EE2" w:rsidP="006821A7">
      <w:r>
        <w:t>The national training system delivered through an open and competitive training market is producing a smaller number of qualified persons in an increasingly narrow range of occupations. While lifelong learning remains an integral part of policy rhetoric, the reduction of funding, access and equitable choices in a wide range of VET-related areas does not facilitate the permanent commitment to self-improvement and skills development that will enable participation in the labour market as it develops in the future.</w:t>
      </w:r>
    </w:p>
    <w:p w:rsidR="00115EE2" w:rsidRPr="00B340DA" w:rsidRDefault="00115EE2" w:rsidP="006821A7">
      <w:pPr>
        <w:rPr>
          <w:b/>
        </w:rPr>
      </w:pPr>
      <w:r w:rsidRPr="00B340DA">
        <w:rPr>
          <w:b/>
        </w:rPr>
        <w:t>References</w:t>
      </w:r>
    </w:p>
    <w:p w:rsidR="00115EE2" w:rsidRPr="00585CE3" w:rsidRDefault="00115EE2" w:rsidP="00DD005F">
      <w:pPr>
        <w:pStyle w:val="EndNoteBibliography"/>
      </w:pPr>
      <w:r w:rsidRPr="00585CE3">
        <w:t xml:space="preserve">ACIL Allen Consulting 2015, </w:t>
      </w:r>
      <w:r w:rsidRPr="00585CE3">
        <w:rPr>
          <w:i/>
        </w:rPr>
        <w:t>Australia's skills reform journey: the case for VET reform and progress to-date</w:t>
      </w:r>
      <w:r w:rsidRPr="00585CE3">
        <w:t>, ACIL Allen Consulting, Adelaide.</w:t>
      </w:r>
    </w:p>
    <w:p w:rsidR="00115EE2" w:rsidRPr="00585CE3" w:rsidRDefault="00115EE2" w:rsidP="00DD005F">
      <w:pPr>
        <w:pStyle w:val="EndNoteBibliography"/>
      </w:pPr>
      <w:r w:rsidRPr="00585CE3">
        <w:t xml:space="preserve">Australian Bureau of Statistics 2012, </w:t>
      </w:r>
      <w:r w:rsidRPr="00585CE3">
        <w:rPr>
          <w:i/>
        </w:rPr>
        <w:t>1270.0.55.005 Australian Statistical Geography Standard (ASGS): Volume 5 - Remoteness Structure, July 2011</w:t>
      </w:r>
      <w:r w:rsidRPr="00585CE3">
        <w:t>, Australian Government, viewed 15 February 2015, &lt;</w:t>
      </w:r>
      <w:r w:rsidRPr="00115EE2">
        <w:t>http://www.abs.gov.au/websitedbs/D3310114.nsf/home/remoteness+structure</w:t>
      </w:r>
      <w:r w:rsidR="00DD005F">
        <w:t>&gt;.</w:t>
      </w:r>
    </w:p>
    <w:p w:rsidR="00115EE2" w:rsidRPr="00585CE3" w:rsidRDefault="00115EE2" w:rsidP="00DD005F">
      <w:pPr>
        <w:pStyle w:val="EndNoteBibliography"/>
      </w:pPr>
      <w:r w:rsidRPr="00585CE3">
        <w:t xml:space="preserve">—— 2018, </w:t>
      </w:r>
      <w:r w:rsidRPr="00585CE3">
        <w:rPr>
          <w:i/>
        </w:rPr>
        <w:t>3101.0: Australian demographic statistics June 2018</w:t>
      </w:r>
      <w:r w:rsidRPr="00585CE3">
        <w:t>, Australian Bureau of Statistics, Canberra</w:t>
      </w:r>
      <w:r w:rsidR="00DD005F">
        <w:t>.</w:t>
      </w:r>
    </w:p>
    <w:p w:rsidR="00115EE2" w:rsidRPr="00585CE3" w:rsidRDefault="00115EE2" w:rsidP="00DD005F">
      <w:pPr>
        <w:pStyle w:val="EndNoteBibliography"/>
      </w:pPr>
      <w:r w:rsidRPr="00585CE3">
        <w:t xml:space="preserve">Australian Committee on Technical and Further Education 1974, </w:t>
      </w:r>
      <w:r w:rsidRPr="00585CE3">
        <w:rPr>
          <w:i/>
        </w:rPr>
        <w:t xml:space="preserve">TAFE in Australia: report on needs in Technical and Further Education (Kangan Report) </w:t>
      </w:r>
      <w:r w:rsidRPr="00585CE3">
        <w:t>Australian Government Publishing Service, Canberra</w:t>
      </w:r>
      <w:r w:rsidR="00DD005F">
        <w:t>.</w:t>
      </w:r>
    </w:p>
    <w:p w:rsidR="00115EE2" w:rsidRPr="00585CE3" w:rsidRDefault="00115EE2" w:rsidP="00DD005F">
      <w:pPr>
        <w:pStyle w:val="EndNoteBibliography"/>
      </w:pPr>
      <w:r w:rsidRPr="00585CE3">
        <w:t xml:space="preserve">Australian National Training Authority 1994, </w:t>
      </w:r>
      <w:r w:rsidRPr="00585CE3">
        <w:rPr>
          <w:i/>
        </w:rPr>
        <w:t>Towards a skilled Australia: a national strategy for vocational education and training</w:t>
      </w:r>
      <w:r w:rsidRPr="00585CE3">
        <w:t>, Australian National Training Authority, Brisbane</w:t>
      </w:r>
      <w:r w:rsidR="00DD005F">
        <w:t>.</w:t>
      </w:r>
    </w:p>
    <w:p w:rsidR="00115EE2" w:rsidRPr="00585CE3" w:rsidRDefault="00115EE2" w:rsidP="00DD005F">
      <w:pPr>
        <w:pStyle w:val="EndNoteBibliography"/>
      </w:pPr>
      <w:r w:rsidRPr="00585CE3">
        <w:t xml:space="preserve">—— 2003, </w:t>
      </w:r>
      <w:r w:rsidRPr="00585CE3">
        <w:rPr>
          <w:i/>
        </w:rPr>
        <w:t>Shaping our future: Australia's national strategy for vocational education and training 2004-2010</w:t>
      </w:r>
      <w:r w:rsidRPr="00585CE3">
        <w:t>, Australian Nationa</w:t>
      </w:r>
      <w:r w:rsidR="00DD005F">
        <w:t>l Training Authority, Brisbane.</w:t>
      </w:r>
    </w:p>
    <w:p w:rsidR="00115EE2" w:rsidRPr="00585CE3" w:rsidRDefault="00115EE2" w:rsidP="00DD005F">
      <w:pPr>
        <w:pStyle w:val="EndNoteBibliography"/>
      </w:pPr>
      <w:r w:rsidRPr="00585CE3">
        <w:t xml:space="preserve">Business Council of Australia 2018, </w:t>
      </w:r>
      <w:r w:rsidRPr="00585CE3">
        <w:rPr>
          <w:i/>
        </w:rPr>
        <w:t>Future-Proof: Australia’s future post-secondary education and skills system</w:t>
      </w:r>
      <w:r w:rsidRPr="00585CE3">
        <w:t>, Business Council of Australia, Melbourne</w:t>
      </w:r>
      <w:r w:rsidR="00DD005F">
        <w:t>.</w:t>
      </w:r>
    </w:p>
    <w:p w:rsidR="00115EE2" w:rsidRPr="00585CE3" w:rsidRDefault="00115EE2" w:rsidP="00DD005F">
      <w:pPr>
        <w:pStyle w:val="EndNoteBibliography"/>
      </w:pPr>
      <w:r w:rsidRPr="00585CE3">
        <w:t xml:space="preserve">Committee for Economic Development of Australia 2018, </w:t>
      </w:r>
      <w:r w:rsidRPr="00585CE3">
        <w:rPr>
          <w:i/>
        </w:rPr>
        <w:t>Connecting people with progress: securing future economic development</w:t>
      </w:r>
      <w:r w:rsidRPr="00585CE3">
        <w:t>, Committee for Economic Devel</w:t>
      </w:r>
      <w:r w:rsidR="00DD005F">
        <w:t>opment of Australia, Melbourne.</w:t>
      </w:r>
    </w:p>
    <w:p w:rsidR="00115EE2" w:rsidRPr="00585CE3" w:rsidRDefault="00115EE2" w:rsidP="00DD005F">
      <w:pPr>
        <w:pStyle w:val="EndNoteBibliography"/>
      </w:pPr>
      <w:r w:rsidRPr="00585CE3">
        <w:t xml:space="preserve">Council of Australian Governments 2008, </w:t>
      </w:r>
      <w:r w:rsidRPr="00585CE3">
        <w:rPr>
          <w:i/>
        </w:rPr>
        <w:t>National agreement for skills and workforce development</w:t>
      </w:r>
      <w:r w:rsidRPr="00585CE3">
        <w:t>, Commonwealth of Australia, Canberra</w:t>
      </w:r>
      <w:r w:rsidR="00DD005F">
        <w:t>.</w:t>
      </w:r>
    </w:p>
    <w:p w:rsidR="00115EE2" w:rsidRPr="00585CE3" w:rsidRDefault="00115EE2" w:rsidP="00585CE3">
      <w:pPr>
        <w:pStyle w:val="EndNoteBibliography"/>
      </w:pPr>
      <w:r w:rsidRPr="00585CE3">
        <w:t xml:space="preserve">Department of Education and Training 2016, </w:t>
      </w:r>
      <w:r w:rsidRPr="00585CE3">
        <w:rPr>
          <w:i/>
        </w:rPr>
        <w:t>Redesigning VET FEE-HELP: discussion paper</w:t>
      </w:r>
      <w:r w:rsidRPr="00585CE3">
        <w:t>, Australian Government, Canberra.</w:t>
      </w:r>
    </w:p>
    <w:p w:rsidR="00115EE2" w:rsidRPr="00585CE3" w:rsidRDefault="00115EE2" w:rsidP="00585CE3">
      <w:pPr>
        <w:pStyle w:val="EndNoteBibliography"/>
      </w:pPr>
      <w:r w:rsidRPr="00585CE3">
        <w:lastRenderedPageBreak/>
        <w:t xml:space="preserve">—— 2019, </w:t>
      </w:r>
      <w:r w:rsidRPr="00585CE3">
        <w:rPr>
          <w:i/>
        </w:rPr>
        <w:t>National Regional, Rural and Remote Education Strategy Framing Paper</w:t>
      </w:r>
      <w:r w:rsidRPr="00585CE3">
        <w:t>, Australian Government, Canberra.</w:t>
      </w:r>
    </w:p>
    <w:p w:rsidR="00115EE2" w:rsidRPr="00585CE3" w:rsidRDefault="00115EE2" w:rsidP="00DD005F">
      <w:pPr>
        <w:pStyle w:val="EndNoteBibliography"/>
      </w:pPr>
      <w:r w:rsidRPr="00585CE3">
        <w:t xml:space="preserve">Department of Innovation, Industry and Regional Development, 2008, </w:t>
      </w:r>
      <w:r w:rsidRPr="00585CE3">
        <w:rPr>
          <w:i/>
        </w:rPr>
        <w:t>Securing jobs for your future: skills for Victoria</w:t>
      </w:r>
      <w:r w:rsidRPr="00585CE3">
        <w:t>, Victorian Government, Melbourne</w:t>
      </w:r>
      <w:r w:rsidR="00DD005F">
        <w:t>.</w:t>
      </w:r>
    </w:p>
    <w:p w:rsidR="00115EE2" w:rsidRPr="00585CE3" w:rsidRDefault="00115EE2" w:rsidP="00DD005F">
      <w:pPr>
        <w:pStyle w:val="EndNoteBibliography"/>
      </w:pPr>
      <w:r w:rsidRPr="00585CE3">
        <w:t xml:space="preserve">Department of Prime Minister and Cabinet 2014, </w:t>
      </w:r>
      <w:r w:rsidRPr="00585CE3">
        <w:rPr>
          <w:i/>
        </w:rPr>
        <w:t>Reform of federation white paper: roles and responsibilities in education part b: vocational education and training and higher education: issues paper 4</w:t>
      </w:r>
      <w:r w:rsidRPr="00585CE3">
        <w:t>, Australian Government, Canberra</w:t>
      </w:r>
      <w:r w:rsidR="00DD005F">
        <w:t>.</w:t>
      </w:r>
    </w:p>
    <w:p w:rsidR="00115EE2" w:rsidRPr="00585CE3" w:rsidRDefault="00115EE2" w:rsidP="00DD005F">
      <w:pPr>
        <w:pStyle w:val="EndNoteBibliography"/>
      </w:pPr>
      <w:r w:rsidRPr="00585CE3">
        <w:t xml:space="preserve">Deveson, I 1990, </w:t>
      </w:r>
      <w:r w:rsidRPr="00585CE3">
        <w:rPr>
          <w:i/>
        </w:rPr>
        <w:t>Training costs of award restructuring: report of the Training Costs Review Committee: volume one</w:t>
      </w:r>
      <w:r w:rsidRPr="00585CE3">
        <w:t>, Australian Government Publishing Service, Canberra</w:t>
      </w:r>
      <w:r w:rsidR="00DD005F">
        <w:t>.</w:t>
      </w:r>
    </w:p>
    <w:p w:rsidR="00115EE2" w:rsidRPr="00585CE3" w:rsidRDefault="00115EE2" w:rsidP="00DD005F">
      <w:pPr>
        <w:pStyle w:val="EndNoteBibliography"/>
      </w:pPr>
      <w:r w:rsidRPr="00585CE3">
        <w:t xml:space="preserve">General Purpose Standing Committee No. 6 2015, </w:t>
      </w:r>
      <w:r w:rsidRPr="00585CE3">
        <w:rPr>
          <w:i/>
        </w:rPr>
        <w:t>Vocational education and training in New South Wales</w:t>
      </w:r>
      <w:r w:rsidRPr="00585CE3">
        <w:t>, Legislative Council Parliament of New South Wales, Sydney</w:t>
      </w:r>
      <w:r w:rsidR="00DD005F">
        <w:t>.</w:t>
      </w:r>
    </w:p>
    <w:p w:rsidR="00115EE2" w:rsidRPr="00585CE3" w:rsidRDefault="00115EE2" w:rsidP="00DD005F">
      <w:pPr>
        <w:pStyle w:val="EndNoteBibliography"/>
      </w:pPr>
      <w:r w:rsidRPr="00585CE3">
        <w:t xml:space="preserve">Halsey, J 2018, </w:t>
      </w:r>
      <w:r w:rsidRPr="00585CE3">
        <w:rPr>
          <w:i/>
        </w:rPr>
        <w:t>Independent review into regional, rural and remote education</w:t>
      </w:r>
      <w:r w:rsidRPr="00585CE3">
        <w:t>, Australian Government Department of Education and Training, Canberra</w:t>
      </w:r>
      <w:r w:rsidR="00DD005F">
        <w:t>.</w:t>
      </w:r>
    </w:p>
    <w:p w:rsidR="00115EE2" w:rsidRPr="00585CE3" w:rsidRDefault="00115EE2" w:rsidP="00DD005F">
      <w:pPr>
        <w:pStyle w:val="EndNoteBibliography"/>
      </w:pPr>
      <w:r w:rsidRPr="00585CE3">
        <w:t xml:space="preserve">Harper, I, Anderson, P, McCluskey, S &amp; O'Bryan, M 2015, </w:t>
      </w:r>
      <w:r w:rsidRPr="00585CE3">
        <w:rPr>
          <w:i/>
        </w:rPr>
        <w:t>Competition policy review: final report</w:t>
      </w:r>
      <w:r w:rsidRPr="00585CE3">
        <w:t>, Commonwealth of Australia Treasury, Canberra</w:t>
      </w:r>
      <w:r w:rsidR="00DD005F">
        <w:t>.</w:t>
      </w:r>
    </w:p>
    <w:p w:rsidR="00115EE2" w:rsidRPr="00585CE3" w:rsidRDefault="00115EE2" w:rsidP="00DD005F">
      <w:pPr>
        <w:pStyle w:val="EndNoteBibliography"/>
      </w:pPr>
      <w:r w:rsidRPr="00585CE3">
        <w:t xml:space="preserve">Hill, M &amp; Hupe, P 2002, </w:t>
      </w:r>
      <w:r w:rsidRPr="00585CE3">
        <w:rPr>
          <w:i/>
        </w:rPr>
        <w:t>Implementing public policy: governance in theory and practice</w:t>
      </w:r>
      <w:r w:rsidRPr="00585CE3">
        <w:t>, Sage Politics Te</w:t>
      </w:r>
      <w:r w:rsidR="00DD005F">
        <w:t>xts, Sage Publications, London.</w:t>
      </w:r>
    </w:p>
    <w:p w:rsidR="00115EE2" w:rsidRPr="00585CE3" w:rsidRDefault="00115EE2" w:rsidP="00DD005F">
      <w:pPr>
        <w:pStyle w:val="EndNoteBibliography"/>
      </w:pPr>
      <w:r w:rsidRPr="00585CE3">
        <w:t xml:space="preserve">Hilmer, F, Rayner, M &amp; Taperell, G 1993, </w:t>
      </w:r>
      <w:r w:rsidRPr="00585CE3">
        <w:rPr>
          <w:i/>
        </w:rPr>
        <w:t>National Competition Policy</w:t>
      </w:r>
      <w:r w:rsidRPr="00585CE3">
        <w:t>, Australian Government Publishing Service, Canberra</w:t>
      </w:r>
      <w:r w:rsidR="00DD005F">
        <w:t>.</w:t>
      </w:r>
    </w:p>
    <w:p w:rsidR="00115EE2" w:rsidRPr="00585CE3" w:rsidRDefault="00115EE2" w:rsidP="00DD005F">
      <w:pPr>
        <w:pStyle w:val="EndNoteBibliography"/>
      </w:pPr>
      <w:r w:rsidRPr="00585CE3">
        <w:t xml:space="preserve">Keating, M 2004, </w:t>
      </w:r>
      <w:r w:rsidRPr="00585CE3">
        <w:rPr>
          <w:i/>
        </w:rPr>
        <w:t>Who rules?: How government retains control of a privatised economy</w:t>
      </w:r>
      <w:r w:rsidR="00DD005F">
        <w:t>, The Federation Press, Sydney.</w:t>
      </w:r>
    </w:p>
    <w:p w:rsidR="00115EE2" w:rsidRPr="00585CE3" w:rsidRDefault="00115EE2" w:rsidP="00DD005F">
      <w:pPr>
        <w:pStyle w:val="EndNoteBibliography"/>
      </w:pPr>
      <w:r w:rsidRPr="00585CE3">
        <w:t xml:space="preserve">Markham, F &amp; Biddle, N 2017, </w:t>
      </w:r>
      <w:r w:rsidRPr="00585CE3">
        <w:rPr>
          <w:i/>
        </w:rPr>
        <w:t>Indigenous population change in the 2016 census</w:t>
      </w:r>
      <w:r w:rsidRPr="00585CE3">
        <w:t>, Centre for Aboriginal Economic Policy Research Australian</w:t>
      </w:r>
      <w:r w:rsidR="00DD005F">
        <w:t xml:space="preserve"> National University, Canberra.</w:t>
      </w:r>
    </w:p>
    <w:p w:rsidR="00115EE2" w:rsidRPr="00585CE3" w:rsidRDefault="00115EE2" w:rsidP="00DD005F">
      <w:pPr>
        <w:pStyle w:val="EndNoteBibliography"/>
      </w:pPr>
      <w:r w:rsidRPr="00585CE3">
        <w:t xml:space="preserve">National Centre for Vocational Education Research 2000, </w:t>
      </w:r>
      <w:r w:rsidRPr="00585CE3">
        <w:rPr>
          <w:i/>
        </w:rPr>
        <w:t>Australian vocational education and training statistics 1999: in detail</w:t>
      </w:r>
      <w:r w:rsidRPr="00585CE3">
        <w:t>, National Centre for Vocational Education Research, Adelaide</w:t>
      </w:r>
      <w:r w:rsidR="00DD005F">
        <w:t>.</w:t>
      </w:r>
    </w:p>
    <w:p w:rsidR="00115EE2" w:rsidRPr="00585CE3" w:rsidRDefault="00115EE2" w:rsidP="00DD005F">
      <w:pPr>
        <w:pStyle w:val="EndNoteBibliography"/>
      </w:pPr>
      <w:r w:rsidRPr="00585CE3">
        <w:t xml:space="preserve">—— 2002, </w:t>
      </w:r>
      <w:r w:rsidRPr="00585CE3">
        <w:rPr>
          <w:i/>
        </w:rPr>
        <w:t>Vocational education and training in Australia 1991 to 2000: at a glance</w:t>
      </w:r>
      <w:r w:rsidRPr="00585CE3">
        <w:t>, National Centre for Vocational Education Research, Adelaide</w:t>
      </w:r>
      <w:r w:rsidR="00DD005F">
        <w:t>.</w:t>
      </w:r>
    </w:p>
    <w:p w:rsidR="00115EE2" w:rsidRPr="00585CE3" w:rsidRDefault="00115EE2" w:rsidP="00DD005F">
      <w:pPr>
        <w:pStyle w:val="EndNoteBibliography"/>
      </w:pPr>
      <w:r w:rsidRPr="00585CE3">
        <w:t xml:space="preserve">—— 2005, </w:t>
      </w:r>
      <w:r w:rsidRPr="00585CE3">
        <w:rPr>
          <w:i/>
        </w:rPr>
        <w:t>Australian vocational education and training statistics: students and courses 2004: summary statistics</w:t>
      </w:r>
      <w:r w:rsidRPr="00585CE3">
        <w:t>, National Centre for Vocational Education Research, Adelaide</w:t>
      </w:r>
      <w:r w:rsidR="00DD005F">
        <w:t>.</w:t>
      </w:r>
    </w:p>
    <w:p w:rsidR="00115EE2" w:rsidRPr="00585CE3" w:rsidRDefault="00115EE2" w:rsidP="00DD005F">
      <w:pPr>
        <w:pStyle w:val="EndNoteBibliography"/>
      </w:pPr>
      <w:r w:rsidRPr="00585CE3">
        <w:t xml:space="preserve">—— 2011, </w:t>
      </w:r>
      <w:r w:rsidRPr="00585CE3">
        <w:rPr>
          <w:i/>
        </w:rPr>
        <w:t>Australian vocational education and training statistics: students and courses 2010</w:t>
      </w:r>
      <w:r w:rsidRPr="00585CE3">
        <w:t>, National Centre for Vocatio</w:t>
      </w:r>
      <w:r w:rsidR="00DD005F">
        <w:t>nal Education Research, Adelaid.</w:t>
      </w:r>
    </w:p>
    <w:p w:rsidR="00115EE2" w:rsidRPr="00585CE3" w:rsidRDefault="00115EE2" w:rsidP="00DD005F">
      <w:pPr>
        <w:pStyle w:val="EndNoteBibliography"/>
      </w:pPr>
      <w:r w:rsidRPr="00585CE3">
        <w:t xml:space="preserve">—— 2014a, </w:t>
      </w:r>
      <w:r w:rsidRPr="00585CE3">
        <w:rPr>
          <w:i/>
        </w:rPr>
        <w:t>Apprentices and trainees 2013: annual</w:t>
      </w:r>
      <w:r w:rsidRPr="00585CE3">
        <w:t>, National Centre for Vocational Education Research, Adelaide</w:t>
      </w:r>
      <w:r w:rsidR="00DD005F">
        <w:t>.</w:t>
      </w:r>
    </w:p>
    <w:p w:rsidR="00115EE2" w:rsidRPr="00585CE3" w:rsidRDefault="00115EE2" w:rsidP="00DD005F">
      <w:pPr>
        <w:pStyle w:val="EndNoteBibliography"/>
      </w:pPr>
      <w:r w:rsidRPr="00585CE3">
        <w:t xml:space="preserve">—— 2014b, </w:t>
      </w:r>
      <w:r w:rsidRPr="00585CE3">
        <w:rPr>
          <w:i/>
        </w:rPr>
        <w:t xml:space="preserve">Australian vocational education and training statistics: students and courses 2013 </w:t>
      </w:r>
      <w:r w:rsidRPr="00585CE3">
        <w:t>National Centre for Vocational Education Research, Adelaide</w:t>
      </w:r>
      <w:r w:rsidR="00DD005F">
        <w:t>.</w:t>
      </w:r>
    </w:p>
    <w:p w:rsidR="00115EE2" w:rsidRPr="00585CE3" w:rsidRDefault="00115EE2" w:rsidP="00DD005F">
      <w:pPr>
        <w:pStyle w:val="EndNoteBibliography"/>
      </w:pPr>
      <w:r w:rsidRPr="00585CE3">
        <w:t xml:space="preserve">—— 2016, </w:t>
      </w:r>
      <w:r w:rsidRPr="00585CE3">
        <w:rPr>
          <w:i/>
        </w:rPr>
        <w:t>Total VET students and courses 2015</w:t>
      </w:r>
      <w:r w:rsidRPr="00585CE3">
        <w:t>, National Centre for Vocational Education Research, Adelaide</w:t>
      </w:r>
      <w:r w:rsidR="00DD005F">
        <w:t>.</w:t>
      </w:r>
    </w:p>
    <w:p w:rsidR="00115EE2" w:rsidRPr="00585CE3" w:rsidRDefault="00115EE2" w:rsidP="00585CE3">
      <w:pPr>
        <w:pStyle w:val="EndNoteBibliography"/>
      </w:pPr>
      <w:r w:rsidRPr="00585CE3">
        <w:lastRenderedPageBreak/>
        <w:t xml:space="preserve">—— 2018a, </w:t>
      </w:r>
      <w:r w:rsidRPr="00585CE3">
        <w:rPr>
          <w:i/>
        </w:rPr>
        <w:t>Australian vocational education and training statistics: government-funded students and courses 2017</w:t>
      </w:r>
      <w:r w:rsidRPr="00585CE3">
        <w:t>, National Centre for Vocational Education Research, Adelaide.</w:t>
      </w:r>
    </w:p>
    <w:p w:rsidR="00115EE2" w:rsidRPr="00585CE3" w:rsidRDefault="00115EE2" w:rsidP="00DD005F">
      <w:pPr>
        <w:pStyle w:val="EndNoteBibliography"/>
      </w:pPr>
      <w:r w:rsidRPr="00585CE3">
        <w:t xml:space="preserve">—— 2018b, </w:t>
      </w:r>
      <w:r w:rsidRPr="00585CE3">
        <w:rPr>
          <w:i/>
        </w:rPr>
        <w:t>Australian vocational education and training statistics: total VET students and courses 2017</w:t>
      </w:r>
      <w:r w:rsidRPr="00585CE3">
        <w:t>, National Centre for Vocationa</w:t>
      </w:r>
      <w:r w:rsidR="00DD005F">
        <w:t>l Education Research, Adelaide.</w:t>
      </w:r>
    </w:p>
    <w:p w:rsidR="00115EE2" w:rsidRPr="00585CE3" w:rsidRDefault="00115EE2" w:rsidP="00DD005F">
      <w:pPr>
        <w:pStyle w:val="EndNoteBibliography"/>
      </w:pPr>
      <w:r w:rsidRPr="00585CE3">
        <w:t xml:space="preserve">—— 2018c, </w:t>
      </w:r>
      <w:r w:rsidRPr="00585CE3">
        <w:rPr>
          <w:i/>
        </w:rPr>
        <w:t>Historical time series of government-funded vocational education and training in Australia from 1981</w:t>
      </w:r>
      <w:r w:rsidRPr="00585CE3">
        <w:t>, National Centre for Vocationa</w:t>
      </w:r>
      <w:r w:rsidR="00DD005F">
        <w:t>l Education Research, Adelaide.</w:t>
      </w:r>
    </w:p>
    <w:p w:rsidR="00115EE2" w:rsidRPr="00585CE3" w:rsidRDefault="00115EE2" w:rsidP="00DD005F">
      <w:pPr>
        <w:pStyle w:val="EndNoteBibliography"/>
      </w:pPr>
      <w:r w:rsidRPr="00585CE3">
        <w:t xml:space="preserve">Noonan, P 2016, </w:t>
      </w:r>
      <w:r w:rsidRPr="00585CE3">
        <w:rPr>
          <w:i/>
        </w:rPr>
        <w:t>VET funding in Australia: background, trends and future directions</w:t>
      </w:r>
      <w:r w:rsidRPr="00585CE3">
        <w:t>, Mitchell Institute, Melbourne</w:t>
      </w:r>
      <w:r w:rsidR="00DD005F">
        <w:t>.</w:t>
      </w:r>
    </w:p>
    <w:p w:rsidR="00115EE2" w:rsidRPr="00585CE3" w:rsidRDefault="00115EE2" w:rsidP="00DD005F">
      <w:pPr>
        <w:pStyle w:val="EndNoteBibliography"/>
      </w:pPr>
      <w:r w:rsidRPr="00585CE3">
        <w:t xml:space="preserve">O'Connell, M &amp; Torii, K 2016, </w:t>
      </w:r>
      <w:r w:rsidRPr="00585CE3">
        <w:rPr>
          <w:i/>
        </w:rPr>
        <w:t>Expenditure on education and training in Australia 2016</w:t>
      </w:r>
      <w:r w:rsidRPr="00585CE3">
        <w:t>, Mitchell Institute Victoria University, Melbourne</w:t>
      </w:r>
      <w:r w:rsidR="00DD005F">
        <w:t>.</w:t>
      </w:r>
    </w:p>
    <w:p w:rsidR="00115EE2" w:rsidRPr="00585CE3" w:rsidRDefault="00115EE2" w:rsidP="00DD005F">
      <w:pPr>
        <w:pStyle w:val="EndNoteBibliography"/>
      </w:pPr>
      <w:r w:rsidRPr="00585CE3">
        <w:t xml:space="preserve">Parker, S, Dempster, A &amp; Warburton, M 2018, </w:t>
      </w:r>
      <w:r w:rsidRPr="00585CE3">
        <w:rPr>
          <w:i/>
        </w:rPr>
        <w:t>Reimagining tertiary education: from binary system to ecosystem</w:t>
      </w:r>
      <w:r w:rsidR="00DD005F">
        <w:t>, KPMG, Melbourne.</w:t>
      </w:r>
    </w:p>
    <w:p w:rsidR="00115EE2" w:rsidRPr="00585CE3" w:rsidRDefault="00115EE2" w:rsidP="00DD005F">
      <w:pPr>
        <w:pStyle w:val="EndNoteBibliography"/>
      </w:pPr>
      <w:r w:rsidRPr="00585CE3">
        <w:t xml:space="preserve">Productivity Commission 2011, </w:t>
      </w:r>
      <w:r w:rsidRPr="00585CE3">
        <w:rPr>
          <w:i/>
        </w:rPr>
        <w:t>Vocational education and training workforce: Productivity Commission research report</w:t>
      </w:r>
      <w:r w:rsidRPr="00585CE3">
        <w:t>, Australian Government, Canberra</w:t>
      </w:r>
      <w:r w:rsidR="00DD005F">
        <w:t>.</w:t>
      </w:r>
    </w:p>
    <w:p w:rsidR="00115EE2" w:rsidRPr="00585CE3" w:rsidRDefault="00115EE2" w:rsidP="00DD005F">
      <w:pPr>
        <w:pStyle w:val="EndNoteBibliography"/>
      </w:pPr>
      <w:r w:rsidRPr="00585CE3">
        <w:t xml:space="preserve">—— 2012, </w:t>
      </w:r>
      <w:r w:rsidRPr="00585CE3">
        <w:rPr>
          <w:i/>
        </w:rPr>
        <w:t>Impacts of COAG reforms: business regulation and VET, research report, volume 3 - VET</w:t>
      </w:r>
      <w:r w:rsidRPr="00585CE3">
        <w:t>, Australian Government, Canberra</w:t>
      </w:r>
      <w:r w:rsidR="00DD005F">
        <w:t>.</w:t>
      </w:r>
    </w:p>
    <w:p w:rsidR="00115EE2" w:rsidRPr="00585CE3" w:rsidRDefault="00115EE2" w:rsidP="00DD005F">
      <w:pPr>
        <w:pStyle w:val="EndNoteBibliography"/>
      </w:pPr>
      <w:r w:rsidRPr="00585CE3">
        <w:t xml:space="preserve">Queensland Government 2013, </w:t>
      </w:r>
      <w:r w:rsidRPr="00585CE3">
        <w:rPr>
          <w:i/>
        </w:rPr>
        <w:t>Queensland Government response to the Independent Commission of Audit report</w:t>
      </w:r>
      <w:r w:rsidRPr="00585CE3">
        <w:t>, Queensland Government, viewed 26 August 2013, &lt;</w:t>
      </w:r>
      <w:r w:rsidRPr="00115EE2">
        <w:t>http://www.treasury.qld.gov.au/coa-response/better-services.shtml#D8_Vocational_Education_and_Training</w:t>
      </w:r>
      <w:r w:rsidR="00DD005F">
        <w:t>&gt;.</w:t>
      </w:r>
    </w:p>
    <w:p w:rsidR="00115EE2" w:rsidRPr="00585CE3" w:rsidRDefault="00115EE2" w:rsidP="00DD005F">
      <w:pPr>
        <w:pStyle w:val="EndNoteBibliography"/>
      </w:pPr>
      <w:r w:rsidRPr="00585CE3">
        <w:t xml:space="preserve">Seet, P-S, Jones, J, Spoehr, J &amp; Hordacre, A-L 2018, </w:t>
      </w:r>
      <w:r w:rsidRPr="00585CE3">
        <w:rPr>
          <w:i/>
        </w:rPr>
        <w:t>The Fourth Industrial Revolution: the implications of technological disruption for Australian VET</w:t>
      </w:r>
      <w:r w:rsidRPr="00585CE3">
        <w:t>, National Centre for Vocationa</w:t>
      </w:r>
      <w:r w:rsidR="00DD005F">
        <w:t>l Education Research, Adelaide.</w:t>
      </w:r>
    </w:p>
    <w:p w:rsidR="00115EE2" w:rsidRPr="00585CE3" w:rsidRDefault="00115EE2" w:rsidP="00DD005F">
      <w:pPr>
        <w:pStyle w:val="EndNoteBibliography"/>
      </w:pPr>
      <w:r w:rsidRPr="00585CE3">
        <w:t xml:space="preserve">Self, P 1993, </w:t>
      </w:r>
      <w:r w:rsidRPr="00585CE3">
        <w:rPr>
          <w:i/>
        </w:rPr>
        <w:t>Government by the market? The politics of public choice</w:t>
      </w:r>
      <w:r w:rsidRPr="00585CE3">
        <w:t>, The MacMil</w:t>
      </w:r>
      <w:r w:rsidR="00DD005F">
        <w:t>lan Press Limited, Basingstoke.</w:t>
      </w:r>
    </w:p>
    <w:p w:rsidR="00115EE2" w:rsidRPr="00585CE3" w:rsidRDefault="00115EE2" w:rsidP="00DD005F">
      <w:pPr>
        <w:pStyle w:val="EndNoteBibliography"/>
      </w:pPr>
      <w:r w:rsidRPr="00585CE3">
        <w:t xml:space="preserve">South Australia Government 2010, </w:t>
      </w:r>
      <w:r w:rsidRPr="00585CE3">
        <w:rPr>
          <w:i/>
        </w:rPr>
        <w:t>Skills for all: productivity and participation through skills (a discussion paper)</w:t>
      </w:r>
      <w:r w:rsidRPr="00585CE3">
        <w:t>, South Australian Government, Adelaide, viewed 29 July 2010, &lt;</w:t>
      </w:r>
      <w:r w:rsidRPr="00115EE2">
        <w:t>http://www.dfeest.sa.gov.au/AboutDFEEST/Strategiesplanspolicies/SkillsforAll/tabid/267/Default.aspx</w:t>
      </w:r>
      <w:r w:rsidR="00DD005F">
        <w:t>&gt;.</w:t>
      </w:r>
    </w:p>
    <w:p w:rsidR="00115EE2" w:rsidRPr="00585CE3" w:rsidRDefault="00115EE2" w:rsidP="00DD005F">
      <w:pPr>
        <w:pStyle w:val="EndNoteBibliography"/>
      </w:pPr>
      <w:r w:rsidRPr="00585CE3">
        <w:t xml:space="preserve">Taylor, A &amp; Bell, L 2013, </w:t>
      </w:r>
      <w:r w:rsidRPr="00585CE3">
        <w:rPr>
          <w:i/>
        </w:rPr>
        <w:t>The Northern Territory’s declining share of Australia’s Indigenous population: a call for a research agenda</w:t>
      </w:r>
      <w:r w:rsidRPr="00585CE3">
        <w:t>, Northern Institute Cha</w:t>
      </w:r>
      <w:r w:rsidR="00DD005F">
        <w:t>rles Darwin University, Darwin.</w:t>
      </w:r>
    </w:p>
    <w:p w:rsidR="00115EE2" w:rsidRPr="00585CE3" w:rsidRDefault="00115EE2" w:rsidP="00DD005F">
      <w:pPr>
        <w:pStyle w:val="EndNoteBibliography"/>
      </w:pPr>
      <w:r w:rsidRPr="00585CE3">
        <w:t xml:space="preserve">Training.gov.au 2018, </w:t>
      </w:r>
      <w:r w:rsidRPr="00585CE3">
        <w:rPr>
          <w:i/>
        </w:rPr>
        <w:t>Victoria RTO Report</w:t>
      </w:r>
      <w:r w:rsidRPr="00585CE3">
        <w:t>, Australian Government, viewed 28 November 2018, &lt;</w:t>
      </w:r>
      <w:r w:rsidRPr="00115EE2">
        <w:rPr>
          <w:u w:val="single"/>
        </w:rPr>
        <w:t>https://training.gov.au/Reporting/ReportInfo?reportName=RtoReport</w:t>
      </w:r>
      <w:r w:rsidR="00DD005F">
        <w:t>&gt;.</w:t>
      </w:r>
    </w:p>
    <w:p w:rsidR="00115EE2" w:rsidRPr="00585CE3" w:rsidRDefault="00115EE2" w:rsidP="00DD005F">
      <w:pPr>
        <w:pStyle w:val="EndNoteBibliography"/>
      </w:pPr>
      <w:r w:rsidRPr="00585CE3">
        <w:t xml:space="preserve">Wheelahan, L 2015, 'The future of Australian vocational education qualifications depends on a new social settlement', </w:t>
      </w:r>
      <w:r w:rsidRPr="00585CE3">
        <w:rPr>
          <w:i/>
        </w:rPr>
        <w:t>Journal of Education and Work</w:t>
      </w:r>
      <w:r w:rsidR="00DD005F">
        <w:t>, vol. 28, no. 2, pp. 126-46.</w:t>
      </w:r>
    </w:p>
    <w:p w:rsidR="00D10B66" w:rsidRDefault="00115EE2" w:rsidP="00DD005F">
      <w:pPr>
        <w:pStyle w:val="EndNoteBibliography"/>
      </w:pPr>
      <w:r w:rsidRPr="00585CE3">
        <w:t>Zoellner, D 2013, 'If vocational education and training is the answer, what was the question?: theorising public policy and the behaviour of citizens', Doctor of Philosophy thesis, Charles Darwin University, DOI 10.13140/RG.2.1.4555.9522.</w:t>
      </w:r>
    </w:p>
    <w:sectPr w:rsidR="00D10B6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E92" w:rsidRDefault="002C1F7C">
      <w:pPr>
        <w:spacing w:before="0" w:after="0" w:line="240" w:lineRule="auto"/>
      </w:pPr>
      <w:r>
        <w:separator/>
      </w:r>
    </w:p>
  </w:endnote>
  <w:endnote w:type="continuationSeparator" w:id="0">
    <w:p w:rsidR="00171E92" w:rsidRDefault="002C1F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494761"/>
      <w:docPartObj>
        <w:docPartGallery w:val="Page Numbers (Bottom of Page)"/>
        <w:docPartUnique/>
      </w:docPartObj>
    </w:sdtPr>
    <w:sdtEndPr>
      <w:rPr>
        <w:noProof/>
      </w:rPr>
    </w:sdtEndPr>
    <w:sdtContent>
      <w:p w:rsidR="00604B11" w:rsidRDefault="00C678CD">
        <w:pPr>
          <w:pStyle w:val="Footer"/>
          <w:jc w:val="center"/>
        </w:pPr>
        <w:r>
          <w:fldChar w:fldCharType="begin"/>
        </w:r>
        <w:r>
          <w:instrText xml:space="preserve"> PAGE   \* MERGEFORMAT </w:instrText>
        </w:r>
        <w:r>
          <w:fldChar w:fldCharType="separate"/>
        </w:r>
        <w:r w:rsidR="00FA74E7">
          <w:rPr>
            <w:noProof/>
          </w:rPr>
          <w:t>1</w:t>
        </w:r>
        <w:r>
          <w:rPr>
            <w:noProof/>
          </w:rPr>
          <w:fldChar w:fldCharType="end"/>
        </w:r>
      </w:p>
    </w:sdtContent>
  </w:sdt>
  <w:p w:rsidR="00604B11" w:rsidRDefault="00FA7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E92" w:rsidRDefault="002C1F7C">
      <w:pPr>
        <w:spacing w:before="0" w:after="0" w:line="240" w:lineRule="auto"/>
      </w:pPr>
      <w:r>
        <w:separator/>
      </w:r>
    </w:p>
  </w:footnote>
  <w:footnote w:type="continuationSeparator" w:id="0">
    <w:p w:rsidR="00171E92" w:rsidRDefault="002C1F7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AC8" w:rsidRDefault="001340A5" w:rsidP="001340A5">
    <w:pPr>
      <w:pStyle w:val="Header"/>
      <w:jc w:val="center"/>
    </w:pPr>
    <w:r>
      <w:t>Submission to the Productivity Commission NASWD Review by Dr Don Zoellner</w:t>
    </w:r>
  </w:p>
  <w:p w:rsidR="001D0AC8" w:rsidRDefault="001D0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F417C"/>
    <w:multiLevelType w:val="hybridMultilevel"/>
    <w:tmpl w:val="F3BE8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447D5F"/>
    <w:multiLevelType w:val="hybridMultilevel"/>
    <w:tmpl w:val="E4BA7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15EE2"/>
    <w:rsid w:val="00115EE2"/>
    <w:rsid w:val="001170BE"/>
    <w:rsid w:val="001340A5"/>
    <w:rsid w:val="00171E92"/>
    <w:rsid w:val="001A04D2"/>
    <w:rsid w:val="001D0AC8"/>
    <w:rsid w:val="002C1F7C"/>
    <w:rsid w:val="00602C86"/>
    <w:rsid w:val="008A62F3"/>
    <w:rsid w:val="00994808"/>
    <w:rsid w:val="00C678CD"/>
    <w:rsid w:val="00D10B66"/>
    <w:rsid w:val="00DD005F"/>
    <w:rsid w:val="00F607F1"/>
    <w:rsid w:val="00FA74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CEFDED-ABA4-4110-A82B-645B2AEC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AU" w:eastAsia="en-US" w:bidi="ar-SA"/>
      </w:rPr>
    </w:rPrDefault>
    <w:pPrDefault>
      <w:pPr>
        <w:spacing w:before="24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15EE2"/>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115EE2"/>
    <w:rPr>
      <w:noProof/>
      <w:lang w:val="en-US"/>
    </w:rPr>
  </w:style>
  <w:style w:type="paragraph" w:customStyle="1" w:styleId="EndNoteBibliography">
    <w:name w:val="EndNote Bibliography"/>
    <w:basedOn w:val="Normal"/>
    <w:link w:val="EndNoteBibliographyChar"/>
    <w:rsid w:val="00115EE2"/>
    <w:pPr>
      <w:spacing w:line="240" w:lineRule="auto"/>
    </w:pPr>
    <w:rPr>
      <w:noProof/>
      <w:lang w:val="en-US"/>
    </w:rPr>
  </w:style>
  <w:style w:type="character" w:customStyle="1" w:styleId="EndNoteBibliographyChar">
    <w:name w:val="EndNote Bibliography Char"/>
    <w:basedOn w:val="DefaultParagraphFont"/>
    <w:link w:val="EndNoteBibliography"/>
    <w:rsid w:val="00115EE2"/>
    <w:rPr>
      <w:noProof/>
      <w:lang w:val="en-US"/>
    </w:rPr>
  </w:style>
  <w:style w:type="character" w:styleId="Hyperlink">
    <w:name w:val="Hyperlink"/>
    <w:basedOn w:val="DefaultParagraphFont"/>
    <w:uiPriority w:val="99"/>
    <w:unhideWhenUsed/>
    <w:rsid w:val="00115EE2"/>
    <w:rPr>
      <w:color w:val="0000FF" w:themeColor="hyperlink"/>
      <w:u w:val="single"/>
    </w:rPr>
  </w:style>
  <w:style w:type="paragraph" w:styleId="ListParagraph">
    <w:name w:val="List Paragraph"/>
    <w:basedOn w:val="Normal"/>
    <w:uiPriority w:val="34"/>
    <w:qFormat/>
    <w:rsid w:val="00115EE2"/>
    <w:pPr>
      <w:ind w:left="720"/>
      <w:contextualSpacing/>
    </w:pPr>
  </w:style>
  <w:style w:type="table" w:styleId="TableGrid">
    <w:name w:val="Table Grid"/>
    <w:basedOn w:val="TableNormal"/>
    <w:uiPriority w:val="59"/>
    <w:rsid w:val="00115EE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15EE2"/>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15EE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15EE2"/>
  </w:style>
  <w:style w:type="paragraph" w:styleId="Footer">
    <w:name w:val="footer"/>
    <w:basedOn w:val="Normal"/>
    <w:link w:val="FooterChar"/>
    <w:uiPriority w:val="99"/>
    <w:unhideWhenUsed/>
    <w:rsid w:val="00115EE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15EE2"/>
  </w:style>
  <w:style w:type="paragraph" w:styleId="EndnoteText">
    <w:name w:val="endnote text"/>
    <w:basedOn w:val="Normal"/>
    <w:link w:val="EndnoteTextChar"/>
    <w:uiPriority w:val="99"/>
    <w:semiHidden/>
    <w:unhideWhenUsed/>
    <w:rsid w:val="00115EE2"/>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15EE2"/>
    <w:rPr>
      <w:sz w:val="20"/>
      <w:szCs w:val="20"/>
    </w:rPr>
  </w:style>
  <w:style w:type="character" w:styleId="EndnoteReference">
    <w:name w:val="endnote reference"/>
    <w:basedOn w:val="DefaultParagraphFont"/>
    <w:uiPriority w:val="99"/>
    <w:semiHidden/>
    <w:unhideWhenUsed/>
    <w:rsid w:val="00115E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8674BFDD.dotm</Template>
  <TotalTime>3</TotalTime>
  <Pages>14</Pages>
  <Words>7082</Words>
  <Characters>40369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Submission 4 - Part 1: Student choice and lifelong learning: who you gonna call? - Dr Don Zoellner - Skills and Workforce Development Agreement - Commissioned study</vt:lpstr>
    </vt:vector>
  </TitlesOfParts>
  <Company>Dr Don Zoellner</Company>
  <LinksUpToDate>false</LinksUpToDate>
  <CharactersWithSpaces>47357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Part 1: Student choice and lifelong learning: who you gonna call? - Dr Don Zoellner - Skills and Workforce Development Agreement - Commissioned study</dc:title>
  <dc:creator>Dr Don Zoellner</dc:creator>
  <cp:lastModifiedBy>Productivity Commission</cp:lastModifiedBy>
  <cp:revision>4</cp:revision>
  <cp:lastPrinted>2019-05-28T05:20:00Z</cp:lastPrinted>
  <dcterms:created xsi:type="dcterms:W3CDTF">2019-12-12T01:27:00Z</dcterms:created>
  <dcterms:modified xsi:type="dcterms:W3CDTF">2019-12-15T22:57:00Z</dcterms:modified>
</cp:coreProperties>
</file>