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Ind w:w="-10" w:type="dxa"/>
        <w:tblLayout w:type="fixed"/>
        <w:tblLook w:val="0000" w:firstRow="0" w:lastRow="0" w:firstColumn="0" w:lastColumn="0" w:noHBand="0" w:noVBand="0"/>
      </w:tblPr>
      <w:tblGrid>
        <w:gridCol w:w="6201"/>
        <w:gridCol w:w="3047"/>
      </w:tblGrid>
      <w:tr w:rsidR="002F098C" w14:paraId="40124BC5" w14:textId="77777777">
        <w:trPr>
          <w:trHeight w:val="2258"/>
        </w:trPr>
        <w:tc>
          <w:tcPr>
            <w:tcW w:w="6201" w:type="dxa"/>
            <w:tcBorders>
              <w:top w:val="single" w:sz="4" w:space="0" w:color="000000"/>
              <w:left w:val="single" w:sz="4" w:space="0" w:color="000000"/>
              <w:bottom w:val="single" w:sz="4" w:space="0" w:color="000000"/>
            </w:tcBorders>
          </w:tcPr>
          <w:p w14:paraId="672A6659" w14:textId="77777777" w:rsidR="002F098C" w:rsidRDefault="00E83C3F">
            <w:pPr>
              <w:snapToGrid w:val="0"/>
              <w:rPr>
                <w:b/>
              </w:rPr>
            </w:pPr>
            <w:r>
              <w:rPr>
                <w:noProof/>
                <w:lang w:eastAsia="en-AU"/>
              </w:rPr>
              <w:drawing>
                <wp:inline distT="0" distB="0" distL="0" distR="0" wp14:anchorId="14198EC3" wp14:editId="07777777">
                  <wp:extent cx="3457575" cy="1581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57575" cy="1581150"/>
                          </a:xfrm>
                          <a:prstGeom prst="rect">
                            <a:avLst/>
                          </a:prstGeom>
                          <a:solidFill>
                            <a:srgbClr val="FFFFFF"/>
                          </a:solidFill>
                          <a:ln>
                            <a:noFill/>
                          </a:ln>
                        </pic:spPr>
                      </pic:pic>
                    </a:graphicData>
                  </a:graphic>
                </wp:inline>
              </w:drawing>
            </w:r>
          </w:p>
        </w:tc>
        <w:tc>
          <w:tcPr>
            <w:tcW w:w="3047" w:type="dxa"/>
            <w:tcBorders>
              <w:top w:val="single" w:sz="4" w:space="0" w:color="000000"/>
              <w:left w:val="single" w:sz="4" w:space="0" w:color="000000"/>
              <w:bottom w:val="single" w:sz="4" w:space="0" w:color="000000"/>
              <w:right w:val="single" w:sz="4" w:space="0" w:color="000000"/>
            </w:tcBorders>
          </w:tcPr>
          <w:p w14:paraId="41D9F128" w14:textId="77777777" w:rsidR="002F098C" w:rsidRDefault="002F098C">
            <w:pPr>
              <w:ind w:left="34" w:right="-108"/>
              <w:rPr>
                <w:b/>
              </w:rPr>
            </w:pPr>
            <w:r>
              <w:rPr>
                <w:b/>
              </w:rPr>
              <w:t xml:space="preserve">A non-profit, volunteer organisation, advocating to advance the interests of consumers in </w:t>
            </w:r>
            <w:proofErr w:type="gramStart"/>
            <w:r>
              <w:rPr>
                <w:b/>
              </w:rPr>
              <w:t>Queensland</w:t>
            </w:r>
            <w:proofErr w:type="gramEnd"/>
          </w:p>
          <w:p w14:paraId="0A37501D" w14:textId="77777777" w:rsidR="002F098C" w:rsidRDefault="002F098C">
            <w:pPr>
              <w:pStyle w:val="Heading8"/>
              <w:ind w:left="34" w:right="-108"/>
              <w:jc w:val="left"/>
              <w:rPr>
                <w:b w:val="0"/>
                <w:i/>
                <w:sz w:val="20"/>
              </w:rPr>
            </w:pPr>
          </w:p>
          <w:p w14:paraId="25F9E0A3" w14:textId="77777777" w:rsidR="002F098C" w:rsidRDefault="002F098C">
            <w:pPr>
              <w:pStyle w:val="Heading8"/>
              <w:ind w:left="34" w:right="-108"/>
              <w:jc w:val="left"/>
              <w:rPr>
                <w:b w:val="0"/>
                <w:i/>
                <w:sz w:val="20"/>
              </w:rPr>
            </w:pPr>
            <w:r>
              <w:rPr>
                <w:b w:val="0"/>
                <w:i/>
                <w:sz w:val="20"/>
              </w:rPr>
              <w:t xml:space="preserve">Secretary:  </w:t>
            </w:r>
          </w:p>
          <w:p w14:paraId="17AD2A58" w14:textId="77777777" w:rsidR="002F098C" w:rsidRDefault="002F098C">
            <w:pPr>
              <w:pStyle w:val="Heading8"/>
              <w:ind w:left="34" w:right="-108"/>
              <w:jc w:val="left"/>
              <w:rPr>
                <w:b w:val="0"/>
                <w:i/>
                <w:szCs w:val="24"/>
              </w:rPr>
            </w:pPr>
            <w:r>
              <w:rPr>
                <w:b w:val="0"/>
                <w:i/>
                <w:szCs w:val="24"/>
              </w:rPr>
              <w:t>Max Howard</w:t>
            </w:r>
          </w:p>
          <w:p w14:paraId="3F8AD574" w14:textId="53F7DAEC" w:rsidR="002F098C" w:rsidRDefault="002F098C">
            <w:pPr>
              <w:rPr>
                <w:color w:val="000000"/>
              </w:rPr>
            </w:pPr>
          </w:p>
        </w:tc>
      </w:tr>
    </w:tbl>
    <w:p w14:paraId="282E792A" w14:textId="4535CAFD" w:rsidR="002F098C" w:rsidRDefault="006C3DED">
      <w:pPr>
        <w:jc w:val="right"/>
      </w:pPr>
      <w:r>
        <w:t>1</w:t>
      </w:r>
      <w:r w:rsidR="00AF7565">
        <w:t>4</w:t>
      </w:r>
      <w:r w:rsidR="00624434">
        <w:t xml:space="preserve"> February </w:t>
      </w:r>
      <w:r w:rsidR="005355FE">
        <w:t>202</w:t>
      </w:r>
      <w:r w:rsidR="00624434">
        <w:t>1</w:t>
      </w:r>
    </w:p>
    <w:p w14:paraId="2EEADE2A" w14:textId="49558958" w:rsidR="002F098C" w:rsidRPr="006C32C2" w:rsidRDefault="00C8666F">
      <w:pPr>
        <w:jc w:val="center"/>
        <w:rPr>
          <w:rFonts w:ascii="Arial" w:hAnsi="Arial" w:cs="Arial"/>
          <w:b/>
          <w:caps/>
          <w:sz w:val="28"/>
          <w:szCs w:val="28"/>
          <w:u w:val="single"/>
        </w:rPr>
      </w:pPr>
      <w:r>
        <w:rPr>
          <w:rFonts w:ascii="Arial" w:hAnsi="Arial" w:cs="Arial"/>
          <w:b/>
          <w:caps/>
          <w:sz w:val="28"/>
          <w:szCs w:val="28"/>
          <w:u w:val="single"/>
        </w:rPr>
        <w:t xml:space="preserve"> </w:t>
      </w:r>
      <w:r w:rsidR="002F098C" w:rsidRPr="006C32C2">
        <w:rPr>
          <w:rFonts w:ascii="Arial" w:hAnsi="Arial" w:cs="Arial"/>
          <w:b/>
          <w:caps/>
          <w:sz w:val="28"/>
          <w:szCs w:val="28"/>
          <w:u w:val="single"/>
        </w:rPr>
        <w:t xml:space="preserve">SUBMISSION ON </w:t>
      </w:r>
      <w:r w:rsidR="00F60184">
        <w:rPr>
          <w:rFonts w:ascii="Arial" w:hAnsi="Arial" w:cs="Arial"/>
          <w:b/>
          <w:caps/>
          <w:sz w:val="28"/>
          <w:szCs w:val="28"/>
          <w:u w:val="single"/>
        </w:rPr>
        <w:t>PRODUCTIVITY</w:t>
      </w:r>
      <w:r w:rsidR="00624434">
        <w:rPr>
          <w:rFonts w:ascii="Arial" w:hAnsi="Arial" w:cs="Arial"/>
          <w:b/>
          <w:caps/>
          <w:sz w:val="28"/>
          <w:szCs w:val="28"/>
          <w:u w:val="single"/>
        </w:rPr>
        <w:t xml:space="preserve"> COMMISSION </w:t>
      </w:r>
      <w:r w:rsidR="00F60184">
        <w:rPr>
          <w:rFonts w:ascii="Arial" w:hAnsi="Arial" w:cs="Arial"/>
          <w:b/>
          <w:caps/>
          <w:sz w:val="28"/>
          <w:szCs w:val="28"/>
          <w:u w:val="single"/>
        </w:rPr>
        <w:t>ISSUES</w:t>
      </w:r>
      <w:r w:rsidR="00624434">
        <w:rPr>
          <w:rFonts w:ascii="Arial" w:hAnsi="Arial" w:cs="Arial"/>
          <w:b/>
          <w:caps/>
          <w:sz w:val="28"/>
          <w:szCs w:val="28"/>
          <w:u w:val="single"/>
        </w:rPr>
        <w:t xml:space="preserve"> </w:t>
      </w:r>
      <w:r w:rsidR="00F60184">
        <w:rPr>
          <w:rFonts w:ascii="Arial" w:hAnsi="Arial" w:cs="Arial"/>
          <w:b/>
          <w:caps/>
          <w:sz w:val="28"/>
          <w:szCs w:val="28"/>
          <w:u w:val="single"/>
        </w:rPr>
        <w:t>P</w:t>
      </w:r>
      <w:r w:rsidR="00624434">
        <w:rPr>
          <w:rFonts w:ascii="Arial" w:hAnsi="Arial" w:cs="Arial"/>
          <w:b/>
          <w:caps/>
          <w:sz w:val="28"/>
          <w:szCs w:val="28"/>
          <w:u w:val="single"/>
        </w:rPr>
        <w:t>APER ON RIGHT TO REPAIR</w:t>
      </w:r>
    </w:p>
    <w:p w14:paraId="5DAB6C7B" w14:textId="77777777" w:rsidR="00E7325D" w:rsidRPr="006C32C2" w:rsidRDefault="00E7325D">
      <w:pPr>
        <w:jc w:val="both"/>
        <w:rPr>
          <w:rFonts w:ascii="Arial" w:hAnsi="Arial" w:cs="Arial"/>
          <w:b/>
          <w:sz w:val="22"/>
          <w:szCs w:val="22"/>
        </w:rPr>
      </w:pPr>
    </w:p>
    <w:p w14:paraId="38A9835A" w14:textId="77777777" w:rsidR="002F098C" w:rsidRPr="00493A7C" w:rsidRDefault="002F098C">
      <w:pPr>
        <w:jc w:val="both"/>
        <w:rPr>
          <w:rFonts w:ascii="Arial" w:hAnsi="Arial" w:cs="Arial"/>
          <w:b/>
        </w:rPr>
      </w:pPr>
      <w:r w:rsidRPr="00493A7C">
        <w:rPr>
          <w:rFonts w:ascii="Arial" w:hAnsi="Arial" w:cs="Arial"/>
          <w:b/>
        </w:rPr>
        <w:t>BACKGROUND</w:t>
      </w:r>
    </w:p>
    <w:p w14:paraId="47A5C4A0" w14:textId="77777777" w:rsidR="00BC3EBE" w:rsidRDefault="00160E71" w:rsidP="00421491">
      <w:pPr>
        <w:jc w:val="both"/>
      </w:pPr>
      <w:r w:rsidRPr="008E7E6E">
        <w:t xml:space="preserve">The Queensland Consumers’ Association (the Association) is a non-profit organisation </w:t>
      </w:r>
      <w:r w:rsidR="00B03E21">
        <w:t>established in 1976 to</w:t>
      </w:r>
      <w:r w:rsidRPr="008E7E6E">
        <w:t xml:space="preserve"> advance the interests of Queensland consumers.  </w:t>
      </w:r>
    </w:p>
    <w:p w14:paraId="02EB378F" w14:textId="77777777" w:rsidR="00BC3EBE" w:rsidRDefault="00BC3EBE" w:rsidP="00421491">
      <w:pPr>
        <w:jc w:val="both"/>
      </w:pPr>
    </w:p>
    <w:p w14:paraId="44429024" w14:textId="787CEEF1" w:rsidR="00BC3EBE" w:rsidRPr="00BC3EBE" w:rsidRDefault="00BC3EBE" w:rsidP="00421491">
      <w:pPr>
        <w:jc w:val="both"/>
      </w:pPr>
      <w:r w:rsidRPr="008E7E6E">
        <w:t>The Association is a member of the Consumers’ Federation of Australia, the peak body</w:t>
      </w:r>
      <w:r>
        <w:t xml:space="preserve"> for Australian consumer groups</w:t>
      </w:r>
      <w:r w:rsidR="00624434">
        <w:t>.</w:t>
      </w:r>
    </w:p>
    <w:p w14:paraId="6A05A809" w14:textId="77777777" w:rsidR="00BC3EBE" w:rsidRDefault="00BC3EBE" w:rsidP="00421491">
      <w:pPr>
        <w:jc w:val="both"/>
      </w:pPr>
    </w:p>
    <w:p w14:paraId="135FF312" w14:textId="5FCCF2A8" w:rsidR="00BC3EBE" w:rsidRDefault="00160E71" w:rsidP="00421491">
      <w:pPr>
        <w:jc w:val="both"/>
      </w:pPr>
      <w:r w:rsidRPr="008E7E6E">
        <w:t xml:space="preserve">The Association’s members work in a voluntary capacity and specialise </w:t>
      </w:r>
      <w:proofErr w:type="gramStart"/>
      <w:r w:rsidRPr="008E7E6E">
        <w:t>in particular policy</w:t>
      </w:r>
      <w:proofErr w:type="gramEnd"/>
      <w:r w:rsidRPr="008E7E6E">
        <w:t xml:space="preserve"> areas</w:t>
      </w:r>
      <w:r w:rsidR="00AF7BA2">
        <w:t>.</w:t>
      </w:r>
      <w:r w:rsidR="00BC3EBE">
        <w:t xml:space="preserve"> </w:t>
      </w:r>
    </w:p>
    <w:p w14:paraId="5A39BBE3" w14:textId="77777777" w:rsidR="00BC3EBE" w:rsidRDefault="00BC3EBE" w:rsidP="00421491">
      <w:pPr>
        <w:jc w:val="both"/>
      </w:pPr>
    </w:p>
    <w:p w14:paraId="70069080" w14:textId="784BA6EC" w:rsidR="0028031B" w:rsidRDefault="00CB7178" w:rsidP="00421491">
      <w:pPr>
        <w:jc w:val="both"/>
      </w:pPr>
      <w:r>
        <w:t xml:space="preserve">The </w:t>
      </w:r>
      <w:r w:rsidR="00F37395">
        <w:t xml:space="preserve">Association </w:t>
      </w:r>
      <w:r w:rsidR="00B7520E">
        <w:t>welcomes</w:t>
      </w:r>
      <w:r w:rsidR="00F37395">
        <w:t xml:space="preserve"> the </w:t>
      </w:r>
      <w:r w:rsidR="00B7520E">
        <w:t>opportunity</w:t>
      </w:r>
      <w:r w:rsidR="00F37395">
        <w:t xml:space="preserve"> to make </w:t>
      </w:r>
      <w:r w:rsidR="001F3416">
        <w:t>this brief</w:t>
      </w:r>
      <w:r w:rsidR="005355FE">
        <w:t xml:space="preserve"> submission on </w:t>
      </w:r>
      <w:r w:rsidR="00DD7CC9">
        <w:t xml:space="preserve">the </w:t>
      </w:r>
      <w:r w:rsidR="00624434">
        <w:t>Issues</w:t>
      </w:r>
      <w:r w:rsidR="0057204F">
        <w:t xml:space="preserve"> </w:t>
      </w:r>
      <w:r w:rsidR="005355FE">
        <w:t>Paper</w:t>
      </w:r>
      <w:r w:rsidR="00DD7CC9">
        <w:t xml:space="preserve"> and to participating later in the year in consultations on the Draft Report.</w:t>
      </w:r>
    </w:p>
    <w:p w14:paraId="72A3D3EC" w14:textId="77777777" w:rsidR="00F37395" w:rsidRDefault="00F37395" w:rsidP="00525A37">
      <w:pPr>
        <w:jc w:val="both"/>
        <w:rPr>
          <w:sz w:val="22"/>
          <w:szCs w:val="22"/>
        </w:rPr>
      </w:pPr>
    </w:p>
    <w:p w14:paraId="67F1605F" w14:textId="13D0E33A" w:rsidR="00816FE8" w:rsidRPr="006C32C2" w:rsidRDefault="00816FE8" w:rsidP="00816FE8">
      <w:pPr>
        <w:jc w:val="both"/>
        <w:rPr>
          <w:rFonts w:ascii="Arial" w:hAnsi="Arial" w:cs="Arial"/>
          <w:b/>
          <w:i/>
          <w:iCs/>
          <w:sz w:val="22"/>
          <w:szCs w:val="22"/>
        </w:rPr>
      </w:pPr>
      <w:r w:rsidRPr="006C32C2">
        <w:rPr>
          <w:rFonts w:ascii="Arial" w:hAnsi="Arial" w:cs="Arial"/>
          <w:b/>
          <w:i/>
          <w:iCs/>
          <w:sz w:val="22"/>
          <w:szCs w:val="22"/>
        </w:rPr>
        <w:t>The contact person for this submission is: Ian Jarratt</w:t>
      </w:r>
      <w:r w:rsidR="00C6086F">
        <w:rPr>
          <w:rFonts w:ascii="Arial" w:hAnsi="Arial" w:cs="Arial"/>
          <w:b/>
          <w:i/>
          <w:iCs/>
          <w:sz w:val="22"/>
          <w:szCs w:val="22"/>
        </w:rPr>
        <w:t>.</w:t>
      </w:r>
    </w:p>
    <w:p w14:paraId="0D0B940D" w14:textId="77777777" w:rsidR="00816FE8" w:rsidRPr="008E7E6E" w:rsidRDefault="00816FE8">
      <w:pPr>
        <w:jc w:val="both"/>
        <w:rPr>
          <w:sz w:val="22"/>
          <w:szCs w:val="22"/>
        </w:rPr>
      </w:pPr>
    </w:p>
    <w:p w14:paraId="4F39E5EC" w14:textId="38EFBDC6" w:rsidR="00624434" w:rsidRDefault="00624434" w:rsidP="00800E78">
      <w:pPr>
        <w:jc w:val="both"/>
        <w:rPr>
          <w:rFonts w:ascii="Arial" w:hAnsi="Arial" w:cs="Arial"/>
          <w:b/>
          <w:color w:val="000000"/>
        </w:rPr>
      </w:pPr>
      <w:r>
        <w:rPr>
          <w:rFonts w:ascii="Arial" w:hAnsi="Arial" w:cs="Arial"/>
          <w:b/>
          <w:color w:val="000000"/>
        </w:rPr>
        <w:t>COMMENTS</w:t>
      </w:r>
    </w:p>
    <w:p w14:paraId="529DE77B" w14:textId="3BA8B28F" w:rsidR="00624434" w:rsidRDefault="00624434" w:rsidP="00624434">
      <w:pPr>
        <w:jc w:val="both"/>
      </w:pPr>
      <w:r>
        <w:t xml:space="preserve">We strongly welcome the </w:t>
      </w:r>
      <w:r w:rsidR="00DD7CC9">
        <w:t>Commission</w:t>
      </w:r>
      <w:r>
        <w:t xml:space="preserve"> </w:t>
      </w:r>
      <w:r w:rsidR="00DD7CC9">
        <w:t xml:space="preserve">undertaking an </w:t>
      </w:r>
      <w:r>
        <w:t xml:space="preserve">inquiry </w:t>
      </w:r>
      <w:r w:rsidR="00DD7CC9">
        <w:t>into</w:t>
      </w:r>
      <w:r>
        <w:t xml:space="preserve"> </w:t>
      </w:r>
      <w:r w:rsidR="00DD7CC9">
        <w:t>this extremely</w:t>
      </w:r>
      <w:r>
        <w:t xml:space="preserve"> imp</w:t>
      </w:r>
      <w:r w:rsidR="00DD7CC9">
        <w:t xml:space="preserve">ortant, complex and many faceted </w:t>
      </w:r>
      <w:proofErr w:type="gramStart"/>
      <w:r w:rsidR="00DD7CC9">
        <w:t>topic</w:t>
      </w:r>
      <w:proofErr w:type="gramEnd"/>
      <w:r w:rsidR="00DD7CC9">
        <w:t>.</w:t>
      </w:r>
    </w:p>
    <w:p w14:paraId="0D775C4F" w14:textId="77777777" w:rsidR="007D478F" w:rsidRDefault="007D478F" w:rsidP="00624434">
      <w:pPr>
        <w:jc w:val="both"/>
      </w:pPr>
    </w:p>
    <w:p w14:paraId="40F08736" w14:textId="77A1D35B" w:rsidR="003C4597" w:rsidRDefault="003C4597" w:rsidP="00624434">
      <w:pPr>
        <w:jc w:val="both"/>
      </w:pPr>
      <w:r>
        <w:t>We wish to emphasise the need for the inquiry to address and propose ways to correct the power imbalance between the seller and the buyer after the purchase of a good. Currently, the power balance is greatly in favour of the seller and the onus is largely on the consumer to justify claims for redress</w:t>
      </w:r>
      <w:r w:rsidR="00716118">
        <w:t>.</w:t>
      </w:r>
      <w:r>
        <w:t xml:space="preserve"> This needs to change.</w:t>
      </w:r>
    </w:p>
    <w:p w14:paraId="2FF8CBDD" w14:textId="77777777" w:rsidR="005C4947" w:rsidRDefault="005C4947" w:rsidP="00624434">
      <w:pPr>
        <w:jc w:val="both"/>
      </w:pPr>
    </w:p>
    <w:p w14:paraId="1FF95CBA" w14:textId="712B60E7" w:rsidR="005C4947" w:rsidRDefault="005C4947" w:rsidP="00624434">
      <w:pPr>
        <w:jc w:val="both"/>
      </w:pPr>
      <w:r>
        <w:t>We also have concerns about policy making processes, including for right to repair. These are outlined in the attachment.</w:t>
      </w:r>
    </w:p>
    <w:p w14:paraId="5037FE60" w14:textId="77777777" w:rsidR="003C4597" w:rsidRDefault="003C4597" w:rsidP="00624434">
      <w:pPr>
        <w:jc w:val="both"/>
      </w:pPr>
    </w:p>
    <w:p w14:paraId="4153829A" w14:textId="7185B7EE" w:rsidR="003C4597" w:rsidRDefault="003C4597" w:rsidP="003C4597">
      <w:pPr>
        <w:jc w:val="both"/>
      </w:pPr>
      <w:r>
        <w:t xml:space="preserve">We wish to emphasise also the extent to which improving the quality and consumer use of consumer guarantees will over time improve the durability of </w:t>
      </w:r>
      <w:proofErr w:type="gramStart"/>
      <w:r>
        <w:t>goods, and</w:t>
      </w:r>
      <w:proofErr w:type="gramEnd"/>
      <w:r>
        <w:t xml:space="preserve"> simplify and reduce the cost of repairing them.</w:t>
      </w:r>
    </w:p>
    <w:p w14:paraId="524F2537" w14:textId="77777777" w:rsidR="003C4597" w:rsidRDefault="003C4597" w:rsidP="00624434">
      <w:pPr>
        <w:jc w:val="both"/>
      </w:pPr>
    </w:p>
    <w:p w14:paraId="371D072F" w14:textId="18DE2A8E" w:rsidR="007D478F" w:rsidRPr="006D27D9" w:rsidRDefault="006D27D9" w:rsidP="00624434">
      <w:pPr>
        <w:jc w:val="both"/>
        <w:rPr>
          <w:b/>
        </w:rPr>
      </w:pPr>
      <w:r>
        <w:t xml:space="preserve">We consider that a very broad approach is needed </w:t>
      </w:r>
      <w:r w:rsidR="003C4597">
        <w:t xml:space="preserve">to the inquiry </w:t>
      </w:r>
      <w:r>
        <w:t>to ensure that all the important issues</w:t>
      </w:r>
      <w:r w:rsidR="003C4597">
        <w:t>,</w:t>
      </w:r>
      <w:r>
        <w:t xml:space="preserve"> and the linkages between them</w:t>
      </w:r>
      <w:r w:rsidR="003C4597">
        <w:t>, are covered</w:t>
      </w:r>
      <w:r>
        <w:t>,</w:t>
      </w:r>
    </w:p>
    <w:p w14:paraId="3DC8EA56" w14:textId="77777777" w:rsidR="00624434" w:rsidRDefault="00624434" w:rsidP="00624434">
      <w:pPr>
        <w:jc w:val="both"/>
      </w:pPr>
    </w:p>
    <w:p w14:paraId="274A7326" w14:textId="6C195343" w:rsidR="006D27D9" w:rsidRPr="00C47793" w:rsidRDefault="006D27D9" w:rsidP="006D27D9">
      <w:pPr>
        <w:jc w:val="both"/>
        <w:rPr>
          <w:color w:val="000000"/>
          <w:lang w:eastAsia="en-AU"/>
        </w:rPr>
      </w:pPr>
      <w:r w:rsidRPr="00C47793">
        <w:t>The Issues Paper tends to focus on consumer goods that are software enabled and on machinery</w:t>
      </w:r>
      <w:r w:rsidR="00B25B59">
        <w:t xml:space="preserve"> (including motorised vehicles)</w:t>
      </w:r>
      <w:r w:rsidRPr="00C47793">
        <w:t xml:space="preserve">.  </w:t>
      </w:r>
      <w:r w:rsidR="00C47793" w:rsidRPr="00C47793">
        <w:t>However</w:t>
      </w:r>
      <w:r w:rsidRPr="00C47793">
        <w:t xml:space="preserve">, we consider that this approach is too narrow </w:t>
      </w:r>
      <w:r w:rsidR="00800064">
        <w:t>because</w:t>
      </w:r>
      <w:r w:rsidRPr="00C47793">
        <w:t xml:space="preserve"> t</w:t>
      </w:r>
      <w:r w:rsidRPr="00C47793">
        <w:rPr>
          <w:color w:val="000000"/>
          <w:lang w:eastAsia="en-AU"/>
        </w:rPr>
        <w:t xml:space="preserve">here are major problems with the life/durability/repair/ replacement/ </w:t>
      </w:r>
      <w:r w:rsidR="00C47793" w:rsidRPr="00C47793">
        <w:rPr>
          <w:color w:val="000000"/>
          <w:lang w:eastAsia="en-AU"/>
        </w:rPr>
        <w:lastRenderedPageBreak/>
        <w:t>disposal</w:t>
      </w:r>
      <w:r w:rsidRPr="00C47793">
        <w:rPr>
          <w:color w:val="000000"/>
          <w:lang w:eastAsia="en-AU"/>
        </w:rPr>
        <w:t xml:space="preserve">, etc. </w:t>
      </w:r>
      <w:r w:rsidR="00010E6D">
        <w:rPr>
          <w:color w:val="000000"/>
          <w:lang w:eastAsia="en-AU"/>
        </w:rPr>
        <w:t xml:space="preserve">of </w:t>
      </w:r>
      <w:r w:rsidR="00C47793" w:rsidRPr="00C47793">
        <w:rPr>
          <w:color w:val="000000"/>
          <w:lang w:eastAsia="en-AU"/>
        </w:rPr>
        <w:t>many other</w:t>
      </w:r>
      <w:r w:rsidRPr="00C47793">
        <w:rPr>
          <w:color w:val="000000"/>
          <w:lang w:eastAsia="en-AU"/>
        </w:rPr>
        <w:t xml:space="preserve"> types </w:t>
      </w:r>
      <w:r w:rsidR="00C47793">
        <w:rPr>
          <w:color w:val="000000"/>
          <w:lang w:eastAsia="en-AU"/>
        </w:rPr>
        <w:t xml:space="preserve">of </w:t>
      </w:r>
      <w:r w:rsidRPr="00C47793">
        <w:rPr>
          <w:color w:val="000000"/>
          <w:lang w:eastAsia="en-AU"/>
        </w:rPr>
        <w:t>goods</w:t>
      </w:r>
      <w:r w:rsidR="00B25B59">
        <w:rPr>
          <w:color w:val="000000"/>
          <w:lang w:eastAsia="en-AU"/>
        </w:rPr>
        <w:t>.</w:t>
      </w:r>
      <w:r w:rsidRPr="00C47793">
        <w:rPr>
          <w:color w:val="000000"/>
          <w:lang w:eastAsia="en-AU"/>
        </w:rPr>
        <w:t xml:space="preserve"> </w:t>
      </w:r>
      <w:r w:rsidR="00B25B59">
        <w:rPr>
          <w:color w:val="000000"/>
          <w:lang w:eastAsia="en-AU"/>
        </w:rPr>
        <w:t xml:space="preserve">Examples of these </w:t>
      </w:r>
      <w:proofErr w:type="gramStart"/>
      <w:r w:rsidR="00B25B59">
        <w:rPr>
          <w:color w:val="000000"/>
          <w:lang w:eastAsia="en-AU"/>
        </w:rPr>
        <w:t>include:</w:t>
      </w:r>
      <w:proofErr w:type="gramEnd"/>
      <w:r w:rsidR="00B25B59">
        <w:rPr>
          <w:color w:val="000000"/>
          <w:lang w:eastAsia="en-AU"/>
        </w:rPr>
        <w:t xml:space="preserve"> small unsophisticated household electrical appliances; </w:t>
      </w:r>
      <w:r w:rsidRPr="00C47793">
        <w:rPr>
          <w:color w:val="000000"/>
          <w:lang w:eastAsia="en-AU"/>
        </w:rPr>
        <w:t>furniture</w:t>
      </w:r>
      <w:r w:rsidR="00800064">
        <w:rPr>
          <w:color w:val="000000"/>
          <w:lang w:eastAsia="en-AU"/>
        </w:rPr>
        <w:t>;</w:t>
      </w:r>
      <w:r w:rsidRPr="00C47793">
        <w:rPr>
          <w:color w:val="000000"/>
          <w:lang w:eastAsia="en-AU"/>
        </w:rPr>
        <w:t xml:space="preserve"> </w:t>
      </w:r>
      <w:r w:rsidR="00800064">
        <w:rPr>
          <w:color w:val="000000"/>
          <w:lang w:eastAsia="en-AU"/>
        </w:rPr>
        <w:t xml:space="preserve">floor </w:t>
      </w:r>
      <w:r w:rsidR="00800064" w:rsidRPr="00C47793">
        <w:rPr>
          <w:color w:val="000000"/>
          <w:lang w:eastAsia="en-AU"/>
        </w:rPr>
        <w:t>coverings, clothes</w:t>
      </w:r>
      <w:r w:rsidRPr="00C47793">
        <w:rPr>
          <w:color w:val="000000"/>
          <w:lang w:eastAsia="en-AU"/>
        </w:rPr>
        <w:t>, bedding</w:t>
      </w:r>
      <w:r w:rsidR="00800064">
        <w:rPr>
          <w:color w:val="000000"/>
          <w:lang w:eastAsia="en-AU"/>
        </w:rPr>
        <w:t xml:space="preserve"> </w:t>
      </w:r>
      <w:r w:rsidRPr="00C47793">
        <w:rPr>
          <w:color w:val="000000"/>
          <w:lang w:eastAsia="en-AU"/>
        </w:rPr>
        <w:t>and other items made from fabric</w:t>
      </w:r>
      <w:r w:rsidR="00800064">
        <w:rPr>
          <w:color w:val="000000"/>
          <w:lang w:eastAsia="en-AU"/>
        </w:rPr>
        <w:t>;</w:t>
      </w:r>
      <w:r w:rsidRPr="00C47793">
        <w:rPr>
          <w:color w:val="000000"/>
          <w:lang w:eastAsia="en-AU"/>
        </w:rPr>
        <w:t xml:space="preserve"> footwear</w:t>
      </w:r>
      <w:r w:rsidR="00800064">
        <w:rPr>
          <w:color w:val="000000"/>
          <w:lang w:eastAsia="en-AU"/>
        </w:rPr>
        <w:t xml:space="preserve">; </w:t>
      </w:r>
      <w:r w:rsidR="00B25B59">
        <w:rPr>
          <w:color w:val="000000"/>
          <w:lang w:eastAsia="en-AU"/>
        </w:rPr>
        <w:t>kitchenware</w:t>
      </w:r>
      <w:r w:rsidR="00800064">
        <w:rPr>
          <w:color w:val="000000"/>
          <w:lang w:eastAsia="en-AU"/>
        </w:rPr>
        <w:t>;</w:t>
      </w:r>
      <w:r w:rsidRPr="00C47793">
        <w:rPr>
          <w:color w:val="000000"/>
          <w:lang w:eastAsia="en-AU"/>
        </w:rPr>
        <w:t xml:space="preserve"> camping equipment</w:t>
      </w:r>
      <w:r w:rsidR="00800064">
        <w:rPr>
          <w:color w:val="000000"/>
          <w:lang w:eastAsia="en-AU"/>
        </w:rPr>
        <w:t>;</w:t>
      </w:r>
      <w:r w:rsidRPr="00C47793">
        <w:rPr>
          <w:color w:val="000000"/>
          <w:lang w:eastAsia="en-AU"/>
        </w:rPr>
        <w:t xml:space="preserve"> tap</w:t>
      </w:r>
      <w:r w:rsidR="00B25B59">
        <w:rPr>
          <w:color w:val="000000"/>
          <w:lang w:eastAsia="en-AU"/>
        </w:rPr>
        <w:t>s</w:t>
      </w:r>
      <w:r w:rsidR="00C47793">
        <w:rPr>
          <w:color w:val="000000"/>
          <w:lang w:eastAsia="en-AU"/>
        </w:rPr>
        <w:t xml:space="preserve"> and </w:t>
      </w:r>
      <w:r w:rsidR="00B25B59">
        <w:rPr>
          <w:color w:val="000000"/>
          <w:lang w:eastAsia="en-AU"/>
        </w:rPr>
        <w:t xml:space="preserve">other </w:t>
      </w:r>
      <w:r w:rsidR="00C47793">
        <w:rPr>
          <w:color w:val="000000"/>
          <w:lang w:eastAsia="en-AU"/>
        </w:rPr>
        <w:t>building products</w:t>
      </w:r>
      <w:r w:rsidR="00800064">
        <w:rPr>
          <w:color w:val="000000"/>
          <w:lang w:eastAsia="en-AU"/>
        </w:rPr>
        <w:t>;</w:t>
      </w:r>
      <w:r w:rsidRPr="00C47793">
        <w:rPr>
          <w:color w:val="000000"/>
          <w:lang w:eastAsia="en-AU"/>
        </w:rPr>
        <w:t xml:space="preserve"> sporting and exercise equipment</w:t>
      </w:r>
      <w:r w:rsidR="00800064">
        <w:rPr>
          <w:color w:val="000000"/>
          <w:lang w:eastAsia="en-AU"/>
        </w:rPr>
        <w:t>;</w:t>
      </w:r>
      <w:r w:rsidRPr="00C47793">
        <w:rPr>
          <w:color w:val="000000"/>
          <w:lang w:eastAsia="en-AU"/>
        </w:rPr>
        <w:t xml:space="preserve"> bicycles</w:t>
      </w:r>
      <w:r w:rsidR="00800064">
        <w:rPr>
          <w:color w:val="000000"/>
          <w:lang w:eastAsia="en-AU"/>
        </w:rPr>
        <w:t>;</w:t>
      </w:r>
      <w:r w:rsidRPr="00C47793">
        <w:rPr>
          <w:color w:val="000000"/>
          <w:lang w:eastAsia="en-AU"/>
        </w:rPr>
        <w:t xml:space="preserve"> prams</w:t>
      </w:r>
      <w:r w:rsidR="00010E6D">
        <w:rPr>
          <w:color w:val="000000"/>
          <w:lang w:eastAsia="en-AU"/>
        </w:rPr>
        <w:t xml:space="preserve"> and strollers;</w:t>
      </w:r>
      <w:r w:rsidRPr="00C47793">
        <w:rPr>
          <w:color w:val="000000"/>
          <w:lang w:eastAsia="en-AU"/>
        </w:rPr>
        <w:t xml:space="preserve"> </w:t>
      </w:r>
      <w:r w:rsidR="00800064">
        <w:rPr>
          <w:color w:val="000000"/>
          <w:lang w:eastAsia="en-AU"/>
        </w:rPr>
        <w:t>travel goods;</w:t>
      </w:r>
      <w:r w:rsidR="00C47793">
        <w:rPr>
          <w:color w:val="000000"/>
          <w:lang w:eastAsia="en-AU"/>
        </w:rPr>
        <w:t xml:space="preserve"> </w:t>
      </w:r>
      <w:r w:rsidRPr="00C47793">
        <w:rPr>
          <w:color w:val="000000"/>
          <w:lang w:eastAsia="en-AU"/>
        </w:rPr>
        <w:t>etc</w:t>
      </w:r>
      <w:r w:rsidR="00800064">
        <w:rPr>
          <w:color w:val="000000"/>
          <w:lang w:eastAsia="en-AU"/>
        </w:rPr>
        <w:t>. Th</w:t>
      </w:r>
      <w:r w:rsidRPr="00C47793">
        <w:rPr>
          <w:color w:val="000000"/>
          <w:lang w:eastAsia="en-AU"/>
        </w:rPr>
        <w:t>e inquiry must ensure that these types of goods are adequately covered.</w:t>
      </w:r>
    </w:p>
    <w:p w14:paraId="718DBCBA" w14:textId="77777777" w:rsidR="006D27D9" w:rsidRPr="00C47793" w:rsidRDefault="006D27D9" w:rsidP="00624434">
      <w:pPr>
        <w:jc w:val="both"/>
      </w:pPr>
    </w:p>
    <w:p w14:paraId="4C827FBC" w14:textId="6C48CCD2" w:rsidR="006D27D9" w:rsidRPr="00C47793" w:rsidRDefault="006D27D9" w:rsidP="00624434">
      <w:pPr>
        <w:jc w:val="both"/>
      </w:pPr>
      <w:r w:rsidRPr="00C47793">
        <w:t>Numerous change</w:t>
      </w:r>
      <w:r w:rsidR="00C47793">
        <w:t>s</w:t>
      </w:r>
      <w:r w:rsidRPr="00C47793">
        <w:t xml:space="preserve"> are need</w:t>
      </w:r>
      <w:r w:rsidR="004E14DA">
        <w:t>ed</w:t>
      </w:r>
      <w:r w:rsidRPr="00C47793">
        <w:t xml:space="preserve"> to the Australian </w:t>
      </w:r>
      <w:r w:rsidR="00C47793" w:rsidRPr="00C47793">
        <w:t>Consumer</w:t>
      </w:r>
      <w:r w:rsidRPr="00C47793">
        <w:t xml:space="preserve"> Law </w:t>
      </w:r>
      <w:r w:rsidR="00034052" w:rsidRPr="00C47793">
        <w:t xml:space="preserve">and its </w:t>
      </w:r>
      <w:r w:rsidR="00C47793" w:rsidRPr="00C47793">
        <w:t>administration including</w:t>
      </w:r>
      <w:r w:rsidRPr="00C47793">
        <w:t>:</w:t>
      </w:r>
    </w:p>
    <w:p w14:paraId="186A4B44" w14:textId="0274693D" w:rsidR="00034052" w:rsidRPr="00C47793" w:rsidRDefault="00034052" w:rsidP="00C47793">
      <w:pPr>
        <w:pStyle w:val="ListParagraph"/>
        <w:numPr>
          <w:ilvl w:val="0"/>
          <w:numId w:val="22"/>
        </w:numPr>
        <w:jc w:val="both"/>
      </w:pPr>
      <w:r w:rsidRPr="00C47793">
        <w:t xml:space="preserve">Prohibition of unfair trade </w:t>
      </w:r>
      <w:r w:rsidR="00C47793" w:rsidRPr="00C47793">
        <w:t>practices</w:t>
      </w:r>
      <w:r w:rsidR="00800064">
        <w:t>.</w:t>
      </w:r>
    </w:p>
    <w:p w14:paraId="658E2C98" w14:textId="6D8C0B38" w:rsidR="006D27D9" w:rsidRPr="00C47793" w:rsidRDefault="00034052" w:rsidP="00C47793">
      <w:pPr>
        <w:pStyle w:val="ListParagraph"/>
        <w:numPr>
          <w:ilvl w:val="0"/>
          <w:numId w:val="22"/>
        </w:numPr>
        <w:jc w:val="both"/>
      </w:pPr>
      <w:r w:rsidRPr="00C47793">
        <w:t xml:space="preserve">Consumer </w:t>
      </w:r>
      <w:r w:rsidR="00C47793">
        <w:t>access</w:t>
      </w:r>
      <w:r w:rsidR="006D27D9" w:rsidRPr="00C47793">
        <w:t xml:space="preserve"> to </w:t>
      </w:r>
      <w:r w:rsidR="00C47793" w:rsidRPr="00C47793">
        <w:t>improved</w:t>
      </w:r>
      <w:r w:rsidR="006D27D9" w:rsidRPr="00C47793">
        <w:t xml:space="preserve"> </w:t>
      </w:r>
      <w:r w:rsidR="00C47793">
        <w:t xml:space="preserve">free </w:t>
      </w:r>
      <w:r w:rsidR="00C47793" w:rsidRPr="00C47793">
        <w:t>external</w:t>
      </w:r>
      <w:r w:rsidR="006D27D9" w:rsidRPr="00C47793">
        <w:t xml:space="preserve"> </w:t>
      </w:r>
      <w:r w:rsidR="00C47793" w:rsidRPr="00C47793">
        <w:t>dispute</w:t>
      </w:r>
      <w:r w:rsidR="006D27D9" w:rsidRPr="00C47793">
        <w:t xml:space="preserve"> resolution services.</w:t>
      </w:r>
    </w:p>
    <w:p w14:paraId="09719FED" w14:textId="6CC55B5A" w:rsidR="006D27D9" w:rsidRPr="00C47793" w:rsidRDefault="00C47793" w:rsidP="00C47793">
      <w:pPr>
        <w:pStyle w:val="ListParagraph"/>
        <w:numPr>
          <w:ilvl w:val="0"/>
          <w:numId w:val="22"/>
        </w:numPr>
        <w:jc w:val="both"/>
      </w:pPr>
      <w:r w:rsidRPr="00C47793">
        <w:t>Improve</w:t>
      </w:r>
      <w:r w:rsidR="00034052" w:rsidRPr="00C47793">
        <w:t xml:space="preserve"> </w:t>
      </w:r>
      <w:r w:rsidRPr="00C47793">
        <w:t>enforcement</w:t>
      </w:r>
      <w:r w:rsidR="00034052" w:rsidRPr="00C47793">
        <w:t xml:space="preserve"> of </w:t>
      </w:r>
      <w:r w:rsidRPr="00C47793">
        <w:t>consumer</w:t>
      </w:r>
      <w:r w:rsidR="00034052" w:rsidRPr="00C47793">
        <w:t xml:space="preserve"> </w:t>
      </w:r>
      <w:r w:rsidRPr="00C47793">
        <w:t>guarantees</w:t>
      </w:r>
      <w:r w:rsidR="00800064">
        <w:t>.</w:t>
      </w:r>
    </w:p>
    <w:p w14:paraId="28788317" w14:textId="6A4E6E86" w:rsidR="00034052" w:rsidRPr="00C47793" w:rsidRDefault="00CA204A" w:rsidP="00C47793">
      <w:pPr>
        <w:pStyle w:val="ListParagraph"/>
        <w:numPr>
          <w:ilvl w:val="0"/>
          <w:numId w:val="22"/>
        </w:numPr>
        <w:jc w:val="both"/>
      </w:pPr>
      <w:r w:rsidRPr="00C47793">
        <w:t xml:space="preserve">Mandatory </w:t>
      </w:r>
      <w:r w:rsidR="00C47793" w:rsidRPr="00C47793">
        <w:t>provision</w:t>
      </w:r>
      <w:r w:rsidR="00034052" w:rsidRPr="00C47793">
        <w:t xml:space="preserve"> </w:t>
      </w:r>
      <w:r w:rsidR="006D27D9" w:rsidRPr="00C47793">
        <w:t xml:space="preserve">at </w:t>
      </w:r>
      <w:r w:rsidR="00C47793" w:rsidRPr="00C47793">
        <w:t>time</w:t>
      </w:r>
      <w:r w:rsidR="006D27D9" w:rsidRPr="00C47793">
        <w:t xml:space="preserve"> of </w:t>
      </w:r>
      <w:r w:rsidR="00C47793" w:rsidRPr="00C47793">
        <w:t>purchase</w:t>
      </w:r>
      <w:r w:rsidR="006D27D9" w:rsidRPr="00C47793">
        <w:t xml:space="preserve"> </w:t>
      </w:r>
      <w:r w:rsidR="00C47793">
        <w:t>of</w:t>
      </w:r>
      <w:r w:rsidR="006D27D9" w:rsidRPr="00C47793">
        <w:t xml:space="preserve"> </w:t>
      </w:r>
      <w:r w:rsidR="00C47793" w:rsidRPr="00C47793">
        <w:t>comparable</w:t>
      </w:r>
      <w:r w:rsidR="006D27D9" w:rsidRPr="00C47793">
        <w:t xml:space="preserve"> </w:t>
      </w:r>
      <w:r w:rsidR="00C47793" w:rsidRPr="00C47793">
        <w:t>information</w:t>
      </w:r>
      <w:r w:rsidR="006D27D9" w:rsidRPr="00C47793">
        <w:t xml:space="preserve"> about the likely minimum life of a good and how long spare</w:t>
      </w:r>
      <w:r w:rsidR="00C47793">
        <w:t xml:space="preserve"> parts</w:t>
      </w:r>
      <w:r w:rsidR="006D27D9" w:rsidRPr="00C47793">
        <w:t xml:space="preserve"> </w:t>
      </w:r>
      <w:r w:rsidR="00C47793" w:rsidRPr="00C47793">
        <w:t>will</w:t>
      </w:r>
      <w:r w:rsidR="006D27D9" w:rsidRPr="00C47793">
        <w:t xml:space="preserve"> be available</w:t>
      </w:r>
      <w:r w:rsidR="00034052" w:rsidRPr="00C47793">
        <w:t>.</w:t>
      </w:r>
    </w:p>
    <w:p w14:paraId="678E4611" w14:textId="3FE67C71" w:rsidR="006D27D9" w:rsidRPr="00C47793" w:rsidRDefault="00034052" w:rsidP="00C47793">
      <w:pPr>
        <w:pStyle w:val="ListParagraph"/>
        <w:numPr>
          <w:ilvl w:val="0"/>
          <w:numId w:val="22"/>
        </w:numPr>
        <w:jc w:val="both"/>
      </w:pPr>
      <w:r w:rsidRPr="00C47793">
        <w:t xml:space="preserve">Increased, and ongoing, </w:t>
      </w:r>
      <w:r w:rsidR="00C47793" w:rsidRPr="00C47793">
        <w:t>consume</w:t>
      </w:r>
      <w:r w:rsidR="00C47793">
        <w:t>r</w:t>
      </w:r>
      <w:r w:rsidRPr="00C47793">
        <w:t xml:space="preserve"> education</w:t>
      </w:r>
      <w:r w:rsidRPr="00C47793">
        <w:rPr>
          <w:rStyle w:val="FootnoteReference"/>
        </w:rPr>
        <w:footnoteReference w:id="1"/>
      </w:r>
      <w:r w:rsidRPr="00C47793">
        <w:t xml:space="preserve"> </w:t>
      </w:r>
      <w:r w:rsidR="00800064" w:rsidRPr="00C47793">
        <w:t xml:space="preserve">(including </w:t>
      </w:r>
      <w:r w:rsidR="00800064">
        <w:t xml:space="preserve">for CALD </w:t>
      </w:r>
      <w:r w:rsidR="00800064" w:rsidRPr="00C47793">
        <w:t>consume</w:t>
      </w:r>
      <w:r w:rsidR="00800064">
        <w:t>rs</w:t>
      </w:r>
      <w:r w:rsidR="00800064" w:rsidRPr="00C47793">
        <w:t>)</w:t>
      </w:r>
      <w:r w:rsidR="004E14DA">
        <w:t xml:space="preserve"> </w:t>
      </w:r>
      <w:r w:rsidRPr="00C47793">
        <w:t>on the existence of, and h</w:t>
      </w:r>
      <w:r w:rsidR="00C47793">
        <w:t>ow</w:t>
      </w:r>
      <w:r w:rsidRPr="00C47793">
        <w:t xml:space="preserve"> to use, the consumer </w:t>
      </w:r>
      <w:r w:rsidR="00C47793" w:rsidRPr="00C47793">
        <w:t>guarantees</w:t>
      </w:r>
      <w:r w:rsidRPr="00C47793">
        <w:t>.</w:t>
      </w:r>
    </w:p>
    <w:p w14:paraId="0E4B3643" w14:textId="77777777" w:rsidR="00034052" w:rsidRPr="00C47793" w:rsidRDefault="00034052" w:rsidP="00624434">
      <w:pPr>
        <w:jc w:val="both"/>
      </w:pPr>
    </w:p>
    <w:p w14:paraId="154BE052" w14:textId="41FDBBE1" w:rsidR="006D27D9" w:rsidRPr="00C47793" w:rsidRDefault="00C47793" w:rsidP="00624434">
      <w:pPr>
        <w:jc w:val="both"/>
      </w:pPr>
      <w:r>
        <w:t>Any i</w:t>
      </w:r>
      <w:r w:rsidR="00CA204A" w:rsidRPr="00C47793">
        <w:t xml:space="preserve">mproved rights to repair must not </w:t>
      </w:r>
      <w:r w:rsidRPr="00C47793">
        <w:t>adversely</w:t>
      </w:r>
      <w:r w:rsidR="00CA204A" w:rsidRPr="00C47793">
        <w:t xml:space="preserve"> affect ability </w:t>
      </w:r>
      <w:r w:rsidRPr="00C47793">
        <w:t>replacement</w:t>
      </w:r>
      <w:r w:rsidR="00CA204A" w:rsidRPr="00C47793">
        <w:t xml:space="preserve"> </w:t>
      </w:r>
      <w:r w:rsidR="00010E6D">
        <w:t>and refund rights.</w:t>
      </w:r>
    </w:p>
    <w:p w14:paraId="45C32DB2" w14:textId="3B75DD2C" w:rsidR="00CA204A" w:rsidRPr="00C47793" w:rsidRDefault="00CA204A" w:rsidP="00AF7565">
      <w:pPr>
        <w:suppressAutoHyphens w:val="0"/>
        <w:spacing w:before="100" w:beforeAutospacing="1" w:after="195"/>
        <w:jc w:val="both"/>
        <w:rPr>
          <w:color w:val="000000"/>
          <w:lang w:eastAsia="en-AU"/>
        </w:rPr>
      </w:pPr>
      <w:r w:rsidRPr="00C47793">
        <w:t xml:space="preserve">Much more needs </w:t>
      </w:r>
      <w:r w:rsidR="00C47793">
        <w:t>to</w:t>
      </w:r>
      <w:r w:rsidRPr="00C47793">
        <w:t xml:space="preserve"> </w:t>
      </w:r>
      <w:proofErr w:type="gramStart"/>
      <w:r w:rsidRPr="00C47793">
        <w:t>done</w:t>
      </w:r>
      <w:proofErr w:type="gramEnd"/>
      <w:r w:rsidRPr="00C47793">
        <w:t xml:space="preserve"> to </w:t>
      </w:r>
      <w:r w:rsidR="00010E6D">
        <w:t xml:space="preserve">increase </w:t>
      </w:r>
      <w:r w:rsidR="00C47793" w:rsidRPr="00C47793">
        <w:t>consumer</w:t>
      </w:r>
      <w:r w:rsidRPr="00C47793">
        <w:t xml:space="preserve"> awar</w:t>
      </w:r>
      <w:r w:rsidR="00C47793" w:rsidRPr="00C47793">
        <w:t>e</w:t>
      </w:r>
      <w:r w:rsidR="00010E6D">
        <w:t>ness</w:t>
      </w:r>
      <w:r w:rsidRPr="00C47793">
        <w:t xml:space="preserve"> of the </w:t>
      </w:r>
      <w:r w:rsidR="00C47793" w:rsidRPr="00C47793">
        <w:t>opportunities</w:t>
      </w:r>
      <w:r w:rsidRPr="00C47793">
        <w:t xml:space="preserve"> to </w:t>
      </w:r>
      <w:r w:rsidR="00C47793" w:rsidRPr="00C47793">
        <w:t xml:space="preserve">make </w:t>
      </w:r>
      <w:r w:rsidRPr="00C47793">
        <w:t xml:space="preserve">simple repairs </w:t>
      </w:r>
      <w:r w:rsidR="00010E6D">
        <w:t xml:space="preserve">to goods </w:t>
      </w:r>
      <w:r w:rsidR="00C47793">
        <w:t>themselves</w:t>
      </w:r>
      <w:r w:rsidR="00C47793" w:rsidRPr="00C47793">
        <w:rPr>
          <w:rStyle w:val="FootnoteReference"/>
        </w:rPr>
        <w:footnoteReference w:id="2"/>
      </w:r>
      <w:r w:rsidR="00C47793" w:rsidRPr="00C47793">
        <w:t>. For example, many</w:t>
      </w:r>
      <w:r w:rsidRPr="00C47793">
        <w:t xml:space="preserve"> </w:t>
      </w:r>
      <w:r w:rsidR="00C47793" w:rsidRPr="00C47793">
        <w:t>products</w:t>
      </w:r>
      <w:r w:rsidRPr="00C47793">
        <w:t xml:space="preserve"> have plastic covers</w:t>
      </w:r>
      <w:r w:rsidR="00010E6D">
        <w:t>,</w:t>
      </w:r>
      <w:r w:rsidRPr="00C47793">
        <w:t xml:space="preserve"> </w:t>
      </w:r>
      <w:r w:rsidR="00C47793" w:rsidRPr="00C47793">
        <w:t>or are made of pla</w:t>
      </w:r>
      <w:r w:rsidR="004E14DA">
        <w:t xml:space="preserve">stic </w:t>
      </w:r>
      <w:r w:rsidRPr="00C47793">
        <w:t>which often can be easily</w:t>
      </w:r>
      <w:r w:rsidR="004E14DA">
        <w:t xml:space="preserve">, </w:t>
      </w:r>
      <w:proofErr w:type="gramStart"/>
      <w:r w:rsidR="004E14DA">
        <w:t>cheaply</w:t>
      </w:r>
      <w:proofErr w:type="gramEnd"/>
      <w:r w:rsidRPr="00C47793">
        <w:t xml:space="preserve"> and </w:t>
      </w:r>
      <w:r w:rsidR="004E14DA" w:rsidRPr="00C47793">
        <w:t>effectively</w:t>
      </w:r>
      <w:r w:rsidRPr="00C47793">
        <w:t xml:space="preserve"> repaired using one of the very wide </w:t>
      </w:r>
      <w:r w:rsidR="004E14DA" w:rsidRPr="00C47793">
        <w:t>range</w:t>
      </w:r>
      <w:r w:rsidRPr="00C47793">
        <w:t xml:space="preserve"> o</w:t>
      </w:r>
      <w:r w:rsidR="00010E6D">
        <w:t>f</w:t>
      </w:r>
      <w:r w:rsidRPr="00C47793">
        <w:t xml:space="preserve"> adhesives </w:t>
      </w:r>
      <w:r w:rsidR="004E14DA">
        <w:t xml:space="preserve">now </w:t>
      </w:r>
      <w:r w:rsidRPr="00C47793">
        <w:t>available</w:t>
      </w:r>
      <w:r w:rsidR="00010E6D">
        <w:t xml:space="preserve"> to household consumers</w:t>
      </w:r>
      <w:r w:rsidRPr="00C47793">
        <w:t xml:space="preserve">. </w:t>
      </w:r>
      <w:r w:rsidR="004E14DA" w:rsidRPr="00C47793">
        <w:t>Similarly</w:t>
      </w:r>
      <w:r w:rsidRPr="00C47793">
        <w:t>, go</w:t>
      </w:r>
      <w:r w:rsidR="00C47793" w:rsidRPr="00C47793">
        <w:t>o</w:t>
      </w:r>
      <w:r w:rsidRPr="00C47793">
        <w:t xml:space="preserve">ds made of fabric can </w:t>
      </w:r>
      <w:r w:rsidR="004E14DA" w:rsidRPr="00C47793">
        <w:t>often</w:t>
      </w:r>
      <w:r w:rsidRPr="00C47793">
        <w:t xml:space="preserve"> be easily</w:t>
      </w:r>
      <w:r w:rsidR="004E14DA">
        <w:t xml:space="preserve"> </w:t>
      </w:r>
      <w:r w:rsidRPr="00C47793">
        <w:t xml:space="preserve">and </w:t>
      </w:r>
      <w:r w:rsidR="004E14DA" w:rsidRPr="00C47793">
        <w:t>quickly</w:t>
      </w:r>
      <w:r w:rsidRPr="00C47793">
        <w:t xml:space="preserve"> </w:t>
      </w:r>
      <w:r w:rsidR="004E14DA" w:rsidRPr="00C47793">
        <w:t>self-repaired</w:t>
      </w:r>
      <w:r w:rsidRPr="00C47793">
        <w:t xml:space="preserve">. </w:t>
      </w:r>
    </w:p>
    <w:p w14:paraId="1A51BB55" w14:textId="5508982F" w:rsidR="006D27D9" w:rsidRPr="00C47793" w:rsidRDefault="006D27D9" w:rsidP="00624434">
      <w:pPr>
        <w:jc w:val="both"/>
      </w:pPr>
    </w:p>
    <w:p w14:paraId="4C8C65DF" w14:textId="77777777" w:rsidR="006D27D9" w:rsidRDefault="006D27D9" w:rsidP="00624434">
      <w:pPr>
        <w:jc w:val="both"/>
      </w:pPr>
    </w:p>
    <w:p w14:paraId="71E435BD" w14:textId="77777777" w:rsidR="00154B65" w:rsidRDefault="00154B65" w:rsidP="00DD7CC9">
      <w:pPr>
        <w:jc w:val="both"/>
      </w:pPr>
    </w:p>
    <w:p w14:paraId="7E547987" w14:textId="77777777" w:rsidR="00AF7565" w:rsidRDefault="00AF7565" w:rsidP="00DD7CC9">
      <w:pPr>
        <w:jc w:val="both"/>
      </w:pPr>
    </w:p>
    <w:p w14:paraId="09C73D10" w14:textId="77777777" w:rsidR="00AF7565" w:rsidRDefault="00AF7565" w:rsidP="00DD7CC9">
      <w:pPr>
        <w:jc w:val="both"/>
      </w:pPr>
    </w:p>
    <w:p w14:paraId="3B7E3C98" w14:textId="77777777" w:rsidR="00AF7565" w:rsidRDefault="00AF7565" w:rsidP="00DD7CC9">
      <w:pPr>
        <w:jc w:val="both"/>
      </w:pPr>
    </w:p>
    <w:p w14:paraId="74E76C61" w14:textId="77777777" w:rsidR="00AF7565" w:rsidRDefault="00AF7565" w:rsidP="00DD7CC9">
      <w:pPr>
        <w:jc w:val="both"/>
      </w:pPr>
    </w:p>
    <w:p w14:paraId="6D35CB48" w14:textId="77777777" w:rsidR="00AF7565" w:rsidRDefault="00AF7565" w:rsidP="00DD7CC9">
      <w:pPr>
        <w:jc w:val="both"/>
      </w:pPr>
    </w:p>
    <w:p w14:paraId="43C487B6" w14:textId="77777777" w:rsidR="00AF7565" w:rsidRDefault="00AF7565" w:rsidP="00DD7CC9">
      <w:pPr>
        <w:jc w:val="both"/>
      </w:pPr>
    </w:p>
    <w:p w14:paraId="65972303" w14:textId="77777777" w:rsidR="00AF7565" w:rsidRDefault="00AF7565" w:rsidP="00DD7CC9">
      <w:pPr>
        <w:jc w:val="both"/>
      </w:pPr>
    </w:p>
    <w:p w14:paraId="720644F7" w14:textId="77777777" w:rsidR="00AF7565" w:rsidRDefault="00AF7565" w:rsidP="00DD7CC9">
      <w:pPr>
        <w:jc w:val="both"/>
      </w:pPr>
    </w:p>
    <w:p w14:paraId="6D10DC95" w14:textId="77777777" w:rsidR="00AF7565" w:rsidRDefault="00AF7565" w:rsidP="00DD7CC9">
      <w:pPr>
        <w:jc w:val="both"/>
      </w:pPr>
    </w:p>
    <w:p w14:paraId="3AEB21FC" w14:textId="77777777" w:rsidR="00AF7565" w:rsidRDefault="00AF7565" w:rsidP="00DD7CC9">
      <w:pPr>
        <w:jc w:val="both"/>
      </w:pPr>
    </w:p>
    <w:p w14:paraId="6983A313" w14:textId="77777777" w:rsidR="00AF7565" w:rsidRDefault="00AF7565" w:rsidP="00DD7CC9">
      <w:pPr>
        <w:jc w:val="both"/>
      </w:pPr>
    </w:p>
    <w:p w14:paraId="7A140AA2" w14:textId="77777777" w:rsidR="00AF7565" w:rsidRDefault="00AF7565" w:rsidP="00DD7CC9">
      <w:pPr>
        <w:jc w:val="both"/>
      </w:pPr>
    </w:p>
    <w:p w14:paraId="7590A679" w14:textId="77777777" w:rsidR="00AF7565" w:rsidRDefault="00AF7565" w:rsidP="00DD7CC9">
      <w:pPr>
        <w:jc w:val="both"/>
      </w:pPr>
    </w:p>
    <w:p w14:paraId="494F5BC7" w14:textId="77777777" w:rsidR="00AF7565" w:rsidRDefault="00AF7565" w:rsidP="00DD7CC9">
      <w:pPr>
        <w:jc w:val="both"/>
      </w:pPr>
    </w:p>
    <w:p w14:paraId="0480C9D2" w14:textId="77777777" w:rsidR="00AF7565" w:rsidRDefault="00AF7565" w:rsidP="00DD7CC9">
      <w:pPr>
        <w:jc w:val="both"/>
      </w:pPr>
    </w:p>
    <w:p w14:paraId="5BCB3FAD" w14:textId="77777777" w:rsidR="00AF7565" w:rsidRDefault="00AF7565" w:rsidP="00DD7CC9">
      <w:pPr>
        <w:jc w:val="both"/>
      </w:pPr>
    </w:p>
    <w:p w14:paraId="2988BEC3" w14:textId="77777777" w:rsidR="00AF7565" w:rsidRPr="00012182" w:rsidRDefault="00AF7565" w:rsidP="00AF7565">
      <w:pPr>
        <w:snapToGrid w:val="0"/>
        <w:rPr>
          <w:b/>
          <w:u w:val="single"/>
        </w:rPr>
      </w:pPr>
      <w:r w:rsidRPr="00012182">
        <w:rPr>
          <w:b/>
          <w:u w:val="single"/>
        </w:rPr>
        <w:t xml:space="preserve">Attachment </w:t>
      </w:r>
    </w:p>
    <w:p w14:paraId="7E0AFE9A" w14:textId="532DB36B" w:rsidR="00AF7565" w:rsidRPr="00012182" w:rsidRDefault="00AF7565" w:rsidP="00AF7565">
      <w:pPr>
        <w:snapToGrid w:val="0"/>
      </w:pPr>
      <w:r w:rsidRPr="00012182">
        <w:t xml:space="preserve">Contact person: Professor Justin </w:t>
      </w:r>
      <w:proofErr w:type="spellStart"/>
      <w:r w:rsidRPr="00012182">
        <w:t>Malbon</w:t>
      </w:r>
      <w:proofErr w:type="spellEnd"/>
      <w:r w:rsidRPr="00012182">
        <w:t xml:space="preserve"> </w:t>
      </w:r>
    </w:p>
    <w:p w14:paraId="37E7E72E" w14:textId="77777777" w:rsidR="00AF7565" w:rsidRDefault="00AF7565" w:rsidP="00AF7565">
      <w:pPr>
        <w:snapToGrid w:val="0"/>
        <w:jc w:val="center"/>
        <w:rPr>
          <w:b/>
        </w:rPr>
      </w:pPr>
    </w:p>
    <w:p w14:paraId="06D649E4" w14:textId="5B61AB38" w:rsidR="00AF7565" w:rsidRPr="00AF7565" w:rsidRDefault="00AF7565" w:rsidP="00AF7565">
      <w:pPr>
        <w:snapToGrid w:val="0"/>
        <w:jc w:val="center"/>
        <w:rPr>
          <w:b/>
          <w:sz w:val="32"/>
          <w:szCs w:val="32"/>
        </w:rPr>
      </w:pPr>
      <w:r w:rsidRPr="00AF7565">
        <w:rPr>
          <w:b/>
          <w:sz w:val="32"/>
          <w:szCs w:val="32"/>
        </w:rPr>
        <w:t>Proposal for a more effective policy development process</w:t>
      </w:r>
    </w:p>
    <w:p w14:paraId="378657ED" w14:textId="77777777" w:rsidR="00AF7565" w:rsidRDefault="00AF7565" w:rsidP="00AF7565">
      <w:pPr>
        <w:snapToGrid w:val="0"/>
        <w:rPr>
          <w:b/>
        </w:rPr>
      </w:pPr>
    </w:p>
    <w:p w14:paraId="65DD71B0" w14:textId="77777777" w:rsidR="00AF7565" w:rsidRPr="00012182" w:rsidRDefault="00AF7565" w:rsidP="00AF7565">
      <w:pPr>
        <w:snapToGrid w:val="0"/>
        <w:rPr>
          <w:b/>
        </w:rPr>
      </w:pPr>
      <w:r w:rsidRPr="00012182">
        <w:rPr>
          <w:b/>
        </w:rPr>
        <w:t>Introduction</w:t>
      </w:r>
    </w:p>
    <w:p w14:paraId="7B5F602D" w14:textId="77777777" w:rsidR="00AF7565" w:rsidRPr="00012182" w:rsidRDefault="00AF7565" w:rsidP="00AF7565">
      <w:pPr>
        <w:snapToGrid w:val="0"/>
        <w:jc w:val="both"/>
      </w:pPr>
      <w:r w:rsidRPr="00012182">
        <w:t>Our concern is about the policy-making process. By and large it does not give sufficient regard to the ‘real world’ likely impacts of proposed legislative and other reforms. For instance, section 54 ACL (consumer guarantees) sets a Rule that provides an excellent staking out of consumer rights. However, the Rule, together with the other provisions of the ACL, when examined in real-world circumstances does not provide sufficient capacity for consumers to gain the benefit of the Rule. The onus is on consumers and under-resourced regulators to take risky and expensive legal action to give effect to the Rule.</w:t>
      </w:r>
    </w:p>
    <w:p w14:paraId="17AEE38C" w14:textId="77777777" w:rsidR="002D72E2" w:rsidRDefault="002D72E2" w:rsidP="00AF7565">
      <w:pPr>
        <w:snapToGrid w:val="0"/>
        <w:jc w:val="both"/>
      </w:pPr>
    </w:p>
    <w:p w14:paraId="2B5C3ED0" w14:textId="676CFE38" w:rsidR="002D72E2" w:rsidRPr="002D72E2" w:rsidRDefault="002D72E2" w:rsidP="00AF7565">
      <w:pPr>
        <w:snapToGrid w:val="0"/>
        <w:jc w:val="both"/>
        <w:rPr>
          <w:b/>
        </w:rPr>
      </w:pPr>
      <w:r w:rsidRPr="002D72E2">
        <w:rPr>
          <w:b/>
        </w:rPr>
        <w:t>Proposal</w:t>
      </w:r>
    </w:p>
    <w:p w14:paraId="14F98620" w14:textId="293675C4" w:rsidR="00AF7565" w:rsidRDefault="00AF7565" w:rsidP="00AF7565">
      <w:pPr>
        <w:snapToGrid w:val="0"/>
        <w:jc w:val="both"/>
      </w:pPr>
      <w:r w:rsidRPr="00012182">
        <w:t xml:space="preserve">We suggest the policy development </w:t>
      </w:r>
      <w:r w:rsidRPr="00012182">
        <w:rPr>
          <w:i/>
          <w:iCs/>
        </w:rPr>
        <w:t>process</w:t>
      </w:r>
      <w:r w:rsidRPr="00012182">
        <w:t xml:space="preserve"> take these steps when considering reform measures relating to consumer-business relationships:</w:t>
      </w:r>
    </w:p>
    <w:p w14:paraId="2950A776" w14:textId="77777777" w:rsidR="007C6B74" w:rsidRPr="00012182" w:rsidRDefault="007C6B74" w:rsidP="00AF7565">
      <w:pPr>
        <w:snapToGrid w:val="0"/>
        <w:jc w:val="both"/>
      </w:pPr>
    </w:p>
    <w:p w14:paraId="439B4321" w14:textId="77777777" w:rsidR="00AF7565" w:rsidRPr="00012182" w:rsidRDefault="00AF7565" w:rsidP="00AF7565">
      <w:pPr>
        <w:pStyle w:val="ListParagraph"/>
        <w:numPr>
          <w:ilvl w:val="0"/>
          <w:numId w:val="23"/>
        </w:numPr>
        <w:shd w:val="clear" w:color="auto" w:fill="FFFFFF"/>
        <w:suppressAutoHyphens w:val="0"/>
        <w:snapToGrid w:val="0"/>
        <w:spacing w:after="120"/>
        <w:contextualSpacing w:val="0"/>
        <w:jc w:val="both"/>
        <w:textAlignment w:val="baseline"/>
      </w:pPr>
      <w:r w:rsidRPr="00012182">
        <w:t>Consider where the power lies at various stages of the relationship. This is to be considered in real-world rather than abstract terms (which we explain further below).</w:t>
      </w:r>
    </w:p>
    <w:p w14:paraId="366B2A19" w14:textId="77777777" w:rsidR="00AF7565" w:rsidRPr="00012182" w:rsidRDefault="00AF7565" w:rsidP="00AF7565">
      <w:pPr>
        <w:pStyle w:val="ListParagraph"/>
        <w:numPr>
          <w:ilvl w:val="0"/>
          <w:numId w:val="23"/>
        </w:numPr>
        <w:shd w:val="clear" w:color="auto" w:fill="FFFFFF"/>
        <w:suppressAutoHyphens w:val="0"/>
        <w:snapToGrid w:val="0"/>
        <w:spacing w:after="120"/>
        <w:contextualSpacing w:val="0"/>
        <w:jc w:val="both"/>
        <w:textAlignment w:val="baseline"/>
      </w:pPr>
      <w:r w:rsidRPr="00012182">
        <w:t>If a power imbalance is identified as likely to arise, then measures and incentives should be explored that are likely have real-world impacts, to address the imbalance.</w:t>
      </w:r>
    </w:p>
    <w:p w14:paraId="7E9B3522" w14:textId="77777777" w:rsidR="00FB25CE" w:rsidRDefault="00FB25CE" w:rsidP="00AF7565">
      <w:pPr>
        <w:pStyle w:val="ListParagraph"/>
        <w:snapToGrid w:val="0"/>
        <w:ind w:left="0"/>
        <w:contextualSpacing w:val="0"/>
        <w:jc w:val="both"/>
      </w:pPr>
    </w:p>
    <w:p w14:paraId="483AC425" w14:textId="619DBD67" w:rsidR="00AF7565" w:rsidRPr="00012182" w:rsidRDefault="00AF7565" w:rsidP="00AF7565">
      <w:pPr>
        <w:pStyle w:val="ListParagraph"/>
        <w:snapToGrid w:val="0"/>
        <w:ind w:left="0"/>
        <w:contextualSpacing w:val="0"/>
        <w:jc w:val="both"/>
      </w:pPr>
      <w:r w:rsidRPr="00012182">
        <w:t xml:space="preserve">Step 1 involves framing the discussion in terms of the relative power of the parties (consumer-seller) at various stages of their relationship. In a lively, well </w:t>
      </w:r>
      <w:proofErr w:type="gramStart"/>
      <w:r w:rsidRPr="00012182">
        <w:t>informed</w:t>
      </w:r>
      <w:proofErr w:type="gramEnd"/>
      <w:r w:rsidRPr="00012182">
        <w:t xml:space="preserve"> and competitive marketplace power lies with the consumer up until the moment of purchase.</w:t>
      </w:r>
      <w:r w:rsidR="00C51B8D">
        <w:t xml:space="preserve"> </w:t>
      </w:r>
      <w:r w:rsidRPr="00012182">
        <w:t xml:space="preserve">The consumer has the power to decide whether to buy product A or B or C etc. After purchase, the power balance generally shifts to the seller, particularly if the product is defective and the seller has the real-world power to decide whether to repair or replace the product. </w:t>
      </w:r>
    </w:p>
    <w:p w14:paraId="4DC0B671" w14:textId="77777777" w:rsidR="00FB25CE" w:rsidRDefault="00FB25CE" w:rsidP="00AF7565">
      <w:pPr>
        <w:pStyle w:val="ListParagraph"/>
        <w:snapToGrid w:val="0"/>
        <w:ind w:left="0"/>
        <w:contextualSpacing w:val="0"/>
        <w:jc w:val="both"/>
      </w:pPr>
    </w:p>
    <w:p w14:paraId="118388B9" w14:textId="7361F43D" w:rsidR="00AF7565" w:rsidRPr="00012182" w:rsidRDefault="00AF7565" w:rsidP="00AF7565">
      <w:pPr>
        <w:pStyle w:val="ListParagraph"/>
        <w:snapToGrid w:val="0"/>
        <w:ind w:left="0"/>
        <w:contextualSpacing w:val="0"/>
        <w:jc w:val="both"/>
      </w:pPr>
      <w:r w:rsidRPr="00012182">
        <w:t>Section 54 ACL sets a Rule that allows a consumer to seek legal redress. This, at first view, rebalances the power dynamics between a seller who sells a defective product and the consumer. However, on real-world examination it can be seen consumers are</w:t>
      </w:r>
      <w:r w:rsidR="00C51B8D">
        <w:t xml:space="preserve"> </w:t>
      </w:r>
      <w:r w:rsidRPr="00012182">
        <w:t xml:space="preserve">disincentivised from enjoying the benefit of the Rule because they </w:t>
      </w:r>
      <w:proofErr w:type="gramStart"/>
      <w:r w:rsidRPr="00012182">
        <w:t>have to</w:t>
      </w:r>
      <w:proofErr w:type="gramEnd"/>
      <w:r w:rsidRPr="00012182">
        <w:t xml:space="preserve"> take risky and expensive legal action to rebalance the power relationship. The consumer disincentive in turn incentivises sellers to sell defective products, or at least not to bother too hard about providing quality after-sale service. We can see then, that despite the Rule the locus of power will in many (but not necessarily all) cases reside with the seller in post-sale settings.</w:t>
      </w:r>
    </w:p>
    <w:p w14:paraId="7523FDD1" w14:textId="77777777" w:rsidR="00FB25CE" w:rsidRDefault="00FB25CE" w:rsidP="00AF7565">
      <w:pPr>
        <w:pStyle w:val="ListParagraph"/>
        <w:snapToGrid w:val="0"/>
        <w:ind w:left="0"/>
        <w:contextualSpacing w:val="0"/>
        <w:jc w:val="both"/>
      </w:pPr>
    </w:p>
    <w:p w14:paraId="7E20ED68" w14:textId="18D06937" w:rsidR="00AF7565" w:rsidRPr="00012182" w:rsidRDefault="00AF7565" w:rsidP="00AF7565">
      <w:pPr>
        <w:pStyle w:val="ListParagraph"/>
        <w:snapToGrid w:val="0"/>
        <w:ind w:left="0"/>
        <w:contextualSpacing w:val="0"/>
        <w:jc w:val="both"/>
      </w:pPr>
      <w:r w:rsidRPr="00012182">
        <w:t xml:space="preserve">Step 2 attempts to mitigate policy planning </w:t>
      </w:r>
      <w:proofErr w:type="gramStart"/>
      <w:r w:rsidRPr="00012182">
        <w:t>short-comings</w:t>
      </w:r>
      <w:proofErr w:type="gramEnd"/>
      <w:r w:rsidRPr="00012182">
        <w:t xml:space="preserve"> by identifying such real-world outcomes, ideally in advance of implementing the Rule. Step 2 involves </w:t>
      </w:r>
      <w:proofErr w:type="gramStart"/>
      <w:r w:rsidRPr="00012182">
        <w:t>policy-makers</w:t>
      </w:r>
      <w:proofErr w:type="gramEnd"/>
      <w:r w:rsidRPr="00012182">
        <w:t xml:space="preserve"> </w:t>
      </w:r>
      <w:r w:rsidRPr="00012182">
        <w:lastRenderedPageBreak/>
        <w:t xml:space="preserve">engaging in thought experiments </w:t>
      </w:r>
      <w:r w:rsidR="00E10370">
        <w:t>and</w:t>
      </w:r>
      <w:r w:rsidRPr="00012182">
        <w:t xml:space="preserve"> role-playing in which real-world impacts are tested before a reform measure is proceeded with. </w:t>
      </w:r>
    </w:p>
    <w:p w14:paraId="00CD22EE" w14:textId="77777777" w:rsidR="00FB25CE" w:rsidRDefault="00FB25CE" w:rsidP="00AF7565">
      <w:pPr>
        <w:pStyle w:val="ListParagraph"/>
        <w:snapToGrid w:val="0"/>
        <w:ind w:left="0"/>
        <w:contextualSpacing w:val="0"/>
        <w:jc w:val="both"/>
      </w:pPr>
    </w:p>
    <w:p w14:paraId="5040A491" w14:textId="4BBC8FA7" w:rsidR="00AF7565" w:rsidRPr="00012182" w:rsidRDefault="00AF7565" w:rsidP="00AF7565">
      <w:pPr>
        <w:pStyle w:val="ListParagraph"/>
        <w:snapToGrid w:val="0"/>
        <w:ind w:left="0"/>
        <w:contextualSpacing w:val="0"/>
        <w:jc w:val="both"/>
      </w:pPr>
      <w:r w:rsidRPr="00012182">
        <w:t>Scenario testing or role playing would begin with the assumption the proposed reform measure is in fact law. This assumption skips the process of considering if and how a proposal could become law (</w:t>
      </w:r>
      <w:proofErr w:type="spellStart"/>
      <w:proofErr w:type="gramStart"/>
      <w:r w:rsidRPr="00012182">
        <w:t>eg</w:t>
      </w:r>
      <w:proofErr w:type="spellEnd"/>
      <w:proofErr w:type="gramEnd"/>
      <w:r w:rsidRPr="00012182">
        <w:t xml:space="preserve"> considering who might resist the reform measures, or what lobby groups and political forces could possibly sabotage or weaken a reform measure). Rather, step 2 simply assumes the proposed measure is law. </w:t>
      </w:r>
    </w:p>
    <w:p w14:paraId="58C1BC6E" w14:textId="77777777" w:rsidR="00FB25CE" w:rsidRDefault="00FB25CE" w:rsidP="00AF7565">
      <w:pPr>
        <w:pStyle w:val="ListParagraph"/>
        <w:snapToGrid w:val="0"/>
        <w:ind w:left="0"/>
        <w:contextualSpacing w:val="0"/>
        <w:jc w:val="both"/>
      </w:pPr>
    </w:p>
    <w:p w14:paraId="5AF63D32" w14:textId="4D35EE5F" w:rsidR="00AF7565" w:rsidRPr="00012182" w:rsidRDefault="00AF7565" w:rsidP="00AF7565">
      <w:pPr>
        <w:pStyle w:val="ListParagraph"/>
        <w:snapToGrid w:val="0"/>
        <w:ind w:left="0"/>
        <w:contextualSpacing w:val="0"/>
        <w:jc w:val="both"/>
      </w:pPr>
      <w:r w:rsidRPr="00012182">
        <w:t xml:space="preserve">This allows the scenario testing to focus on the incentives and behaviours that would take place in the real world in response to the measure. The testing could be informed by insights from behavioural economics and those outlined in </w:t>
      </w:r>
      <w:r w:rsidRPr="00012182">
        <w:rPr>
          <w:i/>
          <w:iCs/>
        </w:rPr>
        <w:t>Nudge</w:t>
      </w:r>
      <w:r w:rsidRPr="00012182">
        <w:t xml:space="preserve"> by</w:t>
      </w:r>
      <w:r w:rsidRPr="00012182">
        <w:rPr>
          <w:lang w:eastAsia="en-GB"/>
        </w:rPr>
        <w:t xml:space="preserve"> Thaler and Sunstein </w:t>
      </w:r>
      <w:r w:rsidR="00DF6330">
        <w:t>to</w:t>
      </w:r>
      <w:r w:rsidR="00DF6330" w:rsidRPr="00012182">
        <w:t xml:space="preserve"> </w:t>
      </w:r>
      <w:r w:rsidR="00DF6330">
        <w:t xml:space="preserve">assess </w:t>
      </w:r>
      <w:r w:rsidR="00DF6330" w:rsidRPr="00012182">
        <w:t xml:space="preserve">how </w:t>
      </w:r>
      <w:r w:rsidR="00DF6330">
        <w:t>the parties</w:t>
      </w:r>
      <w:r w:rsidR="00DF6330" w:rsidRPr="00012182">
        <w:t xml:space="preserve"> are likely to make decisions</w:t>
      </w:r>
      <w:r w:rsidR="00DF6330">
        <w:t xml:space="preserve"> and respond to the reform settings.</w:t>
      </w:r>
    </w:p>
    <w:p w14:paraId="1B66BC1A" w14:textId="77777777" w:rsidR="00FB25CE" w:rsidRDefault="00FB25CE" w:rsidP="00AF7565">
      <w:pPr>
        <w:pStyle w:val="ListParagraph"/>
        <w:snapToGrid w:val="0"/>
        <w:ind w:left="0"/>
        <w:contextualSpacing w:val="0"/>
        <w:jc w:val="both"/>
        <w:rPr>
          <w:lang w:eastAsia="en-GB"/>
        </w:rPr>
      </w:pPr>
    </w:p>
    <w:p w14:paraId="33967DEF" w14:textId="13762176" w:rsidR="00AF7565" w:rsidRPr="00012182" w:rsidRDefault="00AF7565" w:rsidP="00AF7565">
      <w:pPr>
        <w:pStyle w:val="ListParagraph"/>
        <w:snapToGrid w:val="0"/>
        <w:ind w:left="0"/>
        <w:contextualSpacing w:val="0"/>
        <w:jc w:val="both"/>
        <w:rPr>
          <w:lang w:eastAsia="en-GB"/>
        </w:rPr>
      </w:pPr>
      <w:r w:rsidRPr="00012182">
        <w:rPr>
          <w:lang w:eastAsia="en-GB"/>
        </w:rPr>
        <w:t xml:space="preserve">A further aspect to be examined is the incentives that drive behaviour. As the authors of </w:t>
      </w:r>
      <w:proofErr w:type="spellStart"/>
      <w:r w:rsidRPr="00012182">
        <w:rPr>
          <w:i/>
          <w:iCs/>
          <w:lang w:eastAsia="en-GB"/>
        </w:rPr>
        <w:t>Freakeconomics</w:t>
      </w:r>
      <w:proofErr w:type="spellEnd"/>
      <w:r w:rsidRPr="00012182">
        <w:rPr>
          <w:i/>
          <w:iCs/>
          <w:lang w:eastAsia="en-GB"/>
        </w:rPr>
        <w:t xml:space="preserve"> </w:t>
      </w:r>
      <w:r w:rsidRPr="00012182">
        <w:rPr>
          <w:lang w:eastAsia="en-GB"/>
        </w:rPr>
        <w:t xml:space="preserve">observed, if you identify the incentives, you can predict the behaviour. As an example, the introduction of section 52 </w:t>
      </w:r>
      <w:r w:rsidRPr="00012182">
        <w:rPr>
          <w:i/>
          <w:iCs/>
          <w:lang w:eastAsia="en-GB"/>
        </w:rPr>
        <w:t>Trade Practices Act</w:t>
      </w:r>
      <w:r w:rsidR="00617C03">
        <w:rPr>
          <w:lang w:eastAsia="en-GB"/>
        </w:rPr>
        <w:t xml:space="preserve"> – </w:t>
      </w:r>
      <w:r w:rsidRPr="00012182">
        <w:rPr>
          <w:lang w:eastAsia="en-GB"/>
        </w:rPr>
        <w:t>which simply stated a corporation in trade or commerce must not engage in misleading or deceptive conduct</w:t>
      </w:r>
      <w:r w:rsidR="00617C03">
        <w:rPr>
          <w:lang w:eastAsia="en-GB"/>
        </w:rPr>
        <w:t xml:space="preserve"> –</w:t>
      </w:r>
      <w:r w:rsidRPr="00012182">
        <w:rPr>
          <w:lang w:eastAsia="en-GB"/>
        </w:rPr>
        <w:t xml:space="preserve"> was incredibly effective because (perhaps more </w:t>
      </w:r>
      <w:proofErr w:type="gramStart"/>
      <w:r w:rsidRPr="00012182">
        <w:rPr>
          <w:lang w:eastAsia="en-GB"/>
        </w:rPr>
        <w:t>as a result of</w:t>
      </w:r>
      <w:proofErr w:type="gramEnd"/>
      <w:r w:rsidRPr="00012182">
        <w:rPr>
          <w:lang w:eastAsia="en-GB"/>
        </w:rPr>
        <w:t xml:space="preserve"> policy accident than design) competitors were incentivised to sue for </w:t>
      </w:r>
      <w:r w:rsidR="00617C03">
        <w:rPr>
          <w:lang w:eastAsia="en-GB"/>
        </w:rPr>
        <w:t xml:space="preserve">a </w:t>
      </w:r>
      <w:r w:rsidRPr="00012182">
        <w:rPr>
          <w:lang w:eastAsia="en-GB"/>
        </w:rPr>
        <w:t xml:space="preserve">breach of the rule. If competitors were not so incentivised, and the section only relied on consumers and regulators to </w:t>
      </w:r>
      <w:proofErr w:type="gramStart"/>
      <w:r w:rsidRPr="00012182">
        <w:rPr>
          <w:lang w:eastAsia="en-GB"/>
        </w:rPr>
        <w:t>take action</w:t>
      </w:r>
      <w:proofErr w:type="gramEnd"/>
      <w:r w:rsidRPr="00012182">
        <w:rPr>
          <w:lang w:eastAsia="en-GB"/>
        </w:rPr>
        <w:t>, power would have remained with the party engaging in misleading or deceptive conduct in real-word settings.</w:t>
      </w:r>
    </w:p>
    <w:p w14:paraId="4F4B0537" w14:textId="77777777" w:rsidR="00FB25CE" w:rsidRDefault="00FB25CE" w:rsidP="00AF7565">
      <w:pPr>
        <w:pStyle w:val="ListParagraph"/>
        <w:snapToGrid w:val="0"/>
        <w:ind w:left="0"/>
        <w:contextualSpacing w:val="0"/>
        <w:jc w:val="both"/>
      </w:pPr>
    </w:p>
    <w:p w14:paraId="2F69FA57" w14:textId="05A13496" w:rsidR="00AF7565" w:rsidRPr="00012182" w:rsidRDefault="00AF7565" w:rsidP="00AF7565">
      <w:pPr>
        <w:pStyle w:val="ListParagraph"/>
        <w:snapToGrid w:val="0"/>
        <w:ind w:left="0"/>
        <w:contextualSpacing w:val="0"/>
        <w:jc w:val="both"/>
      </w:pPr>
      <w:r w:rsidRPr="00012182">
        <w:t xml:space="preserve">Scenario testing might reveal gaps and outcomes that had otherwise not been anticipated by policymakers. The initial proposed reform measure would be adjusted </w:t>
      </w:r>
      <w:proofErr w:type="gramStart"/>
      <w:r w:rsidRPr="00012182">
        <w:t>in light of</w:t>
      </w:r>
      <w:proofErr w:type="gramEnd"/>
      <w:r w:rsidRPr="00012182">
        <w:t xml:space="preserve"> that. The revised measure would then be subjected to scenario testing to gauge how players in real world settings would respond. Further gaps might be identified, and the process further re-iterated</w:t>
      </w:r>
      <w:r w:rsidR="002B2A89">
        <w:t>, and so on</w:t>
      </w:r>
      <w:r w:rsidRPr="00012182">
        <w:t>.</w:t>
      </w:r>
    </w:p>
    <w:p w14:paraId="0C13EBAC" w14:textId="77777777" w:rsidR="00FB25CE" w:rsidRDefault="00FB25CE" w:rsidP="00AF7565">
      <w:pPr>
        <w:pStyle w:val="ListParagraph"/>
        <w:snapToGrid w:val="0"/>
        <w:ind w:left="0"/>
        <w:contextualSpacing w:val="0"/>
        <w:jc w:val="both"/>
      </w:pPr>
    </w:p>
    <w:p w14:paraId="0FB59E25" w14:textId="77777777" w:rsidR="00AF7565" w:rsidRPr="00012182" w:rsidRDefault="00AF7565" w:rsidP="00AF7565">
      <w:pPr>
        <w:pStyle w:val="ListParagraph"/>
        <w:snapToGrid w:val="0"/>
        <w:ind w:left="0"/>
        <w:contextualSpacing w:val="0"/>
        <w:jc w:val="both"/>
      </w:pPr>
      <w:r w:rsidRPr="00012182">
        <w:t xml:space="preserve">Returning to step 1; we are familiar with viewing the consumer-seller relationship in terms of power relations. The unfair terms provisions in the ACL, for instance, frame the relationship in terms of ‘party imbalance’. Also, economists and competition lawyers are familiar with concepts of market power. Consumer power is also a familiar concept. </w:t>
      </w:r>
    </w:p>
    <w:p w14:paraId="4580B04E" w14:textId="67C60691" w:rsidR="00AF7565" w:rsidRPr="00012182" w:rsidRDefault="00AF7565" w:rsidP="007C6B74">
      <w:pPr>
        <w:pStyle w:val="ListParagraph"/>
        <w:snapToGrid w:val="0"/>
        <w:ind w:left="0"/>
        <w:contextualSpacing w:val="0"/>
      </w:pPr>
      <w:r w:rsidRPr="00012182">
        <w:t xml:space="preserve">Lina M Khan’s influential paper ‘Amazon’s Antitrust Paradox’ 2017 Yale Law Journal </w:t>
      </w:r>
      <w:hyperlink r:id="rId13" w:history="1">
        <w:r w:rsidRPr="00012182">
          <w:rPr>
            <w:rStyle w:val="Hyperlink"/>
          </w:rPr>
          <w:t>https://www.yalelawjournal.org/issue/issue/volume-126-issue-3-january-2017</w:t>
        </w:r>
      </w:hyperlink>
      <w:r w:rsidR="007C6B74">
        <w:t xml:space="preserve"> </w:t>
      </w:r>
      <w:r w:rsidRPr="00012182">
        <w:t xml:space="preserve">is noteworthy on the issue of power. She says the US </w:t>
      </w:r>
      <w:proofErr w:type="gramStart"/>
      <w:r w:rsidRPr="00012182">
        <w:t>Congress</w:t>
      </w:r>
      <w:proofErr w:type="gramEnd"/>
      <w:r w:rsidRPr="00012182">
        <w:t xml:space="preserve"> </w:t>
      </w:r>
    </w:p>
    <w:p w14:paraId="43F5010F" w14:textId="77777777" w:rsidR="007C6B74" w:rsidRDefault="007C6B74" w:rsidP="00AF7565">
      <w:pPr>
        <w:snapToGrid w:val="0"/>
        <w:ind w:left="720"/>
        <w:jc w:val="both"/>
        <w:rPr>
          <w:sz w:val="20"/>
          <w:szCs w:val="20"/>
        </w:rPr>
      </w:pPr>
    </w:p>
    <w:p w14:paraId="74F88962" w14:textId="32F6DFD0" w:rsidR="00AF7565" w:rsidRPr="00AF7565" w:rsidRDefault="00AF7565" w:rsidP="00AF7565">
      <w:pPr>
        <w:snapToGrid w:val="0"/>
        <w:ind w:left="720"/>
        <w:jc w:val="both"/>
        <w:rPr>
          <w:sz w:val="20"/>
          <w:szCs w:val="20"/>
        </w:rPr>
      </w:pPr>
      <w:r w:rsidRPr="00AF7565">
        <w:rPr>
          <w:sz w:val="20"/>
          <w:szCs w:val="20"/>
        </w:rPr>
        <w:t>enacted antitrust laws to rein in the power of industrial trusts, the large business organizations that had emerged in the late nineteenth century. Responding to a fear of concentrated power, antitrust sought to distribute it. In this sense, antitrust was “guided by principles.” The law was “</w:t>
      </w:r>
      <w:r w:rsidRPr="00AF7565">
        <w:rPr>
          <w:i/>
          <w:iCs/>
          <w:sz w:val="20"/>
          <w:szCs w:val="20"/>
        </w:rPr>
        <w:t>for</w:t>
      </w:r>
      <w:r w:rsidRPr="00AF7565">
        <w:rPr>
          <w:sz w:val="20"/>
          <w:szCs w:val="20"/>
        </w:rPr>
        <w:t xml:space="preserve"> diversity and access to markets; it was </w:t>
      </w:r>
      <w:r w:rsidRPr="00AF7565">
        <w:rPr>
          <w:i/>
          <w:iCs/>
          <w:sz w:val="20"/>
          <w:szCs w:val="20"/>
        </w:rPr>
        <w:t>against</w:t>
      </w:r>
      <w:r w:rsidRPr="00AF7565">
        <w:rPr>
          <w:sz w:val="20"/>
          <w:szCs w:val="20"/>
        </w:rPr>
        <w:t xml:space="preserve"> high concentration and abuses of power.”</w:t>
      </w:r>
    </w:p>
    <w:p w14:paraId="7344CD0B" w14:textId="77777777" w:rsidR="00FB25CE" w:rsidRDefault="00FB25CE" w:rsidP="00AF7565">
      <w:pPr>
        <w:pStyle w:val="ListParagraph"/>
        <w:snapToGrid w:val="0"/>
        <w:ind w:left="0"/>
        <w:contextualSpacing w:val="0"/>
        <w:jc w:val="both"/>
      </w:pPr>
    </w:p>
    <w:p w14:paraId="7DBB67C3" w14:textId="77777777" w:rsidR="00AF7565" w:rsidRPr="00012182" w:rsidRDefault="00AF7565" w:rsidP="00AF7565">
      <w:pPr>
        <w:pStyle w:val="ListParagraph"/>
        <w:snapToGrid w:val="0"/>
        <w:ind w:left="0"/>
        <w:contextualSpacing w:val="0"/>
        <w:jc w:val="both"/>
      </w:pPr>
      <w:r w:rsidRPr="00012182">
        <w:t>She identifies the notion of ‘consumer welfare’ that is now commonly applied to evaluating the competitiveness of markets, ‘is unequipped to capture the architecture of market power in the modern economy’. She says: ‘Protecting these long-term interests requires a much thicker conception of “consumer welfare” than what guides the current approach’. Instead, she argues:</w:t>
      </w:r>
    </w:p>
    <w:p w14:paraId="1988AB17" w14:textId="77777777" w:rsidR="00AF7565" w:rsidRPr="00AF7565" w:rsidRDefault="00AF7565" w:rsidP="00AF7565">
      <w:pPr>
        <w:snapToGrid w:val="0"/>
        <w:ind w:left="720"/>
        <w:jc w:val="both"/>
        <w:rPr>
          <w:sz w:val="20"/>
          <w:szCs w:val="20"/>
        </w:rPr>
      </w:pPr>
      <w:r w:rsidRPr="00AF7565">
        <w:rPr>
          <w:sz w:val="20"/>
          <w:szCs w:val="20"/>
        </w:rPr>
        <w:t xml:space="preserve">…gauging real competition in the twenty-first century marketplace…requires </w:t>
      </w:r>
      <w:proofErr w:type="spellStart"/>
      <w:r w:rsidRPr="00AF7565">
        <w:rPr>
          <w:sz w:val="20"/>
          <w:szCs w:val="20"/>
        </w:rPr>
        <w:t>analyzing</w:t>
      </w:r>
      <w:proofErr w:type="spellEnd"/>
      <w:r w:rsidRPr="00AF7565">
        <w:rPr>
          <w:sz w:val="20"/>
          <w:szCs w:val="20"/>
        </w:rPr>
        <w:t xml:space="preserve"> the underlying structure and dynamics of markets. Rather than pegging competition to a narrow set of outcomes, this approach would examine the competitive process itself. Animating this framework </w:t>
      </w:r>
      <w:r w:rsidRPr="00AF7565">
        <w:rPr>
          <w:sz w:val="20"/>
          <w:szCs w:val="20"/>
        </w:rPr>
        <w:lastRenderedPageBreak/>
        <w:t>is the idea that a company’s power and the potential anticompetitive nature of that power cannot be fully understood without looking to the structure of a business and the structural role it plays in markets.</w:t>
      </w:r>
    </w:p>
    <w:p w14:paraId="317B1B9A" w14:textId="77777777" w:rsidR="00FB25CE" w:rsidRDefault="00FB25CE" w:rsidP="00AF7565">
      <w:pPr>
        <w:snapToGrid w:val="0"/>
        <w:jc w:val="both"/>
      </w:pPr>
    </w:p>
    <w:p w14:paraId="2B183F96" w14:textId="633DA9B4" w:rsidR="00AF7565" w:rsidRDefault="00AF7565" w:rsidP="00AF7565">
      <w:pPr>
        <w:snapToGrid w:val="0"/>
        <w:jc w:val="both"/>
      </w:pPr>
      <w:r w:rsidRPr="00012182">
        <w:t xml:space="preserve">In other words, the power dynamics of the marketplace and the power structures of those markets as they operate in real world settings must first be </w:t>
      </w:r>
      <w:r w:rsidR="0063775C">
        <w:t xml:space="preserve">mapped and </w:t>
      </w:r>
      <w:r w:rsidRPr="00012182">
        <w:t xml:space="preserve">understood </w:t>
      </w:r>
      <w:proofErr w:type="gramStart"/>
      <w:r w:rsidRPr="00012182">
        <w:t>in order to</w:t>
      </w:r>
      <w:proofErr w:type="gramEnd"/>
      <w:r w:rsidRPr="00012182">
        <w:t xml:space="preserve"> introduce and apply effective mechanisms for dealing with the negative consequences of those power dynamics. </w:t>
      </w:r>
    </w:p>
    <w:p w14:paraId="5135AD7C" w14:textId="77777777" w:rsidR="0063775C" w:rsidRPr="00012182" w:rsidRDefault="0063775C" w:rsidP="00AF7565">
      <w:pPr>
        <w:snapToGrid w:val="0"/>
        <w:jc w:val="both"/>
      </w:pPr>
    </w:p>
    <w:p w14:paraId="5C4C3A1A" w14:textId="50FD2778" w:rsidR="00AF7565" w:rsidRPr="00012182" w:rsidRDefault="00AF7565" w:rsidP="00AF7565">
      <w:pPr>
        <w:snapToGrid w:val="0"/>
        <w:jc w:val="both"/>
      </w:pPr>
      <w:r w:rsidRPr="00012182">
        <w:t>The two-stepped policy analytical approach we propose ought to encourage policymakers to take more creative and lateral-thinking approach</w:t>
      </w:r>
      <w:r w:rsidR="00D57833">
        <w:t>es</w:t>
      </w:r>
      <w:r w:rsidRPr="00012182">
        <w:t xml:space="preserve"> to exploring policy options. In doing so the chances of effective policy-measures are enhanced.</w:t>
      </w:r>
    </w:p>
    <w:p w14:paraId="6DF3D3D7" w14:textId="77777777" w:rsidR="00AF7565" w:rsidRDefault="00AF7565" w:rsidP="00AF7565">
      <w:pPr>
        <w:snapToGrid w:val="0"/>
        <w:jc w:val="both"/>
        <w:rPr>
          <w:b/>
          <w:iCs/>
        </w:rPr>
      </w:pPr>
    </w:p>
    <w:p w14:paraId="735DE4C3" w14:textId="77777777" w:rsidR="00AF7565" w:rsidRPr="00012182" w:rsidRDefault="00AF7565" w:rsidP="00AF7565">
      <w:pPr>
        <w:snapToGrid w:val="0"/>
        <w:jc w:val="both"/>
        <w:rPr>
          <w:b/>
          <w:iCs/>
        </w:rPr>
      </w:pPr>
      <w:r w:rsidRPr="00012182">
        <w:rPr>
          <w:b/>
          <w:iCs/>
        </w:rPr>
        <w:t xml:space="preserve">Applications to the right to </w:t>
      </w:r>
      <w:proofErr w:type="gramStart"/>
      <w:r w:rsidRPr="00012182">
        <w:rPr>
          <w:b/>
          <w:iCs/>
        </w:rPr>
        <w:t>repair</w:t>
      </w:r>
      <w:proofErr w:type="gramEnd"/>
      <w:r w:rsidRPr="00012182">
        <w:rPr>
          <w:b/>
          <w:iCs/>
        </w:rPr>
        <w:t xml:space="preserve"> </w:t>
      </w:r>
    </w:p>
    <w:p w14:paraId="741E0D90" w14:textId="7B2A9525" w:rsidR="00AF7565" w:rsidRPr="00012182" w:rsidRDefault="00AF7565" w:rsidP="00AF7565">
      <w:pPr>
        <w:snapToGrid w:val="0"/>
        <w:jc w:val="both"/>
      </w:pPr>
      <w:r w:rsidRPr="00012182">
        <w:t xml:space="preserve">The relationship between seller and buyer rarely begins and ends at the time of sale. </w:t>
      </w:r>
      <w:r w:rsidR="00D751BC">
        <w:t>The i</w:t>
      </w:r>
      <w:r w:rsidRPr="00012182">
        <w:t xml:space="preserve">nitial sale </w:t>
      </w:r>
      <w:r w:rsidR="00D751BC">
        <w:t>marks</w:t>
      </w:r>
      <w:r w:rsidRPr="00012182">
        <w:t xml:space="preserve"> the beginning of that relationship. Viewed in terms of the dynamics of the power between the two parties, the consumer has </w:t>
      </w:r>
      <w:r w:rsidR="000A2917">
        <w:t xml:space="preserve">in a competitive market </w:t>
      </w:r>
      <w:r w:rsidRPr="00012182">
        <w:t xml:space="preserve">the initial power to decide whether to purchase </w:t>
      </w:r>
      <w:r w:rsidR="000A2917">
        <w:t>a particular</w:t>
      </w:r>
      <w:r w:rsidRPr="00012182">
        <w:t xml:space="preserve"> product or purchase an alternative or competing one. Upon sale, the power relationship reverses - the seller has the power to determine when, if and how the goods are to be maintained, updated, repaired etc - at least in a </w:t>
      </w:r>
      <w:proofErr w:type="gramStart"/>
      <w:r w:rsidR="006B447F">
        <w:t>real world</w:t>
      </w:r>
      <w:proofErr w:type="gramEnd"/>
      <w:r w:rsidR="006B447F">
        <w:t xml:space="preserve"> sense</w:t>
      </w:r>
      <w:r w:rsidRPr="00012182">
        <w:t>.</w:t>
      </w:r>
    </w:p>
    <w:p w14:paraId="5ADEBF7B" w14:textId="77777777" w:rsidR="00FB25CE" w:rsidRDefault="00FB25CE" w:rsidP="00AF7565">
      <w:pPr>
        <w:snapToGrid w:val="0"/>
        <w:jc w:val="both"/>
      </w:pPr>
    </w:p>
    <w:p w14:paraId="3FFB4FEA" w14:textId="3BAFE821" w:rsidR="00AF7565" w:rsidRPr="00012182" w:rsidRDefault="00AF7565" w:rsidP="00AF7565">
      <w:pPr>
        <w:snapToGrid w:val="0"/>
        <w:jc w:val="both"/>
      </w:pPr>
      <w:r w:rsidRPr="00012182">
        <w:t>Viewed as essentially a matter of power dynamics, the question is how, in a real-world practical sense, can the power dynamic be addressed? It is one thing to set the Rule under section 54 that requires the seller to deal with a major or minor breach of a consumer guarantee. However, by requiring the consumer or regulator to take action to enforce the Rule, they are disincentivised to do so because they b</w:t>
      </w:r>
      <w:r>
        <w:t>ear</w:t>
      </w:r>
      <w:r w:rsidRPr="00012182">
        <w:t xml:space="preserve"> the risks and costs of enforcement. The locus of power therefore remains with the seller, despite the Rule.</w:t>
      </w:r>
    </w:p>
    <w:p w14:paraId="2E64B809" w14:textId="77777777" w:rsidR="00FB25CE" w:rsidRDefault="00FB25CE" w:rsidP="00AF7565">
      <w:pPr>
        <w:snapToGrid w:val="0"/>
        <w:jc w:val="both"/>
      </w:pPr>
    </w:p>
    <w:p w14:paraId="27358E90" w14:textId="77777777" w:rsidR="00AF7565" w:rsidRPr="00012182" w:rsidRDefault="00AF7565" w:rsidP="00AF7565">
      <w:pPr>
        <w:snapToGrid w:val="0"/>
        <w:jc w:val="both"/>
      </w:pPr>
      <w:r w:rsidRPr="00012182">
        <w:t xml:space="preserve">How might this identified power imbalance be addressed? That now becomes a central policymaking question. </w:t>
      </w:r>
    </w:p>
    <w:p w14:paraId="68F50FC0" w14:textId="77777777" w:rsidR="00FB25CE" w:rsidRDefault="00FB25CE" w:rsidP="00AF7565">
      <w:pPr>
        <w:snapToGrid w:val="0"/>
        <w:jc w:val="both"/>
      </w:pPr>
    </w:p>
    <w:p w14:paraId="4CAAF9E3" w14:textId="0E06CC31" w:rsidR="00AF7565" w:rsidRPr="00012182" w:rsidRDefault="00AF7565" w:rsidP="00AF7565">
      <w:pPr>
        <w:snapToGrid w:val="0"/>
        <w:jc w:val="both"/>
      </w:pPr>
      <w:r w:rsidRPr="00012182">
        <w:t xml:space="preserve">A further real-world problem can be identified under step 1. Let’s </w:t>
      </w:r>
      <w:r w:rsidR="00BC6C7B">
        <w:t>assume the following scenario.</w:t>
      </w:r>
      <w:r w:rsidRPr="00012182">
        <w:t xml:space="preserve"> </w:t>
      </w:r>
      <w:r w:rsidR="00BC6C7B">
        <w:t>T</w:t>
      </w:r>
      <w:r w:rsidRPr="00012182">
        <w:t>he consumer wants the product to be repaired and the initial seller either refuses to do so or charges a very high price for doing so. The consumer seek</w:t>
      </w:r>
      <w:r w:rsidR="00BC6C7B">
        <w:t>s</w:t>
      </w:r>
      <w:r w:rsidRPr="00012182">
        <w:t xml:space="preserve"> out another party to undertake the repairs. </w:t>
      </w:r>
      <w:r w:rsidR="00BC6C7B">
        <w:t>However, it seems</w:t>
      </w:r>
      <w:r w:rsidRPr="00012182">
        <w:t xml:space="preserve"> the seller designed the product so that a competitor could not readily make the repairs</w:t>
      </w:r>
      <w:r w:rsidR="00BC6C7B">
        <w:t>.</w:t>
      </w:r>
      <w:r w:rsidRPr="00012182">
        <w:t xml:space="preserve"> Here the seller has the locus of power. </w:t>
      </w:r>
    </w:p>
    <w:p w14:paraId="1C6A3AD4" w14:textId="77777777" w:rsidR="00FB25CE" w:rsidRDefault="00FB25CE" w:rsidP="00AF7565">
      <w:pPr>
        <w:snapToGrid w:val="0"/>
        <w:jc w:val="both"/>
      </w:pPr>
    </w:p>
    <w:p w14:paraId="2295EF7A" w14:textId="3221CE77" w:rsidR="00AF7565" w:rsidRPr="00012182" w:rsidRDefault="00AF7565" w:rsidP="00AF7565">
      <w:pPr>
        <w:snapToGrid w:val="0"/>
        <w:jc w:val="both"/>
      </w:pPr>
      <w:r w:rsidRPr="00012182">
        <w:t xml:space="preserve">Once this problem is identified, lateral-thinking approaches can be taken for resolving the </w:t>
      </w:r>
      <w:r w:rsidR="00BC6C7B">
        <w:t xml:space="preserve">power imbalance </w:t>
      </w:r>
      <w:r w:rsidRPr="00012182">
        <w:t xml:space="preserve">problem. A scenario that could be tested, as an example (and is not necessarily what we are proposing) </w:t>
      </w:r>
      <w:r w:rsidR="00BC6C7B">
        <w:t xml:space="preserve">is to introduce an imaginary law that allows a (potential) competitor to provide </w:t>
      </w:r>
      <w:r w:rsidRPr="00012182">
        <w:t xml:space="preserve">sufficient prima facie evidence that the initial seller has rendered competitive repair difficult or impossible. The </w:t>
      </w:r>
      <w:r w:rsidR="00BC6C7B">
        <w:t xml:space="preserve">law then </w:t>
      </w:r>
      <w:proofErr w:type="gramStart"/>
      <w:r w:rsidR="00BC6C7B">
        <w:t>shift</w:t>
      </w:r>
      <w:proofErr w:type="gramEnd"/>
      <w:r w:rsidR="00BC6C7B">
        <w:t xml:space="preserve"> the </w:t>
      </w:r>
      <w:r w:rsidRPr="00012182">
        <w:t xml:space="preserve">onus </w:t>
      </w:r>
      <w:r w:rsidR="00BC6C7B">
        <w:t>on</w:t>
      </w:r>
      <w:r w:rsidRPr="00012182">
        <w:t xml:space="preserve">to the initial seller to prove it has not put in place practical or other barriers to competitors to repair the product. In other words, the seller </w:t>
      </w:r>
      <w:r w:rsidR="00BC6C7B">
        <w:t>would be required to</w:t>
      </w:r>
      <w:r w:rsidRPr="00012182">
        <w:t xml:space="preserve"> prove it has not made it practically difficult for a consumer to have the product competently repaired by a third party. If the seller cannot prove this, the court could </w:t>
      </w:r>
      <w:r w:rsidR="00BC6C7B">
        <w:t xml:space="preserve">(under the imaginary law) </w:t>
      </w:r>
      <w:r w:rsidRPr="00012182">
        <w:t xml:space="preserve">order the seller to pay the potential competitive repairers </w:t>
      </w:r>
      <w:r w:rsidR="00BC6C7B">
        <w:t xml:space="preserve">who brought the legal action </w:t>
      </w:r>
      <w:r w:rsidRPr="00012182">
        <w:t>an ongoing percentage of its gross income from its sale of its product</w:t>
      </w:r>
      <w:r w:rsidR="00BC6C7B">
        <w:t xml:space="preserve"> until the repair barriers are </w:t>
      </w:r>
      <w:r w:rsidR="00BC6C7B">
        <w:lastRenderedPageBreak/>
        <w:t>removed</w:t>
      </w:r>
      <w:r w:rsidRPr="00012182">
        <w:t>. This remedy might at first appear to be misplaced because the harmed parties are primarily consumers and not the potential repairers. However, by incentivising potential repairers to bring action, the long-term beneficiaries will be consumers.</w:t>
      </w:r>
      <w:r w:rsidR="00BC6C7B">
        <w:t xml:space="preserve"> Having established the imaginary law, role playing could be </w:t>
      </w:r>
      <w:proofErr w:type="gramStart"/>
      <w:r w:rsidR="00BC6C7B">
        <w:t>undertake</w:t>
      </w:r>
      <w:proofErr w:type="gramEnd"/>
      <w:r w:rsidR="00BC6C7B">
        <w:t xml:space="preserve"> to analyse how the various parties would respond to that law. This way assessments could be made as to whether it would likely be effective in addressing the power imbalance, or whether it would create new problems that would need to be addressed.</w:t>
      </w:r>
    </w:p>
    <w:p w14:paraId="511CA7C7" w14:textId="77777777" w:rsidR="00AF7565" w:rsidRDefault="00AF7565" w:rsidP="00AF7565">
      <w:pPr>
        <w:jc w:val="both"/>
      </w:pPr>
    </w:p>
    <w:p w14:paraId="34D7152F" w14:textId="77777777" w:rsidR="00AF7565" w:rsidRDefault="00AF7565" w:rsidP="00AF7565">
      <w:pPr>
        <w:jc w:val="both"/>
      </w:pPr>
    </w:p>
    <w:sectPr w:rsidR="00AF7565" w:rsidSect="002603A8">
      <w:headerReference w:type="even" r:id="rId14"/>
      <w:headerReference w:type="default" r:id="rId15"/>
      <w:footerReference w:type="even" r:id="rId16"/>
      <w:footerReference w:type="default" r:id="rId17"/>
      <w:headerReference w:type="first" r:id="rId18"/>
      <w:footerReference w:type="first" r:id="rId19"/>
      <w:footnotePr>
        <w:pos w:val="beneathText"/>
      </w:footnotePr>
      <w:pgSz w:w="12240" w:h="15840"/>
      <w:pgMar w:top="284" w:right="1797" w:bottom="284" w:left="179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F2B2E" w14:textId="77777777" w:rsidR="00116F6D" w:rsidRDefault="00116F6D">
      <w:r>
        <w:separator/>
      </w:r>
    </w:p>
  </w:endnote>
  <w:endnote w:type="continuationSeparator" w:id="0">
    <w:p w14:paraId="50B1CE93" w14:textId="77777777" w:rsidR="00116F6D" w:rsidRDefault="0011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31CF0" w14:textId="77777777" w:rsidR="00C51B8D" w:rsidRDefault="00C51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C897B" w14:textId="77777777" w:rsidR="00584054" w:rsidRDefault="00E83C3F">
    <w:pPr>
      <w:pStyle w:val="Footer"/>
    </w:pPr>
    <w:r>
      <w:rPr>
        <w:noProof/>
        <w:lang w:eastAsia="en-AU"/>
      </w:rPr>
      <mc:AlternateContent>
        <mc:Choice Requires="wps">
          <w:drawing>
            <wp:anchor distT="0" distB="0" distL="0" distR="0" simplePos="0" relativeHeight="251657728" behindDoc="0" locked="0" layoutInCell="1" allowOverlap="1" wp14:anchorId="6B048D01" wp14:editId="07777777">
              <wp:simplePos x="0" y="0"/>
              <wp:positionH relativeFrom="margin">
                <wp:align>center</wp:align>
              </wp:positionH>
              <wp:positionV relativeFrom="paragraph">
                <wp:posOffset>635</wp:posOffset>
              </wp:positionV>
              <wp:extent cx="75565" cy="173990"/>
              <wp:effectExtent l="1905" t="635" r="825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0CB77" w14:textId="77777777" w:rsidR="00584054" w:rsidRDefault="00584054">
                          <w:pPr>
                            <w:pStyle w:val="Footer"/>
                          </w:pPr>
                          <w:r>
                            <w:rPr>
                              <w:rStyle w:val="PageNumber"/>
                            </w:rPr>
                            <w:fldChar w:fldCharType="begin"/>
                          </w:r>
                          <w:r>
                            <w:rPr>
                              <w:rStyle w:val="PageNumber"/>
                            </w:rPr>
                            <w:instrText xml:space="preserve"> PAGE </w:instrText>
                          </w:r>
                          <w:r>
                            <w:rPr>
                              <w:rStyle w:val="PageNumber"/>
                            </w:rPr>
                            <w:fldChar w:fldCharType="separate"/>
                          </w:r>
                          <w:r w:rsidR="00AE5880">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48D01" id="_x0000_t202" coordsize="21600,21600" o:spt="202" path="m,l,21600r21600,l21600,xe">
              <v:stroke joinstyle="miter"/>
              <v:path gradientshapeok="t" o:connecttype="rect"/>
            </v:shapetype>
            <v:shape id="Text Box 1" o:spid="_x0000_s1026" type="#_x0000_t202" style="position:absolute;margin-left:0;margin-top:.05pt;width:5.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" stroked="f">
              <v:fill opacity="0"/>
              <v:textbox inset="0,0,0,0">
                <w:txbxContent>
                  <w:p w14:paraId="4590CB77" w14:textId="77777777" w:rsidR="00584054" w:rsidRDefault="00584054">
                    <w:pPr>
                      <w:pStyle w:val="Footer"/>
                    </w:pPr>
                    <w:r>
                      <w:rPr>
                        <w:rStyle w:val="PageNumber"/>
                      </w:rPr>
                      <w:fldChar w:fldCharType="begin"/>
                    </w:r>
                    <w:r>
                      <w:rPr>
                        <w:rStyle w:val="PageNumber"/>
                      </w:rPr>
                      <w:instrText xml:space="preserve"> PAGE </w:instrText>
                    </w:r>
                    <w:r>
                      <w:rPr>
                        <w:rStyle w:val="PageNumber"/>
                      </w:rPr>
                      <w:fldChar w:fldCharType="separate"/>
                    </w:r>
                    <w:r w:rsidR="00AE5880">
                      <w:rPr>
                        <w:rStyle w:val="PageNumber"/>
                        <w:noProof/>
                      </w:rPr>
                      <w:t>1</w:t>
                    </w:r>
                    <w:r>
                      <w:rPr>
                        <w:rStyle w:val="PageNumber"/>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26DBB" w14:textId="77777777" w:rsidR="00C51B8D" w:rsidRDefault="00C51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00B47" w14:textId="77777777" w:rsidR="00116F6D" w:rsidRDefault="00116F6D">
      <w:r>
        <w:separator/>
      </w:r>
    </w:p>
  </w:footnote>
  <w:footnote w:type="continuationSeparator" w:id="0">
    <w:p w14:paraId="18454C07" w14:textId="77777777" w:rsidR="00116F6D" w:rsidRDefault="00116F6D">
      <w:r>
        <w:continuationSeparator/>
      </w:r>
    </w:p>
  </w:footnote>
  <w:footnote w:id="1">
    <w:p w14:paraId="088D1DD9" w14:textId="53B3E14F" w:rsidR="00034052" w:rsidRPr="005B40CF" w:rsidRDefault="00034052" w:rsidP="005B40CF">
      <w:pPr>
        <w:pStyle w:val="Default"/>
        <w:rPr>
          <w:rFonts w:ascii="Times New Roman" w:hAnsi="Times New Roman" w:cs="Times New Roman"/>
          <w:sz w:val="20"/>
          <w:szCs w:val="20"/>
          <w:lang w:val="en-US"/>
        </w:rPr>
      </w:pPr>
      <w:r>
        <w:rPr>
          <w:rStyle w:val="FootnoteReference"/>
        </w:rPr>
        <w:footnoteRef/>
      </w:r>
      <w:r>
        <w:t xml:space="preserve"> </w:t>
      </w:r>
      <w:r w:rsidR="00C9516A" w:rsidRPr="005B40CF">
        <w:rPr>
          <w:rFonts w:ascii="Times New Roman" w:hAnsi="Times New Roman" w:cs="Times New Roman"/>
          <w:sz w:val="20"/>
          <w:szCs w:val="20"/>
        </w:rPr>
        <w:t xml:space="preserve">A recent </w:t>
      </w:r>
      <w:r w:rsidR="005B40CF">
        <w:rPr>
          <w:rFonts w:ascii="Times New Roman" w:hAnsi="Times New Roman" w:cs="Times New Roman"/>
          <w:sz w:val="20"/>
          <w:szCs w:val="20"/>
        </w:rPr>
        <w:t xml:space="preserve">successful </w:t>
      </w:r>
      <w:r w:rsidR="00C9516A" w:rsidRPr="005B40CF">
        <w:rPr>
          <w:rFonts w:ascii="Times New Roman" w:hAnsi="Times New Roman" w:cs="Times New Roman"/>
          <w:sz w:val="20"/>
          <w:szCs w:val="20"/>
        </w:rPr>
        <w:t>example of this approach is a national consumer education campaign aimed at increasing grocery shopper awareness and use of the unit prices provided on shelf labels and the internet by many grocery retailers.</w:t>
      </w:r>
      <w:r w:rsidR="005B40CF" w:rsidRPr="005B40CF">
        <w:rPr>
          <w:rFonts w:ascii="Times New Roman" w:hAnsi="Times New Roman" w:cs="Times New Roman"/>
          <w:sz w:val="20"/>
          <w:szCs w:val="20"/>
        </w:rPr>
        <w:t xml:space="preserve"> The campaign</w:t>
      </w:r>
      <w:r w:rsidR="005B40CF">
        <w:rPr>
          <w:rFonts w:ascii="Times New Roman" w:hAnsi="Times New Roman" w:cs="Times New Roman"/>
          <w:sz w:val="20"/>
          <w:szCs w:val="20"/>
        </w:rPr>
        <w:t xml:space="preserve">, </w:t>
      </w:r>
      <w:r w:rsidR="005B40CF" w:rsidRPr="005B40CF">
        <w:rPr>
          <w:rFonts w:ascii="Times New Roman" w:hAnsi="Times New Roman" w:cs="Times New Roman"/>
          <w:sz w:val="20"/>
          <w:szCs w:val="20"/>
        </w:rPr>
        <w:t>proposed by the Consumers Federation of Australia</w:t>
      </w:r>
      <w:r w:rsidR="005B40CF">
        <w:rPr>
          <w:rFonts w:ascii="Times New Roman" w:hAnsi="Times New Roman" w:cs="Times New Roman"/>
          <w:sz w:val="20"/>
          <w:szCs w:val="20"/>
        </w:rPr>
        <w:t xml:space="preserve">, </w:t>
      </w:r>
      <w:r w:rsidR="005B40CF" w:rsidRPr="005B40CF">
        <w:rPr>
          <w:rFonts w:ascii="Times New Roman" w:hAnsi="Times New Roman" w:cs="Times New Roman"/>
          <w:sz w:val="20"/>
          <w:szCs w:val="20"/>
        </w:rPr>
        <w:t xml:space="preserve">was run </w:t>
      </w:r>
      <w:r w:rsidR="00C9516A" w:rsidRPr="005B40CF">
        <w:rPr>
          <w:rFonts w:ascii="Times New Roman" w:hAnsi="Times New Roman" w:cs="Times New Roman"/>
          <w:sz w:val="20"/>
          <w:szCs w:val="20"/>
        </w:rPr>
        <w:t>by the national and state/territory consumer protection regulators from 21 September to 30 October</w:t>
      </w:r>
      <w:r w:rsidR="005B40CF" w:rsidRPr="005B40CF">
        <w:rPr>
          <w:rFonts w:ascii="Times New Roman" w:hAnsi="Times New Roman" w:cs="Times New Roman"/>
          <w:sz w:val="20"/>
          <w:szCs w:val="20"/>
        </w:rPr>
        <w:t xml:space="preserve"> 2020</w:t>
      </w:r>
      <w:r w:rsidR="00C9516A" w:rsidRPr="005B40CF">
        <w:rPr>
          <w:rFonts w:ascii="Times New Roman" w:hAnsi="Times New Roman" w:cs="Times New Roman"/>
          <w:sz w:val="20"/>
          <w:szCs w:val="20"/>
        </w:rPr>
        <w:t>.</w:t>
      </w:r>
      <w:r w:rsidR="005B40CF" w:rsidRPr="005B40CF">
        <w:rPr>
          <w:rFonts w:ascii="Times New Roman" w:hAnsi="Times New Roman" w:cs="Times New Roman"/>
          <w:sz w:val="20"/>
          <w:szCs w:val="20"/>
        </w:rPr>
        <w:t xml:space="preserve"> It consisted of a social media </w:t>
      </w:r>
      <w:r w:rsidR="005B40CF">
        <w:rPr>
          <w:rFonts w:ascii="Times New Roman" w:hAnsi="Times New Roman" w:cs="Times New Roman"/>
          <w:sz w:val="20"/>
          <w:szCs w:val="20"/>
        </w:rPr>
        <w:t>messages</w:t>
      </w:r>
      <w:r w:rsidR="005B40CF" w:rsidRPr="005B40CF">
        <w:rPr>
          <w:rFonts w:ascii="Times New Roman" w:hAnsi="Times New Roman" w:cs="Times New Roman"/>
          <w:sz w:val="20"/>
          <w:szCs w:val="20"/>
        </w:rPr>
        <w:t xml:space="preserve"> and a </w:t>
      </w:r>
      <w:proofErr w:type="gramStart"/>
      <w:r w:rsidR="005B40CF" w:rsidRPr="005B40CF">
        <w:rPr>
          <w:rFonts w:ascii="Times New Roman" w:hAnsi="Times New Roman" w:cs="Times New Roman"/>
          <w:sz w:val="20"/>
          <w:szCs w:val="20"/>
        </w:rPr>
        <w:t>2 page</w:t>
      </w:r>
      <w:proofErr w:type="gramEnd"/>
      <w:r w:rsidR="005B40CF" w:rsidRPr="005B40CF">
        <w:rPr>
          <w:rFonts w:ascii="Times New Roman" w:hAnsi="Times New Roman" w:cs="Times New Roman"/>
          <w:sz w:val="20"/>
          <w:szCs w:val="20"/>
        </w:rPr>
        <w:t xml:space="preserve"> consume</w:t>
      </w:r>
      <w:r w:rsidR="005B40CF">
        <w:rPr>
          <w:rFonts w:ascii="Times New Roman" w:hAnsi="Times New Roman" w:cs="Times New Roman"/>
          <w:sz w:val="20"/>
          <w:szCs w:val="20"/>
        </w:rPr>
        <w:t>r</w:t>
      </w:r>
      <w:r w:rsidR="005B40CF" w:rsidRPr="005B40CF">
        <w:rPr>
          <w:rFonts w:ascii="Times New Roman" w:hAnsi="Times New Roman" w:cs="Times New Roman"/>
          <w:sz w:val="20"/>
          <w:szCs w:val="20"/>
        </w:rPr>
        <w:t xml:space="preserve"> fact sheet translated int</w:t>
      </w:r>
      <w:r w:rsidR="005B40CF">
        <w:rPr>
          <w:rFonts w:ascii="Times New Roman" w:hAnsi="Times New Roman" w:cs="Times New Roman"/>
          <w:sz w:val="20"/>
          <w:szCs w:val="20"/>
        </w:rPr>
        <w:t>o</w:t>
      </w:r>
      <w:r w:rsidR="005B40CF" w:rsidRPr="005B40CF">
        <w:rPr>
          <w:rFonts w:ascii="Times New Roman" w:hAnsi="Times New Roman" w:cs="Times New Roman"/>
          <w:sz w:val="20"/>
          <w:szCs w:val="20"/>
        </w:rPr>
        <w:t xml:space="preserve"> 16 languages</w:t>
      </w:r>
      <w:r w:rsidR="005B40CF">
        <w:rPr>
          <w:rFonts w:ascii="Times New Roman" w:hAnsi="Times New Roman" w:cs="Times New Roman"/>
          <w:sz w:val="20"/>
          <w:szCs w:val="20"/>
        </w:rPr>
        <w:t>.</w:t>
      </w:r>
    </w:p>
  </w:footnote>
  <w:footnote w:id="2">
    <w:p w14:paraId="59BEEEC7" w14:textId="42E839A7" w:rsidR="00C47793" w:rsidRDefault="00C47793">
      <w:pPr>
        <w:pStyle w:val="FootnoteText"/>
        <w:rPr>
          <w:lang w:val="en-US"/>
        </w:rPr>
      </w:pPr>
      <w:r>
        <w:rPr>
          <w:rStyle w:val="FootnoteReference"/>
        </w:rPr>
        <w:footnoteRef/>
      </w:r>
      <w:r>
        <w:t xml:space="preserve"> Including with help from institutions such as repair cafes, Men’s Sheds, </w:t>
      </w:r>
      <w:proofErr w:type="gramStart"/>
      <w:r>
        <w:t>etc.</w:t>
      </w:r>
      <w:r>
        <w:rPr>
          <w:lang w:val="en-US"/>
        </w:rPr>
        <w:t>.</w:t>
      </w:r>
      <w:proofErr w:type="gramEnd"/>
    </w:p>
    <w:p w14:paraId="549456DB" w14:textId="77777777" w:rsidR="00AF7565" w:rsidRDefault="00AF7565">
      <w:pPr>
        <w:pStyle w:val="FootnoteText"/>
        <w:rPr>
          <w:lang w:val="en-US"/>
        </w:rPr>
      </w:pPr>
    </w:p>
    <w:p w14:paraId="59D4F157" w14:textId="5891F45E" w:rsidR="00AF7565" w:rsidRPr="00C47793" w:rsidRDefault="00AF756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0CB49" w14:textId="77777777" w:rsidR="00C51B8D" w:rsidRDefault="00C51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F517F" w14:textId="77777777" w:rsidR="00C51B8D" w:rsidRDefault="00C51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798A9" w14:textId="77777777" w:rsidR="00C51B8D" w:rsidRDefault="00C51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54083"/>
    <w:multiLevelType w:val="multilevel"/>
    <w:tmpl w:val="6EB81702"/>
    <w:lvl w:ilvl="0">
      <w:start w:val="1"/>
      <w:numFmt w:val="decimal"/>
      <w:lvlText w:val="%1."/>
      <w:lvlJc w:val="left"/>
      <w:pPr>
        <w:ind w:left="567" w:hanging="567"/>
      </w:pPr>
      <w:rPr>
        <w:rFonts w:hint="default"/>
      </w:rPr>
    </w:lvl>
    <w:lvl w:ilvl="1">
      <w:start w:val="1"/>
      <w:numFmt w:val="bullet"/>
      <w:lvlRestart w:val="0"/>
      <w:lvlText w:val=""/>
      <w:lvlJc w:val="left"/>
      <w:pPr>
        <w:ind w:left="992" w:hanging="425"/>
      </w:pPr>
      <w:rPr>
        <w:rFonts w:ascii="Symbol" w:hAnsi="Symbol" w:hint="default"/>
        <w:color w:val="auto"/>
      </w:rPr>
    </w:lvl>
    <w:lvl w:ilvl="2">
      <w:start w:val="1"/>
      <w:numFmt w:val="bullet"/>
      <w:lvlRestart w:val="0"/>
      <w:lvlText w:val="o"/>
      <w:lvlJc w:val="left"/>
      <w:pPr>
        <w:ind w:left="1418" w:hanging="426"/>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A771671"/>
    <w:multiLevelType w:val="hybridMultilevel"/>
    <w:tmpl w:val="A2D41D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8A6F6D"/>
    <w:multiLevelType w:val="hybridMultilevel"/>
    <w:tmpl w:val="C5862E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277DA4"/>
    <w:multiLevelType w:val="hybridMultilevel"/>
    <w:tmpl w:val="9168DF72"/>
    <w:lvl w:ilvl="0" w:tplc="3780AD78">
      <w:start w:val="1"/>
      <w:numFmt w:val="bullet"/>
      <w:lvlText w:val=""/>
      <w:lvlJc w:val="left"/>
      <w:pPr>
        <w:tabs>
          <w:tab w:val="num" w:pos="357"/>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4046A"/>
    <w:multiLevelType w:val="hybridMultilevel"/>
    <w:tmpl w:val="EBF4B9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87231"/>
    <w:multiLevelType w:val="multilevel"/>
    <w:tmpl w:val="6EB81702"/>
    <w:styleLink w:val="Style3"/>
    <w:lvl w:ilvl="0">
      <w:start w:val="1"/>
      <w:numFmt w:val="decimal"/>
      <w:lvlText w:val="%1."/>
      <w:lvlJc w:val="left"/>
      <w:pPr>
        <w:ind w:left="567" w:hanging="567"/>
      </w:pPr>
      <w:rPr>
        <w:rFonts w:hint="default"/>
      </w:rPr>
    </w:lvl>
    <w:lvl w:ilvl="1">
      <w:start w:val="1"/>
      <w:numFmt w:val="bullet"/>
      <w:lvlRestart w:val="0"/>
      <w:lvlText w:val=""/>
      <w:lvlJc w:val="left"/>
      <w:pPr>
        <w:ind w:left="992" w:hanging="425"/>
      </w:pPr>
      <w:rPr>
        <w:rFonts w:ascii="Symbol" w:hAnsi="Symbol" w:hint="default"/>
        <w:color w:val="auto"/>
      </w:rPr>
    </w:lvl>
    <w:lvl w:ilvl="2">
      <w:start w:val="1"/>
      <w:numFmt w:val="bullet"/>
      <w:lvlRestart w:val="0"/>
      <w:lvlText w:val="o"/>
      <w:lvlJc w:val="left"/>
      <w:pPr>
        <w:ind w:left="1418" w:hanging="426"/>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DF1AB0"/>
    <w:multiLevelType w:val="hybridMultilevel"/>
    <w:tmpl w:val="7F38251C"/>
    <w:lvl w:ilvl="0" w:tplc="3780AD78">
      <w:start w:val="1"/>
      <w:numFmt w:val="bullet"/>
      <w:lvlText w:val=""/>
      <w:lvlJc w:val="left"/>
      <w:pPr>
        <w:tabs>
          <w:tab w:val="num" w:pos="357"/>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6D2663"/>
    <w:multiLevelType w:val="hybridMultilevel"/>
    <w:tmpl w:val="B8FE92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9836CF"/>
    <w:multiLevelType w:val="hybridMultilevel"/>
    <w:tmpl w:val="A65A712E"/>
    <w:lvl w:ilvl="0" w:tplc="3780AD78">
      <w:start w:val="1"/>
      <w:numFmt w:val="bullet"/>
      <w:lvlText w:val=""/>
      <w:lvlJc w:val="left"/>
      <w:pPr>
        <w:tabs>
          <w:tab w:val="num" w:pos="357"/>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7307E9"/>
    <w:multiLevelType w:val="multilevel"/>
    <w:tmpl w:val="62CE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BB32B2"/>
    <w:multiLevelType w:val="hybridMultilevel"/>
    <w:tmpl w:val="4DE6FC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F927A3"/>
    <w:multiLevelType w:val="hybridMultilevel"/>
    <w:tmpl w:val="984E92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D80AE9"/>
    <w:multiLevelType w:val="hybridMultilevel"/>
    <w:tmpl w:val="87541C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EF7E28"/>
    <w:multiLevelType w:val="hybridMultilevel"/>
    <w:tmpl w:val="81E0FA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B951CC"/>
    <w:multiLevelType w:val="multilevel"/>
    <w:tmpl w:val="6D8E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46731D"/>
    <w:multiLevelType w:val="hybridMultilevel"/>
    <w:tmpl w:val="CFFA2B7C"/>
    <w:lvl w:ilvl="0" w:tplc="17B4B6DC">
      <w:start w:val="1"/>
      <w:numFmt w:val="bullet"/>
      <w:lvlText w:val=""/>
      <w:lvlJc w:val="left"/>
      <w:pPr>
        <w:tabs>
          <w:tab w:val="num" w:pos="720"/>
        </w:tabs>
        <w:ind w:left="720" w:hanging="360"/>
      </w:pPr>
      <w:rPr>
        <w:rFonts w:ascii="Symbol" w:hAnsi="Symbol" w:hint="default"/>
        <w:sz w:val="20"/>
      </w:rPr>
    </w:lvl>
    <w:lvl w:ilvl="1" w:tplc="BDF27924" w:tentative="1">
      <w:start w:val="1"/>
      <w:numFmt w:val="bullet"/>
      <w:lvlText w:val="o"/>
      <w:lvlJc w:val="left"/>
      <w:pPr>
        <w:tabs>
          <w:tab w:val="num" w:pos="1440"/>
        </w:tabs>
        <w:ind w:left="1440" w:hanging="360"/>
      </w:pPr>
      <w:rPr>
        <w:rFonts w:ascii="Courier New" w:hAnsi="Courier New" w:hint="default"/>
        <w:sz w:val="20"/>
      </w:rPr>
    </w:lvl>
    <w:lvl w:ilvl="2" w:tplc="D05C062E" w:tentative="1">
      <w:start w:val="1"/>
      <w:numFmt w:val="bullet"/>
      <w:lvlText w:val=""/>
      <w:lvlJc w:val="left"/>
      <w:pPr>
        <w:tabs>
          <w:tab w:val="num" w:pos="2160"/>
        </w:tabs>
        <w:ind w:left="2160" w:hanging="360"/>
      </w:pPr>
      <w:rPr>
        <w:rFonts w:ascii="Wingdings" w:hAnsi="Wingdings" w:hint="default"/>
        <w:sz w:val="20"/>
      </w:rPr>
    </w:lvl>
    <w:lvl w:ilvl="3" w:tplc="5D4CC176" w:tentative="1">
      <w:start w:val="1"/>
      <w:numFmt w:val="bullet"/>
      <w:lvlText w:val=""/>
      <w:lvlJc w:val="left"/>
      <w:pPr>
        <w:tabs>
          <w:tab w:val="num" w:pos="2880"/>
        </w:tabs>
        <w:ind w:left="2880" w:hanging="360"/>
      </w:pPr>
      <w:rPr>
        <w:rFonts w:ascii="Wingdings" w:hAnsi="Wingdings" w:hint="default"/>
        <w:sz w:val="20"/>
      </w:rPr>
    </w:lvl>
    <w:lvl w:ilvl="4" w:tplc="524245EA" w:tentative="1">
      <w:start w:val="1"/>
      <w:numFmt w:val="bullet"/>
      <w:lvlText w:val=""/>
      <w:lvlJc w:val="left"/>
      <w:pPr>
        <w:tabs>
          <w:tab w:val="num" w:pos="3600"/>
        </w:tabs>
        <w:ind w:left="3600" w:hanging="360"/>
      </w:pPr>
      <w:rPr>
        <w:rFonts w:ascii="Wingdings" w:hAnsi="Wingdings" w:hint="default"/>
        <w:sz w:val="20"/>
      </w:rPr>
    </w:lvl>
    <w:lvl w:ilvl="5" w:tplc="99F0F1AA" w:tentative="1">
      <w:start w:val="1"/>
      <w:numFmt w:val="bullet"/>
      <w:lvlText w:val=""/>
      <w:lvlJc w:val="left"/>
      <w:pPr>
        <w:tabs>
          <w:tab w:val="num" w:pos="4320"/>
        </w:tabs>
        <w:ind w:left="4320" w:hanging="360"/>
      </w:pPr>
      <w:rPr>
        <w:rFonts w:ascii="Wingdings" w:hAnsi="Wingdings" w:hint="default"/>
        <w:sz w:val="20"/>
      </w:rPr>
    </w:lvl>
    <w:lvl w:ilvl="6" w:tplc="B492E368" w:tentative="1">
      <w:start w:val="1"/>
      <w:numFmt w:val="bullet"/>
      <w:lvlText w:val=""/>
      <w:lvlJc w:val="left"/>
      <w:pPr>
        <w:tabs>
          <w:tab w:val="num" w:pos="5040"/>
        </w:tabs>
        <w:ind w:left="5040" w:hanging="360"/>
      </w:pPr>
      <w:rPr>
        <w:rFonts w:ascii="Wingdings" w:hAnsi="Wingdings" w:hint="default"/>
        <w:sz w:val="20"/>
      </w:rPr>
    </w:lvl>
    <w:lvl w:ilvl="7" w:tplc="D02268AE" w:tentative="1">
      <w:start w:val="1"/>
      <w:numFmt w:val="bullet"/>
      <w:lvlText w:val=""/>
      <w:lvlJc w:val="left"/>
      <w:pPr>
        <w:tabs>
          <w:tab w:val="num" w:pos="5760"/>
        </w:tabs>
        <w:ind w:left="5760" w:hanging="360"/>
      </w:pPr>
      <w:rPr>
        <w:rFonts w:ascii="Wingdings" w:hAnsi="Wingdings" w:hint="default"/>
        <w:sz w:val="20"/>
      </w:rPr>
    </w:lvl>
    <w:lvl w:ilvl="8" w:tplc="41EC55F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45898"/>
    <w:multiLevelType w:val="hybridMultilevel"/>
    <w:tmpl w:val="2814C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663796"/>
    <w:multiLevelType w:val="hybridMultilevel"/>
    <w:tmpl w:val="C240C5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47E1539"/>
    <w:multiLevelType w:val="hybridMultilevel"/>
    <w:tmpl w:val="655633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5162DCF"/>
    <w:multiLevelType w:val="hybridMultilevel"/>
    <w:tmpl w:val="25AA42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223818"/>
    <w:multiLevelType w:val="hybridMultilevel"/>
    <w:tmpl w:val="733A09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C545E5"/>
    <w:multiLevelType w:val="hybridMultilevel"/>
    <w:tmpl w:val="625E22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7067E5"/>
    <w:multiLevelType w:val="hybridMultilevel"/>
    <w:tmpl w:val="29C015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8"/>
  </w:num>
  <w:num w:numId="4">
    <w:abstractNumId w:val="11"/>
  </w:num>
  <w:num w:numId="5">
    <w:abstractNumId w:val="10"/>
  </w:num>
  <w:num w:numId="6">
    <w:abstractNumId w:val="22"/>
  </w:num>
  <w:num w:numId="7">
    <w:abstractNumId w:val="20"/>
  </w:num>
  <w:num w:numId="8">
    <w:abstractNumId w:val="21"/>
  </w:num>
  <w:num w:numId="9">
    <w:abstractNumId w:val="19"/>
  </w:num>
  <w:num w:numId="10">
    <w:abstractNumId w:val="4"/>
  </w:num>
  <w:num w:numId="11">
    <w:abstractNumId w:val="15"/>
  </w:num>
  <w:num w:numId="12">
    <w:abstractNumId w:val="13"/>
  </w:num>
  <w:num w:numId="13">
    <w:abstractNumId w:val="7"/>
  </w:num>
  <w:num w:numId="14">
    <w:abstractNumId w:val="1"/>
  </w:num>
  <w:num w:numId="15">
    <w:abstractNumId w:val="17"/>
  </w:num>
  <w:num w:numId="16">
    <w:abstractNumId w:val="18"/>
  </w:num>
  <w:num w:numId="17">
    <w:abstractNumId w:val="2"/>
  </w:num>
  <w:num w:numId="18">
    <w:abstractNumId w:val="14"/>
  </w:num>
  <w:num w:numId="19">
    <w:abstractNumId w:val="9"/>
  </w:num>
  <w:num w:numId="20">
    <w:abstractNumId w:val="5"/>
  </w:num>
  <w:num w:numId="21">
    <w:abstractNumId w:val="0"/>
    <w:lvlOverride w:ilvl="0">
      <w:lvl w:ilvl="0">
        <w:start w:val="1"/>
        <w:numFmt w:val="decimal"/>
        <w:lvlText w:val="%1."/>
        <w:lvlJc w:val="left"/>
        <w:pPr>
          <w:ind w:left="720" w:hanging="720"/>
        </w:pPr>
        <w:rPr>
          <w:rFonts w:hint="default"/>
        </w:rPr>
      </w:lvl>
    </w:lvlOverride>
    <w:lvlOverride w:ilvl="1">
      <w:lvl w:ilvl="1">
        <w:start w:val="1"/>
        <w:numFmt w:val="bullet"/>
        <w:lvlText w:val=""/>
        <w:lvlJc w:val="left"/>
        <w:pPr>
          <w:ind w:left="1276" w:hanging="567"/>
        </w:pPr>
        <w:rPr>
          <w:rFonts w:ascii="Symbol" w:hAnsi="Symbol" w:hint="default"/>
          <w:color w:val="auto"/>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99B"/>
    <w:rsid w:val="000071A1"/>
    <w:rsid w:val="00010E6D"/>
    <w:rsid w:val="000144E9"/>
    <w:rsid w:val="00014A5E"/>
    <w:rsid w:val="0002051B"/>
    <w:rsid w:val="00030624"/>
    <w:rsid w:val="00034052"/>
    <w:rsid w:val="00055741"/>
    <w:rsid w:val="000645DC"/>
    <w:rsid w:val="00071B60"/>
    <w:rsid w:val="000A2917"/>
    <w:rsid w:val="000C2DF4"/>
    <w:rsid w:val="000D1FA5"/>
    <w:rsid w:val="000D70D9"/>
    <w:rsid w:val="000D7B7A"/>
    <w:rsid w:val="000E07B9"/>
    <w:rsid w:val="000E483D"/>
    <w:rsid w:val="000E4A70"/>
    <w:rsid w:val="000E5358"/>
    <w:rsid w:val="000F5DC9"/>
    <w:rsid w:val="00116F6D"/>
    <w:rsid w:val="00121C7E"/>
    <w:rsid w:val="00152E83"/>
    <w:rsid w:val="00154B65"/>
    <w:rsid w:val="00155D1B"/>
    <w:rsid w:val="00160E71"/>
    <w:rsid w:val="00163254"/>
    <w:rsid w:val="00163306"/>
    <w:rsid w:val="001657BB"/>
    <w:rsid w:val="001807EE"/>
    <w:rsid w:val="0018370F"/>
    <w:rsid w:val="001849E2"/>
    <w:rsid w:val="001A30EE"/>
    <w:rsid w:val="001A35DA"/>
    <w:rsid w:val="001A549C"/>
    <w:rsid w:val="001C57CE"/>
    <w:rsid w:val="001E6A36"/>
    <w:rsid w:val="001F0004"/>
    <w:rsid w:val="001F2BCC"/>
    <w:rsid w:val="001F3416"/>
    <w:rsid w:val="001F3C82"/>
    <w:rsid w:val="001F3E49"/>
    <w:rsid w:val="001F5856"/>
    <w:rsid w:val="001F783B"/>
    <w:rsid w:val="002035C9"/>
    <w:rsid w:val="00206CE8"/>
    <w:rsid w:val="00210AB5"/>
    <w:rsid w:val="00222CA3"/>
    <w:rsid w:val="00227B8B"/>
    <w:rsid w:val="00227DD2"/>
    <w:rsid w:val="00230191"/>
    <w:rsid w:val="002347D2"/>
    <w:rsid w:val="0023611E"/>
    <w:rsid w:val="00236D1F"/>
    <w:rsid w:val="00240950"/>
    <w:rsid w:val="0025528D"/>
    <w:rsid w:val="002568DE"/>
    <w:rsid w:val="002603A8"/>
    <w:rsid w:val="002615AA"/>
    <w:rsid w:val="00262F74"/>
    <w:rsid w:val="0028031B"/>
    <w:rsid w:val="0028133C"/>
    <w:rsid w:val="00297715"/>
    <w:rsid w:val="002A31C1"/>
    <w:rsid w:val="002A6821"/>
    <w:rsid w:val="002B12E7"/>
    <w:rsid w:val="002B289B"/>
    <w:rsid w:val="002B2A89"/>
    <w:rsid w:val="002C4328"/>
    <w:rsid w:val="002C6D6A"/>
    <w:rsid w:val="002C7FF8"/>
    <w:rsid w:val="002D256D"/>
    <w:rsid w:val="002D5AA1"/>
    <w:rsid w:val="002D72E2"/>
    <w:rsid w:val="002F098C"/>
    <w:rsid w:val="00300E3E"/>
    <w:rsid w:val="0030503C"/>
    <w:rsid w:val="00316B45"/>
    <w:rsid w:val="00324B72"/>
    <w:rsid w:val="00324F0D"/>
    <w:rsid w:val="00346497"/>
    <w:rsid w:val="003716DC"/>
    <w:rsid w:val="0037717E"/>
    <w:rsid w:val="00380EDF"/>
    <w:rsid w:val="00382674"/>
    <w:rsid w:val="00390AB1"/>
    <w:rsid w:val="00392650"/>
    <w:rsid w:val="00394657"/>
    <w:rsid w:val="003A7434"/>
    <w:rsid w:val="003B3B2D"/>
    <w:rsid w:val="003B41FD"/>
    <w:rsid w:val="003B6AFC"/>
    <w:rsid w:val="003C4597"/>
    <w:rsid w:val="003E1CDD"/>
    <w:rsid w:val="003F50FD"/>
    <w:rsid w:val="003F6688"/>
    <w:rsid w:val="00421491"/>
    <w:rsid w:val="00427725"/>
    <w:rsid w:val="0043088E"/>
    <w:rsid w:val="004325DA"/>
    <w:rsid w:val="0043352E"/>
    <w:rsid w:val="004358C1"/>
    <w:rsid w:val="0044054E"/>
    <w:rsid w:val="004550C9"/>
    <w:rsid w:val="004627F1"/>
    <w:rsid w:val="00465DDD"/>
    <w:rsid w:val="004727E9"/>
    <w:rsid w:val="00475D1A"/>
    <w:rsid w:val="004829DA"/>
    <w:rsid w:val="00493A7C"/>
    <w:rsid w:val="004A6A15"/>
    <w:rsid w:val="004A7444"/>
    <w:rsid w:val="004A7CD9"/>
    <w:rsid w:val="004B0DC9"/>
    <w:rsid w:val="004B13A3"/>
    <w:rsid w:val="004B1D7D"/>
    <w:rsid w:val="004B4EF6"/>
    <w:rsid w:val="004B6A67"/>
    <w:rsid w:val="004C7815"/>
    <w:rsid w:val="004D7C03"/>
    <w:rsid w:val="004E0402"/>
    <w:rsid w:val="004E14DA"/>
    <w:rsid w:val="004E236F"/>
    <w:rsid w:val="004F6C32"/>
    <w:rsid w:val="00502F29"/>
    <w:rsid w:val="00522021"/>
    <w:rsid w:val="00525A37"/>
    <w:rsid w:val="00530F34"/>
    <w:rsid w:val="005327B4"/>
    <w:rsid w:val="005355FE"/>
    <w:rsid w:val="00540891"/>
    <w:rsid w:val="0054791C"/>
    <w:rsid w:val="00555448"/>
    <w:rsid w:val="00557D58"/>
    <w:rsid w:val="00570E42"/>
    <w:rsid w:val="0057204F"/>
    <w:rsid w:val="00573683"/>
    <w:rsid w:val="005813E9"/>
    <w:rsid w:val="00584054"/>
    <w:rsid w:val="00587DA7"/>
    <w:rsid w:val="0059042F"/>
    <w:rsid w:val="0059376E"/>
    <w:rsid w:val="0059390B"/>
    <w:rsid w:val="0059426F"/>
    <w:rsid w:val="00595371"/>
    <w:rsid w:val="0059777B"/>
    <w:rsid w:val="005A5A94"/>
    <w:rsid w:val="005A6FB6"/>
    <w:rsid w:val="005B06EA"/>
    <w:rsid w:val="005B40CF"/>
    <w:rsid w:val="005C4947"/>
    <w:rsid w:val="005C49E8"/>
    <w:rsid w:val="005D21CF"/>
    <w:rsid w:val="005D4245"/>
    <w:rsid w:val="005D7A9A"/>
    <w:rsid w:val="005E430C"/>
    <w:rsid w:val="005E4CEF"/>
    <w:rsid w:val="005F397F"/>
    <w:rsid w:val="00606802"/>
    <w:rsid w:val="00615B00"/>
    <w:rsid w:val="00617C03"/>
    <w:rsid w:val="00624434"/>
    <w:rsid w:val="006245F7"/>
    <w:rsid w:val="00627050"/>
    <w:rsid w:val="00635395"/>
    <w:rsid w:val="0063775C"/>
    <w:rsid w:val="00640D7A"/>
    <w:rsid w:val="00647941"/>
    <w:rsid w:val="00651A2F"/>
    <w:rsid w:val="00656814"/>
    <w:rsid w:val="00656965"/>
    <w:rsid w:val="006577E0"/>
    <w:rsid w:val="00661272"/>
    <w:rsid w:val="00667AEF"/>
    <w:rsid w:val="00671772"/>
    <w:rsid w:val="00690FB9"/>
    <w:rsid w:val="00692892"/>
    <w:rsid w:val="006937E8"/>
    <w:rsid w:val="00695857"/>
    <w:rsid w:val="00696295"/>
    <w:rsid w:val="006A2CD0"/>
    <w:rsid w:val="006A55C5"/>
    <w:rsid w:val="006B447F"/>
    <w:rsid w:val="006B4CEB"/>
    <w:rsid w:val="006C32C2"/>
    <w:rsid w:val="006C3DED"/>
    <w:rsid w:val="006D059B"/>
    <w:rsid w:val="006D27D9"/>
    <w:rsid w:val="006E3041"/>
    <w:rsid w:val="006F148C"/>
    <w:rsid w:val="006F2A08"/>
    <w:rsid w:val="0070035F"/>
    <w:rsid w:val="00716118"/>
    <w:rsid w:val="007424AB"/>
    <w:rsid w:val="0075071B"/>
    <w:rsid w:val="00757406"/>
    <w:rsid w:val="00761037"/>
    <w:rsid w:val="00767970"/>
    <w:rsid w:val="007773DA"/>
    <w:rsid w:val="007867C4"/>
    <w:rsid w:val="00791E18"/>
    <w:rsid w:val="00795BEC"/>
    <w:rsid w:val="00796E47"/>
    <w:rsid w:val="007A3256"/>
    <w:rsid w:val="007A682E"/>
    <w:rsid w:val="007A787F"/>
    <w:rsid w:val="007B324C"/>
    <w:rsid w:val="007C0EA3"/>
    <w:rsid w:val="007C6B74"/>
    <w:rsid w:val="007D478F"/>
    <w:rsid w:val="007E0214"/>
    <w:rsid w:val="007E1548"/>
    <w:rsid w:val="007E39DF"/>
    <w:rsid w:val="007F49EE"/>
    <w:rsid w:val="00800064"/>
    <w:rsid w:val="00800E78"/>
    <w:rsid w:val="00803212"/>
    <w:rsid w:val="00803A3A"/>
    <w:rsid w:val="00816FE8"/>
    <w:rsid w:val="00837108"/>
    <w:rsid w:val="00837B7C"/>
    <w:rsid w:val="00843F02"/>
    <w:rsid w:val="0084799B"/>
    <w:rsid w:val="00852A22"/>
    <w:rsid w:val="00852C7A"/>
    <w:rsid w:val="00857F1A"/>
    <w:rsid w:val="00863BEF"/>
    <w:rsid w:val="008668C8"/>
    <w:rsid w:val="008733EC"/>
    <w:rsid w:val="00894B92"/>
    <w:rsid w:val="008A2EFF"/>
    <w:rsid w:val="008A5C7E"/>
    <w:rsid w:val="008B38DA"/>
    <w:rsid w:val="008B4A5C"/>
    <w:rsid w:val="008C2354"/>
    <w:rsid w:val="008D2374"/>
    <w:rsid w:val="008E7E6E"/>
    <w:rsid w:val="008F1F69"/>
    <w:rsid w:val="009020C5"/>
    <w:rsid w:val="009074D6"/>
    <w:rsid w:val="00910253"/>
    <w:rsid w:val="00915D07"/>
    <w:rsid w:val="00923B29"/>
    <w:rsid w:val="00931043"/>
    <w:rsid w:val="00932A5B"/>
    <w:rsid w:val="00932EEA"/>
    <w:rsid w:val="00946D08"/>
    <w:rsid w:val="009529BE"/>
    <w:rsid w:val="009529FD"/>
    <w:rsid w:val="009547BE"/>
    <w:rsid w:val="00956B30"/>
    <w:rsid w:val="009669C2"/>
    <w:rsid w:val="0097711A"/>
    <w:rsid w:val="00982FC2"/>
    <w:rsid w:val="00983A36"/>
    <w:rsid w:val="00993D5B"/>
    <w:rsid w:val="00994682"/>
    <w:rsid w:val="00994C34"/>
    <w:rsid w:val="0099616D"/>
    <w:rsid w:val="00996325"/>
    <w:rsid w:val="009A00EC"/>
    <w:rsid w:val="009A14BE"/>
    <w:rsid w:val="009A345B"/>
    <w:rsid w:val="009A7688"/>
    <w:rsid w:val="009A7A38"/>
    <w:rsid w:val="009C0E43"/>
    <w:rsid w:val="009C2FCD"/>
    <w:rsid w:val="009C4658"/>
    <w:rsid w:val="009C53FC"/>
    <w:rsid w:val="009D6555"/>
    <w:rsid w:val="009D793E"/>
    <w:rsid w:val="009E727F"/>
    <w:rsid w:val="009F1C0F"/>
    <w:rsid w:val="00A014FF"/>
    <w:rsid w:val="00A0249D"/>
    <w:rsid w:val="00A0566C"/>
    <w:rsid w:val="00A078CE"/>
    <w:rsid w:val="00A139B0"/>
    <w:rsid w:val="00A30EA0"/>
    <w:rsid w:val="00A36477"/>
    <w:rsid w:val="00A4450A"/>
    <w:rsid w:val="00A50600"/>
    <w:rsid w:val="00A5390B"/>
    <w:rsid w:val="00A55EDB"/>
    <w:rsid w:val="00A56CF8"/>
    <w:rsid w:val="00A62566"/>
    <w:rsid w:val="00A666C3"/>
    <w:rsid w:val="00A80067"/>
    <w:rsid w:val="00A85DD0"/>
    <w:rsid w:val="00A91FC2"/>
    <w:rsid w:val="00A96F6B"/>
    <w:rsid w:val="00AA54F2"/>
    <w:rsid w:val="00AA5AEC"/>
    <w:rsid w:val="00AB6CC3"/>
    <w:rsid w:val="00AC0741"/>
    <w:rsid w:val="00AC0F50"/>
    <w:rsid w:val="00AC0F85"/>
    <w:rsid w:val="00AC449D"/>
    <w:rsid w:val="00AC5705"/>
    <w:rsid w:val="00AC6F30"/>
    <w:rsid w:val="00AD4D21"/>
    <w:rsid w:val="00AD7AF2"/>
    <w:rsid w:val="00AD7BC2"/>
    <w:rsid w:val="00AE5880"/>
    <w:rsid w:val="00AE6571"/>
    <w:rsid w:val="00AF24F0"/>
    <w:rsid w:val="00AF7565"/>
    <w:rsid w:val="00AF7BA2"/>
    <w:rsid w:val="00B00A0D"/>
    <w:rsid w:val="00B02D9A"/>
    <w:rsid w:val="00B03E21"/>
    <w:rsid w:val="00B23A9B"/>
    <w:rsid w:val="00B25B59"/>
    <w:rsid w:val="00B27F12"/>
    <w:rsid w:val="00B366D0"/>
    <w:rsid w:val="00B70955"/>
    <w:rsid w:val="00B71451"/>
    <w:rsid w:val="00B7185A"/>
    <w:rsid w:val="00B73B8D"/>
    <w:rsid w:val="00B7520E"/>
    <w:rsid w:val="00B8087C"/>
    <w:rsid w:val="00BC3DCB"/>
    <w:rsid w:val="00BC3EBE"/>
    <w:rsid w:val="00BC6A86"/>
    <w:rsid w:val="00BC6C7B"/>
    <w:rsid w:val="00BD3863"/>
    <w:rsid w:val="00BE29B3"/>
    <w:rsid w:val="00BF098B"/>
    <w:rsid w:val="00C003D1"/>
    <w:rsid w:val="00C111E2"/>
    <w:rsid w:val="00C405F1"/>
    <w:rsid w:val="00C42166"/>
    <w:rsid w:val="00C44F99"/>
    <w:rsid w:val="00C47793"/>
    <w:rsid w:val="00C51B8D"/>
    <w:rsid w:val="00C57BE7"/>
    <w:rsid w:val="00C6086F"/>
    <w:rsid w:val="00C6510F"/>
    <w:rsid w:val="00C80DBC"/>
    <w:rsid w:val="00C854E3"/>
    <w:rsid w:val="00C8666F"/>
    <w:rsid w:val="00C93F18"/>
    <w:rsid w:val="00C9516A"/>
    <w:rsid w:val="00CA0665"/>
    <w:rsid w:val="00CA204A"/>
    <w:rsid w:val="00CA4279"/>
    <w:rsid w:val="00CB0426"/>
    <w:rsid w:val="00CB1349"/>
    <w:rsid w:val="00CB25CD"/>
    <w:rsid w:val="00CB7178"/>
    <w:rsid w:val="00CC0BEF"/>
    <w:rsid w:val="00CC21FD"/>
    <w:rsid w:val="00CD0D45"/>
    <w:rsid w:val="00CD5AA0"/>
    <w:rsid w:val="00CE451B"/>
    <w:rsid w:val="00CF1558"/>
    <w:rsid w:val="00D005DF"/>
    <w:rsid w:val="00D05ABE"/>
    <w:rsid w:val="00D221B3"/>
    <w:rsid w:val="00D222F2"/>
    <w:rsid w:val="00D23C9C"/>
    <w:rsid w:val="00D317EF"/>
    <w:rsid w:val="00D323C0"/>
    <w:rsid w:val="00D3245A"/>
    <w:rsid w:val="00D425EB"/>
    <w:rsid w:val="00D45828"/>
    <w:rsid w:val="00D50F31"/>
    <w:rsid w:val="00D51363"/>
    <w:rsid w:val="00D51EF4"/>
    <w:rsid w:val="00D555A7"/>
    <w:rsid w:val="00D57833"/>
    <w:rsid w:val="00D65527"/>
    <w:rsid w:val="00D751BC"/>
    <w:rsid w:val="00D86F0D"/>
    <w:rsid w:val="00DA6B85"/>
    <w:rsid w:val="00DB26B2"/>
    <w:rsid w:val="00DC782D"/>
    <w:rsid w:val="00DD7CC9"/>
    <w:rsid w:val="00DF4987"/>
    <w:rsid w:val="00DF4E8B"/>
    <w:rsid w:val="00DF5A06"/>
    <w:rsid w:val="00DF6330"/>
    <w:rsid w:val="00DF7775"/>
    <w:rsid w:val="00E00AB1"/>
    <w:rsid w:val="00E10370"/>
    <w:rsid w:val="00E20A5B"/>
    <w:rsid w:val="00E24D76"/>
    <w:rsid w:val="00E34957"/>
    <w:rsid w:val="00E43FE7"/>
    <w:rsid w:val="00E64994"/>
    <w:rsid w:val="00E64F78"/>
    <w:rsid w:val="00E7325D"/>
    <w:rsid w:val="00E747FA"/>
    <w:rsid w:val="00E82015"/>
    <w:rsid w:val="00E8207E"/>
    <w:rsid w:val="00E83C3F"/>
    <w:rsid w:val="00E846BB"/>
    <w:rsid w:val="00E9380C"/>
    <w:rsid w:val="00E950E0"/>
    <w:rsid w:val="00EA0BD8"/>
    <w:rsid w:val="00EA149F"/>
    <w:rsid w:val="00EA3E51"/>
    <w:rsid w:val="00EB2A86"/>
    <w:rsid w:val="00EB30DF"/>
    <w:rsid w:val="00EC4AC8"/>
    <w:rsid w:val="00ED44FE"/>
    <w:rsid w:val="00EE655A"/>
    <w:rsid w:val="00EF79F3"/>
    <w:rsid w:val="00F05ECB"/>
    <w:rsid w:val="00F06092"/>
    <w:rsid w:val="00F10914"/>
    <w:rsid w:val="00F10B1C"/>
    <w:rsid w:val="00F36E5B"/>
    <w:rsid w:val="00F37395"/>
    <w:rsid w:val="00F527F0"/>
    <w:rsid w:val="00F5617F"/>
    <w:rsid w:val="00F60184"/>
    <w:rsid w:val="00F70C96"/>
    <w:rsid w:val="00F8674A"/>
    <w:rsid w:val="00F8727F"/>
    <w:rsid w:val="00F92DDB"/>
    <w:rsid w:val="00FA5990"/>
    <w:rsid w:val="00FB25CE"/>
    <w:rsid w:val="00FC041D"/>
    <w:rsid w:val="00FC52BB"/>
    <w:rsid w:val="00FD6DD5"/>
    <w:rsid w:val="00FE0594"/>
    <w:rsid w:val="00FF353E"/>
    <w:rsid w:val="00FF7EA4"/>
    <w:rsid w:val="0C4FA3E2"/>
    <w:rsid w:val="1B6291F8"/>
    <w:rsid w:val="47E6010A"/>
    <w:rsid w:val="7164AB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155F08"/>
  <w15:docId w15:val="{22665850-147A-49FF-8180-78E33819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4A"/>
    <w:pPr>
      <w:suppressAutoHyphens/>
    </w:pPr>
    <w:rPr>
      <w:sz w:val="24"/>
      <w:szCs w:val="24"/>
      <w:lang w:val="en-AU" w:eastAsia="ar-SA"/>
    </w:rPr>
  </w:style>
  <w:style w:type="paragraph" w:styleId="Heading1">
    <w:name w:val="heading 1"/>
    <w:basedOn w:val="Normal"/>
    <w:next w:val="Normal"/>
    <w:qFormat/>
    <w:pPr>
      <w:keepNext/>
      <w:widowControl w:val="0"/>
      <w:spacing w:before="240" w:after="60"/>
      <w:outlineLvl w:val="0"/>
    </w:pPr>
    <w:rPr>
      <w:rFonts w:ascii="Arial Rounded MT Bold" w:eastAsia="Lucida Sans Unicode" w:hAnsi="Arial Rounded MT Bold" w:cs="Arial"/>
      <w:b/>
      <w:bCs/>
      <w:kern w:val="1"/>
      <w:sz w:val="28"/>
      <w:szCs w:val="32"/>
      <w:lang w:val="en-US"/>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link w:val="Heading3Char"/>
    <w:uiPriority w:val="9"/>
    <w:semiHidden/>
    <w:unhideWhenUsed/>
    <w:qFormat/>
    <w:rsid w:val="00DD7CC9"/>
    <w:pPr>
      <w:keepNext/>
      <w:keepLines/>
      <w:spacing w:before="200"/>
      <w:outlineLvl w:val="2"/>
    </w:pPr>
    <w:rPr>
      <w:rFonts w:asciiTheme="majorHAnsi" w:eastAsiaTheme="majorEastAsia" w:hAnsiTheme="majorHAnsi" w:cstheme="majorBidi"/>
      <w:b/>
      <w:bCs/>
      <w:color w:val="4472C4" w:themeColor="accent1"/>
    </w:rPr>
  </w:style>
  <w:style w:type="paragraph" w:styleId="Heading8">
    <w:name w:val="heading 8"/>
    <w:basedOn w:val="Normal"/>
    <w:next w:val="Normal"/>
    <w:qFormat/>
    <w:pPr>
      <w:keepNext/>
      <w:jc w:val="both"/>
      <w:outlineLvl w:val="7"/>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rFonts w:ascii="Symbol" w:hAnsi="Symbol"/>
      <w:sz w:val="24"/>
      <w:szCs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sz w:val="24"/>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DefaultParagraphFont0">
    <w:name w:val="Default Paragraph Font0"/>
  </w:style>
  <w:style w:type="character" w:styleId="PageNumber">
    <w:name w:val="page number"/>
    <w:basedOn w:val="DefaultParagraphFont0"/>
  </w:style>
  <w:style w:type="paragraph" w:styleId="BodyText">
    <w:name w:val="Body Text"/>
    <w:basedOn w:val="Normal"/>
    <w:pPr>
      <w:spacing w:line="288" w:lineRule="auto"/>
      <w:jc w:val="both"/>
    </w:pPr>
    <w:rPr>
      <w:rFonts w:ascii="Arial" w:hAnsi="Arial"/>
      <w:sz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BalloonText">
    <w:name w:val="Balloon Text"/>
    <w:basedOn w:val="Normal"/>
    <w:semiHidden/>
    <w:rsid w:val="00380EDF"/>
    <w:rPr>
      <w:rFonts w:ascii="Tahoma" w:hAnsi="Tahoma" w:cs="Tahoma"/>
      <w:sz w:val="16"/>
      <w:szCs w:val="16"/>
    </w:rPr>
  </w:style>
  <w:style w:type="paragraph" w:styleId="Header">
    <w:name w:val="header"/>
    <w:basedOn w:val="Normal"/>
    <w:rsid w:val="00F70C96"/>
    <w:pPr>
      <w:tabs>
        <w:tab w:val="center" w:pos="4320"/>
        <w:tab w:val="right" w:pos="8640"/>
      </w:tabs>
    </w:pPr>
  </w:style>
  <w:style w:type="paragraph" w:styleId="FootnoteText">
    <w:name w:val="footnote text"/>
    <w:basedOn w:val="Normal"/>
    <w:semiHidden/>
    <w:rsid w:val="00F5617F"/>
    <w:rPr>
      <w:sz w:val="20"/>
      <w:szCs w:val="20"/>
    </w:rPr>
  </w:style>
  <w:style w:type="character" w:styleId="FootnoteReference">
    <w:name w:val="footnote reference"/>
    <w:uiPriority w:val="99"/>
    <w:semiHidden/>
    <w:rsid w:val="00F5617F"/>
    <w:rPr>
      <w:vertAlign w:val="superscript"/>
    </w:rPr>
  </w:style>
  <w:style w:type="character" w:styleId="Strong">
    <w:name w:val="Strong"/>
    <w:qFormat/>
    <w:rsid w:val="00B03E21"/>
    <w:rPr>
      <w:b/>
      <w:bCs/>
    </w:rPr>
  </w:style>
  <w:style w:type="character" w:customStyle="1" w:styleId="apple-converted-space">
    <w:name w:val="apple-converted-space"/>
    <w:basedOn w:val="DefaultParagraphFont"/>
    <w:rsid w:val="00B03E21"/>
  </w:style>
  <w:style w:type="paragraph" w:customStyle="1" w:styleId="Default">
    <w:name w:val="Default"/>
    <w:rsid w:val="00AC449D"/>
    <w:pPr>
      <w:autoSpaceDE w:val="0"/>
      <w:autoSpaceDN w:val="0"/>
      <w:adjustRightInd w:val="0"/>
    </w:pPr>
    <w:rPr>
      <w:rFonts w:ascii="Calibri" w:hAnsi="Calibri" w:cs="Calibri"/>
      <w:color w:val="000000"/>
      <w:sz w:val="24"/>
      <w:szCs w:val="24"/>
      <w:lang w:val="en-AU" w:eastAsia="en-AU"/>
    </w:rPr>
  </w:style>
  <w:style w:type="paragraph" w:styleId="ListParagraph">
    <w:name w:val="List Paragraph"/>
    <w:basedOn w:val="Normal"/>
    <w:uiPriority w:val="34"/>
    <w:qFormat/>
    <w:rsid w:val="00843F02"/>
    <w:pPr>
      <w:ind w:left="720"/>
      <w:contextualSpacing/>
    </w:pPr>
  </w:style>
  <w:style w:type="character" w:customStyle="1" w:styleId="Heading3Char">
    <w:name w:val="Heading 3 Char"/>
    <w:basedOn w:val="DefaultParagraphFont"/>
    <w:link w:val="Heading3"/>
    <w:uiPriority w:val="9"/>
    <w:semiHidden/>
    <w:rsid w:val="00DD7CC9"/>
    <w:rPr>
      <w:rFonts w:asciiTheme="majorHAnsi" w:eastAsiaTheme="majorEastAsia" w:hAnsiTheme="majorHAnsi" w:cstheme="majorBidi"/>
      <w:b/>
      <w:bCs/>
      <w:color w:val="4472C4" w:themeColor="accent1"/>
      <w:sz w:val="24"/>
      <w:szCs w:val="24"/>
      <w:lang w:val="en-AU" w:eastAsia="ar-SA"/>
    </w:rPr>
  </w:style>
  <w:style w:type="paragraph" w:customStyle="1" w:styleId="BulletPoints">
    <w:name w:val="Bullet Points"/>
    <w:basedOn w:val="ListParagraph"/>
    <w:uiPriority w:val="11"/>
    <w:rsid w:val="007D478F"/>
    <w:pPr>
      <w:suppressAutoHyphens w:val="0"/>
      <w:spacing w:before="120"/>
      <w:ind w:left="1276" w:hanging="567"/>
      <w:contextualSpacing w:val="0"/>
      <w:jc w:val="both"/>
    </w:pPr>
    <w:rPr>
      <w:rFonts w:ascii="Corbel" w:hAnsi="Corbel"/>
      <w:sz w:val="22"/>
      <w:lang w:eastAsia="en-GB"/>
    </w:rPr>
  </w:style>
  <w:style w:type="numbering" w:customStyle="1" w:styleId="Style3">
    <w:name w:val="Style3"/>
    <w:uiPriority w:val="99"/>
    <w:rsid w:val="007D478F"/>
    <w:pPr>
      <w:numPr>
        <w:numId w:val="20"/>
      </w:numPr>
    </w:pPr>
  </w:style>
  <w:style w:type="paragraph" w:styleId="NoSpacing">
    <w:name w:val="No Spacing"/>
    <w:link w:val="NoSpacingChar"/>
    <w:uiPriority w:val="1"/>
    <w:qFormat/>
    <w:rsid w:val="007D478F"/>
    <w:pPr>
      <w:jc w:val="both"/>
    </w:pPr>
    <w:rPr>
      <w:rFonts w:ascii="Corbel" w:eastAsiaTheme="minorEastAsia" w:hAnsi="Corbel" w:cstheme="minorBidi"/>
      <w:color w:val="000000" w:themeColor="text1"/>
      <w:sz w:val="22"/>
      <w:szCs w:val="22"/>
      <w:lang w:val="en-GB"/>
    </w:rPr>
  </w:style>
  <w:style w:type="character" w:customStyle="1" w:styleId="NoSpacingChar">
    <w:name w:val="No Spacing Char"/>
    <w:basedOn w:val="DefaultParagraphFont"/>
    <w:link w:val="NoSpacing"/>
    <w:uiPriority w:val="1"/>
    <w:rsid w:val="007D478F"/>
    <w:rPr>
      <w:rFonts w:ascii="Corbel" w:eastAsiaTheme="minorEastAsia" w:hAnsi="Corbel" w:cstheme="minorBidi"/>
      <w:color w:val="000000" w:themeColor="text1"/>
      <w:sz w:val="22"/>
      <w:szCs w:val="22"/>
      <w:lang w:val="en-GB"/>
    </w:rPr>
  </w:style>
  <w:style w:type="character" w:styleId="Hyperlink">
    <w:name w:val="Hyperlink"/>
    <w:basedOn w:val="DefaultParagraphFont"/>
    <w:uiPriority w:val="99"/>
    <w:unhideWhenUsed/>
    <w:rsid w:val="007D478F"/>
    <w:rPr>
      <w:color w:val="0563C1" w:themeColor="hyperlink"/>
      <w:u w:val="single"/>
    </w:rPr>
  </w:style>
  <w:style w:type="character" w:styleId="CommentReference">
    <w:name w:val="annotation reference"/>
    <w:basedOn w:val="DefaultParagraphFont"/>
    <w:uiPriority w:val="99"/>
    <w:semiHidden/>
    <w:unhideWhenUsed/>
    <w:rsid w:val="007D478F"/>
    <w:rPr>
      <w:sz w:val="16"/>
      <w:szCs w:val="16"/>
    </w:rPr>
  </w:style>
  <w:style w:type="paragraph" w:styleId="CommentText">
    <w:name w:val="annotation text"/>
    <w:basedOn w:val="Normal"/>
    <w:link w:val="CommentTextChar"/>
    <w:uiPriority w:val="99"/>
    <w:semiHidden/>
    <w:unhideWhenUsed/>
    <w:rsid w:val="007D478F"/>
    <w:pPr>
      <w:suppressAutoHyphens w:val="0"/>
      <w:spacing w:before="120"/>
      <w:jc w:val="both"/>
    </w:pPr>
    <w:rPr>
      <w:rFonts w:ascii="Corbel" w:hAnsi="Corbel"/>
      <w:sz w:val="20"/>
      <w:szCs w:val="20"/>
      <w:lang w:eastAsia="en-GB"/>
    </w:rPr>
  </w:style>
  <w:style w:type="character" w:customStyle="1" w:styleId="CommentTextChar">
    <w:name w:val="Comment Text Char"/>
    <w:basedOn w:val="DefaultParagraphFont"/>
    <w:link w:val="CommentText"/>
    <w:uiPriority w:val="99"/>
    <w:semiHidden/>
    <w:rsid w:val="007D478F"/>
    <w:rPr>
      <w:rFonts w:ascii="Corbel" w:hAnsi="Corbel"/>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318605">
      <w:bodyDiv w:val="1"/>
      <w:marLeft w:val="0"/>
      <w:marRight w:val="0"/>
      <w:marTop w:val="0"/>
      <w:marBottom w:val="0"/>
      <w:divBdr>
        <w:top w:val="none" w:sz="0" w:space="0" w:color="auto"/>
        <w:left w:val="none" w:sz="0" w:space="0" w:color="auto"/>
        <w:bottom w:val="none" w:sz="0" w:space="0" w:color="auto"/>
        <w:right w:val="none" w:sz="0" w:space="0" w:color="auto"/>
      </w:divBdr>
    </w:div>
    <w:div w:id="1022702250">
      <w:bodyDiv w:val="1"/>
      <w:marLeft w:val="0"/>
      <w:marRight w:val="0"/>
      <w:marTop w:val="0"/>
      <w:marBottom w:val="0"/>
      <w:divBdr>
        <w:top w:val="none" w:sz="0" w:space="0" w:color="auto"/>
        <w:left w:val="none" w:sz="0" w:space="0" w:color="auto"/>
        <w:bottom w:val="none" w:sz="0" w:space="0" w:color="auto"/>
        <w:right w:val="none" w:sz="0" w:space="0" w:color="auto"/>
      </w:divBdr>
    </w:div>
    <w:div w:id="1183743868">
      <w:bodyDiv w:val="1"/>
      <w:marLeft w:val="0"/>
      <w:marRight w:val="0"/>
      <w:marTop w:val="0"/>
      <w:marBottom w:val="0"/>
      <w:divBdr>
        <w:top w:val="none" w:sz="0" w:space="0" w:color="auto"/>
        <w:left w:val="none" w:sz="0" w:space="0" w:color="auto"/>
        <w:bottom w:val="none" w:sz="0" w:space="0" w:color="auto"/>
        <w:right w:val="none" w:sz="0" w:space="0" w:color="auto"/>
      </w:divBdr>
      <w:divsChild>
        <w:div w:id="81222894">
          <w:marLeft w:val="0"/>
          <w:marRight w:val="0"/>
          <w:marTop w:val="0"/>
          <w:marBottom w:val="0"/>
          <w:divBdr>
            <w:top w:val="none" w:sz="0" w:space="0" w:color="auto"/>
            <w:left w:val="none" w:sz="0" w:space="0" w:color="auto"/>
            <w:bottom w:val="none" w:sz="0" w:space="0" w:color="auto"/>
            <w:right w:val="none" w:sz="0" w:space="0" w:color="auto"/>
          </w:divBdr>
        </w:div>
        <w:div w:id="326979158">
          <w:marLeft w:val="0"/>
          <w:marRight w:val="0"/>
          <w:marTop w:val="0"/>
          <w:marBottom w:val="0"/>
          <w:divBdr>
            <w:top w:val="none" w:sz="0" w:space="0" w:color="auto"/>
            <w:left w:val="none" w:sz="0" w:space="0" w:color="auto"/>
            <w:bottom w:val="none" w:sz="0" w:space="0" w:color="auto"/>
            <w:right w:val="none" w:sz="0" w:space="0" w:color="auto"/>
          </w:divBdr>
        </w:div>
        <w:div w:id="665670602">
          <w:marLeft w:val="0"/>
          <w:marRight w:val="0"/>
          <w:marTop w:val="0"/>
          <w:marBottom w:val="0"/>
          <w:divBdr>
            <w:top w:val="none" w:sz="0" w:space="0" w:color="auto"/>
            <w:left w:val="none" w:sz="0" w:space="0" w:color="auto"/>
            <w:bottom w:val="none" w:sz="0" w:space="0" w:color="auto"/>
            <w:right w:val="none" w:sz="0" w:space="0" w:color="auto"/>
          </w:divBdr>
        </w:div>
        <w:div w:id="884637103">
          <w:marLeft w:val="0"/>
          <w:marRight w:val="0"/>
          <w:marTop w:val="0"/>
          <w:marBottom w:val="0"/>
          <w:divBdr>
            <w:top w:val="none" w:sz="0" w:space="0" w:color="auto"/>
            <w:left w:val="none" w:sz="0" w:space="0" w:color="auto"/>
            <w:bottom w:val="none" w:sz="0" w:space="0" w:color="auto"/>
            <w:right w:val="none" w:sz="0" w:space="0" w:color="auto"/>
          </w:divBdr>
          <w:divsChild>
            <w:div w:id="15205492">
              <w:marLeft w:val="0"/>
              <w:marRight w:val="0"/>
              <w:marTop w:val="0"/>
              <w:marBottom w:val="0"/>
              <w:divBdr>
                <w:top w:val="none" w:sz="0" w:space="0" w:color="auto"/>
                <w:left w:val="none" w:sz="0" w:space="0" w:color="auto"/>
                <w:bottom w:val="none" w:sz="0" w:space="0" w:color="auto"/>
                <w:right w:val="none" w:sz="0" w:space="0" w:color="auto"/>
              </w:divBdr>
            </w:div>
            <w:div w:id="167410070">
              <w:marLeft w:val="0"/>
              <w:marRight w:val="0"/>
              <w:marTop w:val="0"/>
              <w:marBottom w:val="0"/>
              <w:divBdr>
                <w:top w:val="none" w:sz="0" w:space="0" w:color="auto"/>
                <w:left w:val="none" w:sz="0" w:space="0" w:color="auto"/>
                <w:bottom w:val="none" w:sz="0" w:space="0" w:color="auto"/>
                <w:right w:val="none" w:sz="0" w:space="0" w:color="auto"/>
              </w:divBdr>
            </w:div>
            <w:div w:id="229073265">
              <w:marLeft w:val="0"/>
              <w:marRight w:val="0"/>
              <w:marTop w:val="0"/>
              <w:marBottom w:val="0"/>
              <w:divBdr>
                <w:top w:val="none" w:sz="0" w:space="0" w:color="auto"/>
                <w:left w:val="none" w:sz="0" w:space="0" w:color="auto"/>
                <w:bottom w:val="none" w:sz="0" w:space="0" w:color="auto"/>
                <w:right w:val="none" w:sz="0" w:space="0" w:color="auto"/>
              </w:divBdr>
            </w:div>
            <w:div w:id="352465624">
              <w:marLeft w:val="0"/>
              <w:marRight w:val="0"/>
              <w:marTop w:val="0"/>
              <w:marBottom w:val="0"/>
              <w:divBdr>
                <w:top w:val="none" w:sz="0" w:space="0" w:color="auto"/>
                <w:left w:val="none" w:sz="0" w:space="0" w:color="auto"/>
                <w:bottom w:val="none" w:sz="0" w:space="0" w:color="auto"/>
                <w:right w:val="none" w:sz="0" w:space="0" w:color="auto"/>
              </w:divBdr>
            </w:div>
            <w:div w:id="443890006">
              <w:marLeft w:val="0"/>
              <w:marRight w:val="0"/>
              <w:marTop w:val="0"/>
              <w:marBottom w:val="0"/>
              <w:divBdr>
                <w:top w:val="none" w:sz="0" w:space="0" w:color="auto"/>
                <w:left w:val="none" w:sz="0" w:space="0" w:color="auto"/>
                <w:bottom w:val="none" w:sz="0" w:space="0" w:color="auto"/>
                <w:right w:val="none" w:sz="0" w:space="0" w:color="auto"/>
              </w:divBdr>
            </w:div>
            <w:div w:id="453787653">
              <w:marLeft w:val="0"/>
              <w:marRight w:val="0"/>
              <w:marTop w:val="0"/>
              <w:marBottom w:val="0"/>
              <w:divBdr>
                <w:top w:val="none" w:sz="0" w:space="0" w:color="auto"/>
                <w:left w:val="none" w:sz="0" w:space="0" w:color="auto"/>
                <w:bottom w:val="none" w:sz="0" w:space="0" w:color="auto"/>
                <w:right w:val="none" w:sz="0" w:space="0" w:color="auto"/>
              </w:divBdr>
            </w:div>
            <w:div w:id="500631305">
              <w:marLeft w:val="0"/>
              <w:marRight w:val="0"/>
              <w:marTop w:val="0"/>
              <w:marBottom w:val="0"/>
              <w:divBdr>
                <w:top w:val="none" w:sz="0" w:space="0" w:color="auto"/>
                <w:left w:val="none" w:sz="0" w:space="0" w:color="auto"/>
                <w:bottom w:val="none" w:sz="0" w:space="0" w:color="auto"/>
                <w:right w:val="none" w:sz="0" w:space="0" w:color="auto"/>
              </w:divBdr>
            </w:div>
            <w:div w:id="551042023">
              <w:marLeft w:val="0"/>
              <w:marRight w:val="0"/>
              <w:marTop w:val="0"/>
              <w:marBottom w:val="0"/>
              <w:divBdr>
                <w:top w:val="none" w:sz="0" w:space="0" w:color="auto"/>
                <w:left w:val="none" w:sz="0" w:space="0" w:color="auto"/>
                <w:bottom w:val="none" w:sz="0" w:space="0" w:color="auto"/>
                <w:right w:val="none" w:sz="0" w:space="0" w:color="auto"/>
              </w:divBdr>
            </w:div>
            <w:div w:id="558634776">
              <w:marLeft w:val="0"/>
              <w:marRight w:val="0"/>
              <w:marTop w:val="0"/>
              <w:marBottom w:val="0"/>
              <w:divBdr>
                <w:top w:val="none" w:sz="0" w:space="0" w:color="auto"/>
                <w:left w:val="none" w:sz="0" w:space="0" w:color="auto"/>
                <w:bottom w:val="none" w:sz="0" w:space="0" w:color="auto"/>
                <w:right w:val="none" w:sz="0" w:space="0" w:color="auto"/>
              </w:divBdr>
            </w:div>
            <w:div w:id="596182408">
              <w:marLeft w:val="0"/>
              <w:marRight w:val="0"/>
              <w:marTop w:val="0"/>
              <w:marBottom w:val="0"/>
              <w:divBdr>
                <w:top w:val="none" w:sz="0" w:space="0" w:color="auto"/>
                <w:left w:val="none" w:sz="0" w:space="0" w:color="auto"/>
                <w:bottom w:val="none" w:sz="0" w:space="0" w:color="auto"/>
                <w:right w:val="none" w:sz="0" w:space="0" w:color="auto"/>
              </w:divBdr>
            </w:div>
            <w:div w:id="622806400">
              <w:marLeft w:val="0"/>
              <w:marRight w:val="0"/>
              <w:marTop w:val="0"/>
              <w:marBottom w:val="0"/>
              <w:divBdr>
                <w:top w:val="none" w:sz="0" w:space="0" w:color="auto"/>
                <w:left w:val="none" w:sz="0" w:space="0" w:color="auto"/>
                <w:bottom w:val="none" w:sz="0" w:space="0" w:color="auto"/>
                <w:right w:val="none" w:sz="0" w:space="0" w:color="auto"/>
              </w:divBdr>
            </w:div>
            <w:div w:id="650987811">
              <w:marLeft w:val="0"/>
              <w:marRight w:val="0"/>
              <w:marTop w:val="0"/>
              <w:marBottom w:val="0"/>
              <w:divBdr>
                <w:top w:val="none" w:sz="0" w:space="0" w:color="auto"/>
                <w:left w:val="none" w:sz="0" w:space="0" w:color="auto"/>
                <w:bottom w:val="none" w:sz="0" w:space="0" w:color="auto"/>
                <w:right w:val="none" w:sz="0" w:space="0" w:color="auto"/>
              </w:divBdr>
            </w:div>
            <w:div w:id="650989499">
              <w:marLeft w:val="0"/>
              <w:marRight w:val="0"/>
              <w:marTop w:val="0"/>
              <w:marBottom w:val="0"/>
              <w:divBdr>
                <w:top w:val="none" w:sz="0" w:space="0" w:color="auto"/>
                <w:left w:val="none" w:sz="0" w:space="0" w:color="auto"/>
                <w:bottom w:val="none" w:sz="0" w:space="0" w:color="auto"/>
                <w:right w:val="none" w:sz="0" w:space="0" w:color="auto"/>
              </w:divBdr>
            </w:div>
            <w:div w:id="929704658">
              <w:marLeft w:val="0"/>
              <w:marRight w:val="0"/>
              <w:marTop w:val="0"/>
              <w:marBottom w:val="0"/>
              <w:divBdr>
                <w:top w:val="none" w:sz="0" w:space="0" w:color="auto"/>
                <w:left w:val="none" w:sz="0" w:space="0" w:color="auto"/>
                <w:bottom w:val="none" w:sz="0" w:space="0" w:color="auto"/>
                <w:right w:val="none" w:sz="0" w:space="0" w:color="auto"/>
              </w:divBdr>
            </w:div>
            <w:div w:id="963080337">
              <w:marLeft w:val="0"/>
              <w:marRight w:val="0"/>
              <w:marTop w:val="0"/>
              <w:marBottom w:val="0"/>
              <w:divBdr>
                <w:top w:val="none" w:sz="0" w:space="0" w:color="auto"/>
                <w:left w:val="none" w:sz="0" w:space="0" w:color="auto"/>
                <w:bottom w:val="none" w:sz="0" w:space="0" w:color="auto"/>
                <w:right w:val="none" w:sz="0" w:space="0" w:color="auto"/>
              </w:divBdr>
            </w:div>
            <w:div w:id="1068042719">
              <w:marLeft w:val="0"/>
              <w:marRight w:val="0"/>
              <w:marTop w:val="0"/>
              <w:marBottom w:val="0"/>
              <w:divBdr>
                <w:top w:val="none" w:sz="0" w:space="0" w:color="auto"/>
                <w:left w:val="none" w:sz="0" w:space="0" w:color="auto"/>
                <w:bottom w:val="none" w:sz="0" w:space="0" w:color="auto"/>
                <w:right w:val="none" w:sz="0" w:space="0" w:color="auto"/>
              </w:divBdr>
            </w:div>
            <w:div w:id="1084766543">
              <w:marLeft w:val="0"/>
              <w:marRight w:val="0"/>
              <w:marTop w:val="0"/>
              <w:marBottom w:val="0"/>
              <w:divBdr>
                <w:top w:val="none" w:sz="0" w:space="0" w:color="auto"/>
                <w:left w:val="none" w:sz="0" w:space="0" w:color="auto"/>
                <w:bottom w:val="none" w:sz="0" w:space="0" w:color="auto"/>
                <w:right w:val="none" w:sz="0" w:space="0" w:color="auto"/>
              </w:divBdr>
            </w:div>
            <w:div w:id="1112868598">
              <w:marLeft w:val="0"/>
              <w:marRight w:val="0"/>
              <w:marTop w:val="0"/>
              <w:marBottom w:val="0"/>
              <w:divBdr>
                <w:top w:val="none" w:sz="0" w:space="0" w:color="auto"/>
                <w:left w:val="none" w:sz="0" w:space="0" w:color="auto"/>
                <w:bottom w:val="none" w:sz="0" w:space="0" w:color="auto"/>
                <w:right w:val="none" w:sz="0" w:space="0" w:color="auto"/>
              </w:divBdr>
            </w:div>
            <w:div w:id="1166046246">
              <w:marLeft w:val="0"/>
              <w:marRight w:val="0"/>
              <w:marTop w:val="0"/>
              <w:marBottom w:val="0"/>
              <w:divBdr>
                <w:top w:val="none" w:sz="0" w:space="0" w:color="auto"/>
                <w:left w:val="none" w:sz="0" w:space="0" w:color="auto"/>
                <w:bottom w:val="none" w:sz="0" w:space="0" w:color="auto"/>
                <w:right w:val="none" w:sz="0" w:space="0" w:color="auto"/>
              </w:divBdr>
            </w:div>
            <w:div w:id="1360282301">
              <w:marLeft w:val="0"/>
              <w:marRight w:val="0"/>
              <w:marTop w:val="0"/>
              <w:marBottom w:val="0"/>
              <w:divBdr>
                <w:top w:val="none" w:sz="0" w:space="0" w:color="auto"/>
                <w:left w:val="none" w:sz="0" w:space="0" w:color="auto"/>
                <w:bottom w:val="none" w:sz="0" w:space="0" w:color="auto"/>
                <w:right w:val="none" w:sz="0" w:space="0" w:color="auto"/>
              </w:divBdr>
            </w:div>
            <w:div w:id="1464882520">
              <w:marLeft w:val="0"/>
              <w:marRight w:val="0"/>
              <w:marTop w:val="0"/>
              <w:marBottom w:val="0"/>
              <w:divBdr>
                <w:top w:val="none" w:sz="0" w:space="0" w:color="auto"/>
                <w:left w:val="none" w:sz="0" w:space="0" w:color="auto"/>
                <w:bottom w:val="none" w:sz="0" w:space="0" w:color="auto"/>
                <w:right w:val="none" w:sz="0" w:space="0" w:color="auto"/>
              </w:divBdr>
            </w:div>
            <w:div w:id="1467166166">
              <w:marLeft w:val="0"/>
              <w:marRight w:val="0"/>
              <w:marTop w:val="0"/>
              <w:marBottom w:val="0"/>
              <w:divBdr>
                <w:top w:val="none" w:sz="0" w:space="0" w:color="auto"/>
                <w:left w:val="none" w:sz="0" w:space="0" w:color="auto"/>
                <w:bottom w:val="none" w:sz="0" w:space="0" w:color="auto"/>
                <w:right w:val="none" w:sz="0" w:space="0" w:color="auto"/>
              </w:divBdr>
            </w:div>
            <w:div w:id="1478837734">
              <w:marLeft w:val="0"/>
              <w:marRight w:val="0"/>
              <w:marTop w:val="0"/>
              <w:marBottom w:val="0"/>
              <w:divBdr>
                <w:top w:val="none" w:sz="0" w:space="0" w:color="auto"/>
                <w:left w:val="none" w:sz="0" w:space="0" w:color="auto"/>
                <w:bottom w:val="none" w:sz="0" w:space="0" w:color="auto"/>
                <w:right w:val="none" w:sz="0" w:space="0" w:color="auto"/>
              </w:divBdr>
            </w:div>
            <w:div w:id="1611811746">
              <w:marLeft w:val="0"/>
              <w:marRight w:val="0"/>
              <w:marTop w:val="0"/>
              <w:marBottom w:val="0"/>
              <w:divBdr>
                <w:top w:val="none" w:sz="0" w:space="0" w:color="auto"/>
                <w:left w:val="none" w:sz="0" w:space="0" w:color="auto"/>
                <w:bottom w:val="none" w:sz="0" w:space="0" w:color="auto"/>
                <w:right w:val="none" w:sz="0" w:space="0" w:color="auto"/>
              </w:divBdr>
            </w:div>
            <w:div w:id="1831210386">
              <w:marLeft w:val="0"/>
              <w:marRight w:val="0"/>
              <w:marTop w:val="0"/>
              <w:marBottom w:val="0"/>
              <w:divBdr>
                <w:top w:val="none" w:sz="0" w:space="0" w:color="auto"/>
                <w:left w:val="none" w:sz="0" w:space="0" w:color="auto"/>
                <w:bottom w:val="none" w:sz="0" w:space="0" w:color="auto"/>
                <w:right w:val="none" w:sz="0" w:space="0" w:color="auto"/>
              </w:divBdr>
            </w:div>
            <w:div w:id="1885869466">
              <w:marLeft w:val="0"/>
              <w:marRight w:val="0"/>
              <w:marTop w:val="0"/>
              <w:marBottom w:val="0"/>
              <w:divBdr>
                <w:top w:val="none" w:sz="0" w:space="0" w:color="auto"/>
                <w:left w:val="none" w:sz="0" w:space="0" w:color="auto"/>
                <w:bottom w:val="none" w:sz="0" w:space="0" w:color="auto"/>
                <w:right w:val="none" w:sz="0" w:space="0" w:color="auto"/>
              </w:divBdr>
            </w:div>
            <w:div w:id="1977753622">
              <w:marLeft w:val="0"/>
              <w:marRight w:val="0"/>
              <w:marTop w:val="0"/>
              <w:marBottom w:val="0"/>
              <w:divBdr>
                <w:top w:val="none" w:sz="0" w:space="0" w:color="auto"/>
                <w:left w:val="none" w:sz="0" w:space="0" w:color="auto"/>
                <w:bottom w:val="none" w:sz="0" w:space="0" w:color="auto"/>
                <w:right w:val="none" w:sz="0" w:space="0" w:color="auto"/>
              </w:divBdr>
            </w:div>
            <w:div w:id="2027171611">
              <w:marLeft w:val="0"/>
              <w:marRight w:val="0"/>
              <w:marTop w:val="0"/>
              <w:marBottom w:val="0"/>
              <w:divBdr>
                <w:top w:val="none" w:sz="0" w:space="0" w:color="auto"/>
                <w:left w:val="none" w:sz="0" w:space="0" w:color="auto"/>
                <w:bottom w:val="none" w:sz="0" w:space="0" w:color="auto"/>
                <w:right w:val="none" w:sz="0" w:space="0" w:color="auto"/>
              </w:divBdr>
            </w:div>
            <w:div w:id="2049068082">
              <w:marLeft w:val="0"/>
              <w:marRight w:val="0"/>
              <w:marTop w:val="0"/>
              <w:marBottom w:val="0"/>
              <w:divBdr>
                <w:top w:val="none" w:sz="0" w:space="0" w:color="auto"/>
                <w:left w:val="none" w:sz="0" w:space="0" w:color="auto"/>
                <w:bottom w:val="none" w:sz="0" w:space="0" w:color="auto"/>
                <w:right w:val="none" w:sz="0" w:space="0" w:color="auto"/>
              </w:divBdr>
            </w:div>
            <w:div w:id="20778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alelawjournal.org/issue/issue/volume-126-issue-3-january-2017"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535e00df98a0a238ff42e20f2f5de046">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f3d7678a6f84828957ecbeab82edbe11"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RREP-2110725275-2267</_dlc_DocId>
    <_dlc_DocIdUrl xmlns="ffbe827b-229f-4d45-a454-c5723c898f52">
      <Url>https://pcgov.sharepoint.com/teams/repair/_layouts/15/DocIdRedir.aspx?ID=RREP-2110725275-2267</Url>
      <Description>RREP-2110725275-2267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763F0-0E17-4C3D-97C1-76415B5202AF}">
  <ds:schemaRefs>
    <ds:schemaRef ds:uri="http://schemas.microsoft.com/sharepoint/events"/>
  </ds:schemaRefs>
</ds:datastoreItem>
</file>

<file path=customXml/itemProps2.xml><?xml version="1.0" encoding="utf-8"?>
<ds:datastoreItem xmlns:ds="http://schemas.openxmlformats.org/officeDocument/2006/customXml" ds:itemID="{6AF889B9-A68D-46C9-ADE2-5AF8E9A4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E5EEEB-8B57-4467-8A28-DAF8F38CA426}">
  <ds:schemaRefs>
    <ds:schemaRef ds:uri="http://schemas.openxmlformats.org/officeDocument/2006/bibliography"/>
  </ds:schemaRefs>
</ds:datastoreItem>
</file>

<file path=customXml/itemProps4.xml><?xml version="1.0" encoding="utf-8"?>
<ds:datastoreItem xmlns:ds="http://schemas.openxmlformats.org/officeDocument/2006/customXml" ds:itemID="{3B75B942-11F8-4C50-94CF-E89581DE01A2}">
  <ds:schemaRefs>
    <ds:schemaRef ds:uri="http://schemas.openxmlformats.org/package/2006/metadata/core-properties"/>
    <ds:schemaRef ds:uri="http://purl.org/dc/dcmitype/"/>
    <ds:schemaRef ds:uri="http://schemas.microsoft.com/office/2006/documentManagement/types"/>
    <ds:schemaRef ds:uri="ffbe827b-229f-4d45-a454-c5723c898f52"/>
    <ds:schemaRef ds:uri="http://www.w3.org/XML/1998/namespace"/>
    <ds:schemaRef ds:uri="0ad56286-c3bf-404c-927b-63d63b20e0ba"/>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15C4BFD8-50DD-42E0-8BF8-0C082B8F24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Submission 122 - Queensland Consumers’ Association - Right to Repair - Public inquiry</vt:lpstr>
    </vt:vector>
  </TitlesOfParts>
  <Company>Queensland Consumers’ Association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122 - Queensland Consumers’ Association - Right to Repair - Public inquiry</dc:title>
  <dc:creator>Queensland Consumers’ Association </dc:creator>
  <cp:lastModifiedBy>Alston, Chris</cp:lastModifiedBy>
  <cp:revision>3</cp:revision>
  <cp:lastPrinted>2021-02-13T05:57:00Z</cp:lastPrinted>
  <dcterms:created xsi:type="dcterms:W3CDTF">2021-02-16T05:04:00Z</dcterms:created>
  <dcterms:modified xsi:type="dcterms:W3CDTF">2021-02-16T22:29:00Z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43df2ab6-32fc-430b-bc08-b5568408c753</vt:lpwstr>
  </property>
</Properties>
</file>