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914079" w14:textId="77777777" w:rsidR="00AD0122" w:rsidRPr="00BA1939" w:rsidRDefault="00AD0122" w:rsidP="00AD0122">
      <w:pPr>
        <w:spacing w:line="276" w:lineRule="auto"/>
        <w:jc w:val="center"/>
        <w:rPr>
          <w:rFonts w:ascii="Times New Roman" w:hAnsi="Times New Roman"/>
          <w:b/>
          <w:smallCaps/>
          <w:sz w:val="24"/>
          <w:szCs w:val="24"/>
        </w:rPr>
      </w:pPr>
      <w:r w:rsidRPr="00BA1939">
        <w:rPr>
          <w:rFonts w:ascii="Times New Roman" w:hAnsi="Times New Roman"/>
          <w:b/>
          <w:smallCaps/>
          <w:sz w:val="24"/>
          <w:szCs w:val="24"/>
        </w:rPr>
        <w:t xml:space="preserve">National Water Reform – Productivity Commission </w:t>
      </w:r>
      <w:r>
        <w:rPr>
          <w:rFonts w:ascii="Times New Roman" w:hAnsi="Times New Roman"/>
          <w:b/>
          <w:smallCaps/>
          <w:sz w:val="24"/>
          <w:szCs w:val="24"/>
        </w:rPr>
        <w:t xml:space="preserve">Draft Inquiry Report </w:t>
      </w:r>
      <w:r w:rsidR="00633C8F">
        <w:rPr>
          <w:rFonts w:ascii="Times New Roman" w:hAnsi="Times New Roman"/>
          <w:b/>
          <w:smallCaps/>
          <w:sz w:val="24"/>
          <w:szCs w:val="24"/>
        </w:rPr>
        <w:t xml:space="preserve">March </w:t>
      </w:r>
      <w:r>
        <w:rPr>
          <w:rFonts w:ascii="Times New Roman" w:hAnsi="Times New Roman"/>
          <w:b/>
          <w:smallCaps/>
          <w:sz w:val="24"/>
          <w:szCs w:val="24"/>
        </w:rPr>
        <w:t>2021</w:t>
      </w:r>
    </w:p>
    <w:p w14:paraId="6F63392C" w14:textId="77777777" w:rsidR="007216A7" w:rsidRDefault="00220046" w:rsidP="00FB554C">
      <w:pPr>
        <w:spacing w:after="240" w:line="276" w:lineRule="auto"/>
        <w:rPr>
          <w:rFonts w:ascii="Times New Roman" w:hAnsi="Times New Roman"/>
          <w:sz w:val="24"/>
          <w:szCs w:val="24"/>
        </w:rPr>
      </w:pPr>
      <w:r>
        <w:rPr>
          <w:rFonts w:ascii="Times New Roman" w:hAnsi="Times New Roman"/>
          <w:sz w:val="24"/>
          <w:szCs w:val="24"/>
        </w:rPr>
        <w:t>The</w:t>
      </w:r>
      <w:r w:rsidR="00AD0122" w:rsidRPr="00CD1570">
        <w:rPr>
          <w:rFonts w:ascii="Times New Roman" w:hAnsi="Times New Roman"/>
          <w:sz w:val="24"/>
          <w:szCs w:val="24"/>
        </w:rPr>
        <w:t xml:space="preserve"> National Water Grid Authority’s (NWGA) </w:t>
      </w:r>
      <w:r w:rsidRPr="00CD1570">
        <w:rPr>
          <w:rFonts w:ascii="Times New Roman" w:hAnsi="Times New Roman"/>
          <w:sz w:val="24"/>
          <w:szCs w:val="24"/>
        </w:rPr>
        <w:t xml:space="preserve">welcomes </w:t>
      </w:r>
      <w:r>
        <w:rPr>
          <w:rFonts w:ascii="Times New Roman" w:hAnsi="Times New Roman"/>
          <w:sz w:val="24"/>
          <w:szCs w:val="24"/>
        </w:rPr>
        <w:t>the opportunity to provide comment on</w:t>
      </w:r>
      <w:r w:rsidR="00AD0122" w:rsidRPr="00CD1570">
        <w:rPr>
          <w:rFonts w:ascii="Times New Roman" w:hAnsi="Times New Roman"/>
          <w:sz w:val="24"/>
          <w:szCs w:val="24"/>
        </w:rPr>
        <w:t xml:space="preserve"> the Productivity Commission’s (the Commission) </w:t>
      </w:r>
      <w:r w:rsidR="00B237FD" w:rsidRPr="00B237FD">
        <w:rPr>
          <w:rFonts w:ascii="Times New Roman" w:hAnsi="Times New Roman"/>
          <w:i/>
          <w:sz w:val="24"/>
          <w:szCs w:val="24"/>
        </w:rPr>
        <w:t xml:space="preserve">National Water Reform 2020 </w:t>
      </w:r>
      <w:r w:rsidR="00B237FD">
        <w:rPr>
          <w:rFonts w:ascii="Times New Roman" w:hAnsi="Times New Roman"/>
          <w:i/>
          <w:sz w:val="24"/>
          <w:szCs w:val="24"/>
        </w:rPr>
        <w:t>D</w:t>
      </w:r>
      <w:r w:rsidR="00AD0122" w:rsidRPr="00B237FD">
        <w:rPr>
          <w:rFonts w:ascii="Times New Roman" w:hAnsi="Times New Roman"/>
          <w:i/>
          <w:sz w:val="24"/>
          <w:szCs w:val="24"/>
        </w:rPr>
        <w:t xml:space="preserve">raft </w:t>
      </w:r>
      <w:r w:rsidR="00B237FD">
        <w:rPr>
          <w:rFonts w:ascii="Times New Roman" w:hAnsi="Times New Roman"/>
          <w:i/>
          <w:sz w:val="24"/>
          <w:szCs w:val="24"/>
        </w:rPr>
        <w:t>R</w:t>
      </w:r>
      <w:r w:rsidR="00AD0122" w:rsidRPr="00B237FD">
        <w:rPr>
          <w:rFonts w:ascii="Times New Roman" w:hAnsi="Times New Roman"/>
          <w:i/>
          <w:sz w:val="24"/>
          <w:szCs w:val="24"/>
        </w:rPr>
        <w:t>eport</w:t>
      </w:r>
      <w:r w:rsidR="00AD0122" w:rsidRPr="00CD1570">
        <w:rPr>
          <w:rFonts w:ascii="Times New Roman" w:hAnsi="Times New Roman"/>
          <w:sz w:val="24"/>
          <w:szCs w:val="24"/>
        </w:rPr>
        <w:t xml:space="preserve">, in particular the Commission’s </w:t>
      </w:r>
      <w:r w:rsidR="00B237FD">
        <w:rPr>
          <w:rFonts w:ascii="Times New Roman" w:hAnsi="Times New Roman"/>
          <w:sz w:val="24"/>
          <w:szCs w:val="24"/>
        </w:rPr>
        <w:t xml:space="preserve">observations at Chapter 13, </w:t>
      </w:r>
      <w:r w:rsidR="00B237FD" w:rsidRPr="00C01E08">
        <w:rPr>
          <w:rFonts w:ascii="Times New Roman" w:hAnsi="Times New Roman"/>
          <w:i/>
          <w:sz w:val="24"/>
          <w:szCs w:val="24"/>
        </w:rPr>
        <w:t>Government investment in major water infrastructure</w:t>
      </w:r>
      <w:r w:rsidR="00AD0122" w:rsidRPr="00CD1570">
        <w:rPr>
          <w:rFonts w:ascii="Times New Roman" w:hAnsi="Times New Roman"/>
          <w:sz w:val="24"/>
          <w:szCs w:val="24"/>
        </w:rPr>
        <w:t>.</w:t>
      </w:r>
      <w:r w:rsidR="00386AF0" w:rsidRPr="00CD1570">
        <w:rPr>
          <w:rFonts w:ascii="Times New Roman" w:hAnsi="Times New Roman"/>
          <w:sz w:val="24"/>
          <w:szCs w:val="24"/>
        </w:rPr>
        <w:t xml:space="preserve"> </w:t>
      </w:r>
    </w:p>
    <w:p w14:paraId="4C95374F" w14:textId="77777777" w:rsidR="00220046" w:rsidRPr="00CD1570" w:rsidRDefault="00220046" w:rsidP="00FB554C">
      <w:pPr>
        <w:spacing w:after="240" w:line="276" w:lineRule="auto"/>
        <w:rPr>
          <w:rFonts w:ascii="Times New Roman" w:hAnsi="Times New Roman"/>
          <w:sz w:val="24"/>
          <w:szCs w:val="24"/>
        </w:rPr>
      </w:pPr>
      <w:r>
        <w:rPr>
          <w:rFonts w:ascii="Times New Roman" w:hAnsi="Times New Roman"/>
          <w:sz w:val="24"/>
          <w:szCs w:val="24"/>
        </w:rPr>
        <w:t xml:space="preserve">There are three areas that the NWGA would like to draw the Commission’s attention to: </w:t>
      </w:r>
    </w:p>
    <w:p w14:paraId="1377A1F3" w14:textId="77777777" w:rsidR="00220046" w:rsidRPr="00220046" w:rsidRDefault="00220046" w:rsidP="00220046">
      <w:pPr>
        <w:spacing w:before="360" w:after="120" w:line="276" w:lineRule="auto"/>
        <w:rPr>
          <w:rFonts w:ascii="Times New Roman" w:hAnsi="Times New Roman"/>
          <w:i/>
          <w:sz w:val="24"/>
          <w:szCs w:val="24"/>
        </w:rPr>
      </w:pPr>
      <w:r>
        <w:rPr>
          <w:rFonts w:ascii="Times New Roman" w:hAnsi="Times New Roman"/>
          <w:i/>
          <w:sz w:val="24"/>
          <w:szCs w:val="24"/>
        </w:rPr>
        <w:t>The establishment of</w:t>
      </w:r>
      <w:r w:rsidRPr="00220046">
        <w:rPr>
          <w:rFonts w:ascii="Times New Roman" w:hAnsi="Times New Roman"/>
          <w:i/>
          <w:sz w:val="24"/>
          <w:szCs w:val="24"/>
        </w:rPr>
        <w:t xml:space="preserve"> the NWGA represents </w:t>
      </w:r>
      <w:r w:rsidR="004B6EDF">
        <w:rPr>
          <w:rFonts w:ascii="Times New Roman" w:hAnsi="Times New Roman"/>
          <w:i/>
          <w:sz w:val="24"/>
          <w:szCs w:val="24"/>
        </w:rPr>
        <w:t>a new</w:t>
      </w:r>
      <w:r w:rsidRPr="00220046">
        <w:rPr>
          <w:rFonts w:ascii="Times New Roman" w:hAnsi="Times New Roman"/>
          <w:i/>
          <w:sz w:val="24"/>
          <w:szCs w:val="24"/>
        </w:rPr>
        <w:t xml:space="preserve"> approach</w:t>
      </w:r>
      <w:r>
        <w:rPr>
          <w:rFonts w:ascii="Times New Roman" w:hAnsi="Times New Roman"/>
          <w:i/>
          <w:sz w:val="24"/>
          <w:szCs w:val="24"/>
        </w:rPr>
        <w:t xml:space="preserve"> to investment</w:t>
      </w:r>
    </w:p>
    <w:p w14:paraId="6F8CAF5B" w14:textId="77777777" w:rsidR="00220046" w:rsidRDefault="00220046" w:rsidP="00220046">
      <w:pPr>
        <w:spacing w:after="240" w:line="276" w:lineRule="auto"/>
        <w:rPr>
          <w:rFonts w:ascii="Times New Roman" w:hAnsi="Times New Roman"/>
          <w:sz w:val="24"/>
          <w:szCs w:val="24"/>
        </w:rPr>
      </w:pPr>
      <w:r>
        <w:rPr>
          <w:rFonts w:ascii="Times New Roman" w:hAnsi="Times New Roman"/>
          <w:sz w:val="24"/>
          <w:szCs w:val="24"/>
        </w:rPr>
        <w:t>The Australian Government recognised an opportunity to refine its approach to water infrastructure decision-making when</w:t>
      </w:r>
      <w:r w:rsidDel="00B93978">
        <w:rPr>
          <w:rFonts w:ascii="Times New Roman" w:hAnsi="Times New Roman"/>
          <w:sz w:val="24"/>
          <w:szCs w:val="24"/>
        </w:rPr>
        <w:t xml:space="preserve"> </w:t>
      </w:r>
      <w:r>
        <w:rPr>
          <w:rFonts w:ascii="Times New Roman" w:hAnsi="Times New Roman"/>
          <w:sz w:val="24"/>
          <w:szCs w:val="24"/>
        </w:rPr>
        <w:t xml:space="preserve">it established the NWGA in October 2019 and further, when it endorsed the NWGA’s new </w:t>
      </w:r>
      <w:r w:rsidRPr="00EB1856">
        <w:rPr>
          <w:rFonts w:ascii="Times New Roman" w:hAnsi="Times New Roman"/>
          <w:i/>
          <w:sz w:val="24"/>
          <w:szCs w:val="24"/>
        </w:rPr>
        <w:t>National Water Infrastructure Investment Policy Framework</w:t>
      </w:r>
      <w:r w:rsidRPr="00CD1570">
        <w:rPr>
          <w:rFonts w:ascii="Times New Roman" w:hAnsi="Times New Roman"/>
          <w:sz w:val="24"/>
          <w:szCs w:val="24"/>
        </w:rPr>
        <w:t xml:space="preserve"> (</w:t>
      </w:r>
      <w:r>
        <w:rPr>
          <w:rFonts w:ascii="Times New Roman" w:hAnsi="Times New Roman"/>
          <w:sz w:val="24"/>
          <w:szCs w:val="24"/>
        </w:rPr>
        <w:t>the</w:t>
      </w:r>
      <w:r w:rsidRPr="00CD1570">
        <w:rPr>
          <w:rFonts w:ascii="Times New Roman" w:hAnsi="Times New Roman"/>
          <w:sz w:val="24"/>
          <w:szCs w:val="24"/>
        </w:rPr>
        <w:t xml:space="preserve"> </w:t>
      </w:r>
      <w:r>
        <w:rPr>
          <w:rFonts w:ascii="Times New Roman" w:hAnsi="Times New Roman"/>
          <w:sz w:val="24"/>
          <w:szCs w:val="24"/>
        </w:rPr>
        <w:t xml:space="preserve">Investment </w:t>
      </w:r>
      <w:r w:rsidRPr="00CD1570">
        <w:rPr>
          <w:rFonts w:ascii="Times New Roman" w:hAnsi="Times New Roman"/>
          <w:sz w:val="24"/>
          <w:szCs w:val="24"/>
        </w:rPr>
        <w:t>Framework)</w:t>
      </w:r>
      <w:r w:rsidRPr="00590240">
        <w:rPr>
          <w:rFonts w:ascii="Times New Roman" w:hAnsi="Times New Roman"/>
          <w:sz w:val="24"/>
          <w:szCs w:val="24"/>
        </w:rPr>
        <w:t xml:space="preserve"> </w:t>
      </w:r>
      <w:r>
        <w:rPr>
          <w:rFonts w:ascii="Times New Roman" w:hAnsi="Times New Roman"/>
          <w:sz w:val="24"/>
          <w:szCs w:val="24"/>
        </w:rPr>
        <w:t xml:space="preserve">in October 2020. </w:t>
      </w:r>
    </w:p>
    <w:p w14:paraId="03302C39" w14:textId="77777777" w:rsidR="00B95B73" w:rsidRDefault="004A3CEC" w:rsidP="00FB554C">
      <w:pPr>
        <w:spacing w:after="240" w:line="276" w:lineRule="auto"/>
        <w:rPr>
          <w:rFonts w:ascii="Times New Roman" w:hAnsi="Times New Roman"/>
          <w:sz w:val="24"/>
          <w:szCs w:val="24"/>
        </w:rPr>
      </w:pPr>
      <w:r>
        <w:rPr>
          <w:rFonts w:ascii="Times New Roman" w:hAnsi="Times New Roman"/>
          <w:sz w:val="24"/>
          <w:szCs w:val="24"/>
        </w:rPr>
        <w:t xml:space="preserve">The Australian Government holds a discretionary role in investment in major water infrastructure and </w:t>
      </w:r>
      <w:r w:rsidR="007216A7">
        <w:rPr>
          <w:rFonts w:ascii="Times New Roman" w:hAnsi="Times New Roman"/>
          <w:sz w:val="24"/>
          <w:szCs w:val="24"/>
        </w:rPr>
        <w:t xml:space="preserve">consequently </w:t>
      </w:r>
      <w:r>
        <w:rPr>
          <w:rFonts w:ascii="Times New Roman" w:hAnsi="Times New Roman"/>
          <w:sz w:val="24"/>
          <w:szCs w:val="24"/>
        </w:rPr>
        <w:t>established t</w:t>
      </w:r>
      <w:r w:rsidR="00B93978">
        <w:rPr>
          <w:rFonts w:ascii="Times New Roman" w:hAnsi="Times New Roman"/>
          <w:sz w:val="24"/>
          <w:szCs w:val="24"/>
        </w:rPr>
        <w:t xml:space="preserve">he NWGA to improve regional water security and reliability, with the specific purpose of delivering outcomes for agriculture and primary industry. </w:t>
      </w:r>
    </w:p>
    <w:p w14:paraId="6A1D4B6A" w14:textId="77777777" w:rsidR="00D965FC" w:rsidRPr="007B5BED" w:rsidRDefault="00220046" w:rsidP="007B5BED">
      <w:pPr>
        <w:spacing w:before="360" w:after="120" w:line="276" w:lineRule="auto"/>
        <w:rPr>
          <w:rFonts w:ascii="Times New Roman" w:hAnsi="Times New Roman"/>
          <w:i/>
          <w:sz w:val="24"/>
          <w:szCs w:val="24"/>
        </w:rPr>
      </w:pPr>
      <w:r>
        <w:rPr>
          <w:rFonts w:ascii="Times New Roman" w:hAnsi="Times New Roman"/>
          <w:i/>
          <w:sz w:val="24"/>
          <w:szCs w:val="24"/>
        </w:rPr>
        <w:t>The Investment Framework recognises</w:t>
      </w:r>
      <w:r w:rsidR="00D965FC" w:rsidRPr="007B5BED">
        <w:rPr>
          <w:rFonts w:ascii="Times New Roman" w:hAnsi="Times New Roman"/>
          <w:i/>
          <w:sz w:val="24"/>
          <w:szCs w:val="24"/>
        </w:rPr>
        <w:t xml:space="preserve"> the central role of state and territory governments</w:t>
      </w:r>
    </w:p>
    <w:p w14:paraId="00E31102" w14:textId="77777777" w:rsidR="00731898" w:rsidRDefault="00B31D4C" w:rsidP="00FB554C">
      <w:pPr>
        <w:spacing w:after="240" w:line="276" w:lineRule="auto"/>
        <w:rPr>
          <w:rFonts w:ascii="Times New Roman" w:hAnsi="Times New Roman"/>
          <w:sz w:val="24"/>
          <w:szCs w:val="24"/>
        </w:rPr>
      </w:pPr>
      <w:r>
        <w:rPr>
          <w:rFonts w:ascii="Times New Roman" w:hAnsi="Times New Roman"/>
          <w:sz w:val="24"/>
          <w:szCs w:val="24"/>
        </w:rPr>
        <w:t>T</w:t>
      </w:r>
      <w:r w:rsidR="00F26160">
        <w:rPr>
          <w:rFonts w:ascii="Times New Roman" w:hAnsi="Times New Roman"/>
          <w:sz w:val="24"/>
          <w:szCs w:val="24"/>
        </w:rPr>
        <w:t xml:space="preserve">he </w:t>
      </w:r>
      <w:r>
        <w:rPr>
          <w:rFonts w:ascii="Times New Roman" w:hAnsi="Times New Roman"/>
          <w:sz w:val="24"/>
          <w:szCs w:val="24"/>
        </w:rPr>
        <w:t xml:space="preserve">Investment </w:t>
      </w:r>
      <w:r w:rsidR="00F26160">
        <w:rPr>
          <w:rFonts w:ascii="Times New Roman" w:hAnsi="Times New Roman"/>
          <w:sz w:val="24"/>
          <w:szCs w:val="24"/>
        </w:rPr>
        <w:t xml:space="preserve">Framework acknowledges that state and territory governments are central to water infrastructure decisions </w:t>
      </w:r>
      <w:r w:rsidR="00ED6E13">
        <w:rPr>
          <w:rFonts w:ascii="Times New Roman" w:hAnsi="Times New Roman"/>
          <w:sz w:val="24"/>
          <w:szCs w:val="24"/>
        </w:rPr>
        <w:t xml:space="preserve">by virtue of </w:t>
      </w:r>
      <w:r w:rsidR="00F26160">
        <w:rPr>
          <w:rFonts w:ascii="Times New Roman" w:hAnsi="Times New Roman"/>
          <w:sz w:val="24"/>
          <w:szCs w:val="24"/>
        </w:rPr>
        <w:t xml:space="preserve">their responsibilities for </w:t>
      </w:r>
      <w:r w:rsidR="00ED6E13">
        <w:rPr>
          <w:rFonts w:ascii="Times New Roman" w:hAnsi="Times New Roman"/>
          <w:sz w:val="24"/>
          <w:szCs w:val="24"/>
        </w:rPr>
        <w:t xml:space="preserve">regulation, planning, management and allocation of water resources, including water infrastructure development and maintenance. </w:t>
      </w:r>
      <w:r>
        <w:rPr>
          <w:rFonts w:ascii="Times New Roman" w:hAnsi="Times New Roman"/>
          <w:sz w:val="24"/>
          <w:szCs w:val="24"/>
        </w:rPr>
        <w:t xml:space="preserve">This is </w:t>
      </w:r>
      <w:r w:rsidR="00833CA3">
        <w:rPr>
          <w:rFonts w:ascii="Times New Roman" w:hAnsi="Times New Roman"/>
          <w:sz w:val="24"/>
          <w:szCs w:val="24"/>
        </w:rPr>
        <w:t xml:space="preserve">at the core of </w:t>
      </w:r>
      <w:r>
        <w:rPr>
          <w:rFonts w:ascii="Times New Roman" w:hAnsi="Times New Roman"/>
          <w:sz w:val="24"/>
          <w:szCs w:val="24"/>
        </w:rPr>
        <w:t xml:space="preserve">the </w:t>
      </w:r>
      <w:r w:rsidR="00833CA3">
        <w:rPr>
          <w:rFonts w:ascii="Times New Roman" w:hAnsi="Times New Roman"/>
          <w:sz w:val="24"/>
          <w:szCs w:val="24"/>
        </w:rPr>
        <w:t xml:space="preserve">Framework’s </w:t>
      </w:r>
      <w:r>
        <w:rPr>
          <w:rFonts w:ascii="Times New Roman" w:hAnsi="Times New Roman"/>
          <w:sz w:val="24"/>
          <w:szCs w:val="24"/>
        </w:rPr>
        <w:t xml:space="preserve">approach. </w:t>
      </w:r>
    </w:p>
    <w:p w14:paraId="221028A2" w14:textId="77777777" w:rsidR="00731898" w:rsidRDefault="004A3CEC" w:rsidP="00BD462F">
      <w:pPr>
        <w:spacing w:after="240" w:line="276" w:lineRule="auto"/>
        <w:rPr>
          <w:rFonts w:ascii="Times New Roman" w:hAnsi="Times New Roman"/>
          <w:sz w:val="24"/>
          <w:szCs w:val="24"/>
        </w:rPr>
      </w:pPr>
      <w:r>
        <w:rPr>
          <w:rFonts w:ascii="Times New Roman" w:hAnsi="Times New Roman"/>
          <w:sz w:val="24"/>
          <w:szCs w:val="24"/>
        </w:rPr>
        <w:t xml:space="preserve">The NWGA </w:t>
      </w:r>
      <w:r w:rsidR="00ED6E13">
        <w:rPr>
          <w:rFonts w:ascii="Times New Roman" w:hAnsi="Times New Roman"/>
          <w:sz w:val="24"/>
          <w:szCs w:val="24"/>
        </w:rPr>
        <w:t>partner</w:t>
      </w:r>
      <w:r w:rsidR="00833CA3">
        <w:rPr>
          <w:rFonts w:ascii="Times New Roman" w:hAnsi="Times New Roman"/>
          <w:sz w:val="24"/>
          <w:szCs w:val="24"/>
        </w:rPr>
        <w:t>s</w:t>
      </w:r>
      <w:r w:rsidR="00ED6E13">
        <w:rPr>
          <w:rFonts w:ascii="Times New Roman" w:hAnsi="Times New Roman"/>
          <w:sz w:val="24"/>
          <w:szCs w:val="24"/>
        </w:rPr>
        <w:t xml:space="preserve"> with state and territory governments </w:t>
      </w:r>
      <w:r w:rsidR="00967345">
        <w:rPr>
          <w:rFonts w:ascii="Times New Roman" w:hAnsi="Times New Roman"/>
          <w:sz w:val="24"/>
          <w:szCs w:val="24"/>
        </w:rPr>
        <w:t xml:space="preserve">by co-investing, and through its activities develop a shared understanding of </w:t>
      </w:r>
      <w:r>
        <w:rPr>
          <w:rFonts w:ascii="Times New Roman" w:hAnsi="Times New Roman"/>
          <w:sz w:val="24"/>
          <w:szCs w:val="24"/>
        </w:rPr>
        <w:t>regional</w:t>
      </w:r>
      <w:r w:rsidR="00EF73D4">
        <w:rPr>
          <w:rFonts w:ascii="Times New Roman" w:hAnsi="Times New Roman"/>
          <w:sz w:val="24"/>
          <w:szCs w:val="24"/>
        </w:rPr>
        <w:t xml:space="preserve"> </w:t>
      </w:r>
      <w:r w:rsidR="00967345">
        <w:rPr>
          <w:rFonts w:ascii="Times New Roman" w:hAnsi="Times New Roman"/>
          <w:sz w:val="24"/>
          <w:szCs w:val="24"/>
        </w:rPr>
        <w:t>priorities in the context of the broader planning,</w:t>
      </w:r>
      <w:r w:rsidR="007216A7">
        <w:rPr>
          <w:rFonts w:ascii="Times New Roman" w:hAnsi="Times New Roman"/>
          <w:sz w:val="24"/>
          <w:szCs w:val="24"/>
        </w:rPr>
        <w:t xml:space="preserve"> so as t</w:t>
      </w:r>
      <w:r>
        <w:rPr>
          <w:rFonts w:ascii="Times New Roman" w:hAnsi="Times New Roman"/>
          <w:sz w:val="24"/>
          <w:szCs w:val="24"/>
        </w:rPr>
        <w:t>o inform long-term investment decisions</w:t>
      </w:r>
      <w:r w:rsidR="00EF73D4">
        <w:rPr>
          <w:rFonts w:ascii="Times New Roman" w:hAnsi="Times New Roman"/>
          <w:sz w:val="24"/>
          <w:szCs w:val="24"/>
        </w:rPr>
        <w:t xml:space="preserve">. </w:t>
      </w:r>
      <w:r w:rsidR="00833CA3">
        <w:rPr>
          <w:rFonts w:ascii="Times New Roman" w:hAnsi="Times New Roman"/>
          <w:sz w:val="24"/>
          <w:szCs w:val="24"/>
        </w:rPr>
        <w:t>State and territory governments, however, are ultimately responsible for project selection.</w:t>
      </w:r>
    </w:p>
    <w:p w14:paraId="60F39D73" w14:textId="77777777" w:rsidR="008549FB" w:rsidRPr="006277A0" w:rsidRDefault="00B31D4C" w:rsidP="006277A0">
      <w:pPr>
        <w:spacing w:after="240" w:line="276" w:lineRule="auto"/>
        <w:rPr>
          <w:rFonts w:ascii="Times New Roman" w:hAnsi="Times New Roman"/>
          <w:sz w:val="24"/>
          <w:szCs w:val="24"/>
        </w:rPr>
      </w:pPr>
      <w:r>
        <w:rPr>
          <w:rFonts w:ascii="Times New Roman" w:hAnsi="Times New Roman"/>
          <w:sz w:val="24"/>
          <w:szCs w:val="24"/>
        </w:rPr>
        <w:t>T</w:t>
      </w:r>
      <w:r w:rsidR="00967345">
        <w:rPr>
          <w:rFonts w:ascii="Times New Roman" w:hAnsi="Times New Roman"/>
          <w:sz w:val="24"/>
          <w:szCs w:val="24"/>
        </w:rPr>
        <w:t xml:space="preserve">he NWGA recognises </w:t>
      </w:r>
      <w:r w:rsidR="004D374A">
        <w:rPr>
          <w:rFonts w:ascii="Times New Roman" w:hAnsi="Times New Roman"/>
          <w:sz w:val="24"/>
          <w:szCs w:val="24"/>
        </w:rPr>
        <w:t xml:space="preserve">that </w:t>
      </w:r>
      <w:r w:rsidR="007216A7">
        <w:rPr>
          <w:rFonts w:ascii="Times New Roman" w:hAnsi="Times New Roman"/>
          <w:sz w:val="24"/>
          <w:szCs w:val="24"/>
        </w:rPr>
        <w:t>effective infrastructure investments enable</w:t>
      </w:r>
      <w:r>
        <w:rPr>
          <w:rFonts w:ascii="Times New Roman" w:hAnsi="Times New Roman"/>
          <w:sz w:val="24"/>
          <w:szCs w:val="24"/>
        </w:rPr>
        <w:t xml:space="preserve"> regions to </w:t>
      </w:r>
      <w:r w:rsidR="006277A0">
        <w:rPr>
          <w:rFonts w:ascii="Times New Roman" w:hAnsi="Times New Roman"/>
          <w:sz w:val="24"/>
          <w:szCs w:val="24"/>
        </w:rPr>
        <w:t xml:space="preserve">make a strong </w:t>
      </w:r>
      <w:r w:rsidR="00670863">
        <w:rPr>
          <w:rFonts w:ascii="Times New Roman" w:hAnsi="Times New Roman"/>
          <w:sz w:val="24"/>
          <w:szCs w:val="24"/>
        </w:rPr>
        <w:t>contribut</w:t>
      </w:r>
      <w:r w:rsidR="006277A0">
        <w:rPr>
          <w:rFonts w:ascii="Times New Roman" w:hAnsi="Times New Roman"/>
          <w:sz w:val="24"/>
          <w:szCs w:val="24"/>
        </w:rPr>
        <w:t>ion</w:t>
      </w:r>
      <w:r w:rsidR="00670863">
        <w:rPr>
          <w:rFonts w:ascii="Times New Roman" w:hAnsi="Times New Roman"/>
          <w:sz w:val="24"/>
          <w:szCs w:val="24"/>
        </w:rPr>
        <w:t xml:space="preserve"> to a diverse</w:t>
      </w:r>
      <w:r w:rsidR="001E587E">
        <w:rPr>
          <w:rFonts w:ascii="Times New Roman" w:hAnsi="Times New Roman"/>
          <w:sz w:val="24"/>
          <w:szCs w:val="24"/>
        </w:rPr>
        <w:t xml:space="preserve"> and resilient national economy.</w:t>
      </w:r>
    </w:p>
    <w:p w14:paraId="7CEC3EDF" w14:textId="77777777" w:rsidR="00D965FC" w:rsidRPr="000A0650" w:rsidRDefault="00D965FC" w:rsidP="00B104CB">
      <w:pPr>
        <w:spacing w:before="0" w:after="160" w:line="259" w:lineRule="auto"/>
        <w:rPr>
          <w:rFonts w:ascii="Times New Roman" w:hAnsi="Times New Roman"/>
          <w:i/>
          <w:sz w:val="24"/>
          <w:szCs w:val="24"/>
        </w:rPr>
      </w:pPr>
      <w:r w:rsidRPr="000A0650">
        <w:rPr>
          <w:rFonts w:ascii="Times New Roman" w:hAnsi="Times New Roman"/>
          <w:i/>
          <w:sz w:val="24"/>
          <w:szCs w:val="24"/>
        </w:rPr>
        <w:t>Consideration of non-infrastructure options</w:t>
      </w:r>
      <w:r w:rsidR="004B6EDF">
        <w:rPr>
          <w:rFonts w:ascii="Times New Roman" w:hAnsi="Times New Roman"/>
          <w:i/>
          <w:sz w:val="24"/>
          <w:szCs w:val="24"/>
        </w:rPr>
        <w:t xml:space="preserve"> are integral</w:t>
      </w:r>
    </w:p>
    <w:p w14:paraId="0E34DD5D" w14:textId="77777777" w:rsidR="00EC28E0" w:rsidRDefault="00EC28E0" w:rsidP="00EC28E0">
      <w:pPr>
        <w:spacing w:after="240" w:line="276" w:lineRule="auto"/>
        <w:rPr>
          <w:rFonts w:ascii="Times New Roman" w:hAnsi="Times New Roman"/>
          <w:sz w:val="24"/>
          <w:szCs w:val="24"/>
        </w:rPr>
      </w:pPr>
      <w:r>
        <w:rPr>
          <w:rFonts w:ascii="Times New Roman" w:hAnsi="Times New Roman"/>
          <w:sz w:val="24"/>
          <w:szCs w:val="24"/>
        </w:rPr>
        <w:t xml:space="preserve">The NWGA notes that the Commission proposes a new element under a renewed National Water Initiative that establishes a commitment to considering non-infrastructure options, and the economic, social and environmental impacts of a proposal. </w:t>
      </w:r>
    </w:p>
    <w:p w14:paraId="1D1CDF13" w14:textId="77777777" w:rsidR="00CD78A8" w:rsidRDefault="00FC3F99">
      <w:pPr>
        <w:spacing w:after="240" w:line="276" w:lineRule="auto"/>
        <w:rPr>
          <w:rFonts w:ascii="Times New Roman" w:hAnsi="Times New Roman"/>
          <w:sz w:val="24"/>
          <w:szCs w:val="24"/>
        </w:rPr>
      </w:pPr>
      <w:r>
        <w:rPr>
          <w:rFonts w:ascii="Times New Roman" w:hAnsi="Times New Roman"/>
          <w:sz w:val="24"/>
          <w:szCs w:val="24"/>
        </w:rPr>
        <w:t>While t</w:t>
      </w:r>
      <w:r w:rsidR="007B5BED">
        <w:rPr>
          <w:rFonts w:ascii="Times New Roman" w:hAnsi="Times New Roman"/>
          <w:sz w:val="24"/>
          <w:szCs w:val="24"/>
        </w:rPr>
        <w:t>he NWGA is responsible for</w:t>
      </w:r>
      <w:r>
        <w:rPr>
          <w:rFonts w:ascii="Times New Roman" w:hAnsi="Times New Roman"/>
          <w:sz w:val="24"/>
          <w:szCs w:val="24"/>
        </w:rPr>
        <w:t xml:space="preserve"> </w:t>
      </w:r>
      <w:r w:rsidR="007B5BED">
        <w:rPr>
          <w:rFonts w:ascii="Times New Roman" w:hAnsi="Times New Roman"/>
          <w:sz w:val="24"/>
          <w:szCs w:val="24"/>
        </w:rPr>
        <w:t xml:space="preserve">Australian Government </w:t>
      </w:r>
      <w:r>
        <w:rPr>
          <w:rFonts w:ascii="Times New Roman" w:hAnsi="Times New Roman"/>
          <w:sz w:val="24"/>
          <w:szCs w:val="24"/>
        </w:rPr>
        <w:t xml:space="preserve">funding </w:t>
      </w:r>
      <w:r w:rsidR="00833CA3">
        <w:rPr>
          <w:rFonts w:ascii="Times New Roman" w:hAnsi="Times New Roman"/>
          <w:sz w:val="24"/>
          <w:szCs w:val="24"/>
        </w:rPr>
        <w:t xml:space="preserve">of </w:t>
      </w:r>
      <w:r w:rsidR="007B5BED">
        <w:rPr>
          <w:rFonts w:ascii="Times New Roman" w:hAnsi="Times New Roman"/>
          <w:sz w:val="24"/>
          <w:szCs w:val="24"/>
        </w:rPr>
        <w:t>water infrastructure</w:t>
      </w:r>
      <w:r>
        <w:rPr>
          <w:rFonts w:ascii="Times New Roman" w:hAnsi="Times New Roman"/>
          <w:sz w:val="24"/>
          <w:szCs w:val="24"/>
        </w:rPr>
        <w:t xml:space="preserve">, </w:t>
      </w:r>
      <w:r w:rsidR="008B67DA">
        <w:rPr>
          <w:rFonts w:ascii="Times New Roman" w:hAnsi="Times New Roman"/>
          <w:sz w:val="24"/>
          <w:szCs w:val="24"/>
        </w:rPr>
        <w:t xml:space="preserve">the NWGA agrees that </w:t>
      </w:r>
      <w:r w:rsidR="00EC28E0">
        <w:rPr>
          <w:rFonts w:ascii="Times New Roman" w:hAnsi="Times New Roman"/>
          <w:sz w:val="24"/>
          <w:szCs w:val="24"/>
        </w:rPr>
        <w:t>infrastructure</w:t>
      </w:r>
      <w:r>
        <w:rPr>
          <w:rFonts w:ascii="Times New Roman" w:hAnsi="Times New Roman"/>
          <w:sz w:val="24"/>
          <w:szCs w:val="24"/>
        </w:rPr>
        <w:t xml:space="preserve"> </w:t>
      </w:r>
      <w:r w:rsidR="008C4AC5">
        <w:rPr>
          <w:rFonts w:ascii="Times New Roman" w:hAnsi="Times New Roman"/>
          <w:sz w:val="24"/>
          <w:szCs w:val="24"/>
        </w:rPr>
        <w:t>will</w:t>
      </w:r>
      <w:r w:rsidR="007B5BED" w:rsidRPr="007B5BED">
        <w:rPr>
          <w:rFonts w:ascii="Times New Roman" w:hAnsi="Times New Roman"/>
          <w:sz w:val="24"/>
          <w:szCs w:val="24"/>
        </w:rPr>
        <w:t xml:space="preserve"> not always </w:t>
      </w:r>
      <w:r w:rsidR="008C4AC5">
        <w:rPr>
          <w:rFonts w:ascii="Times New Roman" w:hAnsi="Times New Roman"/>
          <w:sz w:val="24"/>
          <w:szCs w:val="24"/>
        </w:rPr>
        <w:t xml:space="preserve">be </w:t>
      </w:r>
      <w:r w:rsidR="007B5BED" w:rsidRPr="007B5BED">
        <w:rPr>
          <w:rFonts w:ascii="Times New Roman" w:hAnsi="Times New Roman"/>
          <w:sz w:val="24"/>
          <w:szCs w:val="24"/>
        </w:rPr>
        <w:t xml:space="preserve">the </w:t>
      </w:r>
      <w:r>
        <w:rPr>
          <w:rFonts w:ascii="Times New Roman" w:hAnsi="Times New Roman"/>
          <w:sz w:val="24"/>
          <w:szCs w:val="24"/>
        </w:rPr>
        <w:t xml:space="preserve">most appropriate solution for </w:t>
      </w:r>
      <w:r w:rsidR="00EC28E0">
        <w:rPr>
          <w:rFonts w:ascii="Times New Roman" w:hAnsi="Times New Roman"/>
          <w:sz w:val="24"/>
          <w:szCs w:val="24"/>
        </w:rPr>
        <w:t>delivering water security</w:t>
      </w:r>
      <w:r w:rsidR="008C4AC5">
        <w:rPr>
          <w:rFonts w:ascii="Times New Roman" w:hAnsi="Times New Roman"/>
          <w:sz w:val="24"/>
          <w:szCs w:val="24"/>
        </w:rPr>
        <w:t xml:space="preserve">. </w:t>
      </w:r>
      <w:r w:rsidR="00833CA3">
        <w:rPr>
          <w:rFonts w:ascii="Times New Roman" w:hAnsi="Times New Roman"/>
          <w:sz w:val="24"/>
          <w:szCs w:val="24"/>
        </w:rPr>
        <w:t xml:space="preserve">Indeed, if appropriate pricing strategies are in place, it would be usual for states and territories to pursue efficiency measures ahead of new capacity, all things being equal. </w:t>
      </w:r>
    </w:p>
    <w:p w14:paraId="77A6AEC5" w14:textId="77777777" w:rsidR="00833CA3" w:rsidRDefault="00833CA3">
      <w:pPr>
        <w:spacing w:after="240" w:line="276" w:lineRule="auto"/>
        <w:rPr>
          <w:rFonts w:ascii="Times New Roman" w:hAnsi="Times New Roman"/>
          <w:sz w:val="24"/>
          <w:szCs w:val="24"/>
        </w:rPr>
      </w:pPr>
      <w:r>
        <w:rPr>
          <w:rFonts w:ascii="Times New Roman" w:hAnsi="Times New Roman"/>
          <w:sz w:val="24"/>
          <w:szCs w:val="24"/>
        </w:rPr>
        <w:lastRenderedPageBreak/>
        <w:t>This is where the planning stages are important. Strategic business cases, options and feasibility studies and even environmental impact statements should all address the full range of plausible alternatives.  The NWGA can make a real contribution through its funding of studies in business cases – either in their entire</w:t>
      </w:r>
      <w:r w:rsidR="00A47792">
        <w:rPr>
          <w:rFonts w:ascii="Times New Roman" w:hAnsi="Times New Roman"/>
          <w:sz w:val="24"/>
          <w:szCs w:val="24"/>
        </w:rPr>
        <w:t>ty</w:t>
      </w:r>
      <w:r>
        <w:rPr>
          <w:rFonts w:ascii="Times New Roman" w:hAnsi="Times New Roman"/>
          <w:sz w:val="24"/>
          <w:szCs w:val="24"/>
        </w:rPr>
        <w:t>, or co-funded by the state.</w:t>
      </w:r>
      <w:r w:rsidR="006A3E17">
        <w:rPr>
          <w:rFonts w:ascii="Times New Roman" w:hAnsi="Times New Roman"/>
          <w:sz w:val="24"/>
          <w:szCs w:val="24"/>
        </w:rPr>
        <w:t xml:space="preserve"> </w:t>
      </w:r>
    </w:p>
    <w:p w14:paraId="508BB7B9" w14:textId="77777777" w:rsidR="006A3E17" w:rsidRDefault="006A3E17">
      <w:pPr>
        <w:spacing w:after="240" w:line="276" w:lineRule="auto"/>
        <w:rPr>
          <w:rFonts w:ascii="Times New Roman" w:hAnsi="Times New Roman"/>
          <w:sz w:val="24"/>
          <w:szCs w:val="24"/>
        </w:rPr>
      </w:pPr>
      <w:r>
        <w:rPr>
          <w:rFonts w:ascii="Times New Roman" w:hAnsi="Times New Roman"/>
          <w:sz w:val="24"/>
          <w:szCs w:val="24"/>
        </w:rPr>
        <w:t xml:space="preserve">However, it needs to be recognised that the NGWA was established as a funder of infrastructure, noting that other non-infrastructure funding at the Commonwealth level has typically been applied through the now Department of Agriculture, Water and Environment. That is, only when a state has identified that an infrastructure solution is the preferred way forward </w:t>
      </w:r>
      <w:r w:rsidR="00A47792">
        <w:rPr>
          <w:rFonts w:ascii="Times New Roman" w:hAnsi="Times New Roman"/>
          <w:sz w:val="24"/>
          <w:szCs w:val="24"/>
        </w:rPr>
        <w:t>does the NWGA</w:t>
      </w:r>
      <w:r>
        <w:rPr>
          <w:rFonts w:ascii="Times New Roman" w:hAnsi="Times New Roman"/>
          <w:sz w:val="24"/>
          <w:szCs w:val="24"/>
        </w:rPr>
        <w:t xml:space="preserve"> become involved</w:t>
      </w:r>
      <w:r w:rsidR="00CB6111">
        <w:rPr>
          <w:rFonts w:ascii="Times New Roman" w:hAnsi="Times New Roman"/>
          <w:sz w:val="24"/>
          <w:szCs w:val="24"/>
        </w:rPr>
        <w:t xml:space="preserve"> in advice on capital investment</w:t>
      </w:r>
      <w:r>
        <w:rPr>
          <w:rFonts w:ascii="Times New Roman" w:hAnsi="Times New Roman"/>
          <w:sz w:val="24"/>
          <w:szCs w:val="24"/>
        </w:rPr>
        <w:t>.</w:t>
      </w:r>
    </w:p>
    <w:p w14:paraId="1B140D4D" w14:textId="77777777" w:rsidR="006A3E17" w:rsidRDefault="006A3E17" w:rsidP="000D6F11">
      <w:pPr>
        <w:spacing w:after="120" w:line="276" w:lineRule="auto"/>
        <w:rPr>
          <w:rFonts w:ascii="Times New Roman" w:hAnsi="Times New Roman"/>
          <w:sz w:val="24"/>
          <w:szCs w:val="24"/>
        </w:rPr>
      </w:pPr>
      <w:r>
        <w:rPr>
          <w:rFonts w:ascii="Times New Roman" w:hAnsi="Times New Roman"/>
          <w:sz w:val="24"/>
          <w:szCs w:val="24"/>
        </w:rPr>
        <w:t xml:space="preserve">The </w:t>
      </w:r>
      <w:r w:rsidR="00A47792">
        <w:rPr>
          <w:rFonts w:ascii="Times New Roman" w:hAnsi="Times New Roman"/>
          <w:sz w:val="24"/>
          <w:szCs w:val="24"/>
        </w:rPr>
        <w:t xml:space="preserve">Commission </w:t>
      </w:r>
      <w:r>
        <w:rPr>
          <w:rFonts w:ascii="Times New Roman" w:hAnsi="Times New Roman"/>
          <w:sz w:val="24"/>
          <w:szCs w:val="24"/>
        </w:rPr>
        <w:t>might ask whether the mere existence of the N</w:t>
      </w:r>
      <w:r w:rsidR="00A47792">
        <w:rPr>
          <w:rFonts w:ascii="Times New Roman" w:hAnsi="Times New Roman"/>
          <w:sz w:val="24"/>
          <w:szCs w:val="24"/>
        </w:rPr>
        <w:t xml:space="preserve">ational </w:t>
      </w:r>
      <w:r>
        <w:rPr>
          <w:rFonts w:ascii="Times New Roman" w:hAnsi="Times New Roman"/>
          <w:sz w:val="24"/>
          <w:szCs w:val="24"/>
        </w:rPr>
        <w:t>W</w:t>
      </w:r>
      <w:r w:rsidR="00A47792">
        <w:rPr>
          <w:rFonts w:ascii="Times New Roman" w:hAnsi="Times New Roman"/>
          <w:sz w:val="24"/>
          <w:szCs w:val="24"/>
        </w:rPr>
        <w:t xml:space="preserve">ater </w:t>
      </w:r>
      <w:r>
        <w:rPr>
          <w:rFonts w:ascii="Times New Roman" w:hAnsi="Times New Roman"/>
          <w:sz w:val="24"/>
          <w:szCs w:val="24"/>
        </w:rPr>
        <w:t>I</w:t>
      </w:r>
      <w:r w:rsidR="00A47792">
        <w:rPr>
          <w:rFonts w:ascii="Times New Roman" w:hAnsi="Times New Roman"/>
          <w:sz w:val="24"/>
          <w:szCs w:val="24"/>
        </w:rPr>
        <w:t xml:space="preserve">nfrastructure </w:t>
      </w:r>
      <w:r>
        <w:rPr>
          <w:rFonts w:ascii="Times New Roman" w:hAnsi="Times New Roman"/>
          <w:sz w:val="24"/>
          <w:szCs w:val="24"/>
        </w:rPr>
        <w:t>D</w:t>
      </w:r>
      <w:r w:rsidR="00A47792">
        <w:rPr>
          <w:rFonts w:ascii="Times New Roman" w:hAnsi="Times New Roman"/>
          <w:sz w:val="24"/>
          <w:szCs w:val="24"/>
        </w:rPr>
        <w:t xml:space="preserve">evelopment </w:t>
      </w:r>
      <w:r>
        <w:rPr>
          <w:rFonts w:ascii="Times New Roman" w:hAnsi="Times New Roman"/>
          <w:sz w:val="24"/>
          <w:szCs w:val="24"/>
        </w:rPr>
        <w:t>F</w:t>
      </w:r>
      <w:r w:rsidR="00A47792">
        <w:rPr>
          <w:rFonts w:ascii="Times New Roman" w:hAnsi="Times New Roman"/>
          <w:sz w:val="24"/>
          <w:szCs w:val="24"/>
        </w:rPr>
        <w:t>und</w:t>
      </w:r>
      <w:r>
        <w:rPr>
          <w:rFonts w:ascii="Times New Roman" w:hAnsi="Times New Roman"/>
          <w:sz w:val="24"/>
          <w:szCs w:val="24"/>
        </w:rPr>
        <w:t xml:space="preserve"> will generate a distorted interest in infrastructure solutions. The NWGA believes it will not, for the following reasons:</w:t>
      </w:r>
    </w:p>
    <w:p w14:paraId="6B4EF552" w14:textId="77777777" w:rsidR="000D6F11" w:rsidRDefault="006A3E17" w:rsidP="00A47792">
      <w:pPr>
        <w:pStyle w:val="ListParagraph"/>
        <w:numPr>
          <w:ilvl w:val="0"/>
          <w:numId w:val="5"/>
        </w:numPr>
        <w:spacing w:after="240" w:line="276" w:lineRule="auto"/>
        <w:rPr>
          <w:rFonts w:ascii="Times New Roman" w:hAnsi="Times New Roman"/>
          <w:sz w:val="24"/>
          <w:szCs w:val="24"/>
        </w:rPr>
      </w:pPr>
      <w:r w:rsidRPr="00A47792">
        <w:rPr>
          <w:rFonts w:ascii="Times New Roman" w:hAnsi="Times New Roman"/>
          <w:sz w:val="24"/>
          <w:szCs w:val="24"/>
        </w:rPr>
        <w:t>The Commonwealth will fund up to 50 per cent of the capital costs, meaning that states will generally need to fund or guarantee the remainder</w:t>
      </w:r>
      <w:r w:rsidR="000D6F11">
        <w:rPr>
          <w:rFonts w:ascii="Times New Roman" w:hAnsi="Times New Roman"/>
          <w:sz w:val="24"/>
          <w:szCs w:val="24"/>
        </w:rPr>
        <w:t>;</w:t>
      </w:r>
      <w:r w:rsidRPr="00A47792">
        <w:rPr>
          <w:rFonts w:ascii="Times New Roman" w:hAnsi="Times New Roman"/>
          <w:sz w:val="24"/>
          <w:szCs w:val="24"/>
        </w:rPr>
        <w:t xml:space="preserve"> </w:t>
      </w:r>
    </w:p>
    <w:p w14:paraId="4F264D63" w14:textId="77777777" w:rsidR="000D6F11" w:rsidRDefault="006A3E17" w:rsidP="00A47792">
      <w:pPr>
        <w:pStyle w:val="ListParagraph"/>
        <w:numPr>
          <w:ilvl w:val="0"/>
          <w:numId w:val="5"/>
        </w:numPr>
        <w:spacing w:after="240" w:line="276" w:lineRule="auto"/>
        <w:rPr>
          <w:rFonts w:ascii="Times New Roman" w:hAnsi="Times New Roman"/>
          <w:sz w:val="24"/>
          <w:szCs w:val="24"/>
        </w:rPr>
      </w:pPr>
      <w:r w:rsidRPr="00A47792">
        <w:rPr>
          <w:rFonts w:ascii="Times New Roman" w:hAnsi="Times New Roman"/>
          <w:sz w:val="24"/>
          <w:szCs w:val="24"/>
        </w:rPr>
        <w:t>They are also responsible for the lifecycle costs</w:t>
      </w:r>
      <w:r w:rsidR="00CB6111" w:rsidRPr="00A47792">
        <w:rPr>
          <w:rFonts w:ascii="Times New Roman" w:hAnsi="Times New Roman"/>
          <w:sz w:val="24"/>
          <w:szCs w:val="24"/>
        </w:rPr>
        <w:t>, which can be considerable</w:t>
      </w:r>
      <w:r w:rsidRPr="00A47792">
        <w:rPr>
          <w:rFonts w:ascii="Times New Roman" w:hAnsi="Times New Roman"/>
          <w:sz w:val="24"/>
          <w:szCs w:val="24"/>
        </w:rPr>
        <w:t xml:space="preserve">. </w:t>
      </w:r>
    </w:p>
    <w:p w14:paraId="0B73BFE3" w14:textId="77777777" w:rsidR="006A3E17" w:rsidRPr="00A47792" w:rsidRDefault="006A3E17" w:rsidP="00A47792">
      <w:pPr>
        <w:pStyle w:val="ListParagraph"/>
        <w:numPr>
          <w:ilvl w:val="0"/>
          <w:numId w:val="5"/>
        </w:numPr>
        <w:spacing w:after="240" w:line="276" w:lineRule="auto"/>
        <w:rPr>
          <w:rFonts w:ascii="Times New Roman" w:hAnsi="Times New Roman"/>
          <w:sz w:val="24"/>
          <w:szCs w:val="24"/>
        </w:rPr>
      </w:pPr>
      <w:r w:rsidRPr="00A47792">
        <w:rPr>
          <w:rFonts w:ascii="Times New Roman" w:hAnsi="Times New Roman"/>
          <w:sz w:val="24"/>
          <w:szCs w:val="24"/>
        </w:rPr>
        <w:t xml:space="preserve">As such, </w:t>
      </w:r>
      <w:r w:rsidR="00CB6111" w:rsidRPr="00A47792">
        <w:rPr>
          <w:rFonts w:ascii="Times New Roman" w:hAnsi="Times New Roman"/>
          <w:sz w:val="24"/>
          <w:szCs w:val="24"/>
        </w:rPr>
        <w:t xml:space="preserve">it is our view that </w:t>
      </w:r>
      <w:r w:rsidRPr="00A47792">
        <w:rPr>
          <w:rFonts w:ascii="Times New Roman" w:hAnsi="Times New Roman"/>
          <w:sz w:val="24"/>
          <w:szCs w:val="24"/>
        </w:rPr>
        <w:t>states would not preference solutions that would result in unjustified capital expenditure</w:t>
      </w:r>
      <w:r w:rsidR="000D6F11">
        <w:rPr>
          <w:rFonts w:ascii="Times New Roman" w:hAnsi="Times New Roman"/>
          <w:sz w:val="24"/>
          <w:szCs w:val="24"/>
        </w:rPr>
        <w:t>.</w:t>
      </w:r>
    </w:p>
    <w:p w14:paraId="729510AC" w14:textId="77777777" w:rsidR="00D965FC" w:rsidRPr="00A47792" w:rsidRDefault="006A3E17" w:rsidP="000D6F11">
      <w:pPr>
        <w:spacing w:after="240" w:line="276" w:lineRule="auto"/>
        <w:rPr>
          <w:rFonts w:ascii="Times New Roman" w:hAnsi="Times New Roman"/>
          <w:sz w:val="24"/>
          <w:szCs w:val="24"/>
        </w:rPr>
      </w:pPr>
      <w:r w:rsidRPr="00A47792">
        <w:rPr>
          <w:rFonts w:ascii="Times New Roman" w:hAnsi="Times New Roman"/>
          <w:sz w:val="24"/>
          <w:szCs w:val="24"/>
        </w:rPr>
        <w:t xml:space="preserve">The new Framework </w:t>
      </w:r>
      <w:r w:rsidR="005045A4" w:rsidRPr="00A47792">
        <w:rPr>
          <w:rFonts w:ascii="Times New Roman" w:hAnsi="Times New Roman"/>
          <w:sz w:val="24"/>
          <w:szCs w:val="24"/>
        </w:rPr>
        <w:t xml:space="preserve">includes a set of </w:t>
      </w:r>
      <w:r w:rsidR="000162D7" w:rsidRPr="00A47792">
        <w:rPr>
          <w:rFonts w:ascii="Times New Roman" w:hAnsi="Times New Roman"/>
          <w:sz w:val="24"/>
          <w:szCs w:val="24"/>
        </w:rPr>
        <w:t>guiding principles</w:t>
      </w:r>
      <w:r w:rsidR="00A97FB0" w:rsidRPr="00A47792">
        <w:rPr>
          <w:rFonts w:ascii="Times New Roman" w:hAnsi="Times New Roman"/>
          <w:sz w:val="24"/>
          <w:szCs w:val="24"/>
        </w:rPr>
        <w:t xml:space="preserve"> that </w:t>
      </w:r>
      <w:r w:rsidR="00074FE0" w:rsidRPr="00A47792">
        <w:rPr>
          <w:rFonts w:ascii="Times New Roman" w:hAnsi="Times New Roman"/>
          <w:sz w:val="24"/>
          <w:szCs w:val="24"/>
        </w:rPr>
        <w:t xml:space="preserve">address </w:t>
      </w:r>
      <w:r w:rsidR="00EC28E0" w:rsidRPr="00A47792">
        <w:rPr>
          <w:rFonts w:ascii="Times New Roman" w:hAnsi="Times New Roman"/>
          <w:sz w:val="24"/>
          <w:szCs w:val="24"/>
        </w:rPr>
        <w:t xml:space="preserve">many of the </w:t>
      </w:r>
      <w:r w:rsidR="005045A4" w:rsidRPr="00A47792">
        <w:rPr>
          <w:rFonts w:ascii="Times New Roman" w:hAnsi="Times New Roman"/>
          <w:sz w:val="24"/>
          <w:szCs w:val="24"/>
        </w:rPr>
        <w:t>Commission</w:t>
      </w:r>
      <w:r w:rsidR="00EC28E0" w:rsidRPr="00A47792">
        <w:rPr>
          <w:rFonts w:ascii="Times New Roman" w:hAnsi="Times New Roman"/>
          <w:sz w:val="24"/>
          <w:szCs w:val="24"/>
        </w:rPr>
        <w:t>’s observations</w:t>
      </w:r>
      <w:r w:rsidR="005045A4" w:rsidRPr="00A47792">
        <w:rPr>
          <w:rFonts w:ascii="Times New Roman" w:hAnsi="Times New Roman"/>
          <w:sz w:val="24"/>
          <w:szCs w:val="24"/>
        </w:rPr>
        <w:t xml:space="preserve">, </w:t>
      </w:r>
      <w:r w:rsidR="00074FE0" w:rsidRPr="00A47792">
        <w:rPr>
          <w:rFonts w:ascii="Times New Roman" w:hAnsi="Times New Roman"/>
          <w:sz w:val="24"/>
          <w:szCs w:val="24"/>
        </w:rPr>
        <w:t>by requiring proposals</w:t>
      </w:r>
      <w:r w:rsidR="005045A4" w:rsidRPr="00A47792">
        <w:rPr>
          <w:rFonts w:ascii="Times New Roman" w:hAnsi="Times New Roman"/>
          <w:sz w:val="24"/>
          <w:szCs w:val="24"/>
        </w:rPr>
        <w:t xml:space="preserve"> to</w:t>
      </w:r>
      <w:r w:rsidR="00A97FB0" w:rsidRPr="00A47792">
        <w:rPr>
          <w:rFonts w:ascii="Times New Roman" w:hAnsi="Times New Roman"/>
          <w:sz w:val="24"/>
          <w:szCs w:val="24"/>
        </w:rPr>
        <w:t xml:space="preserve">: demonstrate a </w:t>
      </w:r>
      <w:r w:rsidR="00AC342F" w:rsidRPr="00A47792">
        <w:rPr>
          <w:rFonts w:ascii="Times New Roman" w:hAnsi="Times New Roman"/>
          <w:sz w:val="24"/>
          <w:szCs w:val="24"/>
        </w:rPr>
        <w:t xml:space="preserve">public benefit, have strong state support including </w:t>
      </w:r>
      <w:r w:rsidR="00A97FB0" w:rsidRPr="00A47792">
        <w:rPr>
          <w:rFonts w:ascii="Times New Roman" w:hAnsi="Times New Roman"/>
          <w:sz w:val="24"/>
          <w:szCs w:val="24"/>
        </w:rPr>
        <w:t xml:space="preserve">a </w:t>
      </w:r>
      <w:r w:rsidR="00AC342F" w:rsidRPr="00A47792">
        <w:rPr>
          <w:rFonts w:ascii="Times New Roman" w:hAnsi="Times New Roman"/>
          <w:sz w:val="24"/>
          <w:szCs w:val="24"/>
        </w:rPr>
        <w:t>funding contribution, consider economic, social and environmental impacts, align with N</w:t>
      </w:r>
      <w:r w:rsidR="009A2071" w:rsidRPr="00A47792">
        <w:rPr>
          <w:rFonts w:ascii="Times New Roman" w:hAnsi="Times New Roman"/>
          <w:sz w:val="24"/>
          <w:szCs w:val="24"/>
        </w:rPr>
        <w:t xml:space="preserve">ational </w:t>
      </w:r>
      <w:r w:rsidR="00AC342F" w:rsidRPr="00A47792">
        <w:rPr>
          <w:rFonts w:ascii="Times New Roman" w:hAnsi="Times New Roman"/>
          <w:sz w:val="24"/>
          <w:szCs w:val="24"/>
        </w:rPr>
        <w:t>W</w:t>
      </w:r>
      <w:r w:rsidR="009A2071" w:rsidRPr="00A47792">
        <w:rPr>
          <w:rFonts w:ascii="Times New Roman" w:hAnsi="Times New Roman"/>
          <w:sz w:val="24"/>
          <w:szCs w:val="24"/>
        </w:rPr>
        <w:t>ater Initiative’s</w:t>
      </w:r>
      <w:r w:rsidR="00AC342F" w:rsidRPr="00A47792">
        <w:rPr>
          <w:rFonts w:ascii="Times New Roman" w:hAnsi="Times New Roman"/>
          <w:sz w:val="24"/>
          <w:szCs w:val="24"/>
        </w:rPr>
        <w:t xml:space="preserve"> principles</w:t>
      </w:r>
      <w:r w:rsidR="009A2071" w:rsidRPr="00A47792">
        <w:rPr>
          <w:rFonts w:ascii="Times New Roman" w:hAnsi="Times New Roman"/>
          <w:sz w:val="24"/>
          <w:szCs w:val="24"/>
        </w:rPr>
        <w:t>,</w:t>
      </w:r>
      <w:r w:rsidR="00AC342F" w:rsidRPr="00A47792">
        <w:rPr>
          <w:rFonts w:ascii="Times New Roman" w:hAnsi="Times New Roman"/>
          <w:sz w:val="24"/>
          <w:szCs w:val="24"/>
        </w:rPr>
        <w:t xml:space="preserve"> including appropriate cost recovery</w:t>
      </w:r>
      <w:r w:rsidR="002D4384" w:rsidRPr="00A47792">
        <w:rPr>
          <w:rFonts w:ascii="Times New Roman" w:hAnsi="Times New Roman"/>
          <w:sz w:val="24"/>
          <w:szCs w:val="24"/>
        </w:rPr>
        <w:t xml:space="preserve">, and consider whether non-infrastructure solutions have been </w:t>
      </w:r>
      <w:r w:rsidR="00CB6111" w:rsidRPr="00A47792">
        <w:rPr>
          <w:rFonts w:ascii="Times New Roman" w:hAnsi="Times New Roman"/>
          <w:sz w:val="24"/>
          <w:szCs w:val="24"/>
        </w:rPr>
        <w:t xml:space="preserve">explored </w:t>
      </w:r>
      <w:r w:rsidR="002D4384" w:rsidRPr="00A47792">
        <w:rPr>
          <w:rFonts w:ascii="Times New Roman" w:hAnsi="Times New Roman"/>
          <w:sz w:val="24"/>
          <w:szCs w:val="24"/>
        </w:rPr>
        <w:t>adequately</w:t>
      </w:r>
      <w:r w:rsidR="00AC342F" w:rsidRPr="00A47792">
        <w:rPr>
          <w:rFonts w:ascii="Times New Roman" w:hAnsi="Times New Roman"/>
          <w:sz w:val="24"/>
          <w:szCs w:val="24"/>
        </w:rPr>
        <w:t>.</w:t>
      </w:r>
      <w:r w:rsidR="000C27FB" w:rsidRPr="00A47792">
        <w:rPr>
          <w:rFonts w:ascii="Times New Roman" w:hAnsi="Times New Roman"/>
          <w:sz w:val="24"/>
          <w:szCs w:val="24"/>
        </w:rPr>
        <w:t xml:space="preserve"> </w:t>
      </w:r>
    </w:p>
    <w:p w14:paraId="5BAD92F0" w14:textId="77777777" w:rsidR="00D965FC" w:rsidRDefault="00D965FC" w:rsidP="000D6F11">
      <w:pPr>
        <w:spacing w:after="240" w:line="276" w:lineRule="auto"/>
        <w:rPr>
          <w:rFonts w:ascii="Times New Roman" w:hAnsi="Times New Roman"/>
          <w:sz w:val="24"/>
          <w:szCs w:val="24"/>
        </w:rPr>
      </w:pPr>
      <w:r w:rsidRPr="00C53D10">
        <w:rPr>
          <w:rFonts w:ascii="Times New Roman" w:hAnsi="Times New Roman"/>
          <w:sz w:val="24"/>
          <w:szCs w:val="24"/>
        </w:rPr>
        <w:t xml:space="preserve">In developing the </w:t>
      </w:r>
      <w:r w:rsidR="00EC28E0">
        <w:rPr>
          <w:rFonts w:ascii="Times New Roman" w:hAnsi="Times New Roman"/>
          <w:sz w:val="24"/>
          <w:szCs w:val="24"/>
        </w:rPr>
        <w:t xml:space="preserve">Investment </w:t>
      </w:r>
      <w:r>
        <w:rPr>
          <w:rFonts w:ascii="Times New Roman" w:hAnsi="Times New Roman"/>
          <w:sz w:val="24"/>
          <w:szCs w:val="24"/>
        </w:rPr>
        <w:t>Framework</w:t>
      </w:r>
      <w:r w:rsidRPr="00C53D10">
        <w:rPr>
          <w:rFonts w:ascii="Times New Roman" w:hAnsi="Times New Roman"/>
          <w:sz w:val="24"/>
          <w:szCs w:val="24"/>
        </w:rPr>
        <w:t xml:space="preserve">, the NWGA </w:t>
      </w:r>
      <w:r>
        <w:rPr>
          <w:rFonts w:ascii="Times New Roman" w:hAnsi="Times New Roman"/>
          <w:sz w:val="24"/>
          <w:szCs w:val="24"/>
        </w:rPr>
        <w:t xml:space="preserve">notes that it </w:t>
      </w:r>
      <w:r w:rsidR="00EC28E0">
        <w:rPr>
          <w:rFonts w:ascii="Times New Roman" w:hAnsi="Times New Roman"/>
          <w:sz w:val="24"/>
          <w:szCs w:val="24"/>
        </w:rPr>
        <w:t xml:space="preserve">consulted with state and territory officials and </w:t>
      </w:r>
      <w:r w:rsidRPr="00C53D10">
        <w:rPr>
          <w:rFonts w:ascii="Times New Roman" w:hAnsi="Times New Roman"/>
          <w:sz w:val="24"/>
          <w:szCs w:val="24"/>
        </w:rPr>
        <w:t>with Infrastructure Australia to ensure consistency in approach and priorities.</w:t>
      </w:r>
      <w:r w:rsidR="008549FB">
        <w:rPr>
          <w:rFonts w:ascii="Times New Roman" w:hAnsi="Times New Roman"/>
          <w:sz w:val="24"/>
          <w:szCs w:val="24"/>
        </w:rPr>
        <w:t xml:space="preserve"> </w:t>
      </w:r>
    </w:p>
    <w:p w14:paraId="2CEAF627" w14:textId="77777777" w:rsidR="00CB6111" w:rsidRDefault="004B6EDF" w:rsidP="004B6EDF">
      <w:pPr>
        <w:spacing w:after="240" w:line="276" w:lineRule="auto"/>
        <w:rPr>
          <w:rFonts w:ascii="Times New Roman" w:hAnsi="Times New Roman"/>
          <w:sz w:val="24"/>
          <w:szCs w:val="24"/>
        </w:rPr>
      </w:pPr>
      <w:r>
        <w:rPr>
          <w:rFonts w:ascii="Times New Roman" w:hAnsi="Times New Roman"/>
          <w:sz w:val="24"/>
          <w:szCs w:val="24"/>
        </w:rPr>
        <w:t>Finally, thank you for the opportunity to make a submission</w:t>
      </w:r>
      <w:r w:rsidR="00CB6111">
        <w:rPr>
          <w:rFonts w:ascii="Times New Roman" w:hAnsi="Times New Roman"/>
          <w:sz w:val="24"/>
          <w:szCs w:val="24"/>
        </w:rPr>
        <w:t xml:space="preserve"> to the draft report</w:t>
      </w:r>
      <w:r>
        <w:rPr>
          <w:rFonts w:ascii="Times New Roman" w:hAnsi="Times New Roman"/>
          <w:sz w:val="24"/>
          <w:szCs w:val="24"/>
        </w:rPr>
        <w:t>. The NWGA acknowledges the importance of ensuring an economic lens is applied to the assessment of water infrastructure</w:t>
      </w:r>
      <w:r w:rsidRPr="006E4F95">
        <w:rPr>
          <w:rFonts w:ascii="Times New Roman" w:hAnsi="Times New Roman"/>
          <w:sz w:val="24"/>
          <w:szCs w:val="24"/>
        </w:rPr>
        <w:t xml:space="preserve"> </w:t>
      </w:r>
      <w:r>
        <w:rPr>
          <w:rFonts w:ascii="Times New Roman" w:hAnsi="Times New Roman"/>
          <w:sz w:val="24"/>
          <w:szCs w:val="24"/>
        </w:rPr>
        <w:t>proposals as the Investment Framework itself identifies. While a cost-benefit analysis is essential, it is not sufficient alone to make investment decisions</w:t>
      </w:r>
      <w:r w:rsidR="006A3E17">
        <w:rPr>
          <w:rFonts w:ascii="Times New Roman" w:hAnsi="Times New Roman"/>
          <w:sz w:val="24"/>
          <w:szCs w:val="24"/>
        </w:rPr>
        <w:t xml:space="preserve"> and risks becoming overly relied upon</w:t>
      </w:r>
      <w:r w:rsidR="00CB6111">
        <w:rPr>
          <w:rFonts w:ascii="Times New Roman" w:hAnsi="Times New Roman"/>
          <w:sz w:val="24"/>
          <w:szCs w:val="24"/>
        </w:rPr>
        <w:t xml:space="preserve"> </w:t>
      </w:r>
      <w:r w:rsidR="006A3E17">
        <w:rPr>
          <w:rFonts w:ascii="Times New Roman" w:hAnsi="Times New Roman"/>
          <w:sz w:val="24"/>
          <w:szCs w:val="24"/>
        </w:rPr>
        <w:t>– particularly where the discount rate</w:t>
      </w:r>
      <w:r w:rsidR="00CB6111">
        <w:rPr>
          <w:rFonts w:ascii="Times New Roman" w:hAnsi="Times New Roman"/>
          <w:sz w:val="24"/>
          <w:szCs w:val="24"/>
        </w:rPr>
        <w:t xml:space="preserve"> used</w:t>
      </w:r>
      <w:r w:rsidR="006A3E17">
        <w:rPr>
          <w:rFonts w:ascii="Times New Roman" w:hAnsi="Times New Roman"/>
          <w:sz w:val="24"/>
          <w:szCs w:val="24"/>
        </w:rPr>
        <w:t xml:space="preserve"> </w:t>
      </w:r>
      <w:r w:rsidR="00CB6111">
        <w:rPr>
          <w:rFonts w:ascii="Times New Roman" w:hAnsi="Times New Roman"/>
          <w:sz w:val="24"/>
          <w:szCs w:val="24"/>
        </w:rPr>
        <w:t>is often no longer aligned well with today’s cost of capital.</w:t>
      </w:r>
      <w:r w:rsidR="006A3E17">
        <w:rPr>
          <w:rFonts w:ascii="Times New Roman" w:hAnsi="Times New Roman"/>
          <w:sz w:val="24"/>
          <w:szCs w:val="24"/>
        </w:rPr>
        <w:t xml:space="preserve"> </w:t>
      </w:r>
    </w:p>
    <w:p w14:paraId="4CF1FE66" w14:textId="77777777" w:rsidR="004B6EDF" w:rsidRDefault="004B6EDF" w:rsidP="004B6EDF">
      <w:pPr>
        <w:spacing w:after="240" w:line="276" w:lineRule="auto"/>
        <w:rPr>
          <w:rFonts w:ascii="Times New Roman" w:hAnsi="Times New Roman"/>
          <w:sz w:val="24"/>
          <w:szCs w:val="24"/>
        </w:rPr>
      </w:pPr>
      <w:r>
        <w:rPr>
          <w:rFonts w:ascii="Times New Roman" w:hAnsi="Times New Roman"/>
          <w:sz w:val="24"/>
          <w:szCs w:val="24"/>
        </w:rPr>
        <w:t xml:space="preserve">The Commission also requested comments on a table of water infrastructure investments in the </w:t>
      </w:r>
      <w:r w:rsidRPr="00FE173F">
        <w:rPr>
          <w:rFonts w:ascii="Times New Roman" w:hAnsi="Times New Roman"/>
          <w:i/>
          <w:sz w:val="24"/>
          <w:szCs w:val="24"/>
        </w:rPr>
        <w:t>Assessment</w:t>
      </w:r>
      <w:r>
        <w:rPr>
          <w:rFonts w:ascii="Times New Roman" w:hAnsi="Times New Roman"/>
          <w:i/>
          <w:sz w:val="24"/>
          <w:szCs w:val="24"/>
        </w:rPr>
        <w:t xml:space="preserve"> of National Water Initiative implementation progress (2017-2020)</w:t>
      </w:r>
      <w:r>
        <w:rPr>
          <w:rFonts w:ascii="Times New Roman" w:hAnsi="Times New Roman"/>
          <w:sz w:val="24"/>
          <w:szCs w:val="24"/>
        </w:rPr>
        <w:t xml:space="preserve"> report. Comments </w:t>
      </w:r>
      <w:r w:rsidR="00F50A2E">
        <w:rPr>
          <w:rFonts w:ascii="Times New Roman" w:hAnsi="Times New Roman"/>
          <w:sz w:val="24"/>
          <w:szCs w:val="24"/>
        </w:rPr>
        <w:t>follow in</w:t>
      </w:r>
      <w:r>
        <w:rPr>
          <w:rFonts w:ascii="Times New Roman" w:hAnsi="Times New Roman"/>
          <w:sz w:val="24"/>
          <w:szCs w:val="24"/>
        </w:rPr>
        <w:t xml:space="preserve"> the Attachment.  </w:t>
      </w:r>
    </w:p>
    <w:p w14:paraId="7AB96CC9" w14:textId="77777777" w:rsidR="004B6EDF" w:rsidRDefault="004B6EDF" w:rsidP="004B6EDF">
      <w:pPr>
        <w:spacing w:after="240" w:line="276" w:lineRule="auto"/>
        <w:rPr>
          <w:rFonts w:ascii="Times New Roman" w:hAnsi="Times New Roman"/>
          <w:sz w:val="24"/>
          <w:szCs w:val="24"/>
        </w:rPr>
      </w:pPr>
    </w:p>
    <w:p w14:paraId="368F6424" w14:textId="77777777" w:rsidR="008549FB" w:rsidRDefault="008549FB">
      <w:pPr>
        <w:spacing w:before="0" w:after="160" w:line="259" w:lineRule="auto"/>
        <w:rPr>
          <w:rFonts w:ascii="Times New Roman" w:hAnsi="Times New Roman"/>
          <w:i/>
          <w:sz w:val="24"/>
          <w:szCs w:val="24"/>
        </w:rPr>
      </w:pPr>
      <w:r>
        <w:rPr>
          <w:rFonts w:ascii="Times New Roman" w:hAnsi="Times New Roman"/>
          <w:i/>
          <w:sz w:val="24"/>
          <w:szCs w:val="24"/>
        </w:rPr>
        <w:br w:type="page"/>
      </w:r>
    </w:p>
    <w:p w14:paraId="36017C24" w14:textId="77777777" w:rsidR="004B6EDF" w:rsidRDefault="004B6EDF" w:rsidP="004B6EDF">
      <w:pPr>
        <w:spacing w:before="0" w:after="160" w:line="259" w:lineRule="auto"/>
        <w:jc w:val="right"/>
        <w:rPr>
          <w:rFonts w:ascii="Times New Roman" w:hAnsi="Times New Roman"/>
          <w:i/>
          <w:sz w:val="24"/>
          <w:szCs w:val="24"/>
        </w:rPr>
      </w:pPr>
      <w:r>
        <w:rPr>
          <w:rFonts w:ascii="Times New Roman" w:hAnsi="Times New Roman"/>
          <w:i/>
          <w:sz w:val="24"/>
          <w:szCs w:val="24"/>
        </w:rPr>
        <w:lastRenderedPageBreak/>
        <w:t>Attachment</w:t>
      </w:r>
    </w:p>
    <w:p w14:paraId="72043A5B" w14:textId="77777777" w:rsidR="00EC09A6" w:rsidRPr="00FE173F" w:rsidRDefault="00D869FB" w:rsidP="00B104CB">
      <w:pPr>
        <w:spacing w:before="0" w:after="160" w:line="259" w:lineRule="auto"/>
        <w:rPr>
          <w:rFonts w:ascii="Times New Roman" w:hAnsi="Times New Roman"/>
          <w:i/>
          <w:sz w:val="24"/>
          <w:szCs w:val="24"/>
        </w:rPr>
      </w:pPr>
      <w:r w:rsidRPr="00FE173F">
        <w:rPr>
          <w:rFonts w:ascii="Times New Roman" w:hAnsi="Times New Roman"/>
          <w:i/>
          <w:sz w:val="24"/>
          <w:szCs w:val="24"/>
        </w:rPr>
        <w:t>Matters of detail</w:t>
      </w:r>
    </w:p>
    <w:p w14:paraId="273FA7A0" w14:textId="77777777" w:rsidR="004B6EDF" w:rsidRDefault="004B6EDF" w:rsidP="00A97FB0">
      <w:pPr>
        <w:spacing w:after="240" w:line="276" w:lineRule="auto"/>
        <w:rPr>
          <w:rFonts w:ascii="Times New Roman" w:hAnsi="Times New Roman"/>
          <w:sz w:val="24"/>
          <w:szCs w:val="24"/>
        </w:rPr>
      </w:pPr>
      <w:r>
        <w:rPr>
          <w:rFonts w:ascii="Times New Roman" w:hAnsi="Times New Roman"/>
          <w:sz w:val="24"/>
          <w:szCs w:val="24"/>
        </w:rPr>
        <w:t>The Commission requested comments on Table</w:t>
      </w:r>
      <w:r w:rsidR="00EC09A6" w:rsidRPr="00EC09A6">
        <w:rPr>
          <w:rFonts w:ascii="Times New Roman" w:hAnsi="Times New Roman"/>
          <w:sz w:val="24"/>
          <w:szCs w:val="24"/>
        </w:rPr>
        <w:t xml:space="preserve"> 3.7, </w:t>
      </w:r>
      <w:r w:rsidR="00EC09A6">
        <w:rPr>
          <w:rFonts w:ascii="Times New Roman" w:hAnsi="Times New Roman"/>
          <w:sz w:val="24"/>
          <w:szCs w:val="24"/>
        </w:rPr>
        <w:t xml:space="preserve">on </w:t>
      </w:r>
      <w:r w:rsidR="00EC09A6" w:rsidRPr="00EC09A6">
        <w:rPr>
          <w:rFonts w:ascii="Times New Roman" w:hAnsi="Times New Roman"/>
          <w:sz w:val="24"/>
          <w:szCs w:val="24"/>
        </w:rPr>
        <w:t>p</w:t>
      </w:r>
      <w:r w:rsidR="00EC09A6">
        <w:rPr>
          <w:rFonts w:ascii="Times New Roman" w:hAnsi="Times New Roman"/>
          <w:sz w:val="24"/>
          <w:szCs w:val="24"/>
        </w:rPr>
        <w:t>a</w:t>
      </w:r>
      <w:r w:rsidR="00EC09A6" w:rsidRPr="00EC09A6">
        <w:rPr>
          <w:rFonts w:ascii="Times New Roman" w:hAnsi="Times New Roman"/>
          <w:sz w:val="24"/>
          <w:szCs w:val="24"/>
        </w:rPr>
        <w:t>g</w:t>
      </w:r>
      <w:r w:rsidR="00EC09A6">
        <w:rPr>
          <w:rFonts w:ascii="Times New Roman" w:hAnsi="Times New Roman"/>
          <w:sz w:val="24"/>
          <w:szCs w:val="24"/>
        </w:rPr>
        <w:t>e</w:t>
      </w:r>
      <w:r w:rsidR="00EC09A6" w:rsidRPr="00EC09A6">
        <w:rPr>
          <w:rFonts w:ascii="Times New Roman" w:hAnsi="Times New Roman"/>
          <w:sz w:val="24"/>
          <w:szCs w:val="24"/>
        </w:rPr>
        <w:t xml:space="preserve"> 106 of the </w:t>
      </w:r>
      <w:r w:rsidR="00EC09A6" w:rsidRPr="00FE173F">
        <w:rPr>
          <w:rFonts w:ascii="Times New Roman" w:hAnsi="Times New Roman"/>
          <w:i/>
          <w:sz w:val="24"/>
          <w:szCs w:val="24"/>
        </w:rPr>
        <w:t>Assessment</w:t>
      </w:r>
      <w:r w:rsidR="006E4841">
        <w:rPr>
          <w:rFonts w:ascii="Times New Roman" w:hAnsi="Times New Roman"/>
          <w:i/>
          <w:sz w:val="24"/>
          <w:szCs w:val="24"/>
        </w:rPr>
        <w:t xml:space="preserve"> of National Water Initiative implementation progress (2017-2020)</w:t>
      </w:r>
      <w:r w:rsidR="006E4841">
        <w:rPr>
          <w:rFonts w:ascii="Times New Roman" w:hAnsi="Times New Roman"/>
          <w:sz w:val="24"/>
          <w:szCs w:val="24"/>
        </w:rPr>
        <w:t xml:space="preserve"> report</w:t>
      </w:r>
      <w:r>
        <w:rPr>
          <w:rFonts w:ascii="Times New Roman" w:hAnsi="Times New Roman"/>
          <w:sz w:val="24"/>
          <w:szCs w:val="24"/>
        </w:rPr>
        <w:t xml:space="preserve">, which </w:t>
      </w:r>
      <w:r w:rsidR="00872AD7">
        <w:rPr>
          <w:rFonts w:ascii="Times New Roman" w:hAnsi="Times New Roman"/>
          <w:sz w:val="24"/>
          <w:szCs w:val="24"/>
        </w:rPr>
        <w:t xml:space="preserve">makes observations on major Government investments in water infrastructure since 2017. </w:t>
      </w:r>
    </w:p>
    <w:p w14:paraId="500E74A0" w14:textId="77777777" w:rsidR="004B6EDF" w:rsidRDefault="00872AD7" w:rsidP="00A97FB0">
      <w:pPr>
        <w:spacing w:after="240" w:line="276" w:lineRule="auto"/>
        <w:rPr>
          <w:rFonts w:ascii="Times New Roman" w:hAnsi="Times New Roman"/>
          <w:sz w:val="24"/>
          <w:szCs w:val="24"/>
        </w:rPr>
      </w:pPr>
      <w:r>
        <w:rPr>
          <w:rFonts w:ascii="Times New Roman" w:hAnsi="Times New Roman"/>
          <w:sz w:val="24"/>
          <w:szCs w:val="24"/>
        </w:rPr>
        <w:t>The NWGA notes that</w:t>
      </w:r>
      <w:r w:rsidR="00DC5C38">
        <w:rPr>
          <w:rFonts w:ascii="Times New Roman" w:hAnsi="Times New Roman"/>
          <w:sz w:val="24"/>
          <w:szCs w:val="24"/>
        </w:rPr>
        <w:t xml:space="preserve"> aside from the Commission’s observations in chapter 13,</w:t>
      </w:r>
      <w:r>
        <w:rPr>
          <w:rFonts w:ascii="Times New Roman" w:hAnsi="Times New Roman"/>
          <w:sz w:val="24"/>
          <w:szCs w:val="24"/>
        </w:rPr>
        <w:t xml:space="preserve"> this table indicates significant compliance with the National Water Initiative and with the requirement to assess the costs and benefits</w:t>
      </w:r>
      <w:r w:rsidR="00DC5C38">
        <w:rPr>
          <w:rFonts w:ascii="Times New Roman" w:hAnsi="Times New Roman"/>
          <w:sz w:val="24"/>
          <w:szCs w:val="24"/>
        </w:rPr>
        <w:t xml:space="preserve"> for tho</w:t>
      </w:r>
      <w:r>
        <w:rPr>
          <w:rFonts w:ascii="Times New Roman" w:hAnsi="Times New Roman"/>
          <w:sz w:val="24"/>
          <w:szCs w:val="24"/>
        </w:rPr>
        <w:t>se investments</w:t>
      </w:r>
      <w:r w:rsidR="00DC5C38">
        <w:rPr>
          <w:rFonts w:ascii="Times New Roman" w:hAnsi="Times New Roman"/>
          <w:sz w:val="24"/>
          <w:szCs w:val="24"/>
        </w:rPr>
        <w:t xml:space="preserve"> listed</w:t>
      </w:r>
      <w:r>
        <w:rPr>
          <w:rFonts w:ascii="Times New Roman" w:hAnsi="Times New Roman"/>
          <w:sz w:val="24"/>
          <w:szCs w:val="24"/>
        </w:rPr>
        <w:t xml:space="preserve">. </w:t>
      </w:r>
    </w:p>
    <w:p w14:paraId="559CED40" w14:textId="77777777" w:rsidR="00257C19" w:rsidRDefault="004B6EDF" w:rsidP="00A97FB0">
      <w:pPr>
        <w:spacing w:after="240" w:line="276" w:lineRule="auto"/>
        <w:rPr>
          <w:rFonts w:ascii="Times New Roman" w:hAnsi="Times New Roman"/>
          <w:sz w:val="24"/>
          <w:szCs w:val="24"/>
        </w:rPr>
      </w:pPr>
      <w:r>
        <w:rPr>
          <w:rFonts w:ascii="Times New Roman" w:hAnsi="Times New Roman"/>
          <w:sz w:val="24"/>
          <w:szCs w:val="24"/>
        </w:rPr>
        <w:t xml:space="preserve">In regards to the Commission’s request: </w:t>
      </w:r>
    </w:p>
    <w:p w14:paraId="004682E6" w14:textId="77777777" w:rsidR="004B6EDF" w:rsidRDefault="00EC09A6" w:rsidP="00FE173F">
      <w:pPr>
        <w:pStyle w:val="ListParagraph"/>
        <w:numPr>
          <w:ilvl w:val="0"/>
          <w:numId w:val="4"/>
        </w:numPr>
        <w:spacing w:after="240" w:line="276" w:lineRule="auto"/>
        <w:rPr>
          <w:rFonts w:ascii="Times New Roman" w:hAnsi="Times New Roman"/>
          <w:sz w:val="24"/>
          <w:szCs w:val="24"/>
        </w:rPr>
      </w:pPr>
      <w:r w:rsidRPr="00FE173F">
        <w:rPr>
          <w:rFonts w:ascii="Times New Roman" w:hAnsi="Times New Roman"/>
          <w:sz w:val="24"/>
          <w:szCs w:val="24"/>
        </w:rPr>
        <w:t xml:space="preserve">The table </w:t>
      </w:r>
      <w:r w:rsidR="004B6EDF">
        <w:rPr>
          <w:rFonts w:ascii="Times New Roman" w:hAnsi="Times New Roman"/>
          <w:sz w:val="24"/>
          <w:szCs w:val="24"/>
        </w:rPr>
        <w:t>indicates</w:t>
      </w:r>
      <w:r w:rsidR="00257C19" w:rsidRPr="00FE173F">
        <w:rPr>
          <w:rFonts w:ascii="Times New Roman" w:hAnsi="Times New Roman"/>
          <w:sz w:val="24"/>
          <w:szCs w:val="24"/>
        </w:rPr>
        <w:t xml:space="preserve"> that</w:t>
      </w:r>
      <w:r w:rsidR="006341A8">
        <w:rPr>
          <w:rFonts w:ascii="Times New Roman" w:hAnsi="Times New Roman"/>
          <w:sz w:val="24"/>
          <w:szCs w:val="24"/>
        </w:rPr>
        <w:t xml:space="preserve"> it is unknown whether</w:t>
      </w:r>
      <w:r w:rsidRPr="00FE173F">
        <w:rPr>
          <w:rFonts w:ascii="Times New Roman" w:hAnsi="Times New Roman"/>
          <w:sz w:val="24"/>
          <w:szCs w:val="24"/>
        </w:rPr>
        <w:t xml:space="preserve"> </w:t>
      </w:r>
      <w:r w:rsidR="006341A8" w:rsidRPr="00FE173F">
        <w:rPr>
          <w:rFonts w:ascii="Times New Roman" w:hAnsi="Times New Roman"/>
          <w:sz w:val="24"/>
          <w:szCs w:val="24"/>
        </w:rPr>
        <w:t>the Wyangala and Dungowan projects</w:t>
      </w:r>
      <w:r w:rsidR="006341A8">
        <w:rPr>
          <w:rFonts w:ascii="Times New Roman" w:hAnsi="Times New Roman"/>
          <w:sz w:val="24"/>
          <w:szCs w:val="24"/>
        </w:rPr>
        <w:t xml:space="preserve"> have been subject to </w:t>
      </w:r>
      <w:r w:rsidR="00993591">
        <w:rPr>
          <w:rFonts w:ascii="Times New Roman" w:hAnsi="Times New Roman"/>
          <w:sz w:val="24"/>
          <w:szCs w:val="24"/>
        </w:rPr>
        <w:t xml:space="preserve">independent scrutiny </w:t>
      </w:r>
      <w:r w:rsidR="006341A8">
        <w:rPr>
          <w:rFonts w:ascii="Times New Roman" w:hAnsi="Times New Roman"/>
          <w:sz w:val="24"/>
          <w:szCs w:val="24"/>
        </w:rPr>
        <w:t xml:space="preserve">or assessment of NWI compliance. </w:t>
      </w:r>
    </w:p>
    <w:p w14:paraId="2C187272" w14:textId="77777777" w:rsidR="004B6EDF" w:rsidRDefault="00DC5C38" w:rsidP="004B6EDF">
      <w:pPr>
        <w:pStyle w:val="ListParagraph"/>
        <w:numPr>
          <w:ilvl w:val="1"/>
          <w:numId w:val="4"/>
        </w:numPr>
        <w:spacing w:after="240" w:line="276" w:lineRule="auto"/>
        <w:rPr>
          <w:rFonts w:ascii="Times New Roman" w:hAnsi="Times New Roman"/>
          <w:sz w:val="24"/>
          <w:szCs w:val="24"/>
        </w:rPr>
      </w:pPr>
      <w:r>
        <w:rPr>
          <w:rFonts w:ascii="Times New Roman" w:hAnsi="Times New Roman"/>
          <w:sz w:val="24"/>
          <w:szCs w:val="24"/>
        </w:rPr>
        <w:t>B</w:t>
      </w:r>
      <w:r w:rsidR="00993591">
        <w:rPr>
          <w:rFonts w:ascii="Times New Roman" w:hAnsi="Times New Roman"/>
          <w:sz w:val="24"/>
          <w:szCs w:val="24"/>
        </w:rPr>
        <w:t>usiness cases for both projects are presently underway</w:t>
      </w:r>
      <w:r w:rsidR="00EC09A6" w:rsidRPr="00FE173F">
        <w:rPr>
          <w:rFonts w:ascii="Times New Roman" w:hAnsi="Times New Roman"/>
          <w:sz w:val="24"/>
          <w:szCs w:val="24"/>
        </w:rPr>
        <w:t xml:space="preserve">. </w:t>
      </w:r>
      <w:r w:rsidR="00993591">
        <w:rPr>
          <w:rFonts w:ascii="Times New Roman" w:hAnsi="Times New Roman"/>
          <w:sz w:val="24"/>
          <w:szCs w:val="24"/>
        </w:rPr>
        <w:t xml:space="preserve">This will enable </w:t>
      </w:r>
      <w:r>
        <w:rPr>
          <w:rFonts w:ascii="Times New Roman" w:hAnsi="Times New Roman"/>
          <w:sz w:val="24"/>
          <w:szCs w:val="24"/>
        </w:rPr>
        <w:t xml:space="preserve">both </w:t>
      </w:r>
      <w:r w:rsidR="00993591">
        <w:rPr>
          <w:rFonts w:ascii="Times New Roman" w:hAnsi="Times New Roman"/>
          <w:sz w:val="24"/>
          <w:szCs w:val="24"/>
        </w:rPr>
        <w:t xml:space="preserve">governments to assess the projects against the NWI principles and to refer the projects to assessment bodies such </w:t>
      </w:r>
      <w:r>
        <w:rPr>
          <w:rFonts w:ascii="Times New Roman" w:hAnsi="Times New Roman"/>
          <w:sz w:val="24"/>
          <w:szCs w:val="24"/>
        </w:rPr>
        <w:t xml:space="preserve">as Infrastructure Australia and or </w:t>
      </w:r>
      <w:r w:rsidR="00993591">
        <w:rPr>
          <w:rFonts w:ascii="Times New Roman" w:hAnsi="Times New Roman"/>
          <w:sz w:val="24"/>
          <w:szCs w:val="24"/>
        </w:rPr>
        <w:t>Infrastructure NSW</w:t>
      </w:r>
      <w:r w:rsidR="006341A8">
        <w:rPr>
          <w:rFonts w:ascii="Times New Roman" w:hAnsi="Times New Roman"/>
          <w:sz w:val="24"/>
          <w:szCs w:val="24"/>
        </w:rPr>
        <w:t>, once the business cases are complete</w:t>
      </w:r>
      <w:r w:rsidR="00993591">
        <w:rPr>
          <w:rFonts w:ascii="Times New Roman" w:hAnsi="Times New Roman"/>
          <w:sz w:val="24"/>
          <w:szCs w:val="24"/>
        </w:rPr>
        <w:t xml:space="preserve">. </w:t>
      </w:r>
    </w:p>
    <w:p w14:paraId="40EB3E6E" w14:textId="77777777" w:rsidR="00FA5D09" w:rsidRDefault="00FA5D09" w:rsidP="004B6EDF">
      <w:pPr>
        <w:pStyle w:val="ListParagraph"/>
        <w:numPr>
          <w:ilvl w:val="1"/>
          <w:numId w:val="4"/>
        </w:numPr>
        <w:spacing w:after="240" w:line="276" w:lineRule="auto"/>
        <w:rPr>
          <w:rFonts w:ascii="Times New Roman" w:hAnsi="Times New Roman"/>
          <w:sz w:val="24"/>
          <w:szCs w:val="24"/>
        </w:rPr>
      </w:pPr>
      <w:r>
        <w:rPr>
          <w:rFonts w:ascii="Times New Roman" w:hAnsi="Times New Roman"/>
          <w:sz w:val="24"/>
          <w:szCs w:val="24"/>
        </w:rPr>
        <w:t xml:space="preserve">The business cases will also enable assessment against non-infrastructure or alternative solutions. </w:t>
      </w:r>
    </w:p>
    <w:p w14:paraId="1BC6E0F9" w14:textId="77777777" w:rsidR="00257C19" w:rsidRPr="00FE173F" w:rsidRDefault="00993591" w:rsidP="004B6EDF">
      <w:pPr>
        <w:pStyle w:val="ListParagraph"/>
        <w:numPr>
          <w:ilvl w:val="1"/>
          <w:numId w:val="4"/>
        </w:numPr>
        <w:spacing w:after="240" w:line="276" w:lineRule="auto"/>
        <w:rPr>
          <w:rFonts w:ascii="Times New Roman" w:hAnsi="Times New Roman"/>
          <w:sz w:val="24"/>
          <w:szCs w:val="24"/>
        </w:rPr>
      </w:pPr>
      <w:r>
        <w:rPr>
          <w:rFonts w:ascii="Times New Roman" w:hAnsi="Times New Roman"/>
          <w:sz w:val="24"/>
          <w:szCs w:val="24"/>
        </w:rPr>
        <w:t xml:space="preserve">The table could more accurately note that these </w:t>
      </w:r>
      <w:r w:rsidR="006341A8">
        <w:rPr>
          <w:rFonts w:ascii="Times New Roman" w:hAnsi="Times New Roman"/>
          <w:sz w:val="24"/>
          <w:szCs w:val="24"/>
        </w:rPr>
        <w:t>aspects</w:t>
      </w:r>
      <w:r w:rsidR="00DC5C38">
        <w:rPr>
          <w:rFonts w:ascii="Times New Roman" w:hAnsi="Times New Roman"/>
          <w:sz w:val="24"/>
          <w:szCs w:val="24"/>
        </w:rPr>
        <w:t xml:space="preserve"> referred to above</w:t>
      </w:r>
      <w:r w:rsidR="006341A8">
        <w:rPr>
          <w:rFonts w:ascii="Times New Roman" w:hAnsi="Times New Roman"/>
          <w:sz w:val="24"/>
          <w:szCs w:val="24"/>
        </w:rPr>
        <w:t xml:space="preserve"> </w:t>
      </w:r>
      <w:r>
        <w:rPr>
          <w:rFonts w:ascii="Times New Roman" w:hAnsi="Times New Roman"/>
          <w:sz w:val="24"/>
          <w:szCs w:val="24"/>
        </w:rPr>
        <w:t xml:space="preserve">are yet to be determined. </w:t>
      </w:r>
    </w:p>
    <w:p w14:paraId="37B17039" w14:textId="77777777" w:rsidR="00DC5C38" w:rsidRPr="00FE173F" w:rsidRDefault="00257C19" w:rsidP="00B104CB">
      <w:pPr>
        <w:pStyle w:val="ListParagraph"/>
        <w:numPr>
          <w:ilvl w:val="0"/>
          <w:numId w:val="4"/>
        </w:numPr>
        <w:spacing w:after="240" w:line="276" w:lineRule="auto"/>
        <w:rPr>
          <w:rFonts w:ascii="Times New Roman" w:hAnsi="Times New Roman"/>
          <w:sz w:val="24"/>
          <w:szCs w:val="24"/>
        </w:rPr>
      </w:pPr>
      <w:r w:rsidRPr="00FE173F">
        <w:rPr>
          <w:rFonts w:ascii="Times New Roman" w:hAnsi="Times New Roman"/>
          <w:sz w:val="24"/>
          <w:szCs w:val="24"/>
        </w:rPr>
        <w:t>Table 3.7</w:t>
      </w:r>
      <w:r w:rsidR="00EC09A6" w:rsidRPr="00FE173F">
        <w:rPr>
          <w:rFonts w:ascii="Times New Roman" w:hAnsi="Times New Roman"/>
          <w:sz w:val="24"/>
          <w:szCs w:val="24"/>
        </w:rPr>
        <w:t xml:space="preserve"> also </w:t>
      </w:r>
      <w:r w:rsidR="006341A8">
        <w:rPr>
          <w:rFonts w:ascii="Times New Roman" w:hAnsi="Times New Roman"/>
          <w:sz w:val="24"/>
          <w:szCs w:val="24"/>
        </w:rPr>
        <w:t xml:space="preserve">incorrectly </w:t>
      </w:r>
      <w:r w:rsidR="00EC09A6" w:rsidRPr="00FE173F">
        <w:rPr>
          <w:rFonts w:ascii="Times New Roman" w:hAnsi="Times New Roman"/>
          <w:sz w:val="24"/>
          <w:szCs w:val="24"/>
        </w:rPr>
        <w:t xml:space="preserve">states </w:t>
      </w:r>
      <w:r w:rsidR="00993591">
        <w:rPr>
          <w:rFonts w:ascii="Times New Roman" w:hAnsi="Times New Roman"/>
          <w:sz w:val="24"/>
          <w:szCs w:val="24"/>
        </w:rPr>
        <w:t xml:space="preserve">the Mareeba Dimbulah Water Supply Scheme and the Willunga Basin Water Expansion projects </w:t>
      </w:r>
      <w:r w:rsidRPr="00FE173F">
        <w:rPr>
          <w:rFonts w:ascii="Times New Roman" w:hAnsi="Times New Roman"/>
          <w:sz w:val="24"/>
          <w:szCs w:val="24"/>
        </w:rPr>
        <w:t xml:space="preserve">were funded solely by the </w:t>
      </w:r>
      <w:r w:rsidR="00BF1890">
        <w:rPr>
          <w:rFonts w:ascii="Times New Roman" w:hAnsi="Times New Roman"/>
          <w:sz w:val="24"/>
          <w:szCs w:val="24"/>
        </w:rPr>
        <w:t>Australian Government</w:t>
      </w:r>
      <w:r w:rsidRPr="00FE173F">
        <w:rPr>
          <w:rFonts w:ascii="Times New Roman" w:hAnsi="Times New Roman"/>
          <w:sz w:val="24"/>
          <w:szCs w:val="24"/>
        </w:rPr>
        <w:t xml:space="preserve">. </w:t>
      </w:r>
      <w:r w:rsidR="00993591">
        <w:rPr>
          <w:rFonts w:ascii="Times New Roman" w:hAnsi="Times New Roman"/>
          <w:sz w:val="24"/>
          <w:szCs w:val="24"/>
        </w:rPr>
        <w:t xml:space="preserve">The NWGA notes that both projects </w:t>
      </w:r>
      <w:r w:rsidR="006341A8" w:rsidRPr="00FE173F">
        <w:rPr>
          <w:rFonts w:ascii="Times New Roman" w:hAnsi="Times New Roman"/>
          <w:sz w:val="24"/>
          <w:szCs w:val="24"/>
        </w:rPr>
        <w:t xml:space="preserve">were co-funded with </w:t>
      </w:r>
      <w:r w:rsidR="006341A8">
        <w:rPr>
          <w:rFonts w:ascii="Times New Roman" w:hAnsi="Times New Roman"/>
          <w:sz w:val="24"/>
          <w:szCs w:val="24"/>
        </w:rPr>
        <w:t>s</w:t>
      </w:r>
      <w:r w:rsidR="006341A8" w:rsidRPr="00FE173F">
        <w:rPr>
          <w:rFonts w:ascii="Times New Roman" w:hAnsi="Times New Roman"/>
          <w:sz w:val="24"/>
          <w:szCs w:val="24"/>
        </w:rPr>
        <w:t xml:space="preserve">tate </w:t>
      </w:r>
      <w:r w:rsidR="006341A8">
        <w:rPr>
          <w:rFonts w:ascii="Times New Roman" w:hAnsi="Times New Roman"/>
          <w:sz w:val="24"/>
          <w:szCs w:val="24"/>
        </w:rPr>
        <w:t>government</w:t>
      </w:r>
      <w:r w:rsidR="008549FB">
        <w:rPr>
          <w:rFonts w:ascii="Times New Roman" w:hAnsi="Times New Roman"/>
          <w:sz w:val="24"/>
          <w:szCs w:val="24"/>
        </w:rPr>
        <w:t xml:space="preserve"> partner</w:t>
      </w:r>
      <w:r w:rsidR="006341A8">
        <w:rPr>
          <w:rFonts w:ascii="Times New Roman" w:hAnsi="Times New Roman"/>
          <w:sz w:val="24"/>
          <w:szCs w:val="24"/>
        </w:rPr>
        <w:t xml:space="preserve">s. </w:t>
      </w:r>
      <w:r w:rsidR="00DC5C38">
        <w:rPr>
          <w:rFonts w:ascii="Times New Roman" w:hAnsi="Times New Roman"/>
          <w:sz w:val="24"/>
          <w:szCs w:val="24"/>
        </w:rPr>
        <w:t xml:space="preserve">The funding details are on the NWGA’s website. </w:t>
      </w:r>
    </w:p>
    <w:p w14:paraId="2D2B044A" w14:textId="77777777" w:rsidR="006341A8" w:rsidRDefault="006341A8" w:rsidP="00B104CB">
      <w:pPr>
        <w:pStyle w:val="ListParagraph"/>
        <w:numPr>
          <w:ilvl w:val="1"/>
          <w:numId w:val="4"/>
        </w:numPr>
        <w:spacing w:after="240" w:line="276" w:lineRule="auto"/>
        <w:rPr>
          <w:rFonts w:ascii="Times New Roman" w:hAnsi="Times New Roman"/>
          <w:sz w:val="24"/>
          <w:szCs w:val="24"/>
        </w:rPr>
      </w:pPr>
      <w:r>
        <w:rPr>
          <w:rFonts w:ascii="Times New Roman" w:hAnsi="Times New Roman"/>
          <w:sz w:val="24"/>
          <w:szCs w:val="24"/>
        </w:rPr>
        <w:t xml:space="preserve">The Mareeba Dimbulah Project co-contribution through Queensland is $16.6 million, with an Australian Government contribution of $11.5 million. </w:t>
      </w:r>
    </w:p>
    <w:p w14:paraId="66504C98" w14:textId="77777777" w:rsidR="00257C19" w:rsidRDefault="006341A8" w:rsidP="00B104CB">
      <w:pPr>
        <w:pStyle w:val="ListParagraph"/>
        <w:numPr>
          <w:ilvl w:val="1"/>
          <w:numId w:val="4"/>
        </w:numPr>
        <w:spacing w:after="240" w:line="276" w:lineRule="auto"/>
        <w:rPr>
          <w:rFonts w:ascii="Times New Roman" w:hAnsi="Times New Roman"/>
          <w:sz w:val="24"/>
          <w:szCs w:val="24"/>
        </w:rPr>
      </w:pPr>
      <w:r>
        <w:rPr>
          <w:rFonts w:ascii="Times New Roman" w:hAnsi="Times New Roman"/>
          <w:sz w:val="24"/>
          <w:szCs w:val="24"/>
        </w:rPr>
        <w:t>The project t</w:t>
      </w:r>
      <w:r w:rsidR="00BF1890">
        <w:rPr>
          <w:rFonts w:ascii="Times New Roman" w:hAnsi="Times New Roman"/>
          <w:sz w:val="24"/>
          <w:szCs w:val="24"/>
        </w:rPr>
        <w:t>hat the Commission refers to as “</w:t>
      </w:r>
      <w:r w:rsidR="00257C19" w:rsidRPr="00FE173F">
        <w:rPr>
          <w:rFonts w:ascii="Times New Roman" w:hAnsi="Times New Roman"/>
          <w:sz w:val="24"/>
          <w:szCs w:val="24"/>
        </w:rPr>
        <w:t>Willunga Basin Water Expansion</w:t>
      </w:r>
      <w:r w:rsidR="00BF1890">
        <w:rPr>
          <w:rFonts w:ascii="Times New Roman" w:hAnsi="Times New Roman"/>
          <w:sz w:val="24"/>
          <w:szCs w:val="24"/>
        </w:rPr>
        <w:t>”</w:t>
      </w:r>
      <w:r w:rsidR="00257C19" w:rsidRPr="00FE173F">
        <w:rPr>
          <w:rFonts w:ascii="Times New Roman" w:hAnsi="Times New Roman"/>
          <w:sz w:val="24"/>
          <w:szCs w:val="24"/>
        </w:rPr>
        <w:t xml:space="preserve"> </w:t>
      </w:r>
      <w:r w:rsidR="00BF1890">
        <w:rPr>
          <w:rFonts w:ascii="Times New Roman" w:hAnsi="Times New Roman"/>
          <w:sz w:val="24"/>
          <w:szCs w:val="24"/>
        </w:rPr>
        <w:t xml:space="preserve">is </w:t>
      </w:r>
      <w:r>
        <w:rPr>
          <w:rFonts w:ascii="Times New Roman" w:hAnsi="Times New Roman"/>
          <w:sz w:val="24"/>
          <w:szCs w:val="24"/>
        </w:rPr>
        <w:t xml:space="preserve">referred by the Australian Government and the State Government </w:t>
      </w:r>
      <w:r w:rsidR="00AD6995">
        <w:rPr>
          <w:rFonts w:ascii="Times New Roman" w:hAnsi="Times New Roman"/>
          <w:sz w:val="24"/>
          <w:szCs w:val="24"/>
        </w:rPr>
        <w:t>for its</w:t>
      </w:r>
      <w:r w:rsidR="00DC5C38">
        <w:rPr>
          <w:rFonts w:ascii="Times New Roman" w:hAnsi="Times New Roman"/>
          <w:sz w:val="24"/>
          <w:szCs w:val="24"/>
        </w:rPr>
        <w:t xml:space="preserve"> respective</w:t>
      </w:r>
      <w:r w:rsidR="00AD6995">
        <w:rPr>
          <w:rFonts w:ascii="Times New Roman" w:hAnsi="Times New Roman"/>
          <w:sz w:val="24"/>
          <w:szCs w:val="24"/>
        </w:rPr>
        <w:t xml:space="preserve"> investments </w:t>
      </w:r>
      <w:r>
        <w:rPr>
          <w:rFonts w:ascii="Times New Roman" w:hAnsi="Times New Roman"/>
          <w:sz w:val="24"/>
          <w:szCs w:val="24"/>
        </w:rPr>
        <w:t xml:space="preserve">as the </w:t>
      </w:r>
      <w:r w:rsidR="00BF1890">
        <w:rPr>
          <w:rFonts w:ascii="Times New Roman" w:hAnsi="Times New Roman"/>
          <w:sz w:val="24"/>
          <w:szCs w:val="24"/>
        </w:rPr>
        <w:t>“</w:t>
      </w:r>
      <w:r>
        <w:rPr>
          <w:rFonts w:ascii="Times New Roman" w:hAnsi="Times New Roman"/>
          <w:sz w:val="24"/>
          <w:szCs w:val="24"/>
        </w:rPr>
        <w:t xml:space="preserve">McLaren Vale Treated Water Storage Project”.  The Australian Government contributed $2.5 million with other funding partners </w:t>
      </w:r>
      <w:r w:rsidR="00DC5C38">
        <w:rPr>
          <w:rFonts w:ascii="Times New Roman" w:hAnsi="Times New Roman"/>
          <w:sz w:val="24"/>
          <w:szCs w:val="24"/>
        </w:rPr>
        <w:t xml:space="preserve">contributing </w:t>
      </w:r>
      <w:r>
        <w:rPr>
          <w:rFonts w:ascii="Times New Roman" w:hAnsi="Times New Roman"/>
          <w:sz w:val="24"/>
          <w:szCs w:val="24"/>
        </w:rPr>
        <w:t xml:space="preserve">$4.9 million. </w:t>
      </w:r>
    </w:p>
    <w:p w14:paraId="31974886" w14:textId="77777777" w:rsidR="00AD6995" w:rsidRDefault="00AD6995" w:rsidP="000A0650">
      <w:pPr>
        <w:spacing w:after="240" w:line="276" w:lineRule="auto"/>
        <w:rPr>
          <w:rFonts w:ascii="Times New Roman" w:hAnsi="Times New Roman"/>
          <w:sz w:val="24"/>
          <w:szCs w:val="24"/>
        </w:rPr>
      </w:pPr>
    </w:p>
    <w:p w14:paraId="13C60656" w14:textId="77777777" w:rsidR="00FF502C" w:rsidRDefault="00FF502C" w:rsidP="006E4F95">
      <w:pPr>
        <w:spacing w:after="240" w:line="276" w:lineRule="auto"/>
        <w:rPr>
          <w:rFonts w:ascii="Times New Roman" w:hAnsi="Times New Roman"/>
          <w:sz w:val="24"/>
          <w:szCs w:val="24"/>
        </w:rPr>
      </w:pPr>
    </w:p>
    <w:sectPr w:rsidR="00FF502C" w:rsidSect="00B104CB">
      <w:headerReference w:type="default" r:id="rId8"/>
      <w:footerReference w:type="default" r:id="rId9"/>
      <w:pgSz w:w="11906" w:h="16838"/>
      <w:pgMar w:top="1134" w:right="1418" w:bottom="993"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66066B" w14:textId="77777777" w:rsidR="000D3238" w:rsidRDefault="000D3238">
      <w:pPr>
        <w:spacing w:before="0"/>
      </w:pPr>
      <w:r>
        <w:separator/>
      </w:r>
    </w:p>
  </w:endnote>
  <w:endnote w:type="continuationSeparator" w:id="0">
    <w:p w14:paraId="42B273B0" w14:textId="77777777" w:rsidR="000D3238" w:rsidRDefault="000D3238">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99125137"/>
      <w:docPartObj>
        <w:docPartGallery w:val="Page Numbers (Bottom of Page)"/>
        <w:docPartUnique/>
      </w:docPartObj>
    </w:sdtPr>
    <w:sdtEndPr/>
    <w:sdtContent>
      <w:sdt>
        <w:sdtPr>
          <w:id w:val="-1769616900"/>
          <w:docPartObj>
            <w:docPartGallery w:val="Page Numbers (Top of Page)"/>
            <w:docPartUnique/>
          </w:docPartObj>
        </w:sdtPr>
        <w:sdtEndPr/>
        <w:sdtContent>
          <w:p w14:paraId="182A7BD0" w14:textId="77777777" w:rsidR="00D70182" w:rsidRDefault="008F0641">
            <w:pPr>
              <w:pStyle w:val="Footer"/>
              <w:jc w:val="right"/>
            </w:pPr>
            <w:r w:rsidRPr="008F0641">
              <w:t xml:space="preserve">Page </w:t>
            </w:r>
            <w:r w:rsidRPr="00B104CB">
              <w:rPr>
                <w:bCs/>
                <w:sz w:val="24"/>
                <w:szCs w:val="24"/>
              </w:rPr>
              <w:fldChar w:fldCharType="begin"/>
            </w:r>
            <w:r w:rsidRPr="00B104CB">
              <w:rPr>
                <w:bCs/>
              </w:rPr>
              <w:instrText xml:space="preserve"> PAGE </w:instrText>
            </w:r>
            <w:r w:rsidRPr="00B104CB">
              <w:rPr>
                <w:bCs/>
                <w:sz w:val="24"/>
                <w:szCs w:val="24"/>
              </w:rPr>
              <w:fldChar w:fldCharType="separate"/>
            </w:r>
            <w:r w:rsidR="00DE7856">
              <w:rPr>
                <w:bCs/>
                <w:noProof/>
              </w:rPr>
              <w:t>3</w:t>
            </w:r>
            <w:r w:rsidRPr="00B104CB">
              <w:rPr>
                <w:bCs/>
                <w:sz w:val="24"/>
                <w:szCs w:val="24"/>
              </w:rPr>
              <w:fldChar w:fldCharType="end"/>
            </w:r>
            <w:r w:rsidRPr="008F0641">
              <w:t xml:space="preserve"> of </w:t>
            </w:r>
            <w:r w:rsidRPr="00B104CB">
              <w:rPr>
                <w:bCs/>
                <w:sz w:val="24"/>
                <w:szCs w:val="24"/>
              </w:rPr>
              <w:fldChar w:fldCharType="begin"/>
            </w:r>
            <w:r w:rsidRPr="00B104CB">
              <w:rPr>
                <w:bCs/>
              </w:rPr>
              <w:instrText xml:space="preserve"> NUMPAGES  </w:instrText>
            </w:r>
            <w:r w:rsidRPr="00B104CB">
              <w:rPr>
                <w:bCs/>
                <w:sz w:val="24"/>
                <w:szCs w:val="24"/>
              </w:rPr>
              <w:fldChar w:fldCharType="separate"/>
            </w:r>
            <w:r w:rsidR="00DE7856">
              <w:rPr>
                <w:bCs/>
                <w:noProof/>
              </w:rPr>
              <w:t>3</w:t>
            </w:r>
            <w:r w:rsidRPr="00B104CB">
              <w:rPr>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EDD9ED" w14:textId="77777777" w:rsidR="000D3238" w:rsidRDefault="000D3238">
      <w:pPr>
        <w:spacing w:before="0"/>
      </w:pPr>
      <w:r>
        <w:separator/>
      </w:r>
    </w:p>
  </w:footnote>
  <w:footnote w:type="continuationSeparator" w:id="0">
    <w:p w14:paraId="7DDEE866" w14:textId="77777777" w:rsidR="000D3238" w:rsidRDefault="000D3238">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25EC80" w14:textId="77777777" w:rsidR="00122EE4" w:rsidRPr="00BA1939" w:rsidRDefault="000B608F" w:rsidP="00122EE4">
    <w:pPr>
      <w:spacing w:line="276" w:lineRule="auto"/>
      <w:jc w:val="center"/>
      <w:rPr>
        <w:rFonts w:ascii="Times New Roman" w:hAnsi="Times New Roman"/>
        <w:b/>
        <w:smallCaps/>
        <w:sz w:val="24"/>
        <w:szCs w:val="24"/>
      </w:rPr>
    </w:pPr>
    <w:r w:rsidRPr="00BA1939">
      <w:rPr>
        <w:rFonts w:ascii="Times New Roman" w:hAnsi="Times New Roman"/>
        <w:b/>
        <w:smallCaps/>
        <w:sz w:val="24"/>
        <w:szCs w:val="24"/>
      </w:rPr>
      <w:t>Submission by the</w:t>
    </w:r>
    <w:r w:rsidR="00147974">
      <w:rPr>
        <w:rFonts w:ascii="Times New Roman" w:hAnsi="Times New Roman"/>
        <w:b/>
        <w:smallCaps/>
        <w:sz w:val="24"/>
        <w:szCs w:val="24"/>
      </w:rPr>
      <w:t xml:space="preserve"> </w:t>
    </w:r>
    <w:r w:rsidRPr="00BA1939">
      <w:rPr>
        <w:rFonts w:ascii="Times New Roman" w:hAnsi="Times New Roman"/>
        <w:b/>
        <w:smallCaps/>
        <w:sz w:val="24"/>
        <w:szCs w:val="24"/>
      </w:rPr>
      <w:t xml:space="preserve">National Water Grid Authority </w:t>
    </w:r>
  </w:p>
  <w:p w14:paraId="2DEEC756" w14:textId="77777777" w:rsidR="00122EE4" w:rsidRDefault="003E1F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C35C18"/>
    <w:multiLevelType w:val="hybridMultilevel"/>
    <w:tmpl w:val="94A63C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0FF5981"/>
    <w:multiLevelType w:val="hybridMultilevel"/>
    <w:tmpl w:val="DD80142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63917B29"/>
    <w:multiLevelType w:val="hybridMultilevel"/>
    <w:tmpl w:val="44BEBA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66EB1074"/>
    <w:multiLevelType w:val="hybridMultilevel"/>
    <w:tmpl w:val="8CE6EB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7ED3427E"/>
    <w:multiLevelType w:val="hybridMultilevel"/>
    <w:tmpl w:val="7EC02192"/>
    <w:lvl w:ilvl="0" w:tplc="E792930A">
      <w:numFmt w:val="bullet"/>
      <w:lvlText w:val="-"/>
      <w:lvlJc w:val="left"/>
      <w:pPr>
        <w:ind w:left="720" w:hanging="360"/>
      </w:pPr>
      <w:rPr>
        <w:rFonts w:ascii="Cambria" w:eastAsia="Calibri" w:hAnsi="Cambria"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122"/>
    <w:rsid w:val="0001560A"/>
    <w:rsid w:val="00015CE4"/>
    <w:rsid w:val="000162D7"/>
    <w:rsid w:val="00074FE0"/>
    <w:rsid w:val="0008249E"/>
    <w:rsid w:val="000826EE"/>
    <w:rsid w:val="00086F18"/>
    <w:rsid w:val="000A0650"/>
    <w:rsid w:val="000A393B"/>
    <w:rsid w:val="000B608F"/>
    <w:rsid w:val="000C27FB"/>
    <w:rsid w:val="000D3238"/>
    <w:rsid w:val="000D6F11"/>
    <w:rsid w:val="000E684B"/>
    <w:rsid w:val="000F7918"/>
    <w:rsid w:val="00143CC9"/>
    <w:rsid w:val="001452E0"/>
    <w:rsid w:val="00147974"/>
    <w:rsid w:val="001B7FF1"/>
    <w:rsid w:val="001C07FB"/>
    <w:rsid w:val="001C4177"/>
    <w:rsid w:val="001E587E"/>
    <w:rsid w:val="001F2F56"/>
    <w:rsid w:val="00202646"/>
    <w:rsid w:val="00217821"/>
    <w:rsid w:val="00220046"/>
    <w:rsid w:val="0022714F"/>
    <w:rsid w:val="00232257"/>
    <w:rsid w:val="002337AE"/>
    <w:rsid w:val="00242410"/>
    <w:rsid w:val="00257C19"/>
    <w:rsid w:val="0027471F"/>
    <w:rsid w:val="00281F6B"/>
    <w:rsid w:val="002A4A00"/>
    <w:rsid w:val="002C1B91"/>
    <w:rsid w:val="002C2C69"/>
    <w:rsid w:val="002D4384"/>
    <w:rsid w:val="002E2FD9"/>
    <w:rsid w:val="00335C7B"/>
    <w:rsid w:val="0035256B"/>
    <w:rsid w:val="00384287"/>
    <w:rsid w:val="00386AF0"/>
    <w:rsid w:val="003A01C7"/>
    <w:rsid w:val="003A161B"/>
    <w:rsid w:val="003B34C0"/>
    <w:rsid w:val="003E31CD"/>
    <w:rsid w:val="003E3BFA"/>
    <w:rsid w:val="003E6D24"/>
    <w:rsid w:val="004239A1"/>
    <w:rsid w:val="00427AB7"/>
    <w:rsid w:val="00483852"/>
    <w:rsid w:val="0049001F"/>
    <w:rsid w:val="004A3CEC"/>
    <w:rsid w:val="004B6EDF"/>
    <w:rsid w:val="004D374A"/>
    <w:rsid w:val="004F2D6D"/>
    <w:rsid w:val="004F3AD6"/>
    <w:rsid w:val="004F5190"/>
    <w:rsid w:val="005045A4"/>
    <w:rsid w:val="00512A6D"/>
    <w:rsid w:val="00571D99"/>
    <w:rsid w:val="00590240"/>
    <w:rsid w:val="005A2AD7"/>
    <w:rsid w:val="005C3E03"/>
    <w:rsid w:val="005E12A6"/>
    <w:rsid w:val="00600C43"/>
    <w:rsid w:val="0060140A"/>
    <w:rsid w:val="00626C41"/>
    <w:rsid w:val="006277A0"/>
    <w:rsid w:val="006327EF"/>
    <w:rsid w:val="00633C8F"/>
    <w:rsid w:val="006341A8"/>
    <w:rsid w:val="00647B6A"/>
    <w:rsid w:val="00655DD2"/>
    <w:rsid w:val="00670863"/>
    <w:rsid w:val="0068309F"/>
    <w:rsid w:val="006A21F2"/>
    <w:rsid w:val="006A3E17"/>
    <w:rsid w:val="006C7214"/>
    <w:rsid w:val="006D261B"/>
    <w:rsid w:val="006D5F7E"/>
    <w:rsid w:val="006E12C4"/>
    <w:rsid w:val="006E4841"/>
    <w:rsid w:val="006E4F95"/>
    <w:rsid w:val="006E53B8"/>
    <w:rsid w:val="00706332"/>
    <w:rsid w:val="00711BA1"/>
    <w:rsid w:val="007216A7"/>
    <w:rsid w:val="00731898"/>
    <w:rsid w:val="00745AE3"/>
    <w:rsid w:val="00782942"/>
    <w:rsid w:val="007845BB"/>
    <w:rsid w:val="007873C7"/>
    <w:rsid w:val="007B5BED"/>
    <w:rsid w:val="007C71D2"/>
    <w:rsid w:val="007E09B9"/>
    <w:rsid w:val="007E68F6"/>
    <w:rsid w:val="007E7871"/>
    <w:rsid w:val="00815089"/>
    <w:rsid w:val="00833CA3"/>
    <w:rsid w:val="0083503C"/>
    <w:rsid w:val="00846FA5"/>
    <w:rsid w:val="008549FB"/>
    <w:rsid w:val="00872AD7"/>
    <w:rsid w:val="008A6BAF"/>
    <w:rsid w:val="008B67DA"/>
    <w:rsid w:val="008C0912"/>
    <w:rsid w:val="008C4AC5"/>
    <w:rsid w:val="008C72E2"/>
    <w:rsid w:val="008E1A64"/>
    <w:rsid w:val="008E6DB2"/>
    <w:rsid w:val="008F0641"/>
    <w:rsid w:val="008F53C7"/>
    <w:rsid w:val="00912C36"/>
    <w:rsid w:val="00915E73"/>
    <w:rsid w:val="009447AD"/>
    <w:rsid w:val="00967345"/>
    <w:rsid w:val="00974E1D"/>
    <w:rsid w:val="00993591"/>
    <w:rsid w:val="00993DCA"/>
    <w:rsid w:val="009A2071"/>
    <w:rsid w:val="009C1B0B"/>
    <w:rsid w:val="009D6166"/>
    <w:rsid w:val="00A14CDF"/>
    <w:rsid w:val="00A47792"/>
    <w:rsid w:val="00A64BD9"/>
    <w:rsid w:val="00A64D86"/>
    <w:rsid w:val="00A97FB0"/>
    <w:rsid w:val="00AA4022"/>
    <w:rsid w:val="00AC033C"/>
    <w:rsid w:val="00AC342F"/>
    <w:rsid w:val="00AD0122"/>
    <w:rsid w:val="00AD57CD"/>
    <w:rsid w:val="00AD6995"/>
    <w:rsid w:val="00B025E3"/>
    <w:rsid w:val="00B07B80"/>
    <w:rsid w:val="00B104CB"/>
    <w:rsid w:val="00B237FD"/>
    <w:rsid w:val="00B31D4C"/>
    <w:rsid w:val="00B3388C"/>
    <w:rsid w:val="00B84AC2"/>
    <w:rsid w:val="00B93978"/>
    <w:rsid w:val="00B95B73"/>
    <w:rsid w:val="00BD4079"/>
    <w:rsid w:val="00BD462F"/>
    <w:rsid w:val="00BE5BFC"/>
    <w:rsid w:val="00BF182C"/>
    <w:rsid w:val="00BF1890"/>
    <w:rsid w:val="00C01E08"/>
    <w:rsid w:val="00C53D10"/>
    <w:rsid w:val="00C53E6B"/>
    <w:rsid w:val="00C60671"/>
    <w:rsid w:val="00C72260"/>
    <w:rsid w:val="00C84155"/>
    <w:rsid w:val="00CA0A5C"/>
    <w:rsid w:val="00CA2D13"/>
    <w:rsid w:val="00CA5FC6"/>
    <w:rsid w:val="00CB6111"/>
    <w:rsid w:val="00CB68D0"/>
    <w:rsid w:val="00CC5E21"/>
    <w:rsid w:val="00CD1570"/>
    <w:rsid w:val="00CD78A8"/>
    <w:rsid w:val="00CE35F7"/>
    <w:rsid w:val="00D10141"/>
    <w:rsid w:val="00D245FF"/>
    <w:rsid w:val="00D43DD7"/>
    <w:rsid w:val="00D471DD"/>
    <w:rsid w:val="00D55C2D"/>
    <w:rsid w:val="00D66363"/>
    <w:rsid w:val="00D75628"/>
    <w:rsid w:val="00D8549E"/>
    <w:rsid w:val="00D869FB"/>
    <w:rsid w:val="00D965FC"/>
    <w:rsid w:val="00DA7690"/>
    <w:rsid w:val="00DC5C38"/>
    <w:rsid w:val="00DE4A35"/>
    <w:rsid w:val="00DE7856"/>
    <w:rsid w:val="00E07EF1"/>
    <w:rsid w:val="00EA0046"/>
    <w:rsid w:val="00EB1856"/>
    <w:rsid w:val="00EC09A6"/>
    <w:rsid w:val="00EC28E0"/>
    <w:rsid w:val="00ED6E13"/>
    <w:rsid w:val="00EE5243"/>
    <w:rsid w:val="00EF73D4"/>
    <w:rsid w:val="00F26160"/>
    <w:rsid w:val="00F333EA"/>
    <w:rsid w:val="00F50A2E"/>
    <w:rsid w:val="00F63B8F"/>
    <w:rsid w:val="00F800F2"/>
    <w:rsid w:val="00F92D86"/>
    <w:rsid w:val="00FA5D09"/>
    <w:rsid w:val="00FB554C"/>
    <w:rsid w:val="00FB6921"/>
    <w:rsid w:val="00FC3F99"/>
    <w:rsid w:val="00FE14DA"/>
    <w:rsid w:val="00FE173F"/>
    <w:rsid w:val="00FF1656"/>
    <w:rsid w:val="00FF502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BEAEC"/>
  <w15:chartTrackingRefBased/>
  <w15:docId w15:val="{F1FBCF5C-D531-4F3C-A738-91CE3D196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0122"/>
    <w:pPr>
      <w:spacing w:before="120" w:after="0" w:line="240" w:lineRule="auto"/>
    </w:pPr>
    <w:rPr>
      <w:rFonts w:ascii="Cambria" w:eastAsia="Calibri"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next w:val="Normal"/>
    <w:link w:val="FooterChar"/>
    <w:uiPriority w:val="99"/>
    <w:unhideWhenUsed/>
    <w:rsid w:val="00AD0122"/>
    <w:pPr>
      <w:tabs>
        <w:tab w:val="right" w:pos="9026"/>
      </w:tabs>
      <w:spacing w:after="0" w:line="240" w:lineRule="auto"/>
    </w:pPr>
    <w:rPr>
      <w:rFonts w:ascii="Calibri" w:hAnsi="Calibri" w:cs="Times New Roman"/>
      <w:sz w:val="20"/>
      <w:szCs w:val="20"/>
      <w:lang w:eastAsia="en-AU"/>
    </w:rPr>
  </w:style>
  <w:style w:type="character" w:customStyle="1" w:styleId="FooterChar">
    <w:name w:val="Footer Char"/>
    <w:basedOn w:val="DefaultParagraphFont"/>
    <w:link w:val="Footer"/>
    <w:uiPriority w:val="99"/>
    <w:rsid w:val="00AD0122"/>
    <w:rPr>
      <w:rFonts w:ascii="Calibri" w:hAnsi="Calibri" w:cs="Times New Roman"/>
      <w:sz w:val="20"/>
      <w:szCs w:val="20"/>
      <w:lang w:eastAsia="en-AU"/>
    </w:rPr>
  </w:style>
  <w:style w:type="paragraph" w:styleId="Header">
    <w:name w:val="header"/>
    <w:link w:val="HeaderChar"/>
    <w:unhideWhenUsed/>
    <w:rsid w:val="00AD0122"/>
    <w:pPr>
      <w:tabs>
        <w:tab w:val="right" w:pos="9026"/>
      </w:tabs>
      <w:spacing w:after="0" w:line="240" w:lineRule="auto"/>
    </w:pPr>
    <w:rPr>
      <w:rFonts w:ascii="Calibri" w:hAnsi="Calibri" w:cs="Times New Roman"/>
      <w:sz w:val="20"/>
      <w:szCs w:val="20"/>
      <w:lang w:eastAsia="en-AU"/>
    </w:rPr>
  </w:style>
  <w:style w:type="character" w:customStyle="1" w:styleId="HeaderChar">
    <w:name w:val="Header Char"/>
    <w:basedOn w:val="DefaultParagraphFont"/>
    <w:link w:val="Header"/>
    <w:rsid w:val="00AD0122"/>
    <w:rPr>
      <w:rFonts w:ascii="Calibri" w:hAnsi="Calibri" w:cs="Times New Roman"/>
      <w:sz w:val="20"/>
      <w:szCs w:val="20"/>
      <w:lang w:eastAsia="en-AU"/>
    </w:rPr>
  </w:style>
  <w:style w:type="paragraph" w:styleId="ListParagraph">
    <w:name w:val="List Paragraph"/>
    <w:basedOn w:val="Normal"/>
    <w:uiPriority w:val="34"/>
    <w:qFormat/>
    <w:rsid w:val="00AD0122"/>
    <w:pPr>
      <w:ind w:left="720"/>
      <w:contextualSpacing/>
    </w:pPr>
  </w:style>
  <w:style w:type="character" w:styleId="CommentReference">
    <w:name w:val="annotation reference"/>
    <w:basedOn w:val="DefaultParagraphFont"/>
    <w:uiPriority w:val="99"/>
    <w:semiHidden/>
    <w:unhideWhenUsed/>
    <w:rsid w:val="000C27FB"/>
    <w:rPr>
      <w:sz w:val="16"/>
      <w:szCs w:val="16"/>
    </w:rPr>
  </w:style>
  <w:style w:type="paragraph" w:styleId="CommentText">
    <w:name w:val="annotation text"/>
    <w:basedOn w:val="Normal"/>
    <w:link w:val="CommentTextChar"/>
    <w:uiPriority w:val="99"/>
    <w:semiHidden/>
    <w:unhideWhenUsed/>
    <w:rsid w:val="000C27FB"/>
    <w:rPr>
      <w:sz w:val="20"/>
      <w:szCs w:val="20"/>
    </w:rPr>
  </w:style>
  <w:style w:type="character" w:customStyle="1" w:styleId="CommentTextChar">
    <w:name w:val="Comment Text Char"/>
    <w:basedOn w:val="DefaultParagraphFont"/>
    <w:link w:val="CommentText"/>
    <w:uiPriority w:val="99"/>
    <w:semiHidden/>
    <w:rsid w:val="000C27FB"/>
    <w:rPr>
      <w:rFonts w:ascii="Cambria" w:eastAsia="Calibri" w:hAnsi="Cambria" w:cs="Times New Roman"/>
      <w:sz w:val="20"/>
      <w:szCs w:val="20"/>
    </w:rPr>
  </w:style>
  <w:style w:type="paragraph" w:styleId="CommentSubject">
    <w:name w:val="annotation subject"/>
    <w:basedOn w:val="CommentText"/>
    <w:next w:val="CommentText"/>
    <w:link w:val="CommentSubjectChar"/>
    <w:uiPriority w:val="99"/>
    <w:semiHidden/>
    <w:unhideWhenUsed/>
    <w:rsid w:val="000C27FB"/>
    <w:rPr>
      <w:b/>
      <w:bCs/>
    </w:rPr>
  </w:style>
  <w:style w:type="character" w:customStyle="1" w:styleId="CommentSubjectChar">
    <w:name w:val="Comment Subject Char"/>
    <w:basedOn w:val="CommentTextChar"/>
    <w:link w:val="CommentSubject"/>
    <w:uiPriority w:val="99"/>
    <w:semiHidden/>
    <w:rsid w:val="000C27FB"/>
    <w:rPr>
      <w:rFonts w:ascii="Cambria" w:eastAsia="Calibri" w:hAnsi="Cambria" w:cs="Times New Roman"/>
      <w:b/>
      <w:bCs/>
      <w:sz w:val="20"/>
      <w:szCs w:val="20"/>
    </w:rPr>
  </w:style>
  <w:style w:type="paragraph" w:styleId="BalloonText">
    <w:name w:val="Balloon Text"/>
    <w:basedOn w:val="Normal"/>
    <w:link w:val="BalloonTextChar"/>
    <w:uiPriority w:val="99"/>
    <w:semiHidden/>
    <w:unhideWhenUsed/>
    <w:rsid w:val="000C27FB"/>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27FB"/>
    <w:rPr>
      <w:rFonts w:ascii="Segoe UI" w:eastAsia="Calibri" w:hAnsi="Segoe UI" w:cs="Segoe UI"/>
      <w:sz w:val="18"/>
      <w:szCs w:val="18"/>
    </w:rPr>
  </w:style>
  <w:style w:type="paragraph" w:styleId="Revision">
    <w:name w:val="Revision"/>
    <w:hidden/>
    <w:uiPriority w:val="99"/>
    <w:semiHidden/>
    <w:rsid w:val="008A6BAF"/>
    <w:pPr>
      <w:spacing w:after="0" w:line="240" w:lineRule="auto"/>
    </w:pPr>
    <w:rPr>
      <w:rFonts w:ascii="Cambria" w:eastAsia="Calibri" w:hAnsi="Cambria"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25DCF3-AC15-4ECD-B7BE-B3DA0B011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1104</Words>
  <Characters>6299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Submission DR179 - National Water Grid Authority’s (NWGA) - National Water Reform 2020 - Public inquiry</vt:lpstr>
    </vt:vector>
  </TitlesOfParts>
  <Company>National Water Grid Authority’s (NWGA) </Company>
  <LinksUpToDate>false</LinksUpToDate>
  <CharactersWithSpaces>7389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DR179 - National Water Grid Authority’s (NWGA) - National Water Reform 2020 - Public inquiry</dc:title>
  <dc:subject/>
  <dc:creator>National Water Grid Authority’s (NWGA) </dc:creator>
  <cp:keywords/>
  <dc:description/>
  <cp:lastModifiedBy>Alston, Chris</cp:lastModifiedBy>
  <cp:revision>5</cp:revision>
  <cp:lastPrinted>2021-03-30T03:14:00Z</cp:lastPrinted>
  <dcterms:created xsi:type="dcterms:W3CDTF">2021-03-28T22:17:00Z</dcterms:created>
  <dcterms:modified xsi:type="dcterms:W3CDTF">2021-03-30T03:18:00Z</dcterms:modified>
</cp:coreProperties>
</file>