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422D" w14:textId="19B353D8" w:rsidR="00216489" w:rsidRPr="00216489" w:rsidRDefault="00C36609" w:rsidP="00216489">
      <w:pPr>
        <w:widowControl w:val="0"/>
        <w:pBdr>
          <w:top w:val="single" w:sz="8" w:space="10" w:color="A7BFDE"/>
          <w:left w:val="none" w:sz="0" w:space="0" w:color="000000"/>
          <w:bottom w:val="single" w:sz="24" w:space="15" w:color="9BBB59"/>
          <w:right w:val="none" w:sz="0" w:space="0" w:color="000000"/>
        </w:pBdr>
        <w:suppressAutoHyphens/>
        <w:spacing w:before="1560" w:after="0" w:line="240" w:lineRule="auto"/>
        <w:jc w:val="center"/>
        <w:rPr>
          <w:rFonts w:ascii="Cambria" w:eastAsia="Times New Roman" w:hAnsi="Cambria" w:cs="Times New Roman"/>
          <w:i/>
          <w:iCs/>
          <w:color w:val="243F60"/>
          <w:sz w:val="60"/>
          <w:szCs w:val="60"/>
          <w:lang w:bidi="en-US"/>
        </w:rPr>
      </w:pPr>
      <w:r>
        <w:rPr>
          <w:rFonts w:ascii="Cambria" w:eastAsia="Times New Roman" w:hAnsi="Cambria" w:cs="Times New Roman"/>
          <w:iCs/>
          <w:color w:val="243F60"/>
          <w:sz w:val="60"/>
          <w:szCs w:val="60"/>
          <w:lang w:bidi="en-US"/>
        </w:rPr>
        <w:t>The Need for Reform</w:t>
      </w:r>
      <w:r w:rsidR="00216489" w:rsidRPr="00216489">
        <w:rPr>
          <w:rFonts w:ascii="Cambria" w:eastAsia="Times New Roman" w:hAnsi="Cambria" w:cs="Times New Roman"/>
          <w:iCs/>
          <w:color w:val="243F60"/>
          <w:sz w:val="60"/>
          <w:szCs w:val="60"/>
          <w:lang w:bidi="en-US"/>
        </w:rPr>
        <w:t xml:space="preserve"> </w:t>
      </w:r>
      <w:r w:rsidR="00240399">
        <w:rPr>
          <w:rFonts w:ascii="Cambria" w:eastAsia="Times New Roman" w:hAnsi="Cambria" w:cs="Times New Roman"/>
          <w:iCs/>
          <w:color w:val="243F60"/>
          <w:sz w:val="60"/>
          <w:szCs w:val="60"/>
          <w:lang w:bidi="en-US"/>
        </w:rPr>
        <w:t xml:space="preserve">of </w:t>
      </w:r>
      <w:r w:rsidR="00876781">
        <w:rPr>
          <w:rFonts w:ascii="Cambria" w:eastAsia="Times New Roman" w:hAnsi="Cambria" w:cs="Times New Roman"/>
          <w:iCs/>
          <w:color w:val="243F60"/>
          <w:sz w:val="60"/>
          <w:szCs w:val="60"/>
          <w:lang w:bidi="en-US"/>
        </w:rPr>
        <w:t>L</w:t>
      </w:r>
      <w:r w:rsidR="00240399">
        <w:rPr>
          <w:rFonts w:ascii="Cambria" w:eastAsia="Times New Roman" w:hAnsi="Cambria" w:cs="Times New Roman"/>
          <w:iCs/>
          <w:color w:val="243F60"/>
          <w:sz w:val="60"/>
          <w:szCs w:val="60"/>
          <w:lang w:bidi="en-US"/>
        </w:rPr>
        <w:t xml:space="preserve">and </w:t>
      </w:r>
      <w:r w:rsidR="00876781">
        <w:rPr>
          <w:rFonts w:ascii="Cambria" w:eastAsia="Times New Roman" w:hAnsi="Cambria" w:cs="Times New Roman"/>
          <w:iCs/>
          <w:color w:val="243F60"/>
          <w:sz w:val="60"/>
          <w:szCs w:val="60"/>
          <w:lang w:bidi="en-US"/>
        </w:rPr>
        <w:t>Use Policy</w:t>
      </w:r>
    </w:p>
    <w:p w14:paraId="6DD2975B" w14:textId="08755EEE" w:rsidR="00216489" w:rsidRPr="00216489" w:rsidRDefault="00216489" w:rsidP="00216489">
      <w:pPr>
        <w:widowControl w:val="0"/>
        <w:pBdr>
          <w:top w:val="single" w:sz="8" w:space="10" w:color="A7BFDE"/>
          <w:left w:val="none" w:sz="0" w:space="0" w:color="000000"/>
          <w:bottom w:val="single" w:sz="24" w:space="15" w:color="9BBB59"/>
          <w:right w:val="none" w:sz="0" w:space="0" w:color="000000"/>
        </w:pBdr>
        <w:suppressAutoHyphens/>
        <w:spacing w:before="1560" w:after="0" w:line="240" w:lineRule="auto"/>
        <w:jc w:val="center"/>
        <w:rPr>
          <w:rFonts w:ascii="Cambria" w:eastAsia="Times New Roman" w:hAnsi="Cambria" w:cs="Times New Roman"/>
          <w:i/>
          <w:iCs/>
          <w:color w:val="243F60"/>
          <w:sz w:val="60"/>
          <w:szCs w:val="60"/>
          <w:lang w:bidi="en-US"/>
        </w:rPr>
      </w:pPr>
      <w:r w:rsidRPr="00216489">
        <w:rPr>
          <w:rFonts w:ascii="Cambria" w:eastAsia="Times New Roman" w:hAnsi="Cambria" w:cs="Times New Roman"/>
          <w:iCs/>
          <w:color w:val="243F60"/>
          <w:sz w:val="60"/>
          <w:szCs w:val="60"/>
          <w:lang w:bidi="en-US"/>
        </w:rPr>
        <w:t xml:space="preserve">Submission to the </w:t>
      </w:r>
      <w:r>
        <w:rPr>
          <w:rFonts w:ascii="Cambria" w:eastAsia="Times New Roman" w:hAnsi="Cambria" w:cs="Times New Roman"/>
          <w:iCs/>
          <w:color w:val="243F60"/>
          <w:sz w:val="60"/>
          <w:szCs w:val="60"/>
          <w:lang w:bidi="en-US"/>
        </w:rPr>
        <w:t>Productivity Commission</w:t>
      </w:r>
      <w:r w:rsidRPr="00216489">
        <w:rPr>
          <w:rFonts w:ascii="Cambria" w:eastAsia="Times New Roman" w:hAnsi="Cambria" w:cs="Times New Roman"/>
          <w:iCs/>
          <w:color w:val="243F60"/>
          <w:sz w:val="60"/>
          <w:szCs w:val="60"/>
          <w:lang w:bidi="en-US"/>
        </w:rPr>
        <w:t xml:space="preserve"> </w:t>
      </w:r>
      <w:r w:rsidR="006C0BF3" w:rsidRPr="006C0BF3">
        <w:rPr>
          <w:rFonts w:ascii="Cambria" w:eastAsia="Times New Roman" w:hAnsi="Cambria" w:cs="Times New Roman"/>
          <w:iCs/>
          <w:color w:val="243F60"/>
          <w:sz w:val="60"/>
          <w:szCs w:val="60"/>
          <w:lang w:bidi="en-US"/>
        </w:rPr>
        <w:t xml:space="preserve">Inquiry into Australia’s </w:t>
      </w:r>
      <w:r w:rsidR="00C36609" w:rsidRPr="006C0BF3">
        <w:rPr>
          <w:rFonts w:ascii="Cambria" w:eastAsia="Times New Roman" w:hAnsi="Cambria" w:cs="Times New Roman"/>
          <w:iCs/>
          <w:color w:val="243F60"/>
          <w:sz w:val="60"/>
          <w:szCs w:val="60"/>
          <w:lang w:bidi="en-US"/>
        </w:rPr>
        <w:t xml:space="preserve">Productivity Performance </w:t>
      </w:r>
    </w:p>
    <w:p w14:paraId="43056430" w14:textId="77777777" w:rsidR="00216489" w:rsidRPr="00216489" w:rsidRDefault="00216489" w:rsidP="00216489">
      <w:pPr>
        <w:widowControl w:val="0"/>
        <w:suppressAutoHyphens/>
        <w:jc w:val="center"/>
        <w:rPr>
          <w:rFonts w:ascii="Calibri" w:eastAsia="Calibri" w:hAnsi="Calibri" w:cs="font280"/>
        </w:rPr>
      </w:pPr>
    </w:p>
    <w:p w14:paraId="40E14F18" w14:textId="77777777" w:rsidR="00216489" w:rsidRPr="00216489" w:rsidRDefault="00216489" w:rsidP="00216489">
      <w:pPr>
        <w:widowControl w:val="0"/>
        <w:suppressAutoHyphens/>
        <w:jc w:val="center"/>
        <w:rPr>
          <w:rFonts w:ascii="Calibri" w:eastAsia="Calibri" w:hAnsi="Calibri" w:cs="font280"/>
        </w:rPr>
      </w:pPr>
    </w:p>
    <w:p w14:paraId="1EA41467" w14:textId="77777777" w:rsidR="00216489" w:rsidRPr="00216489" w:rsidRDefault="00216489" w:rsidP="00216489">
      <w:pPr>
        <w:widowControl w:val="0"/>
        <w:suppressAutoHyphens/>
        <w:jc w:val="center"/>
        <w:rPr>
          <w:rFonts w:ascii="Calibri" w:eastAsia="Calibri" w:hAnsi="Calibri" w:cs="font280"/>
        </w:rPr>
      </w:pPr>
    </w:p>
    <w:p w14:paraId="17AF6E3D" w14:textId="01AAC5FC" w:rsidR="00216489" w:rsidRPr="00216489" w:rsidRDefault="00EB5E01" w:rsidP="00216489">
      <w:pPr>
        <w:widowControl w:val="0"/>
        <w:suppressAutoHyphens/>
        <w:jc w:val="center"/>
        <w:rPr>
          <w:rFonts w:ascii="Calibri" w:eastAsia="Calibri" w:hAnsi="Calibri" w:cs="font280"/>
        </w:rPr>
      </w:pPr>
      <w:r>
        <w:rPr>
          <w:rFonts w:ascii="Calibri" w:eastAsia="Calibri" w:hAnsi="Calibri" w:cs="font280"/>
          <w:sz w:val="24"/>
          <w:szCs w:val="24"/>
        </w:rPr>
        <w:t xml:space="preserve">23 </w:t>
      </w:r>
      <w:r w:rsidR="00C36609">
        <w:rPr>
          <w:rFonts w:ascii="Calibri" w:eastAsia="Calibri" w:hAnsi="Calibri" w:cs="font280"/>
          <w:sz w:val="24"/>
          <w:szCs w:val="24"/>
        </w:rPr>
        <w:t>March</w:t>
      </w:r>
      <w:r w:rsidR="00216489" w:rsidRPr="00216489">
        <w:rPr>
          <w:rFonts w:ascii="Calibri" w:eastAsia="Calibri" w:hAnsi="Calibri" w:cs="font280"/>
          <w:sz w:val="24"/>
          <w:szCs w:val="24"/>
        </w:rPr>
        <w:t xml:space="preserve"> 202</w:t>
      </w:r>
      <w:r w:rsidR="00C36609">
        <w:rPr>
          <w:rFonts w:ascii="Calibri" w:eastAsia="Calibri" w:hAnsi="Calibri" w:cs="font280"/>
          <w:sz w:val="24"/>
          <w:szCs w:val="24"/>
        </w:rPr>
        <w:t>2</w:t>
      </w:r>
      <w:r w:rsidR="00216489" w:rsidRPr="00216489">
        <w:rPr>
          <w:rFonts w:ascii="Calibri" w:eastAsia="Calibri" w:hAnsi="Calibri" w:cs="font280"/>
          <w:sz w:val="24"/>
          <w:szCs w:val="24"/>
        </w:rPr>
        <w:t xml:space="preserve"> </w:t>
      </w:r>
    </w:p>
    <w:p w14:paraId="4024E431" w14:textId="77777777" w:rsidR="00216489" w:rsidRPr="00216489" w:rsidRDefault="00216489" w:rsidP="00216489">
      <w:pPr>
        <w:widowControl w:val="0"/>
        <w:suppressAutoHyphens/>
        <w:jc w:val="center"/>
        <w:rPr>
          <w:rFonts w:ascii="Calibri" w:eastAsia="Calibri" w:hAnsi="Calibri" w:cs="font280"/>
          <w:sz w:val="24"/>
          <w:szCs w:val="24"/>
        </w:rPr>
      </w:pPr>
    </w:p>
    <w:p w14:paraId="22F2D9F2" w14:textId="77777777" w:rsidR="00216489" w:rsidRPr="00216489" w:rsidRDefault="00216489" w:rsidP="00216489">
      <w:pPr>
        <w:widowControl w:val="0"/>
        <w:suppressAutoHyphens/>
        <w:spacing w:after="1680"/>
        <w:jc w:val="center"/>
        <w:rPr>
          <w:rFonts w:ascii="Calibri" w:eastAsia="Calibri" w:hAnsi="Calibri" w:cs="font280"/>
        </w:rPr>
      </w:pPr>
    </w:p>
    <w:p w14:paraId="599FE4D1" w14:textId="77777777" w:rsidR="00216489" w:rsidRPr="00216489" w:rsidRDefault="00216489" w:rsidP="00216489">
      <w:pPr>
        <w:widowControl w:val="0"/>
        <w:suppressAutoHyphens/>
        <w:spacing w:after="1680"/>
        <w:jc w:val="center"/>
        <w:rPr>
          <w:rFonts w:ascii="Calibri" w:eastAsia="Calibri" w:hAnsi="Calibri" w:cs="font280"/>
          <w:b/>
        </w:rPr>
      </w:pPr>
      <w:r w:rsidRPr="00216489">
        <w:rPr>
          <w:rFonts w:ascii="Calibri" w:eastAsia="Calibri" w:hAnsi="Calibri" w:cs="font280"/>
          <w:noProof/>
          <w:lang w:eastAsia="en-AU"/>
        </w:rPr>
        <w:drawing>
          <wp:inline distT="0" distB="0" distL="0" distR="0" wp14:anchorId="0386F530" wp14:editId="6B78D8B9">
            <wp:extent cx="18669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863600"/>
                    </a:xfrm>
                    <a:prstGeom prst="rect">
                      <a:avLst/>
                    </a:prstGeom>
                    <a:solidFill>
                      <a:srgbClr val="FFFFFF"/>
                    </a:solidFill>
                    <a:ln>
                      <a:noFill/>
                    </a:ln>
                  </pic:spPr>
                </pic:pic>
              </a:graphicData>
            </a:graphic>
          </wp:inline>
        </w:drawing>
      </w:r>
    </w:p>
    <w:p w14:paraId="68B25246" w14:textId="76D66E62" w:rsidR="00F47625" w:rsidRPr="00F47625" w:rsidRDefault="00F47625" w:rsidP="00F47625">
      <w:pPr>
        <w:suppressAutoHyphens/>
        <w:spacing w:after="0"/>
        <w:rPr>
          <w:rFonts w:ascii="Calibri" w:eastAsia="Calibri" w:hAnsi="Calibri" w:cs="font280"/>
        </w:rPr>
      </w:pPr>
      <w:r w:rsidRPr="00F47625">
        <w:rPr>
          <w:rFonts w:ascii="Calibri" w:eastAsia="Calibri" w:hAnsi="Calibri" w:cs="font280"/>
        </w:rPr>
        <w:lastRenderedPageBreak/>
        <w:t>Productivity Commission</w:t>
      </w:r>
    </w:p>
    <w:p w14:paraId="1AAF2F81" w14:textId="77777777" w:rsidR="00F47625" w:rsidRPr="00F47625" w:rsidRDefault="00F47625" w:rsidP="00F47625">
      <w:pPr>
        <w:suppressAutoHyphens/>
        <w:spacing w:after="0"/>
        <w:rPr>
          <w:rFonts w:ascii="Calibri" w:eastAsia="Calibri" w:hAnsi="Calibri" w:cs="font280"/>
        </w:rPr>
      </w:pPr>
      <w:r w:rsidRPr="00F47625">
        <w:rPr>
          <w:rFonts w:ascii="Calibri" w:eastAsia="Calibri" w:hAnsi="Calibri" w:cs="font280"/>
        </w:rPr>
        <w:t>Locked Bag 2, Collins St East</w:t>
      </w:r>
    </w:p>
    <w:p w14:paraId="1B55A642" w14:textId="611142DF" w:rsidR="00F47625" w:rsidRDefault="00F47625" w:rsidP="00F47625">
      <w:pPr>
        <w:suppressAutoHyphens/>
        <w:spacing w:after="0"/>
        <w:rPr>
          <w:rFonts w:ascii="Calibri" w:eastAsia="Calibri" w:hAnsi="Calibri" w:cs="font280"/>
        </w:rPr>
      </w:pPr>
      <w:r>
        <w:rPr>
          <w:rFonts w:ascii="Calibri" w:eastAsia="Calibri" w:hAnsi="Calibri" w:cs="font280"/>
        </w:rPr>
        <w:t>Melbourne Vic 8003</w:t>
      </w:r>
    </w:p>
    <w:p w14:paraId="2891017E" w14:textId="77777777" w:rsidR="00F47625" w:rsidRPr="00F47625" w:rsidRDefault="00F47625" w:rsidP="00F47625">
      <w:pPr>
        <w:suppressAutoHyphens/>
        <w:spacing w:after="0"/>
        <w:rPr>
          <w:rFonts w:ascii="Calibri" w:eastAsia="Calibri" w:hAnsi="Calibri" w:cs="font280"/>
        </w:rPr>
      </w:pPr>
    </w:p>
    <w:p w14:paraId="510F5168" w14:textId="1C0B4157" w:rsidR="00216489" w:rsidRPr="00216489" w:rsidRDefault="00C36609" w:rsidP="00216489">
      <w:pPr>
        <w:suppressAutoHyphens/>
        <w:rPr>
          <w:rFonts w:ascii="Calibri" w:eastAsia="Calibri" w:hAnsi="Calibri" w:cs="font280"/>
        </w:rPr>
      </w:pPr>
      <w:r w:rsidRPr="00C36609">
        <w:rPr>
          <w:rFonts w:ascii="Calibri" w:eastAsia="Calibri" w:hAnsi="Calibri" w:cs="font280"/>
          <w:b/>
        </w:rPr>
        <w:t xml:space="preserve">Submission to the Inquiry into Australia’s Productivity Performance </w:t>
      </w:r>
    </w:p>
    <w:p w14:paraId="10F463DC" w14:textId="42DA2946" w:rsidR="00216489" w:rsidRPr="00216489" w:rsidRDefault="00216489" w:rsidP="00216489">
      <w:pPr>
        <w:suppressAutoHyphens/>
        <w:rPr>
          <w:rFonts w:ascii="Calibri" w:eastAsia="Calibri" w:hAnsi="Calibri" w:cs="font280"/>
        </w:rPr>
      </w:pPr>
      <w:r w:rsidRPr="00216489">
        <w:rPr>
          <w:rFonts w:ascii="Calibri" w:eastAsia="Calibri" w:hAnsi="Calibri" w:cs="font280"/>
        </w:rPr>
        <w:t xml:space="preserve">The Centre for Independent Studies (CIS) welcomes the opportunity to provide a submission to the </w:t>
      </w:r>
      <w:r w:rsidR="00C36609" w:rsidRPr="00C36609">
        <w:rPr>
          <w:rFonts w:ascii="Calibri" w:eastAsia="Calibri" w:hAnsi="Calibri" w:cs="font280"/>
        </w:rPr>
        <w:t>Productivity Commission</w:t>
      </w:r>
      <w:r w:rsidR="00C36609">
        <w:rPr>
          <w:rFonts w:ascii="Calibri" w:eastAsia="Calibri" w:hAnsi="Calibri" w:cs="font280"/>
        </w:rPr>
        <w:t>’s</w:t>
      </w:r>
      <w:r w:rsidR="00C36609" w:rsidRPr="00C36609">
        <w:rPr>
          <w:rFonts w:ascii="Calibri" w:eastAsia="Calibri" w:hAnsi="Calibri" w:cs="font280"/>
        </w:rPr>
        <w:t xml:space="preserve"> Inquiry into Australia’s Productivity Performance</w:t>
      </w:r>
      <w:r w:rsidRPr="00216489">
        <w:rPr>
          <w:rFonts w:ascii="Calibri" w:eastAsia="Calibri" w:hAnsi="Calibri" w:cs="font280"/>
        </w:rPr>
        <w:t xml:space="preserve">. </w:t>
      </w:r>
    </w:p>
    <w:p w14:paraId="0AA7973D" w14:textId="64B85DA2" w:rsidR="00216489" w:rsidRDefault="00216489" w:rsidP="00C36609">
      <w:pPr>
        <w:suppressAutoHyphens/>
        <w:rPr>
          <w:rFonts w:ascii="Calibri" w:eastAsia="Calibri" w:hAnsi="Calibri" w:cs="font280"/>
        </w:rPr>
      </w:pPr>
      <w:r w:rsidRPr="00216489">
        <w:rPr>
          <w:rFonts w:ascii="Calibri" w:eastAsia="Calibri" w:hAnsi="Calibri" w:cs="font280"/>
        </w:rPr>
        <w:t>The CIS is a leading independent publi</w:t>
      </w:r>
      <w:r w:rsidR="00276B6F">
        <w:rPr>
          <w:rFonts w:ascii="Calibri" w:eastAsia="Calibri" w:hAnsi="Calibri" w:cs="font280"/>
        </w:rPr>
        <w:t>c policy think tank in Austral</w:t>
      </w:r>
      <w:r w:rsidRPr="00216489">
        <w:rPr>
          <w:rFonts w:ascii="Calibri" w:eastAsia="Calibri" w:hAnsi="Calibri" w:cs="font280"/>
        </w:rPr>
        <w:t xml:space="preserve">ia. </w:t>
      </w:r>
      <w:r w:rsidR="00C36609">
        <w:rPr>
          <w:rFonts w:ascii="Calibri" w:eastAsia="Calibri" w:hAnsi="Calibri" w:cs="font280"/>
        </w:rPr>
        <w:t>It</w:t>
      </w:r>
      <w:r w:rsidR="00C36609" w:rsidRPr="00216489">
        <w:rPr>
          <w:rFonts w:ascii="Calibri" w:eastAsia="Calibri" w:hAnsi="Calibri" w:cs="font280"/>
        </w:rPr>
        <w:t xml:space="preserve"> has been a strong advocate for free markets and limited government for more than 40 years.</w:t>
      </w:r>
      <w:r w:rsidR="001A3B73">
        <w:rPr>
          <w:rFonts w:ascii="Calibri" w:eastAsia="Calibri" w:hAnsi="Calibri" w:cs="font280"/>
        </w:rPr>
        <w:t xml:space="preserve"> </w:t>
      </w:r>
      <w:r w:rsidRPr="00216489">
        <w:rPr>
          <w:rFonts w:ascii="Calibri" w:eastAsia="Calibri" w:hAnsi="Calibri" w:cs="font280"/>
        </w:rPr>
        <w:t xml:space="preserve">The CIS is independent and non-partisan in both its funding and research, does no commissioned research nor takes any government money to support its public policy work. </w:t>
      </w:r>
    </w:p>
    <w:p w14:paraId="557D7171" w14:textId="5FFCF914" w:rsidR="00C36609" w:rsidRDefault="00C36609" w:rsidP="00216489">
      <w:pPr>
        <w:suppressAutoHyphens/>
        <w:rPr>
          <w:rFonts w:ascii="Calibri" w:eastAsia="Calibri" w:hAnsi="Calibri" w:cs="font280"/>
        </w:rPr>
      </w:pPr>
      <w:r>
        <w:rPr>
          <w:rFonts w:ascii="Calibri" w:eastAsia="Calibri" w:hAnsi="Calibri" w:cs="font280"/>
        </w:rPr>
        <w:t>The CIS has done substantial work on many of the issues relevant to the current inquiry.</w:t>
      </w:r>
      <w:r w:rsidR="001A3B73">
        <w:rPr>
          <w:rFonts w:ascii="Calibri" w:eastAsia="Calibri" w:hAnsi="Calibri" w:cs="font280"/>
        </w:rPr>
        <w:t xml:space="preserve"> </w:t>
      </w:r>
      <w:r>
        <w:rPr>
          <w:rFonts w:ascii="Calibri" w:eastAsia="Calibri" w:hAnsi="Calibri" w:cs="font280"/>
        </w:rPr>
        <w:t>However, this submission focusses on the need for reform of housing policy.</w:t>
      </w:r>
      <w:r w:rsidR="001A3B73">
        <w:rPr>
          <w:rFonts w:ascii="Calibri" w:eastAsia="Calibri" w:hAnsi="Calibri" w:cs="font280"/>
        </w:rPr>
        <w:t xml:space="preserve"> </w:t>
      </w:r>
      <w:r>
        <w:rPr>
          <w:rFonts w:ascii="Calibri" w:eastAsia="Calibri" w:hAnsi="Calibri" w:cs="font280"/>
        </w:rPr>
        <w:t>This is a topic of great public concern where there is substantial scope for improved performance.</w:t>
      </w:r>
      <w:r w:rsidR="001A3B73">
        <w:rPr>
          <w:rFonts w:ascii="Calibri" w:eastAsia="Calibri" w:hAnsi="Calibri" w:cs="font280"/>
        </w:rPr>
        <w:t xml:space="preserve"> </w:t>
      </w:r>
      <w:r w:rsidR="00D717FA">
        <w:rPr>
          <w:rFonts w:ascii="Calibri" w:eastAsia="Calibri" w:hAnsi="Calibri" w:cs="font280"/>
        </w:rPr>
        <w:t>It is also a subject where we believe past Productivity Commission analysis has been incomplete.</w:t>
      </w:r>
      <w:r w:rsidR="001A3B73">
        <w:rPr>
          <w:rFonts w:ascii="Calibri" w:eastAsia="Calibri" w:hAnsi="Calibri" w:cs="font280"/>
        </w:rPr>
        <w:t xml:space="preserve"> </w:t>
      </w:r>
      <w:r w:rsidRPr="0033516B">
        <w:rPr>
          <w:rFonts w:ascii="Calibri" w:eastAsia="Calibri" w:hAnsi="Calibri" w:cs="font280"/>
        </w:rPr>
        <w:t>Our Education Director, Glenn Fahey</w:t>
      </w:r>
      <w:r w:rsidR="0051284D">
        <w:rPr>
          <w:rFonts w:ascii="Calibri" w:eastAsia="Calibri" w:hAnsi="Calibri" w:cs="font280"/>
        </w:rPr>
        <w:t>,</w:t>
      </w:r>
      <w:r w:rsidRPr="0033516B">
        <w:rPr>
          <w:rFonts w:ascii="Calibri" w:eastAsia="Calibri" w:hAnsi="Calibri" w:cs="font280"/>
        </w:rPr>
        <w:t xml:space="preserve"> is </w:t>
      </w:r>
      <w:r w:rsidR="0051284D">
        <w:rPr>
          <w:rFonts w:ascii="Calibri" w:eastAsia="Calibri" w:hAnsi="Calibri" w:cs="font280"/>
        </w:rPr>
        <w:t>making</w:t>
      </w:r>
      <w:r w:rsidRPr="0033516B">
        <w:rPr>
          <w:rFonts w:ascii="Calibri" w:eastAsia="Calibri" w:hAnsi="Calibri" w:cs="font280"/>
        </w:rPr>
        <w:t xml:space="preserve"> a separate submission on </w:t>
      </w:r>
      <w:r w:rsidR="00527D3C" w:rsidRPr="0033516B">
        <w:rPr>
          <w:rFonts w:ascii="Calibri" w:eastAsia="Calibri" w:hAnsi="Calibri" w:cs="font280"/>
        </w:rPr>
        <w:t>education</w:t>
      </w:r>
      <w:r w:rsidRPr="0033516B">
        <w:rPr>
          <w:rFonts w:ascii="Calibri" w:eastAsia="Calibri" w:hAnsi="Calibri" w:cs="font280"/>
        </w:rPr>
        <w:t xml:space="preserve"> reform</w:t>
      </w:r>
      <w:r w:rsidR="00527D3C" w:rsidRPr="0033516B">
        <w:rPr>
          <w:rFonts w:ascii="Calibri" w:eastAsia="Calibri" w:hAnsi="Calibri" w:cs="font280"/>
        </w:rPr>
        <w:t>.</w:t>
      </w:r>
    </w:p>
    <w:p w14:paraId="6F76BB40" w14:textId="70C9AA8D" w:rsidR="00216489" w:rsidRPr="00216489" w:rsidRDefault="00216489" w:rsidP="00216489">
      <w:pPr>
        <w:suppressAutoHyphens/>
        <w:rPr>
          <w:rFonts w:ascii="Calibri" w:eastAsia="Calibri" w:hAnsi="Calibri" w:cs="font280"/>
        </w:rPr>
      </w:pPr>
      <w:r w:rsidRPr="00216489">
        <w:rPr>
          <w:rFonts w:ascii="Calibri" w:eastAsia="Calibri" w:hAnsi="Calibri" w:cs="font280"/>
        </w:rPr>
        <w:t xml:space="preserve">We would be happy to expand on the points in the attached submission, or to provide further information if this would assist the </w:t>
      </w:r>
      <w:r w:rsidR="004C1678">
        <w:rPr>
          <w:rFonts w:ascii="Calibri" w:eastAsia="Calibri" w:hAnsi="Calibri" w:cs="font280"/>
        </w:rPr>
        <w:t>Commission</w:t>
      </w:r>
      <w:r w:rsidRPr="00216489">
        <w:rPr>
          <w:rFonts w:ascii="Calibri" w:eastAsia="Calibri" w:hAnsi="Calibri" w:cs="font280"/>
        </w:rPr>
        <w:t>.</w:t>
      </w:r>
    </w:p>
    <w:p w14:paraId="38FA6962" w14:textId="77777777" w:rsidR="00216489" w:rsidRPr="00216489" w:rsidRDefault="00216489" w:rsidP="00216489">
      <w:pPr>
        <w:suppressAutoHyphens/>
        <w:rPr>
          <w:rFonts w:ascii="Calibri" w:eastAsia="Calibri" w:hAnsi="Calibri" w:cs="font280"/>
        </w:rPr>
      </w:pPr>
    </w:p>
    <w:p w14:paraId="79A99410" w14:textId="77777777" w:rsidR="00216489" w:rsidRPr="00216489" w:rsidRDefault="00216489" w:rsidP="00216489">
      <w:pPr>
        <w:suppressAutoHyphens/>
        <w:rPr>
          <w:rFonts w:ascii="Calibri" w:eastAsia="Calibri" w:hAnsi="Calibri" w:cs="font280"/>
        </w:rPr>
      </w:pPr>
      <w:r w:rsidRPr="00216489">
        <w:rPr>
          <w:rFonts w:ascii="Calibri" w:eastAsia="Calibri" w:hAnsi="Calibri" w:cs="font280"/>
        </w:rPr>
        <w:t>Yours sincerely,</w:t>
      </w:r>
    </w:p>
    <w:p w14:paraId="79A2243E" w14:textId="6ECA856C" w:rsidR="00216489" w:rsidRDefault="00216489" w:rsidP="00216489">
      <w:pPr>
        <w:suppressAutoHyphens/>
        <w:rPr>
          <w:rFonts w:ascii="Calibri" w:eastAsia="Calibri" w:hAnsi="Calibri" w:cs="font280"/>
        </w:rPr>
      </w:pPr>
    </w:p>
    <w:p w14:paraId="6A6D6563" w14:textId="77777777" w:rsidR="009A3532" w:rsidRPr="00216489" w:rsidRDefault="009A3532" w:rsidP="00216489">
      <w:pPr>
        <w:suppressAutoHyphens/>
        <w:rPr>
          <w:rFonts w:ascii="Calibri" w:eastAsia="Calibri" w:hAnsi="Calibri" w:cs="font280"/>
        </w:rPr>
      </w:pPr>
    </w:p>
    <w:tbl>
      <w:tblPr>
        <w:tblW w:w="0" w:type="auto"/>
        <w:tblInd w:w="108" w:type="dxa"/>
        <w:tblLayout w:type="fixed"/>
        <w:tblLook w:val="0000" w:firstRow="0" w:lastRow="0" w:firstColumn="0" w:lastColumn="0" w:noHBand="0" w:noVBand="0"/>
      </w:tblPr>
      <w:tblGrid>
        <w:gridCol w:w="4505"/>
        <w:gridCol w:w="4504"/>
      </w:tblGrid>
      <w:tr w:rsidR="00216489" w:rsidRPr="00216489" w14:paraId="1712C1B8" w14:textId="77777777" w:rsidTr="001A3B73">
        <w:tc>
          <w:tcPr>
            <w:tcW w:w="4505" w:type="dxa"/>
            <w:shd w:val="clear" w:color="auto" w:fill="auto"/>
          </w:tcPr>
          <w:p w14:paraId="5C55573B" w14:textId="77777777" w:rsidR="00216489" w:rsidRPr="00216489" w:rsidRDefault="00216489" w:rsidP="00216489">
            <w:pPr>
              <w:suppressAutoHyphens/>
              <w:spacing w:after="0" w:line="240" w:lineRule="auto"/>
              <w:rPr>
                <w:rFonts w:ascii="Calibri" w:eastAsia="Calibri" w:hAnsi="Calibri" w:cs="font280"/>
              </w:rPr>
            </w:pPr>
          </w:p>
        </w:tc>
        <w:tc>
          <w:tcPr>
            <w:tcW w:w="4504" w:type="dxa"/>
            <w:shd w:val="clear" w:color="auto" w:fill="auto"/>
          </w:tcPr>
          <w:p w14:paraId="51006440" w14:textId="77777777" w:rsidR="00216489" w:rsidRPr="00216489" w:rsidRDefault="00216489" w:rsidP="00216489">
            <w:pPr>
              <w:suppressAutoHyphens/>
              <w:spacing w:after="0" w:line="240" w:lineRule="auto"/>
              <w:rPr>
                <w:rFonts w:ascii="Calibri" w:eastAsia="Calibri" w:hAnsi="Calibri" w:cs="font280"/>
              </w:rPr>
            </w:pPr>
          </w:p>
        </w:tc>
      </w:tr>
      <w:tr w:rsidR="00216489" w:rsidRPr="00216489" w14:paraId="15246C62" w14:textId="77777777" w:rsidTr="001A3B73">
        <w:tc>
          <w:tcPr>
            <w:tcW w:w="4505" w:type="dxa"/>
            <w:shd w:val="clear" w:color="auto" w:fill="auto"/>
          </w:tcPr>
          <w:p w14:paraId="459E7AD9" w14:textId="77777777" w:rsidR="00216489" w:rsidRPr="00216489" w:rsidRDefault="00216489" w:rsidP="00216489">
            <w:pPr>
              <w:suppressAutoHyphens/>
              <w:spacing w:after="0" w:line="240" w:lineRule="auto"/>
              <w:rPr>
                <w:rFonts w:ascii="Calibri" w:eastAsia="Calibri" w:hAnsi="Calibri" w:cs="font280"/>
              </w:rPr>
            </w:pPr>
            <w:r w:rsidRPr="00216489">
              <w:rPr>
                <w:rFonts w:ascii="Calibri" w:eastAsia="Calibri" w:hAnsi="Calibri" w:cs="font280"/>
              </w:rPr>
              <w:t>Peter Tulip</w:t>
            </w:r>
          </w:p>
          <w:p w14:paraId="6BDBA9DA" w14:textId="778172F0" w:rsidR="00216489" w:rsidRPr="00216489" w:rsidRDefault="00216489" w:rsidP="00216489">
            <w:pPr>
              <w:suppressAutoHyphens/>
              <w:spacing w:after="0" w:line="240" w:lineRule="auto"/>
              <w:rPr>
                <w:rFonts w:ascii="Calibri" w:eastAsia="Calibri" w:hAnsi="Calibri" w:cs="font280"/>
              </w:rPr>
            </w:pPr>
            <w:r w:rsidRPr="00216489">
              <w:rPr>
                <w:rFonts w:ascii="Calibri" w:eastAsia="Calibri" w:hAnsi="Calibri" w:cs="font280"/>
              </w:rPr>
              <w:t>Chief Economist</w:t>
            </w:r>
          </w:p>
          <w:p w14:paraId="0A1E086B" w14:textId="77777777" w:rsidR="00216489" w:rsidRDefault="00216489" w:rsidP="00216489">
            <w:pPr>
              <w:suppressAutoHyphens/>
              <w:spacing w:after="0" w:line="240" w:lineRule="auto"/>
              <w:rPr>
                <w:rFonts w:ascii="Calibri" w:eastAsia="Calibri" w:hAnsi="Calibri" w:cs="font280"/>
              </w:rPr>
            </w:pPr>
            <w:r w:rsidRPr="00216489">
              <w:rPr>
                <w:rFonts w:ascii="Calibri" w:eastAsia="Calibri" w:hAnsi="Calibri" w:cs="font280"/>
              </w:rPr>
              <w:t>Centre for Independent Studies</w:t>
            </w:r>
          </w:p>
          <w:p w14:paraId="650FF3EC" w14:textId="6283C9B7" w:rsidR="00D717FA" w:rsidRPr="00216489" w:rsidRDefault="00EB5E01" w:rsidP="00216489">
            <w:pPr>
              <w:suppressAutoHyphens/>
              <w:spacing w:after="0" w:line="240" w:lineRule="auto"/>
              <w:rPr>
                <w:rFonts w:ascii="Calibri" w:eastAsia="Calibri" w:hAnsi="Calibri" w:cs="font280"/>
              </w:rPr>
            </w:pPr>
            <w:r>
              <w:rPr>
                <w:rFonts w:ascii="Calibri" w:eastAsia="Calibri" w:hAnsi="Calibri" w:cs="font280"/>
              </w:rPr>
              <w:t xml:space="preserve">23 </w:t>
            </w:r>
            <w:r w:rsidR="00D717FA">
              <w:rPr>
                <w:rFonts w:ascii="Calibri" w:eastAsia="Calibri" w:hAnsi="Calibri" w:cs="font280"/>
              </w:rPr>
              <w:t>March 2022</w:t>
            </w:r>
          </w:p>
        </w:tc>
        <w:tc>
          <w:tcPr>
            <w:tcW w:w="4504" w:type="dxa"/>
            <w:shd w:val="clear" w:color="auto" w:fill="auto"/>
          </w:tcPr>
          <w:p w14:paraId="300D9BF2" w14:textId="77777777" w:rsidR="00216489" w:rsidRPr="00216489" w:rsidRDefault="00216489" w:rsidP="00216489">
            <w:pPr>
              <w:suppressAutoHyphens/>
              <w:spacing w:after="0" w:line="240" w:lineRule="auto"/>
              <w:rPr>
                <w:rFonts w:ascii="Calibri" w:eastAsia="Calibri" w:hAnsi="Calibri" w:cs="font280"/>
              </w:rPr>
            </w:pPr>
          </w:p>
        </w:tc>
      </w:tr>
    </w:tbl>
    <w:p w14:paraId="315E9A6F" w14:textId="77777777" w:rsidR="00216489" w:rsidRPr="00216489" w:rsidRDefault="00216489" w:rsidP="00216489">
      <w:pPr>
        <w:suppressAutoHyphens/>
        <w:spacing w:after="0" w:line="240" w:lineRule="auto"/>
        <w:rPr>
          <w:rFonts w:ascii="Calibri" w:eastAsia="Calibri" w:hAnsi="Calibri" w:cs="font280"/>
        </w:rPr>
      </w:pPr>
    </w:p>
    <w:p w14:paraId="15575BF5" w14:textId="77777777" w:rsidR="00216489" w:rsidRPr="00216489" w:rsidRDefault="00216489" w:rsidP="00216489">
      <w:pPr>
        <w:suppressAutoHyphens/>
        <w:rPr>
          <w:rFonts w:ascii="Calibri-Bold" w:eastAsia="Calibri" w:hAnsi="Calibri-Bold" w:cs="Calibri-Bold"/>
          <w:b/>
          <w:bCs/>
          <w:sz w:val="28"/>
          <w:szCs w:val="28"/>
        </w:rPr>
      </w:pPr>
    </w:p>
    <w:p w14:paraId="399BB666" w14:textId="77777777" w:rsidR="00216489" w:rsidRPr="00216489" w:rsidRDefault="00216489" w:rsidP="00216489">
      <w:pPr>
        <w:suppressAutoHyphens/>
        <w:jc w:val="center"/>
        <w:rPr>
          <w:rFonts w:ascii="Calibri-Bold" w:eastAsia="Calibri" w:hAnsi="Calibri-Bold" w:cs="Calibri-Bold"/>
          <w:bCs/>
          <w:sz w:val="28"/>
          <w:szCs w:val="28"/>
        </w:rPr>
      </w:pPr>
    </w:p>
    <w:p w14:paraId="48CE14C9" w14:textId="77777777" w:rsidR="00D717FA" w:rsidRDefault="00D717FA">
      <w:pPr>
        <w:rPr>
          <w:rFonts w:ascii="Calibri Light" w:eastAsia="font280" w:hAnsi="Calibri Light" w:cs="font280"/>
          <w:color w:val="2E74B5"/>
          <w:sz w:val="32"/>
          <w:szCs w:val="32"/>
          <w:lang w:val="en-US"/>
        </w:rPr>
      </w:pPr>
      <w:r>
        <w:rPr>
          <w:rFonts w:ascii="Calibri Light" w:eastAsia="font280" w:hAnsi="Calibri Light" w:cs="font280"/>
          <w:color w:val="2E74B5"/>
          <w:sz w:val="32"/>
          <w:szCs w:val="32"/>
          <w:lang w:val="en-US"/>
        </w:rPr>
        <w:br w:type="page"/>
      </w:r>
    </w:p>
    <w:p w14:paraId="42D514AC" w14:textId="12FA22B8" w:rsidR="00216489" w:rsidRPr="00216489" w:rsidRDefault="00216489" w:rsidP="00D717FA">
      <w:pPr>
        <w:suppressAutoHyphens/>
        <w:jc w:val="center"/>
        <w:rPr>
          <w:rFonts w:ascii="Calibri" w:eastAsia="Calibri" w:hAnsi="Calibri" w:cs="font280"/>
        </w:rPr>
      </w:pPr>
      <w:r w:rsidRPr="00216489">
        <w:rPr>
          <w:rFonts w:ascii="Calibri" w:eastAsia="Calibri" w:hAnsi="Calibri" w:cs="font280"/>
          <w:color w:val="0070C0"/>
          <w:sz w:val="32"/>
          <w:szCs w:val="32"/>
        </w:rPr>
        <w:lastRenderedPageBreak/>
        <w:t>Summary</w:t>
      </w:r>
    </w:p>
    <w:p w14:paraId="1F66F6E2" w14:textId="080C8BA0" w:rsidR="00E1437E" w:rsidRPr="00216489" w:rsidRDefault="001519BA" w:rsidP="001519BA">
      <w:pPr>
        <w:rPr>
          <w:rFonts w:cstheme="minorHAnsi"/>
        </w:rPr>
      </w:pPr>
      <w:r w:rsidRPr="00997662">
        <w:rPr>
          <w:rFonts w:cstheme="minorHAnsi"/>
          <w:i/>
          <w:iCs/>
        </w:rPr>
        <w:t>Shifting the Dial</w:t>
      </w:r>
      <w:r w:rsidRPr="00216489">
        <w:rPr>
          <w:rFonts w:cstheme="minorHAnsi"/>
        </w:rPr>
        <w:t xml:space="preserve"> </w:t>
      </w:r>
      <w:r w:rsidR="00DA05F8" w:rsidRPr="00216489">
        <w:rPr>
          <w:rFonts w:cstheme="minorHAnsi"/>
        </w:rPr>
        <w:t xml:space="preserve">(2017) </w:t>
      </w:r>
      <w:r w:rsidR="00770E40" w:rsidRPr="00216489">
        <w:rPr>
          <w:rFonts w:cstheme="minorHAnsi"/>
        </w:rPr>
        <w:t xml:space="preserve">emphasised the </w:t>
      </w:r>
      <w:r w:rsidRPr="00216489">
        <w:rPr>
          <w:rFonts w:cstheme="minorHAnsi"/>
        </w:rPr>
        <w:t>planning system</w:t>
      </w:r>
      <w:r w:rsidR="00285A77" w:rsidRPr="00216489">
        <w:rPr>
          <w:rFonts w:cstheme="minorHAnsi"/>
        </w:rPr>
        <w:t xml:space="preserve">’s </w:t>
      </w:r>
      <w:r w:rsidR="001A3B73">
        <w:rPr>
          <w:rFonts w:cstheme="minorHAnsi"/>
        </w:rPr>
        <w:t>‘</w:t>
      </w:r>
      <w:r w:rsidR="00285A77" w:rsidRPr="00216489">
        <w:rPr>
          <w:rFonts w:cstheme="minorHAnsi"/>
        </w:rPr>
        <w:t>red tape</w:t>
      </w:r>
      <w:r w:rsidR="001A3B73">
        <w:rPr>
          <w:rFonts w:cstheme="minorHAnsi"/>
        </w:rPr>
        <w:t>’</w:t>
      </w:r>
      <w:r w:rsidR="00727682" w:rsidRPr="00216489">
        <w:rPr>
          <w:rFonts w:cstheme="minorHAnsi"/>
        </w:rPr>
        <w:t>.</w:t>
      </w:r>
      <w:r w:rsidR="001A3B73">
        <w:rPr>
          <w:rFonts w:cstheme="minorHAnsi"/>
        </w:rPr>
        <w:t xml:space="preserve"> </w:t>
      </w:r>
      <w:r w:rsidR="000A0D2C">
        <w:rPr>
          <w:rFonts w:cstheme="minorHAnsi"/>
        </w:rPr>
        <w:t>However, recent</w:t>
      </w:r>
      <w:r w:rsidR="00DA05F8" w:rsidRPr="00216489">
        <w:rPr>
          <w:rFonts w:cstheme="minorHAnsi"/>
        </w:rPr>
        <w:t xml:space="preserve"> research indicates that t</w:t>
      </w:r>
      <w:r w:rsidR="009F7943" w:rsidRPr="00216489">
        <w:rPr>
          <w:rFonts w:cstheme="minorHAnsi"/>
        </w:rPr>
        <w:t>he more important problem wit</w:t>
      </w:r>
      <w:r w:rsidR="00A228F1" w:rsidRPr="00216489">
        <w:rPr>
          <w:rFonts w:cstheme="minorHAnsi"/>
        </w:rPr>
        <w:t>h</w:t>
      </w:r>
      <w:r w:rsidR="009F7943" w:rsidRPr="00216489">
        <w:rPr>
          <w:rFonts w:cstheme="minorHAnsi"/>
        </w:rPr>
        <w:t xml:space="preserve"> the planning system is that it re</w:t>
      </w:r>
      <w:r w:rsidR="00A228F1" w:rsidRPr="00216489">
        <w:rPr>
          <w:rFonts w:cstheme="minorHAnsi"/>
        </w:rPr>
        <w:t>s</w:t>
      </w:r>
      <w:r w:rsidR="009F7943" w:rsidRPr="00216489">
        <w:rPr>
          <w:rFonts w:cstheme="minorHAnsi"/>
        </w:rPr>
        <w:t>trict</w:t>
      </w:r>
      <w:r w:rsidR="00A228F1" w:rsidRPr="00216489">
        <w:rPr>
          <w:rFonts w:cstheme="minorHAnsi"/>
        </w:rPr>
        <w:t>s</w:t>
      </w:r>
      <w:r w:rsidR="009F7943" w:rsidRPr="00216489">
        <w:rPr>
          <w:rFonts w:cstheme="minorHAnsi"/>
        </w:rPr>
        <w:t xml:space="preserve"> the supply of housing</w:t>
      </w:r>
      <w:r w:rsidR="00A228F1" w:rsidRPr="00216489">
        <w:rPr>
          <w:rFonts w:cstheme="minorHAnsi"/>
        </w:rPr>
        <w:t>, increasing its price.</w:t>
      </w:r>
      <w:r w:rsidR="001A3B73">
        <w:rPr>
          <w:rFonts w:cstheme="minorHAnsi"/>
        </w:rPr>
        <w:t xml:space="preserve"> </w:t>
      </w:r>
      <w:r w:rsidR="00B2653B" w:rsidRPr="00216489">
        <w:rPr>
          <w:rFonts w:cstheme="minorHAnsi"/>
        </w:rPr>
        <w:t>Estimates</w:t>
      </w:r>
      <w:r w:rsidR="00817F24" w:rsidRPr="00216489">
        <w:rPr>
          <w:rFonts w:cstheme="minorHAnsi"/>
        </w:rPr>
        <w:t xml:space="preserve"> </w:t>
      </w:r>
      <w:r w:rsidR="009975FF" w:rsidRPr="00216489">
        <w:rPr>
          <w:rFonts w:cstheme="minorHAnsi"/>
        </w:rPr>
        <w:t>o</w:t>
      </w:r>
      <w:r w:rsidR="00817F24" w:rsidRPr="00216489">
        <w:rPr>
          <w:rFonts w:cstheme="minorHAnsi"/>
        </w:rPr>
        <w:t xml:space="preserve">f this effect in </w:t>
      </w:r>
      <w:r w:rsidR="009975FF" w:rsidRPr="00216489">
        <w:rPr>
          <w:rFonts w:cstheme="minorHAnsi"/>
        </w:rPr>
        <w:t>Australian</w:t>
      </w:r>
      <w:r w:rsidR="00B2653B" w:rsidRPr="00216489">
        <w:rPr>
          <w:rFonts w:cstheme="minorHAnsi"/>
        </w:rPr>
        <w:t xml:space="preserve"> cities are</w:t>
      </w:r>
      <w:r w:rsidR="00817F24" w:rsidRPr="00216489">
        <w:rPr>
          <w:rFonts w:cstheme="minorHAnsi"/>
        </w:rPr>
        <w:t xml:space="preserve"> very large.</w:t>
      </w:r>
      <w:r w:rsidR="001A3B73">
        <w:rPr>
          <w:rFonts w:cstheme="minorHAnsi"/>
        </w:rPr>
        <w:t xml:space="preserve"> </w:t>
      </w:r>
      <w:r w:rsidR="00E1437E" w:rsidRPr="00216489">
        <w:rPr>
          <w:rFonts w:cstheme="minorHAnsi"/>
        </w:rPr>
        <w:t xml:space="preserve">For example, planning restrictions </w:t>
      </w:r>
      <w:r w:rsidR="002E02E5" w:rsidRPr="00216489">
        <w:rPr>
          <w:rFonts w:cstheme="minorHAnsi"/>
        </w:rPr>
        <w:t xml:space="preserve">are estimated to </w:t>
      </w:r>
      <w:r w:rsidR="00754E2B" w:rsidRPr="00216489">
        <w:rPr>
          <w:rFonts w:cstheme="minorHAnsi"/>
        </w:rPr>
        <w:t>raise</w:t>
      </w:r>
      <w:r w:rsidR="00E1437E" w:rsidRPr="00216489">
        <w:rPr>
          <w:rFonts w:cstheme="minorHAnsi"/>
        </w:rPr>
        <w:t xml:space="preserve"> the cost of the average Sydney apartment by $355,</w:t>
      </w:r>
      <w:r w:rsidR="00A73E1B">
        <w:rPr>
          <w:rFonts w:cstheme="minorHAnsi"/>
        </w:rPr>
        <w:t>000 or 68</w:t>
      </w:r>
      <w:r w:rsidR="00E1437E" w:rsidRPr="00216489">
        <w:rPr>
          <w:rFonts w:cstheme="minorHAnsi"/>
        </w:rPr>
        <w:t>%.</w:t>
      </w:r>
      <w:r w:rsidR="001A3B73">
        <w:rPr>
          <w:rFonts w:cstheme="minorHAnsi"/>
        </w:rPr>
        <w:t xml:space="preserve"> </w:t>
      </w:r>
      <w:r w:rsidR="00E1437E" w:rsidRPr="00216489">
        <w:rPr>
          <w:rFonts w:cstheme="minorHAnsi"/>
        </w:rPr>
        <w:t>These</w:t>
      </w:r>
      <w:r w:rsidR="00817F24" w:rsidRPr="00216489">
        <w:rPr>
          <w:rFonts w:cstheme="minorHAnsi"/>
        </w:rPr>
        <w:t xml:space="preserve"> estimates are in line with </w:t>
      </w:r>
      <w:r w:rsidR="00E1437E" w:rsidRPr="00216489">
        <w:rPr>
          <w:rFonts w:cstheme="minorHAnsi"/>
        </w:rPr>
        <w:t xml:space="preserve">other </w:t>
      </w:r>
      <w:r w:rsidR="00754E2B" w:rsidRPr="00216489">
        <w:rPr>
          <w:rFonts w:cstheme="minorHAnsi"/>
        </w:rPr>
        <w:t>observations</w:t>
      </w:r>
      <w:r w:rsidR="00E1437E" w:rsidRPr="00216489">
        <w:rPr>
          <w:rFonts w:cstheme="minorHAnsi"/>
        </w:rPr>
        <w:t xml:space="preserve"> of the </w:t>
      </w:r>
      <w:r w:rsidR="003474AA">
        <w:rPr>
          <w:rFonts w:cstheme="minorHAnsi"/>
        </w:rPr>
        <w:t xml:space="preserve">Australian </w:t>
      </w:r>
      <w:r w:rsidR="00E1437E" w:rsidRPr="00216489">
        <w:rPr>
          <w:rFonts w:cstheme="minorHAnsi"/>
        </w:rPr>
        <w:t xml:space="preserve">housing market and </w:t>
      </w:r>
      <w:r w:rsidR="00817F24" w:rsidRPr="00216489">
        <w:rPr>
          <w:rFonts w:cstheme="minorHAnsi"/>
        </w:rPr>
        <w:t>a large body of international research</w:t>
      </w:r>
      <w:r w:rsidR="00B35660" w:rsidRPr="00216489">
        <w:rPr>
          <w:rFonts w:cstheme="minorHAnsi"/>
        </w:rPr>
        <w:t>.</w:t>
      </w:r>
      <w:r w:rsidR="00E1437E" w:rsidRPr="00216489">
        <w:rPr>
          <w:rFonts w:cstheme="minorHAnsi"/>
        </w:rPr>
        <w:t xml:space="preserve"> </w:t>
      </w:r>
    </w:p>
    <w:p w14:paraId="1A5E3D03" w14:textId="0CCB6D88" w:rsidR="008E7D83" w:rsidRPr="00216489" w:rsidRDefault="008E7D83" w:rsidP="001519BA">
      <w:pPr>
        <w:rPr>
          <w:rFonts w:cstheme="minorHAnsi"/>
        </w:rPr>
      </w:pPr>
      <w:r w:rsidRPr="00216489">
        <w:rPr>
          <w:rFonts w:cstheme="minorHAnsi"/>
        </w:rPr>
        <w:t>In principle, a large effect on pr</w:t>
      </w:r>
      <w:r w:rsidR="00F242C6" w:rsidRPr="00216489">
        <w:rPr>
          <w:rFonts w:cstheme="minorHAnsi"/>
        </w:rPr>
        <w:t>ices would be justified if housing density created large negative externalities</w:t>
      </w:r>
      <w:r w:rsidR="00A76858" w:rsidRPr="00216489">
        <w:rPr>
          <w:rFonts w:cstheme="minorHAnsi"/>
        </w:rPr>
        <w:t>.</w:t>
      </w:r>
      <w:r w:rsidR="001A3B73">
        <w:rPr>
          <w:rFonts w:cstheme="minorHAnsi"/>
        </w:rPr>
        <w:t xml:space="preserve"> </w:t>
      </w:r>
      <w:r w:rsidR="00A76858" w:rsidRPr="00216489">
        <w:rPr>
          <w:rFonts w:cstheme="minorHAnsi"/>
        </w:rPr>
        <w:t xml:space="preserve">However, attempts to quantify the most commonly </w:t>
      </w:r>
      <w:r w:rsidR="005E3F18" w:rsidRPr="00216489">
        <w:rPr>
          <w:rFonts w:cstheme="minorHAnsi"/>
        </w:rPr>
        <w:t>cited externalities f</w:t>
      </w:r>
      <w:r w:rsidR="009975FF" w:rsidRPr="00216489">
        <w:rPr>
          <w:rFonts w:cstheme="minorHAnsi"/>
        </w:rPr>
        <w:t>i</w:t>
      </w:r>
      <w:r w:rsidR="005E3F18" w:rsidRPr="00216489">
        <w:rPr>
          <w:rFonts w:cstheme="minorHAnsi"/>
        </w:rPr>
        <w:t>nd them to be unimportant</w:t>
      </w:r>
      <w:r w:rsidR="004A33A2" w:rsidRPr="00216489">
        <w:rPr>
          <w:rFonts w:cstheme="minorHAnsi"/>
        </w:rPr>
        <w:t xml:space="preserve"> or</w:t>
      </w:r>
      <w:r w:rsidR="00CA48BB" w:rsidRPr="00216489">
        <w:rPr>
          <w:rFonts w:cstheme="minorHAnsi"/>
        </w:rPr>
        <w:t xml:space="preserve"> positive</w:t>
      </w:r>
      <w:r w:rsidR="007262EB" w:rsidRPr="00216489">
        <w:rPr>
          <w:rFonts w:cstheme="minorHAnsi"/>
        </w:rPr>
        <w:t>.</w:t>
      </w:r>
      <w:r w:rsidR="001A3B73">
        <w:rPr>
          <w:rFonts w:cstheme="minorHAnsi"/>
        </w:rPr>
        <w:t xml:space="preserve"> </w:t>
      </w:r>
      <w:r w:rsidR="00DA05F8" w:rsidRPr="00216489">
        <w:rPr>
          <w:rFonts w:cstheme="minorHAnsi"/>
        </w:rPr>
        <w:t xml:space="preserve">Of special relevance to this inquiry, </w:t>
      </w:r>
      <w:r w:rsidR="003611FC" w:rsidRPr="00216489">
        <w:rPr>
          <w:rFonts w:cstheme="minorHAnsi"/>
        </w:rPr>
        <w:t xml:space="preserve">allowing people to </w:t>
      </w:r>
      <w:r w:rsidR="007262EB" w:rsidRPr="00216489">
        <w:rPr>
          <w:rFonts w:cstheme="minorHAnsi"/>
        </w:rPr>
        <w:t>concentrat</w:t>
      </w:r>
      <w:r w:rsidR="003611FC" w:rsidRPr="00216489">
        <w:rPr>
          <w:rFonts w:cstheme="minorHAnsi"/>
        </w:rPr>
        <w:t xml:space="preserve">e </w:t>
      </w:r>
      <w:r w:rsidR="009D375B" w:rsidRPr="00216489">
        <w:rPr>
          <w:rFonts w:cstheme="minorHAnsi"/>
        </w:rPr>
        <w:t xml:space="preserve">together </w:t>
      </w:r>
      <w:r w:rsidR="005C79D7" w:rsidRPr="00216489">
        <w:rPr>
          <w:rFonts w:cstheme="minorHAnsi"/>
        </w:rPr>
        <w:t xml:space="preserve">in </w:t>
      </w:r>
      <w:r w:rsidR="00101A2B" w:rsidRPr="00216489">
        <w:rPr>
          <w:rFonts w:cstheme="minorHAnsi"/>
        </w:rPr>
        <w:t xml:space="preserve">large </w:t>
      </w:r>
      <w:r w:rsidR="005C79D7" w:rsidRPr="00216489">
        <w:rPr>
          <w:rFonts w:cstheme="minorHAnsi"/>
        </w:rPr>
        <w:t xml:space="preserve">dense cities </w:t>
      </w:r>
      <w:r w:rsidR="00DA05F8" w:rsidRPr="00216489">
        <w:rPr>
          <w:rFonts w:cstheme="minorHAnsi"/>
        </w:rPr>
        <w:t xml:space="preserve">has repeatedly been found to </w:t>
      </w:r>
      <w:r w:rsidR="007262EB" w:rsidRPr="00216489">
        <w:rPr>
          <w:rFonts w:cstheme="minorHAnsi"/>
        </w:rPr>
        <w:t>boost productivity, technological progress and wages.</w:t>
      </w:r>
    </w:p>
    <w:p w14:paraId="6B0DF840" w14:textId="1B0BA90B" w:rsidR="00E1437E" w:rsidRPr="00216489" w:rsidRDefault="00E1437E" w:rsidP="00E1437E">
      <w:pPr>
        <w:rPr>
          <w:rFonts w:cstheme="minorHAnsi"/>
        </w:rPr>
      </w:pPr>
      <w:r w:rsidRPr="00216489">
        <w:rPr>
          <w:rFonts w:cstheme="minorHAnsi"/>
        </w:rPr>
        <w:t>The welfare costs of these distortions, in terms of equity, deadweight loss and dynamic losses</w:t>
      </w:r>
      <w:r w:rsidR="00FA438D">
        <w:rPr>
          <w:rFonts w:cstheme="minorHAnsi"/>
        </w:rPr>
        <w:t>,</w:t>
      </w:r>
      <w:r w:rsidRPr="00216489">
        <w:rPr>
          <w:rFonts w:cstheme="minorHAnsi"/>
        </w:rPr>
        <w:t xml:space="preserve"> are all large.</w:t>
      </w:r>
    </w:p>
    <w:p w14:paraId="46715B48" w14:textId="09445C3B" w:rsidR="001664A0" w:rsidRDefault="007B7BBA">
      <w:pPr>
        <w:rPr>
          <w:rFonts w:cstheme="minorHAnsi"/>
        </w:rPr>
      </w:pPr>
      <w:r w:rsidRPr="00997662">
        <w:rPr>
          <w:rFonts w:cstheme="minorHAnsi"/>
          <w:i/>
          <w:iCs/>
        </w:rPr>
        <w:t>Shifting the Dial</w:t>
      </w:r>
      <w:r w:rsidRPr="00216489">
        <w:rPr>
          <w:rFonts w:cstheme="minorHAnsi"/>
        </w:rPr>
        <w:t xml:space="preserve"> recommended</w:t>
      </w:r>
      <w:r w:rsidR="000F1EE2" w:rsidRPr="00216489">
        <w:rPr>
          <w:rFonts w:cstheme="minorHAnsi"/>
        </w:rPr>
        <w:t xml:space="preserve"> streamlining the planning process</w:t>
      </w:r>
      <w:r w:rsidR="006652C8" w:rsidRPr="00216489">
        <w:rPr>
          <w:rFonts w:cstheme="minorHAnsi"/>
        </w:rPr>
        <w:t xml:space="preserve"> to reduce </w:t>
      </w:r>
      <w:r w:rsidR="00F512C7" w:rsidRPr="00216489">
        <w:rPr>
          <w:rFonts w:cstheme="minorHAnsi"/>
        </w:rPr>
        <w:t>administrative costs</w:t>
      </w:r>
      <w:r w:rsidR="006652C8" w:rsidRPr="00216489">
        <w:rPr>
          <w:rFonts w:cstheme="minorHAnsi"/>
        </w:rPr>
        <w:t>.</w:t>
      </w:r>
      <w:r w:rsidR="001A3B73">
        <w:rPr>
          <w:rFonts w:cstheme="minorHAnsi"/>
        </w:rPr>
        <w:t xml:space="preserve"> </w:t>
      </w:r>
      <w:r w:rsidR="006652C8" w:rsidRPr="00216489">
        <w:rPr>
          <w:rFonts w:cstheme="minorHAnsi"/>
        </w:rPr>
        <w:t>T</w:t>
      </w:r>
      <w:r w:rsidR="00BF784A" w:rsidRPr="00216489">
        <w:rPr>
          <w:rFonts w:cstheme="minorHAnsi"/>
        </w:rPr>
        <w:t>h</w:t>
      </w:r>
      <w:r w:rsidR="006652C8" w:rsidRPr="00216489">
        <w:rPr>
          <w:rFonts w:cstheme="minorHAnsi"/>
        </w:rPr>
        <w:t xml:space="preserve">e </w:t>
      </w:r>
      <w:r w:rsidR="00483CDC">
        <w:rPr>
          <w:rFonts w:cstheme="minorHAnsi"/>
        </w:rPr>
        <w:t>r</w:t>
      </w:r>
      <w:r w:rsidR="00E13C83">
        <w:rPr>
          <w:rFonts w:cstheme="minorHAnsi"/>
        </w:rPr>
        <w:t>ecent</w:t>
      </w:r>
      <w:r w:rsidR="00E13C83" w:rsidRPr="00216489">
        <w:rPr>
          <w:rFonts w:cstheme="minorHAnsi"/>
        </w:rPr>
        <w:t xml:space="preserve"> </w:t>
      </w:r>
      <w:r w:rsidR="006652C8" w:rsidRPr="00216489">
        <w:rPr>
          <w:rFonts w:cstheme="minorHAnsi"/>
        </w:rPr>
        <w:t>research cal</w:t>
      </w:r>
      <w:r w:rsidR="00BF784A" w:rsidRPr="00216489">
        <w:rPr>
          <w:rFonts w:cstheme="minorHAnsi"/>
        </w:rPr>
        <w:t>l</w:t>
      </w:r>
      <w:r w:rsidR="006652C8" w:rsidRPr="00216489">
        <w:rPr>
          <w:rFonts w:cstheme="minorHAnsi"/>
        </w:rPr>
        <w:t>s for more fundamental reforms</w:t>
      </w:r>
      <w:r w:rsidR="002E40E7" w:rsidRPr="00216489">
        <w:rPr>
          <w:rFonts w:cstheme="minorHAnsi"/>
        </w:rPr>
        <w:t>.</w:t>
      </w:r>
      <w:r w:rsidR="001A3B73">
        <w:rPr>
          <w:rFonts w:cstheme="minorHAnsi"/>
        </w:rPr>
        <w:t xml:space="preserve"> </w:t>
      </w:r>
      <w:r w:rsidR="002E40E7" w:rsidRPr="00216489">
        <w:rPr>
          <w:rFonts w:cstheme="minorHAnsi"/>
        </w:rPr>
        <w:t>We need to build more housing</w:t>
      </w:r>
      <w:r w:rsidR="00FF38C2" w:rsidRPr="00216489">
        <w:rPr>
          <w:rFonts w:cstheme="minorHAnsi"/>
        </w:rPr>
        <w:t xml:space="preserve">, especially </w:t>
      </w:r>
      <w:r w:rsidR="0077028D" w:rsidRPr="00216489">
        <w:rPr>
          <w:rFonts w:cstheme="minorHAnsi"/>
        </w:rPr>
        <w:t>high density near tr</w:t>
      </w:r>
      <w:r w:rsidR="00CC2FB3" w:rsidRPr="00216489">
        <w:rPr>
          <w:rFonts w:cstheme="minorHAnsi"/>
        </w:rPr>
        <w:t xml:space="preserve">ansport </w:t>
      </w:r>
      <w:r w:rsidR="00BF37A2">
        <w:rPr>
          <w:rFonts w:cstheme="minorHAnsi"/>
        </w:rPr>
        <w:t>hubs</w:t>
      </w:r>
      <w:r w:rsidR="00CC2FB3" w:rsidRPr="00216489">
        <w:rPr>
          <w:rFonts w:cstheme="minorHAnsi"/>
        </w:rPr>
        <w:t xml:space="preserve"> and </w:t>
      </w:r>
      <w:r w:rsidR="00FF38C2" w:rsidRPr="00216489">
        <w:rPr>
          <w:rFonts w:cstheme="minorHAnsi"/>
        </w:rPr>
        <w:t>in the inner suburbs of our big cities.</w:t>
      </w:r>
      <w:r w:rsidR="001A3B73">
        <w:rPr>
          <w:rFonts w:cstheme="minorHAnsi"/>
        </w:rPr>
        <w:t xml:space="preserve"> </w:t>
      </w:r>
      <w:r w:rsidR="00FF38C2" w:rsidRPr="00216489">
        <w:rPr>
          <w:rFonts w:cstheme="minorHAnsi"/>
        </w:rPr>
        <w:t>That requires loosening planning restrictions</w:t>
      </w:r>
      <w:r w:rsidR="00D73B5C" w:rsidRPr="00216489">
        <w:rPr>
          <w:rFonts w:cstheme="minorHAnsi"/>
        </w:rPr>
        <w:t>.</w:t>
      </w:r>
      <w:r w:rsidR="001A3B73">
        <w:rPr>
          <w:rFonts w:cstheme="minorHAnsi"/>
        </w:rPr>
        <w:t xml:space="preserve"> </w:t>
      </w:r>
      <w:r w:rsidR="00177C6D" w:rsidRPr="00216489">
        <w:rPr>
          <w:rFonts w:cstheme="minorHAnsi"/>
        </w:rPr>
        <w:t>P</w:t>
      </w:r>
      <w:r w:rsidR="00CE4B3F" w:rsidRPr="00216489">
        <w:rPr>
          <w:rFonts w:cstheme="minorHAnsi"/>
        </w:rPr>
        <w:t xml:space="preserve">lanning </w:t>
      </w:r>
      <w:r w:rsidR="00177C6D" w:rsidRPr="00216489">
        <w:rPr>
          <w:rFonts w:cstheme="minorHAnsi"/>
        </w:rPr>
        <w:t xml:space="preserve">decisions need to </w:t>
      </w:r>
      <w:r w:rsidR="00E1437E" w:rsidRPr="00216489">
        <w:rPr>
          <w:rFonts w:cstheme="minorHAnsi"/>
        </w:rPr>
        <w:t>stop over-</w:t>
      </w:r>
      <w:r w:rsidR="007C669A" w:rsidRPr="00216489">
        <w:rPr>
          <w:rFonts w:cstheme="minorHAnsi"/>
        </w:rPr>
        <w:t>weight</w:t>
      </w:r>
      <w:r w:rsidR="00E1437E" w:rsidRPr="00216489">
        <w:rPr>
          <w:rFonts w:cstheme="minorHAnsi"/>
        </w:rPr>
        <w:t>ing</w:t>
      </w:r>
      <w:r w:rsidR="007C669A" w:rsidRPr="00216489">
        <w:rPr>
          <w:rFonts w:cstheme="minorHAnsi"/>
        </w:rPr>
        <w:t xml:space="preserve"> </w:t>
      </w:r>
      <w:r w:rsidR="00C562A9" w:rsidRPr="00216489">
        <w:rPr>
          <w:rFonts w:cstheme="minorHAnsi"/>
        </w:rPr>
        <w:t xml:space="preserve">the objections of </w:t>
      </w:r>
      <w:r w:rsidR="001664A0" w:rsidRPr="00216489">
        <w:rPr>
          <w:rFonts w:cstheme="minorHAnsi"/>
        </w:rPr>
        <w:t xml:space="preserve">nearby </w:t>
      </w:r>
      <w:r w:rsidR="00BF784A" w:rsidRPr="00216489">
        <w:rPr>
          <w:rFonts w:cstheme="minorHAnsi"/>
        </w:rPr>
        <w:t>residents</w:t>
      </w:r>
      <w:r w:rsidR="00E1437E" w:rsidRPr="00216489">
        <w:rPr>
          <w:rFonts w:cstheme="minorHAnsi"/>
        </w:rPr>
        <w:t xml:space="preserve"> and start respect</w:t>
      </w:r>
      <w:r w:rsidR="00101A2B" w:rsidRPr="00216489">
        <w:rPr>
          <w:rFonts w:cstheme="minorHAnsi"/>
        </w:rPr>
        <w:t>ing</w:t>
      </w:r>
      <w:r w:rsidR="00E1437E" w:rsidRPr="00216489">
        <w:rPr>
          <w:rFonts w:cstheme="minorHAnsi"/>
        </w:rPr>
        <w:t xml:space="preserve"> the interests of renters and future generations of home buyers</w:t>
      </w:r>
      <w:r w:rsidR="001664A0" w:rsidRPr="00216489">
        <w:rPr>
          <w:rFonts w:cstheme="minorHAnsi"/>
        </w:rPr>
        <w:t>.</w:t>
      </w:r>
    </w:p>
    <w:p w14:paraId="118C74E8" w14:textId="7BCD6025" w:rsidR="009325A2" w:rsidRDefault="009325A2">
      <w:pPr>
        <w:rPr>
          <w:rFonts w:cstheme="minorHAnsi"/>
        </w:rPr>
      </w:pPr>
    </w:p>
    <w:p w14:paraId="10EE6DE5" w14:textId="281F62E7" w:rsidR="009325A2" w:rsidRDefault="009325A2">
      <w:pPr>
        <w:rPr>
          <w:rFonts w:cstheme="minorHAnsi"/>
        </w:rPr>
      </w:pPr>
    </w:p>
    <w:p w14:paraId="5721F0CA" w14:textId="77777777" w:rsidR="009325A2" w:rsidRPr="00216489" w:rsidRDefault="009325A2">
      <w:pPr>
        <w:rPr>
          <w:rFonts w:cstheme="minorHAnsi"/>
        </w:rPr>
      </w:pPr>
    </w:p>
    <w:p w14:paraId="18AA86BC" w14:textId="77777777" w:rsidR="009325A2" w:rsidRPr="00E74B50" w:rsidRDefault="009325A2" w:rsidP="009325A2">
      <w:pPr>
        <w:keepNext/>
        <w:keepLines/>
        <w:suppressAutoHyphens/>
        <w:spacing w:before="240" w:after="0"/>
        <w:ind w:hanging="360"/>
        <w:jc w:val="center"/>
        <w:outlineLvl w:val="0"/>
        <w:rPr>
          <w:rFonts w:ascii="Calibri" w:eastAsia="font280" w:hAnsi="Calibri" w:cs="Calibri"/>
          <w:color w:val="2E74B5"/>
          <w:sz w:val="32"/>
          <w:szCs w:val="32"/>
          <w:lang w:val="en-US"/>
        </w:rPr>
      </w:pPr>
      <w:bookmarkStart w:id="0" w:name="_Toc98922873"/>
      <w:r w:rsidRPr="00E74B50">
        <w:rPr>
          <w:rFonts w:ascii="Calibri" w:eastAsia="font280" w:hAnsi="Calibri" w:cs="Calibri"/>
          <w:color w:val="2E74B5"/>
          <w:sz w:val="32"/>
          <w:szCs w:val="32"/>
          <w:lang w:val="en-US"/>
        </w:rPr>
        <w:t>Contents</w:t>
      </w:r>
      <w:bookmarkEnd w:id="0"/>
    </w:p>
    <w:p w14:paraId="49196123" w14:textId="58D247D2" w:rsidR="00010613" w:rsidRDefault="009325A2">
      <w:pPr>
        <w:pStyle w:val="TOC1"/>
        <w:rPr>
          <w:rFonts w:eastAsiaTheme="minorEastAsia"/>
          <w:noProof/>
          <w:lang w:eastAsia="en-AU"/>
        </w:rPr>
      </w:pPr>
      <w:r w:rsidRPr="00216489">
        <w:rPr>
          <w:rFonts w:ascii="Calibri" w:eastAsia="Calibri" w:hAnsi="Calibri" w:cs="font280"/>
        </w:rPr>
        <w:fldChar w:fldCharType="begin"/>
      </w:r>
      <w:r w:rsidRPr="00FB64B8">
        <w:rPr>
          <w:rFonts w:ascii="Calibri" w:eastAsia="Calibri" w:hAnsi="Calibri" w:cs="font280"/>
        </w:rPr>
        <w:instrText xml:space="preserve"> TOC \z \o "1-3" \u \h</w:instrText>
      </w:r>
      <w:r w:rsidRPr="00216489">
        <w:rPr>
          <w:rFonts w:ascii="Calibri" w:eastAsia="Calibri" w:hAnsi="Calibri" w:cs="font280"/>
        </w:rPr>
        <w:fldChar w:fldCharType="separate"/>
      </w:r>
      <w:hyperlink w:anchor="_Toc98922873" w:history="1">
        <w:r w:rsidR="007E21A2">
          <w:rPr>
            <w:rStyle w:val="Hyperlink"/>
            <w:rFonts w:ascii="Calibri" w:eastAsia="font280" w:hAnsi="Calibri" w:cs="Calibri"/>
            <w:noProof/>
            <w:lang w:val="en-US"/>
          </w:rPr>
          <w:t>Summa</w:t>
        </w:r>
        <w:r w:rsidR="00D60C96">
          <w:rPr>
            <w:rStyle w:val="Hyperlink"/>
            <w:rFonts w:ascii="Calibri" w:eastAsia="font280" w:hAnsi="Calibri" w:cs="Calibri"/>
            <w:noProof/>
            <w:lang w:val="en-US"/>
          </w:rPr>
          <w:t>ry and C</w:t>
        </w:r>
        <w:r w:rsidR="00010613" w:rsidRPr="0082137F">
          <w:rPr>
            <w:rStyle w:val="Hyperlink"/>
            <w:rFonts w:ascii="Calibri" w:eastAsia="font280" w:hAnsi="Calibri" w:cs="Calibri"/>
            <w:noProof/>
            <w:lang w:val="en-US"/>
          </w:rPr>
          <w:t>ontents</w:t>
        </w:r>
        <w:r w:rsidR="00010613">
          <w:rPr>
            <w:noProof/>
            <w:webHidden/>
          </w:rPr>
          <w:tab/>
        </w:r>
        <w:r w:rsidR="00010613">
          <w:rPr>
            <w:noProof/>
            <w:webHidden/>
          </w:rPr>
          <w:fldChar w:fldCharType="begin"/>
        </w:r>
        <w:r w:rsidR="00010613">
          <w:rPr>
            <w:noProof/>
            <w:webHidden/>
          </w:rPr>
          <w:instrText xml:space="preserve"> PAGEREF _Toc98922873 \h </w:instrText>
        </w:r>
        <w:r w:rsidR="00010613">
          <w:rPr>
            <w:noProof/>
            <w:webHidden/>
          </w:rPr>
        </w:r>
        <w:r w:rsidR="00010613">
          <w:rPr>
            <w:noProof/>
            <w:webHidden/>
          </w:rPr>
          <w:fldChar w:fldCharType="separate"/>
        </w:r>
        <w:r w:rsidR="00B763E4">
          <w:rPr>
            <w:noProof/>
            <w:webHidden/>
          </w:rPr>
          <w:t>3</w:t>
        </w:r>
        <w:r w:rsidR="00010613">
          <w:rPr>
            <w:noProof/>
            <w:webHidden/>
          </w:rPr>
          <w:fldChar w:fldCharType="end"/>
        </w:r>
      </w:hyperlink>
    </w:p>
    <w:p w14:paraId="6DB04751" w14:textId="149E109B" w:rsidR="00010613" w:rsidRDefault="00BB3073">
      <w:pPr>
        <w:pStyle w:val="TOC1"/>
        <w:rPr>
          <w:rFonts w:eastAsiaTheme="minorEastAsia"/>
          <w:noProof/>
          <w:lang w:eastAsia="en-AU"/>
        </w:rPr>
      </w:pPr>
      <w:hyperlink w:anchor="_Toc98922874" w:history="1">
        <w:r w:rsidR="00010613" w:rsidRPr="0082137F">
          <w:rPr>
            <w:rStyle w:val="Hyperlink"/>
            <w:noProof/>
          </w:rPr>
          <w:t>1.</w:t>
        </w:r>
        <w:r w:rsidR="00010613">
          <w:rPr>
            <w:rFonts w:eastAsiaTheme="minorEastAsia"/>
            <w:noProof/>
            <w:lang w:eastAsia="en-AU"/>
          </w:rPr>
          <w:tab/>
        </w:r>
        <w:r w:rsidR="00010613" w:rsidRPr="0082137F">
          <w:rPr>
            <w:rStyle w:val="Hyperlink"/>
            <w:noProof/>
          </w:rPr>
          <w:t>Planning restrictions make housing expensive</w:t>
        </w:r>
        <w:r w:rsidR="00010613">
          <w:rPr>
            <w:noProof/>
            <w:webHidden/>
          </w:rPr>
          <w:tab/>
        </w:r>
        <w:r w:rsidR="00010613">
          <w:rPr>
            <w:noProof/>
            <w:webHidden/>
          </w:rPr>
          <w:fldChar w:fldCharType="begin"/>
        </w:r>
        <w:r w:rsidR="00010613">
          <w:rPr>
            <w:noProof/>
            <w:webHidden/>
          </w:rPr>
          <w:instrText xml:space="preserve"> PAGEREF _Toc98922874 \h </w:instrText>
        </w:r>
        <w:r w:rsidR="00010613">
          <w:rPr>
            <w:noProof/>
            <w:webHidden/>
          </w:rPr>
        </w:r>
        <w:r w:rsidR="00010613">
          <w:rPr>
            <w:noProof/>
            <w:webHidden/>
          </w:rPr>
          <w:fldChar w:fldCharType="separate"/>
        </w:r>
        <w:r w:rsidR="00B763E4">
          <w:rPr>
            <w:noProof/>
            <w:webHidden/>
          </w:rPr>
          <w:t>4</w:t>
        </w:r>
        <w:r w:rsidR="00010613">
          <w:rPr>
            <w:noProof/>
            <w:webHidden/>
          </w:rPr>
          <w:fldChar w:fldCharType="end"/>
        </w:r>
      </w:hyperlink>
    </w:p>
    <w:p w14:paraId="1EACD2D5" w14:textId="223EAC6E" w:rsidR="00010613" w:rsidRDefault="00BB3073">
      <w:pPr>
        <w:pStyle w:val="TOC1"/>
        <w:rPr>
          <w:rFonts w:eastAsiaTheme="minorEastAsia"/>
          <w:noProof/>
          <w:lang w:eastAsia="en-AU"/>
        </w:rPr>
      </w:pPr>
      <w:hyperlink w:anchor="_Toc98922875" w:history="1">
        <w:r w:rsidR="00010613" w:rsidRPr="0082137F">
          <w:rPr>
            <w:rStyle w:val="Hyperlink"/>
            <w:noProof/>
          </w:rPr>
          <w:t>2.</w:t>
        </w:r>
        <w:r w:rsidR="00010613">
          <w:rPr>
            <w:rFonts w:eastAsiaTheme="minorEastAsia"/>
            <w:noProof/>
            <w:lang w:eastAsia="en-AU"/>
          </w:rPr>
          <w:tab/>
        </w:r>
        <w:r w:rsidR="00010613" w:rsidRPr="0082137F">
          <w:rPr>
            <w:rStyle w:val="Hyperlink"/>
            <w:noProof/>
          </w:rPr>
          <w:t>Overseas research also finds large effects</w:t>
        </w:r>
        <w:r w:rsidR="00010613">
          <w:rPr>
            <w:noProof/>
            <w:webHidden/>
          </w:rPr>
          <w:tab/>
        </w:r>
        <w:r w:rsidR="00010613">
          <w:rPr>
            <w:noProof/>
            <w:webHidden/>
          </w:rPr>
          <w:fldChar w:fldCharType="begin"/>
        </w:r>
        <w:r w:rsidR="00010613">
          <w:rPr>
            <w:noProof/>
            <w:webHidden/>
          </w:rPr>
          <w:instrText xml:space="preserve"> PAGEREF _Toc98922875 \h </w:instrText>
        </w:r>
        <w:r w:rsidR="00010613">
          <w:rPr>
            <w:noProof/>
            <w:webHidden/>
          </w:rPr>
        </w:r>
        <w:r w:rsidR="00010613">
          <w:rPr>
            <w:noProof/>
            <w:webHidden/>
          </w:rPr>
          <w:fldChar w:fldCharType="separate"/>
        </w:r>
        <w:r w:rsidR="00B763E4">
          <w:rPr>
            <w:noProof/>
            <w:webHidden/>
          </w:rPr>
          <w:t>6</w:t>
        </w:r>
        <w:r w:rsidR="00010613">
          <w:rPr>
            <w:noProof/>
            <w:webHidden/>
          </w:rPr>
          <w:fldChar w:fldCharType="end"/>
        </w:r>
      </w:hyperlink>
    </w:p>
    <w:p w14:paraId="6720F823" w14:textId="48219F7E" w:rsidR="00010613" w:rsidRDefault="00BB3073">
      <w:pPr>
        <w:pStyle w:val="TOC1"/>
        <w:rPr>
          <w:rFonts w:eastAsiaTheme="minorEastAsia"/>
          <w:noProof/>
          <w:lang w:eastAsia="en-AU"/>
        </w:rPr>
      </w:pPr>
      <w:hyperlink w:anchor="_Toc98922876" w:history="1">
        <w:r w:rsidR="00010613" w:rsidRPr="0082137F">
          <w:rPr>
            <w:rStyle w:val="Hyperlink"/>
            <w:noProof/>
          </w:rPr>
          <w:t>3.</w:t>
        </w:r>
        <w:r w:rsidR="00010613">
          <w:rPr>
            <w:rFonts w:eastAsiaTheme="minorEastAsia"/>
            <w:noProof/>
            <w:lang w:eastAsia="en-AU"/>
          </w:rPr>
          <w:tab/>
        </w:r>
        <w:r w:rsidR="00010613" w:rsidRPr="0082137F">
          <w:rPr>
            <w:rStyle w:val="Hyperlink"/>
            <w:noProof/>
          </w:rPr>
          <w:t>Benefits of planning restrictions are small</w:t>
        </w:r>
        <w:r w:rsidR="00010613">
          <w:rPr>
            <w:noProof/>
            <w:webHidden/>
          </w:rPr>
          <w:tab/>
        </w:r>
        <w:r w:rsidR="00010613">
          <w:rPr>
            <w:noProof/>
            <w:webHidden/>
          </w:rPr>
          <w:fldChar w:fldCharType="begin"/>
        </w:r>
        <w:r w:rsidR="00010613">
          <w:rPr>
            <w:noProof/>
            <w:webHidden/>
          </w:rPr>
          <w:instrText xml:space="preserve"> PAGEREF _Toc98922876 \h </w:instrText>
        </w:r>
        <w:r w:rsidR="00010613">
          <w:rPr>
            <w:noProof/>
            <w:webHidden/>
          </w:rPr>
        </w:r>
        <w:r w:rsidR="00010613">
          <w:rPr>
            <w:noProof/>
            <w:webHidden/>
          </w:rPr>
          <w:fldChar w:fldCharType="separate"/>
        </w:r>
        <w:r w:rsidR="00B763E4">
          <w:rPr>
            <w:noProof/>
            <w:webHidden/>
          </w:rPr>
          <w:t>7</w:t>
        </w:r>
        <w:r w:rsidR="00010613">
          <w:rPr>
            <w:noProof/>
            <w:webHidden/>
          </w:rPr>
          <w:fldChar w:fldCharType="end"/>
        </w:r>
      </w:hyperlink>
    </w:p>
    <w:p w14:paraId="76DC50D8" w14:textId="441BBD57" w:rsidR="00010613" w:rsidRDefault="00BB3073">
      <w:pPr>
        <w:pStyle w:val="TOC1"/>
        <w:rPr>
          <w:rFonts w:eastAsiaTheme="minorEastAsia"/>
          <w:noProof/>
          <w:lang w:eastAsia="en-AU"/>
        </w:rPr>
      </w:pPr>
      <w:hyperlink w:anchor="_Toc98922877" w:history="1">
        <w:r w:rsidR="00010613" w:rsidRPr="0082137F">
          <w:rPr>
            <w:rStyle w:val="Hyperlink"/>
            <w:noProof/>
          </w:rPr>
          <w:t>4.</w:t>
        </w:r>
        <w:r w:rsidR="00010613">
          <w:rPr>
            <w:rFonts w:eastAsiaTheme="minorEastAsia"/>
            <w:noProof/>
            <w:lang w:eastAsia="en-AU"/>
          </w:rPr>
          <w:tab/>
        </w:r>
        <w:r w:rsidR="00010613" w:rsidRPr="0082137F">
          <w:rPr>
            <w:rStyle w:val="Hyperlink"/>
            <w:noProof/>
          </w:rPr>
          <w:t>Welfare costs of planning restrictions are large</w:t>
        </w:r>
        <w:r w:rsidR="00010613">
          <w:rPr>
            <w:noProof/>
            <w:webHidden/>
          </w:rPr>
          <w:tab/>
        </w:r>
        <w:r w:rsidR="00010613">
          <w:rPr>
            <w:noProof/>
            <w:webHidden/>
          </w:rPr>
          <w:fldChar w:fldCharType="begin"/>
        </w:r>
        <w:r w:rsidR="00010613">
          <w:rPr>
            <w:noProof/>
            <w:webHidden/>
          </w:rPr>
          <w:instrText xml:space="preserve"> PAGEREF _Toc98922877 \h </w:instrText>
        </w:r>
        <w:r w:rsidR="00010613">
          <w:rPr>
            <w:noProof/>
            <w:webHidden/>
          </w:rPr>
        </w:r>
        <w:r w:rsidR="00010613">
          <w:rPr>
            <w:noProof/>
            <w:webHidden/>
          </w:rPr>
          <w:fldChar w:fldCharType="separate"/>
        </w:r>
        <w:r w:rsidR="00B763E4">
          <w:rPr>
            <w:noProof/>
            <w:webHidden/>
          </w:rPr>
          <w:t>8</w:t>
        </w:r>
        <w:r w:rsidR="00010613">
          <w:rPr>
            <w:noProof/>
            <w:webHidden/>
          </w:rPr>
          <w:fldChar w:fldCharType="end"/>
        </w:r>
      </w:hyperlink>
    </w:p>
    <w:p w14:paraId="7D167184" w14:textId="441A30FB" w:rsidR="00010613" w:rsidRDefault="00BB3073">
      <w:pPr>
        <w:pStyle w:val="TOC2"/>
        <w:tabs>
          <w:tab w:val="right" w:leader="dot" w:pos="9016"/>
        </w:tabs>
        <w:rPr>
          <w:rFonts w:eastAsiaTheme="minorEastAsia"/>
          <w:noProof/>
          <w:lang w:eastAsia="en-AU"/>
        </w:rPr>
      </w:pPr>
      <w:hyperlink w:anchor="_Toc98922878" w:history="1">
        <w:r w:rsidR="00010613" w:rsidRPr="0082137F">
          <w:rPr>
            <w:rStyle w:val="Hyperlink"/>
            <w:noProof/>
          </w:rPr>
          <w:t>4.1  Equity</w:t>
        </w:r>
        <w:r w:rsidR="00010613">
          <w:rPr>
            <w:noProof/>
            <w:webHidden/>
          </w:rPr>
          <w:tab/>
        </w:r>
        <w:r w:rsidR="00010613">
          <w:rPr>
            <w:noProof/>
            <w:webHidden/>
          </w:rPr>
          <w:fldChar w:fldCharType="begin"/>
        </w:r>
        <w:r w:rsidR="00010613">
          <w:rPr>
            <w:noProof/>
            <w:webHidden/>
          </w:rPr>
          <w:instrText xml:space="preserve"> PAGEREF _Toc98922878 \h </w:instrText>
        </w:r>
        <w:r w:rsidR="00010613">
          <w:rPr>
            <w:noProof/>
            <w:webHidden/>
          </w:rPr>
        </w:r>
        <w:r w:rsidR="00010613">
          <w:rPr>
            <w:noProof/>
            <w:webHidden/>
          </w:rPr>
          <w:fldChar w:fldCharType="separate"/>
        </w:r>
        <w:r w:rsidR="00B763E4">
          <w:rPr>
            <w:noProof/>
            <w:webHidden/>
          </w:rPr>
          <w:t>8</w:t>
        </w:r>
        <w:r w:rsidR="00010613">
          <w:rPr>
            <w:noProof/>
            <w:webHidden/>
          </w:rPr>
          <w:fldChar w:fldCharType="end"/>
        </w:r>
      </w:hyperlink>
    </w:p>
    <w:p w14:paraId="610DC951" w14:textId="17C7A5F5" w:rsidR="00010613" w:rsidRDefault="00BB3073">
      <w:pPr>
        <w:pStyle w:val="TOC2"/>
        <w:tabs>
          <w:tab w:val="right" w:leader="dot" w:pos="9016"/>
        </w:tabs>
        <w:rPr>
          <w:rFonts w:eastAsiaTheme="minorEastAsia"/>
          <w:noProof/>
          <w:lang w:eastAsia="en-AU"/>
        </w:rPr>
      </w:pPr>
      <w:hyperlink w:anchor="_Toc98922879" w:history="1">
        <w:r w:rsidR="00010613" w:rsidRPr="0082137F">
          <w:rPr>
            <w:rStyle w:val="Hyperlink"/>
            <w:noProof/>
          </w:rPr>
          <w:t>4.2  Static efficiency</w:t>
        </w:r>
        <w:r w:rsidR="00010613">
          <w:rPr>
            <w:noProof/>
            <w:webHidden/>
          </w:rPr>
          <w:tab/>
        </w:r>
        <w:r w:rsidR="00010613">
          <w:rPr>
            <w:noProof/>
            <w:webHidden/>
          </w:rPr>
          <w:fldChar w:fldCharType="begin"/>
        </w:r>
        <w:r w:rsidR="00010613">
          <w:rPr>
            <w:noProof/>
            <w:webHidden/>
          </w:rPr>
          <w:instrText xml:space="preserve"> PAGEREF _Toc98922879 \h </w:instrText>
        </w:r>
        <w:r w:rsidR="00010613">
          <w:rPr>
            <w:noProof/>
            <w:webHidden/>
          </w:rPr>
        </w:r>
        <w:r w:rsidR="00010613">
          <w:rPr>
            <w:noProof/>
            <w:webHidden/>
          </w:rPr>
          <w:fldChar w:fldCharType="separate"/>
        </w:r>
        <w:r w:rsidR="00B763E4">
          <w:rPr>
            <w:noProof/>
            <w:webHidden/>
          </w:rPr>
          <w:t>8</w:t>
        </w:r>
        <w:r w:rsidR="00010613">
          <w:rPr>
            <w:noProof/>
            <w:webHidden/>
          </w:rPr>
          <w:fldChar w:fldCharType="end"/>
        </w:r>
      </w:hyperlink>
    </w:p>
    <w:p w14:paraId="68F105B6" w14:textId="00A1E9DB" w:rsidR="00010613" w:rsidRDefault="00BB3073">
      <w:pPr>
        <w:pStyle w:val="TOC2"/>
        <w:tabs>
          <w:tab w:val="right" w:leader="dot" w:pos="9016"/>
        </w:tabs>
        <w:rPr>
          <w:rFonts w:eastAsiaTheme="minorEastAsia"/>
          <w:noProof/>
          <w:lang w:eastAsia="en-AU"/>
        </w:rPr>
      </w:pPr>
      <w:hyperlink w:anchor="_Toc98922880" w:history="1">
        <w:r w:rsidR="00010613" w:rsidRPr="0082137F">
          <w:rPr>
            <w:rStyle w:val="Hyperlink"/>
            <w:noProof/>
          </w:rPr>
          <w:t>4.3  Dynamic efficiency</w:t>
        </w:r>
        <w:r w:rsidR="00010613">
          <w:rPr>
            <w:noProof/>
            <w:webHidden/>
          </w:rPr>
          <w:tab/>
        </w:r>
        <w:r w:rsidR="00010613">
          <w:rPr>
            <w:noProof/>
            <w:webHidden/>
          </w:rPr>
          <w:fldChar w:fldCharType="begin"/>
        </w:r>
        <w:r w:rsidR="00010613">
          <w:rPr>
            <w:noProof/>
            <w:webHidden/>
          </w:rPr>
          <w:instrText xml:space="preserve"> PAGEREF _Toc98922880 \h </w:instrText>
        </w:r>
        <w:r w:rsidR="00010613">
          <w:rPr>
            <w:noProof/>
            <w:webHidden/>
          </w:rPr>
        </w:r>
        <w:r w:rsidR="00010613">
          <w:rPr>
            <w:noProof/>
            <w:webHidden/>
          </w:rPr>
          <w:fldChar w:fldCharType="separate"/>
        </w:r>
        <w:r w:rsidR="00B763E4">
          <w:rPr>
            <w:noProof/>
            <w:webHidden/>
          </w:rPr>
          <w:t>9</w:t>
        </w:r>
        <w:r w:rsidR="00010613">
          <w:rPr>
            <w:noProof/>
            <w:webHidden/>
          </w:rPr>
          <w:fldChar w:fldCharType="end"/>
        </w:r>
      </w:hyperlink>
    </w:p>
    <w:p w14:paraId="0174F66E" w14:textId="1A88F7CF" w:rsidR="00010613" w:rsidRDefault="00BB3073">
      <w:pPr>
        <w:pStyle w:val="TOC1"/>
        <w:rPr>
          <w:rFonts w:eastAsiaTheme="minorEastAsia"/>
          <w:noProof/>
          <w:lang w:eastAsia="en-AU"/>
        </w:rPr>
      </w:pPr>
      <w:hyperlink w:anchor="_Toc98922881" w:history="1">
        <w:r w:rsidR="00010613" w:rsidRPr="0082137F">
          <w:rPr>
            <w:rStyle w:val="Hyperlink"/>
            <w:noProof/>
          </w:rPr>
          <w:t>5.</w:t>
        </w:r>
        <w:r w:rsidR="00010613">
          <w:rPr>
            <w:rFonts w:eastAsiaTheme="minorEastAsia"/>
            <w:noProof/>
            <w:lang w:eastAsia="en-AU"/>
          </w:rPr>
          <w:tab/>
        </w:r>
        <w:r w:rsidR="00010613" w:rsidRPr="0082137F">
          <w:rPr>
            <w:rStyle w:val="Hyperlink"/>
            <w:noProof/>
          </w:rPr>
          <w:t>Previous Productivity Commission Analysis</w:t>
        </w:r>
        <w:r w:rsidR="00010613">
          <w:rPr>
            <w:noProof/>
            <w:webHidden/>
          </w:rPr>
          <w:tab/>
        </w:r>
        <w:r w:rsidR="00010613">
          <w:rPr>
            <w:noProof/>
            <w:webHidden/>
          </w:rPr>
          <w:fldChar w:fldCharType="begin"/>
        </w:r>
        <w:r w:rsidR="00010613">
          <w:rPr>
            <w:noProof/>
            <w:webHidden/>
          </w:rPr>
          <w:instrText xml:space="preserve"> PAGEREF _Toc98922881 \h </w:instrText>
        </w:r>
        <w:r w:rsidR="00010613">
          <w:rPr>
            <w:noProof/>
            <w:webHidden/>
          </w:rPr>
        </w:r>
        <w:r w:rsidR="00010613">
          <w:rPr>
            <w:noProof/>
            <w:webHidden/>
          </w:rPr>
          <w:fldChar w:fldCharType="separate"/>
        </w:r>
        <w:r w:rsidR="00B763E4">
          <w:rPr>
            <w:noProof/>
            <w:webHidden/>
          </w:rPr>
          <w:t>10</w:t>
        </w:r>
        <w:r w:rsidR="00010613">
          <w:rPr>
            <w:noProof/>
            <w:webHidden/>
          </w:rPr>
          <w:fldChar w:fldCharType="end"/>
        </w:r>
      </w:hyperlink>
    </w:p>
    <w:p w14:paraId="7F1E8F3B" w14:textId="360690F5" w:rsidR="00010613" w:rsidRDefault="00BB3073">
      <w:pPr>
        <w:pStyle w:val="TOC1"/>
        <w:rPr>
          <w:rFonts w:eastAsiaTheme="minorEastAsia"/>
          <w:noProof/>
          <w:lang w:eastAsia="en-AU"/>
        </w:rPr>
      </w:pPr>
      <w:hyperlink w:anchor="_Toc98922882" w:history="1">
        <w:r w:rsidR="00010613" w:rsidRPr="0082137F">
          <w:rPr>
            <w:rStyle w:val="Hyperlink"/>
            <w:noProof/>
          </w:rPr>
          <w:t>6.</w:t>
        </w:r>
        <w:r w:rsidR="00010613">
          <w:rPr>
            <w:rFonts w:eastAsiaTheme="minorEastAsia"/>
            <w:noProof/>
            <w:lang w:eastAsia="en-AU"/>
          </w:rPr>
          <w:tab/>
        </w:r>
        <w:r w:rsidR="00010613" w:rsidRPr="0082137F">
          <w:rPr>
            <w:rStyle w:val="Hyperlink"/>
            <w:noProof/>
          </w:rPr>
          <w:t>Recommendations</w:t>
        </w:r>
        <w:r w:rsidR="00010613">
          <w:rPr>
            <w:noProof/>
            <w:webHidden/>
          </w:rPr>
          <w:tab/>
        </w:r>
        <w:r w:rsidR="00010613">
          <w:rPr>
            <w:noProof/>
            <w:webHidden/>
          </w:rPr>
          <w:fldChar w:fldCharType="begin"/>
        </w:r>
        <w:r w:rsidR="00010613">
          <w:rPr>
            <w:noProof/>
            <w:webHidden/>
          </w:rPr>
          <w:instrText xml:space="preserve"> PAGEREF _Toc98922882 \h </w:instrText>
        </w:r>
        <w:r w:rsidR="00010613">
          <w:rPr>
            <w:noProof/>
            <w:webHidden/>
          </w:rPr>
        </w:r>
        <w:r w:rsidR="00010613">
          <w:rPr>
            <w:noProof/>
            <w:webHidden/>
          </w:rPr>
          <w:fldChar w:fldCharType="separate"/>
        </w:r>
        <w:r w:rsidR="00B763E4">
          <w:rPr>
            <w:noProof/>
            <w:webHidden/>
          </w:rPr>
          <w:t>11</w:t>
        </w:r>
        <w:r w:rsidR="00010613">
          <w:rPr>
            <w:noProof/>
            <w:webHidden/>
          </w:rPr>
          <w:fldChar w:fldCharType="end"/>
        </w:r>
      </w:hyperlink>
    </w:p>
    <w:p w14:paraId="5269D042" w14:textId="0A7E7639" w:rsidR="00010613" w:rsidRDefault="00BB3073">
      <w:pPr>
        <w:pStyle w:val="TOC1"/>
        <w:rPr>
          <w:rFonts w:eastAsiaTheme="minorEastAsia"/>
          <w:noProof/>
          <w:lang w:eastAsia="en-AU"/>
        </w:rPr>
      </w:pPr>
      <w:hyperlink w:anchor="_Toc98922883" w:history="1">
        <w:r w:rsidR="00010613" w:rsidRPr="0082137F">
          <w:rPr>
            <w:rStyle w:val="Hyperlink"/>
            <w:noProof/>
          </w:rPr>
          <w:t>7.</w:t>
        </w:r>
        <w:r w:rsidR="00010613">
          <w:rPr>
            <w:rFonts w:eastAsiaTheme="minorEastAsia"/>
            <w:noProof/>
            <w:lang w:eastAsia="en-AU"/>
          </w:rPr>
          <w:tab/>
        </w:r>
        <w:r w:rsidR="00010613" w:rsidRPr="0082137F">
          <w:rPr>
            <w:rStyle w:val="Hyperlink"/>
            <w:noProof/>
          </w:rPr>
          <w:t>References</w:t>
        </w:r>
        <w:r w:rsidR="00010613">
          <w:rPr>
            <w:noProof/>
            <w:webHidden/>
          </w:rPr>
          <w:tab/>
        </w:r>
        <w:r w:rsidR="00010613">
          <w:rPr>
            <w:noProof/>
            <w:webHidden/>
          </w:rPr>
          <w:fldChar w:fldCharType="begin"/>
        </w:r>
        <w:r w:rsidR="00010613">
          <w:rPr>
            <w:noProof/>
            <w:webHidden/>
          </w:rPr>
          <w:instrText xml:space="preserve"> PAGEREF _Toc98922883 \h </w:instrText>
        </w:r>
        <w:r w:rsidR="00010613">
          <w:rPr>
            <w:noProof/>
            <w:webHidden/>
          </w:rPr>
        </w:r>
        <w:r w:rsidR="00010613">
          <w:rPr>
            <w:noProof/>
            <w:webHidden/>
          </w:rPr>
          <w:fldChar w:fldCharType="separate"/>
        </w:r>
        <w:r w:rsidR="00B763E4">
          <w:rPr>
            <w:noProof/>
            <w:webHidden/>
          </w:rPr>
          <w:t>12</w:t>
        </w:r>
        <w:r w:rsidR="00010613">
          <w:rPr>
            <w:noProof/>
            <w:webHidden/>
          </w:rPr>
          <w:fldChar w:fldCharType="end"/>
        </w:r>
      </w:hyperlink>
    </w:p>
    <w:p w14:paraId="1908B481" w14:textId="406742BA" w:rsidR="00CE4B3F" w:rsidRPr="00216489" w:rsidRDefault="009325A2" w:rsidP="009325A2">
      <w:pPr>
        <w:rPr>
          <w:rFonts w:cstheme="minorHAnsi"/>
        </w:rPr>
      </w:pPr>
      <w:r w:rsidRPr="00216489">
        <w:rPr>
          <w:rFonts w:ascii="Calibri" w:eastAsia="Calibri" w:hAnsi="Calibri" w:cs="font280"/>
        </w:rPr>
        <w:fldChar w:fldCharType="end"/>
      </w:r>
    </w:p>
    <w:p w14:paraId="6DBA91D1" w14:textId="77777777" w:rsidR="00754E2B" w:rsidRPr="00216489" w:rsidRDefault="00754E2B">
      <w:pPr>
        <w:rPr>
          <w:rFonts w:cstheme="minorHAnsi"/>
          <w:b/>
          <w:bCs/>
        </w:rPr>
      </w:pPr>
      <w:r w:rsidRPr="00216489">
        <w:rPr>
          <w:rFonts w:cstheme="minorHAnsi"/>
          <w:b/>
          <w:bCs/>
        </w:rPr>
        <w:br w:type="page"/>
      </w:r>
    </w:p>
    <w:p w14:paraId="1F2A7392" w14:textId="7DA07B65" w:rsidR="008D0BA2" w:rsidRPr="00923509" w:rsidRDefault="004C1C33" w:rsidP="000A0D2C">
      <w:pPr>
        <w:pStyle w:val="Heading1"/>
      </w:pPr>
      <w:bookmarkStart w:id="1" w:name="_Toc98922874"/>
      <w:r w:rsidRPr="00923509">
        <w:lastRenderedPageBreak/>
        <w:t xml:space="preserve">Planning </w:t>
      </w:r>
      <w:r w:rsidRPr="000A0D2C">
        <w:t>restrictions</w:t>
      </w:r>
      <w:r w:rsidRPr="00923509">
        <w:t xml:space="preserve"> </w:t>
      </w:r>
      <w:r w:rsidR="00CB03E4" w:rsidRPr="00923509">
        <w:t>make</w:t>
      </w:r>
      <w:r w:rsidRPr="00923509">
        <w:t xml:space="preserve"> housing</w:t>
      </w:r>
      <w:r w:rsidR="006B645A" w:rsidRPr="00923509">
        <w:t xml:space="preserve"> </w:t>
      </w:r>
      <w:r w:rsidR="00CB03E4" w:rsidRPr="00923509">
        <w:t>expensive</w:t>
      </w:r>
      <w:bookmarkEnd w:id="1"/>
    </w:p>
    <w:p w14:paraId="67B16E85" w14:textId="3906AF52" w:rsidR="003474AA" w:rsidRDefault="000C0EB1">
      <w:pPr>
        <w:rPr>
          <w:rFonts w:cstheme="minorHAnsi"/>
        </w:rPr>
      </w:pPr>
      <w:r w:rsidRPr="00216489">
        <w:rPr>
          <w:rFonts w:cstheme="minorHAnsi"/>
        </w:rPr>
        <w:t>Zoning</w:t>
      </w:r>
      <w:r w:rsidR="00713920" w:rsidRPr="00216489">
        <w:rPr>
          <w:rFonts w:cstheme="minorHAnsi"/>
        </w:rPr>
        <w:t xml:space="preserve"> </w:t>
      </w:r>
      <w:r w:rsidR="00AF7211" w:rsidRPr="00216489">
        <w:rPr>
          <w:rFonts w:cstheme="minorHAnsi"/>
        </w:rPr>
        <w:t>restrict</w:t>
      </w:r>
      <w:r w:rsidR="00DE288D" w:rsidRPr="00216489">
        <w:rPr>
          <w:rFonts w:cstheme="minorHAnsi"/>
        </w:rPr>
        <w:t>s</w:t>
      </w:r>
      <w:r w:rsidR="00AF7211" w:rsidRPr="00216489">
        <w:rPr>
          <w:rFonts w:cstheme="minorHAnsi"/>
        </w:rPr>
        <w:t xml:space="preserve"> most </w:t>
      </w:r>
      <w:r w:rsidR="00465DD5" w:rsidRPr="00216489">
        <w:rPr>
          <w:rFonts w:cstheme="minorHAnsi"/>
        </w:rPr>
        <w:t>of our</w:t>
      </w:r>
      <w:r w:rsidR="00AF7211" w:rsidRPr="00216489">
        <w:rPr>
          <w:rFonts w:cstheme="minorHAnsi"/>
        </w:rPr>
        <w:t xml:space="preserve"> urban land t</w:t>
      </w:r>
      <w:r w:rsidR="009673A9" w:rsidRPr="00216489">
        <w:rPr>
          <w:rFonts w:cstheme="minorHAnsi"/>
        </w:rPr>
        <w:t>o</w:t>
      </w:r>
      <w:r w:rsidR="00AF7211" w:rsidRPr="00216489">
        <w:rPr>
          <w:rFonts w:cstheme="minorHAnsi"/>
        </w:rPr>
        <w:t xml:space="preserve"> </w:t>
      </w:r>
      <w:r w:rsidR="005A45BC" w:rsidRPr="00216489">
        <w:rPr>
          <w:rFonts w:cstheme="minorHAnsi"/>
        </w:rPr>
        <w:t>detached houses.</w:t>
      </w:r>
      <w:r w:rsidR="001A3B73">
        <w:rPr>
          <w:rFonts w:cstheme="minorHAnsi"/>
        </w:rPr>
        <w:t xml:space="preserve"> </w:t>
      </w:r>
      <w:r w:rsidR="005A45BC" w:rsidRPr="00216489">
        <w:rPr>
          <w:rFonts w:cstheme="minorHAnsi"/>
        </w:rPr>
        <w:t>For exam</w:t>
      </w:r>
      <w:r w:rsidR="000D2BBA" w:rsidRPr="00216489">
        <w:rPr>
          <w:rFonts w:cstheme="minorHAnsi"/>
        </w:rPr>
        <w:t>pl</w:t>
      </w:r>
      <w:r w:rsidR="00F86CCD" w:rsidRPr="00216489">
        <w:rPr>
          <w:rFonts w:cstheme="minorHAnsi"/>
        </w:rPr>
        <w:t>e</w:t>
      </w:r>
      <w:r w:rsidR="005A45BC" w:rsidRPr="00216489">
        <w:rPr>
          <w:rFonts w:cstheme="minorHAnsi"/>
        </w:rPr>
        <w:t xml:space="preserve">, Figure 1 shows </w:t>
      </w:r>
      <w:r w:rsidR="00B532AF" w:rsidRPr="00216489">
        <w:rPr>
          <w:rFonts w:cstheme="minorHAnsi"/>
        </w:rPr>
        <w:t>large</w:t>
      </w:r>
      <w:r w:rsidR="00F86CCD" w:rsidRPr="00216489">
        <w:rPr>
          <w:rFonts w:cstheme="minorHAnsi"/>
        </w:rPr>
        <w:t xml:space="preserve"> areas of Sydney </w:t>
      </w:r>
      <w:r w:rsidR="000254DC" w:rsidRPr="00216489">
        <w:rPr>
          <w:rFonts w:cstheme="minorHAnsi"/>
        </w:rPr>
        <w:t xml:space="preserve">are </w:t>
      </w:r>
      <w:r w:rsidR="00F86CCD" w:rsidRPr="00216489">
        <w:rPr>
          <w:rFonts w:cstheme="minorHAnsi"/>
        </w:rPr>
        <w:t xml:space="preserve">zoned </w:t>
      </w:r>
      <w:r w:rsidR="001A3B73">
        <w:rPr>
          <w:rFonts w:cstheme="minorHAnsi"/>
        </w:rPr>
        <w:t>‘</w:t>
      </w:r>
      <w:r w:rsidR="00AF7211" w:rsidRPr="00216489">
        <w:rPr>
          <w:rFonts w:cstheme="minorHAnsi"/>
        </w:rPr>
        <w:t>low</w:t>
      </w:r>
      <w:r w:rsidR="009673A9" w:rsidRPr="00216489">
        <w:rPr>
          <w:rFonts w:cstheme="minorHAnsi"/>
        </w:rPr>
        <w:t xml:space="preserve"> density residential</w:t>
      </w:r>
      <w:r w:rsidR="001A3B73">
        <w:rPr>
          <w:rFonts w:cstheme="minorHAnsi"/>
        </w:rPr>
        <w:t>’</w:t>
      </w:r>
      <w:r w:rsidR="003474AA">
        <w:rPr>
          <w:rFonts w:cstheme="minorHAnsi"/>
        </w:rPr>
        <w:t>, from which t</w:t>
      </w:r>
      <w:r w:rsidR="00754E2B" w:rsidRPr="00216489">
        <w:rPr>
          <w:rFonts w:cstheme="minorHAnsi"/>
        </w:rPr>
        <w:t>ownhouses and apartments are excluded</w:t>
      </w:r>
      <w:r w:rsidR="003474AA">
        <w:rPr>
          <w:rFonts w:cstheme="minorHAnsi"/>
        </w:rPr>
        <w:t>.</w:t>
      </w:r>
    </w:p>
    <w:p w14:paraId="5E3DF793" w14:textId="1CE9CA99" w:rsidR="00C85E49" w:rsidRPr="00216489" w:rsidRDefault="007B6D7F">
      <w:pPr>
        <w:rPr>
          <w:rFonts w:cstheme="minorHAnsi"/>
        </w:rPr>
      </w:pPr>
      <w:r w:rsidRPr="00216489">
        <w:rPr>
          <w:rFonts w:cstheme="minorHAnsi"/>
          <w:noProof/>
          <w:lang w:eastAsia="en-AU"/>
        </w:rPr>
        <w:drawing>
          <wp:inline distT="0" distB="0" distL="0" distR="0" wp14:anchorId="3704DC7F" wp14:editId="70E86CBA">
            <wp:extent cx="5731510" cy="4063365"/>
            <wp:effectExtent l="0" t="0" r="254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063365"/>
                    </a:xfrm>
                    <a:prstGeom prst="rect">
                      <a:avLst/>
                    </a:prstGeom>
                  </pic:spPr>
                </pic:pic>
              </a:graphicData>
            </a:graphic>
          </wp:inline>
        </w:drawing>
      </w:r>
    </w:p>
    <w:p w14:paraId="189EB3B8" w14:textId="5E0B2B57" w:rsidR="007209BD" w:rsidRPr="00216489" w:rsidRDefault="00FF2A2B">
      <w:pPr>
        <w:rPr>
          <w:rFonts w:cstheme="minorHAnsi"/>
        </w:rPr>
      </w:pPr>
      <w:r w:rsidRPr="00216489">
        <w:rPr>
          <w:rFonts w:cstheme="minorHAnsi"/>
        </w:rPr>
        <w:t>Source: PWC</w:t>
      </w:r>
      <w:r w:rsidR="00681682">
        <w:rPr>
          <w:rFonts w:cstheme="minorHAnsi"/>
        </w:rPr>
        <w:t xml:space="preserve"> (</w:t>
      </w:r>
      <w:hyperlink r:id="rId13" w:history="1">
        <w:r w:rsidR="00681682" w:rsidRPr="00276B6F">
          <w:rPr>
            <w:rStyle w:val="Hyperlink"/>
            <w:rFonts w:cstheme="minorHAnsi"/>
          </w:rPr>
          <w:t>2017</w:t>
        </w:r>
      </w:hyperlink>
      <w:r w:rsidR="00681682">
        <w:rPr>
          <w:rFonts w:cstheme="minorHAnsi"/>
        </w:rPr>
        <w:t>, p19)</w:t>
      </w:r>
    </w:p>
    <w:p w14:paraId="5D72E655" w14:textId="0F668FF7" w:rsidR="00B532AF" w:rsidRPr="00216489" w:rsidRDefault="00B16093">
      <w:pPr>
        <w:rPr>
          <w:rFonts w:cstheme="minorHAnsi"/>
        </w:rPr>
      </w:pPr>
      <w:r w:rsidRPr="00216489">
        <w:rPr>
          <w:rFonts w:cstheme="minorHAnsi"/>
        </w:rPr>
        <w:t xml:space="preserve">In areas where </w:t>
      </w:r>
      <w:r w:rsidR="00257858" w:rsidRPr="00216489">
        <w:rPr>
          <w:rFonts w:cstheme="minorHAnsi"/>
        </w:rPr>
        <w:t>apartments</w:t>
      </w:r>
      <w:r w:rsidRPr="00216489">
        <w:rPr>
          <w:rFonts w:cstheme="minorHAnsi"/>
        </w:rPr>
        <w:t xml:space="preserve"> are permitted, height restrictions</w:t>
      </w:r>
      <w:r w:rsidR="009673A9" w:rsidRPr="00216489">
        <w:rPr>
          <w:rFonts w:cstheme="minorHAnsi"/>
        </w:rPr>
        <w:t xml:space="preserve"> </w:t>
      </w:r>
      <w:r w:rsidR="00E62585" w:rsidRPr="00216489">
        <w:rPr>
          <w:rFonts w:cstheme="minorHAnsi"/>
        </w:rPr>
        <w:t>limit the number of dwellings that can be provided</w:t>
      </w:r>
      <w:r w:rsidR="008F2A72" w:rsidRPr="00216489">
        <w:rPr>
          <w:rFonts w:cstheme="minorHAnsi"/>
        </w:rPr>
        <w:t>.</w:t>
      </w:r>
      <w:r w:rsidR="007E1A5A" w:rsidRPr="00216489">
        <w:rPr>
          <w:rFonts w:cstheme="minorHAnsi"/>
        </w:rPr>
        <w:t xml:space="preserve"> </w:t>
      </w:r>
      <w:hyperlink r:id="rId14" w:history="1">
        <w:r w:rsidR="002A7271" w:rsidRPr="00216489">
          <w:rPr>
            <w:rStyle w:val="Hyperlink"/>
            <w:rFonts w:cstheme="minorHAnsi"/>
          </w:rPr>
          <w:t>O’Sullivan, 2020</w:t>
        </w:r>
      </w:hyperlink>
      <w:r w:rsidR="006B645A" w:rsidRPr="00216489">
        <w:rPr>
          <w:rFonts w:cstheme="minorHAnsi"/>
        </w:rPr>
        <w:t xml:space="preserve"> </w:t>
      </w:r>
      <w:r w:rsidR="00ED0417" w:rsidRPr="00216489">
        <w:rPr>
          <w:rFonts w:cstheme="minorHAnsi"/>
        </w:rPr>
        <w:t>presents some s</w:t>
      </w:r>
      <w:r w:rsidR="006B645A" w:rsidRPr="00216489">
        <w:rPr>
          <w:rFonts w:cstheme="minorHAnsi"/>
        </w:rPr>
        <w:t>alient examples</w:t>
      </w:r>
      <w:r w:rsidR="007343A2" w:rsidRPr="00216489">
        <w:rPr>
          <w:rFonts w:cstheme="minorHAnsi"/>
        </w:rPr>
        <w:t xml:space="preserve">, with </w:t>
      </w:r>
      <w:r w:rsidR="000A6735" w:rsidRPr="00216489">
        <w:rPr>
          <w:rFonts w:cstheme="minorHAnsi"/>
        </w:rPr>
        <w:t>comprehensive information available on council websites</w:t>
      </w:r>
      <w:r w:rsidR="00EF4EF2" w:rsidRPr="00216489">
        <w:rPr>
          <w:rFonts w:cstheme="minorHAnsi"/>
        </w:rPr>
        <w:t>.</w:t>
      </w:r>
      <w:r w:rsidR="001A3B73">
        <w:rPr>
          <w:rFonts w:cstheme="minorHAnsi"/>
        </w:rPr>
        <w:t xml:space="preserve"> </w:t>
      </w:r>
      <w:r w:rsidR="00E62585" w:rsidRPr="00216489">
        <w:rPr>
          <w:rFonts w:cstheme="minorHAnsi"/>
        </w:rPr>
        <w:t xml:space="preserve">Through these and other restrictions, </w:t>
      </w:r>
      <w:r w:rsidR="00B532AF" w:rsidRPr="00216489">
        <w:rPr>
          <w:rFonts w:cstheme="minorHAnsi"/>
        </w:rPr>
        <w:t xml:space="preserve">the planning system restricts </w:t>
      </w:r>
      <w:r w:rsidR="004435F1" w:rsidRPr="00216489">
        <w:rPr>
          <w:rFonts w:cstheme="minorHAnsi"/>
        </w:rPr>
        <w:t xml:space="preserve">the </w:t>
      </w:r>
      <w:r w:rsidR="00B532AF" w:rsidRPr="00216489">
        <w:rPr>
          <w:rFonts w:cstheme="minorHAnsi"/>
        </w:rPr>
        <w:t>supply</w:t>
      </w:r>
      <w:r w:rsidR="004435F1" w:rsidRPr="00216489">
        <w:rPr>
          <w:rFonts w:cstheme="minorHAnsi"/>
        </w:rPr>
        <w:t xml:space="preserve"> of housing</w:t>
      </w:r>
      <w:r w:rsidR="00B532AF" w:rsidRPr="00216489">
        <w:rPr>
          <w:rFonts w:cstheme="minorHAnsi"/>
        </w:rPr>
        <w:t>.</w:t>
      </w:r>
      <w:r w:rsidR="001A3B73">
        <w:rPr>
          <w:rFonts w:cstheme="minorHAnsi"/>
        </w:rPr>
        <w:t xml:space="preserve"> </w:t>
      </w:r>
      <w:r w:rsidR="004435F1" w:rsidRPr="00216489">
        <w:rPr>
          <w:rFonts w:cstheme="minorHAnsi"/>
        </w:rPr>
        <w:t>Like supply r</w:t>
      </w:r>
      <w:r w:rsidR="00BF2B93" w:rsidRPr="00216489">
        <w:rPr>
          <w:rFonts w:cstheme="minorHAnsi"/>
        </w:rPr>
        <w:t>e</w:t>
      </w:r>
      <w:r w:rsidR="004435F1" w:rsidRPr="00216489">
        <w:rPr>
          <w:rFonts w:cstheme="minorHAnsi"/>
        </w:rPr>
        <w:t>strictions in any other marke</w:t>
      </w:r>
      <w:r w:rsidR="00165E7D" w:rsidRPr="00216489">
        <w:rPr>
          <w:rFonts w:cstheme="minorHAnsi"/>
        </w:rPr>
        <w:t>t</w:t>
      </w:r>
      <w:r w:rsidR="004435F1" w:rsidRPr="00216489">
        <w:rPr>
          <w:rFonts w:cstheme="minorHAnsi"/>
        </w:rPr>
        <w:t>, this increases the price.</w:t>
      </w:r>
    </w:p>
    <w:p w14:paraId="1A41C481" w14:textId="3623DDE8" w:rsidR="00C6537A" w:rsidRPr="00216489" w:rsidRDefault="00C6537A" w:rsidP="00C6537A">
      <w:pPr>
        <w:pStyle w:val="RDPText"/>
        <w:rPr>
          <w:rFonts w:asciiTheme="minorHAnsi" w:hAnsiTheme="minorHAnsi" w:cstheme="minorHAnsi"/>
          <w:szCs w:val="22"/>
        </w:rPr>
      </w:pPr>
      <w:r w:rsidRPr="00216489">
        <w:rPr>
          <w:rFonts w:asciiTheme="minorHAnsi" w:hAnsiTheme="minorHAnsi" w:cstheme="minorHAnsi"/>
          <w:szCs w:val="22"/>
        </w:rPr>
        <w:t>Figure </w:t>
      </w:r>
      <w:r w:rsidR="00306238" w:rsidRPr="00216489">
        <w:rPr>
          <w:rFonts w:asciiTheme="minorHAnsi" w:hAnsiTheme="minorHAnsi" w:cstheme="minorHAnsi"/>
          <w:noProof/>
          <w:szCs w:val="22"/>
        </w:rPr>
        <w:t>2</w:t>
      </w:r>
      <w:r w:rsidRPr="00216489">
        <w:rPr>
          <w:rFonts w:asciiTheme="minorHAnsi" w:hAnsiTheme="minorHAnsi" w:cstheme="minorHAnsi"/>
          <w:noProof/>
          <w:szCs w:val="22"/>
        </w:rPr>
        <w:t xml:space="preserve"> illustrates. </w:t>
      </w:r>
      <w:r w:rsidR="008321C9">
        <w:rPr>
          <w:rFonts w:asciiTheme="minorHAnsi" w:hAnsiTheme="minorHAnsi" w:cstheme="minorHAnsi"/>
          <w:noProof/>
          <w:szCs w:val="22"/>
        </w:rPr>
        <w:t>Pla</w:t>
      </w:r>
      <w:r w:rsidR="00846F52">
        <w:rPr>
          <w:rFonts w:asciiTheme="minorHAnsi" w:hAnsiTheme="minorHAnsi" w:cstheme="minorHAnsi"/>
          <w:noProof/>
          <w:szCs w:val="22"/>
        </w:rPr>
        <w:t>nning</w:t>
      </w:r>
      <w:r w:rsidRPr="00216489" w:rsidDel="00BF1379">
        <w:rPr>
          <w:rFonts w:asciiTheme="minorHAnsi" w:hAnsiTheme="minorHAnsi" w:cstheme="minorHAnsi"/>
          <w:szCs w:val="22"/>
        </w:rPr>
        <w:t xml:space="preserve"> restrictions </w:t>
      </w:r>
      <w:r w:rsidRPr="00216489">
        <w:rPr>
          <w:rFonts w:asciiTheme="minorHAnsi" w:hAnsiTheme="minorHAnsi" w:cstheme="minorHAnsi"/>
          <w:szCs w:val="22"/>
        </w:rPr>
        <w:t>reduce the supply of housing from Q</w:t>
      </w:r>
      <w:r w:rsidRPr="00216489">
        <w:rPr>
          <w:rFonts w:asciiTheme="minorHAnsi" w:hAnsiTheme="minorHAnsi" w:cstheme="minorHAnsi"/>
          <w:szCs w:val="22"/>
          <w:vertAlign w:val="subscript"/>
        </w:rPr>
        <w:t>E</w:t>
      </w:r>
      <w:r w:rsidRPr="00216489">
        <w:rPr>
          <w:rFonts w:asciiTheme="minorHAnsi" w:hAnsiTheme="minorHAnsi" w:cstheme="minorHAnsi"/>
          <w:szCs w:val="22"/>
        </w:rPr>
        <w:t xml:space="preserve"> to </w:t>
      </w:r>
      <w:proofErr w:type="spellStart"/>
      <w:r w:rsidRPr="00216489">
        <w:rPr>
          <w:rFonts w:asciiTheme="minorHAnsi" w:hAnsiTheme="minorHAnsi" w:cstheme="minorHAnsi"/>
          <w:szCs w:val="22"/>
        </w:rPr>
        <w:t>Q</w:t>
      </w:r>
      <w:r w:rsidRPr="00216489">
        <w:rPr>
          <w:rFonts w:asciiTheme="minorHAnsi" w:hAnsiTheme="minorHAnsi" w:cstheme="minorHAnsi"/>
          <w:szCs w:val="22"/>
          <w:vertAlign w:val="subscript"/>
        </w:rPr>
        <w:t>max</w:t>
      </w:r>
      <w:proofErr w:type="spellEnd"/>
      <w:r w:rsidRPr="00216489">
        <w:rPr>
          <w:rFonts w:asciiTheme="minorHAnsi" w:hAnsiTheme="minorHAnsi" w:cstheme="minorHAnsi"/>
          <w:szCs w:val="22"/>
        </w:rPr>
        <w:t xml:space="preserve">, pushing the price up to </w:t>
      </w:r>
      <w:proofErr w:type="spellStart"/>
      <w:r w:rsidRPr="00216489">
        <w:rPr>
          <w:rFonts w:asciiTheme="minorHAnsi" w:hAnsiTheme="minorHAnsi" w:cstheme="minorHAnsi"/>
          <w:i/>
          <w:szCs w:val="22"/>
        </w:rPr>
        <w:t>P</w:t>
      </w:r>
      <w:r w:rsidRPr="00216489">
        <w:rPr>
          <w:rFonts w:asciiTheme="minorHAnsi" w:hAnsiTheme="minorHAnsi" w:cstheme="minorHAnsi"/>
          <w:i/>
          <w:szCs w:val="22"/>
          <w:vertAlign w:val="subscript"/>
        </w:rPr>
        <w:t>Restricted</w:t>
      </w:r>
      <w:proofErr w:type="spellEnd"/>
      <w:r w:rsidRPr="00216489">
        <w:rPr>
          <w:rFonts w:asciiTheme="minorHAnsi" w:hAnsiTheme="minorHAnsi" w:cstheme="minorHAnsi"/>
          <w:szCs w:val="22"/>
        </w:rPr>
        <w:t>.</w:t>
      </w:r>
      <w:r w:rsidR="001A3B73">
        <w:rPr>
          <w:rFonts w:asciiTheme="minorHAnsi" w:hAnsiTheme="minorHAnsi" w:cstheme="minorHAnsi"/>
          <w:szCs w:val="22"/>
        </w:rPr>
        <w:t xml:space="preserve"> </w:t>
      </w:r>
      <w:r w:rsidRPr="00216489">
        <w:rPr>
          <w:rFonts w:asciiTheme="minorHAnsi" w:hAnsiTheme="minorHAnsi" w:cstheme="minorHAnsi"/>
          <w:szCs w:val="22"/>
        </w:rPr>
        <w:t xml:space="preserve">The difference between </w:t>
      </w:r>
      <w:proofErr w:type="spellStart"/>
      <w:r w:rsidRPr="00216489">
        <w:rPr>
          <w:rFonts w:asciiTheme="minorHAnsi" w:hAnsiTheme="minorHAnsi" w:cstheme="minorHAnsi"/>
          <w:i/>
          <w:szCs w:val="22"/>
        </w:rPr>
        <w:t>P</w:t>
      </w:r>
      <w:r w:rsidRPr="00216489">
        <w:rPr>
          <w:rFonts w:asciiTheme="minorHAnsi" w:hAnsiTheme="minorHAnsi" w:cstheme="minorHAnsi"/>
          <w:i/>
          <w:szCs w:val="22"/>
          <w:vertAlign w:val="subscript"/>
        </w:rPr>
        <w:t>Restricted</w:t>
      </w:r>
      <w:proofErr w:type="spellEnd"/>
      <w:r w:rsidRPr="00216489">
        <w:rPr>
          <w:rFonts w:asciiTheme="minorHAnsi" w:hAnsiTheme="minorHAnsi" w:cstheme="minorHAnsi"/>
          <w:szCs w:val="22"/>
          <w:vertAlign w:val="subscript"/>
        </w:rPr>
        <w:t xml:space="preserve"> </w:t>
      </w:r>
      <w:r w:rsidRPr="00216489">
        <w:rPr>
          <w:rFonts w:asciiTheme="minorHAnsi" w:hAnsiTheme="minorHAnsi" w:cstheme="minorHAnsi"/>
          <w:szCs w:val="22"/>
        </w:rPr>
        <w:t xml:space="preserve">and the cost of supply, </w:t>
      </w:r>
      <w:proofErr w:type="spellStart"/>
      <w:r w:rsidRPr="00216489">
        <w:rPr>
          <w:rFonts w:asciiTheme="minorHAnsi" w:hAnsiTheme="minorHAnsi" w:cstheme="minorHAnsi"/>
          <w:i/>
          <w:szCs w:val="22"/>
        </w:rPr>
        <w:t>P</w:t>
      </w:r>
      <w:r w:rsidRPr="00216489">
        <w:rPr>
          <w:rFonts w:asciiTheme="minorHAnsi" w:hAnsiTheme="minorHAnsi" w:cstheme="minorHAnsi"/>
          <w:i/>
          <w:szCs w:val="22"/>
          <w:vertAlign w:val="subscript"/>
        </w:rPr>
        <w:t>Supply</w:t>
      </w:r>
      <w:proofErr w:type="spellEnd"/>
      <w:r w:rsidRPr="00216489">
        <w:rPr>
          <w:rFonts w:asciiTheme="minorHAnsi" w:hAnsiTheme="minorHAnsi" w:cstheme="minorHAnsi"/>
          <w:i/>
          <w:szCs w:val="22"/>
        </w:rPr>
        <w:t xml:space="preserve">, </w:t>
      </w:r>
      <w:r w:rsidRPr="00216489">
        <w:rPr>
          <w:rFonts w:asciiTheme="minorHAnsi" w:hAnsiTheme="minorHAnsi" w:cstheme="minorHAnsi"/>
          <w:szCs w:val="22"/>
        </w:rPr>
        <w:t>often referred to as</w:t>
      </w:r>
      <w:r w:rsidRPr="00216489">
        <w:rPr>
          <w:rFonts w:asciiTheme="minorHAnsi" w:hAnsiTheme="minorHAnsi" w:cstheme="minorHAnsi"/>
          <w:i/>
          <w:szCs w:val="22"/>
          <w:vertAlign w:val="subscript"/>
        </w:rPr>
        <w:t xml:space="preserve"> </w:t>
      </w:r>
      <w:r w:rsidRPr="00216489">
        <w:rPr>
          <w:rFonts w:asciiTheme="minorHAnsi" w:hAnsiTheme="minorHAnsi" w:cstheme="minorHAnsi"/>
          <w:szCs w:val="22"/>
        </w:rPr>
        <w:t xml:space="preserve">the ‘zoning tax,’ provides a measure of the severity of these restrictions and the shortage they cause. This is </w:t>
      </w:r>
      <w:r w:rsidR="0026289E" w:rsidRPr="00216489">
        <w:rPr>
          <w:rFonts w:asciiTheme="minorHAnsi" w:hAnsiTheme="minorHAnsi" w:cstheme="minorHAnsi"/>
          <w:szCs w:val="22"/>
        </w:rPr>
        <w:t xml:space="preserve">essentially </w:t>
      </w:r>
      <w:r w:rsidRPr="00216489">
        <w:rPr>
          <w:rFonts w:asciiTheme="minorHAnsi" w:hAnsiTheme="minorHAnsi" w:cstheme="minorHAnsi"/>
          <w:szCs w:val="22"/>
        </w:rPr>
        <w:t>the s</w:t>
      </w:r>
      <w:r w:rsidR="00EE3C1B" w:rsidRPr="00216489">
        <w:rPr>
          <w:rFonts w:asciiTheme="minorHAnsi" w:hAnsiTheme="minorHAnsi" w:cstheme="minorHAnsi"/>
          <w:szCs w:val="22"/>
        </w:rPr>
        <w:t>ame</w:t>
      </w:r>
      <w:r w:rsidRPr="00216489">
        <w:rPr>
          <w:rFonts w:asciiTheme="minorHAnsi" w:hAnsiTheme="minorHAnsi" w:cstheme="minorHAnsi"/>
          <w:szCs w:val="22"/>
        </w:rPr>
        <w:t xml:space="preserve"> way economists measure the severity of </w:t>
      </w:r>
      <w:r w:rsidR="00EE3C1B" w:rsidRPr="00216489">
        <w:rPr>
          <w:rFonts w:asciiTheme="minorHAnsi" w:hAnsiTheme="minorHAnsi" w:cstheme="minorHAnsi"/>
          <w:szCs w:val="22"/>
        </w:rPr>
        <w:t xml:space="preserve">other </w:t>
      </w:r>
      <w:r w:rsidRPr="00216489">
        <w:rPr>
          <w:rFonts w:asciiTheme="minorHAnsi" w:hAnsiTheme="minorHAnsi" w:cstheme="minorHAnsi"/>
          <w:szCs w:val="22"/>
        </w:rPr>
        <w:t xml:space="preserve">quantitative restrictions, </w:t>
      </w:r>
      <w:r w:rsidR="00EE3C1B" w:rsidRPr="00216489">
        <w:rPr>
          <w:rFonts w:asciiTheme="minorHAnsi" w:hAnsiTheme="minorHAnsi" w:cstheme="minorHAnsi"/>
          <w:szCs w:val="22"/>
        </w:rPr>
        <w:t xml:space="preserve">such as </w:t>
      </w:r>
      <w:r w:rsidRPr="00216489">
        <w:rPr>
          <w:rFonts w:asciiTheme="minorHAnsi" w:hAnsiTheme="minorHAnsi" w:cstheme="minorHAnsi"/>
          <w:szCs w:val="22"/>
        </w:rPr>
        <w:t>taxi licenses or import quotas.</w:t>
      </w:r>
      <w:r w:rsidR="001A3B73">
        <w:rPr>
          <w:rFonts w:asciiTheme="minorHAnsi" w:hAnsiTheme="minorHAnsi" w:cstheme="minorHAnsi"/>
          <w:szCs w:val="22"/>
        </w:rPr>
        <w:t xml:space="preserve">  </w:t>
      </w:r>
    </w:p>
    <w:p w14:paraId="681C4EC5" w14:textId="08793666" w:rsidR="00C6537A" w:rsidRPr="00216489" w:rsidRDefault="00C6537A" w:rsidP="00C6537A">
      <w:pPr>
        <w:pStyle w:val="RDPFigureHead"/>
        <w:spacing w:after="120"/>
        <w:rPr>
          <w:rFonts w:asciiTheme="minorHAnsi" w:hAnsiTheme="minorHAnsi" w:cstheme="minorHAnsi"/>
          <w:szCs w:val="22"/>
        </w:rPr>
      </w:pPr>
      <w:bookmarkStart w:id="2" w:name="_Ref39054307"/>
      <w:r w:rsidRPr="00216489">
        <w:rPr>
          <w:rFonts w:asciiTheme="minorHAnsi" w:hAnsiTheme="minorHAnsi" w:cstheme="minorHAnsi"/>
          <w:szCs w:val="22"/>
        </w:rPr>
        <w:lastRenderedPageBreak/>
        <w:t>Figure</w:t>
      </w:r>
      <w:bookmarkEnd w:id="2"/>
      <w:r w:rsidRPr="00216489">
        <w:rPr>
          <w:rFonts w:asciiTheme="minorHAnsi" w:hAnsiTheme="minorHAnsi" w:cstheme="minorHAnsi"/>
          <w:noProof/>
          <w:szCs w:val="22"/>
        </w:rPr>
        <w:t xml:space="preserve"> </w:t>
      </w:r>
      <w:r w:rsidR="00306238" w:rsidRPr="00216489">
        <w:rPr>
          <w:rFonts w:asciiTheme="minorHAnsi" w:hAnsiTheme="minorHAnsi" w:cstheme="minorHAnsi"/>
          <w:noProof/>
          <w:szCs w:val="22"/>
        </w:rPr>
        <w:t>2</w:t>
      </w:r>
      <w:r w:rsidRPr="00216489">
        <w:rPr>
          <w:rFonts w:asciiTheme="minorHAnsi" w:hAnsiTheme="minorHAnsi" w:cstheme="minorHAnsi"/>
          <w:szCs w:val="22"/>
        </w:rPr>
        <w:t xml:space="preserve">: </w:t>
      </w:r>
      <w:r w:rsidR="0020258C" w:rsidRPr="00216489">
        <w:rPr>
          <w:rFonts w:asciiTheme="minorHAnsi" w:hAnsiTheme="minorHAnsi" w:cstheme="minorHAnsi"/>
          <w:szCs w:val="22"/>
        </w:rPr>
        <w:t>Housing</w:t>
      </w:r>
      <w:r w:rsidRPr="00216489">
        <w:rPr>
          <w:rFonts w:asciiTheme="minorHAnsi" w:hAnsiTheme="minorHAnsi" w:cstheme="minorHAnsi"/>
          <w:szCs w:val="22"/>
        </w:rPr>
        <w:t xml:space="preserve"> Market with </w:t>
      </w:r>
      <w:r w:rsidR="0044275C" w:rsidRPr="00216489">
        <w:rPr>
          <w:rFonts w:asciiTheme="minorHAnsi" w:hAnsiTheme="minorHAnsi" w:cstheme="minorHAnsi"/>
          <w:szCs w:val="22"/>
        </w:rPr>
        <w:t>Building Restrictions</w:t>
      </w:r>
    </w:p>
    <w:p w14:paraId="2106C777" w14:textId="77777777" w:rsidR="00C6537A" w:rsidRPr="00216489" w:rsidRDefault="00C6537A" w:rsidP="00C6537A">
      <w:pPr>
        <w:pStyle w:val="RDPFigure"/>
        <w:spacing w:after="300"/>
        <w:rPr>
          <w:rFonts w:asciiTheme="minorHAnsi" w:hAnsiTheme="minorHAnsi" w:cstheme="minorHAnsi"/>
          <w:szCs w:val="22"/>
        </w:rPr>
      </w:pPr>
      <w:r w:rsidRPr="00216489">
        <w:rPr>
          <w:rFonts w:asciiTheme="minorHAnsi" w:hAnsiTheme="minorHAnsi" w:cstheme="minorHAnsi"/>
          <w:noProof/>
          <w:szCs w:val="22"/>
          <w:lang w:eastAsia="en-AU"/>
        </w:rPr>
        <w:drawing>
          <wp:inline distT="0" distB="0" distL="0" distR="0" wp14:anchorId="1C1EE94A" wp14:editId="68E8732D">
            <wp:extent cx="5298720" cy="33910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nner01.emf"/>
                    <pic:cNvPicPr/>
                  </pic:nvPicPr>
                  <pic:blipFill rotWithShape="1">
                    <a:blip r:embed="rId15" cstate="print">
                      <a:extLst>
                        <a:ext uri="{28A0092B-C50C-407E-A947-70E740481C1C}">
                          <a14:useLocalDpi xmlns:a14="http://schemas.microsoft.com/office/drawing/2010/main" val="0"/>
                        </a:ext>
                      </a:extLst>
                    </a:blip>
                    <a:srcRect t="14747"/>
                    <a:stretch/>
                  </pic:blipFill>
                  <pic:spPr bwMode="auto">
                    <a:xfrm>
                      <a:off x="0" y="0"/>
                      <a:ext cx="5299200" cy="3391351"/>
                    </a:xfrm>
                    <a:prstGeom prst="rect">
                      <a:avLst/>
                    </a:prstGeom>
                    <a:ln>
                      <a:noFill/>
                    </a:ln>
                    <a:extLst>
                      <a:ext uri="{53640926-AAD7-44D8-BBD7-CCE9431645EC}">
                        <a14:shadowObscured xmlns:a14="http://schemas.microsoft.com/office/drawing/2010/main"/>
                      </a:ext>
                    </a:extLst>
                  </pic:spPr>
                </pic:pic>
              </a:graphicData>
            </a:graphic>
          </wp:inline>
        </w:drawing>
      </w:r>
    </w:p>
    <w:p w14:paraId="28664217" w14:textId="6D4894BD" w:rsidR="00763AA2" w:rsidRPr="00216489" w:rsidRDefault="00157A19">
      <w:pPr>
        <w:rPr>
          <w:rFonts w:cstheme="minorHAnsi"/>
        </w:rPr>
      </w:pPr>
      <w:r w:rsidRPr="00216489">
        <w:rPr>
          <w:rFonts w:cstheme="minorHAnsi"/>
        </w:rPr>
        <w:t>F</w:t>
      </w:r>
      <w:r w:rsidR="00FA5350" w:rsidRPr="00216489">
        <w:rPr>
          <w:rFonts w:cstheme="minorHAnsi"/>
        </w:rPr>
        <w:t>o</w:t>
      </w:r>
      <w:r w:rsidRPr="00216489">
        <w:rPr>
          <w:rFonts w:cstheme="minorHAnsi"/>
        </w:rPr>
        <w:t xml:space="preserve">r example, </w:t>
      </w:r>
      <w:r w:rsidR="008F6C2E" w:rsidRPr="00216489">
        <w:rPr>
          <w:rFonts w:cstheme="minorHAnsi"/>
        </w:rPr>
        <w:t>Jenner and Tulip (</w:t>
      </w:r>
      <w:hyperlink r:id="rId16" w:history="1">
        <w:r w:rsidR="00846F52" w:rsidRPr="003474AA">
          <w:rPr>
            <w:rStyle w:val="Hyperlink"/>
            <w:rFonts w:cstheme="minorHAnsi"/>
          </w:rPr>
          <w:t>2020</w:t>
        </w:r>
      </w:hyperlink>
      <w:r w:rsidR="008F6C2E" w:rsidRPr="00216489">
        <w:rPr>
          <w:rFonts w:cstheme="minorHAnsi"/>
        </w:rPr>
        <w:t>) e</w:t>
      </w:r>
      <w:r w:rsidR="00763AA2" w:rsidRPr="00216489">
        <w:rPr>
          <w:rFonts w:cstheme="minorHAnsi"/>
        </w:rPr>
        <w:t>stimate</w:t>
      </w:r>
      <w:r w:rsidR="008F6C2E" w:rsidRPr="00216489">
        <w:rPr>
          <w:rFonts w:cstheme="minorHAnsi"/>
        </w:rPr>
        <w:t xml:space="preserve"> that the average new Sydney apartment sold for</w:t>
      </w:r>
      <w:r w:rsidR="00974507" w:rsidRPr="00216489">
        <w:rPr>
          <w:rFonts w:cstheme="minorHAnsi"/>
        </w:rPr>
        <w:t xml:space="preserve"> $873,000 in 2018 </w:t>
      </w:r>
      <w:r w:rsidR="00091D62" w:rsidRPr="00216489">
        <w:rPr>
          <w:rFonts w:cstheme="minorHAnsi"/>
        </w:rPr>
        <w:t>(</w:t>
      </w:r>
      <w:r w:rsidR="006344E7" w:rsidRPr="00216489">
        <w:rPr>
          <w:rFonts w:cstheme="minorHAnsi"/>
        </w:rPr>
        <w:t xml:space="preserve">analogous to </w:t>
      </w:r>
      <w:proofErr w:type="spellStart"/>
      <w:r w:rsidR="006344E7" w:rsidRPr="00216489">
        <w:rPr>
          <w:rFonts w:cstheme="minorHAnsi"/>
          <w:i/>
        </w:rPr>
        <w:t>P</w:t>
      </w:r>
      <w:r w:rsidR="006344E7" w:rsidRPr="00216489">
        <w:rPr>
          <w:rFonts w:cstheme="minorHAnsi"/>
          <w:i/>
          <w:vertAlign w:val="subscript"/>
        </w:rPr>
        <w:t>Restricted</w:t>
      </w:r>
      <w:proofErr w:type="spellEnd"/>
      <w:r w:rsidR="006344E7" w:rsidRPr="00216489">
        <w:rPr>
          <w:rFonts w:cstheme="minorHAnsi"/>
        </w:rPr>
        <w:t xml:space="preserve"> in Figure 1) </w:t>
      </w:r>
      <w:r w:rsidR="00974507" w:rsidRPr="00216489">
        <w:rPr>
          <w:rFonts w:cstheme="minorHAnsi"/>
        </w:rPr>
        <w:t xml:space="preserve">but </w:t>
      </w:r>
      <w:r w:rsidR="00B0053E" w:rsidRPr="00216489">
        <w:rPr>
          <w:rFonts w:cstheme="minorHAnsi"/>
        </w:rPr>
        <w:t xml:space="preserve">only cost $519,000 </w:t>
      </w:r>
      <w:r w:rsidR="007B5A3D" w:rsidRPr="00216489">
        <w:rPr>
          <w:rFonts w:cstheme="minorHAnsi"/>
        </w:rPr>
        <w:t>(</w:t>
      </w:r>
      <w:proofErr w:type="spellStart"/>
      <w:r w:rsidR="007B5A3D" w:rsidRPr="00216489">
        <w:rPr>
          <w:rFonts w:cstheme="minorHAnsi"/>
          <w:i/>
        </w:rPr>
        <w:t>P</w:t>
      </w:r>
      <w:r w:rsidR="007B5A3D" w:rsidRPr="00216489">
        <w:rPr>
          <w:rFonts w:cstheme="minorHAnsi"/>
          <w:i/>
          <w:vertAlign w:val="subscript"/>
        </w:rPr>
        <w:t>Supply</w:t>
      </w:r>
      <w:proofErr w:type="spellEnd"/>
      <w:r w:rsidR="007B5A3D" w:rsidRPr="00216489">
        <w:rPr>
          <w:rFonts w:cstheme="minorHAnsi"/>
        </w:rPr>
        <w:t>)</w:t>
      </w:r>
      <w:r w:rsidR="00CA05DB" w:rsidRPr="00216489">
        <w:rPr>
          <w:rFonts w:cstheme="minorHAnsi"/>
        </w:rPr>
        <w:t xml:space="preserve"> </w:t>
      </w:r>
      <w:r w:rsidR="00B0053E" w:rsidRPr="00216489">
        <w:rPr>
          <w:rFonts w:cstheme="minorHAnsi"/>
        </w:rPr>
        <w:t xml:space="preserve">to supply, implying </w:t>
      </w:r>
      <w:r w:rsidR="00D77E13" w:rsidRPr="00216489">
        <w:rPr>
          <w:rFonts w:cstheme="minorHAnsi"/>
        </w:rPr>
        <w:t xml:space="preserve">a gap of $355,000 or 41% of </w:t>
      </w:r>
      <w:r w:rsidR="005A5635" w:rsidRPr="00216489">
        <w:rPr>
          <w:rFonts w:cstheme="minorHAnsi"/>
        </w:rPr>
        <w:t>t</w:t>
      </w:r>
      <w:r w:rsidR="00D77E13" w:rsidRPr="00216489">
        <w:rPr>
          <w:rFonts w:cstheme="minorHAnsi"/>
        </w:rPr>
        <w:t>he price.</w:t>
      </w:r>
      <w:r w:rsidR="001A3B73">
        <w:rPr>
          <w:rFonts w:cstheme="minorHAnsi"/>
        </w:rPr>
        <w:t xml:space="preserve"> </w:t>
      </w:r>
      <w:r w:rsidR="00D77E13" w:rsidRPr="00216489">
        <w:rPr>
          <w:rFonts w:cstheme="minorHAnsi"/>
        </w:rPr>
        <w:t>Estimates</w:t>
      </w:r>
      <w:r w:rsidR="00763AA2" w:rsidRPr="00216489">
        <w:rPr>
          <w:rFonts w:cstheme="minorHAnsi"/>
        </w:rPr>
        <w:t xml:space="preserve"> for </w:t>
      </w:r>
      <w:r w:rsidR="00F1763A" w:rsidRPr="00216489">
        <w:rPr>
          <w:rFonts w:cstheme="minorHAnsi"/>
        </w:rPr>
        <w:t xml:space="preserve">detached houses and other </w:t>
      </w:r>
      <w:r w:rsidR="0044275C" w:rsidRPr="00216489">
        <w:rPr>
          <w:rFonts w:cstheme="minorHAnsi"/>
        </w:rPr>
        <w:t>Australian</w:t>
      </w:r>
      <w:r w:rsidR="00763AA2" w:rsidRPr="00216489">
        <w:rPr>
          <w:rFonts w:cstheme="minorHAnsi"/>
        </w:rPr>
        <w:t xml:space="preserve"> cities are in </w:t>
      </w:r>
      <w:r w:rsidR="008A5B2B" w:rsidRPr="00216489">
        <w:rPr>
          <w:rFonts w:cstheme="minorHAnsi"/>
        </w:rPr>
        <w:t xml:space="preserve">the first two columns of </w:t>
      </w:r>
      <w:r w:rsidR="00763AA2" w:rsidRPr="00216489">
        <w:rPr>
          <w:rFonts w:cstheme="minorHAnsi"/>
        </w:rPr>
        <w:t>Table 1</w:t>
      </w:r>
      <w:r w:rsidR="00202672" w:rsidRPr="00216489">
        <w:rPr>
          <w:rFonts w:cstheme="minorHAnsi"/>
        </w:rPr>
        <w:t>.</w:t>
      </w:r>
    </w:p>
    <w:p w14:paraId="572B75E3" w14:textId="4946ACF5" w:rsidR="00177FAE" w:rsidRPr="00216489" w:rsidRDefault="00177FAE" w:rsidP="00177FAE">
      <w:pPr>
        <w:keepNext/>
        <w:keepLines/>
        <w:jc w:val="center"/>
        <w:rPr>
          <w:rFonts w:cstheme="minorHAnsi"/>
          <w:b/>
        </w:rPr>
      </w:pPr>
      <w:r w:rsidRPr="00216489">
        <w:rPr>
          <w:rFonts w:cstheme="minorHAnsi"/>
          <w:b/>
        </w:rPr>
        <w:t xml:space="preserve">Table 1: </w:t>
      </w:r>
      <w:r w:rsidR="00F1763A" w:rsidRPr="00216489">
        <w:rPr>
          <w:rFonts w:cstheme="minorHAnsi"/>
          <w:b/>
        </w:rPr>
        <w:t>The Wedge Between Sale Prices and the Cost of Supply</w:t>
      </w:r>
    </w:p>
    <w:tbl>
      <w:tblPr>
        <w:tblStyle w:val="TableGrid"/>
        <w:tblW w:w="9072" w:type="dxa"/>
        <w:tblLook w:val="04A0" w:firstRow="1" w:lastRow="0" w:firstColumn="1" w:lastColumn="0" w:noHBand="0" w:noVBand="1"/>
      </w:tblPr>
      <w:tblGrid>
        <w:gridCol w:w="1560"/>
        <w:gridCol w:w="2835"/>
        <w:gridCol w:w="2551"/>
        <w:gridCol w:w="2126"/>
      </w:tblGrid>
      <w:tr w:rsidR="005B4CAC" w:rsidRPr="00216489" w14:paraId="50988E73" w14:textId="77777777" w:rsidTr="00B57A8E">
        <w:tc>
          <w:tcPr>
            <w:tcW w:w="1560" w:type="dxa"/>
            <w:tcBorders>
              <w:top w:val="single" w:sz="4" w:space="0" w:color="auto"/>
            </w:tcBorders>
          </w:tcPr>
          <w:p w14:paraId="4FF07139" w14:textId="77777777" w:rsidR="005B4CAC" w:rsidRPr="00216489" w:rsidRDefault="005B4CAC" w:rsidP="005305FE">
            <w:pPr>
              <w:keepNext/>
              <w:keepLines/>
              <w:rPr>
                <w:rFonts w:cstheme="minorHAnsi"/>
              </w:rPr>
            </w:pPr>
          </w:p>
        </w:tc>
        <w:tc>
          <w:tcPr>
            <w:tcW w:w="5386" w:type="dxa"/>
            <w:gridSpan w:val="2"/>
            <w:tcBorders>
              <w:top w:val="single" w:sz="4" w:space="0" w:color="auto"/>
              <w:bottom w:val="single" w:sz="4" w:space="0" w:color="auto"/>
            </w:tcBorders>
          </w:tcPr>
          <w:p w14:paraId="33CCC6DA" w14:textId="3E7E0366" w:rsidR="005B4CAC" w:rsidRPr="00216489" w:rsidRDefault="005B4CAC" w:rsidP="005B4CAC">
            <w:pPr>
              <w:keepNext/>
              <w:keepLines/>
              <w:jc w:val="center"/>
              <w:rPr>
                <w:rFonts w:cstheme="minorHAnsi"/>
                <w:u w:val="single"/>
              </w:rPr>
            </w:pPr>
            <w:r w:rsidRPr="00216489">
              <w:rPr>
                <w:rFonts w:cstheme="minorHAnsi"/>
                <w:u w:val="single"/>
              </w:rPr>
              <w:t xml:space="preserve">Estimates of the Contribution of Planning Restrictions to Property Prices </w:t>
            </w:r>
          </w:p>
        </w:tc>
        <w:tc>
          <w:tcPr>
            <w:tcW w:w="2126" w:type="dxa"/>
            <w:tcBorders>
              <w:top w:val="single" w:sz="4" w:space="0" w:color="auto"/>
              <w:bottom w:val="single" w:sz="4" w:space="0" w:color="auto"/>
            </w:tcBorders>
          </w:tcPr>
          <w:p w14:paraId="51F5750E" w14:textId="64DA16AE" w:rsidR="005B4CAC" w:rsidRPr="00216489" w:rsidRDefault="005B4CAC" w:rsidP="005305FE">
            <w:pPr>
              <w:keepNext/>
              <w:keepLines/>
              <w:jc w:val="center"/>
              <w:rPr>
                <w:rFonts w:cstheme="minorHAnsi"/>
                <w:u w:val="single"/>
              </w:rPr>
            </w:pPr>
            <w:r w:rsidRPr="00216489">
              <w:rPr>
                <w:rFonts w:cstheme="minorHAnsi"/>
                <w:u w:val="single"/>
              </w:rPr>
              <w:t>Site Values</w:t>
            </w:r>
          </w:p>
        </w:tc>
      </w:tr>
      <w:tr w:rsidR="005305FE" w:rsidRPr="00216489" w14:paraId="61AF1AD5" w14:textId="77777777" w:rsidTr="00B57A8E">
        <w:tc>
          <w:tcPr>
            <w:tcW w:w="1560" w:type="dxa"/>
          </w:tcPr>
          <w:p w14:paraId="395677F5" w14:textId="474EF840" w:rsidR="005305FE" w:rsidRPr="00216489" w:rsidRDefault="005305FE" w:rsidP="005305FE">
            <w:pPr>
              <w:keepNext/>
              <w:keepLines/>
              <w:rPr>
                <w:rFonts w:cstheme="minorHAnsi"/>
              </w:rPr>
            </w:pPr>
          </w:p>
        </w:tc>
        <w:tc>
          <w:tcPr>
            <w:tcW w:w="2835" w:type="dxa"/>
            <w:tcBorders>
              <w:top w:val="single" w:sz="4" w:space="0" w:color="auto"/>
              <w:bottom w:val="single" w:sz="4" w:space="0" w:color="auto"/>
            </w:tcBorders>
          </w:tcPr>
          <w:p w14:paraId="35146811" w14:textId="4BFBB3DB" w:rsidR="005305FE" w:rsidRPr="00216489" w:rsidRDefault="005305FE" w:rsidP="005305FE">
            <w:pPr>
              <w:keepNext/>
              <w:keepLines/>
              <w:jc w:val="center"/>
              <w:rPr>
                <w:rFonts w:cstheme="minorHAnsi"/>
              </w:rPr>
            </w:pPr>
            <w:r w:rsidRPr="00216489">
              <w:rPr>
                <w:rFonts w:cstheme="minorHAnsi"/>
              </w:rPr>
              <w:t>Detached Houses, 2016</w:t>
            </w:r>
          </w:p>
        </w:tc>
        <w:tc>
          <w:tcPr>
            <w:tcW w:w="2551" w:type="dxa"/>
            <w:tcBorders>
              <w:top w:val="single" w:sz="4" w:space="0" w:color="auto"/>
              <w:bottom w:val="single" w:sz="4" w:space="0" w:color="auto"/>
            </w:tcBorders>
          </w:tcPr>
          <w:p w14:paraId="58CA7AA0" w14:textId="5A4B72D1" w:rsidR="005305FE" w:rsidRPr="00216489" w:rsidRDefault="005305FE" w:rsidP="005305FE">
            <w:pPr>
              <w:keepNext/>
              <w:keepLines/>
              <w:jc w:val="center"/>
              <w:rPr>
                <w:rFonts w:cstheme="minorHAnsi"/>
              </w:rPr>
            </w:pPr>
            <w:r w:rsidRPr="00216489">
              <w:rPr>
                <w:rFonts w:cstheme="minorHAnsi"/>
              </w:rPr>
              <w:t>Apartments, 2018</w:t>
            </w:r>
          </w:p>
        </w:tc>
        <w:tc>
          <w:tcPr>
            <w:tcW w:w="2126" w:type="dxa"/>
            <w:tcBorders>
              <w:top w:val="single" w:sz="4" w:space="0" w:color="auto"/>
              <w:bottom w:val="single" w:sz="4" w:space="0" w:color="auto"/>
            </w:tcBorders>
          </w:tcPr>
          <w:p w14:paraId="38E50808" w14:textId="073FABC3" w:rsidR="005305FE" w:rsidRPr="00216489" w:rsidRDefault="005305FE" w:rsidP="005305FE">
            <w:pPr>
              <w:keepNext/>
              <w:keepLines/>
              <w:jc w:val="center"/>
              <w:rPr>
                <w:rFonts w:cstheme="minorHAnsi"/>
              </w:rPr>
            </w:pPr>
            <w:r w:rsidRPr="00216489">
              <w:rPr>
                <w:rFonts w:cstheme="minorHAnsi"/>
              </w:rPr>
              <w:t>Apartments, 2020</w:t>
            </w:r>
          </w:p>
        </w:tc>
      </w:tr>
      <w:tr w:rsidR="005305FE" w:rsidRPr="00216489" w14:paraId="54E09CB5" w14:textId="77777777" w:rsidTr="00B57A8E">
        <w:tc>
          <w:tcPr>
            <w:tcW w:w="1560" w:type="dxa"/>
          </w:tcPr>
          <w:p w14:paraId="15A547DB" w14:textId="77777777" w:rsidR="005305FE" w:rsidRPr="00216489" w:rsidRDefault="005305FE" w:rsidP="005305FE">
            <w:pPr>
              <w:keepNext/>
              <w:keepLines/>
              <w:rPr>
                <w:rFonts w:cstheme="minorHAnsi"/>
              </w:rPr>
            </w:pPr>
            <w:r w:rsidRPr="00216489">
              <w:rPr>
                <w:rFonts w:cstheme="minorHAnsi"/>
              </w:rPr>
              <w:t>Sydney</w:t>
            </w:r>
          </w:p>
        </w:tc>
        <w:tc>
          <w:tcPr>
            <w:tcW w:w="2835" w:type="dxa"/>
            <w:tcBorders>
              <w:top w:val="single" w:sz="4" w:space="0" w:color="auto"/>
            </w:tcBorders>
          </w:tcPr>
          <w:p w14:paraId="45657B69" w14:textId="122FC0F0" w:rsidR="005305FE" w:rsidRPr="00216489" w:rsidRDefault="005305FE" w:rsidP="005305FE">
            <w:pPr>
              <w:keepNext/>
              <w:keepLines/>
              <w:jc w:val="center"/>
              <w:rPr>
                <w:rFonts w:cstheme="minorHAnsi"/>
              </w:rPr>
            </w:pPr>
            <w:r w:rsidRPr="00216489">
              <w:rPr>
                <w:rFonts w:cstheme="minorHAnsi"/>
              </w:rPr>
              <w:t>$489,000 (42%)</w:t>
            </w:r>
          </w:p>
        </w:tc>
        <w:tc>
          <w:tcPr>
            <w:tcW w:w="2551" w:type="dxa"/>
            <w:tcBorders>
              <w:top w:val="single" w:sz="4" w:space="0" w:color="auto"/>
            </w:tcBorders>
          </w:tcPr>
          <w:p w14:paraId="67280E08" w14:textId="1B80B04B" w:rsidR="005305FE" w:rsidRPr="00216489" w:rsidRDefault="005305FE" w:rsidP="005305FE">
            <w:pPr>
              <w:keepNext/>
              <w:keepLines/>
              <w:jc w:val="center"/>
              <w:rPr>
                <w:rFonts w:cstheme="minorHAnsi"/>
              </w:rPr>
            </w:pPr>
            <w:r w:rsidRPr="00216489">
              <w:rPr>
                <w:rFonts w:cstheme="minorHAnsi"/>
              </w:rPr>
              <w:t>$355,000 (41%)</w:t>
            </w:r>
          </w:p>
        </w:tc>
        <w:tc>
          <w:tcPr>
            <w:tcW w:w="2126" w:type="dxa"/>
            <w:tcBorders>
              <w:top w:val="single" w:sz="4" w:space="0" w:color="auto"/>
            </w:tcBorders>
          </w:tcPr>
          <w:p w14:paraId="010BF4DD" w14:textId="39EBA6EE" w:rsidR="005305FE" w:rsidRPr="00216489" w:rsidRDefault="005B4CAC" w:rsidP="005305FE">
            <w:pPr>
              <w:keepNext/>
              <w:keepLines/>
              <w:jc w:val="center"/>
              <w:rPr>
                <w:rFonts w:cstheme="minorHAnsi"/>
              </w:rPr>
            </w:pPr>
            <w:r w:rsidRPr="00216489">
              <w:rPr>
                <w:rFonts w:cstheme="minorHAnsi"/>
              </w:rPr>
              <w:t>$180,000</w:t>
            </w:r>
          </w:p>
        </w:tc>
      </w:tr>
      <w:tr w:rsidR="005305FE" w:rsidRPr="00216489" w14:paraId="40BBE0F4" w14:textId="77777777" w:rsidTr="00B57A8E">
        <w:tc>
          <w:tcPr>
            <w:tcW w:w="1560" w:type="dxa"/>
          </w:tcPr>
          <w:p w14:paraId="47E8BACC" w14:textId="77777777" w:rsidR="005305FE" w:rsidRPr="00216489" w:rsidRDefault="005305FE" w:rsidP="005305FE">
            <w:pPr>
              <w:keepNext/>
              <w:keepLines/>
              <w:rPr>
                <w:rFonts w:cstheme="minorHAnsi"/>
              </w:rPr>
            </w:pPr>
            <w:r w:rsidRPr="00216489">
              <w:rPr>
                <w:rFonts w:cstheme="minorHAnsi"/>
              </w:rPr>
              <w:t>Melbourne</w:t>
            </w:r>
          </w:p>
        </w:tc>
        <w:tc>
          <w:tcPr>
            <w:tcW w:w="2835" w:type="dxa"/>
          </w:tcPr>
          <w:p w14:paraId="3951182C" w14:textId="4D096BA3" w:rsidR="005305FE" w:rsidRPr="00216489" w:rsidRDefault="005305FE" w:rsidP="005305FE">
            <w:pPr>
              <w:keepNext/>
              <w:keepLines/>
              <w:jc w:val="center"/>
              <w:rPr>
                <w:rFonts w:cstheme="minorHAnsi"/>
              </w:rPr>
            </w:pPr>
            <w:r w:rsidRPr="00216489">
              <w:rPr>
                <w:rFonts w:cstheme="minorHAnsi"/>
              </w:rPr>
              <w:t>$324,000 (41%)</w:t>
            </w:r>
          </w:p>
        </w:tc>
        <w:tc>
          <w:tcPr>
            <w:tcW w:w="2551" w:type="dxa"/>
          </w:tcPr>
          <w:p w14:paraId="01BA9AE2" w14:textId="32F7E418" w:rsidR="005305FE" w:rsidRPr="00216489" w:rsidRDefault="005305FE" w:rsidP="005305FE">
            <w:pPr>
              <w:keepNext/>
              <w:keepLines/>
              <w:jc w:val="center"/>
              <w:rPr>
                <w:rFonts w:cstheme="minorHAnsi"/>
              </w:rPr>
            </w:pPr>
            <w:r w:rsidRPr="00216489">
              <w:rPr>
                <w:rFonts w:cstheme="minorHAnsi"/>
              </w:rPr>
              <w:t>$97,000 (16%)</w:t>
            </w:r>
          </w:p>
        </w:tc>
        <w:tc>
          <w:tcPr>
            <w:tcW w:w="2126" w:type="dxa"/>
          </w:tcPr>
          <w:p w14:paraId="76E8BDBF" w14:textId="1ECF8F7B" w:rsidR="005305FE" w:rsidRPr="00216489" w:rsidRDefault="005B4CAC" w:rsidP="005305FE">
            <w:pPr>
              <w:keepNext/>
              <w:keepLines/>
              <w:jc w:val="center"/>
              <w:rPr>
                <w:rFonts w:cstheme="minorHAnsi"/>
              </w:rPr>
            </w:pPr>
            <w:r w:rsidRPr="00216489">
              <w:rPr>
                <w:rFonts w:cstheme="minorHAnsi"/>
              </w:rPr>
              <w:t>$130,000</w:t>
            </w:r>
          </w:p>
        </w:tc>
      </w:tr>
      <w:tr w:rsidR="005305FE" w:rsidRPr="00216489" w14:paraId="2CC03B52" w14:textId="77777777" w:rsidTr="00B57A8E">
        <w:tc>
          <w:tcPr>
            <w:tcW w:w="1560" w:type="dxa"/>
          </w:tcPr>
          <w:p w14:paraId="02B1BD4C" w14:textId="77777777" w:rsidR="005305FE" w:rsidRPr="00216489" w:rsidRDefault="005305FE" w:rsidP="005305FE">
            <w:pPr>
              <w:keepNext/>
              <w:keepLines/>
              <w:rPr>
                <w:rFonts w:cstheme="minorHAnsi"/>
              </w:rPr>
            </w:pPr>
            <w:r w:rsidRPr="00216489">
              <w:rPr>
                <w:rFonts w:cstheme="minorHAnsi"/>
              </w:rPr>
              <w:t>Brisbane</w:t>
            </w:r>
          </w:p>
        </w:tc>
        <w:tc>
          <w:tcPr>
            <w:tcW w:w="2835" w:type="dxa"/>
          </w:tcPr>
          <w:p w14:paraId="0E45C2B2" w14:textId="7D732BBF" w:rsidR="005305FE" w:rsidRPr="00216489" w:rsidRDefault="005305FE" w:rsidP="005305FE">
            <w:pPr>
              <w:keepNext/>
              <w:keepLines/>
              <w:jc w:val="center"/>
              <w:rPr>
                <w:rFonts w:cstheme="minorHAnsi"/>
              </w:rPr>
            </w:pPr>
            <w:r w:rsidRPr="00216489">
              <w:rPr>
                <w:rFonts w:cstheme="minorHAnsi"/>
              </w:rPr>
              <w:t>$159,000 (29%)</w:t>
            </w:r>
          </w:p>
        </w:tc>
        <w:tc>
          <w:tcPr>
            <w:tcW w:w="2551" w:type="dxa"/>
          </w:tcPr>
          <w:p w14:paraId="5DB36C8D" w14:textId="6AF6450F" w:rsidR="005305FE" w:rsidRPr="00216489" w:rsidRDefault="005305FE" w:rsidP="005305FE">
            <w:pPr>
              <w:keepNext/>
              <w:keepLines/>
              <w:jc w:val="center"/>
              <w:rPr>
                <w:rFonts w:cstheme="minorHAnsi"/>
              </w:rPr>
            </w:pPr>
            <w:r w:rsidRPr="00216489">
              <w:rPr>
                <w:rFonts w:cstheme="minorHAnsi"/>
              </w:rPr>
              <w:t>$10,000 (2%)</w:t>
            </w:r>
          </w:p>
        </w:tc>
        <w:tc>
          <w:tcPr>
            <w:tcW w:w="2126" w:type="dxa"/>
          </w:tcPr>
          <w:p w14:paraId="6F9EAC03" w14:textId="6ADE4EC7" w:rsidR="005305FE" w:rsidRPr="00216489" w:rsidRDefault="008A5B2B" w:rsidP="008A5B2B">
            <w:pPr>
              <w:keepNext/>
              <w:keepLines/>
              <w:jc w:val="center"/>
              <w:rPr>
                <w:rFonts w:cstheme="minorHAnsi"/>
              </w:rPr>
            </w:pPr>
            <w:r w:rsidRPr="00216489">
              <w:rPr>
                <w:rFonts w:cstheme="minorHAnsi"/>
              </w:rPr>
              <w:t>$40,000</w:t>
            </w:r>
          </w:p>
        </w:tc>
      </w:tr>
      <w:tr w:rsidR="005305FE" w:rsidRPr="00216489" w14:paraId="389D2250" w14:textId="77777777" w:rsidTr="00B57A8E">
        <w:tc>
          <w:tcPr>
            <w:tcW w:w="1560" w:type="dxa"/>
          </w:tcPr>
          <w:p w14:paraId="65B08178" w14:textId="77777777" w:rsidR="005305FE" w:rsidRPr="00216489" w:rsidRDefault="005305FE" w:rsidP="005305FE">
            <w:pPr>
              <w:rPr>
                <w:rFonts w:cstheme="minorHAnsi"/>
              </w:rPr>
            </w:pPr>
            <w:r w:rsidRPr="00216489">
              <w:rPr>
                <w:rFonts w:cstheme="minorHAnsi"/>
              </w:rPr>
              <w:t>Perth</w:t>
            </w:r>
          </w:p>
        </w:tc>
        <w:tc>
          <w:tcPr>
            <w:tcW w:w="2835" w:type="dxa"/>
          </w:tcPr>
          <w:p w14:paraId="2F6497E4" w14:textId="46622EEE" w:rsidR="005305FE" w:rsidRPr="00216489" w:rsidRDefault="005305FE" w:rsidP="005305FE">
            <w:pPr>
              <w:jc w:val="center"/>
              <w:rPr>
                <w:rFonts w:cstheme="minorHAnsi"/>
              </w:rPr>
            </w:pPr>
            <w:r w:rsidRPr="00216489">
              <w:rPr>
                <w:rFonts w:cstheme="minorHAnsi"/>
              </w:rPr>
              <w:t>$206,000 (35%)</w:t>
            </w:r>
          </w:p>
        </w:tc>
        <w:tc>
          <w:tcPr>
            <w:tcW w:w="2551" w:type="dxa"/>
          </w:tcPr>
          <w:p w14:paraId="1DAFBB86" w14:textId="31EDCFB2" w:rsidR="005305FE" w:rsidRPr="00216489" w:rsidRDefault="005305FE" w:rsidP="008A5B2B">
            <w:pPr>
              <w:jc w:val="center"/>
              <w:rPr>
                <w:rFonts w:cstheme="minorHAnsi"/>
              </w:rPr>
            </w:pPr>
          </w:p>
        </w:tc>
        <w:tc>
          <w:tcPr>
            <w:tcW w:w="2126" w:type="dxa"/>
          </w:tcPr>
          <w:p w14:paraId="5058E9F4" w14:textId="713C3AB3" w:rsidR="005305FE" w:rsidRPr="00216489" w:rsidRDefault="005B4CAC" w:rsidP="005305FE">
            <w:pPr>
              <w:jc w:val="center"/>
              <w:rPr>
                <w:rFonts w:cstheme="minorHAnsi"/>
              </w:rPr>
            </w:pPr>
            <w:r w:rsidRPr="00216489">
              <w:rPr>
                <w:rFonts w:cstheme="minorHAnsi"/>
              </w:rPr>
              <w:t>$50,000</w:t>
            </w:r>
          </w:p>
        </w:tc>
      </w:tr>
      <w:tr w:rsidR="005305FE" w:rsidRPr="00216489" w14:paraId="06A60048" w14:textId="77777777" w:rsidTr="00B57A8E">
        <w:tc>
          <w:tcPr>
            <w:tcW w:w="1560" w:type="dxa"/>
          </w:tcPr>
          <w:p w14:paraId="1B8C6296" w14:textId="740E8832" w:rsidR="005305FE" w:rsidRPr="00216489" w:rsidRDefault="005B4CAC" w:rsidP="005305FE">
            <w:pPr>
              <w:rPr>
                <w:rFonts w:cstheme="minorHAnsi"/>
              </w:rPr>
            </w:pPr>
            <w:r w:rsidRPr="00216489">
              <w:rPr>
                <w:rFonts w:cstheme="minorHAnsi"/>
              </w:rPr>
              <w:t>Adelaide</w:t>
            </w:r>
          </w:p>
        </w:tc>
        <w:tc>
          <w:tcPr>
            <w:tcW w:w="2835" w:type="dxa"/>
          </w:tcPr>
          <w:p w14:paraId="1DC90486" w14:textId="77777777" w:rsidR="005305FE" w:rsidRPr="00216489" w:rsidRDefault="005305FE" w:rsidP="005305FE">
            <w:pPr>
              <w:jc w:val="center"/>
              <w:rPr>
                <w:rFonts w:cstheme="minorHAnsi"/>
              </w:rPr>
            </w:pPr>
          </w:p>
        </w:tc>
        <w:tc>
          <w:tcPr>
            <w:tcW w:w="2551" w:type="dxa"/>
          </w:tcPr>
          <w:p w14:paraId="06A8FC8C" w14:textId="77777777" w:rsidR="005305FE" w:rsidRPr="00216489" w:rsidRDefault="005305FE" w:rsidP="005305FE">
            <w:pPr>
              <w:jc w:val="center"/>
              <w:rPr>
                <w:rFonts w:cstheme="minorHAnsi"/>
              </w:rPr>
            </w:pPr>
          </w:p>
        </w:tc>
        <w:tc>
          <w:tcPr>
            <w:tcW w:w="2126" w:type="dxa"/>
          </w:tcPr>
          <w:p w14:paraId="3C209395" w14:textId="04172E64" w:rsidR="005305FE" w:rsidRPr="00216489" w:rsidRDefault="008A5B2B" w:rsidP="005305FE">
            <w:pPr>
              <w:jc w:val="center"/>
              <w:rPr>
                <w:rFonts w:cstheme="minorHAnsi"/>
              </w:rPr>
            </w:pPr>
            <w:r w:rsidRPr="00216489">
              <w:rPr>
                <w:rFonts w:cstheme="minorHAnsi"/>
              </w:rPr>
              <w:t>$40,000</w:t>
            </w:r>
          </w:p>
        </w:tc>
      </w:tr>
      <w:tr w:rsidR="005305FE" w:rsidRPr="00216489" w14:paraId="317CFF3A" w14:textId="77777777" w:rsidTr="00B57A8E">
        <w:tc>
          <w:tcPr>
            <w:tcW w:w="1560" w:type="dxa"/>
          </w:tcPr>
          <w:p w14:paraId="63E0808C" w14:textId="00D8D268" w:rsidR="005305FE" w:rsidRPr="00216489" w:rsidRDefault="005B4CAC" w:rsidP="005305FE">
            <w:pPr>
              <w:rPr>
                <w:rFonts w:cstheme="minorHAnsi"/>
              </w:rPr>
            </w:pPr>
            <w:r w:rsidRPr="00216489">
              <w:rPr>
                <w:rFonts w:cstheme="minorHAnsi"/>
              </w:rPr>
              <w:t>Gold Coast</w:t>
            </w:r>
          </w:p>
        </w:tc>
        <w:tc>
          <w:tcPr>
            <w:tcW w:w="2835" w:type="dxa"/>
          </w:tcPr>
          <w:p w14:paraId="36B06DE0" w14:textId="77777777" w:rsidR="005305FE" w:rsidRPr="00216489" w:rsidRDefault="005305FE" w:rsidP="005305FE">
            <w:pPr>
              <w:jc w:val="center"/>
              <w:rPr>
                <w:rFonts w:cstheme="minorHAnsi"/>
              </w:rPr>
            </w:pPr>
          </w:p>
        </w:tc>
        <w:tc>
          <w:tcPr>
            <w:tcW w:w="2551" w:type="dxa"/>
          </w:tcPr>
          <w:p w14:paraId="2973FD3F" w14:textId="77777777" w:rsidR="005305FE" w:rsidRPr="00216489" w:rsidRDefault="005305FE" w:rsidP="005305FE">
            <w:pPr>
              <w:jc w:val="center"/>
              <w:rPr>
                <w:rFonts w:cstheme="minorHAnsi"/>
              </w:rPr>
            </w:pPr>
          </w:p>
        </w:tc>
        <w:tc>
          <w:tcPr>
            <w:tcW w:w="2126" w:type="dxa"/>
          </w:tcPr>
          <w:p w14:paraId="61C72FAE" w14:textId="338249B1" w:rsidR="005305FE" w:rsidRPr="00216489" w:rsidRDefault="005B4CAC" w:rsidP="005305FE">
            <w:pPr>
              <w:jc w:val="center"/>
              <w:rPr>
                <w:rFonts w:cstheme="minorHAnsi"/>
              </w:rPr>
            </w:pPr>
            <w:r w:rsidRPr="00216489">
              <w:rPr>
                <w:rFonts w:cstheme="minorHAnsi"/>
              </w:rPr>
              <w:t>$80,000</w:t>
            </w:r>
          </w:p>
        </w:tc>
      </w:tr>
      <w:tr w:rsidR="005305FE" w:rsidRPr="00216489" w14:paraId="750C49CB" w14:textId="77777777" w:rsidTr="00B57A8E">
        <w:tc>
          <w:tcPr>
            <w:tcW w:w="1560" w:type="dxa"/>
          </w:tcPr>
          <w:p w14:paraId="338FAD12" w14:textId="1365BCC1" w:rsidR="005305FE" w:rsidRPr="00216489" w:rsidRDefault="005B4CAC" w:rsidP="005305FE">
            <w:pPr>
              <w:rPr>
                <w:rFonts w:cstheme="minorHAnsi"/>
              </w:rPr>
            </w:pPr>
            <w:r w:rsidRPr="00216489">
              <w:rPr>
                <w:rFonts w:cstheme="minorHAnsi"/>
              </w:rPr>
              <w:t>Canberra</w:t>
            </w:r>
          </w:p>
        </w:tc>
        <w:tc>
          <w:tcPr>
            <w:tcW w:w="2835" w:type="dxa"/>
          </w:tcPr>
          <w:p w14:paraId="29EF57D1" w14:textId="77777777" w:rsidR="005305FE" w:rsidRPr="00216489" w:rsidRDefault="005305FE" w:rsidP="005305FE">
            <w:pPr>
              <w:jc w:val="center"/>
              <w:rPr>
                <w:rFonts w:cstheme="minorHAnsi"/>
              </w:rPr>
            </w:pPr>
          </w:p>
        </w:tc>
        <w:tc>
          <w:tcPr>
            <w:tcW w:w="2551" w:type="dxa"/>
          </w:tcPr>
          <w:p w14:paraId="5E08C351" w14:textId="77777777" w:rsidR="005305FE" w:rsidRPr="00216489" w:rsidRDefault="005305FE" w:rsidP="005305FE">
            <w:pPr>
              <w:jc w:val="center"/>
              <w:rPr>
                <w:rFonts w:cstheme="minorHAnsi"/>
              </w:rPr>
            </w:pPr>
          </w:p>
        </w:tc>
        <w:tc>
          <w:tcPr>
            <w:tcW w:w="2126" w:type="dxa"/>
          </w:tcPr>
          <w:p w14:paraId="1139E4D4" w14:textId="792124B7" w:rsidR="005305FE" w:rsidRPr="00216489" w:rsidRDefault="008A5B2B" w:rsidP="005305FE">
            <w:pPr>
              <w:jc w:val="center"/>
              <w:rPr>
                <w:rFonts w:cstheme="minorHAnsi"/>
              </w:rPr>
            </w:pPr>
            <w:r w:rsidRPr="00216489">
              <w:rPr>
                <w:rFonts w:cstheme="minorHAnsi"/>
              </w:rPr>
              <w:t>$80,000</w:t>
            </w:r>
          </w:p>
        </w:tc>
      </w:tr>
      <w:tr w:rsidR="005305FE" w:rsidRPr="00216489" w14:paraId="5EC2B6F4" w14:textId="77777777" w:rsidTr="00B57A8E">
        <w:tc>
          <w:tcPr>
            <w:tcW w:w="1560" w:type="dxa"/>
          </w:tcPr>
          <w:p w14:paraId="040CEF52" w14:textId="7D740B47" w:rsidR="005305FE" w:rsidRPr="00216489" w:rsidRDefault="005B4CAC" w:rsidP="005305FE">
            <w:pPr>
              <w:rPr>
                <w:rFonts w:cstheme="minorHAnsi"/>
              </w:rPr>
            </w:pPr>
            <w:r w:rsidRPr="00216489">
              <w:rPr>
                <w:rFonts w:cstheme="minorHAnsi"/>
              </w:rPr>
              <w:t>Hobart</w:t>
            </w:r>
          </w:p>
        </w:tc>
        <w:tc>
          <w:tcPr>
            <w:tcW w:w="2835" w:type="dxa"/>
          </w:tcPr>
          <w:p w14:paraId="7F45D9ED" w14:textId="77777777" w:rsidR="005305FE" w:rsidRPr="00216489" w:rsidRDefault="005305FE" w:rsidP="005305FE">
            <w:pPr>
              <w:jc w:val="center"/>
              <w:rPr>
                <w:rFonts w:cstheme="minorHAnsi"/>
              </w:rPr>
            </w:pPr>
          </w:p>
        </w:tc>
        <w:tc>
          <w:tcPr>
            <w:tcW w:w="2551" w:type="dxa"/>
          </w:tcPr>
          <w:p w14:paraId="35C661B1" w14:textId="77777777" w:rsidR="005305FE" w:rsidRPr="00216489" w:rsidRDefault="005305FE" w:rsidP="005305FE">
            <w:pPr>
              <w:jc w:val="center"/>
              <w:rPr>
                <w:rFonts w:cstheme="minorHAnsi"/>
              </w:rPr>
            </w:pPr>
          </w:p>
        </w:tc>
        <w:tc>
          <w:tcPr>
            <w:tcW w:w="2126" w:type="dxa"/>
          </w:tcPr>
          <w:p w14:paraId="169EA23D" w14:textId="50272C39" w:rsidR="005305FE" w:rsidRPr="00216489" w:rsidRDefault="005B4CAC" w:rsidP="005305FE">
            <w:pPr>
              <w:jc w:val="center"/>
              <w:rPr>
                <w:rFonts w:cstheme="minorHAnsi"/>
              </w:rPr>
            </w:pPr>
            <w:r w:rsidRPr="00216489">
              <w:rPr>
                <w:rFonts w:cstheme="minorHAnsi"/>
              </w:rPr>
              <w:t>$100,000</w:t>
            </w:r>
          </w:p>
        </w:tc>
      </w:tr>
      <w:tr w:rsidR="005305FE" w:rsidRPr="00216489" w14:paraId="292ADF4D" w14:textId="77777777" w:rsidTr="00B57A8E">
        <w:tc>
          <w:tcPr>
            <w:tcW w:w="1560" w:type="dxa"/>
          </w:tcPr>
          <w:p w14:paraId="4634AB44" w14:textId="749F1329" w:rsidR="005305FE" w:rsidRPr="00216489" w:rsidRDefault="005B4CAC" w:rsidP="005305FE">
            <w:pPr>
              <w:rPr>
                <w:rFonts w:cstheme="minorHAnsi"/>
              </w:rPr>
            </w:pPr>
            <w:r w:rsidRPr="00216489">
              <w:rPr>
                <w:rFonts w:cstheme="minorHAnsi"/>
              </w:rPr>
              <w:t>Darwin</w:t>
            </w:r>
          </w:p>
        </w:tc>
        <w:tc>
          <w:tcPr>
            <w:tcW w:w="2835" w:type="dxa"/>
          </w:tcPr>
          <w:p w14:paraId="6D9B1C34" w14:textId="77777777" w:rsidR="005305FE" w:rsidRPr="00216489" w:rsidRDefault="005305FE" w:rsidP="005305FE">
            <w:pPr>
              <w:jc w:val="center"/>
              <w:rPr>
                <w:rFonts w:cstheme="minorHAnsi"/>
              </w:rPr>
            </w:pPr>
          </w:p>
        </w:tc>
        <w:tc>
          <w:tcPr>
            <w:tcW w:w="2551" w:type="dxa"/>
          </w:tcPr>
          <w:p w14:paraId="7295E22F" w14:textId="77777777" w:rsidR="005305FE" w:rsidRPr="00216489" w:rsidRDefault="005305FE" w:rsidP="005305FE">
            <w:pPr>
              <w:jc w:val="center"/>
              <w:rPr>
                <w:rFonts w:cstheme="minorHAnsi"/>
              </w:rPr>
            </w:pPr>
          </w:p>
        </w:tc>
        <w:tc>
          <w:tcPr>
            <w:tcW w:w="2126" w:type="dxa"/>
          </w:tcPr>
          <w:p w14:paraId="7B132978" w14:textId="2DCA973D" w:rsidR="005305FE" w:rsidRPr="00216489" w:rsidRDefault="005B4CAC" w:rsidP="005305FE">
            <w:pPr>
              <w:jc w:val="center"/>
              <w:rPr>
                <w:rFonts w:cstheme="minorHAnsi"/>
              </w:rPr>
            </w:pPr>
            <w:r w:rsidRPr="00216489">
              <w:rPr>
                <w:rFonts w:cstheme="minorHAnsi"/>
              </w:rPr>
              <w:t>$50,000</w:t>
            </w:r>
          </w:p>
        </w:tc>
      </w:tr>
      <w:tr w:rsidR="005305FE" w:rsidRPr="00216489" w14:paraId="2CA5A4E3" w14:textId="77777777" w:rsidTr="00B57A8E">
        <w:tc>
          <w:tcPr>
            <w:tcW w:w="1560" w:type="dxa"/>
          </w:tcPr>
          <w:p w14:paraId="48FC52E3" w14:textId="77777777" w:rsidR="005305FE" w:rsidRPr="00216489" w:rsidRDefault="005305FE" w:rsidP="005305FE">
            <w:pPr>
              <w:rPr>
                <w:rFonts w:cstheme="minorHAnsi"/>
              </w:rPr>
            </w:pPr>
          </w:p>
        </w:tc>
        <w:tc>
          <w:tcPr>
            <w:tcW w:w="2835" w:type="dxa"/>
          </w:tcPr>
          <w:p w14:paraId="13049C65" w14:textId="77777777" w:rsidR="005305FE" w:rsidRPr="00216489" w:rsidRDefault="005305FE" w:rsidP="005305FE">
            <w:pPr>
              <w:jc w:val="center"/>
              <w:rPr>
                <w:rFonts w:cstheme="minorHAnsi"/>
              </w:rPr>
            </w:pPr>
          </w:p>
        </w:tc>
        <w:tc>
          <w:tcPr>
            <w:tcW w:w="2551" w:type="dxa"/>
          </w:tcPr>
          <w:p w14:paraId="32F07E92" w14:textId="77777777" w:rsidR="005305FE" w:rsidRPr="00216489" w:rsidRDefault="005305FE" w:rsidP="005305FE">
            <w:pPr>
              <w:jc w:val="center"/>
              <w:rPr>
                <w:rFonts w:cstheme="minorHAnsi"/>
              </w:rPr>
            </w:pPr>
          </w:p>
        </w:tc>
        <w:tc>
          <w:tcPr>
            <w:tcW w:w="2126" w:type="dxa"/>
          </w:tcPr>
          <w:p w14:paraId="4F348380" w14:textId="77777777" w:rsidR="005305FE" w:rsidRPr="00216489" w:rsidRDefault="005305FE" w:rsidP="005305FE">
            <w:pPr>
              <w:jc w:val="center"/>
              <w:rPr>
                <w:rFonts w:cstheme="minorHAnsi"/>
              </w:rPr>
            </w:pPr>
          </w:p>
        </w:tc>
      </w:tr>
      <w:tr w:rsidR="005305FE" w:rsidRPr="00216489" w14:paraId="2412DF9A" w14:textId="77777777" w:rsidTr="00B57A8E">
        <w:tc>
          <w:tcPr>
            <w:tcW w:w="1560" w:type="dxa"/>
            <w:tcBorders>
              <w:bottom w:val="single" w:sz="4" w:space="0" w:color="auto"/>
            </w:tcBorders>
          </w:tcPr>
          <w:p w14:paraId="0C44FD02" w14:textId="184F39AA" w:rsidR="005305FE" w:rsidRPr="00216489" w:rsidRDefault="005305FE" w:rsidP="005305FE">
            <w:pPr>
              <w:rPr>
                <w:rFonts w:cstheme="minorHAnsi"/>
              </w:rPr>
            </w:pPr>
            <w:r w:rsidRPr="00216489">
              <w:rPr>
                <w:rFonts w:cstheme="minorHAnsi"/>
              </w:rPr>
              <w:t xml:space="preserve">Source: </w:t>
            </w:r>
          </w:p>
        </w:tc>
        <w:tc>
          <w:tcPr>
            <w:tcW w:w="2835" w:type="dxa"/>
            <w:tcBorders>
              <w:bottom w:val="single" w:sz="4" w:space="0" w:color="auto"/>
            </w:tcBorders>
          </w:tcPr>
          <w:p w14:paraId="4EAFFCA8" w14:textId="60E00CF3" w:rsidR="005305FE" w:rsidRPr="00216489" w:rsidRDefault="005305FE" w:rsidP="005305FE">
            <w:pPr>
              <w:jc w:val="center"/>
              <w:rPr>
                <w:rFonts w:cstheme="minorHAnsi"/>
              </w:rPr>
            </w:pPr>
            <w:r w:rsidRPr="00216489">
              <w:rPr>
                <w:rFonts w:cstheme="minorHAnsi"/>
              </w:rPr>
              <w:t>Kendall and Tulip (</w:t>
            </w:r>
            <w:hyperlink r:id="rId17" w:history="1">
              <w:r w:rsidRPr="000A0D2C">
                <w:rPr>
                  <w:rStyle w:val="Hyperlink"/>
                  <w:rFonts w:cstheme="minorHAnsi"/>
                </w:rPr>
                <w:t>2018</w:t>
              </w:r>
            </w:hyperlink>
            <w:r w:rsidRPr="00216489">
              <w:rPr>
                <w:rFonts w:cstheme="minorHAnsi"/>
              </w:rPr>
              <w:t>)</w:t>
            </w:r>
          </w:p>
        </w:tc>
        <w:tc>
          <w:tcPr>
            <w:tcW w:w="2551" w:type="dxa"/>
            <w:tcBorders>
              <w:bottom w:val="single" w:sz="4" w:space="0" w:color="auto"/>
            </w:tcBorders>
          </w:tcPr>
          <w:p w14:paraId="66CE00C1" w14:textId="63531A81" w:rsidR="005305FE" w:rsidRPr="00216489" w:rsidRDefault="005305FE" w:rsidP="005305FE">
            <w:pPr>
              <w:jc w:val="center"/>
              <w:rPr>
                <w:rFonts w:cstheme="minorHAnsi"/>
              </w:rPr>
            </w:pPr>
            <w:r w:rsidRPr="00216489">
              <w:rPr>
                <w:rFonts w:cstheme="minorHAnsi"/>
              </w:rPr>
              <w:t>Jenner and Tulip (</w:t>
            </w:r>
            <w:hyperlink r:id="rId18" w:history="1">
              <w:r w:rsidRPr="003474AA">
                <w:rPr>
                  <w:rStyle w:val="Hyperlink"/>
                  <w:rFonts w:cstheme="minorHAnsi"/>
                </w:rPr>
                <w:t>2020</w:t>
              </w:r>
            </w:hyperlink>
            <w:r w:rsidRPr="00216489">
              <w:rPr>
                <w:rFonts w:cstheme="minorHAnsi"/>
              </w:rPr>
              <w:t>)</w:t>
            </w:r>
          </w:p>
        </w:tc>
        <w:tc>
          <w:tcPr>
            <w:tcW w:w="2126" w:type="dxa"/>
            <w:tcBorders>
              <w:bottom w:val="single" w:sz="4" w:space="0" w:color="auto"/>
            </w:tcBorders>
          </w:tcPr>
          <w:p w14:paraId="1267E61B" w14:textId="4D10739E" w:rsidR="005305FE" w:rsidRPr="00216489" w:rsidRDefault="00BB3073" w:rsidP="005305FE">
            <w:pPr>
              <w:jc w:val="center"/>
              <w:rPr>
                <w:rFonts w:cstheme="minorHAnsi"/>
              </w:rPr>
            </w:pPr>
            <w:hyperlink r:id="rId19" w:history="1">
              <w:r w:rsidR="00B57A8E">
                <w:t xml:space="preserve"> </w:t>
              </w:r>
              <w:r w:rsidR="00B57A8E" w:rsidRPr="00B57A8E">
                <w:t>Knight Frank</w:t>
              </w:r>
              <w:r w:rsidR="00B57A8E">
                <w:t xml:space="preserve"> </w:t>
              </w:r>
              <w:r w:rsidR="008A5B2B" w:rsidRPr="00216489">
                <w:rPr>
                  <w:rStyle w:val="Hyperlink"/>
                  <w:rFonts w:cstheme="minorHAnsi"/>
                </w:rPr>
                <w:t>(2021)</w:t>
              </w:r>
            </w:hyperlink>
          </w:p>
        </w:tc>
      </w:tr>
    </w:tbl>
    <w:p w14:paraId="7F3A23B6" w14:textId="490AF7C7" w:rsidR="00177FAE" w:rsidRPr="00216489" w:rsidRDefault="00177FAE" w:rsidP="00177FAE">
      <w:pPr>
        <w:rPr>
          <w:rFonts w:cstheme="minorHAnsi"/>
        </w:rPr>
      </w:pPr>
    </w:p>
    <w:p w14:paraId="6C82DD23" w14:textId="6ACAEBF6" w:rsidR="00D32D3A" w:rsidRPr="00216489" w:rsidRDefault="00501BA5" w:rsidP="00D32D3A">
      <w:pPr>
        <w:rPr>
          <w:rFonts w:cstheme="minorHAnsi"/>
        </w:rPr>
      </w:pPr>
      <w:r w:rsidRPr="00216489">
        <w:rPr>
          <w:rFonts w:cstheme="minorHAnsi"/>
        </w:rPr>
        <w:t xml:space="preserve">The </w:t>
      </w:r>
      <w:r w:rsidR="008A5B2B" w:rsidRPr="00216489">
        <w:rPr>
          <w:rFonts w:cstheme="minorHAnsi"/>
        </w:rPr>
        <w:t xml:space="preserve">sources in the </w:t>
      </w:r>
      <w:r w:rsidR="004C1678">
        <w:rPr>
          <w:rFonts w:cstheme="minorHAnsi"/>
        </w:rPr>
        <w:t xml:space="preserve">last row of the </w:t>
      </w:r>
      <w:r w:rsidR="008A5B2B" w:rsidRPr="00216489">
        <w:rPr>
          <w:rFonts w:cstheme="minorHAnsi"/>
        </w:rPr>
        <w:t>table</w:t>
      </w:r>
      <w:r w:rsidR="002B65A7" w:rsidRPr="00216489">
        <w:rPr>
          <w:rFonts w:cstheme="minorHAnsi"/>
        </w:rPr>
        <w:t xml:space="preserve"> give details of how the estimates are constructed</w:t>
      </w:r>
      <w:r w:rsidR="008A5B2B" w:rsidRPr="00216489">
        <w:rPr>
          <w:rFonts w:cstheme="minorHAnsi"/>
        </w:rPr>
        <w:t>. For a summary of the estimat</w:t>
      </w:r>
      <w:r w:rsidR="00B37829" w:rsidRPr="00216489">
        <w:rPr>
          <w:rFonts w:cstheme="minorHAnsi"/>
        </w:rPr>
        <w:t>e</w:t>
      </w:r>
      <w:r w:rsidR="008A5B2B" w:rsidRPr="00216489">
        <w:rPr>
          <w:rFonts w:cstheme="minorHAnsi"/>
        </w:rPr>
        <w:t>s in the first two columns see Tulip (</w:t>
      </w:r>
      <w:hyperlink r:id="rId20" w:history="1">
        <w:r w:rsidR="008A5B2B" w:rsidRPr="00ED1CBE">
          <w:rPr>
            <w:rStyle w:val="Hyperlink"/>
            <w:rFonts w:cstheme="minorHAnsi"/>
          </w:rPr>
          <w:t>2020</w:t>
        </w:r>
      </w:hyperlink>
      <w:r w:rsidR="008A5B2B" w:rsidRPr="00216489">
        <w:rPr>
          <w:rFonts w:cstheme="minorHAnsi"/>
        </w:rPr>
        <w:t>).</w:t>
      </w:r>
      <w:r w:rsidR="001A3B73">
        <w:rPr>
          <w:rFonts w:cstheme="minorHAnsi"/>
        </w:rPr>
        <w:t xml:space="preserve"> </w:t>
      </w:r>
    </w:p>
    <w:p w14:paraId="283D76EC" w14:textId="4A5AC94D" w:rsidR="00D32D3A" w:rsidRPr="00216489" w:rsidRDefault="00D32D3A" w:rsidP="00D32D3A">
      <w:pPr>
        <w:rPr>
          <w:rFonts w:cstheme="minorHAnsi"/>
        </w:rPr>
      </w:pPr>
      <w:r w:rsidRPr="00216489">
        <w:rPr>
          <w:rFonts w:cstheme="minorHAnsi"/>
        </w:rPr>
        <w:t xml:space="preserve">The </w:t>
      </w:r>
      <w:r w:rsidR="001A3B73">
        <w:rPr>
          <w:rFonts w:cstheme="minorHAnsi"/>
        </w:rPr>
        <w:t>‘</w:t>
      </w:r>
      <w:r w:rsidRPr="00216489">
        <w:rPr>
          <w:rFonts w:cstheme="minorHAnsi"/>
        </w:rPr>
        <w:t>site values</w:t>
      </w:r>
      <w:r w:rsidR="001A3B73">
        <w:rPr>
          <w:rFonts w:cstheme="minorHAnsi"/>
        </w:rPr>
        <w:t>’</w:t>
      </w:r>
      <w:r w:rsidRPr="00216489">
        <w:rPr>
          <w:rFonts w:cstheme="minorHAnsi"/>
        </w:rPr>
        <w:t xml:space="preserve"> in </w:t>
      </w:r>
      <w:r w:rsidR="008A5B2B" w:rsidRPr="00216489">
        <w:rPr>
          <w:rFonts w:cstheme="minorHAnsi"/>
        </w:rPr>
        <w:t>column 3</w:t>
      </w:r>
      <w:r w:rsidR="004C1678">
        <w:rPr>
          <w:rFonts w:cstheme="minorHAnsi"/>
        </w:rPr>
        <w:t>, sometimes called</w:t>
      </w:r>
      <w:r w:rsidR="008A5B2B" w:rsidRPr="00216489">
        <w:rPr>
          <w:rFonts w:cstheme="minorHAnsi"/>
        </w:rPr>
        <w:t xml:space="preserve"> </w:t>
      </w:r>
      <w:r w:rsidR="004C1678" w:rsidRPr="00216489">
        <w:rPr>
          <w:rFonts w:cstheme="minorHAnsi"/>
        </w:rPr>
        <w:t xml:space="preserve">the </w:t>
      </w:r>
      <w:r w:rsidR="001A3B73">
        <w:rPr>
          <w:rFonts w:cstheme="minorHAnsi"/>
        </w:rPr>
        <w:t>‘</w:t>
      </w:r>
      <w:r w:rsidR="004C1678">
        <w:rPr>
          <w:rFonts w:cstheme="minorHAnsi"/>
        </w:rPr>
        <w:t>residual land value</w:t>
      </w:r>
      <w:r w:rsidR="001A3B73">
        <w:rPr>
          <w:rFonts w:cstheme="minorHAnsi"/>
        </w:rPr>
        <w:t>’ of apartment buildings</w:t>
      </w:r>
      <w:r w:rsidR="004C1678">
        <w:rPr>
          <w:rFonts w:cstheme="minorHAnsi"/>
        </w:rPr>
        <w:t xml:space="preserve">, </w:t>
      </w:r>
      <w:r w:rsidRPr="00216489">
        <w:rPr>
          <w:rFonts w:cstheme="minorHAnsi"/>
        </w:rPr>
        <w:t xml:space="preserve">are not directly our </w:t>
      </w:r>
      <w:r w:rsidR="00C17372" w:rsidRPr="00216489">
        <w:rPr>
          <w:rFonts w:cstheme="minorHAnsi"/>
        </w:rPr>
        <w:t>focus but</w:t>
      </w:r>
      <w:r w:rsidRPr="00216489">
        <w:rPr>
          <w:rFonts w:cstheme="minorHAnsi"/>
        </w:rPr>
        <w:t xml:space="preserve"> </w:t>
      </w:r>
      <w:r w:rsidR="008557E5" w:rsidRPr="00216489">
        <w:rPr>
          <w:rFonts w:cstheme="minorHAnsi"/>
        </w:rPr>
        <w:t>provide a useful comparison</w:t>
      </w:r>
      <w:r w:rsidR="00B61CCD" w:rsidRPr="00216489">
        <w:rPr>
          <w:rFonts w:cstheme="minorHAnsi"/>
        </w:rPr>
        <w:t>.</w:t>
      </w:r>
      <w:r w:rsidR="001A3B73">
        <w:rPr>
          <w:rFonts w:cstheme="minorHAnsi"/>
        </w:rPr>
        <w:t xml:space="preserve"> </w:t>
      </w:r>
      <w:r w:rsidR="00B61CCD" w:rsidRPr="00216489">
        <w:rPr>
          <w:rFonts w:cstheme="minorHAnsi"/>
        </w:rPr>
        <w:t>Site values</w:t>
      </w:r>
      <w:r w:rsidR="00510FAC" w:rsidRPr="00216489">
        <w:rPr>
          <w:rFonts w:cstheme="minorHAnsi"/>
        </w:rPr>
        <w:t xml:space="preserve">, like the effect of planning, essentially reflect </w:t>
      </w:r>
      <w:r w:rsidR="00FB03CC">
        <w:rPr>
          <w:rFonts w:cstheme="minorHAnsi"/>
        </w:rPr>
        <w:t xml:space="preserve">the </w:t>
      </w:r>
      <w:r w:rsidR="00510FAC" w:rsidRPr="00216489">
        <w:rPr>
          <w:rFonts w:cstheme="minorHAnsi"/>
        </w:rPr>
        <w:t>per-</w:t>
      </w:r>
      <w:r w:rsidR="00A622F7" w:rsidRPr="00216489">
        <w:rPr>
          <w:rFonts w:cstheme="minorHAnsi"/>
        </w:rPr>
        <w:t>apa</w:t>
      </w:r>
      <w:r w:rsidR="00B37118" w:rsidRPr="00216489">
        <w:rPr>
          <w:rFonts w:cstheme="minorHAnsi"/>
        </w:rPr>
        <w:t>r</w:t>
      </w:r>
      <w:r w:rsidR="00A622F7" w:rsidRPr="00216489">
        <w:rPr>
          <w:rFonts w:cstheme="minorHAnsi"/>
        </w:rPr>
        <w:t>tment</w:t>
      </w:r>
      <w:r w:rsidR="00510FAC" w:rsidRPr="00216489">
        <w:rPr>
          <w:rFonts w:cstheme="minorHAnsi"/>
        </w:rPr>
        <w:t xml:space="preserve"> difference between sales prices and </w:t>
      </w:r>
      <w:r w:rsidR="00147CFB" w:rsidRPr="00216489">
        <w:rPr>
          <w:rFonts w:cstheme="minorHAnsi"/>
        </w:rPr>
        <w:t>costs.</w:t>
      </w:r>
      <w:r w:rsidR="001A3B73">
        <w:rPr>
          <w:rFonts w:cstheme="minorHAnsi"/>
        </w:rPr>
        <w:t xml:space="preserve"> </w:t>
      </w:r>
      <w:r w:rsidR="00147CFB" w:rsidRPr="00216489">
        <w:rPr>
          <w:rFonts w:cstheme="minorHAnsi"/>
        </w:rPr>
        <w:t>As such, they provide</w:t>
      </w:r>
      <w:r w:rsidRPr="00216489">
        <w:rPr>
          <w:rFonts w:cstheme="minorHAnsi"/>
        </w:rPr>
        <w:t xml:space="preserve"> </w:t>
      </w:r>
      <w:r w:rsidR="008A5B2B" w:rsidRPr="00216489">
        <w:rPr>
          <w:rFonts w:cstheme="minorHAnsi"/>
        </w:rPr>
        <w:t xml:space="preserve">an independent </w:t>
      </w:r>
      <w:r w:rsidR="00726947" w:rsidRPr="00216489">
        <w:rPr>
          <w:rFonts w:cstheme="minorHAnsi"/>
        </w:rPr>
        <w:t>check on the est</w:t>
      </w:r>
      <w:r w:rsidR="006C1CAD" w:rsidRPr="00216489">
        <w:rPr>
          <w:rFonts w:cstheme="minorHAnsi"/>
        </w:rPr>
        <w:t>i</w:t>
      </w:r>
      <w:r w:rsidR="00726947" w:rsidRPr="00216489">
        <w:rPr>
          <w:rFonts w:cstheme="minorHAnsi"/>
        </w:rPr>
        <w:t>mates</w:t>
      </w:r>
      <w:r w:rsidR="00A50F46">
        <w:rPr>
          <w:rFonts w:cstheme="minorHAnsi"/>
        </w:rPr>
        <w:t xml:space="preserve">, though there are </w:t>
      </w:r>
      <w:r w:rsidR="004C1678">
        <w:t>differ</w:t>
      </w:r>
      <w:r w:rsidR="00A50F46">
        <w:t>ences</w:t>
      </w:r>
      <w:r w:rsidR="004C1678">
        <w:t xml:space="preserve"> reflecting different </w:t>
      </w:r>
      <w:r w:rsidR="004C1678">
        <w:lastRenderedPageBreak/>
        <w:t>coverage, definitions, weighting and timing.</w:t>
      </w:r>
      <w:r w:rsidR="001A3B73">
        <w:t xml:space="preserve"> </w:t>
      </w:r>
      <w:r w:rsidR="008A5B2B" w:rsidRPr="00216489">
        <w:rPr>
          <w:rFonts w:cstheme="minorHAnsi"/>
        </w:rPr>
        <w:t>The</w:t>
      </w:r>
      <w:r w:rsidR="004C1678">
        <w:rPr>
          <w:rFonts w:cstheme="minorHAnsi"/>
        </w:rPr>
        <w:t xml:space="preserve"> site values in Table 1</w:t>
      </w:r>
      <w:r w:rsidR="008A5B2B" w:rsidRPr="00216489">
        <w:rPr>
          <w:rFonts w:cstheme="minorHAnsi"/>
        </w:rPr>
        <w:t xml:space="preserve"> </w:t>
      </w:r>
      <w:r w:rsidR="001E42BA" w:rsidRPr="00216489">
        <w:rPr>
          <w:rFonts w:cstheme="minorHAnsi"/>
        </w:rPr>
        <w:t xml:space="preserve">are compiled </w:t>
      </w:r>
      <w:r w:rsidR="001A10D5" w:rsidRPr="00216489">
        <w:rPr>
          <w:rFonts w:cstheme="minorHAnsi"/>
        </w:rPr>
        <w:t xml:space="preserve">and regularly updated </w:t>
      </w:r>
      <w:r w:rsidR="001E42BA" w:rsidRPr="00216489">
        <w:rPr>
          <w:rFonts w:cstheme="minorHAnsi"/>
        </w:rPr>
        <w:t>by Knight Frank</w:t>
      </w:r>
      <w:r w:rsidR="004B79BF" w:rsidRPr="00216489">
        <w:rPr>
          <w:rFonts w:cstheme="minorHAnsi"/>
        </w:rPr>
        <w:t>,</w:t>
      </w:r>
      <w:r w:rsidR="001E42BA" w:rsidRPr="00216489">
        <w:rPr>
          <w:rFonts w:cstheme="minorHAnsi"/>
        </w:rPr>
        <w:t xml:space="preserve"> one of Australia’s leading property consultancies.</w:t>
      </w:r>
      <w:r w:rsidR="001E42BA" w:rsidRPr="00216489">
        <w:rPr>
          <w:rStyle w:val="FootnoteReference"/>
          <w:rFonts w:cstheme="minorHAnsi"/>
        </w:rPr>
        <w:footnoteReference w:id="1"/>
      </w:r>
      <w:r w:rsidR="001E42BA" w:rsidRPr="00216489">
        <w:rPr>
          <w:rFonts w:cstheme="minorHAnsi"/>
        </w:rPr>
        <w:t xml:space="preserve"> </w:t>
      </w:r>
      <w:r w:rsidR="008F1B5F" w:rsidRPr="00216489">
        <w:rPr>
          <w:rFonts w:cstheme="minorHAnsi"/>
        </w:rPr>
        <w:t xml:space="preserve">They are </w:t>
      </w:r>
      <w:r w:rsidR="008D1BD7" w:rsidRPr="00216489">
        <w:rPr>
          <w:rFonts w:cstheme="minorHAnsi"/>
        </w:rPr>
        <w:t>analogous to the market price of a taxi licence or import quota.</w:t>
      </w:r>
      <w:r w:rsidR="001A3B73">
        <w:rPr>
          <w:rFonts w:cstheme="minorHAnsi"/>
        </w:rPr>
        <w:t xml:space="preserve"> </w:t>
      </w:r>
      <w:r w:rsidRPr="00216489">
        <w:rPr>
          <w:rFonts w:cstheme="minorHAnsi"/>
        </w:rPr>
        <w:t xml:space="preserve">Site values like these are commonly discussed within the industry on a </w:t>
      </w:r>
      <w:r w:rsidR="001A3B73">
        <w:rPr>
          <w:rFonts w:cstheme="minorHAnsi"/>
        </w:rPr>
        <w:t>‘</w:t>
      </w:r>
      <w:r w:rsidRPr="00216489">
        <w:rPr>
          <w:rFonts w:cstheme="minorHAnsi"/>
        </w:rPr>
        <w:t>per apartment</w:t>
      </w:r>
      <w:r w:rsidR="001A3B73">
        <w:rPr>
          <w:rFonts w:cstheme="minorHAnsi"/>
        </w:rPr>
        <w:t>’</w:t>
      </w:r>
      <w:r w:rsidRPr="00216489">
        <w:rPr>
          <w:rFonts w:cstheme="minorHAnsi"/>
        </w:rPr>
        <w:t xml:space="preserve"> basis, consistent with land values being </w:t>
      </w:r>
      <w:r w:rsidR="00276B6F">
        <w:rPr>
          <w:rFonts w:cstheme="minorHAnsi"/>
        </w:rPr>
        <w:t xml:space="preserve">roughly </w:t>
      </w:r>
      <w:r w:rsidRPr="00216489">
        <w:rPr>
          <w:rFonts w:cstheme="minorHAnsi"/>
        </w:rPr>
        <w:t>proportional to the number of apartments that are allowed to be built on a site.</w:t>
      </w:r>
      <w:r w:rsidR="001A3B73">
        <w:rPr>
          <w:rFonts w:cstheme="minorHAnsi"/>
        </w:rPr>
        <w:t xml:space="preserve"> </w:t>
      </w:r>
    </w:p>
    <w:p w14:paraId="5E258F2E" w14:textId="2FE3CA30" w:rsidR="00F44260" w:rsidRPr="00216489" w:rsidRDefault="00F44260" w:rsidP="00F44260">
      <w:pPr>
        <w:rPr>
          <w:rFonts w:cstheme="minorHAnsi"/>
        </w:rPr>
      </w:pPr>
      <w:r w:rsidRPr="00216489">
        <w:rPr>
          <w:rFonts w:cstheme="minorHAnsi"/>
        </w:rPr>
        <w:t>Further corroboration comes from the large increases in land values that typically accompany changes in zoning.</w:t>
      </w:r>
      <w:r w:rsidR="001A3B73">
        <w:rPr>
          <w:rFonts w:cstheme="minorHAnsi"/>
        </w:rPr>
        <w:t xml:space="preserve"> </w:t>
      </w:r>
      <w:r w:rsidR="003474AA">
        <w:rPr>
          <w:rFonts w:cstheme="minorHAnsi"/>
        </w:rPr>
        <w:t>As an illustrative</w:t>
      </w:r>
      <w:r w:rsidRPr="00216489">
        <w:rPr>
          <w:rFonts w:cstheme="minorHAnsi"/>
        </w:rPr>
        <w:t xml:space="preserve"> example, in 2014 a property at 661 Chapel St, South Yarra in Melbourne was sold for $20 million when it was zoned for 13 storeys. It was then rezoned for 31 storeys and sold later that year for $56 million</w:t>
      </w:r>
      <w:r w:rsidR="00E5647E">
        <w:rPr>
          <w:rFonts w:cstheme="minorHAnsi"/>
        </w:rPr>
        <w:t xml:space="preserve"> (Lucas</w:t>
      </w:r>
      <w:r w:rsidR="005A3E3B">
        <w:rPr>
          <w:rFonts w:cstheme="minorHAnsi"/>
        </w:rPr>
        <w:t>,</w:t>
      </w:r>
      <w:r w:rsidR="00E5647E">
        <w:rPr>
          <w:rFonts w:cstheme="minorHAnsi"/>
        </w:rPr>
        <w:t xml:space="preserve"> </w:t>
      </w:r>
      <w:hyperlink r:id="rId21" w:history="1">
        <w:r w:rsidR="00E5647E" w:rsidRPr="0063044D">
          <w:rPr>
            <w:rStyle w:val="Hyperlink"/>
            <w:rFonts w:cstheme="minorHAnsi"/>
          </w:rPr>
          <w:t>2017</w:t>
        </w:r>
      </w:hyperlink>
      <w:r w:rsidR="00E5647E">
        <w:rPr>
          <w:rFonts w:cstheme="minorHAnsi"/>
        </w:rPr>
        <w:t>)</w:t>
      </w:r>
      <w:r w:rsidRPr="00216489">
        <w:rPr>
          <w:rFonts w:cstheme="minorHAnsi"/>
        </w:rPr>
        <w:t>. Large changes in land values like this are routinely reported in local newspapers.</w:t>
      </w:r>
      <w:r w:rsidR="001A3B73">
        <w:rPr>
          <w:rFonts w:cstheme="minorHAnsi"/>
        </w:rPr>
        <w:t xml:space="preserve"> </w:t>
      </w:r>
      <w:r w:rsidRPr="00216489">
        <w:rPr>
          <w:rFonts w:cstheme="minorHAnsi"/>
        </w:rPr>
        <w:t>For more examples, see Kendall and Tulip (2018, Appendix A) or the recurring corruption stories in the news. The change in property values means legal permission to build is valuable. That, in turn, indicates that permission is both scarce and a binding constraint. It also indicates a large gap between dwelling price and the cost of supply, as in Table 1.</w:t>
      </w:r>
    </w:p>
    <w:p w14:paraId="76CD035D" w14:textId="2CEE47B0" w:rsidR="00272CAA" w:rsidRPr="00216489" w:rsidRDefault="00F44260" w:rsidP="00F44260">
      <w:pPr>
        <w:rPr>
          <w:rFonts w:cstheme="minorHAnsi"/>
        </w:rPr>
      </w:pPr>
      <w:r w:rsidRPr="00216489">
        <w:rPr>
          <w:rFonts w:cstheme="minorHAnsi"/>
        </w:rPr>
        <w:t xml:space="preserve"> </w:t>
      </w:r>
      <w:r w:rsidR="00E34973" w:rsidRPr="00216489">
        <w:rPr>
          <w:rFonts w:cstheme="minorHAnsi"/>
        </w:rPr>
        <w:t>A fe</w:t>
      </w:r>
      <w:r w:rsidR="00BF20D2" w:rsidRPr="00216489">
        <w:rPr>
          <w:rFonts w:cstheme="minorHAnsi"/>
        </w:rPr>
        <w:t>w</w:t>
      </w:r>
      <w:r w:rsidR="00E34973" w:rsidRPr="00216489">
        <w:rPr>
          <w:rFonts w:cstheme="minorHAnsi"/>
        </w:rPr>
        <w:t xml:space="preserve"> common </w:t>
      </w:r>
      <w:r w:rsidR="009C6444" w:rsidRPr="00216489">
        <w:rPr>
          <w:rFonts w:cstheme="minorHAnsi"/>
        </w:rPr>
        <w:t>misunderstandings</w:t>
      </w:r>
      <w:r w:rsidR="00E34973" w:rsidRPr="00216489">
        <w:rPr>
          <w:rFonts w:cstheme="minorHAnsi"/>
        </w:rPr>
        <w:t xml:space="preserve"> </w:t>
      </w:r>
      <w:r w:rsidR="00D32D3A" w:rsidRPr="00216489">
        <w:rPr>
          <w:rFonts w:cstheme="minorHAnsi"/>
        </w:rPr>
        <w:t xml:space="preserve">about estimates of the effect of planning </w:t>
      </w:r>
      <w:r w:rsidR="00E34973" w:rsidRPr="00216489">
        <w:rPr>
          <w:rFonts w:cstheme="minorHAnsi"/>
        </w:rPr>
        <w:t>should be clarified</w:t>
      </w:r>
      <w:r w:rsidR="00626470" w:rsidRPr="00216489">
        <w:rPr>
          <w:rFonts w:cstheme="minorHAnsi"/>
        </w:rPr>
        <w:t>:</w:t>
      </w:r>
    </w:p>
    <w:p w14:paraId="06CFA7E2" w14:textId="770E2360" w:rsidR="00626470" w:rsidRPr="00216489" w:rsidRDefault="00AC21D4" w:rsidP="00626470">
      <w:pPr>
        <w:rPr>
          <w:rFonts w:cstheme="minorHAnsi"/>
        </w:rPr>
      </w:pPr>
      <w:r w:rsidRPr="00216489">
        <w:rPr>
          <w:rFonts w:cstheme="minorHAnsi"/>
        </w:rPr>
        <w:t>First</w:t>
      </w:r>
      <w:r w:rsidR="000A66BE" w:rsidRPr="00216489">
        <w:rPr>
          <w:rFonts w:cstheme="minorHAnsi"/>
        </w:rPr>
        <w:t xml:space="preserve">, </w:t>
      </w:r>
      <w:r w:rsidR="00D32D3A" w:rsidRPr="00216489">
        <w:rPr>
          <w:rFonts w:cstheme="minorHAnsi"/>
        </w:rPr>
        <w:t xml:space="preserve">the </w:t>
      </w:r>
      <w:r w:rsidR="00EE27CE" w:rsidRPr="00216489">
        <w:rPr>
          <w:rFonts w:cstheme="minorHAnsi"/>
        </w:rPr>
        <w:t>estimates</w:t>
      </w:r>
      <w:r w:rsidR="00D32D3A" w:rsidRPr="00216489">
        <w:rPr>
          <w:rFonts w:cstheme="minorHAnsi"/>
        </w:rPr>
        <w:t xml:space="preserve"> </w:t>
      </w:r>
      <w:r w:rsidRPr="00216489">
        <w:rPr>
          <w:rFonts w:cstheme="minorHAnsi"/>
        </w:rPr>
        <w:t xml:space="preserve">do not </w:t>
      </w:r>
      <w:r w:rsidR="00EE27CE" w:rsidRPr="00216489">
        <w:rPr>
          <w:rFonts w:cstheme="minorHAnsi"/>
        </w:rPr>
        <w:t>imply</w:t>
      </w:r>
      <w:r w:rsidR="00CB4104" w:rsidRPr="00216489">
        <w:rPr>
          <w:rFonts w:cstheme="minorHAnsi"/>
        </w:rPr>
        <w:t xml:space="preserve"> that other factors, such as population</w:t>
      </w:r>
      <w:r w:rsidR="002E4247" w:rsidRPr="00216489">
        <w:rPr>
          <w:rFonts w:cstheme="minorHAnsi"/>
        </w:rPr>
        <w:t xml:space="preserve"> or intere</w:t>
      </w:r>
      <w:r w:rsidR="00E87F86" w:rsidRPr="00216489">
        <w:rPr>
          <w:rFonts w:cstheme="minorHAnsi"/>
        </w:rPr>
        <w:t>s</w:t>
      </w:r>
      <w:r w:rsidR="002E4247" w:rsidRPr="00216489">
        <w:rPr>
          <w:rFonts w:cstheme="minorHAnsi"/>
        </w:rPr>
        <w:t>t rates</w:t>
      </w:r>
      <w:r w:rsidR="00CB4104" w:rsidRPr="00216489">
        <w:rPr>
          <w:rFonts w:cstheme="minorHAnsi"/>
        </w:rPr>
        <w:t>, are unimportant.</w:t>
      </w:r>
      <w:r w:rsidR="001A3B73">
        <w:rPr>
          <w:rFonts w:cstheme="minorHAnsi"/>
        </w:rPr>
        <w:t xml:space="preserve"> </w:t>
      </w:r>
      <w:r w:rsidR="00CB4104" w:rsidRPr="00216489">
        <w:rPr>
          <w:rFonts w:cstheme="minorHAnsi"/>
        </w:rPr>
        <w:t>The restrictions make supply inelastic.</w:t>
      </w:r>
      <w:r w:rsidR="001A3B73">
        <w:rPr>
          <w:rFonts w:cstheme="minorHAnsi"/>
        </w:rPr>
        <w:t xml:space="preserve"> </w:t>
      </w:r>
      <w:r w:rsidR="00272CAA" w:rsidRPr="00216489">
        <w:rPr>
          <w:rFonts w:cstheme="minorHAnsi"/>
        </w:rPr>
        <w:t>It</w:t>
      </w:r>
      <w:r w:rsidR="00CB4104" w:rsidRPr="00216489">
        <w:rPr>
          <w:rFonts w:cstheme="minorHAnsi"/>
        </w:rPr>
        <w:t xml:space="preserve"> is the </w:t>
      </w:r>
      <w:r w:rsidR="00CB4104" w:rsidRPr="009F16BF">
        <w:rPr>
          <w:rFonts w:cstheme="minorHAnsi"/>
          <w:i/>
          <w:iCs/>
        </w:rPr>
        <w:t>interaction</w:t>
      </w:r>
      <w:r w:rsidR="00CB4104" w:rsidRPr="00216489">
        <w:rPr>
          <w:rFonts w:cstheme="minorHAnsi"/>
        </w:rPr>
        <w:t xml:space="preserve"> of inelastic supply and rising demand that ca</w:t>
      </w:r>
      <w:r w:rsidR="005760D0" w:rsidRPr="00216489">
        <w:rPr>
          <w:rFonts w:cstheme="minorHAnsi"/>
        </w:rPr>
        <w:t>u</w:t>
      </w:r>
      <w:r w:rsidR="00CB4104" w:rsidRPr="00216489">
        <w:rPr>
          <w:rFonts w:cstheme="minorHAnsi"/>
        </w:rPr>
        <w:t>ses high prices.</w:t>
      </w:r>
      <w:r w:rsidR="00626470" w:rsidRPr="00216489">
        <w:rPr>
          <w:rFonts w:cstheme="minorHAnsi"/>
        </w:rPr>
        <w:t xml:space="preserve"> </w:t>
      </w:r>
    </w:p>
    <w:p w14:paraId="30632317" w14:textId="60CE2604" w:rsidR="00626470" w:rsidRPr="00216489" w:rsidRDefault="00626470" w:rsidP="00626470">
      <w:pPr>
        <w:rPr>
          <w:rFonts w:cstheme="minorHAnsi"/>
        </w:rPr>
      </w:pPr>
      <w:r w:rsidRPr="00216489">
        <w:rPr>
          <w:rFonts w:cstheme="minorHAnsi"/>
        </w:rPr>
        <w:t xml:space="preserve">Second, these estimates do not imply that planning restrictions have tightened. In fact, the problem is the opposite </w:t>
      </w:r>
      <w:r w:rsidR="00FA438D">
        <w:rPr>
          <w:rFonts w:cstheme="minorHAnsi"/>
        </w:rPr>
        <w:t>—</w:t>
      </w:r>
      <w:r w:rsidR="00FA438D" w:rsidRPr="00216489">
        <w:rPr>
          <w:rFonts w:cstheme="minorHAnsi"/>
        </w:rPr>
        <w:t xml:space="preserve"> </w:t>
      </w:r>
      <w:r w:rsidR="009C6444" w:rsidRPr="00216489">
        <w:rPr>
          <w:rFonts w:cstheme="minorHAnsi"/>
        </w:rPr>
        <w:t>the</w:t>
      </w:r>
      <w:r w:rsidRPr="00216489">
        <w:rPr>
          <w:rFonts w:cstheme="minorHAnsi"/>
        </w:rPr>
        <w:t xml:space="preserve"> restrictions barely change even as demand increases with increases in population, higher incomes or lower interest rates.</w:t>
      </w:r>
      <w:r w:rsidR="001A3B73">
        <w:rPr>
          <w:rFonts w:cstheme="minorHAnsi"/>
        </w:rPr>
        <w:t xml:space="preserve"> </w:t>
      </w:r>
      <w:r w:rsidRPr="00216489">
        <w:rPr>
          <w:rFonts w:cstheme="minorHAnsi"/>
        </w:rPr>
        <w:t>So the constraint becomes more binding.</w:t>
      </w:r>
    </w:p>
    <w:p w14:paraId="171603CE" w14:textId="78A38F61" w:rsidR="00822979" w:rsidRPr="00216489" w:rsidRDefault="00822979">
      <w:pPr>
        <w:rPr>
          <w:rFonts w:cstheme="minorHAnsi"/>
        </w:rPr>
      </w:pPr>
      <w:r w:rsidRPr="00216489">
        <w:rPr>
          <w:rFonts w:cstheme="minorHAnsi"/>
        </w:rPr>
        <w:t xml:space="preserve">Third, it is not argued that planning restrictions </w:t>
      </w:r>
      <w:r w:rsidR="007D5715" w:rsidRPr="00216489">
        <w:rPr>
          <w:rFonts w:cstheme="minorHAnsi"/>
        </w:rPr>
        <w:t xml:space="preserve">prevent all, or even </w:t>
      </w:r>
      <w:r w:rsidR="001A378E" w:rsidRPr="00216489">
        <w:rPr>
          <w:rFonts w:cstheme="minorHAnsi"/>
        </w:rPr>
        <w:t>most,</w:t>
      </w:r>
      <w:r w:rsidR="007D5715" w:rsidRPr="00216489">
        <w:rPr>
          <w:rFonts w:cstheme="minorHAnsi"/>
        </w:rPr>
        <w:t xml:space="preserve"> building.</w:t>
      </w:r>
      <w:r w:rsidR="001A3B73">
        <w:rPr>
          <w:rFonts w:cstheme="minorHAnsi"/>
        </w:rPr>
        <w:t xml:space="preserve"> </w:t>
      </w:r>
      <w:r w:rsidR="007D5715" w:rsidRPr="00216489">
        <w:rPr>
          <w:rFonts w:cstheme="minorHAnsi"/>
        </w:rPr>
        <w:t xml:space="preserve">The argument is </w:t>
      </w:r>
      <w:r w:rsidR="001A378E" w:rsidRPr="00216489">
        <w:rPr>
          <w:rFonts w:cstheme="minorHAnsi"/>
        </w:rPr>
        <w:t xml:space="preserve">simply </w:t>
      </w:r>
      <w:r w:rsidR="007D5715" w:rsidRPr="00216489">
        <w:rPr>
          <w:rFonts w:cstheme="minorHAnsi"/>
        </w:rPr>
        <w:t>that they do not permit enough.</w:t>
      </w:r>
    </w:p>
    <w:p w14:paraId="18D79DAC" w14:textId="4C7F62FA" w:rsidR="00FC1FAC" w:rsidRPr="00216489" w:rsidRDefault="00842CEC">
      <w:pPr>
        <w:rPr>
          <w:rFonts w:cstheme="minorHAnsi"/>
        </w:rPr>
      </w:pPr>
      <w:r w:rsidRPr="00216489">
        <w:rPr>
          <w:rFonts w:cstheme="minorHAnsi"/>
        </w:rPr>
        <w:t>Tulip (</w:t>
      </w:r>
      <w:hyperlink r:id="rId22" w:history="1">
        <w:r w:rsidRPr="00FE35E3">
          <w:rPr>
            <w:rStyle w:val="Hyperlink"/>
            <w:rFonts w:cstheme="minorHAnsi"/>
          </w:rPr>
          <w:t>202</w:t>
        </w:r>
        <w:r w:rsidR="00FE35E3">
          <w:rPr>
            <w:rStyle w:val="Hyperlink"/>
            <w:rFonts w:cstheme="minorHAnsi"/>
          </w:rPr>
          <w:t>1</w:t>
        </w:r>
      </w:hyperlink>
      <w:r w:rsidRPr="00216489">
        <w:rPr>
          <w:rFonts w:cstheme="minorHAnsi"/>
        </w:rPr>
        <w:t xml:space="preserve">) </w:t>
      </w:r>
      <w:r w:rsidR="009C6444" w:rsidRPr="00216489">
        <w:rPr>
          <w:rFonts w:cstheme="minorHAnsi"/>
        </w:rPr>
        <w:t>notes further</w:t>
      </w:r>
      <w:r w:rsidR="00CB6741" w:rsidRPr="00216489">
        <w:rPr>
          <w:rFonts w:cstheme="minorHAnsi"/>
        </w:rPr>
        <w:t xml:space="preserve"> </w:t>
      </w:r>
      <w:r w:rsidRPr="00216489">
        <w:rPr>
          <w:rFonts w:cstheme="minorHAnsi"/>
        </w:rPr>
        <w:t>criticisms</w:t>
      </w:r>
      <w:r w:rsidR="001E5F1A" w:rsidRPr="00216489">
        <w:rPr>
          <w:rFonts w:cstheme="minorHAnsi"/>
        </w:rPr>
        <w:t xml:space="preserve"> of the estimates </w:t>
      </w:r>
      <w:r w:rsidR="00D32D3A" w:rsidRPr="00216489">
        <w:rPr>
          <w:rFonts w:cstheme="minorHAnsi"/>
        </w:rPr>
        <w:t>of the zoning effect</w:t>
      </w:r>
      <w:r w:rsidR="009C6444" w:rsidRPr="00216489">
        <w:rPr>
          <w:rFonts w:cstheme="minorHAnsi"/>
        </w:rPr>
        <w:t xml:space="preserve"> and</w:t>
      </w:r>
      <w:r w:rsidR="00CB6741" w:rsidRPr="00216489">
        <w:rPr>
          <w:rFonts w:cstheme="minorHAnsi"/>
        </w:rPr>
        <w:t xml:space="preserve"> argues that these</w:t>
      </w:r>
      <w:r w:rsidRPr="00216489">
        <w:rPr>
          <w:rFonts w:cstheme="minorHAnsi"/>
        </w:rPr>
        <w:t xml:space="preserve"> reflect simple misunderstandings that are not taken seriously in the research literature.</w:t>
      </w:r>
    </w:p>
    <w:p w14:paraId="03E7A74E" w14:textId="0FBC434D" w:rsidR="00A60CA7" w:rsidRPr="00216489" w:rsidRDefault="00A60CA7" w:rsidP="00A60CA7">
      <w:pPr>
        <w:jc w:val="center"/>
        <w:rPr>
          <w:rFonts w:cstheme="minorHAnsi"/>
        </w:rPr>
      </w:pPr>
    </w:p>
    <w:p w14:paraId="718BB87B" w14:textId="158584A2" w:rsidR="008774F8" w:rsidRPr="00216489" w:rsidRDefault="000E36FC" w:rsidP="000A0D2C">
      <w:pPr>
        <w:pStyle w:val="Heading1"/>
      </w:pPr>
      <w:bookmarkStart w:id="3" w:name="_Toc98922875"/>
      <w:r w:rsidRPr="00216489">
        <w:t>Overseas research</w:t>
      </w:r>
      <w:r w:rsidR="00CB03E4" w:rsidRPr="00216489">
        <w:t xml:space="preserve"> </w:t>
      </w:r>
      <w:r w:rsidR="000D6423">
        <w:t xml:space="preserve">also </w:t>
      </w:r>
      <w:r w:rsidR="00CB03E4" w:rsidRPr="000A0D2C">
        <w:t>finds</w:t>
      </w:r>
      <w:r w:rsidR="00CB03E4" w:rsidRPr="00216489">
        <w:t xml:space="preserve"> large effects</w:t>
      </w:r>
      <w:bookmarkEnd w:id="3"/>
    </w:p>
    <w:p w14:paraId="702E5A96" w14:textId="33904E5E" w:rsidR="000E36FC" w:rsidRPr="00216489" w:rsidRDefault="004B79BF">
      <w:pPr>
        <w:rPr>
          <w:rFonts w:cstheme="minorHAnsi"/>
        </w:rPr>
      </w:pPr>
      <w:r w:rsidRPr="00216489">
        <w:rPr>
          <w:rFonts w:cstheme="minorHAnsi"/>
        </w:rPr>
        <w:t xml:space="preserve">Estimates of the effect of planning on housing prices in Table 1 </w:t>
      </w:r>
      <w:r w:rsidR="007622F8" w:rsidRPr="00216489">
        <w:rPr>
          <w:rFonts w:cstheme="minorHAnsi"/>
        </w:rPr>
        <w:t xml:space="preserve">have been frequently replicated in </w:t>
      </w:r>
      <w:r w:rsidR="007D2613" w:rsidRPr="00216489">
        <w:rPr>
          <w:rFonts w:cstheme="minorHAnsi"/>
        </w:rPr>
        <w:t>international research.</w:t>
      </w:r>
      <w:r w:rsidR="001A3B73">
        <w:rPr>
          <w:rFonts w:cstheme="minorHAnsi"/>
        </w:rPr>
        <w:t xml:space="preserve"> </w:t>
      </w:r>
      <w:r w:rsidR="00810C80" w:rsidRPr="00216489">
        <w:rPr>
          <w:rFonts w:cstheme="minorHAnsi"/>
        </w:rPr>
        <w:t>The</w:t>
      </w:r>
      <w:r w:rsidR="00F96C0C" w:rsidRPr="00216489">
        <w:rPr>
          <w:rFonts w:cstheme="minorHAnsi"/>
        </w:rPr>
        <w:t xml:space="preserve"> </w:t>
      </w:r>
      <w:r w:rsidR="002D44E0" w:rsidRPr="00216489">
        <w:rPr>
          <w:rFonts w:cstheme="minorHAnsi"/>
        </w:rPr>
        <w:t xml:space="preserve">approach and </w:t>
      </w:r>
      <w:r w:rsidR="00F96C0C" w:rsidRPr="00216489">
        <w:rPr>
          <w:rFonts w:cstheme="minorHAnsi"/>
        </w:rPr>
        <w:t>estimates for detached houses are qualitatively similar to those found for coastal US cities, Southern California</w:t>
      </w:r>
      <w:r w:rsidR="00810C80" w:rsidRPr="00216489">
        <w:rPr>
          <w:rFonts w:cstheme="minorHAnsi"/>
        </w:rPr>
        <w:t>,</w:t>
      </w:r>
      <w:r w:rsidR="002B65A7" w:rsidRPr="00216489">
        <w:rPr>
          <w:rFonts w:cstheme="minorHAnsi"/>
        </w:rPr>
        <w:t xml:space="preserve"> </w:t>
      </w:r>
      <w:r w:rsidR="00F96C0C" w:rsidRPr="00216489">
        <w:rPr>
          <w:rFonts w:cstheme="minorHAnsi"/>
        </w:rPr>
        <w:t>Florida and New Zealand.</w:t>
      </w:r>
      <w:r w:rsidR="001A3B73">
        <w:rPr>
          <w:rFonts w:cstheme="minorHAnsi"/>
        </w:rPr>
        <w:t xml:space="preserve"> </w:t>
      </w:r>
      <w:r w:rsidR="002D44E0" w:rsidRPr="00216489">
        <w:rPr>
          <w:rFonts w:cstheme="minorHAnsi"/>
        </w:rPr>
        <w:t>T</w:t>
      </w:r>
      <w:r w:rsidR="00F80F6B" w:rsidRPr="00216489">
        <w:rPr>
          <w:rFonts w:cstheme="minorHAnsi"/>
        </w:rPr>
        <w:t>h</w:t>
      </w:r>
      <w:r w:rsidR="002D44E0" w:rsidRPr="00216489">
        <w:rPr>
          <w:rFonts w:cstheme="minorHAnsi"/>
        </w:rPr>
        <w:t xml:space="preserve">e approach and </w:t>
      </w:r>
      <w:r w:rsidR="008E2385" w:rsidRPr="00216489">
        <w:rPr>
          <w:rFonts w:cstheme="minorHAnsi"/>
        </w:rPr>
        <w:t xml:space="preserve">estimates </w:t>
      </w:r>
      <w:r w:rsidR="00F96C0C" w:rsidRPr="00216489">
        <w:rPr>
          <w:rFonts w:cstheme="minorHAnsi"/>
        </w:rPr>
        <w:t xml:space="preserve">for apartments are similar to or smaller than those found for Manhattan, Auckland, Zurich and commercial property in Britain and Europe. </w:t>
      </w:r>
      <w:r w:rsidR="003B3B50" w:rsidRPr="00216489">
        <w:rPr>
          <w:rFonts w:cstheme="minorHAnsi"/>
        </w:rPr>
        <w:t>For references to these studies see Tulip (2020)</w:t>
      </w:r>
      <w:r w:rsidR="004C461C" w:rsidRPr="00216489">
        <w:rPr>
          <w:rFonts w:cstheme="minorHAnsi"/>
        </w:rPr>
        <w:t>.</w:t>
      </w:r>
      <w:r w:rsidR="001A3B73">
        <w:rPr>
          <w:rFonts w:cstheme="minorHAnsi"/>
        </w:rPr>
        <w:t xml:space="preserve"> </w:t>
      </w:r>
    </w:p>
    <w:p w14:paraId="1154493A" w14:textId="2B6CEBAE" w:rsidR="00442147" w:rsidRPr="00216489" w:rsidRDefault="00341562" w:rsidP="00442147">
      <w:pPr>
        <w:rPr>
          <w:rFonts w:cstheme="minorHAnsi"/>
        </w:rPr>
      </w:pPr>
      <w:r w:rsidRPr="00216489">
        <w:rPr>
          <w:rFonts w:cstheme="minorHAnsi"/>
        </w:rPr>
        <w:t>Reflecting</w:t>
      </w:r>
      <w:r w:rsidR="00913418" w:rsidRPr="00216489">
        <w:rPr>
          <w:rFonts w:cstheme="minorHAnsi"/>
        </w:rPr>
        <w:t xml:space="preserve"> that, </w:t>
      </w:r>
      <w:r w:rsidR="0081237A" w:rsidRPr="00216489">
        <w:rPr>
          <w:rFonts w:cstheme="minorHAnsi"/>
        </w:rPr>
        <w:t xml:space="preserve">and the similar results from </w:t>
      </w:r>
      <w:r w:rsidR="00172820" w:rsidRPr="00216489">
        <w:rPr>
          <w:rFonts w:cstheme="minorHAnsi"/>
        </w:rPr>
        <w:t>other approache</w:t>
      </w:r>
      <w:r w:rsidRPr="00216489">
        <w:rPr>
          <w:rFonts w:cstheme="minorHAnsi"/>
        </w:rPr>
        <w:t>s</w:t>
      </w:r>
      <w:r w:rsidR="00172820" w:rsidRPr="00216489">
        <w:rPr>
          <w:rFonts w:cstheme="minorHAnsi"/>
        </w:rPr>
        <w:t xml:space="preserve">, </w:t>
      </w:r>
      <w:r w:rsidR="00B76BA9" w:rsidRPr="00216489">
        <w:rPr>
          <w:rFonts w:cstheme="minorHAnsi"/>
        </w:rPr>
        <w:t>there is widespread agreement among researchers</w:t>
      </w:r>
      <w:r w:rsidR="00710862" w:rsidRPr="00216489">
        <w:rPr>
          <w:rFonts w:cstheme="minorHAnsi"/>
        </w:rPr>
        <w:t>.</w:t>
      </w:r>
      <w:r w:rsidR="001A3B73">
        <w:rPr>
          <w:rFonts w:cstheme="minorHAnsi"/>
        </w:rPr>
        <w:t xml:space="preserve"> </w:t>
      </w:r>
      <w:r w:rsidR="00442147" w:rsidRPr="00216489">
        <w:rPr>
          <w:rFonts w:cstheme="minorHAnsi"/>
        </w:rPr>
        <w:t xml:space="preserve">Some quotations from </w:t>
      </w:r>
      <w:r w:rsidR="00710862" w:rsidRPr="00216489">
        <w:rPr>
          <w:rFonts w:cstheme="minorHAnsi"/>
        </w:rPr>
        <w:t>literature</w:t>
      </w:r>
      <w:r w:rsidR="00442147" w:rsidRPr="00216489">
        <w:rPr>
          <w:rFonts w:cstheme="minorHAnsi"/>
        </w:rPr>
        <w:t xml:space="preserve"> surveys illustrate: </w:t>
      </w:r>
    </w:p>
    <w:p w14:paraId="698A014C" w14:textId="33C2A710" w:rsidR="00442147" w:rsidRPr="00216489" w:rsidRDefault="00FA438D" w:rsidP="00442147">
      <w:pPr>
        <w:ind w:left="720"/>
        <w:rPr>
          <w:rFonts w:cstheme="minorHAnsi"/>
        </w:rPr>
      </w:pPr>
      <w:r>
        <w:rPr>
          <w:rFonts w:cstheme="minorHAnsi"/>
        </w:rPr>
        <w:t xml:space="preserve">“… </w:t>
      </w:r>
      <w:r w:rsidR="00442147" w:rsidRPr="00216489">
        <w:rPr>
          <w:rFonts w:cstheme="minorHAnsi"/>
        </w:rPr>
        <w:t xml:space="preserve">most studies have found substantial effects on the housing market. In particular, regulation appears to raise house prices, reduce construction, reduce the elasticity of </w:t>
      </w:r>
      <w:r w:rsidR="00442147" w:rsidRPr="00216489">
        <w:rPr>
          <w:rFonts w:cstheme="minorHAnsi"/>
        </w:rPr>
        <w:lastRenderedPageBreak/>
        <w:t>housing supply, and alter urban form. … The available research suggests [the zoning] tax is quite large for many markets.</w:t>
      </w:r>
      <w:r>
        <w:rPr>
          <w:rFonts w:cstheme="minorHAnsi"/>
        </w:rPr>
        <w:t>”</w:t>
      </w:r>
      <w:r w:rsidR="00442147" w:rsidRPr="00216489">
        <w:rPr>
          <w:rFonts w:cstheme="minorHAnsi"/>
        </w:rPr>
        <w:t xml:space="preserve"> </w:t>
      </w:r>
      <w:proofErr w:type="spellStart"/>
      <w:r w:rsidR="00442147" w:rsidRPr="00216489">
        <w:rPr>
          <w:rFonts w:cstheme="minorHAnsi"/>
        </w:rPr>
        <w:t>Gyourko</w:t>
      </w:r>
      <w:proofErr w:type="spellEnd"/>
      <w:r w:rsidR="00442147" w:rsidRPr="00216489">
        <w:rPr>
          <w:rFonts w:cstheme="minorHAnsi"/>
        </w:rPr>
        <w:t xml:space="preserve"> and Molloy (</w:t>
      </w:r>
      <w:hyperlink r:id="rId23" w:history="1">
        <w:r w:rsidR="00442147" w:rsidRPr="00CD4F6F">
          <w:rPr>
            <w:rStyle w:val="Hyperlink"/>
            <w:rFonts w:cstheme="minorHAnsi"/>
          </w:rPr>
          <w:t>2015</w:t>
        </w:r>
      </w:hyperlink>
      <w:r w:rsidR="00442147" w:rsidRPr="00216489">
        <w:rPr>
          <w:rFonts w:cstheme="minorHAnsi"/>
        </w:rPr>
        <w:t xml:space="preserve"> pp 1289, 1296)</w:t>
      </w:r>
    </w:p>
    <w:p w14:paraId="6E60A888" w14:textId="378CAC93" w:rsidR="00442147" w:rsidRPr="00216489" w:rsidRDefault="00FA438D" w:rsidP="00442147">
      <w:pPr>
        <w:ind w:left="720"/>
        <w:rPr>
          <w:rFonts w:cstheme="minorHAnsi"/>
        </w:rPr>
      </w:pPr>
      <w:r>
        <w:rPr>
          <w:rFonts w:cstheme="minorHAnsi"/>
          <w:lang w:val="en-GB"/>
        </w:rPr>
        <w:t xml:space="preserve">“… </w:t>
      </w:r>
      <w:r w:rsidR="00442147" w:rsidRPr="00216489">
        <w:rPr>
          <w:rFonts w:cstheme="minorHAnsi"/>
          <w:lang w:val="en-GB"/>
        </w:rPr>
        <w:t>there is a strong consensus among economists that … land use regulations are standing in the way of new housing construction and are causing high and rising prices.</w:t>
      </w:r>
      <w:r>
        <w:rPr>
          <w:rFonts w:cstheme="minorHAnsi"/>
          <w:lang w:val="en-GB"/>
        </w:rPr>
        <w:t>”</w:t>
      </w:r>
      <w:r w:rsidR="00442147" w:rsidRPr="00216489">
        <w:rPr>
          <w:rFonts w:cstheme="minorHAnsi"/>
          <w:lang w:val="en-GB"/>
        </w:rPr>
        <w:t xml:space="preserve"> Hamilton, (</w:t>
      </w:r>
      <w:hyperlink r:id="rId24" w:history="1">
        <w:r w:rsidR="00442147" w:rsidRPr="009E133D">
          <w:rPr>
            <w:rStyle w:val="Hyperlink"/>
            <w:rFonts w:cstheme="minorHAnsi"/>
            <w:lang w:val="en-GB"/>
          </w:rPr>
          <w:t>2021</w:t>
        </w:r>
      </w:hyperlink>
      <w:r w:rsidR="00442147" w:rsidRPr="00216489">
        <w:rPr>
          <w:rFonts w:cstheme="minorHAnsi"/>
          <w:lang w:val="en-GB"/>
        </w:rPr>
        <w:t xml:space="preserve"> p195) </w:t>
      </w:r>
    </w:p>
    <w:p w14:paraId="0D2E6724" w14:textId="7AECF9D0" w:rsidR="00442147" w:rsidRPr="00216489" w:rsidRDefault="00FA438D" w:rsidP="00442147">
      <w:pPr>
        <w:ind w:left="720"/>
        <w:rPr>
          <w:rFonts w:cstheme="minorHAnsi"/>
        </w:rPr>
      </w:pPr>
      <w:r>
        <w:rPr>
          <w:rFonts w:cstheme="minorHAnsi"/>
          <w:lang w:val="en-GB"/>
        </w:rPr>
        <w:t>“</w:t>
      </w:r>
      <w:r w:rsidR="00442147" w:rsidRPr="00216489">
        <w:rPr>
          <w:rFonts w:cstheme="minorHAnsi"/>
          <w:lang w:val="en-GB"/>
        </w:rPr>
        <w:t>Dozens of empirical studies have shown that more restrictive land use regulations are associated with higher housing prices.</w:t>
      </w:r>
      <w:r>
        <w:rPr>
          <w:rFonts w:cstheme="minorHAnsi"/>
          <w:lang w:val="en-GB"/>
        </w:rPr>
        <w:t>”</w:t>
      </w:r>
      <w:r w:rsidR="00442147" w:rsidRPr="00216489">
        <w:rPr>
          <w:rFonts w:cstheme="minorHAnsi"/>
          <w:lang w:val="en-GB"/>
        </w:rPr>
        <w:t xml:space="preserve"> Been, </w:t>
      </w:r>
      <w:r w:rsidR="00442147" w:rsidRPr="00216489">
        <w:rPr>
          <w:rFonts w:cstheme="minorHAnsi"/>
        </w:rPr>
        <w:t>(</w:t>
      </w:r>
      <w:hyperlink r:id="rId25" w:history="1">
        <w:r w:rsidR="00442147" w:rsidRPr="001236BD">
          <w:rPr>
            <w:rStyle w:val="Hyperlink"/>
            <w:rFonts w:cstheme="minorHAnsi"/>
          </w:rPr>
          <w:t>2018</w:t>
        </w:r>
      </w:hyperlink>
      <w:r w:rsidR="00442147" w:rsidRPr="00216489">
        <w:rPr>
          <w:rFonts w:cstheme="minorHAnsi"/>
        </w:rPr>
        <w:t xml:space="preserve"> p227)</w:t>
      </w:r>
    </w:p>
    <w:p w14:paraId="48377BC3" w14:textId="256F25AC" w:rsidR="00442147" w:rsidRPr="00216489" w:rsidRDefault="00442147" w:rsidP="00442147">
      <w:pPr>
        <w:rPr>
          <w:rFonts w:cstheme="minorHAnsi"/>
          <w:lang w:val="en-GB"/>
        </w:rPr>
      </w:pPr>
      <w:r w:rsidRPr="00216489">
        <w:rPr>
          <w:rFonts w:cstheme="minorHAnsi"/>
          <w:lang w:val="en-GB"/>
        </w:rPr>
        <w:t xml:space="preserve">Similar conclusions are found in other high-profile surveys by </w:t>
      </w:r>
      <w:hyperlink r:id="rId26" w:history="1"/>
      <w:hyperlink r:id="rId27" w:history="1">
        <w:r w:rsidRPr="00216489">
          <w:rPr>
            <w:rStyle w:val="Hyperlink"/>
            <w:rFonts w:cstheme="minorHAnsi"/>
            <w:color w:val="auto"/>
            <w:u w:val="none"/>
          </w:rPr>
          <w:t>Furman</w:t>
        </w:r>
      </w:hyperlink>
      <w:r w:rsidRPr="00216489">
        <w:rPr>
          <w:rFonts w:cstheme="minorHAnsi"/>
        </w:rPr>
        <w:t xml:space="preserve"> (</w:t>
      </w:r>
      <w:hyperlink r:id="rId28" w:history="1">
        <w:r w:rsidRPr="00AB067C">
          <w:rPr>
            <w:rStyle w:val="Hyperlink"/>
            <w:rFonts w:cstheme="minorHAnsi"/>
          </w:rPr>
          <w:t>2015</w:t>
        </w:r>
      </w:hyperlink>
      <w:r w:rsidRPr="00216489">
        <w:rPr>
          <w:rFonts w:cstheme="minorHAnsi"/>
        </w:rPr>
        <w:t xml:space="preserve">), </w:t>
      </w:r>
      <w:proofErr w:type="spellStart"/>
      <w:r w:rsidRPr="00216489">
        <w:rPr>
          <w:rFonts w:cstheme="minorHAnsi"/>
          <w:lang w:val="en-GB"/>
        </w:rPr>
        <w:t>Glaeser</w:t>
      </w:r>
      <w:proofErr w:type="spellEnd"/>
      <w:r w:rsidRPr="00216489">
        <w:rPr>
          <w:rFonts w:cstheme="minorHAnsi"/>
          <w:lang w:val="en-GB"/>
        </w:rPr>
        <w:t xml:space="preserve"> and </w:t>
      </w:r>
      <w:proofErr w:type="spellStart"/>
      <w:r w:rsidRPr="00216489">
        <w:rPr>
          <w:rFonts w:cstheme="minorHAnsi"/>
          <w:lang w:val="en-GB"/>
        </w:rPr>
        <w:t>Gyourko</w:t>
      </w:r>
      <w:proofErr w:type="spellEnd"/>
      <w:r w:rsidRPr="00216489">
        <w:rPr>
          <w:rFonts w:cstheme="minorHAnsi"/>
          <w:lang w:val="en-GB"/>
        </w:rPr>
        <w:t xml:space="preserve"> (</w:t>
      </w:r>
      <w:hyperlink r:id="rId29" w:history="1">
        <w:r w:rsidRPr="00F0290B">
          <w:rPr>
            <w:rStyle w:val="Hyperlink"/>
            <w:rFonts w:cstheme="minorHAnsi"/>
            <w:lang w:val="en-GB"/>
          </w:rPr>
          <w:t>2018</w:t>
        </w:r>
      </w:hyperlink>
      <w:r w:rsidRPr="00216489">
        <w:rPr>
          <w:rFonts w:cstheme="minorHAnsi"/>
          <w:lang w:val="en-GB"/>
        </w:rPr>
        <w:t xml:space="preserve">), and, for a UK focus, </w:t>
      </w:r>
      <w:proofErr w:type="spellStart"/>
      <w:r w:rsidRPr="00216489">
        <w:rPr>
          <w:rFonts w:cstheme="minorHAnsi"/>
          <w:lang w:val="en-GB"/>
        </w:rPr>
        <w:t>Hilber</w:t>
      </w:r>
      <w:proofErr w:type="spellEnd"/>
      <w:r w:rsidRPr="00216489">
        <w:rPr>
          <w:rFonts w:cstheme="minorHAnsi"/>
          <w:lang w:val="en-GB"/>
        </w:rPr>
        <w:t xml:space="preserve"> and Vermeulen (</w:t>
      </w:r>
      <w:hyperlink r:id="rId30" w:history="1">
        <w:r w:rsidRPr="00F54A87">
          <w:rPr>
            <w:rStyle w:val="Hyperlink"/>
            <w:rFonts w:cstheme="minorHAnsi"/>
            <w:lang w:val="en-GB"/>
          </w:rPr>
          <w:t>2015</w:t>
        </w:r>
      </w:hyperlink>
      <w:r w:rsidRPr="00216489">
        <w:rPr>
          <w:rFonts w:cstheme="minorHAnsi"/>
          <w:lang w:val="en-GB"/>
        </w:rPr>
        <w:t>, Section 2)</w:t>
      </w:r>
      <w:r w:rsidRPr="00216489">
        <w:rPr>
          <w:rStyle w:val="Hyperlink"/>
          <w:rFonts w:cstheme="minorHAnsi"/>
          <w:color w:val="auto"/>
          <w:u w:val="none"/>
          <w:lang w:val="en-GB"/>
        </w:rPr>
        <w:t xml:space="preserve">. </w:t>
      </w:r>
      <w:r w:rsidRPr="00216489">
        <w:rPr>
          <w:rFonts w:cstheme="minorHAnsi"/>
          <w:lang w:val="en-GB"/>
        </w:rPr>
        <w:t>The individual papers cited in these surveys typically contain shorter literature reviews with the same message. The Economist magazine (</w:t>
      </w:r>
      <w:hyperlink r:id="rId31" w:history="1">
        <w:r w:rsidRPr="007B6E4C">
          <w:rPr>
            <w:rStyle w:val="Hyperlink"/>
            <w:rFonts w:cstheme="minorHAnsi"/>
            <w:lang w:val="en-GB"/>
          </w:rPr>
          <w:t>2021</w:t>
        </w:r>
      </w:hyperlink>
      <w:r w:rsidRPr="00216489">
        <w:rPr>
          <w:rFonts w:cstheme="minorHAnsi"/>
          <w:lang w:val="en-GB"/>
        </w:rPr>
        <w:t xml:space="preserve">) has complained that </w:t>
      </w:r>
      <w:r w:rsidR="00FA438D">
        <w:rPr>
          <w:rFonts w:cstheme="minorHAnsi"/>
          <w:lang w:val="en-GB"/>
        </w:rPr>
        <w:t>“</w:t>
      </w:r>
      <w:r w:rsidRPr="00216489">
        <w:rPr>
          <w:rFonts w:cstheme="minorHAnsi"/>
          <w:lang w:val="en-GB"/>
        </w:rPr>
        <w:t>no one needs any more papers showing that stringent zoning regulations raise housing costs. It is time for solutions.</w:t>
      </w:r>
      <w:r w:rsidR="00FA438D">
        <w:rPr>
          <w:rFonts w:cstheme="minorHAnsi"/>
          <w:lang w:val="en-GB"/>
        </w:rPr>
        <w:t>”</w:t>
      </w:r>
    </w:p>
    <w:p w14:paraId="0C722078" w14:textId="23F177BF" w:rsidR="00442147" w:rsidRDefault="00AA7DD0">
      <w:pPr>
        <w:rPr>
          <w:rFonts w:cstheme="minorHAnsi"/>
          <w:lang w:val="en-GB"/>
        </w:rPr>
      </w:pPr>
      <w:r w:rsidRPr="00216489">
        <w:rPr>
          <w:rFonts w:cstheme="minorHAnsi"/>
          <w:lang w:val="en-GB"/>
        </w:rPr>
        <w:t xml:space="preserve">In principle, </w:t>
      </w:r>
      <w:r w:rsidR="009F4E38" w:rsidRPr="00216489">
        <w:rPr>
          <w:rFonts w:cstheme="minorHAnsi"/>
          <w:lang w:val="en-GB"/>
        </w:rPr>
        <w:t>large differences between sales prices and supply costs might occur for many reasons, including imperfect competition</w:t>
      </w:r>
      <w:r w:rsidR="002700CD" w:rsidRPr="00216489">
        <w:rPr>
          <w:rFonts w:cstheme="minorHAnsi"/>
          <w:lang w:val="en-GB"/>
        </w:rPr>
        <w:t>, adjustment lags, mismeasurement and so on.</w:t>
      </w:r>
      <w:r w:rsidR="001A3B73">
        <w:rPr>
          <w:rFonts w:cstheme="minorHAnsi"/>
          <w:lang w:val="en-GB"/>
        </w:rPr>
        <w:t xml:space="preserve"> </w:t>
      </w:r>
      <w:r w:rsidR="002700CD" w:rsidRPr="00216489">
        <w:rPr>
          <w:rFonts w:cstheme="minorHAnsi"/>
          <w:lang w:val="en-GB"/>
        </w:rPr>
        <w:t>However,</w:t>
      </w:r>
      <w:r w:rsidR="00B90BEA" w:rsidRPr="00216489">
        <w:rPr>
          <w:rFonts w:cstheme="minorHAnsi"/>
          <w:lang w:val="en-GB"/>
        </w:rPr>
        <w:t xml:space="preserve"> none of these is considered a ser</w:t>
      </w:r>
      <w:r w:rsidR="005905D7" w:rsidRPr="00216489">
        <w:rPr>
          <w:rFonts w:cstheme="minorHAnsi"/>
          <w:lang w:val="en-GB"/>
        </w:rPr>
        <w:t>i</w:t>
      </w:r>
      <w:r w:rsidR="00B90BEA" w:rsidRPr="00216489">
        <w:rPr>
          <w:rFonts w:cstheme="minorHAnsi"/>
          <w:lang w:val="en-GB"/>
        </w:rPr>
        <w:t>ous</w:t>
      </w:r>
      <w:r w:rsidR="005905D7" w:rsidRPr="00216489">
        <w:rPr>
          <w:rFonts w:cstheme="minorHAnsi"/>
          <w:lang w:val="en-GB"/>
        </w:rPr>
        <w:t xml:space="preserve"> alternative within the literature.</w:t>
      </w:r>
    </w:p>
    <w:p w14:paraId="018BA625" w14:textId="77777777" w:rsidR="00010613" w:rsidRPr="00216489" w:rsidRDefault="00010613">
      <w:pPr>
        <w:rPr>
          <w:rFonts w:cstheme="minorHAnsi"/>
        </w:rPr>
      </w:pPr>
    </w:p>
    <w:p w14:paraId="630BF815" w14:textId="5972FA5F" w:rsidR="001E5F1A" w:rsidRPr="00216489" w:rsidRDefault="001E5F1A" w:rsidP="000A0D2C">
      <w:pPr>
        <w:pStyle w:val="Heading1"/>
      </w:pPr>
      <w:bookmarkStart w:id="4" w:name="_Toc98922876"/>
      <w:r w:rsidRPr="00216489">
        <w:t>Benefits of planning</w:t>
      </w:r>
      <w:r w:rsidR="00DD6436" w:rsidRPr="00216489">
        <w:t xml:space="preserve"> restrictions</w:t>
      </w:r>
      <w:r w:rsidR="00CB03E4" w:rsidRPr="00216489">
        <w:t xml:space="preserve"> are small</w:t>
      </w:r>
      <w:bookmarkEnd w:id="4"/>
    </w:p>
    <w:p w14:paraId="6E95841A" w14:textId="769F5089" w:rsidR="004B79BF" w:rsidRPr="00216489" w:rsidRDefault="001E5F1A" w:rsidP="004B79BF">
      <w:pPr>
        <w:rPr>
          <w:rFonts w:cstheme="minorHAnsi"/>
        </w:rPr>
      </w:pPr>
      <w:r w:rsidRPr="00216489">
        <w:rPr>
          <w:rFonts w:cstheme="minorHAnsi"/>
        </w:rPr>
        <w:t>Binding quantitative restrictions that raise prices would be justified if there were negative externalities from higher density housing</w:t>
      </w:r>
      <w:r w:rsidR="00DD6436" w:rsidRPr="00216489">
        <w:rPr>
          <w:rFonts w:cstheme="minorHAnsi"/>
        </w:rPr>
        <w:t>.</w:t>
      </w:r>
      <w:r w:rsidR="001A3B73">
        <w:rPr>
          <w:rFonts w:cstheme="minorHAnsi"/>
        </w:rPr>
        <w:t xml:space="preserve"> </w:t>
      </w:r>
      <w:r w:rsidR="004B79BF" w:rsidRPr="00216489">
        <w:rPr>
          <w:rFonts w:cstheme="minorHAnsi"/>
        </w:rPr>
        <w:t xml:space="preserve">However, attempts to quantify these externalities tend to find that they are small or </w:t>
      </w:r>
      <w:r w:rsidR="00F743A0">
        <w:rPr>
          <w:rFonts w:cstheme="minorHAnsi"/>
        </w:rPr>
        <w:t xml:space="preserve">even </w:t>
      </w:r>
      <w:r w:rsidR="004B79BF" w:rsidRPr="00216489">
        <w:rPr>
          <w:rFonts w:cstheme="minorHAnsi"/>
        </w:rPr>
        <w:t>positive.</w:t>
      </w:r>
      <w:r w:rsidR="001A3B73">
        <w:rPr>
          <w:rFonts w:cstheme="minorHAnsi"/>
        </w:rPr>
        <w:t xml:space="preserve"> </w:t>
      </w:r>
      <w:r w:rsidR="001A4A98" w:rsidRPr="00216489">
        <w:rPr>
          <w:rFonts w:cstheme="minorHAnsi"/>
        </w:rPr>
        <w:t xml:space="preserve">There is no evidence </w:t>
      </w:r>
      <w:r w:rsidR="00223030" w:rsidRPr="00216489">
        <w:rPr>
          <w:rFonts w:cstheme="minorHAnsi"/>
        </w:rPr>
        <w:t xml:space="preserve">or even credible suggestions </w:t>
      </w:r>
      <w:r w:rsidR="001A4A98" w:rsidRPr="00216489">
        <w:rPr>
          <w:rFonts w:cstheme="minorHAnsi"/>
        </w:rPr>
        <w:t xml:space="preserve">of which we are aware suggesting that negative </w:t>
      </w:r>
      <w:r w:rsidR="00C65492" w:rsidRPr="00216489">
        <w:rPr>
          <w:rFonts w:cstheme="minorHAnsi"/>
        </w:rPr>
        <w:t>externalities</w:t>
      </w:r>
      <w:r w:rsidR="001A4A98" w:rsidRPr="00216489">
        <w:rPr>
          <w:rFonts w:cstheme="minorHAnsi"/>
        </w:rPr>
        <w:t xml:space="preserve"> are anywhere near as large as the implicit </w:t>
      </w:r>
      <w:r w:rsidR="001A3B73">
        <w:rPr>
          <w:rFonts w:cstheme="minorHAnsi"/>
        </w:rPr>
        <w:t>‘</w:t>
      </w:r>
      <w:r w:rsidR="001A4A98" w:rsidRPr="00216489">
        <w:rPr>
          <w:rFonts w:cstheme="minorHAnsi"/>
        </w:rPr>
        <w:t>tax</w:t>
      </w:r>
      <w:r w:rsidR="001A3B73">
        <w:rPr>
          <w:rFonts w:cstheme="minorHAnsi"/>
        </w:rPr>
        <w:t>’</w:t>
      </w:r>
      <w:r w:rsidR="001A4A98" w:rsidRPr="00216489">
        <w:rPr>
          <w:rFonts w:cstheme="minorHAnsi"/>
        </w:rPr>
        <w:t xml:space="preserve"> </w:t>
      </w:r>
      <w:r w:rsidR="00223030" w:rsidRPr="00216489">
        <w:rPr>
          <w:rFonts w:cstheme="minorHAnsi"/>
        </w:rPr>
        <w:t>estimates</w:t>
      </w:r>
      <w:r w:rsidR="001A4A98" w:rsidRPr="00216489">
        <w:rPr>
          <w:rFonts w:cstheme="minorHAnsi"/>
        </w:rPr>
        <w:t xml:space="preserve"> of the previous section.</w:t>
      </w:r>
      <w:r w:rsidR="001A3B73">
        <w:rPr>
          <w:rFonts w:cstheme="minorHAnsi"/>
        </w:rPr>
        <w:t xml:space="preserve"> </w:t>
      </w:r>
      <w:r w:rsidR="004B79BF" w:rsidRPr="00216489">
        <w:rPr>
          <w:rFonts w:cstheme="minorHAnsi"/>
        </w:rPr>
        <w:t xml:space="preserve">That means many restrictions on density lack </w:t>
      </w:r>
      <w:r w:rsidR="00CB03E4" w:rsidRPr="00216489">
        <w:rPr>
          <w:rFonts w:cstheme="minorHAnsi"/>
        </w:rPr>
        <w:t xml:space="preserve">a microeconomic </w:t>
      </w:r>
      <w:r w:rsidR="004B79BF" w:rsidRPr="00216489">
        <w:rPr>
          <w:rFonts w:cstheme="minorHAnsi"/>
        </w:rPr>
        <w:t xml:space="preserve">justification </w:t>
      </w:r>
      <w:r w:rsidR="004B79BF" w:rsidRPr="00216489">
        <w:rPr>
          <w:rFonts w:eastAsia="Times New Roman" w:cstheme="minorHAnsi"/>
        </w:rPr>
        <w:t>—</w:t>
      </w:r>
      <w:r w:rsidR="004B79BF" w:rsidRPr="00216489">
        <w:rPr>
          <w:rFonts w:cstheme="minorHAnsi"/>
        </w:rPr>
        <w:t xml:space="preserve"> they appear to increase housing costs unnecessarily.</w:t>
      </w:r>
    </w:p>
    <w:p w14:paraId="46E239B9" w14:textId="6E5A1345" w:rsidR="009C6444" w:rsidRPr="00216489" w:rsidRDefault="005760D0" w:rsidP="009C6444">
      <w:pPr>
        <w:rPr>
          <w:rFonts w:cstheme="minorHAnsi"/>
        </w:rPr>
      </w:pPr>
      <w:r w:rsidRPr="00216489">
        <w:rPr>
          <w:rFonts w:cstheme="minorHAnsi"/>
        </w:rPr>
        <w:t>A</w:t>
      </w:r>
      <w:r w:rsidR="009C6444" w:rsidRPr="00216489">
        <w:rPr>
          <w:rFonts w:cstheme="minorHAnsi"/>
        </w:rPr>
        <w:t xml:space="preserve"> leading argument in support of planning restrictions </w:t>
      </w:r>
      <w:r w:rsidRPr="00216489">
        <w:rPr>
          <w:rFonts w:cstheme="minorHAnsi"/>
        </w:rPr>
        <w:t xml:space="preserve">(e.g. Stokes, </w:t>
      </w:r>
      <w:hyperlink r:id="rId32" w:anchor="/docid/HANSARD-1323879322-112142" w:history="1">
        <w:r w:rsidRPr="00892A91">
          <w:rPr>
            <w:rStyle w:val="Hyperlink"/>
            <w:rFonts w:cstheme="minorHAnsi"/>
          </w:rPr>
          <w:t>2020</w:t>
        </w:r>
      </w:hyperlink>
      <w:r w:rsidRPr="00216489">
        <w:rPr>
          <w:rFonts w:cstheme="minorHAnsi"/>
        </w:rPr>
        <w:t xml:space="preserve">) </w:t>
      </w:r>
      <w:r w:rsidR="009C6444" w:rsidRPr="00216489">
        <w:rPr>
          <w:rFonts w:cstheme="minorHAnsi"/>
        </w:rPr>
        <w:t>is that, while they might make housing expensive, this is worthwhile because they improve neighbourhood amenity. Nearby residents often object to new apartment buildings on the grounds that they are ugly, they bring traffic and crowds, they block out the sun and so on.</w:t>
      </w:r>
    </w:p>
    <w:p w14:paraId="6FCD5322" w14:textId="594D052D" w:rsidR="009C6444" w:rsidRPr="00216489" w:rsidRDefault="009C6444" w:rsidP="009C6444">
      <w:pPr>
        <w:rPr>
          <w:rFonts w:cstheme="minorHAnsi"/>
        </w:rPr>
      </w:pPr>
      <w:r w:rsidRPr="00216489">
        <w:rPr>
          <w:rFonts w:cstheme="minorHAnsi"/>
        </w:rPr>
        <w:t xml:space="preserve">These arguments are </w:t>
      </w:r>
      <w:r w:rsidR="00AC32C7" w:rsidRPr="00216489">
        <w:rPr>
          <w:rFonts w:cstheme="minorHAnsi"/>
        </w:rPr>
        <w:t xml:space="preserve">legitimate </w:t>
      </w:r>
      <w:r w:rsidRPr="00216489">
        <w:rPr>
          <w:rFonts w:cstheme="minorHAnsi"/>
        </w:rPr>
        <w:t xml:space="preserve">and the residents are entitled to their preferences. However, their views are not the only ones to be </w:t>
      </w:r>
      <w:proofErr w:type="gramStart"/>
      <w:r w:rsidRPr="00216489">
        <w:rPr>
          <w:rFonts w:cstheme="minorHAnsi"/>
        </w:rPr>
        <w:t>taken into account</w:t>
      </w:r>
      <w:proofErr w:type="gramEnd"/>
      <w:r w:rsidRPr="00216489">
        <w:rPr>
          <w:rFonts w:cstheme="minorHAnsi"/>
        </w:rPr>
        <w:t xml:space="preserve">. Policymakers also need to weigh the preferences of those who like high-density living. Many potential residents like proximity to shops, transport and entertainment. These </w:t>
      </w:r>
      <w:r w:rsidR="00772596">
        <w:rPr>
          <w:rFonts w:cstheme="minorHAnsi"/>
        </w:rPr>
        <w:t>potential</w:t>
      </w:r>
      <w:r w:rsidRPr="00216489">
        <w:rPr>
          <w:rFonts w:cstheme="minorHAnsi"/>
        </w:rPr>
        <w:t xml:space="preserve"> residents </w:t>
      </w:r>
      <w:r w:rsidR="002459A4" w:rsidRPr="00216489">
        <w:rPr>
          <w:rFonts w:cstheme="minorHAnsi"/>
        </w:rPr>
        <w:t xml:space="preserve">are mobile and do not have a stake in any particular </w:t>
      </w:r>
      <w:r w:rsidRPr="00216489">
        <w:rPr>
          <w:rFonts w:cstheme="minorHAnsi"/>
        </w:rPr>
        <w:t xml:space="preserve">construction </w:t>
      </w:r>
      <w:r w:rsidR="002459A4" w:rsidRPr="00216489">
        <w:rPr>
          <w:rFonts w:cstheme="minorHAnsi"/>
        </w:rPr>
        <w:t>project.</w:t>
      </w:r>
      <w:r w:rsidR="001A3B73">
        <w:rPr>
          <w:rFonts w:cstheme="minorHAnsi"/>
        </w:rPr>
        <w:t xml:space="preserve"> </w:t>
      </w:r>
      <w:r w:rsidR="002459A4" w:rsidRPr="00216489">
        <w:rPr>
          <w:rFonts w:cstheme="minorHAnsi"/>
        </w:rPr>
        <w:t>Indeed, they typically cannot be identified beforehand.</w:t>
      </w:r>
      <w:r w:rsidR="001A3B73">
        <w:rPr>
          <w:rFonts w:cstheme="minorHAnsi"/>
        </w:rPr>
        <w:t xml:space="preserve"> </w:t>
      </w:r>
      <w:r w:rsidR="002459A4" w:rsidRPr="00216489">
        <w:rPr>
          <w:rFonts w:cstheme="minorHAnsi"/>
        </w:rPr>
        <w:t xml:space="preserve">Accordingly, </w:t>
      </w:r>
      <w:r w:rsidRPr="00216489">
        <w:rPr>
          <w:rFonts w:cstheme="minorHAnsi"/>
        </w:rPr>
        <w:t>their views are under-represented in public discussion.</w:t>
      </w:r>
    </w:p>
    <w:p w14:paraId="32FB32E4" w14:textId="77777777" w:rsidR="009C6444" w:rsidRPr="00216489" w:rsidRDefault="009C6444" w:rsidP="009C6444">
      <w:pPr>
        <w:rPr>
          <w:rFonts w:cstheme="minorHAnsi"/>
        </w:rPr>
      </w:pPr>
      <w:r w:rsidRPr="00216489">
        <w:rPr>
          <w:rFonts w:cstheme="minorHAnsi"/>
        </w:rPr>
        <w:t>We can weigh these conflicting preferences by looking at nearby house prices. If apartment towers did harm neighbourhood amenity, as the opponents of density argue, then nearby house prices should fall.</w:t>
      </w:r>
    </w:p>
    <w:p w14:paraId="69DC3243" w14:textId="0357FF09" w:rsidR="009C6444" w:rsidRPr="00216489" w:rsidRDefault="002459A4" w:rsidP="009C6444">
      <w:pPr>
        <w:rPr>
          <w:rFonts w:cstheme="minorHAnsi"/>
        </w:rPr>
      </w:pPr>
      <w:r w:rsidRPr="00216489">
        <w:rPr>
          <w:rFonts w:cstheme="minorHAnsi"/>
        </w:rPr>
        <w:t xml:space="preserve">In </w:t>
      </w:r>
      <w:r w:rsidR="00D56D81" w:rsidRPr="00216489">
        <w:rPr>
          <w:rFonts w:cstheme="minorHAnsi"/>
        </w:rPr>
        <w:t xml:space="preserve">a recent CIS paper, </w:t>
      </w:r>
      <w:r w:rsidR="009C6444" w:rsidRPr="00216489">
        <w:rPr>
          <w:rFonts w:cstheme="minorHAnsi"/>
        </w:rPr>
        <w:t>Tulip and Lanigan (</w:t>
      </w:r>
      <w:hyperlink r:id="rId33" w:history="1">
        <w:r w:rsidR="009C6444" w:rsidRPr="000C1882">
          <w:rPr>
            <w:rStyle w:val="Hyperlink"/>
            <w:rFonts w:cstheme="minorHAnsi"/>
          </w:rPr>
          <w:t>2021</w:t>
        </w:r>
      </w:hyperlink>
      <w:r w:rsidR="009C6444" w:rsidRPr="00216489">
        <w:rPr>
          <w:rFonts w:cstheme="minorHAnsi"/>
        </w:rPr>
        <w:t xml:space="preserve">) find that this does not happen. They look at five prominent examples of high-density construction in Sydney: Chatswood, Forest Lodge, Green Square, Liverpool and Turrella and three in Melbourne: Box Hill, South Yarra and Footscray. They find that nearby house prices are essentially unaffected by new development. It seems that for every </w:t>
      </w:r>
      <w:r w:rsidR="009C6444" w:rsidRPr="00216489">
        <w:rPr>
          <w:rFonts w:cstheme="minorHAnsi"/>
        </w:rPr>
        <w:lastRenderedPageBreak/>
        <w:t xml:space="preserve">recalcitrant neighbour that dislikes the new apartments, there are other home buyers who want a walkable, lively community. </w:t>
      </w:r>
    </w:p>
    <w:p w14:paraId="57F24AE3" w14:textId="071EAED7" w:rsidR="009C6444" w:rsidRPr="00216489" w:rsidRDefault="009C6444" w:rsidP="009C6444">
      <w:pPr>
        <w:rPr>
          <w:rFonts w:cstheme="minorHAnsi"/>
        </w:rPr>
      </w:pPr>
      <w:r w:rsidRPr="00216489">
        <w:rPr>
          <w:rFonts w:cstheme="minorHAnsi"/>
        </w:rPr>
        <w:t xml:space="preserve">There is a large international literature on broader effects of urban density. </w:t>
      </w:r>
      <w:proofErr w:type="spellStart"/>
      <w:r w:rsidRPr="00216489">
        <w:rPr>
          <w:rFonts w:cstheme="minorHAnsi"/>
        </w:rPr>
        <w:t>Ahlfeldt</w:t>
      </w:r>
      <w:proofErr w:type="spellEnd"/>
      <w:r w:rsidRPr="00216489">
        <w:rPr>
          <w:rFonts w:cstheme="minorHAnsi"/>
        </w:rPr>
        <w:t xml:space="preserve"> and </w:t>
      </w:r>
      <w:proofErr w:type="spellStart"/>
      <w:r w:rsidRPr="00216489">
        <w:rPr>
          <w:rFonts w:cstheme="minorHAnsi"/>
        </w:rPr>
        <w:t>Pietrostefani</w:t>
      </w:r>
      <w:proofErr w:type="spellEnd"/>
      <w:r w:rsidRPr="00216489">
        <w:rPr>
          <w:rFonts w:cstheme="minorHAnsi"/>
        </w:rPr>
        <w:t xml:space="preserve"> (</w:t>
      </w:r>
      <w:hyperlink r:id="rId34" w:history="1">
        <w:r w:rsidRPr="00730260">
          <w:rPr>
            <w:rStyle w:val="Hyperlink"/>
            <w:rFonts w:cstheme="minorHAnsi"/>
          </w:rPr>
          <w:t>2019</w:t>
        </w:r>
      </w:hyperlink>
      <w:r w:rsidRPr="00216489">
        <w:rPr>
          <w:rFonts w:cstheme="minorHAnsi"/>
        </w:rPr>
        <w:t xml:space="preserve">) </w:t>
      </w:r>
      <w:r w:rsidR="00C65E07">
        <w:rPr>
          <w:rFonts w:cstheme="minorHAnsi"/>
        </w:rPr>
        <w:t>standardise and quantify</w:t>
      </w:r>
      <w:r w:rsidRPr="00216489">
        <w:rPr>
          <w:rFonts w:cstheme="minorHAnsi"/>
        </w:rPr>
        <w:t xml:space="preserve"> th</w:t>
      </w:r>
      <w:r w:rsidR="004B79BF" w:rsidRPr="00216489">
        <w:rPr>
          <w:rFonts w:cstheme="minorHAnsi"/>
        </w:rPr>
        <w:t>is</w:t>
      </w:r>
      <w:r w:rsidRPr="00216489">
        <w:rPr>
          <w:rFonts w:cstheme="minorHAnsi"/>
        </w:rPr>
        <w:t xml:space="preserve"> </w:t>
      </w:r>
      <w:r w:rsidR="00C65E07">
        <w:rPr>
          <w:rFonts w:cstheme="minorHAnsi"/>
        </w:rPr>
        <w:t>research</w:t>
      </w:r>
      <w:r w:rsidRPr="00216489">
        <w:rPr>
          <w:rFonts w:cstheme="minorHAnsi"/>
        </w:rPr>
        <w:t xml:space="preserve"> and conclude that, on balance, the</w:t>
      </w:r>
      <w:r w:rsidR="004B79BF" w:rsidRPr="00216489">
        <w:rPr>
          <w:rFonts w:cstheme="minorHAnsi"/>
        </w:rPr>
        <w:t xml:space="preserve"> external benefits of urban density </w:t>
      </w:r>
      <w:r w:rsidRPr="00216489">
        <w:rPr>
          <w:rFonts w:cstheme="minorHAnsi"/>
        </w:rPr>
        <w:t xml:space="preserve">are positive. Productivity </w:t>
      </w:r>
      <w:proofErr w:type="spellStart"/>
      <w:r w:rsidRPr="00216489">
        <w:rPr>
          <w:rFonts w:cstheme="minorHAnsi"/>
        </w:rPr>
        <w:t>spillovers</w:t>
      </w:r>
      <w:proofErr w:type="spellEnd"/>
      <w:r w:rsidRPr="00216489">
        <w:rPr>
          <w:rFonts w:cstheme="minorHAnsi"/>
        </w:rPr>
        <w:t xml:space="preserve">, more patent applications, less energy use and other benefits of density are found to more than offset traffic congestion, shadows, noise and other costs. Australian studies, specifically Travers Morgan and Applied Economics (1991), </w:t>
      </w:r>
      <w:proofErr w:type="spellStart"/>
      <w:r w:rsidRPr="00216489">
        <w:rPr>
          <w:rFonts w:cstheme="minorHAnsi"/>
        </w:rPr>
        <w:t>Trubka</w:t>
      </w:r>
      <w:proofErr w:type="spellEnd"/>
      <w:r w:rsidRPr="00216489">
        <w:rPr>
          <w:rFonts w:cstheme="minorHAnsi"/>
        </w:rPr>
        <w:t xml:space="preserve">, Newman and </w:t>
      </w:r>
      <w:proofErr w:type="spellStart"/>
      <w:r w:rsidRPr="00216489">
        <w:rPr>
          <w:rFonts w:cstheme="minorHAnsi"/>
        </w:rPr>
        <w:t>Bilsborough</w:t>
      </w:r>
      <w:proofErr w:type="spellEnd"/>
      <w:r w:rsidRPr="00216489">
        <w:rPr>
          <w:rFonts w:cstheme="minorHAnsi"/>
        </w:rPr>
        <w:t xml:space="preserve"> (2008) and CIE (2010), are less comprehensive, but do not point to overall results being very different here. </w:t>
      </w:r>
      <w:proofErr w:type="spellStart"/>
      <w:r w:rsidRPr="00216489">
        <w:rPr>
          <w:rFonts w:cstheme="minorHAnsi"/>
        </w:rPr>
        <w:t>Glaeser</w:t>
      </w:r>
      <w:proofErr w:type="spellEnd"/>
      <w:r w:rsidRPr="00216489">
        <w:rPr>
          <w:rFonts w:cstheme="minorHAnsi"/>
        </w:rPr>
        <w:t xml:space="preserve">, </w:t>
      </w:r>
      <w:proofErr w:type="spellStart"/>
      <w:r w:rsidRPr="00216489">
        <w:rPr>
          <w:rFonts w:cstheme="minorHAnsi"/>
        </w:rPr>
        <w:t>Gyourko</w:t>
      </w:r>
      <w:proofErr w:type="spellEnd"/>
      <w:r w:rsidRPr="00216489">
        <w:rPr>
          <w:rFonts w:cstheme="minorHAnsi"/>
        </w:rPr>
        <w:t xml:space="preserve"> and Saks (</w:t>
      </w:r>
      <w:hyperlink r:id="rId35" w:history="1">
        <w:r w:rsidRPr="00E90B5E">
          <w:rPr>
            <w:rStyle w:val="Hyperlink"/>
            <w:rFonts w:cstheme="minorHAnsi"/>
          </w:rPr>
          <w:t>2005</w:t>
        </w:r>
      </w:hyperlink>
      <w:r w:rsidRPr="00216489">
        <w:rPr>
          <w:rFonts w:cstheme="minorHAnsi"/>
        </w:rPr>
        <w:t>) specifically examine height restrictions and estimate their external costs to be small.</w:t>
      </w:r>
    </w:p>
    <w:p w14:paraId="46379161" w14:textId="58DB6E85" w:rsidR="0073100E" w:rsidRDefault="0073100E" w:rsidP="009C6444">
      <w:pPr>
        <w:rPr>
          <w:rFonts w:cstheme="minorHAnsi"/>
        </w:rPr>
      </w:pPr>
      <w:r w:rsidRPr="00216489">
        <w:rPr>
          <w:rFonts w:cstheme="minorHAnsi"/>
        </w:rPr>
        <w:t>One of the strongest findings of this international literature is that urban density promotes productivity and technologic</w:t>
      </w:r>
      <w:r w:rsidR="00615F99" w:rsidRPr="00216489">
        <w:rPr>
          <w:rFonts w:cstheme="minorHAnsi"/>
        </w:rPr>
        <w:t>al progress.</w:t>
      </w:r>
      <w:r w:rsidR="001A3B73">
        <w:rPr>
          <w:rFonts w:cstheme="minorHAnsi"/>
        </w:rPr>
        <w:t xml:space="preserve"> </w:t>
      </w:r>
      <w:r w:rsidR="00615F99" w:rsidRPr="00216489">
        <w:rPr>
          <w:rFonts w:cstheme="minorHAnsi"/>
        </w:rPr>
        <w:t>T</w:t>
      </w:r>
      <w:r w:rsidRPr="00216489">
        <w:rPr>
          <w:rFonts w:cstheme="minorHAnsi"/>
        </w:rPr>
        <w:t xml:space="preserve">his is discussed further in Section </w:t>
      </w:r>
      <w:r w:rsidR="001D79F1">
        <w:rPr>
          <w:rFonts w:cstheme="minorHAnsi"/>
        </w:rPr>
        <w:t>4</w:t>
      </w:r>
      <w:r w:rsidRPr="00216489">
        <w:rPr>
          <w:rFonts w:cstheme="minorHAnsi"/>
        </w:rPr>
        <w:t>.3</w:t>
      </w:r>
      <w:r w:rsidR="00823465">
        <w:rPr>
          <w:rFonts w:cstheme="minorHAnsi"/>
        </w:rPr>
        <w:t>.</w:t>
      </w:r>
    </w:p>
    <w:p w14:paraId="752BD60E" w14:textId="42D8CB4F" w:rsidR="00823465" w:rsidRDefault="009E634C" w:rsidP="009C6444">
      <w:pPr>
        <w:rPr>
          <w:rFonts w:cstheme="minorHAnsi"/>
        </w:rPr>
      </w:pPr>
      <w:r>
        <w:rPr>
          <w:rFonts w:cstheme="minorHAnsi"/>
        </w:rPr>
        <w:t>The results of academic research are in line with judgeme</w:t>
      </w:r>
      <w:r w:rsidR="007E7339">
        <w:rPr>
          <w:rFonts w:cstheme="minorHAnsi"/>
        </w:rPr>
        <w:t>nt</w:t>
      </w:r>
      <w:r w:rsidR="00F23C2F">
        <w:rPr>
          <w:rFonts w:cstheme="minorHAnsi"/>
        </w:rPr>
        <w:t>s of elected politicians.  The recent Parliamentary In</w:t>
      </w:r>
      <w:r w:rsidR="003A2B81">
        <w:rPr>
          <w:rFonts w:cstheme="minorHAnsi"/>
        </w:rPr>
        <w:t xml:space="preserve">quiry into Housing </w:t>
      </w:r>
      <w:r w:rsidR="00267BA6">
        <w:rPr>
          <w:rFonts w:cstheme="minorHAnsi"/>
        </w:rPr>
        <w:t>Affordability and Supply</w:t>
      </w:r>
      <w:r w:rsidR="00347D75">
        <w:rPr>
          <w:rFonts w:cstheme="minorHAnsi"/>
        </w:rPr>
        <w:t xml:space="preserve">, the </w:t>
      </w:r>
      <w:proofErr w:type="spellStart"/>
      <w:r w:rsidR="00347D75">
        <w:rPr>
          <w:rFonts w:cstheme="minorHAnsi"/>
        </w:rPr>
        <w:t>Falinski</w:t>
      </w:r>
      <w:proofErr w:type="spellEnd"/>
      <w:r w:rsidR="00347D75">
        <w:rPr>
          <w:rFonts w:cstheme="minorHAnsi"/>
        </w:rPr>
        <w:t xml:space="preserve"> Report, </w:t>
      </w:r>
      <w:r w:rsidR="0048540E">
        <w:rPr>
          <w:rFonts w:cstheme="minorHAnsi"/>
        </w:rPr>
        <w:t>con</w:t>
      </w:r>
      <w:r w:rsidR="00AE5B0A">
        <w:rPr>
          <w:rFonts w:cstheme="minorHAnsi"/>
        </w:rPr>
        <w:t>c</w:t>
      </w:r>
      <w:r w:rsidR="0048540E">
        <w:rPr>
          <w:rFonts w:cstheme="minorHAnsi"/>
        </w:rPr>
        <w:t>luded</w:t>
      </w:r>
      <w:r w:rsidR="00AE5B0A">
        <w:rPr>
          <w:rFonts w:cstheme="minorHAnsi"/>
        </w:rPr>
        <w:t>:</w:t>
      </w:r>
      <w:r w:rsidR="0048540E">
        <w:rPr>
          <w:rFonts w:cstheme="minorHAnsi"/>
        </w:rPr>
        <w:t xml:space="preserve"> </w:t>
      </w:r>
    </w:p>
    <w:p w14:paraId="3020682D" w14:textId="65717F0E" w:rsidR="00DD6436" w:rsidRDefault="006A1947" w:rsidP="006A1947">
      <w:pPr>
        <w:ind w:left="720"/>
        <w:rPr>
          <w:rFonts w:cstheme="minorHAnsi"/>
        </w:rPr>
      </w:pPr>
      <w:r>
        <w:rPr>
          <w:rFonts w:cstheme="minorHAnsi"/>
        </w:rPr>
        <w:t>“</w:t>
      </w:r>
      <w:r w:rsidR="00297C57" w:rsidRPr="00297C57">
        <w:rPr>
          <w:rFonts w:cstheme="minorHAnsi"/>
        </w:rPr>
        <w:t xml:space="preserve">Available estimates of the effects of planning restrictions on housing costs are </w:t>
      </w:r>
      <w:r w:rsidR="00A97C50">
        <w:rPr>
          <w:rFonts w:cstheme="minorHAnsi"/>
        </w:rPr>
        <w:t>… s</w:t>
      </w:r>
      <w:r w:rsidR="00297C57" w:rsidRPr="00297C57">
        <w:rPr>
          <w:rFonts w:cstheme="minorHAnsi"/>
        </w:rPr>
        <w:t>o large, that it is hard to see how benefits of planning restrictions could be comparable</w:t>
      </w:r>
      <w:r w:rsidR="00A97C50">
        <w:rPr>
          <w:rFonts w:cstheme="minorHAnsi"/>
        </w:rPr>
        <w:t>…</w:t>
      </w:r>
      <w:r w:rsidR="00297C57" w:rsidRPr="00297C57">
        <w:rPr>
          <w:rFonts w:cstheme="minorHAnsi"/>
        </w:rPr>
        <w:t xml:space="preserve"> The Committee accepts that there are important benefits from planning, but it does not accept that these are sufficient to justify denying affordable housing to renters or to future generations of </w:t>
      </w:r>
      <w:proofErr w:type="gramStart"/>
      <w:r w:rsidR="00297C57" w:rsidRPr="00297C57">
        <w:rPr>
          <w:rFonts w:cstheme="minorHAnsi"/>
        </w:rPr>
        <w:t>home owners</w:t>
      </w:r>
      <w:proofErr w:type="gramEnd"/>
      <w:r>
        <w:rPr>
          <w:rFonts w:cstheme="minorHAnsi"/>
        </w:rPr>
        <w:t xml:space="preserve">.” (Parliament of Australia, </w:t>
      </w:r>
      <w:hyperlink r:id="rId36" w:history="1">
        <w:r w:rsidRPr="005E3CC9">
          <w:rPr>
            <w:rStyle w:val="Hyperlink"/>
            <w:rFonts w:cstheme="minorHAnsi"/>
          </w:rPr>
          <w:t>2022</w:t>
        </w:r>
      </w:hyperlink>
      <w:r>
        <w:rPr>
          <w:rFonts w:cstheme="minorHAnsi"/>
        </w:rPr>
        <w:t>, para 3.72)</w:t>
      </w:r>
    </w:p>
    <w:p w14:paraId="4E241CF8" w14:textId="77777777" w:rsidR="00010613" w:rsidRPr="00216489" w:rsidRDefault="00010613" w:rsidP="006A1947">
      <w:pPr>
        <w:ind w:left="720"/>
        <w:rPr>
          <w:rFonts w:cstheme="minorHAnsi"/>
        </w:rPr>
      </w:pPr>
    </w:p>
    <w:p w14:paraId="7189B56D" w14:textId="0F5B0B75" w:rsidR="00DD6436" w:rsidRPr="00216489" w:rsidRDefault="00DD6436" w:rsidP="000A0D2C">
      <w:pPr>
        <w:pStyle w:val="Heading1"/>
      </w:pPr>
      <w:bookmarkStart w:id="5" w:name="_Toc98922877"/>
      <w:r w:rsidRPr="00216489">
        <w:t>Welfare costs of planning restrictions</w:t>
      </w:r>
      <w:r w:rsidR="000D6423">
        <w:t xml:space="preserve"> are large</w:t>
      </w:r>
      <w:bookmarkEnd w:id="5"/>
      <w:r w:rsidR="00F12780">
        <w:tab/>
      </w:r>
    </w:p>
    <w:p w14:paraId="3595E09C" w14:textId="5D1F9140" w:rsidR="008D0BA2" w:rsidRPr="00216489" w:rsidRDefault="00F12780" w:rsidP="00F12780">
      <w:pPr>
        <w:pStyle w:val="Heading2"/>
        <w:ind w:firstLine="714"/>
      </w:pPr>
      <w:bookmarkStart w:id="6" w:name="_Toc98922878"/>
      <w:r>
        <w:t xml:space="preserve">4.1  </w:t>
      </w:r>
      <w:r w:rsidR="00DD6436" w:rsidRPr="00216489">
        <w:t>Equity</w:t>
      </w:r>
      <w:bookmarkEnd w:id="6"/>
    </w:p>
    <w:p w14:paraId="19299BC2" w14:textId="1891996D" w:rsidR="00DD6436" w:rsidRPr="00216489" w:rsidRDefault="005760D0">
      <w:pPr>
        <w:rPr>
          <w:rFonts w:cstheme="minorHAnsi"/>
        </w:rPr>
      </w:pPr>
      <w:r w:rsidRPr="00216489">
        <w:rPr>
          <w:rFonts w:cstheme="minorHAnsi"/>
        </w:rPr>
        <w:t>Restrictions</w:t>
      </w:r>
      <w:r w:rsidR="00DD6436" w:rsidRPr="00216489">
        <w:rPr>
          <w:rFonts w:cstheme="minorHAnsi"/>
        </w:rPr>
        <w:t xml:space="preserve"> that raise the cost of housing increase the we</w:t>
      </w:r>
      <w:r w:rsidR="00847D94" w:rsidRPr="00216489">
        <w:rPr>
          <w:rFonts w:cstheme="minorHAnsi"/>
        </w:rPr>
        <w:t>a</w:t>
      </w:r>
      <w:r w:rsidR="00DD6436" w:rsidRPr="00216489">
        <w:rPr>
          <w:rFonts w:cstheme="minorHAnsi"/>
        </w:rPr>
        <w:t>lth of current homeowners</w:t>
      </w:r>
      <w:r w:rsidR="00CF0327" w:rsidRPr="00216489">
        <w:rPr>
          <w:rFonts w:cstheme="minorHAnsi"/>
        </w:rPr>
        <w:t xml:space="preserve"> </w:t>
      </w:r>
      <w:r w:rsidR="00821068" w:rsidRPr="00216489">
        <w:rPr>
          <w:rFonts w:cstheme="minorHAnsi"/>
        </w:rPr>
        <w:t xml:space="preserve">while making </w:t>
      </w:r>
      <w:r w:rsidR="00DD6436" w:rsidRPr="00216489">
        <w:rPr>
          <w:rFonts w:cstheme="minorHAnsi"/>
        </w:rPr>
        <w:t>renters and future generations of homeowners worse off.</w:t>
      </w:r>
      <w:r w:rsidR="004F1BA2" w:rsidRPr="00216489">
        <w:rPr>
          <w:rFonts w:cstheme="minorHAnsi"/>
        </w:rPr>
        <w:t xml:space="preserve"> </w:t>
      </w:r>
    </w:p>
    <w:p w14:paraId="6AC8A739" w14:textId="62850738" w:rsidR="00336A6F" w:rsidRPr="00216489" w:rsidRDefault="00A13C7C" w:rsidP="00A13C7C">
      <w:pPr>
        <w:rPr>
          <w:rFonts w:cstheme="minorHAnsi"/>
        </w:rPr>
      </w:pPr>
      <w:r w:rsidRPr="00216489">
        <w:rPr>
          <w:rFonts w:cstheme="minorHAnsi"/>
        </w:rPr>
        <w:t>These transfers seem to be inequitable according to c</w:t>
      </w:r>
      <w:r w:rsidR="004F1BA2" w:rsidRPr="00216489">
        <w:rPr>
          <w:rFonts w:cstheme="minorHAnsi"/>
        </w:rPr>
        <w:t>ommunity standards</w:t>
      </w:r>
      <w:r w:rsidRPr="00216489">
        <w:rPr>
          <w:rFonts w:cstheme="minorHAnsi"/>
        </w:rPr>
        <w:t>.</w:t>
      </w:r>
      <w:r w:rsidR="001A3B73">
        <w:rPr>
          <w:rFonts w:cstheme="minorHAnsi"/>
        </w:rPr>
        <w:t xml:space="preserve"> </w:t>
      </w:r>
      <w:r w:rsidR="004F1BA2" w:rsidRPr="00216489">
        <w:rPr>
          <w:rFonts w:cstheme="minorHAnsi"/>
        </w:rPr>
        <w:t>The beneficiaries of planning restrictions are wealthy, by virtue of owning property that has gre</w:t>
      </w:r>
      <w:r w:rsidR="00847D94" w:rsidRPr="00216489">
        <w:rPr>
          <w:rFonts w:cstheme="minorHAnsi"/>
        </w:rPr>
        <w:t>a</w:t>
      </w:r>
      <w:r w:rsidR="004F1BA2" w:rsidRPr="00216489">
        <w:rPr>
          <w:rFonts w:cstheme="minorHAnsi"/>
        </w:rPr>
        <w:t>tly appreciated in value since it was purchased.</w:t>
      </w:r>
      <w:r w:rsidR="001A3B73">
        <w:rPr>
          <w:rFonts w:cstheme="minorHAnsi"/>
        </w:rPr>
        <w:t xml:space="preserve"> </w:t>
      </w:r>
      <w:r w:rsidR="00336A6F" w:rsidRPr="00216489">
        <w:rPr>
          <w:rFonts w:cstheme="minorHAnsi"/>
        </w:rPr>
        <w:t>That</w:t>
      </w:r>
      <w:r w:rsidRPr="00216489">
        <w:rPr>
          <w:rFonts w:cstheme="minorHAnsi"/>
        </w:rPr>
        <w:t xml:space="preserve"> wealth was unearned and arguably </w:t>
      </w:r>
      <w:r w:rsidR="00847D94" w:rsidRPr="00216489">
        <w:rPr>
          <w:rFonts w:cstheme="minorHAnsi"/>
        </w:rPr>
        <w:t>undeserved</w:t>
      </w:r>
      <w:r w:rsidRPr="00216489">
        <w:rPr>
          <w:rFonts w:cstheme="minorHAnsi"/>
        </w:rPr>
        <w:t>.</w:t>
      </w:r>
      <w:r w:rsidR="00336A6F" w:rsidRPr="00216489">
        <w:rPr>
          <w:rFonts w:cstheme="minorHAnsi"/>
        </w:rPr>
        <w:t xml:space="preserve"> In contrast, those injured tend to be poor and young.</w:t>
      </w:r>
      <w:r w:rsidR="001A3B73">
        <w:rPr>
          <w:rFonts w:cstheme="minorHAnsi"/>
        </w:rPr>
        <w:t xml:space="preserve"> </w:t>
      </w:r>
      <w:r w:rsidR="00035782">
        <w:rPr>
          <w:rFonts w:cstheme="minorHAnsi"/>
        </w:rPr>
        <w:t>First home buyer grants, Commonwealth Rent Assistance and other government programs try to offset this redistribution.</w:t>
      </w:r>
      <w:r w:rsidR="001A3B73">
        <w:rPr>
          <w:rFonts w:cstheme="minorHAnsi"/>
        </w:rPr>
        <w:t xml:space="preserve"> </w:t>
      </w:r>
      <w:r w:rsidR="00035782">
        <w:rPr>
          <w:rFonts w:cstheme="minorHAnsi"/>
        </w:rPr>
        <w:t>More importantly, e</w:t>
      </w:r>
      <w:r w:rsidR="00336A6F" w:rsidRPr="00216489">
        <w:rPr>
          <w:rFonts w:cstheme="minorHAnsi"/>
        </w:rPr>
        <w:t>xpensive housing results in major social problems including rental stress and homelessness.</w:t>
      </w:r>
    </w:p>
    <w:p w14:paraId="4CC2B282" w14:textId="36849B4A" w:rsidR="004F1BA2" w:rsidRPr="00216489" w:rsidRDefault="00847D94" w:rsidP="002555D6">
      <w:pPr>
        <w:rPr>
          <w:rFonts w:cstheme="minorHAnsi"/>
        </w:rPr>
      </w:pPr>
      <w:r w:rsidRPr="00216489">
        <w:rPr>
          <w:rFonts w:cstheme="minorHAnsi"/>
        </w:rPr>
        <w:t xml:space="preserve">The inequity perpetuates itself and grows over </w:t>
      </w:r>
      <w:r w:rsidR="001701DE" w:rsidRPr="00216489">
        <w:rPr>
          <w:rFonts w:cstheme="minorHAnsi"/>
        </w:rPr>
        <w:t>time</w:t>
      </w:r>
      <w:r w:rsidRPr="00216489">
        <w:rPr>
          <w:rFonts w:cstheme="minorHAnsi"/>
        </w:rPr>
        <w:t>.</w:t>
      </w:r>
      <w:r w:rsidR="001A3B73">
        <w:rPr>
          <w:rFonts w:cstheme="minorHAnsi"/>
        </w:rPr>
        <w:t xml:space="preserve"> </w:t>
      </w:r>
      <w:r w:rsidR="001701DE" w:rsidRPr="00216489">
        <w:rPr>
          <w:rFonts w:cstheme="minorHAnsi"/>
        </w:rPr>
        <w:t>The</w:t>
      </w:r>
      <w:r w:rsidRPr="00216489">
        <w:rPr>
          <w:rFonts w:cstheme="minorHAnsi"/>
        </w:rPr>
        <w:t xml:space="preserve"> exclusion of </w:t>
      </w:r>
      <w:r w:rsidR="001701DE" w:rsidRPr="00216489">
        <w:rPr>
          <w:rFonts w:cstheme="minorHAnsi"/>
        </w:rPr>
        <w:t>apartments</w:t>
      </w:r>
      <w:r w:rsidRPr="00216489">
        <w:rPr>
          <w:rFonts w:cstheme="minorHAnsi"/>
        </w:rPr>
        <w:t xml:space="preserve"> and other inexpensive housing from wealthy suburbs segregates society into rich and poor.</w:t>
      </w:r>
      <w:r w:rsidR="001A3B73">
        <w:rPr>
          <w:rFonts w:cstheme="minorHAnsi"/>
        </w:rPr>
        <w:t xml:space="preserve"> </w:t>
      </w:r>
      <w:r w:rsidRPr="00216489">
        <w:rPr>
          <w:rFonts w:cstheme="minorHAnsi"/>
        </w:rPr>
        <w:t xml:space="preserve">Many observers think that is </w:t>
      </w:r>
      <w:r w:rsidR="002459A4" w:rsidRPr="00216489">
        <w:rPr>
          <w:rFonts w:cstheme="minorHAnsi"/>
        </w:rPr>
        <w:t>a</w:t>
      </w:r>
      <w:r w:rsidRPr="00216489">
        <w:rPr>
          <w:rFonts w:cstheme="minorHAnsi"/>
        </w:rPr>
        <w:t xml:space="preserve"> central purpose of the restrictions.</w:t>
      </w:r>
      <w:r w:rsidR="001A3B73">
        <w:rPr>
          <w:rFonts w:cstheme="minorHAnsi"/>
        </w:rPr>
        <w:t xml:space="preserve"> </w:t>
      </w:r>
      <w:proofErr w:type="gramStart"/>
      <w:r w:rsidRPr="00216489">
        <w:rPr>
          <w:rFonts w:cstheme="minorHAnsi"/>
        </w:rPr>
        <w:t>Low income</w:t>
      </w:r>
      <w:proofErr w:type="gramEnd"/>
      <w:r w:rsidRPr="00216489">
        <w:rPr>
          <w:rFonts w:cstheme="minorHAnsi"/>
        </w:rPr>
        <w:t xml:space="preserve"> families are denied access to better schools and employment opportunities.</w:t>
      </w:r>
      <w:r w:rsidR="001A3B73">
        <w:rPr>
          <w:rFonts w:cstheme="minorHAnsi"/>
        </w:rPr>
        <w:t xml:space="preserve"> </w:t>
      </w:r>
      <w:r w:rsidRPr="00216489">
        <w:rPr>
          <w:rFonts w:cstheme="minorHAnsi"/>
        </w:rPr>
        <w:t>Moreover, the difficulty in saving for a housing deposit without parental assistance makes home ownership increasingly hereditary.</w:t>
      </w:r>
    </w:p>
    <w:p w14:paraId="2CFA3F6D" w14:textId="71269D0E" w:rsidR="006722AA" w:rsidRPr="00216489" w:rsidRDefault="00722A39" w:rsidP="00F12780">
      <w:pPr>
        <w:pStyle w:val="Heading2"/>
        <w:ind w:firstLine="720"/>
      </w:pPr>
      <w:bookmarkStart w:id="7" w:name="_Toc98922879"/>
      <w:r>
        <w:t xml:space="preserve">4.2  </w:t>
      </w:r>
      <w:r w:rsidR="006722AA" w:rsidRPr="00216489">
        <w:t>Static efficiency</w:t>
      </w:r>
      <w:bookmarkEnd w:id="7"/>
    </w:p>
    <w:p w14:paraId="6E67C461" w14:textId="36E5DE0F" w:rsidR="004C1E0D" w:rsidRPr="00216489" w:rsidRDefault="006722AA" w:rsidP="004F1BA2">
      <w:pPr>
        <w:rPr>
          <w:rFonts w:cstheme="minorHAnsi"/>
        </w:rPr>
      </w:pPr>
      <w:r w:rsidRPr="00216489">
        <w:rPr>
          <w:rFonts w:cstheme="minorHAnsi"/>
        </w:rPr>
        <w:t xml:space="preserve">The inefficiency of housing </w:t>
      </w:r>
      <w:r w:rsidR="009E6ABD" w:rsidRPr="00216489">
        <w:rPr>
          <w:rFonts w:cstheme="minorHAnsi"/>
        </w:rPr>
        <w:t>restrictions</w:t>
      </w:r>
      <w:r w:rsidRPr="00216489">
        <w:rPr>
          <w:rFonts w:cstheme="minorHAnsi"/>
        </w:rPr>
        <w:t xml:space="preserve"> </w:t>
      </w:r>
      <w:r w:rsidR="005760D0" w:rsidRPr="00216489">
        <w:rPr>
          <w:rFonts w:cstheme="minorHAnsi"/>
        </w:rPr>
        <w:t>results in</w:t>
      </w:r>
      <w:r w:rsidR="004C1E0D" w:rsidRPr="00216489">
        <w:rPr>
          <w:rFonts w:cstheme="minorHAnsi"/>
        </w:rPr>
        <w:t xml:space="preserve"> substantial </w:t>
      </w:r>
      <w:r w:rsidR="009E6ABD" w:rsidRPr="00216489">
        <w:rPr>
          <w:rFonts w:cstheme="minorHAnsi"/>
        </w:rPr>
        <w:t>sacrifices</w:t>
      </w:r>
      <w:r w:rsidR="004C1E0D" w:rsidRPr="00216489">
        <w:rPr>
          <w:rFonts w:cstheme="minorHAnsi"/>
        </w:rPr>
        <w:t xml:space="preserve"> and burdens.</w:t>
      </w:r>
      <w:r w:rsidR="001A3B73">
        <w:rPr>
          <w:rFonts w:cstheme="minorHAnsi"/>
        </w:rPr>
        <w:t xml:space="preserve"> </w:t>
      </w:r>
      <w:r w:rsidR="00151D8D" w:rsidRPr="00216489">
        <w:rPr>
          <w:rFonts w:cstheme="minorHAnsi"/>
        </w:rPr>
        <w:t xml:space="preserve">Homeownership, a central aspiration in </w:t>
      </w:r>
      <w:r w:rsidR="009E6ABD" w:rsidRPr="00216489">
        <w:rPr>
          <w:rFonts w:cstheme="minorHAnsi"/>
        </w:rPr>
        <w:t>Australian</w:t>
      </w:r>
      <w:r w:rsidR="00151D8D" w:rsidRPr="00216489">
        <w:rPr>
          <w:rFonts w:cstheme="minorHAnsi"/>
        </w:rPr>
        <w:t xml:space="preserve"> culture, is </w:t>
      </w:r>
      <w:r w:rsidR="009E6ABD" w:rsidRPr="00216489">
        <w:rPr>
          <w:rFonts w:cstheme="minorHAnsi"/>
        </w:rPr>
        <w:t xml:space="preserve">increasingly </w:t>
      </w:r>
      <w:r w:rsidR="00151D8D" w:rsidRPr="00216489">
        <w:rPr>
          <w:rFonts w:cstheme="minorHAnsi"/>
        </w:rPr>
        <w:t>out of reach.</w:t>
      </w:r>
      <w:r w:rsidR="001A3B73">
        <w:rPr>
          <w:rFonts w:cstheme="minorHAnsi"/>
        </w:rPr>
        <w:t xml:space="preserve"> </w:t>
      </w:r>
      <w:r w:rsidR="00AE1752">
        <w:rPr>
          <w:rFonts w:cstheme="minorHAnsi"/>
        </w:rPr>
        <w:t xml:space="preserve">Instead, families live in insecure rentals they do not control. </w:t>
      </w:r>
      <w:r w:rsidR="004C1E0D" w:rsidRPr="00216489">
        <w:rPr>
          <w:rFonts w:cstheme="minorHAnsi"/>
        </w:rPr>
        <w:t>Commuters have to travel hours to get to work. Families live in houses without bedrooms and bathrooms they could otherwise afford.</w:t>
      </w:r>
      <w:r w:rsidR="001A3B73">
        <w:rPr>
          <w:rFonts w:cstheme="minorHAnsi"/>
        </w:rPr>
        <w:t xml:space="preserve"> </w:t>
      </w:r>
      <w:r w:rsidR="004C1E0D" w:rsidRPr="00216489">
        <w:rPr>
          <w:rFonts w:cstheme="minorHAnsi"/>
        </w:rPr>
        <w:t>Young adults are forced to remain living at home.</w:t>
      </w:r>
      <w:r w:rsidR="001A3B73">
        <w:rPr>
          <w:rFonts w:cstheme="minorHAnsi"/>
        </w:rPr>
        <w:t xml:space="preserve"> </w:t>
      </w:r>
      <w:r w:rsidR="00341CF8">
        <w:rPr>
          <w:rFonts w:cstheme="minorHAnsi"/>
        </w:rPr>
        <w:t xml:space="preserve">Tenants </w:t>
      </w:r>
      <w:r w:rsidR="00AE1752">
        <w:rPr>
          <w:rFonts w:cstheme="minorHAnsi"/>
        </w:rPr>
        <w:t>share</w:t>
      </w:r>
      <w:r w:rsidR="004C1E0D" w:rsidRPr="00216489">
        <w:rPr>
          <w:rFonts w:cstheme="minorHAnsi"/>
        </w:rPr>
        <w:t xml:space="preserve"> overcrowded </w:t>
      </w:r>
      <w:r w:rsidR="00AE1752">
        <w:rPr>
          <w:rFonts w:cstheme="minorHAnsi"/>
        </w:rPr>
        <w:t>housing</w:t>
      </w:r>
      <w:r w:rsidR="00AE1752" w:rsidRPr="00216489">
        <w:rPr>
          <w:rFonts w:cstheme="minorHAnsi"/>
        </w:rPr>
        <w:t xml:space="preserve"> </w:t>
      </w:r>
      <w:r w:rsidR="004C1E0D" w:rsidRPr="00216489">
        <w:rPr>
          <w:rFonts w:cstheme="minorHAnsi"/>
        </w:rPr>
        <w:t xml:space="preserve">with </w:t>
      </w:r>
      <w:r w:rsidR="00341CF8" w:rsidRPr="00216489">
        <w:rPr>
          <w:rFonts w:cstheme="minorHAnsi"/>
        </w:rPr>
        <w:t xml:space="preserve">flatmates </w:t>
      </w:r>
      <w:r w:rsidR="004C1E0D" w:rsidRPr="00216489">
        <w:rPr>
          <w:rFonts w:cstheme="minorHAnsi"/>
        </w:rPr>
        <w:t>they dislike.</w:t>
      </w:r>
      <w:r w:rsidR="001A3B73">
        <w:rPr>
          <w:rFonts w:cstheme="minorHAnsi"/>
        </w:rPr>
        <w:t xml:space="preserve"> </w:t>
      </w:r>
      <w:r w:rsidR="004C1E0D" w:rsidRPr="00216489">
        <w:rPr>
          <w:rFonts w:cstheme="minorHAnsi"/>
        </w:rPr>
        <w:t>And so on.</w:t>
      </w:r>
      <w:r w:rsidR="001A3B73">
        <w:rPr>
          <w:rFonts w:cstheme="minorHAnsi"/>
        </w:rPr>
        <w:t xml:space="preserve"> </w:t>
      </w:r>
      <w:r w:rsidR="004C1E0D" w:rsidRPr="00216489">
        <w:rPr>
          <w:rFonts w:cstheme="minorHAnsi"/>
        </w:rPr>
        <w:t>T</w:t>
      </w:r>
      <w:r w:rsidR="009B751B" w:rsidRPr="00216489">
        <w:rPr>
          <w:rFonts w:cstheme="minorHAnsi"/>
        </w:rPr>
        <w:t>h</w:t>
      </w:r>
      <w:r w:rsidR="004C1E0D" w:rsidRPr="00216489">
        <w:rPr>
          <w:rFonts w:cstheme="minorHAnsi"/>
        </w:rPr>
        <w:t xml:space="preserve">ese are </w:t>
      </w:r>
      <w:r w:rsidR="004C1E0D" w:rsidRPr="00216489">
        <w:rPr>
          <w:rFonts w:cstheme="minorHAnsi"/>
        </w:rPr>
        <w:lastRenderedPageBreak/>
        <w:t>some of the unnecessary costs of our planning policy.</w:t>
      </w:r>
      <w:r w:rsidR="001A3B73">
        <w:rPr>
          <w:rFonts w:cstheme="minorHAnsi"/>
        </w:rPr>
        <w:t xml:space="preserve"> </w:t>
      </w:r>
      <w:r w:rsidR="004C1E0D" w:rsidRPr="00216489">
        <w:rPr>
          <w:rFonts w:cstheme="minorHAnsi"/>
        </w:rPr>
        <w:t>Everyday life</w:t>
      </w:r>
      <w:r w:rsidR="00151D8D" w:rsidRPr="00216489">
        <w:rPr>
          <w:rFonts w:cstheme="minorHAnsi"/>
        </w:rPr>
        <w:t xml:space="preserve">, especially in Sydney and Melbourne, </w:t>
      </w:r>
      <w:r w:rsidR="004C1E0D" w:rsidRPr="00216489">
        <w:rPr>
          <w:rFonts w:cstheme="minorHAnsi"/>
        </w:rPr>
        <w:t xml:space="preserve">would </w:t>
      </w:r>
      <w:r w:rsidR="00336A6F" w:rsidRPr="00216489">
        <w:rPr>
          <w:rFonts w:cstheme="minorHAnsi"/>
        </w:rPr>
        <w:t>be</w:t>
      </w:r>
      <w:r w:rsidR="004C1E0D" w:rsidRPr="00216489">
        <w:rPr>
          <w:rFonts w:cstheme="minorHAnsi"/>
        </w:rPr>
        <w:t xml:space="preserve"> </w:t>
      </w:r>
      <w:r w:rsidR="00336A6F" w:rsidRPr="00216489">
        <w:rPr>
          <w:rFonts w:cstheme="minorHAnsi"/>
        </w:rPr>
        <w:t xml:space="preserve">less stressful </w:t>
      </w:r>
      <w:r w:rsidR="004C1E0D" w:rsidRPr="00216489">
        <w:rPr>
          <w:rFonts w:cstheme="minorHAnsi"/>
        </w:rPr>
        <w:t>with less expensive housing.</w:t>
      </w:r>
      <w:r w:rsidR="001A3B73">
        <w:rPr>
          <w:rFonts w:cstheme="minorHAnsi"/>
        </w:rPr>
        <w:t xml:space="preserve"> </w:t>
      </w:r>
    </w:p>
    <w:p w14:paraId="6294A967" w14:textId="58A20878" w:rsidR="00151D8D" w:rsidRPr="00216489" w:rsidRDefault="005E1AB4" w:rsidP="00151D8D">
      <w:pPr>
        <w:rPr>
          <w:rFonts w:cstheme="minorHAnsi"/>
        </w:rPr>
      </w:pPr>
      <w:r w:rsidRPr="00216489">
        <w:rPr>
          <w:rFonts w:cstheme="minorHAnsi"/>
        </w:rPr>
        <w:t xml:space="preserve">In </w:t>
      </w:r>
      <w:r w:rsidR="006722AA" w:rsidRPr="00216489">
        <w:rPr>
          <w:rFonts w:cstheme="minorHAnsi"/>
        </w:rPr>
        <w:t>t</w:t>
      </w:r>
      <w:r w:rsidR="00151D8D" w:rsidRPr="00216489">
        <w:rPr>
          <w:rFonts w:cstheme="minorHAnsi"/>
        </w:rPr>
        <w:t>echnical</w:t>
      </w:r>
      <w:r w:rsidRPr="00216489">
        <w:rPr>
          <w:rFonts w:cstheme="minorHAnsi"/>
        </w:rPr>
        <w:t xml:space="preserve"> terms</w:t>
      </w:r>
      <w:r w:rsidR="00151D8D" w:rsidRPr="00216489">
        <w:rPr>
          <w:rFonts w:cstheme="minorHAnsi"/>
        </w:rPr>
        <w:t>, these welfare losses can be gauged by the size of the triangle under the demand curve</w:t>
      </w:r>
      <w:r w:rsidR="006722AA" w:rsidRPr="00216489">
        <w:rPr>
          <w:rFonts w:cstheme="minorHAnsi"/>
        </w:rPr>
        <w:t xml:space="preserve"> in Figure 1</w:t>
      </w:r>
      <w:r w:rsidR="00151D8D" w:rsidRPr="00216489">
        <w:rPr>
          <w:rFonts w:cstheme="minorHAnsi"/>
        </w:rPr>
        <w:t>.</w:t>
      </w:r>
      <w:r w:rsidR="001A3B73">
        <w:rPr>
          <w:rFonts w:cstheme="minorHAnsi"/>
        </w:rPr>
        <w:t xml:space="preserve"> </w:t>
      </w:r>
      <w:r w:rsidR="00D57E22" w:rsidRPr="00216489">
        <w:rPr>
          <w:rFonts w:cstheme="minorHAnsi"/>
        </w:rPr>
        <w:t>For</w:t>
      </w:r>
      <w:r w:rsidR="00151D8D" w:rsidRPr="00216489">
        <w:rPr>
          <w:rFonts w:cstheme="minorHAnsi"/>
        </w:rPr>
        <w:t xml:space="preserve"> a simple approximation, assume that planning restrictions outside the </w:t>
      </w:r>
      <w:r w:rsidR="00AE1752">
        <w:rPr>
          <w:rFonts w:cstheme="minorHAnsi"/>
        </w:rPr>
        <w:t xml:space="preserve">major </w:t>
      </w:r>
      <w:r w:rsidR="00151D8D" w:rsidRPr="00216489">
        <w:rPr>
          <w:rFonts w:cstheme="minorHAnsi"/>
        </w:rPr>
        <w:t xml:space="preserve">cities listed in Table 1 are less severe and that a national average </w:t>
      </w:r>
      <w:r w:rsidR="006722AA" w:rsidRPr="00216489">
        <w:rPr>
          <w:rFonts w:cstheme="minorHAnsi"/>
        </w:rPr>
        <w:t xml:space="preserve">price </w:t>
      </w:r>
      <w:r w:rsidR="00151D8D" w:rsidRPr="00216489">
        <w:rPr>
          <w:rFonts w:cstheme="minorHAnsi"/>
        </w:rPr>
        <w:t>effect is about 2</w:t>
      </w:r>
      <w:r w:rsidR="006722AA" w:rsidRPr="00216489">
        <w:rPr>
          <w:rFonts w:cstheme="minorHAnsi"/>
        </w:rPr>
        <w:t>5</w:t>
      </w:r>
      <w:r w:rsidR="00151D8D" w:rsidRPr="00216489">
        <w:rPr>
          <w:rFonts w:cstheme="minorHAnsi"/>
        </w:rPr>
        <w:t>%.</w:t>
      </w:r>
      <w:r w:rsidR="001A3B73">
        <w:rPr>
          <w:rFonts w:cstheme="minorHAnsi"/>
        </w:rPr>
        <w:t xml:space="preserve"> </w:t>
      </w:r>
      <w:r w:rsidR="00151D8D" w:rsidRPr="00216489">
        <w:rPr>
          <w:rFonts w:cstheme="minorHAnsi"/>
        </w:rPr>
        <w:t>Furthermore, assume that the elasticity of demand for housing is -0.4 (S</w:t>
      </w:r>
      <w:r w:rsidR="00336A6F" w:rsidRPr="00216489">
        <w:rPr>
          <w:rFonts w:cstheme="minorHAnsi"/>
        </w:rPr>
        <w:t>a</w:t>
      </w:r>
      <w:r w:rsidR="00151D8D" w:rsidRPr="00216489">
        <w:rPr>
          <w:rFonts w:cstheme="minorHAnsi"/>
        </w:rPr>
        <w:t xml:space="preserve">unders and </w:t>
      </w:r>
      <w:r w:rsidR="008A6B76" w:rsidRPr="00216489">
        <w:rPr>
          <w:rFonts w:cstheme="minorHAnsi"/>
        </w:rPr>
        <w:t>Tulip</w:t>
      </w:r>
      <w:r w:rsidR="00336A6F" w:rsidRPr="00216489">
        <w:rPr>
          <w:rFonts w:cstheme="minorHAnsi"/>
        </w:rPr>
        <w:t xml:space="preserve">, </w:t>
      </w:r>
      <w:hyperlink r:id="rId37" w:history="1">
        <w:r w:rsidR="00336A6F" w:rsidRPr="0096798C">
          <w:rPr>
            <w:rStyle w:val="Hyperlink"/>
            <w:rFonts w:cstheme="minorHAnsi"/>
          </w:rPr>
          <w:t>2019</w:t>
        </w:r>
      </w:hyperlink>
      <w:r w:rsidR="00151D8D" w:rsidRPr="00216489">
        <w:rPr>
          <w:rFonts w:cstheme="minorHAnsi"/>
        </w:rPr>
        <w:t xml:space="preserve">), so </w:t>
      </w:r>
      <w:r w:rsidR="001A3D9E">
        <w:rPr>
          <w:rFonts w:cstheme="minorHAnsi"/>
        </w:rPr>
        <w:t xml:space="preserve">to achieve </w:t>
      </w:r>
      <w:r w:rsidR="00151D8D" w:rsidRPr="00216489">
        <w:rPr>
          <w:rFonts w:cstheme="minorHAnsi"/>
        </w:rPr>
        <w:t>a 2</w:t>
      </w:r>
      <w:r w:rsidR="009B751B" w:rsidRPr="00216489">
        <w:rPr>
          <w:rFonts w:cstheme="minorHAnsi"/>
        </w:rPr>
        <w:t>5</w:t>
      </w:r>
      <w:r w:rsidR="00151D8D" w:rsidRPr="00216489">
        <w:rPr>
          <w:rFonts w:cstheme="minorHAnsi"/>
        </w:rPr>
        <w:t xml:space="preserve">% </w:t>
      </w:r>
      <w:r w:rsidR="001A3D9E">
        <w:rPr>
          <w:rFonts w:cstheme="minorHAnsi"/>
        </w:rPr>
        <w:t>reduction</w:t>
      </w:r>
      <w:r w:rsidR="001A3D9E" w:rsidRPr="00216489">
        <w:rPr>
          <w:rFonts w:cstheme="minorHAnsi"/>
        </w:rPr>
        <w:t xml:space="preserve"> </w:t>
      </w:r>
      <w:r w:rsidR="00151D8D" w:rsidRPr="00216489">
        <w:rPr>
          <w:rFonts w:cstheme="minorHAnsi"/>
        </w:rPr>
        <w:t xml:space="preserve">in price </w:t>
      </w:r>
      <w:r w:rsidR="001A3D9E">
        <w:rPr>
          <w:rFonts w:cstheme="minorHAnsi"/>
        </w:rPr>
        <w:t>requires increasing</w:t>
      </w:r>
      <w:r w:rsidR="001A3D9E" w:rsidRPr="00216489">
        <w:rPr>
          <w:rFonts w:cstheme="minorHAnsi"/>
        </w:rPr>
        <w:t xml:space="preserve"> </w:t>
      </w:r>
      <w:r w:rsidR="00151D8D" w:rsidRPr="00216489">
        <w:rPr>
          <w:rFonts w:cstheme="minorHAnsi"/>
        </w:rPr>
        <w:t xml:space="preserve">the national housing stock by </w:t>
      </w:r>
      <w:r w:rsidR="006722AA" w:rsidRPr="00216489">
        <w:rPr>
          <w:rFonts w:cstheme="minorHAnsi"/>
        </w:rPr>
        <w:t>10</w:t>
      </w:r>
      <w:r w:rsidR="00151D8D" w:rsidRPr="00216489">
        <w:rPr>
          <w:rFonts w:cstheme="minorHAnsi"/>
        </w:rPr>
        <w:t>%.</w:t>
      </w:r>
      <w:r w:rsidR="001A3B73">
        <w:rPr>
          <w:rFonts w:cstheme="minorHAnsi"/>
        </w:rPr>
        <w:t xml:space="preserve"> </w:t>
      </w:r>
      <w:r w:rsidR="00151D8D" w:rsidRPr="00216489">
        <w:rPr>
          <w:rFonts w:cstheme="minorHAnsi"/>
        </w:rPr>
        <w:t xml:space="preserve">And assume the </w:t>
      </w:r>
      <w:r w:rsidR="00D20D25">
        <w:rPr>
          <w:rFonts w:cstheme="minorHAnsi"/>
        </w:rPr>
        <w:t xml:space="preserve">unconstrained </w:t>
      </w:r>
      <w:r w:rsidR="00151D8D" w:rsidRPr="00216489">
        <w:rPr>
          <w:rFonts w:cstheme="minorHAnsi"/>
        </w:rPr>
        <w:t xml:space="preserve">supply </w:t>
      </w:r>
      <w:r w:rsidR="00336A6F" w:rsidRPr="00216489">
        <w:rPr>
          <w:rFonts w:cstheme="minorHAnsi"/>
        </w:rPr>
        <w:t>curve</w:t>
      </w:r>
      <w:r w:rsidR="00151D8D" w:rsidRPr="00216489">
        <w:rPr>
          <w:rFonts w:cstheme="minorHAnsi"/>
        </w:rPr>
        <w:t xml:space="preserve"> is </w:t>
      </w:r>
      <w:r w:rsidR="006722AA" w:rsidRPr="00216489">
        <w:rPr>
          <w:rFonts w:cstheme="minorHAnsi"/>
        </w:rPr>
        <w:t xml:space="preserve">approximately </w:t>
      </w:r>
      <w:r w:rsidR="00151D8D" w:rsidRPr="00216489">
        <w:rPr>
          <w:rFonts w:cstheme="minorHAnsi"/>
        </w:rPr>
        <w:t xml:space="preserve">horizontal, which seems </w:t>
      </w:r>
      <w:r w:rsidR="00FC2887" w:rsidRPr="00216489">
        <w:rPr>
          <w:rFonts w:cstheme="minorHAnsi"/>
        </w:rPr>
        <w:t>reasonable</w:t>
      </w:r>
      <w:r w:rsidR="00151D8D" w:rsidRPr="00216489">
        <w:rPr>
          <w:rFonts w:cstheme="minorHAnsi"/>
        </w:rPr>
        <w:t xml:space="preserve"> for apartments, </w:t>
      </w:r>
      <w:r w:rsidR="000B49BF">
        <w:rPr>
          <w:rFonts w:cstheme="minorHAnsi"/>
        </w:rPr>
        <w:t xml:space="preserve">which are </w:t>
      </w:r>
      <w:r w:rsidR="00B32ECE" w:rsidRPr="00216489">
        <w:rPr>
          <w:rFonts w:cstheme="minorHAnsi"/>
        </w:rPr>
        <w:t>the marginal dwellings (Jenner and Tulip, 2020,</w:t>
      </w:r>
      <w:r w:rsidR="00BF21A4">
        <w:rPr>
          <w:rFonts w:cstheme="minorHAnsi"/>
        </w:rPr>
        <w:t xml:space="preserve"> </w:t>
      </w:r>
      <w:r w:rsidR="001E5896">
        <w:rPr>
          <w:rFonts w:cstheme="minorHAnsi"/>
        </w:rPr>
        <w:t>Section 8</w:t>
      </w:r>
      <w:r w:rsidR="00B32ECE" w:rsidRPr="00216489">
        <w:rPr>
          <w:rFonts w:cstheme="minorHAnsi"/>
        </w:rPr>
        <w:t>).</w:t>
      </w:r>
      <w:r w:rsidR="001A3B73">
        <w:rPr>
          <w:rFonts w:cstheme="minorHAnsi"/>
        </w:rPr>
        <w:t xml:space="preserve"> </w:t>
      </w:r>
      <w:r w:rsidR="00151D8D" w:rsidRPr="00216489">
        <w:rPr>
          <w:rFonts w:cstheme="minorHAnsi"/>
        </w:rPr>
        <w:t>The welfare loss would be .5 x .2</w:t>
      </w:r>
      <w:r w:rsidR="006722AA" w:rsidRPr="00216489">
        <w:rPr>
          <w:rFonts w:cstheme="minorHAnsi"/>
        </w:rPr>
        <w:t>5</w:t>
      </w:r>
      <w:r w:rsidR="00151D8D" w:rsidRPr="00216489">
        <w:rPr>
          <w:rFonts w:cstheme="minorHAnsi"/>
        </w:rPr>
        <w:t xml:space="preserve"> x .</w:t>
      </w:r>
      <w:r w:rsidR="006722AA" w:rsidRPr="00216489">
        <w:rPr>
          <w:rFonts w:cstheme="minorHAnsi"/>
        </w:rPr>
        <w:t>1</w:t>
      </w:r>
      <w:r w:rsidR="00151D8D" w:rsidRPr="00216489">
        <w:rPr>
          <w:rFonts w:cstheme="minorHAnsi"/>
        </w:rPr>
        <w:t xml:space="preserve"> = </w:t>
      </w:r>
      <w:r w:rsidR="006722AA" w:rsidRPr="00216489">
        <w:rPr>
          <w:rFonts w:cstheme="minorHAnsi"/>
        </w:rPr>
        <w:t>1.25</w:t>
      </w:r>
      <w:r w:rsidR="00151D8D" w:rsidRPr="00216489">
        <w:rPr>
          <w:rFonts w:cstheme="minorHAnsi"/>
        </w:rPr>
        <w:t>% of the value of the housing stock</w:t>
      </w:r>
      <w:r w:rsidR="00187953" w:rsidRPr="00216489">
        <w:rPr>
          <w:rFonts w:cstheme="minorHAnsi"/>
        </w:rPr>
        <w:t xml:space="preserve">, or </w:t>
      </w:r>
      <w:r w:rsidR="00AF5F67" w:rsidRPr="00216489">
        <w:rPr>
          <w:rFonts w:cstheme="minorHAnsi"/>
        </w:rPr>
        <w:t>about $11</w:t>
      </w:r>
      <w:r w:rsidR="00E10B89" w:rsidRPr="00216489">
        <w:rPr>
          <w:rFonts w:cstheme="minorHAnsi"/>
        </w:rPr>
        <w:t>0</w:t>
      </w:r>
      <w:r w:rsidR="003746EF" w:rsidRPr="00216489">
        <w:rPr>
          <w:rFonts w:cstheme="minorHAnsi"/>
        </w:rPr>
        <w:t xml:space="preserve"> </w:t>
      </w:r>
      <w:r w:rsidR="00541DF9" w:rsidRPr="00216489">
        <w:rPr>
          <w:rFonts w:cstheme="minorHAnsi"/>
        </w:rPr>
        <w:t>b</w:t>
      </w:r>
      <w:r w:rsidR="003746EF" w:rsidRPr="00216489">
        <w:rPr>
          <w:rFonts w:cstheme="minorHAnsi"/>
        </w:rPr>
        <w:t>illion</w:t>
      </w:r>
      <w:r w:rsidR="00151D8D" w:rsidRPr="00216489">
        <w:rPr>
          <w:rFonts w:cstheme="minorHAnsi"/>
        </w:rPr>
        <w:t>.</w:t>
      </w:r>
      <w:r w:rsidR="001A3B73">
        <w:rPr>
          <w:rFonts w:cstheme="minorHAnsi"/>
        </w:rPr>
        <w:t xml:space="preserve"> </w:t>
      </w:r>
      <w:r w:rsidR="00151D8D" w:rsidRPr="00216489">
        <w:rPr>
          <w:rFonts w:cstheme="minorHAnsi"/>
        </w:rPr>
        <w:t xml:space="preserve">For those unfamiliar with </w:t>
      </w:r>
      <w:r w:rsidR="001A3B73">
        <w:rPr>
          <w:rFonts w:cstheme="minorHAnsi"/>
        </w:rPr>
        <w:t>‘</w:t>
      </w:r>
      <w:proofErr w:type="spellStart"/>
      <w:r w:rsidR="00151D8D" w:rsidRPr="00216489">
        <w:rPr>
          <w:rFonts w:cstheme="minorHAnsi"/>
        </w:rPr>
        <w:t>Harberger</w:t>
      </w:r>
      <w:proofErr w:type="spellEnd"/>
      <w:r w:rsidR="00151D8D" w:rsidRPr="00216489">
        <w:rPr>
          <w:rFonts w:cstheme="minorHAnsi"/>
        </w:rPr>
        <w:t xml:space="preserve"> triangles</w:t>
      </w:r>
      <w:r w:rsidR="001A3B73">
        <w:rPr>
          <w:rFonts w:cstheme="minorHAnsi"/>
        </w:rPr>
        <w:t>’</w:t>
      </w:r>
      <w:r w:rsidR="00151D8D" w:rsidRPr="00216489">
        <w:rPr>
          <w:rFonts w:cstheme="minorHAnsi"/>
        </w:rPr>
        <w:t xml:space="preserve"> that seems small, however it is comparable </w:t>
      </w:r>
      <w:r w:rsidR="006722AA" w:rsidRPr="00216489">
        <w:rPr>
          <w:rFonts w:cstheme="minorHAnsi"/>
        </w:rPr>
        <w:t xml:space="preserve">to </w:t>
      </w:r>
      <w:r w:rsidR="00151D8D" w:rsidRPr="00216489">
        <w:rPr>
          <w:rFonts w:cstheme="minorHAnsi"/>
        </w:rPr>
        <w:t xml:space="preserve">estimates of </w:t>
      </w:r>
      <w:r w:rsidR="009D3CD4">
        <w:rPr>
          <w:rFonts w:cstheme="minorHAnsi"/>
        </w:rPr>
        <w:t>major</w:t>
      </w:r>
      <w:r w:rsidR="00151D8D" w:rsidRPr="00216489">
        <w:rPr>
          <w:rFonts w:cstheme="minorHAnsi"/>
        </w:rPr>
        <w:t xml:space="preserve"> economic reforms, such as </w:t>
      </w:r>
      <w:r w:rsidR="00D666A5">
        <w:rPr>
          <w:rFonts w:cstheme="minorHAnsi"/>
        </w:rPr>
        <w:t>eliminating</w:t>
      </w:r>
      <w:r w:rsidR="00151D8D" w:rsidRPr="00216489">
        <w:rPr>
          <w:rFonts w:cstheme="minorHAnsi"/>
        </w:rPr>
        <w:t xml:space="preserve"> trade barriers.</w:t>
      </w:r>
    </w:p>
    <w:p w14:paraId="78C79231" w14:textId="7813DEBB" w:rsidR="00847D94" w:rsidRPr="00923509" w:rsidRDefault="00F12780" w:rsidP="00722A39">
      <w:pPr>
        <w:pStyle w:val="Heading2"/>
        <w:ind w:firstLine="720"/>
      </w:pPr>
      <w:bookmarkStart w:id="8" w:name="_Toc98922880"/>
      <w:r>
        <w:t xml:space="preserve">4.3  </w:t>
      </w:r>
      <w:r w:rsidR="00847D94" w:rsidRPr="00923509">
        <w:t xml:space="preserve">Dynamic </w:t>
      </w:r>
      <w:r w:rsidR="00336B49" w:rsidRPr="00923509">
        <w:t>efficiency</w:t>
      </w:r>
      <w:bookmarkEnd w:id="8"/>
    </w:p>
    <w:p w14:paraId="65CA33BE" w14:textId="6D8A4C55" w:rsidR="004C1E0D" w:rsidRPr="00216489" w:rsidRDefault="00151D8D" w:rsidP="004F1BA2">
      <w:pPr>
        <w:rPr>
          <w:rFonts w:cstheme="minorHAnsi"/>
        </w:rPr>
      </w:pPr>
      <w:r w:rsidRPr="00216489">
        <w:rPr>
          <w:rFonts w:cstheme="minorHAnsi"/>
        </w:rPr>
        <w:t>Many economists believe that dynamic efficiency gains are more important in the long run than the static ga</w:t>
      </w:r>
      <w:r w:rsidR="00760CEA" w:rsidRPr="00216489">
        <w:rPr>
          <w:rFonts w:cstheme="minorHAnsi"/>
        </w:rPr>
        <w:t>i</w:t>
      </w:r>
      <w:r w:rsidRPr="00216489">
        <w:rPr>
          <w:rFonts w:cstheme="minorHAnsi"/>
        </w:rPr>
        <w:t>ns described above.</w:t>
      </w:r>
      <w:r w:rsidR="001A3B73">
        <w:rPr>
          <w:rFonts w:cstheme="minorHAnsi"/>
        </w:rPr>
        <w:t xml:space="preserve"> </w:t>
      </w:r>
      <w:r w:rsidR="00B97C6A" w:rsidRPr="00216489">
        <w:rPr>
          <w:rFonts w:cstheme="minorHAnsi"/>
        </w:rPr>
        <w:t>Given the Inquiry’s focus on productivity growth, this is worth emphasising.</w:t>
      </w:r>
    </w:p>
    <w:p w14:paraId="4CDAD788" w14:textId="2DA656B0" w:rsidR="009B2068" w:rsidRPr="00216489" w:rsidRDefault="00847D94" w:rsidP="00847D94">
      <w:pPr>
        <w:rPr>
          <w:rFonts w:cstheme="minorHAnsi"/>
        </w:rPr>
      </w:pPr>
      <w:r w:rsidRPr="00216489">
        <w:rPr>
          <w:rFonts w:cstheme="minorHAnsi"/>
        </w:rPr>
        <w:t xml:space="preserve">Large dense cities </w:t>
      </w:r>
      <w:r w:rsidR="001B705D" w:rsidRPr="00216489">
        <w:rPr>
          <w:rFonts w:cstheme="minorHAnsi"/>
        </w:rPr>
        <w:t xml:space="preserve">increase interactions, specialisation, thick labour markets, </w:t>
      </w:r>
      <w:proofErr w:type="spellStart"/>
      <w:r w:rsidR="001B705D" w:rsidRPr="00216489">
        <w:rPr>
          <w:rFonts w:cstheme="minorHAnsi"/>
        </w:rPr>
        <w:t>spillovers</w:t>
      </w:r>
      <w:proofErr w:type="spellEnd"/>
      <w:r w:rsidR="00387F76" w:rsidRPr="00216489">
        <w:rPr>
          <w:rFonts w:cstheme="minorHAnsi"/>
        </w:rPr>
        <w:t xml:space="preserve">, </w:t>
      </w:r>
      <w:r w:rsidR="002712D7" w:rsidRPr="00216489">
        <w:rPr>
          <w:rFonts w:cstheme="minorHAnsi"/>
        </w:rPr>
        <w:t>copy</w:t>
      </w:r>
      <w:r w:rsidR="007975F4" w:rsidRPr="00216489">
        <w:rPr>
          <w:rFonts w:cstheme="minorHAnsi"/>
        </w:rPr>
        <w:t>i</w:t>
      </w:r>
      <w:r w:rsidR="002712D7" w:rsidRPr="00216489">
        <w:rPr>
          <w:rFonts w:cstheme="minorHAnsi"/>
        </w:rPr>
        <w:t xml:space="preserve">ng, </w:t>
      </w:r>
      <w:r w:rsidR="00387F76" w:rsidRPr="00216489">
        <w:rPr>
          <w:rFonts w:cstheme="minorHAnsi"/>
        </w:rPr>
        <w:t>competition</w:t>
      </w:r>
      <w:r w:rsidR="00656E01" w:rsidRPr="00216489">
        <w:rPr>
          <w:rFonts w:cstheme="minorHAnsi"/>
        </w:rPr>
        <w:t xml:space="preserve"> and</w:t>
      </w:r>
      <w:r w:rsidR="001B705D" w:rsidRPr="00216489">
        <w:rPr>
          <w:rFonts w:cstheme="minorHAnsi"/>
        </w:rPr>
        <w:t xml:space="preserve"> incentives for experimentation</w:t>
      </w:r>
      <w:r w:rsidR="00656E01" w:rsidRPr="00216489">
        <w:rPr>
          <w:rFonts w:cstheme="minorHAnsi"/>
        </w:rPr>
        <w:t>.</w:t>
      </w:r>
      <w:r w:rsidR="001A3B73">
        <w:rPr>
          <w:rFonts w:cstheme="minorHAnsi"/>
        </w:rPr>
        <w:t xml:space="preserve"> </w:t>
      </w:r>
      <w:r w:rsidR="000D6423">
        <w:rPr>
          <w:rFonts w:cstheme="minorHAnsi"/>
        </w:rPr>
        <w:t xml:space="preserve">These externalities </w:t>
      </w:r>
      <w:r w:rsidR="00656E01" w:rsidRPr="00216489">
        <w:rPr>
          <w:rFonts w:cstheme="minorHAnsi"/>
        </w:rPr>
        <w:t xml:space="preserve">boost the level </w:t>
      </w:r>
      <w:r w:rsidR="000D6423">
        <w:rPr>
          <w:rFonts w:cstheme="minorHAnsi"/>
        </w:rPr>
        <w:t>and growth of</w:t>
      </w:r>
      <w:r w:rsidR="00656E01" w:rsidRPr="00216489">
        <w:rPr>
          <w:rFonts w:cstheme="minorHAnsi"/>
        </w:rPr>
        <w:t xml:space="preserve"> productiv</w:t>
      </w:r>
      <w:r w:rsidR="00C56EC0" w:rsidRPr="00216489">
        <w:rPr>
          <w:rFonts w:cstheme="minorHAnsi"/>
        </w:rPr>
        <w:t>it</w:t>
      </w:r>
      <w:r w:rsidR="00656E01" w:rsidRPr="00216489">
        <w:rPr>
          <w:rFonts w:cstheme="minorHAnsi"/>
        </w:rPr>
        <w:t>y.</w:t>
      </w:r>
      <w:r w:rsidR="001A3B73">
        <w:rPr>
          <w:rFonts w:cstheme="minorHAnsi"/>
        </w:rPr>
        <w:t xml:space="preserve"> </w:t>
      </w:r>
    </w:p>
    <w:p w14:paraId="727CA0F9" w14:textId="4BC94CC0" w:rsidR="005D3D6A" w:rsidRPr="00216489" w:rsidRDefault="004E4FD9" w:rsidP="009B2068">
      <w:pPr>
        <w:rPr>
          <w:rFonts w:cstheme="minorHAnsi"/>
        </w:rPr>
      </w:pPr>
      <w:proofErr w:type="spellStart"/>
      <w:r w:rsidRPr="00216489">
        <w:rPr>
          <w:rFonts w:cstheme="minorHAnsi"/>
        </w:rPr>
        <w:t>Gla</w:t>
      </w:r>
      <w:r w:rsidR="005D3D6A" w:rsidRPr="00216489">
        <w:rPr>
          <w:rFonts w:cstheme="minorHAnsi"/>
        </w:rPr>
        <w:t>e</w:t>
      </w:r>
      <w:r w:rsidRPr="00216489">
        <w:rPr>
          <w:rFonts w:cstheme="minorHAnsi"/>
        </w:rPr>
        <w:t>ser</w:t>
      </w:r>
      <w:proofErr w:type="spellEnd"/>
      <w:r w:rsidRPr="00216489">
        <w:rPr>
          <w:rFonts w:cstheme="minorHAnsi"/>
        </w:rPr>
        <w:t xml:space="preserve"> and </w:t>
      </w:r>
      <w:proofErr w:type="spellStart"/>
      <w:r w:rsidRPr="00216489">
        <w:rPr>
          <w:rFonts w:cstheme="minorHAnsi"/>
        </w:rPr>
        <w:t>Maré</w:t>
      </w:r>
      <w:proofErr w:type="spellEnd"/>
      <w:r w:rsidRPr="00216489">
        <w:rPr>
          <w:rFonts w:cstheme="minorHAnsi"/>
        </w:rPr>
        <w:t xml:space="preserve"> (</w:t>
      </w:r>
      <w:hyperlink r:id="rId38" w:history="1">
        <w:r w:rsidRPr="00E77846">
          <w:rPr>
            <w:rStyle w:val="Hyperlink"/>
            <w:rFonts w:cstheme="minorHAnsi"/>
          </w:rPr>
          <w:t>2001</w:t>
        </w:r>
      </w:hyperlink>
      <w:r w:rsidRPr="00216489">
        <w:rPr>
          <w:rFonts w:cstheme="minorHAnsi"/>
        </w:rPr>
        <w:t xml:space="preserve">) </w:t>
      </w:r>
      <w:r w:rsidR="005D3D6A" w:rsidRPr="00216489">
        <w:rPr>
          <w:rFonts w:cstheme="minorHAnsi"/>
        </w:rPr>
        <w:t>write:</w:t>
      </w:r>
    </w:p>
    <w:p w14:paraId="393F626A" w14:textId="64B48974" w:rsidR="005D3D6A" w:rsidRPr="00216489" w:rsidRDefault="005D3D6A" w:rsidP="005D3D6A">
      <w:pPr>
        <w:ind w:left="720"/>
        <w:rPr>
          <w:rFonts w:cstheme="minorHAnsi"/>
        </w:rPr>
      </w:pPr>
      <w:r w:rsidRPr="00216489">
        <w:rPr>
          <w:rFonts w:cstheme="minorHAnsi"/>
        </w:rPr>
        <w:t>Workers in cities earn 33% more than their nonurban counterparts. A large amount of evidence suggests that this premium is not just the result of higher ability workers living in cities, which means that cities make workers more productive. Evidence on migrants and the cross effect between urban status and experience implies that a significant fraction of the urban wage premium accrues to workers over time and stays with them when they leave cities. Therefore, a portion of the urban wage premium is a wage growth, not a wage level, effect. This evidence suggests that cities speed the accumulation of human capital.</w:t>
      </w:r>
    </w:p>
    <w:p w14:paraId="3F6D4399" w14:textId="27759819" w:rsidR="005D3D6A" w:rsidRPr="00216489" w:rsidRDefault="004E4FD9" w:rsidP="009B2068">
      <w:pPr>
        <w:rPr>
          <w:rFonts w:cstheme="minorHAnsi"/>
        </w:rPr>
      </w:pPr>
      <w:r w:rsidRPr="00216489">
        <w:rPr>
          <w:rFonts w:cstheme="minorHAnsi"/>
        </w:rPr>
        <w:t xml:space="preserve">De la Roca and </w:t>
      </w:r>
      <w:proofErr w:type="spellStart"/>
      <w:r w:rsidRPr="00216489">
        <w:rPr>
          <w:rFonts w:cstheme="minorHAnsi"/>
        </w:rPr>
        <w:t>Puga</w:t>
      </w:r>
      <w:proofErr w:type="spellEnd"/>
      <w:r w:rsidRPr="00216489">
        <w:rPr>
          <w:rFonts w:cstheme="minorHAnsi"/>
        </w:rPr>
        <w:t xml:space="preserve"> (</w:t>
      </w:r>
      <w:hyperlink r:id="rId39" w:history="1">
        <w:r w:rsidRPr="00247DD0">
          <w:rPr>
            <w:rStyle w:val="Hyperlink"/>
            <w:rFonts w:cstheme="minorHAnsi"/>
          </w:rPr>
          <w:t>2012</w:t>
        </w:r>
      </w:hyperlink>
      <w:r w:rsidRPr="00216489">
        <w:rPr>
          <w:rFonts w:cstheme="minorHAnsi"/>
        </w:rPr>
        <w:t xml:space="preserve">) </w:t>
      </w:r>
      <w:r w:rsidR="007E451B">
        <w:rPr>
          <w:rFonts w:cstheme="minorHAnsi"/>
        </w:rPr>
        <w:t>examine why this premium exists</w:t>
      </w:r>
      <w:r w:rsidR="00FD5C51">
        <w:rPr>
          <w:rFonts w:cstheme="minorHAnsi"/>
        </w:rPr>
        <w:t xml:space="preserve"> </w:t>
      </w:r>
      <w:r w:rsidR="00A055CA">
        <w:rPr>
          <w:rFonts w:cstheme="minorHAnsi"/>
        </w:rPr>
        <w:t xml:space="preserve">using rich </w:t>
      </w:r>
      <w:r w:rsidR="00A055CA" w:rsidRPr="00216489">
        <w:rPr>
          <w:rFonts w:cstheme="minorHAnsi"/>
        </w:rPr>
        <w:t xml:space="preserve">longitudinal </w:t>
      </w:r>
      <w:r w:rsidR="00A055CA">
        <w:rPr>
          <w:rFonts w:cstheme="minorHAnsi"/>
        </w:rPr>
        <w:t>data for Spain.</w:t>
      </w:r>
      <w:r w:rsidRPr="00216489">
        <w:rPr>
          <w:rFonts w:cstheme="minorHAnsi"/>
        </w:rPr>
        <w:t xml:space="preserve"> They find that one-half of the urban wage premiums is received upon arriving in a city, while the other half accumulates with the dynamic benefits from learning. </w:t>
      </w:r>
      <w:r w:rsidR="005D3D6A" w:rsidRPr="00216489">
        <w:rPr>
          <w:rFonts w:cstheme="minorHAnsi"/>
        </w:rPr>
        <w:t>Other prominent studies with similar results include Baum-Snow and Pavan</w:t>
      </w:r>
      <w:r w:rsidR="00C940BA">
        <w:rPr>
          <w:rFonts w:cstheme="minorHAnsi"/>
        </w:rPr>
        <w:t xml:space="preserve"> (</w:t>
      </w:r>
      <w:hyperlink r:id="rId40" w:history="1">
        <w:r w:rsidR="005D3D6A" w:rsidRPr="00554EB2">
          <w:rPr>
            <w:rStyle w:val="Hyperlink"/>
            <w:rFonts w:cstheme="minorHAnsi"/>
          </w:rPr>
          <w:t>2013</w:t>
        </w:r>
      </w:hyperlink>
      <w:r w:rsidR="005D3D6A" w:rsidRPr="00216489">
        <w:rPr>
          <w:rFonts w:cstheme="minorHAnsi"/>
        </w:rPr>
        <w:t xml:space="preserve">) and Wang </w:t>
      </w:r>
      <w:r w:rsidR="00564E34">
        <w:rPr>
          <w:rFonts w:cstheme="minorHAnsi"/>
        </w:rPr>
        <w:t>(</w:t>
      </w:r>
      <w:hyperlink r:id="rId41" w:history="1">
        <w:r w:rsidR="005D3D6A" w:rsidRPr="00AE0092">
          <w:rPr>
            <w:rStyle w:val="Hyperlink"/>
            <w:rFonts w:cstheme="minorHAnsi"/>
          </w:rPr>
          <w:t>201</w:t>
        </w:r>
        <w:r w:rsidR="005B20C7" w:rsidRPr="00AE0092">
          <w:rPr>
            <w:rStyle w:val="Hyperlink"/>
            <w:rFonts w:cstheme="minorHAnsi"/>
          </w:rPr>
          <w:t>6</w:t>
        </w:r>
      </w:hyperlink>
      <w:r w:rsidR="005D3D6A" w:rsidRPr="00216489">
        <w:rPr>
          <w:rFonts w:cstheme="minorHAnsi"/>
        </w:rPr>
        <w:t>).</w:t>
      </w:r>
      <w:r w:rsidR="00035782">
        <w:rPr>
          <w:rFonts w:cstheme="minorHAnsi"/>
        </w:rPr>
        <w:t xml:space="preserve"> Wage premiums are found to increase with urban density.</w:t>
      </w:r>
    </w:p>
    <w:p w14:paraId="773E73D1" w14:textId="193A2781" w:rsidR="00FC1558" w:rsidRPr="00216489" w:rsidRDefault="005D3D6A" w:rsidP="0065541B">
      <w:pPr>
        <w:rPr>
          <w:rFonts w:cstheme="minorHAnsi"/>
        </w:rPr>
      </w:pPr>
      <w:r w:rsidRPr="00216489">
        <w:rPr>
          <w:rFonts w:cstheme="minorHAnsi"/>
        </w:rPr>
        <w:t>Large dense cities also boost patenting</w:t>
      </w:r>
      <w:r w:rsidR="00210EDE" w:rsidRPr="00216489">
        <w:rPr>
          <w:rFonts w:cstheme="minorHAnsi"/>
        </w:rPr>
        <w:t>.</w:t>
      </w:r>
      <w:r w:rsidR="001A3B73">
        <w:rPr>
          <w:rFonts w:cstheme="minorHAnsi"/>
        </w:rPr>
        <w:t xml:space="preserve"> </w:t>
      </w:r>
      <w:proofErr w:type="spellStart"/>
      <w:r w:rsidR="001B705D" w:rsidRPr="00216489">
        <w:rPr>
          <w:rFonts w:cstheme="minorHAnsi"/>
        </w:rPr>
        <w:t>Carlino</w:t>
      </w:r>
      <w:proofErr w:type="spellEnd"/>
      <w:r w:rsidR="001B705D" w:rsidRPr="00216489">
        <w:rPr>
          <w:rFonts w:cstheme="minorHAnsi"/>
        </w:rPr>
        <w:t xml:space="preserve"> and Kerr </w:t>
      </w:r>
      <w:r w:rsidR="009A72A4" w:rsidRPr="00216489">
        <w:rPr>
          <w:rFonts w:cstheme="minorHAnsi"/>
        </w:rPr>
        <w:t>(</w:t>
      </w:r>
      <w:hyperlink r:id="rId42" w:history="1">
        <w:r w:rsidR="009A72A4" w:rsidRPr="00FD4141">
          <w:rPr>
            <w:rStyle w:val="Hyperlink"/>
            <w:rFonts w:cstheme="minorHAnsi"/>
          </w:rPr>
          <w:t>2014</w:t>
        </w:r>
      </w:hyperlink>
      <w:r w:rsidR="009A72A4">
        <w:rPr>
          <w:rFonts w:cstheme="minorHAnsi"/>
        </w:rPr>
        <w:t xml:space="preserve">, </w:t>
      </w:r>
      <w:r w:rsidR="009A72A4" w:rsidRPr="00216489">
        <w:rPr>
          <w:rFonts w:cstheme="minorHAnsi"/>
        </w:rPr>
        <w:t>p10</w:t>
      </w:r>
      <w:r w:rsidR="009A72A4">
        <w:rPr>
          <w:rFonts w:cstheme="minorHAnsi"/>
        </w:rPr>
        <w:t xml:space="preserve">) </w:t>
      </w:r>
      <w:r w:rsidR="001B705D" w:rsidRPr="00216489">
        <w:rPr>
          <w:rFonts w:cstheme="minorHAnsi"/>
        </w:rPr>
        <w:t>note that</w:t>
      </w:r>
      <w:r w:rsidR="0065541B">
        <w:rPr>
          <w:rFonts w:cstheme="minorHAnsi"/>
        </w:rPr>
        <w:t>, d</w:t>
      </w:r>
      <w:r w:rsidR="001B705D" w:rsidRPr="00216489">
        <w:rPr>
          <w:rFonts w:cstheme="minorHAnsi"/>
        </w:rPr>
        <w:t xml:space="preserve">uring the 1990s, 92 percent of </w:t>
      </w:r>
      <w:r w:rsidR="00651FC1" w:rsidRPr="00216489">
        <w:rPr>
          <w:rFonts w:cstheme="minorHAnsi"/>
        </w:rPr>
        <w:t xml:space="preserve">U.S. </w:t>
      </w:r>
      <w:r w:rsidR="001B705D" w:rsidRPr="00216489">
        <w:rPr>
          <w:rFonts w:cstheme="minorHAnsi"/>
        </w:rPr>
        <w:t>patents were granted to residents of metropolitan areas</w:t>
      </w:r>
      <w:r w:rsidR="00651FC1">
        <w:rPr>
          <w:rFonts w:cstheme="minorHAnsi"/>
        </w:rPr>
        <w:t>,</w:t>
      </w:r>
      <w:r w:rsidR="00DC3927">
        <w:rPr>
          <w:rFonts w:cstheme="minorHAnsi"/>
        </w:rPr>
        <w:t xml:space="preserve"> </w:t>
      </w:r>
      <w:r w:rsidR="00651FC1">
        <w:rPr>
          <w:rFonts w:cstheme="minorHAnsi"/>
        </w:rPr>
        <w:t>though these areas only</w:t>
      </w:r>
      <w:r w:rsidR="009A72A4">
        <w:rPr>
          <w:rFonts w:cstheme="minorHAnsi"/>
        </w:rPr>
        <w:t xml:space="preserve"> contained</w:t>
      </w:r>
      <w:r w:rsidR="0065541B" w:rsidRPr="0065541B">
        <w:rPr>
          <w:rFonts w:cstheme="minorHAnsi"/>
        </w:rPr>
        <w:t xml:space="preserve"> </w:t>
      </w:r>
      <w:r w:rsidR="0065541B" w:rsidRPr="00216489">
        <w:rPr>
          <w:rFonts w:cstheme="minorHAnsi"/>
        </w:rPr>
        <w:t xml:space="preserve">three-quarters of the </w:t>
      </w:r>
      <w:r w:rsidR="009A72A4">
        <w:rPr>
          <w:rFonts w:cstheme="minorHAnsi"/>
        </w:rPr>
        <w:t xml:space="preserve">U.S. </w:t>
      </w:r>
      <w:r w:rsidR="0065541B" w:rsidRPr="00216489">
        <w:rPr>
          <w:rFonts w:cstheme="minorHAnsi"/>
        </w:rPr>
        <w:t>population</w:t>
      </w:r>
      <w:r w:rsidR="00DC3927">
        <w:rPr>
          <w:rFonts w:cstheme="minorHAnsi"/>
        </w:rPr>
        <w:t>.</w:t>
      </w:r>
      <w:r w:rsidR="0065541B" w:rsidRPr="00216489">
        <w:rPr>
          <w:rFonts w:cstheme="minorHAnsi"/>
        </w:rPr>
        <w:t xml:space="preserve"> </w:t>
      </w:r>
      <w:proofErr w:type="spellStart"/>
      <w:r w:rsidR="004A2068" w:rsidRPr="005230B1">
        <w:rPr>
          <w:rFonts w:cstheme="minorHAnsi"/>
        </w:rPr>
        <w:t>Carlino</w:t>
      </w:r>
      <w:proofErr w:type="spellEnd"/>
      <w:r w:rsidR="004A2068" w:rsidRPr="005230B1">
        <w:rPr>
          <w:rFonts w:cstheme="minorHAnsi"/>
        </w:rPr>
        <w:t>, Chatterjee</w:t>
      </w:r>
      <w:r w:rsidR="004A2068">
        <w:rPr>
          <w:rFonts w:cstheme="minorHAnsi"/>
        </w:rPr>
        <w:t xml:space="preserve"> and</w:t>
      </w:r>
      <w:r w:rsidR="004A2068" w:rsidRPr="005230B1">
        <w:rPr>
          <w:rFonts w:cstheme="minorHAnsi"/>
        </w:rPr>
        <w:t xml:space="preserve"> Hunt</w:t>
      </w:r>
      <w:r w:rsidR="004A2068">
        <w:rPr>
          <w:rFonts w:cstheme="minorHAnsi"/>
        </w:rPr>
        <w:t xml:space="preserve"> </w:t>
      </w:r>
      <w:r w:rsidR="00FC1558" w:rsidRPr="00216489">
        <w:rPr>
          <w:rFonts w:cstheme="minorHAnsi"/>
        </w:rPr>
        <w:t>(2007) find that the rate of patenting per capita is about 20 percent higher in a metropolitan area with twice the employment density (jobs per square mile) of another metro area</w:t>
      </w:r>
      <w:r w:rsidR="00DC3927">
        <w:rPr>
          <w:rFonts w:cstheme="minorHAnsi"/>
        </w:rPr>
        <w:t>.</w:t>
      </w:r>
    </w:p>
    <w:p w14:paraId="79908C66" w14:textId="3A1DBC69" w:rsidR="007336EC" w:rsidRPr="00216489" w:rsidRDefault="00E06754" w:rsidP="003361FF">
      <w:pPr>
        <w:rPr>
          <w:rFonts w:cstheme="minorHAnsi"/>
        </w:rPr>
      </w:pPr>
      <w:r w:rsidRPr="00216489">
        <w:rPr>
          <w:rFonts w:cstheme="minorHAnsi"/>
        </w:rPr>
        <w:t>There is a la</w:t>
      </w:r>
      <w:r w:rsidR="0079001C" w:rsidRPr="00216489">
        <w:rPr>
          <w:rFonts w:cstheme="minorHAnsi"/>
        </w:rPr>
        <w:t>r</w:t>
      </w:r>
      <w:r w:rsidRPr="00216489">
        <w:rPr>
          <w:rFonts w:cstheme="minorHAnsi"/>
        </w:rPr>
        <w:t>ge research literature on these questions.</w:t>
      </w:r>
      <w:r w:rsidR="001A3B73">
        <w:rPr>
          <w:rFonts w:cstheme="minorHAnsi"/>
        </w:rPr>
        <w:t xml:space="preserve"> </w:t>
      </w:r>
      <w:r w:rsidRPr="00216489">
        <w:rPr>
          <w:rFonts w:cstheme="minorHAnsi"/>
        </w:rPr>
        <w:t>For surveys</w:t>
      </w:r>
      <w:r w:rsidR="00F36F90" w:rsidRPr="00216489">
        <w:rPr>
          <w:rFonts w:cstheme="minorHAnsi"/>
        </w:rPr>
        <w:t xml:space="preserve">, see </w:t>
      </w:r>
      <w:proofErr w:type="spellStart"/>
      <w:r w:rsidR="008403B0" w:rsidRPr="00216489">
        <w:rPr>
          <w:rFonts w:cstheme="minorHAnsi"/>
        </w:rPr>
        <w:t>Glaeser</w:t>
      </w:r>
      <w:proofErr w:type="spellEnd"/>
      <w:r w:rsidR="008403B0" w:rsidRPr="00216489">
        <w:rPr>
          <w:rFonts w:cstheme="minorHAnsi"/>
        </w:rPr>
        <w:t xml:space="preserve"> (</w:t>
      </w:r>
      <w:hyperlink r:id="rId43" w:history="1">
        <w:r w:rsidR="008403B0" w:rsidRPr="00216489">
          <w:rPr>
            <w:rStyle w:val="Hyperlink"/>
            <w:rFonts w:cstheme="minorHAnsi"/>
          </w:rPr>
          <w:t>201</w:t>
        </w:r>
        <w:r w:rsidR="00EB7575">
          <w:rPr>
            <w:rStyle w:val="Hyperlink"/>
            <w:rFonts w:cstheme="minorHAnsi"/>
          </w:rPr>
          <w:t>2</w:t>
        </w:r>
      </w:hyperlink>
      <w:r w:rsidR="008403B0" w:rsidRPr="00216489">
        <w:rPr>
          <w:rFonts w:cstheme="minorHAnsi"/>
        </w:rPr>
        <w:t>),</w:t>
      </w:r>
      <w:r w:rsidR="001A3B73">
        <w:rPr>
          <w:rFonts w:cstheme="minorHAnsi"/>
        </w:rPr>
        <w:t xml:space="preserve"> </w:t>
      </w:r>
      <w:proofErr w:type="spellStart"/>
      <w:r w:rsidR="00F36F90" w:rsidRPr="00216489">
        <w:rPr>
          <w:rFonts w:cstheme="minorHAnsi"/>
        </w:rPr>
        <w:t>Ca</w:t>
      </w:r>
      <w:r w:rsidR="0079001C" w:rsidRPr="00216489">
        <w:rPr>
          <w:rFonts w:cstheme="minorHAnsi"/>
        </w:rPr>
        <w:t>r</w:t>
      </w:r>
      <w:r w:rsidR="00F36F90" w:rsidRPr="00216489">
        <w:rPr>
          <w:rFonts w:cstheme="minorHAnsi"/>
        </w:rPr>
        <w:t>lino</w:t>
      </w:r>
      <w:proofErr w:type="spellEnd"/>
      <w:r w:rsidR="00F36F90" w:rsidRPr="00216489">
        <w:rPr>
          <w:rFonts w:cstheme="minorHAnsi"/>
        </w:rPr>
        <w:t xml:space="preserve"> and Kerr (</w:t>
      </w:r>
      <w:hyperlink r:id="rId44" w:history="1">
        <w:r w:rsidR="00F36F90" w:rsidRPr="007749E6">
          <w:rPr>
            <w:rStyle w:val="Hyperlink"/>
            <w:rFonts w:cstheme="minorHAnsi"/>
          </w:rPr>
          <w:t>2014</w:t>
        </w:r>
      </w:hyperlink>
      <w:r w:rsidR="00F36F90" w:rsidRPr="00216489">
        <w:rPr>
          <w:rFonts w:cstheme="minorHAnsi"/>
        </w:rPr>
        <w:t>)</w:t>
      </w:r>
      <w:r w:rsidR="0079001C" w:rsidRPr="00216489">
        <w:rPr>
          <w:rFonts w:cstheme="minorHAnsi"/>
        </w:rPr>
        <w:t>,</w:t>
      </w:r>
      <w:r w:rsidR="0030736F" w:rsidRPr="00216489">
        <w:rPr>
          <w:rFonts w:cstheme="minorHAnsi"/>
        </w:rPr>
        <w:t xml:space="preserve"> </w:t>
      </w:r>
      <w:r w:rsidR="0079320C" w:rsidRPr="00216489">
        <w:rPr>
          <w:rFonts w:cstheme="minorHAnsi"/>
        </w:rPr>
        <w:t xml:space="preserve">Combes and </w:t>
      </w:r>
      <w:proofErr w:type="spellStart"/>
      <w:r w:rsidR="0079320C" w:rsidRPr="00216489">
        <w:rPr>
          <w:rFonts w:cstheme="minorHAnsi"/>
        </w:rPr>
        <w:t>Gobillon</w:t>
      </w:r>
      <w:proofErr w:type="spellEnd"/>
      <w:r w:rsidR="0079320C" w:rsidRPr="00216489">
        <w:rPr>
          <w:rFonts w:cstheme="minorHAnsi"/>
        </w:rPr>
        <w:t xml:space="preserve"> (</w:t>
      </w:r>
      <w:hyperlink r:id="rId45" w:history="1">
        <w:r w:rsidR="0079320C" w:rsidRPr="00216489">
          <w:rPr>
            <w:rStyle w:val="Hyperlink"/>
            <w:rFonts w:cstheme="minorHAnsi"/>
          </w:rPr>
          <w:t>2014</w:t>
        </w:r>
      </w:hyperlink>
      <w:r w:rsidR="0079320C" w:rsidRPr="00216489">
        <w:rPr>
          <w:rFonts w:cstheme="minorHAnsi"/>
        </w:rPr>
        <w:t>)</w:t>
      </w:r>
      <w:r w:rsidR="008403B0" w:rsidRPr="00216489">
        <w:rPr>
          <w:rFonts w:cstheme="minorHAnsi"/>
        </w:rPr>
        <w:t xml:space="preserve"> and</w:t>
      </w:r>
      <w:r w:rsidR="0079320C" w:rsidRPr="00216489">
        <w:rPr>
          <w:rFonts w:cstheme="minorHAnsi"/>
        </w:rPr>
        <w:t xml:space="preserve"> </w:t>
      </w:r>
      <w:proofErr w:type="spellStart"/>
      <w:r w:rsidR="008403B0" w:rsidRPr="00216489">
        <w:rPr>
          <w:rFonts w:cstheme="minorHAnsi"/>
        </w:rPr>
        <w:t>Ahlfeldt</w:t>
      </w:r>
      <w:proofErr w:type="spellEnd"/>
      <w:r w:rsidR="008403B0" w:rsidRPr="00216489">
        <w:rPr>
          <w:rFonts w:cstheme="minorHAnsi"/>
        </w:rPr>
        <w:t xml:space="preserve"> and </w:t>
      </w:r>
      <w:proofErr w:type="spellStart"/>
      <w:r w:rsidR="00C37F5B" w:rsidRPr="00220F24">
        <w:rPr>
          <w:rFonts w:cstheme="minorHAnsi"/>
          <w:lang w:val="en-GB"/>
        </w:rPr>
        <w:t>Pietrostefani</w:t>
      </w:r>
      <w:proofErr w:type="spellEnd"/>
      <w:r w:rsidR="00C37F5B" w:rsidRPr="00220F24">
        <w:rPr>
          <w:rFonts w:cstheme="minorHAnsi"/>
          <w:lang w:val="en-GB"/>
        </w:rPr>
        <w:t xml:space="preserve"> </w:t>
      </w:r>
      <w:r w:rsidR="008403B0" w:rsidRPr="00216489">
        <w:rPr>
          <w:rFonts w:cstheme="minorHAnsi"/>
        </w:rPr>
        <w:t>(</w:t>
      </w:r>
      <w:hyperlink r:id="rId46" w:history="1">
        <w:r w:rsidR="008403B0" w:rsidRPr="001A723F">
          <w:rPr>
            <w:rStyle w:val="Hyperlink"/>
            <w:rFonts w:cstheme="minorHAnsi"/>
          </w:rPr>
          <w:t>2019</w:t>
        </w:r>
      </w:hyperlink>
      <w:r w:rsidR="008403B0" w:rsidRPr="00216489">
        <w:rPr>
          <w:rFonts w:cstheme="minorHAnsi"/>
        </w:rPr>
        <w:t xml:space="preserve">). </w:t>
      </w:r>
      <w:r w:rsidR="00182306" w:rsidRPr="00216489">
        <w:rPr>
          <w:rFonts w:cstheme="minorHAnsi"/>
        </w:rPr>
        <w:t>Accordi</w:t>
      </w:r>
      <w:r w:rsidR="005D3C0E">
        <w:rPr>
          <w:rFonts w:cstheme="minorHAnsi"/>
        </w:rPr>
        <w:t>n</w:t>
      </w:r>
      <w:r w:rsidR="00182306" w:rsidRPr="00216489">
        <w:rPr>
          <w:rFonts w:cstheme="minorHAnsi"/>
        </w:rPr>
        <w:t xml:space="preserve">g to </w:t>
      </w:r>
      <w:proofErr w:type="spellStart"/>
      <w:r w:rsidR="00182306" w:rsidRPr="00216489">
        <w:rPr>
          <w:rFonts w:cstheme="minorHAnsi"/>
        </w:rPr>
        <w:t>Glaeser</w:t>
      </w:r>
      <w:proofErr w:type="spellEnd"/>
      <w:r w:rsidR="00182306" w:rsidRPr="00216489">
        <w:rPr>
          <w:rFonts w:cstheme="minorHAnsi"/>
        </w:rPr>
        <w:t xml:space="preserve">, the key </w:t>
      </w:r>
      <w:r w:rsidR="0079320C" w:rsidRPr="00216489">
        <w:rPr>
          <w:rFonts w:cstheme="minorHAnsi"/>
        </w:rPr>
        <w:t>lesson</w:t>
      </w:r>
      <w:r w:rsidR="00182306" w:rsidRPr="00216489">
        <w:rPr>
          <w:rFonts w:cstheme="minorHAnsi"/>
        </w:rPr>
        <w:t xml:space="preserve"> is that </w:t>
      </w:r>
      <w:r w:rsidR="001A3B73">
        <w:rPr>
          <w:rFonts w:cstheme="minorHAnsi"/>
        </w:rPr>
        <w:t>‘</w:t>
      </w:r>
      <w:r w:rsidR="0030736F" w:rsidRPr="00216489">
        <w:rPr>
          <w:rFonts w:cstheme="minorHAnsi"/>
        </w:rPr>
        <w:t>Ideas spre</w:t>
      </w:r>
      <w:r w:rsidR="00375C60" w:rsidRPr="00216489">
        <w:rPr>
          <w:rFonts w:cstheme="minorHAnsi"/>
        </w:rPr>
        <w:t>a</w:t>
      </w:r>
      <w:r w:rsidR="0030736F" w:rsidRPr="00216489">
        <w:rPr>
          <w:rFonts w:cstheme="minorHAnsi"/>
        </w:rPr>
        <w:t>d more easily in d</w:t>
      </w:r>
      <w:r w:rsidR="00375C60" w:rsidRPr="00216489">
        <w:rPr>
          <w:rFonts w:cstheme="minorHAnsi"/>
        </w:rPr>
        <w:t>e</w:t>
      </w:r>
      <w:r w:rsidR="0030736F" w:rsidRPr="00216489">
        <w:rPr>
          <w:rFonts w:cstheme="minorHAnsi"/>
        </w:rPr>
        <w:t xml:space="preserve">nser </w:t>
      </w:r>
      <w:proofErr w:type="gramStart"/>
      <w:r w:rsidR="0030736F" w:rsidRPr="00216489">
        <w:rPr>
          <w:rFonts w:cstheme="minorHAnsi"/>
        </w:rPr>
        <w:t>places</w:t>
      </w:r>
      <w:r w:rsidR="001A3B73">
        <w:rPr>
          <w:rFonts w:cstheme="minorHAnsi"/>
        </w:rPr>
        <w:t>’</w:t>
      </w:r>
      <w:proofErr w:type="gramEnd"/>
      <w:r w:rsidR="007336EC" w:rsidRPr="00216489">
        <w:rPr>
          <w:rFonts w:cstheme="minorHAnsi"/>
        </w:rPr>
        <w:t>.</w:t>
      </w:r>
    </w:p>
    <w:p w14:paraId="65BEB889" w14:textId="30A68ABD" w:rsidR="00714CE6" w:rsidRPr="00216489" w:rsidRDefault="006C1197" w:rsidP="00714CE6">
      <w:pPr>
        <w:rPr>
          <w:rFonts w:cstheme="minorHAnsi"/>
          <w:b/>
          <w:bCs/>
        </w:rPr>
      </w:pPr>
      <w:r>
        <w:rPr>
          <w:rFonts w:cstheme="minorHAnsi"/>
        </w:rPr>
        <w:t xml:space="preserve">To be </w:t>
      </w:r>
      <w:r w:rsidR="000E3AE5">
        <w:rPr>
          <w:rFonts w:cstheme="minorHAnsi"/>
        </w:rPr>
        <w:t>precise</w:t>
      </w:r>
      <w:r>
        <w:rPr>
          <w:rFonts w:cstheme="minorHAnsi"/>
        </w:rPr>
        <w:t>, m</w:t>
      </w:r>
      <w:r w:rsidR="00F12780">
        <w:rPr>
          <w:rFonts w:cstheme="minorHAnsi"/>
        </w:rPr>
        <w:t>ost of this</w:t>
      </w:r>
      <w:r w:rsidR="00714CE6" w:rsidRPr="00216489">
        <w:rPr>
          <w:rFonts w:cstheme="minorHAnsi"/>
        </w:rPr>
        <w:t xml:space="preserve"> literature focusses on the density of workers rather than the density of housing.</w:t>
      </w:r>
      <w:r w:rsidR="001A3B73">
        <w:rPr>
          <w:rFonts w:cstheme="minorHAnsi"/>
        </w:rPr>
        <w:t xml:space="preserve"> </w:t>
      </w:r>
      <w:r w:rsidR="00714CE6" w:rsidRPr="00216489">
        <w:rPr>
          <w:rFonts w:cstheme="minorHAnsi"/>
        </w:rPr>
        <w:t>However, the two typically go together.</w:t>
      </w:r>
      <w:r w:rsidR="001A3B73">
        <w:rPr>
          <w:rFonts w:cstheme="minorHAnsi"/>
        </w:rPr>
        <w:t xml:space="preserve"> </w:t>
      </w:r>
      <w:r w:rsidR="00714CE6" w:rsidRPr="00216489">
        <w:rPr>
          <w:rFonts w:cstheme="minorHAnsi"/>
        </w:rPr>
        <w:t>Moreover, many policies (for example, building height limits) affect both in similar ways.</w:t>
      </w:r>
    </w:p>
    <w:p w14:paraId="5B0A2751" w14:textId="5A748D8F" w:rsidR="00714CE6" w:rsidRDefault="00714CE6" w:rsidP="003361FF">
      <w:pPr>
        <w:rPr>
          <w:rFonts w:cstheme="minorHAnsi"/>
        </w:rPr>
      </w:pPr>
      <w:r w:rsidRPr="00216489">
        <w:rPr>
          <w:rFonts w:cstheme="minorHAnsi"/>
        </w:rPr>
        <w:lastRenderedPageBreak/>
        <w:t>More recently, Hsieh and Moretti (</w:t>
      </w:r>
      <w:hyperlink r:id="rId47" w:history="1">
        <w:r w:rsidRPr="00216489">
          <w:rPr>
            <w:rStyle w:val="Hyperlink"/>
            <w:rFonts w:cstheme="minorHAnsi"/>
          </w:rPr>
          <w:t>2019</w:t>
        </w:r>
      </w:hyperlink>
      <w:r w:rsidRPr="00216489">
        <w:rPr>
          <w:rFonts w:cstheme="minorHAnsi"/>
        </w:rPr>
        <w:t>) argue that planning restrictions lead to a substantial misallocation of labour in the United States.</w:t>
      </w:r>
      <w:r w:rsidR="001A3B73">
        <w:rPr>
          <w:rFonts w:cstheme="minorHAnsi"/>
        </w:rPr>
        <w:t xml:space="preserve"> </w:t>
      </w:r>
      <w:r w:rsidRPr="00216489">
        <w:rPr>
          <w:rFonts w:cstheme="minorHAnsi"/>
        </w:rPr>
        <w:t>Workers are trapped in low-productivity locations and unable to move to high-productivity cities like San Francisco or New York because zoning restrictions in those cities make housing unaffordable.</w:t>
      </w:r>
      <w:r w:rsidR="001A3B73">
        <w:rPr>
          <w:rFonts w:cstheme="minorHAnsi"/>
        </w:rPr>
        <w:t xml:space="preserve"> </w:t>
      </w:r>
      <w:r w:rsidRPr="00216489">
        <w:rPr>
          <w:rFonts w:cstheme="minorHAnsi"/>
        </w:rPr>
        <w:t xml:space="preserve">Hsieh and Moretti estimate this misallocation reduces US GDP by </w:t>
      </w:r>
      <w:r w:rsidR="002A4FA7">
        <w:rPr>
          <w:rFonts w:cstheme="minorHAnsi"/>
        </w:rPr>
        <w:t xml:space="preserve">14 </w:t>
      </w:r>
      <w:r w:rsidRPr="00216489">
        <w:rPr>
          <w:rFonts w:cstheme="minorHAnsi"/>
        </w:rPr>
        <w:t>percent</w:t>
      </w:r>
      <w:r w:rsidR="005D2FD2">
        <w:rPr>
          <w:rFonts w:cstheme="minorHAnsi"/>
        </w:rPr>
        <w:t>, an effect that is growing over time</w:t>
      </w:r>
      <w:r w:rsidRPr="00216489">
        <w:rPr>
          <w:rFonts w:cstheme="minorHAnsi"/>
        </w:rPr>
        <w:t>.</w:t>
      </w:r>
      <w:r w:rsidR="002A4FA7">
        <w:rPr>
          <w:rStyle w:val="FootnoteReference"/>
          <w:rFonts w:cstheme="minorHAnsi"/>
        </w:rPr>
        <w:footnoteReference w:id="2"/>
      </w:r>
      <w:r w:rsidR="001A3B73">
        <w:rPr>
          <w:rFonts w:cstheme="minorHAnsi"/>
        </w:rPr>
        <w:t xml:space="preserve"> </w:t>
      </w:r>
      <w:r w:rsidR="00960833">
        <w:rPr>
          <w:rFonts w:cstheme="minorHAnsi"/>
        </w:rPr>
        <w:t xml:space="preserve">Similar studies include </w:t>
      </w:r>
      <w:proofErr w:type="spellStart"/>
      <w:r w:rsidR="00960833" w:rsidRPr="00960833">
        <w:rPr>
          <w:rFonts w:cstheme="minorHAnsi"/>
        </w:rPr>
        <w:t>Ganong</w:t>
      </w:r>
      <w:proofErr w:type="spellEnd"/>
      <w:r w:rsidR="00960833" w:rsidRPr="00960833">
        <w:rPr>
          <w:rFonts w:cstheme="minorHAnsi"/>
        </w:rPr>
        <w:t xml:space="preserve"> and </w:t>
      </w:r>
      <w:proofErr w:type="spellStart"/>
      <w:r w:rsidR="00960833" w:rsidRPr="00960833">
        <w:rPr>
          <w:rFonts w:cstheme="minorHAnsi"/>
        </w:rPr>
        <w:t>Shoag</w:t>
      </w:r>
      <w:proofErr w:type="spellEnd"/>
      <w:r w:rsidR="00960833">
        <w:rPr>
          <w:rFonts w:cstheme="minorHAnsi"/>
        </w:rPr>
        <w:t xml:space="preserve"> (</w:t>
      </w:r>
      <w:hyperlink r:id="rId48" w:history="1">
        <w:r w:rsidR="00960833" w:rsidRPr="00960833">
          <w:rPr>
            <w:rStyle w:val="Hyperlink"/>
            <w:rFonts w:cstheme="minorHAnsi"/>
          </w:rPr>
          <w:t>2017</w:t>
        </w:r>
      </w:hyperlink>
      <w:r w:rsidR="00960833">
        <w:rPr>
          <w:rFonts w:cstheme="minorHAnsi"/>
        </w:rPr>
        <w:t xml:space="preserve">) and </w:t>
      </w:r>
      <w:proofErr w:type="spellStart"/>
      <w:r w:rsidR="00960833">
        <w:rPr>
          <w:rFonts w:cstheme="minorHAnsi"/>
        </w:rPr>
        <w:t>Glaeser</w:t>
      </w:r>
      <w:proofErr w:type="spellEnd"/>
      <w:r w:rsidR="00960833">
        <w:rPr>
          <w:rFonts w:cstheme="minorHAnsi"/>
        </w:rPr>
        <w:t xml:space="preserve"> and </w:t>
      </w:r>
      <w:proofErr w:type="spellStart"/>
      <w:r w:rsidR="00960833">
        <w:rPr>
          <w:rFonts w:cstheme="minorHAnsi"/>
        </w:rPr>
        <w:t>Gyourko</w:t>
      </w:r>
      <w:proofErr w:type="spellEnd"/>
      <w:r w:rsidR="00960833">
        <w:rPr>
          <w:rFonts w:cstheme="minorHAnsi"/>
        </w:rPr>
        <w:t xml:space="preserve"> (</w:t>
      </w:r>
      <w:hyperlink r:id="rId49" w:history="1">
        <w:r w:rsidR="00960833" w:rsidRPr="00960833">
          <w:rPr>
            <w:rStyle w:val="Hyperlink"/>
            <w:rFonts w:cstheme="minorHAnsi"/>
          </w:rPr>
          <w:t>2018</w:t>
        </w:r>
      </w:hyperlink>
      <w:r w:rsidR="00960833">
        <w:rPr>
          <w:rFonts w:cstheme="minorHAnsi"/>
        </w:rPr>
        <w:t>)</w:t>
      </w:r>
      <w:r w:rsidR="00960833" w:rsidRPr="00960833">
        <w:rPr>
          <w:rFonts w:cstheme="minorHAnsi"/>
        </w:rPr>
        <w:t xml:space="preserve">. </w:t>
      </w:r>
      <w:r w:rsidR="00960833">
        <w:rPr>
          <w:rFonts w:cstheme="minorHAnsi"/>
        </w:rPr>
        <w:t xml:space="preserve"> </w:t>
      </w:r>
      <w:r w:rsidR="00F12780">
        <w:rPr>
          <w:rFonts w:cstheme="minorHAnsi"/>
        </w:rPr>
        <w:t>Th</w:t>
      </w:r>
      <w:r w:rsidR="00960833">
        <w:rPr>
          <w:rFonts w:cstheme="minorHAnsi"/>
        </w:rPr>
        <w:t>ese studies find very large effects in the US</w:t>
      </w:r>
      <w:r w:rsidR="00F12780">
        <w:rPr>
          <w:rFonts w:cstheme="minorHAnsi"/>
        </w:rPr>
        <w:t>.</w:t>
      </w:r>
      <w:r w:rsidR="001A3B73">
        <w:rPr>
          <w:rFonts w:cstheme="minorHAnsi"/>
        </w:rPr>
        <w:t xml:space="preserve"> </w:t>
      </w:r>
      <w:r w:rsidR="00F12780">
        <w:rPr>
          <w:rFonts w:cstheme="minorHAnsi"/>
        </w:rPr>
        <w:t xml:space="preserve">However, it is not clear </w:t>
      </w:r>
      <w:r w:rsidR="000E3AE5">
        <w:rPr>
          <w:rFonts w:cstheme="minorHAnsi"/>
        </w:rPr>
        <w:t>whether</w:t>
      </w:r>
      <w:r w:rsidR="00535522">
        <w:rPr>
          <w:rFonts w:cstheme="minorHAnsi"/>
        </w:rPr>
        <w:t xml:space="preserve"> </w:t>
      </w:r>
      <w:r w:rsidR="000E3AE5">
        <w:rPr>
          <w:rFonts w:cstheme="minorHAnsi"/>
        </w:rPr>
        <w:t>restrictions</w:t>
      </w:r>
      <w:r w:rsidR="00535522">
        <w:rPr>
          <w:rFonts w:cstheme="minorHAnsi"/>
        </w:rPr>
        <w:t xml:space="preserve"> in Australia give rise to similar levels of labour misallocation as seen in the in the US.</w:t>
      </w:r>
    </w:p>
    <w:p w14:paraId="446793E5" w14:textId="77777777" w:rsidR="00010613" w:rsidRPr="00216489" w:rsidRDefault="00010613" w:rsidP="003361FF">
      <w:pPr>
        <w:rPr>
          <w:rFonts w:cstheme="minorHAnsi"/>
        </w:rPr>
      </w:pPr>
    </w:p>
    <w:p w14:paraId="6AD57B61" w14:textId="279793AA" w:rsidR="00582371" w:rsidRPr="00216489" w:rsidRDefault="00923509" w:rsidP="000A0D2C">
      <w:pPr>
        <w:pStyle w:val="Heading1"/>
      </w:pPr>
      <w:bookmarkStart w:id="9" w:name="_Toc98922881"/>
      <w:r>
        <w:t>Previous Productivity Commission Analysis</w:t>
      </w:r>
      <w:bookmarkEnd w:id="9"/>
      <w:r w:rsidR="00582371" w:rsidRPr="00216489">
        <w:t xml:space="preserve"> </w:t>
      </w:r>
    </w:p>
    <w:p w14:paraId="123FBE1C" w14:textId="1B51D7DD" w:rsidR="008A6A1A" w:rsidRPr="00216489" w:rsidRDefault="00535522">
      <w:pPr>
        <w:rPr>
          <w:rFonts w:cstheme="minorHAnsi"/>
        </w:rPr>
      </w:pPr>
      <w:r>
        <w:rPr>
          <w:rFonts w:cstheme="minorHAnsi"/>
        </w:rPr>
        <w:t xml:space="preserve">The Productivity Commission has examined </w:t>
      </w:r>
      <w:r w:rsidRPr="00216489">
        <w:rPr>
          <w:rFonts w:cstheme="minorHAnsi"/>
        </w:rPr>
        <w:t>planning restrictions</w:t>
      </w:r>
      <w:r>
        <w:rPr>
          <w:rFonts w:cstheme="minorHAnsi"/>
        </w:rPr>
        <w:t xml:space="preserve"> on several occasions, including</w:t>
      </w:r>
      <w:r w:rsidRPr="00216489">
        <w:rPr>
          <w:rFonts w:cstheme="minorHAnsi"/>
        </w:rPr>
        <w:t xml:space="preserve"> </w:t>
      </w:r>
      <w:r w:rsidR="00582371" w:rsidRPr="00535522">
        <w:rPr>
          <w:rFonts w:cstheme="minorHAnsi"/>
          <w:i/>
        </w:rPr>
        <w:t>Shifting the Dial</w:t>
      </w:r>
      <w:r w:rsidR="00582371" w:rsidRPr="00216489">
        <w:rPr>
          <w:rFonts w:cstheme="minorHAnsi"/>
        </w:rPr>
        <w:t xml:space="preserve"> </w:t>
      </w:r>
      <w:r w:rsidR="00CF6545" w:rsidRPr="00216489">
        <w:rPr>
          <w:rFonts w:cstheme="minorHAnsi"/>
        </w:rPr>
        <w:t>(</w:t>
      </w:r>
      <w:hyperlink r:id="rId50" w:history="1">
        <w:r w:rsidR="00CF6545" w:rsidRPr="00CB6ABC">
          <w:rPr>
            <w:rStyle w:val="Hyperlink"/>
            <w:rFonts w:cstheme="minorHAnsi"/>
          </w:rPr>
          <w:t>2017</w:t>
        </w:r>
      </w:hyperlink>
      <w:r>
        <w:rPr>
          <w:rFonts w:cstheme="minorHAnsi"/>
        </w:rPr>
        <w:t xml:space="preserve">, </w:t>
      </w:r>
      <w:r w:rsidR="001E7670" w:rsidRPr="00216489">
        <w:rPr>
          <w:rFonts w:cstheme="minorHAnsi"/>
        </w:rPr>
        <w:t>Section 4.6</w:t>
      </w:r>
      <w:r>
        <w:rPr>
          <w:rFonts w:cstheme="minorHAnsi"/>
        </w:rPr>
        <w:t xml:space="preserve">) and </w:t>
      </w:r>
      <w:r w:rsidRPr="005D2FD2">
        <w:rPr>
          <w:rFonts w:cstheme="minorHAnsi"/>
          <w:i/>
        </w:rPr>
        <w:t xml:space="preserve">Performance </w:t>
      </w:r>
      <w:r w:rsidR="005D2FD2" w:rsidRPr="005D2FD2">
        <w:rPr>
          <w:rFonts w:cstheme="minorHAnsi"/>
          <w:i/>
        </w:rPr>
        <w:t>Benchmarking</w:t>
      </w:r>
      <w:r w:rsidRPr="005D2FD2">
        <w:rPr>
          <w:rFonts w:cstheme="minorHAnsi"/>
          <w:i/>
        </w:rPr>
        <w:t xml:space="preserve"> of </w:t>
      </w:r>
      <w:r w:rsidR="005D2FD2" w:rsidRPr="005D2FD2">
        <w:rPr>
          <w:rFonts w:cstheme="minorHAnsi"/>
          <w:i/>
        </w:rPr>
        <w:t>Australian</w:t>
      </w:r>
      <w:r w:rsidRPr="005D2FD2">
        <w:rPr>
          <w:rFonts w:cstheme="minorHAnsi"/>
          <w:i/>
        </w:rPr>
        <w:t xml:space="preserve"> Business </w:t>
      </w:r>
      <w:r w:rsidR="005D2FD2" w:rsidRPr="005D2FD2">
        <w:rPr>
          <w:rFonts w:cstheme="minorHAnsi"/>
          <w:i/>
        </w:rPr>
        <w:t>Regulation</w:t>
      </w:r>
      <w:r w:rsidRPr="005D2FD2">
        <w:rPr>
          <w:rFonts w:cstheme="minorHAnsi"/>
          <w:i/>
        </w:rPr>
        <w:t>: Planning</w:t>
      </w:r>
      <w:r w:rsidR="00707ED2">
        <w:rPr>
          <w:rFonts w:cstheme="minorHAnsi"/>
          <w:i/>
        </w:rPr>
        <w:t>,</w:t>
      </w:r>
      <w:r w:rsidRPr="005D2FD2">
        <w:rPr>
          <w:rFonts w:cstheme="minorHAnsi"/>
          <w:i/>
        </w:rPr>
        <w:t xml:space="preserve"> Zoning and Development Assessments</w:t>
      </w:r>
      <w:r>
        <w:rPr>
          <w:rFonts w:cstheme="minorHAnsi"/>
        </w:rPr>
        <w:t xml:space="preserve"> (</w:t>
      </w:r>
      <w:hyperlink r:id="rId51" w:history="1">
        <w:r w:rsidRPr="00BB35A1">
          <w:rPr>
            <w:rStyle w:val="Hyperlink"/>
            <w:rFonts w:cstheme="minorHAnsi"/>
          </w:rPr>
          <w:t>2011</w:t>
        </w:r>
      </w:hyperlink>
      <w:r>
        <w:rPr>
          <w:rFonts w:cstheme="minorHAnsi"/>
        </w:rPr>
        <w:t>)</w:t>
      </w:r>
      <w:r w:rsidR="001E7670" w:rsidRPr="00216489">
        <w:rPr>
          <w:rFonts w:cstheme="minorHAnsi"/>
        </w:rPr>
        <w:t>.</w:t>
      </w:r>
      <w:r w:rsidR="001A3B73">
        <w:rPr>
          <w:rFonts w:cstheme="minorHAnsi"/>
        </w:rPr>
        <w:t xml:space="preserve"> </w:t>
      </w:r>
      <w:r w:rsidRPr="00216489">
        <w:rPr>
          <w:rFonts w:cstheme="minorHAnsi"/>
        </w:rPr>
        <w:t xml:space="preserve">The </w:t>
      </w:r>
      <w:r w:rsidR="001E7670" w:rsidRPr="00216489">
        <w:rPr>
          <w:rFonts w:cstheme="minorHAnsi"/>
        </w:rPr>
        <w:t xml:space="preserve">emphasis </w:t>
      </w:r>
      <w:r w:rsidR="005D2FD2">
        <w:rPr>
          <w:rFonts w:cstheme="minorHAnsi"/>
        </w:rPr>
        <w:t xml:space="preserve">in both these publications </w:t>
      </w:r>
      <w:r w:rsidR="001E7670" w:rsidRPr="00216489">
        <w:rPr>
          <w:rFonts w:cstheme="minorHAnsi"/>
        </w:rPr>
        <w:t>is on the complexity of the planning system and the excessive administrative burden it places upon developers.</w:t>
      </w:r>
      <w:r w:rsidR="001A3B73">
        <w:rPr>
          <w:rFonts w:cstheme="minorHAnsi"/>
        </w:rPr>
        <w:t xml:space="preserve"> </w:t>
      </w:r>
      <w:r w:rsidR="001E7670" w:rsidRPr="00216489">
        <w:rPr>
          <w:rFonts w:cstheme="minorHAnsi"/>
        </w:rPr>
        <w:t>This analysis is sensible and important.</w:t>
      </w:r>
      <w:r w:rsidR="001A3B73">
        <w:rPr>
          <w:rFonts w:cstheme="minorHAnsi"/>
        </w:rPr>
        <w:t xml:space="preserve"> </w:t>
      </w:r>
      <w:r w:rsidR="001E7670" w:rsidRPr="00216489">
        <w:rPr>
          <w:rFonts w:cstheme="minorHAnsi"/>
        </w:rPr>
        <w:t>However</w:t>
      </w:r>
      <w:r w:rsidR="00587F5D" w:rsidRPr="00216489">
        <w:rPr>
          <w:rFonts w:cstheme="minorHAnsi"/>
        </w:rPr>
        <w:t>, given what researchers now know,</w:t>
      </w:r>
      <w:r w:rsidR="001E7670" w:rsidRPr="00216489">
        <w:rPr>
          <w:rFonts w:cstheme="minorHAnsi"/>
        </w:rPr>
        <w:t xml:space="preserve"> </w:t>
      </w:r>
      <w:r w:rsidR="00587F5D" w:rsidRPr="00216489">
        <w:rPr>
          <w:rFonts w:cstheme="minorHAnsi"/>
        </w:rPr>
        <w:t>that analysis is</w:t>
      </w:r>
      <w:r w:rsidR="001E7670" w:rsidRPr="00216489">
        <w:rPr>
          <w:rFonts w:cstheme="minorHAnsi"/>
        </w:rPr>
        <w:t xml:space="preserve"> incomplete.</w:t>
      </w:r>
      <w:r w:rsidR="001A3B73">
        <w:rPr>
          <w:rFonts w:cstheme="minorHAnsi"/>
        </w:rPr>
        <w:t xml:space="preserve"> </w:t>
      </w:r>
      <w:r w:rsidR="00577951" w:rsidRPr="00216489">
        <w:rPr>
          <w:rFonts w:cstheme="minorHAnsi"/>
        </w:rPr>
        <w:t xml:space="preserve">The issues are more important and </w:t>
      </w:r>
      <w:r w:rsidR="001E5F1A" w:rsidRPr="00216489">
        <w:rPr>
          <w:rFonts w:cstheme="minorHAnsi"/>
        </w:rPr>
        <w:t>necessary</w:t>
      </w:r>
      <w:r w:rsidR="00837D9F" w:rsidRPr="00216489">
        <w:rPr>
          <w:rFonts w:cstheme="minorHAnsi"/>
        </w:rPr>
        <w:t xml:space="preserve"> recommendations are more fundamental</w:t>
      </w:r>
      <w:r w:rsidR="00C82832">
        <w:rPr>
          <w:rFonts w:cstheme="minorHAnsi"/>
        </w:rPr>
        <w:t>.</w:t>
      </w:r>
    </w:p>
    <w:p w14:paraId="1538F0C2" w14:textId="69405CC1" w:rsidR="001E7670" w:rsidRPr="00216489" w:rsidRDefault="001E7670" w:rsidP="001E7670">
      <w:pPr>
        <w:rPr>
          <w:rFonts w:cstheme="minorHAnsi"/>
        </w:rPr>
      </w:pPr>
      <w:r w:rsidRPr="00C82832">
        <w:rPr>
          <w:rFonts w:cstheme="minorHAnsi"/>
          <w:i/>
          <w:iCs/>
        </w:rPr>
        <w:t>Shifting the Dial</w:t>
      </w:r>
      <w:r w:rsidRPr="00216489">
        <w:rPr>
          <w:rFonts w:cstheme="minorHAnsi"/>
        </w:rPr>
        <w:t xml:space="preserve"> </w:t>
      </w:r>
      <w:r w:rsidR="00587F5D" w:rsidRPr="00216489">
        <w:rPr>
          <w:rFonts w:cstheme="minorHAnsi"/>
        </w:rPr>
        <w:t>focussed on</w:t>
      </w:r>
      <w:r w:rsidRPr="00216489">
        <w:rPr>
          <w:rFonts w:cstheme="minorHAnsi"/>
        </w:rPr>
        <w:t xml:space="preserve"> how difficult </w:t>
      </w:r>
      <w:r w:rsidR="00587F5D" w:rsidRPr="00216489">
        <w:rPr>
          <w:rFonts w:cstheme="minorHAnsi"/>
        </w:rPr>
        <w:t xml:space="preserve">and uncertain </w:t>
      </w:r>
      <w:r w:rsidRPr="00216489">
        <w:rPr>
          <w:rFonts w:cstheme="minorHAnsi"/>
        </w:rPr>
        <w:t xml:space="preserve">the </w:t>
      </w:r>
      <w:r w:rsidR="007751A5" w:rsidRPr="00216489">
        <w:rPr>
          <w:rFonts w:cstheme="minorHAnsi"/>
        </w:rPr>
        <w:t>planning</w:t>
      </w:r>
      <w:r w:rsidRPr="00216489">
        <w:rPr>
          <w:rFonts w:cstheme="minorHAnsi"/>
        </w:rPr>
        <w:t xml:space="preserve"> system</w:t>
      </w:r>
      <w:r w:rsidR="00587F5D" w:rsidRPr="00216489">
        <w:rPr>
          <w:rFonts w:cstheme="minorHAnsi"/>
        </w:rPr>
        <w:t xml:space="preserve"> makes building</w:t>
      </w:r>
      <w:r w:rsidR="000A276F" w:rsidRPr="00216489">
        <w:rPr>
          <w:rFonts w:cstheme="minorHAnsi"/>
        </w:rPr>
        <w:t xml:space="preserve"> and hence recommended the process be simplified.</w:t>
      </w:r>
      <w:r w:rsidR="001A3B73">
        <w:rPr>
          <w:rFonts w:cstheme="minorHAnsi"/>
        </w:rPr>
        <w:t xml:space="preserve"> </w:t>
      </w:r>
      <w:r w:rsidR="000A276F" w:rsidRPr="00216489">
        <w:rPr>
          <w:rFonts w:cstheme="minorHAnsi"/>
        </w:rPr>
        <w:t>In contrast</w:t>
      </w:r>
      <w:r w:rsidR="00587F5D" w:rsidRPr="00216489">
        <w:rPr>
          <w:rFonts w:cstheme="minorHAnsi"/>
        </w:rPr>
        <w:t xml:space="preserve">, the new research focusses on </w:t>
      </w:r>
      <w:r w:rsidR="000A276F" w:rsidRPr="00216489">
        <w:rPr>
          <w:rFonts w:cstheme="minorHAnsi"/>
        </w:rPr>
        <w:t xml:space="preserve">how </w:t>
      </w:r>
      <w:r w:rsidR="00587F5D" w:rsidRPr="00216489">
        <w:rPr>
          <w:rFonts w:cstheme="minorHAnsi"/>
        </w:rPr>
        <w:t>the pla</w:t>
      </w:r>
      <w:r w:rsidR="000A276F" w:rsidRPr="00216489">
        <w:rPr>
          <w:rFonts w:cstheme="minorHAnsi"/>
        </w:rPr>
        <w:t>nn</w:t>
      </w:r>
      <w:r w:rsidR="00587F5D" w:rsidRPr="00216489">
        <w:rPr>
          <w:rFonts w:cstheme="minorHAnsi"/>
        </w:rPr>
        <w:t>ing system simply stops much building</w:t>
      </w:r>
      <w:r w:rsidR="000A276F" w:rsidRPr="00216489">
        <w:rPr>
          <w:rFonts w:cstheme="minorHAnsi"/>
        </w:rPr>
        <w:t xml:space="preserve"> and support</w:t>
      </w:r>
      <w:r w:rsidR="00795FDA">
        <w:rPr>
          <w:rFonts w:cstheme="minorHAnsi"/>
        </w:rPr>
        <w:t>s</w:t>
      </w:r>
      <w:r w:rsidR="000A276F" w:rsidRPr="00216489">
        <w:rPr>
          <w:rFonts w:cstheme="minorHAnsi"/>
        </w:rPr>
        <w:t xml:space="preserve"> a recommendation of allowing more construction</w:t>
      </w:r>
      <w:r w:rsidR="00587F5D" w:rsidRPr="00216489">
        <w:rPr>
          <w:rFonts w:cstheme="minorHAnsi"/>
        </w:rPr>
        <w:t>.</w:t>
      </w:r>
      <w:r w:rsidR="001A3B73">
        <w:rPr>
          <w:rFonts w:cstheme="minorHAnsi"/>
        </w:rPr>
        <w:t xml:space="preserve"> </w:t>
      </w:r>
      <w:r w:rsidR="00587F5D" w:rsidRPr="00216489">
        <w:rPr>
          <w:rFonts w:cstheme="minorHAnsi"/>
        </w:rPr>
        <w:t xml:space="preserve">Whereas </w:t>
      </w:r>
      <w:r w:rsidR="00587F5D" w:rsidRPr="00795FDA">
        <w:rPr>
          <w:rFonts w:cstheme="minorHAnsi"/>
          <w:i/>
          <w:iCs/>
        </w:rPr>
        <w:t>Shifting the Dial</w:t>
      </w:r>
      <w:r w:rsidR="00587F5D" w:rsidRPr="00216489">
        <w:rPr>
          <w:rFonts w:cstheme="minorHAnsi"/>
        </w:rPr>
        <w:t xml:space="preserve"> focussed on complications and the </w:t>
      </w:r>
      <w:r w:rsidR="001A3B73">
        <w:rPr>
          <w:rFonts w:cstheme="minorHAnsi"/>
        </w:rPr>
        <w:t>‘</w:t>
      </w:r>
      <w:r w:rsidR="00587F5D" w:rsidRPr="00216489">
        <w:rPr>
          <w:rFonts w:cstheme="minorHAnsi"/>
        </w:rPr>
        <w:t>grey area</w:t>
      </w:r>
      <w:r w:rsidR="001A3B73">
        <w:rPr>
          <w:rFonts w:cstheme="minorHAnsi"/>
        </w:rPr>
        <w:t>’</w:t>
      </w:r>
      <w:r w:rsidR="00587F5D" w:rsidRPr="00216489">
        <w:rPr>
          <w:rFonts w:cstheme="minorHAnsi"/>
        </w:rPr>
        <w:t xml:space="preserve"> between what is permitted and what is not, the new research focusses on simple prohibitions that are black and white.</w:t>
      </w:r>
    </w:p>
    <w:p w14:paraId="1BEB0272" w14:textId="0D316D8A" w:rsidR="005F1C5E" w:rsidRPr="00216489" w:rsidRDefault="00587F5D" w:rsidP="005F1C5E">
      <w:pPr>
        <w:rPr>
          <w:rFonts w:cstheme="minorHAnsi"/>
          <w:lang w:val="en-GB"/>
        </w:rPr>
      </w:pPr>
      <w:r w:rsidRPr="00216489">
        <w:rPr>
          <w:rFonts w:cstheme="minorHAnsi"/>
        </w:rPr>
        <w:t>Various studies have been made of the administrative costs imposed by the planning system</w:t>
      </w:r>
      <w:r w:rsidR="005001E3" w:rsidRPr="00216489">
        <w:rPr>
          <w:rFonts w:cstheme="minorHAnsi"/>
        </w:rPr>
        <w:t>.</w:t>
      </w:r>
      <w:r w:rsidR="005F1C5E" w:rsidRPr="00216489">
        <w:rPr>
          <w:rFonts w:cstheme="minorHAnsi"/>
        </w:rPr>
        <w:t xml:space="preserve"> </w:t>
      </w:r>
      <w:r w:rsidR="005F1C5E" w:rsidRPr="00216489">
        <w:rPr>
          <w:rFonts w:cstheme="minorHAnsi"/>
          <w:lang w:val="en-GB"/>
        </w:rPr>
        <w:t>The Centre for International Economics (CIE) (</w:t>
      </w:r>
      <w:hyperlink r:id="rId52" w:history="1">
        <w:r w:rsidR="005F1C5E" w:rsidRPr="00216489">
          <w:rPr>
            <w:rStyle w:val="Hyperlink"/>
            <w:rFonts w:cstheme="minorHAnsi"/>
            <w:lang w:val="en-GB"/>
          </w:rPr>
          <w:t>2013</w:t>
        </w:r>
      </w:hyperlink>
      <w:r w:rsidR="005F1C5E" w:rsidRPr="00216489">
        <w:rPr>
          <w:rFonts w:cstheme="minorHAnsi"/>
          <w:lang w:val="en-GB"/>
        </w:rPr>
        <w:t xml:space="preserve">) considers a range of reforms to the NSW Planning system in detail. Their Table 11.5 summarises various estimates that </w:t>
      </w:r>
      <w:r w:rsidR="001A3B73">
        <w:rPr>
          <w:rFonts w:cstheme="minorHAnsi"/>
          <w:lang w:val="en-GB"/>
        </w:rPr>
        <w:t>‘</w:t>
      </w:r>
      <w:r w:rsidR="005F1C5E" w:rsidRPr="00216489">
        <w:rPr>
          <w:rFonts w:cstheme="minorHAnsi"/>
          <w:lang w:val="en-GB"/>
        </w:rPr>
        <w:t>suggest excessive costs of between $174 million and $312 million per year from the development approval system in NSW.</w:t>
      </w:r>
      <w:r w:rsidR="001A3B73">
        <w:rPr>
          <w:rFonts w:cstheme="minorHAnsi"/>
          <w:lang w:val="en-GB"/>
        </w:rPr>
        <w:t>’</w:t>
      </w:r>
      <w:r w:rsidR="005F1C5E" w:rsidRPr="00216489">
        <w:rPr>
          <w:rFonts w:cstheme="minorHAnsi"/>
          <w:lang w:val="en-GB"/>
        </w:rPr>
        <w:t xml:space="preserve"> That would be around the order of $2,000 per new dwelling. Delays in rezoning prior to Development Approval might add a further $6,000 to </w:t>
      </w:r>
      <w:proofErr w:type="spellStart"/>
      <w:r w:rsidR="005F1C5E" w:rsidRPr="00216489">
        <w:rPr>
          <w:rFonts w:cstheme="minorHAnsi"/>
          <w:lang w:val="en-GB"/>
        </w:rPr>
        <w:t>greenfields</w:t>
      </w:r>
      <w:proofErr w:type="spellEnd"/>
      <w:r w:rsidR="005F1C5E" w:rsidRPr="00216489">
        <w:rPr>
          <w:rFonts w:cstheme="minorHAnsi"/>
          <w:lang w:val="en-GB"/>
        </w:rPr>
        <w:t xml:space="preserve"> dwellings. The </w:t>
      </w:r>
      <w:r w:rsidR="005F1C5E" w:rsidRPr="00216489">
        <w:rPr>
          <w:rFonts w:cstheme="minorHAnsi"/>
          <w:i/>
          <w:lang w:val="en-GB"/>
        </w:rPr>
        <w:t>risks</w:t>
      </w:r>
      <w:r w:rsidR="005F1C5E" w:rsidRPr="00216489">
        <w:rPr>
          <w:rFonts w:cstheme="minorHAnsi"/>
          <w:lang w:val="en-GB"/>
        </w:rPr>
        <w:t xml:space="preserve"> imposed by the planning system might increase costs by a greater amount, though quantification of that is difficult. Deloitte Access Economics (</w:t>
      </w:r>
      <w:hyperlink r:id="rId53" w:history="1">
        <w:r w:rsidR="005F1C5E" w:rsidRPr="00216489">
          <w:rPr>
            <w:rStyle w:val="Hyperlink"/>
            <w:rFonts w:cstheme="minorHAnsi"/>
            <w:lang w:val="en-GB"/>
          </w:rPr>
          <w:t>2016</w:t>
        </w:r>
      </w:hyperlink>
      <w:r w:rsidR="005F1C5E" w:rsidRPr="00216489">
        <w:rPr>
          <w:rFonts w:cstheme="minorHAnsi"/>
          <w:lang w:val="en-GB"/>
        </w:rPr>
        <w:t>, Section 3.1.1) discuss the estimates of the CIE and other</w:t>
      </w:r>
      <w:r w:rsidR="009B4AD9">
        <w:rPr>
          <w:rFonts w:cstheme="minorHAnsi"/>
          <w:lang w:val="en-GB"/>
        </w:rPr>
        <w:t>s</w:t>
      </w:r>
      <w:r w:rsidR="005F1C5E" w:rsidRPr="00216489">
        <w:rPr>
          <w:rFonts w:cstheme="minorHAnsi"/>
          <w:lang w:val="en-GB"/>
        </w:rPr>
        <w:t xml:space="preserve">. They suggest that streamlining of planning processes might plausibly reduce waiting times by about 6 months and this might reduce supply costs by about $6,000 a dwelling. </w:t>
      </w:r>
    </w:p>
    <w:p w14:paraId="01F1A1CD" w14:textId="3CE6633A" w:rsidR="00EA32B8" w:rsidRPr="00216489" w:rsidRDefault="00EA32B8" w:rsidP="00EA32B8">
      <w:pPr>
        <w:rPr>
          <w:rFonts w:cstheme="minorHAnsi"/>
        </w:rPr>
      </w:pPr>
      <w:r w:rsidRPr="00216489">
        <w:rPr>
          <w:rFonts w:cstheme="minorHAnsi"/>
        </w:rPr>
        <w:t xml:space="preserve">While these costs are significant, they are tiny relative to estimates of the </w:t>
      </w:r>
      <w:r w:rsidR="001A3B73">
        <w:rPr>
          <w:rFonts w:cstheme="minorHAnsi"/>
        </w:rPr>
        <w:t>‘</w:t>
      </w:r>
      <w:r w:rsidRPr="00216489">
        <w:rPr>
          <w:rFonts w:cstheme="minorHAnsi"/>
        </w:rPr>
        <w:t>zoning tax</w:t>
      </w:r>
      <w:r w:rsidR="001A3B73">
        <w:rPr>
          <w:rFonts w:cstheme="minorHAnsi"/>
        </w:rPr>
        <w:t>’</w:t>
      </w:r>
      <w:r w:rsidRPr="00216489">
        <w:rPr>
          <w:rFonts w:cstheme="minorHAnsi"/>
        </w:rPr>
        <w:t xml:space="preserve"> presented in Table</w:t>
      </w:r>
      <w:r w:rsidR="00375C60" w:rsidRPr="00216489">
        <w:rPr>
          <w:rFonts w:cstheme="minorHAnsi"/>
        </w:rPr>
        <w:t xml:space="preserve"> 1</w:t>
      </w:r>
      <w:r w:rsidRPr="00216489">
        <w:rPr>
          <w:rFonts w:cstheme="minorHAnsi"/>
        </w:rPr>
        <w:t>, which are often several hundred thousand dollars per dwelling. By far the main effect of the planning system on housing affordability comes from the restriction of supply rather than from the administrative burden.</w:t>
      </w:r>
    </w:p>
    <w:p w14:paraId="6F0E5896" w14:textId="52D39896" w:rsidR="00232B42" w:rsidRPr="00216489" w:rsidRDefault="00232B42" w:rsidP="00EA32B8">
      <w:pPr>
        <w:rPr>
          <w:rFonts w:cstheme="minorHAnsi"/>
        </w:rPr>
      </w:pPr>
    </w:p>
    <w:p w14:paraId="1A918CC9" w14:textId="0D55D8DD" w:rsidR="006F5295" w:rsidRPr="00216489" w:rsidRDefault="006F5295" w:rsidP="000A0D2C">
      <w:pPr>
        <w:pStyle w:val="Heading1"/>
      </w:pPr>
      <w:bookmarkStart w:id="10" w:name="_Toc98922882"/>
      <w:r w:rsidRPr="00216489">
        <w:lastRenderedPageBreak/>
        <w:t>Recommendations</w:t>
      </w:r>
      <w:bookmarkEnd w:id="10"/>
    </w:p>
    <w:p w14:paraId="3FB579F6" w14:textId="617A4164" w:rsidR="00EB1881" w:rsidRPr="00216489" w:rsidRDefault="00EB1881" w:rsidP="00EB1881">
      <w:pPr>
        <w:rPr>
          <w:rFonts w:cstheme="minorHAnsi"/>
          <w:i/>
          <w:iCs/>
        </w:rPr>
      </w:pPr>
      <w:r w:rsidRPr="00216489">
        <w:rPr>
          <w:rFonts w:cstheme="minorHAnsi"/>
          <w:i/>
          <w:iCs/>
        </w:rPr>
        <w:t xml:space="preserve">Recommendation </w:t>
      </w:r>
      <w:r w:rsidR="0093594C">
        <w:rPr>
          <w:rFonts w:cstheme="minorHAnsi"/>
          <w:i/>
          <w:iCs/>
        </w:rPr>
        <w:t>1</w:t>
      </w:r>
      <w:r w:rsidRPr="00216489">
        <w:rPr>
          <w:rFonts w:cstheme="minorHAnsi"/>
          <w:i/>
          <w:iCs/>
        </w:rPr>
        <w:t xml:space="preserve">: </w:t>
      </w:r>
    </w:p>
    <w:p w14:paraId="30149DD2" w14:textId="767535F0" w:rsidR="00EB1881" w:rsidRPr="00216489" w:rsidRDefault="00EB1881" w:rsidP="00EB1881">
      <w:pPr>
        <w:rPr>
          <w:rFonts w:cstheme="minorHAnsi"/>
          <w:bCs/>
        </w:rPr>
      </w:pPr>
      <w:r w:rsidRPr="00216489">
        <w:rPr>
          <w:rFonts w:cstheme="minorHAnsi"/>
          <w:bCs/>
        </w:rPr>
        <w:t>As a community, Australia needs to be more accepting of high-density housing.</w:t>
      </w:r>
      <w:r w:rsidR="001A3B73">
        <w:rPr>
          <w:rFonts w:cstheme="minorHAnsi"/>
          <w:bCs/>
        </w:rPr>
        <w:t xml:space="preserve"> </w:t>
      </w:r>
      <w:r w:rsidRPr="00216489">
        <w:rPr>
          <w:rFonts w:cstheme="minorHAnsi"/>
          <w:bCs/>
        </w:rPr>
        <w:t>We have been too resistant to change and the resulting lack of urban infill has made housing too expensive.</w:t>
      </w:r>
      <w:r w:rsidR="001A3B73">
        <w:rPr>
          <w:rFonts w:cstheme="minorHAnsi"/>
          <w:bCs/>
        </w:rPr>
        <w:t xml:space="preserve"> </w:t>
      </w:r>
      <w:r w:rsidRPr="00216489">
        <w:rPr>
          <w:rFonts w:cstheme="minorHAnsi"/>
          <w:bCs/>
        </w:rPr>
        <w:t xml:space="preserve">We have placed too much weight on preservation of old structures and the interests of old, wealthy </w:t>
      </w:r>
      <w:proofErr w:type="gramStart"/>
      <w:r w:rsidRPr="00216489">
        <w:rPr>
          <w:rFonts w:cstheme="minorHAnsi"/>
          <w:bCs/>
        </w:rPr>
        <w:t>home-owners</w:t>
      </w:r>
      <w:proofErr w:type="gramEnd"/>
      <w:r w:rsidRPr="00216489">
        <w:rPr>
          <w:rFonts w:cstheme="minorHAnsi"/>
          <w:bCs/>
        </w:rPr>
        <w:t xml:space="preserve"> and not enough weight on the interests of renters and future generations of home buyers.</w:t>
      </w:r>
    </w:p>
    <w:p w14:paraId="21F757C2" w14:textId="3098EEA0" w:rsidR="00EB1881" w:rsidRPr="00216489" w:rsidRDefault="00EB1881" w:rsidP="00EB1881">
      <w:pPr>
        <w:rPr>
          <w:rFonts w:cstheme="minorHAnsi"/>
          <w:bCs/>
        </w:rPr>
      </w:pPr>
      <w:r w:rsidRPr="00216489">
        <w:rPr>
          <w:rFonts w:cstheme="minorHAnsi"/>
          <w:bCs/>
        </w:rPr>
        <w:t>This change in attitude requires a public education campaign.</w:t>
      </w:r>
      <w:r w:rsidR="001A3B73">
        <w:rPr>
          <w:rFonts w:cstheme="minorHAnsi"/>
          <w:bCs/>
        </w:rPr>
        <w:t xml:space="preserve"> </w:t>
      </w:r>
      <w:r w:rsidRPr="00216489">
        <w:rPr>
          <w:rFonts w:cstheme="minorHAnsi"/>
          <w:bCs/>
        </w:rPr>
        <w:t>The Productivity Commission is ideally placed to take a leading role in that.</w:t>
      </w:r>
      <w:r w:rsidR="00D20D25">
        <w:rPr>
          <w:rFonts w:cstheme="minorHAnsi"/>
          <w:bCs/>
        </w:rPr>
        <w:t xml:space="preserve">  It is not the Commission’s role to call for a change in values.  </w:t>
      </w:r>
      <w:r w:rsidR="00C35C6C">
        <w:rPr>
          <w:rFonts w:cstheme="minorHAnsi"/>
          <w:bCs/>
        </w:rPr>
        <w:t>However</w:t>
      </w:r>
      <w:r w:rsidR="00D20D25">
        <w:rPr>
          <w:rFonts w:cstheme="minorHAnsi"/>
          <w:bCs/>
        </w:rPr>
        <w:t xml:space="preserve"> </w:t>
      </w:r>
      <w:r w:rsidR="008F1BAA">
        <w:rPr>
          <w:rFonts w:cstheme="minorHAnsi"/>
          <w:bCs/>
        </w:rPr>
        <w:t>educating</w:t>
      </w:r>
      <w:r w:rsidR="00D20D25">
        <w:rPr>
          <w:rFonts w:cstheme="minorHAnsi"/>
          <w:bCs/>
        </w:rPr>
        <w:t xml:space="preserve"> the public about the costs of policy distortions has been a core responsibility</w:t>
      </w:r>
      <w:r w:rsidR="008F1BAA">
        <w:rPr>
          <w:rFonts w:cstheme="minorHAnsi"/>
          <w:bCs/>
        </w:rPr>
        <w:t xml:space="preserve"> since </w:t>
      </w:r>
      <w:r w:rsidR="00D20D25">
        <w:rPr>
          <w:rFonts w:cstheme="minorHAnsi"/>
          <w:bCs/>
        </w:rPr>
        <w:t xml:space="preserve">the </w:t>
      </w:r>
      <w:r w:rsidR="00C35C6C">
        <w:rPr>
          <w:rFonts w:cstheme="minorHAnsi"/>
          <w:bCs/>
        </w:rPr>
        <w:t>Tariff</w:t>
      </w:r>
      <w:r w:rsidR="00D20D25">
        <w:rPr>
          <w:rFonts w:cstheme="minorHAnsi"/>
          <w:bCs/>
        </w:rPr>
        <w:t xml:space="preserve"> Board.</w:t>
      </w:r>
    </w:p>
    <w:p w14:paraId="28EE787B" w14:textId="277743CE" w:rsidR="00EB1881" w:rsidRPr="00216489" w:rsidRDefault="00EB1881" w:rsidP="00EB1881">
      <w:pPr>
        <w:keepNext/>
        <w:rPr>
          <w:rFonts w:cstheme="minorHAnsi"/>
          <w:i/>
          <w:iCs/>
        </w:rPr>
      </w:pPr>
      <w:r w:rsidRPr="00216489">
        <w:rPr>
          <w:rFonts w:cstheme="minorHAnsi"/>
          <w:i/>
          <w:iCs/>
        </w:rPr>
        <w:t xml:space="preserve">Recommendation </w:t>
      </w:r>
      <w:r w:rsidR="0093594C">
        <w:rPr>
          <w:rFonts w:cstheme="minorHAnsi"/>
          <w:i/>
          <w:iCs/>
        </w:rPr>
        <w:t>2</w:t>
      </w:r>
      <w:r w:rsidRPr="00216489">
        <w:rPr>
          <w:rFonts w:cstheme="minorHAnsi"/>
          <w:i/>
          <w:iCs/>
        </w:rPr>
        <w:t>:</w:t>
      </w:r>
    </w:p>
    <w:p w14:paraId="5F90D9B4" w14:textId="277E3CBE" w:rsidR="00EB1881" w:rsidRDefault="00EB1881" w:rsidP="00EB1881">
      <w:pPr>
        <w:rPr>
          <w:rFonts w:cstheme="minorHAnsi"/>
          <w:lang w:val="en-GB"/>
        </w:rPr>
      </w:pPr>
      <w:r w:rsidRPr="00216489">
        <w:rPr>
          <w:rFonts w:cstheme="minorHAnsi"/>
        </w:rPr>
        <w:t>Decisions</w:t>
      </w:r>
      <w:r w:rsidRPr="00216489">
        <w:rPr>
          <w:rFonts w:cstheme="minorHAnsi"/>
          <w:lang w:val="en-GB"/>
        </w:rPr>
        <w:t xml:space="preserve"> on land use are primarily the responsibility of state and (to a lesser extent) local governments.</w:t>
      </w:r>
      <w:r w:rsidR="001A3B73">
        <w:rPr>
          <w:rFonts w:cstheme="minorHAnsi"/>
          <w:lang w:val="en-GB"/>
        </w:rPr>
        <w:t xml:space="preserve"> </w:t>
      </w:r>
      <w:r w:rsidRPr="00216489">
        <w:rPr>
          <w:rFonts w:cstheme="minorHAnsi"/>
          <w:lang w:val="en-GB"/>
        </w:rPr>
        <w:t xml:space="preserve">They need to stop saying </w:t>
      </w:r>
      <w:r w:rsidR="0093594C">
        <w:rPr>
          <w:rFonts w:cstheme="minorHAnsi"/>
          <w:lang w:val="en-GB"/>
        </w:rPr>
        <w:t>‘</w:t>
      </w:r>
      <w:r w:rsidRPr="00216489">
        <w:rPr>
          <w:rFonts w:cstheme="minorHAnsi"/>
          <w:lang w:val="en-GB"/>
        </w:rPr>
        <w:t>no</w:t>
      </w:r>
      <w:r w:rsidR="0093594C">
        <w:rPr>
          <w:rFonts w:cstheme="minorHAnsi"/>
          <w:lang w:val="en-GB"/>
        </w:rPr>
        <w:t>’</w:t>
      </w:r>
      <w:r w:rsidRPr="00216489">
        <w:rPr>
          <w:rFonts w:cstheme="minorHAnsi"/>
          <w:lang w:val="en-GB"/>
        </w:rPr>
        <w:t xml:space="preserve"> and start saying </w:t>
      </w:r>
      <w:r w:rsidR="0093594C">
        <w:rPr>
          <w:rFonts w:cstheme="minorHAnsi"/>
          <w:lang w:val="en-GB"/>
        </w:rPr>
        <w:t>‘</w:t>
      </w:r>
      <w:r w:rsidRPr="00216489">
        <w:rPr>
          <w:rFonts w:cstheme="minorHAnsi"/>
          <w:lang w:val="en-GB"/>
        </w:rPr>
        <w:t>yes</w:t>
      </w:r>
      <w:r w:rsidR="0093594C">
        <w:rPr>
          <w:rFonts w:cstheme="minorHAnsi"/>
          <w:lang w:val="en-GB"/>
        </w:rPr>
        <w:t>’</w:t>
      </w:r>
      <w:r w:rsidRPr="00216489">
        <w:rPr>
          <w:rFonts w:cstheme="minorHAnsi"/>
          <w:lang w:val="en-GB"/>
        </w:rPr>
        <w:t>.</w:t>
      </w:r>
      <w:r w:rsidR="001A3B73">
        <w:rPr>
          <w:rFonts w:cstheme="minorHAnsi"/>
          <w:lang w:val="en-GB"/>
        </w:rPr>
        <w:t xml:space="preserve"> </w:t>
      </w:r>
      <w:r>
        <w:rPr>
          <w:rFonts w:cstheme="minorHAnsi"/>
          <w:lang w:val="en-GB"/>
        </w:rPr>
        <w:t xml:space="preserve">Primarily, that requires a change in attitude, as discussed in </w:t>
      </w:r>
      <w:r w:rsidR="0093594C">
        <w:rPr>
          <w:rFonts w:cstheme="minorHAnsi"/>
          <w:lang w:val="en-GB"/>
        </w:rPr>
        <w:t>R</w:t>
      </w:r>
      <w:r>
        <w:rPr>
          <w:rFonts w:cstheme="minorHAnsi"/>
          <w:lang w:val="en-GB"/>
        </w:rPr>
        <w:t>ecommendation 1. That said, processes can be made less hostile to development.</w:t>
      </w:r>
      <w:r w:rsidR="001A3B73">
        <w:rPr>
          <w:rFonts w:cstheme="minorHAnsi"/>
          <w:lang w:val="en-GB"/>
        </w:rPr>
        <w:t xml:space="preserve"> </w:t>
      </w:r>
      <w:r>
        <w:rPr>
          <w:rFonts w:cstheme="minorHAnsi"/>
          <w:lang w:val="en-GB"/>
        </w:rPr>
        <w:t>More specific recommendations, which vary in their applicability from state to state, include:</w:t>
      </w:r>
    </w:p>
    <w:p w14:paraId="52FCB21F" w14:textId="6D9E38E4" w:rsidR="00EB1881" w:rsidRDefault="00EB1881" w:rsidP="00EB1881">
      <w:pPr>
        <w:pStyle w:val="ListParagraph"/>
        <w:numPr>
          <w:ilvl w:val="0"/>
          <w:numId w:val="9"/>
        </w:numPr>
        <w:rPr>
          <w:rFonts w:cstheme="minorHAnsi"/>
          <w:lang w:val="en-GB"/>
        </w:rPr>
      </w:pPr>
      <w:r>
        <w:rPr>
          <w:rFonts w:cstheme="minorHAnsi"/>
          <w:lang w:val="en-GB"/>
        </w:rPr>
        <w:t xml:space="preserve">State governments should </w:t>
      </w:r>
      <w:r w:rsidRPr="006E5B9E">
        <w:rPr>
          <w:rFonts w:cstheme="minorHAnsi"/>
          <w:lang w:val="en-GB"/>
        </w:rPr>
        <w:t xml:space="preserve">implement and enforce housing targets for local governments that are ambitious and </w:t>
      </w:r>
      <w:proofErr w:type="gramStart"/>
      <w:r w:rsidRPr="006E5B9E">
        <w:rPr>
          <w:rFonts w:cstheme="minorHAnsi"/>
          <w:lang w:val="en-GB"/>
        </w:rPr>
        <w:t>evidence-based</w:t>
      </w:r>
      <w:proofErr w:type="gramEnd"/>
      <w:r w:rsidRPr="006E5B9E">
        <w:rPr>
          <w:rFonts w:cstheme="minorHAnsi"/>
          <w:lang w:val="en-GB"/>
        </w:rPr>
        <w:t>.</w:t>
      </w:r>
      <w:r w:rsidR="001A3B73">
        <w:rPr>
          <w:rFonts w:cstheme="minorHAnsi"/>
          <w:lang w:val="en-GB"/>
        </w:rPr>
        <w:t xml:space="preserve"> </w:t>
      </w:r>
      <w:r>
        <w:rPr>
          <w:rFonts w:cstheme="minorHAnsi"/>
          <w:lang w:val="en-GB"/>
        </w:rPr>
        <w:t>Targets should prioritise excess demand, as reflected in prices and rents.</w:t>
      </w:r>
    </w:p>
    <w:p w14:paraId="434A2009" w14:textId="36B387B3" w:rsidR="00EB1881" w:rsidRDefault="00EB1881" w:rsidP="00EB1881">
      <w:pPr>
        <w:pStyle w:val="ListParagraph"/>
        <w:numPr>
          <w:ilvl w:val="0"/>
          <w:numId w:val="9"/>
        </w:numPr>
        <w:rPr>
          <w:rFonts w:cstheme="minorHAnsi"/>
          <w:lang w:val="en-GB"/>
        </w:rPr>
      </w:pPr>
      <w:r>
        <w:rPr>
          <w:rFonts w:cstheme="minorHAnsi"/>
          <w:lang w:val="en-GB"/>
        </w:rPr>
        <w:t>More ambitious housing targets will often mean raising height limits on apartment buildings</w:t>
      </w:r>
      <w:r w:rsidR="0051284D">
        <w:rPr>
          <w:rFonts w:cstheme="minorHAnsi"/>
          <w:lang w:val="en-GB"/>
        </w:rPr>
        <w:t xml:space="preserve">, especially near transport </w:t>
      </w:r>
      <w:r w:rsidR="00527529">
        <w:rPr>
          <w:rFonts w:cstheme="minorHAnsi"/>
          <w:lang w:val="en-GB"/>
        </w:rPr>
        <w:t>hubs</w:t>
      </w:r>
      <w:r>
        <w:rPr>
          <w:rFonts w:cstheme="minorHAnsi"/>
          <w:lang w:val="en-GB"/>
        </w:rPr>
        <w:t>.</w:t>
      </w:r>
    </w:p>
    <w:p w14:paraId="0DBBCBC5" w14:textId="77777777" w:rsidR="00EB1881" w:rsidRDefault="00EB1881" w:rsidP="00EB1881">
      <w:pPr>
        <w:pStyle w:val="ListParagraph"/>
        <w:numPr>
          <w:ilvl w:val="0"/>
          <w:numId w:val="9"/>
        </w:numPr>
        <w:rPr>
          <w:rFonts w:cstheme="minorHAnsi"/>
          <w:lang w:val="en-GB"/>
        </w:rPr>
      </w:pPr>
      <w:r>
        <w:rPr>
          <w:rFonts w:cstheme="minorHAnsi"/>
          <w:lang w:val="en-GB"/>
        </w:rPr>
        <w:t xml:space="preserve">Permitted uses in low density zones should be revised </w:t>
      </w:r>
      <w:proofErr w:type="gramStart"/>
      <w:r>
        <w:rPr>
          <w:rFonts w:cstheme="minorHAnsi"/>
          <w:lang w:val="en-GB"/>
        </w:rPr>
        <w:t>so as to</w:t>
      </w:r>
      <w:proofErr w:type="gramEnd"/>
      <w:r>
        <w:rPr>
          <w:rFonts w:cstheme="minorHAnsi"/>
          <w:lang w:val="en-GB"/>
        </w:rPr>
        <w:t xml:space="preserve"> allow more medium-density housing, such as terraces and townhouses, as of right.</w:t>
      </w:r>
    </w:p>
    <w:p w14:paraId="7884F784" w14:textId="6D39DBE3" w:rsidR="00EB1881" w:rsidRDefault="00EB1881" w:rsidP="00EB1881">
      <w:pPr>
        <w:pStyle w:val="ListParagraph"/>
        <w:numPr>
          <w:ilvl w:val="0"/>
          <w:numId w:val="9"/>
        </w:numPr>
        <w:rPr>
          <w:rFonts w:cstheme="minorHAnsi"/>
          <w:lang w:val="en-GB"/>
        </w:rPr>
      </w:pPr>
      <w:r w:rsidRPr="00FC4849">
        <w:rPr>
          <w:rFonts w:cstheme="minorHAnsi"/>
          <w:lang w:val="en-GB"/>
        </w:rPr>
        <w:t>Planning processes need to place a greater focus on the affordability consequences of supply restrictions.</w:t>
      </w:r>
      <w:r w:rsidR="001A3B73">
        <w:rPr>
          <w:rFonts w:cstheme="minorHAnsi"/>
          <w:lang w:val="en-GB"/>
        </w:rPr>
        <w:t xml:space="preserve"> </w:t>
      </w:r>
      <w:r w:rsidRPr="00FC4849">
        <w:rPr>
          <w:rFonts w:cstheme="minorHAnsi"/>
          <w:lang w:val="en-GB"/>
        </w:rPr>
        <w:t xml:space="preserve">For example, those who oppose extra development should be </w:t>
      </w:r>
      <w:r w:rsidR="00AE1752">
        <w:rPr>
          <w:rFonts w:cstheme="minorHAnsi"/>
          <w:lang w:val="en-GB"/>
        </w:rPr>
        <w:t>asked</w:t>
      </w:r>
      <w:r w:rsidR="00F0385A" w:rsidRPr="00FC4849">
        <w:rPr>
          <w:rFonts w:cstheme="minorHAnsi"/>
          <w:lang w:val="en-GB"/>
        </w:rPr>
        <w:t xml:space="preserve"> </w:t>
      </w:r>
      <w:r w:rsidRPr="00FC4849">
        <w:rPr>
          <w:rFonts w:cstheme="minorHAnsi"/>
          <w:lang w:val="en-GB"/>
        </w:rPr>
        <w:t xml:space="preserve">to </w:t>
      </w:r>
      <w:r w:rsidR="0033516B">
        <w:rPr>
          <w:rFonts w:cstheme="minorHAnsi"/>
          <w:lang w:val="en-GB"/>
        </w:rPr>
        <w:t xml:space="preserve">address affordability consequences in their submissions and public hearings.  Planning bodies that reject applications should </w:t>
      </w:r>
      <w:r w:rsidRPr="00FC4849">
        <w:rPr>
          <w:rFonts w:cstheme="minorHAnsi"/>
          <w:lang w:val="en-GB"/>
        </w:rPr>
        <w:t xml:space="preserve">specify where the potential residents who would occupy the proposed building should live instead, and why that </w:t>
      </w:r>
      <w:r w:rsidR="00205C1E">
        <w:rPr>
          <w:rFonts w:cstheme="minorHAnsi"/>
          <w:lang w:val="en-GB"/>
        </w:rPr>
        <w:t>is</w:t>
      </w:r>
      <w:r w:rsidRPr="00FC4849">
        <w:rPr>
          <w:rFonts w:cstheme="minorHAnsi"/>
          <w:lang w:val="en-GB"/>
        </w:rPr>
        <w:t xml:space="preserve"> a better outcome.</w:t>
      </w:r>
    </w:p>
    <w:p w14:paraId="20187093" w14:textId="0F52D904" w:rsidR="00EB1881" w:rsidRDefault="00EB1881" w:rsidP="00EB1881">
      <w:pPr>
        <w:pStyle w:val="ListParagraph"/>
        <w:numPr>
          <w:ilvl w:val="0"/>
          <w:numId w:val="9"/>
        </w:numPr>
        <w:rPr>
          <w:rFonts w:cstheme="minorHAnsi"/>
          <w:lang w:val="en-GB"/>
        </w:rPr>
      </w:pPr>
      <w:r w:rsidRPr="00FC4849">
        <w:rPr>
          <w:rFonts w:cstheme="minorHAnsi"/>
          <w:lang w:val="en-GB"/>
        </w:rPr>
        <w:t>Legislation should specify tighter criteria for rejecting development applications.</w:t>
      </w:r>
      <w:r w:rsidR="001A3B73">
        <w:rPr>
          <w:rFonts w:cstheme="minorHAnsi"/>
          <w:lang w:val="en-GB"/>
        </w:rPr>
        <w:t xml:space="preserve"> </w:t>
      </w:r>
      <w:r w:rsidRPr="00FC4849">
        <w:rPr>
          <w:rFonts w:cstheme="minorHAnsi"/>
          <w:lang w:val="en-GB"/>
        </w:rPr>
        <w:t xml:space="preserve">For example, there should be a presumption that proposed development be approved unless significant harm is </w:t>
      </w:r>
      <w:proofErr w:type="gramStart"/>
      <w:r w:rsidRPr="00FC4849">
        <w:rPr>
          <w:rFonts w:cstheme="minorHAnsi"/>
          <w:lang w:val="en-GB"/>
        </w:rPr>
        <w:t>demonstrated</w:t>
      </w:r>
      <w:proofErr w:type="gramEnd"/>
      <w:r w:rsidRPr="00FC4849">
        <w:rPr>
          <w:rFonts w:cstheme="minorHAnsi"/>
          <w:lang w:val="en-GB"/>
        </w:rPr>
        <w:t xml:space="preserve"> or that alternative development could provide as much housing at lower cost.</w:t>
      </w:r>
    </w:p>
    <w:p w14:paraId="785C2CCA" w14:textId="282BA144" w:rsidR="00F0385A" w:rsidRDefault="00F0385A" w:rsidP="00EB1881">
      <w:pPr>
        <w:pStyle w:val="ListParagraph"/>
        <w:numPr>
          <w:ilvl w:val="0"/>
          <w:numId w:val="9"/>
        </w:numPr>
        <w:rPr>
          <w:rFonts w:cstheme="minorHAnsi"/>
          <w:lang w:val="en-GB"/>
        </w:rPr>
      </w:pPr>
      <w:r>
        <w:rPr>
          <w:rFonts w:cstheme="minorHAnsi"/>
          <w:lang w:val="en-GB"/>
        </w:rPr>
        <w:t xml:space="preserve">To accelerate planning approvals, </w:t>
      </w:r>
      <w:r w:rsidR="00687489">
        <w:rPr>
          <w:rFonts w:cstheme="minorHAnsi"/>
          <w:lang w:val="en-GB"/>
        </w:rPr>
        <w:t>planning bodies</w:t>
      </w:r>
      <w:r>
        <w:rPr>
          <w:rFonts w:cstheme="minorHAnsi"/>
          <w:lang w:val="en-GB"/>
        </w:rPr>
        <w:t xml:space="preserve"> should be given deadlines to respond, with approval being given if the deadline is not met.</w:t>
      </w:r>
    </w:p>
    <w:p w14:paraId="64A38759" w14:textId="60A2C7A1" w:rsidR="00EB1881" w:rsidRPr="00FC4849" w:rsidRDefault="00EB1881" w:rsidP="00EB1881">
      <w:pPr>
        <w:pStyle w:val="ListParagraph"/>
        <w:numPr>
          <w:ilvl w:val="0"/>
          <w:numId w:val="9"/>
        </w:numPr>
        <w:rPr>
          <w:rFonts w:cstheme="minorHAnsi"/>
          <w:lang w:val="en-GB"/>
        </w:rPr>
      </w:pPr>
      <w:r>
        <w:rPr>
          <w:rFonts w:cstheme="minorHAnsi"/>
          <w:lang w:val="en-GB"/>
        </w:rPr>
        <w:t>Heritage controls should preserve architecture that is unusual, not entire neighbourhoods.</w:t>
      </w:r>
      <w:r w:rsidR="001A3B73">
        <w:rPr>
          <w:rFonts w:cstheme="minorHAnsi"/>
          <w:lang w:val="en-GB"/>
        </w:rPr>
        <w:t xml:space="preserve"> </w:t>
      </w:r>
      <w:r>
        <w:rPr>
          <w:rFonts w:cstheme="minorHAnsi"/>
          <w:lang w:val="en-GB"/>
        </w:rPr>
        <w:t xml:space="preserve">Preserving history is </w:t>
      </w:r>
      <w:proofErr w:type="gramStart"/>
      <w:r>
        <w:rPr>
          <w:rFonts w:cstheme="minorHAnsi"/>
          <w:lang w:val="en-GB"/>
        </w:rPr>
        <w:t>nice, but</w:t>
      </w:r>
      <w:proofErr w:type="gramEnd"/>
      <w:r>
        <w:rPr>
          <w:rFonts w:cstheme="minorHAnsi"/>
          <w:lang w:val="en-GB"/>
        </w:rPr>
        <w:t xml:space="preserve"> turning suburbs into museum </w:t>
      </w:r>
      <w:r w:rsidR="00C93104">
        <w:rPr>
          <w:rFonts w:cstheme="minorHAnsi"/>
          <w:lang w:val="en-GB"/>
        </w:rPr>
        <w:t>exhibits</w:t>
      </w:r>
      <w:r>
        <w:rPr>
          <w:rFonts w:cstheme="minorHAnsi"/>
          <w:lang w:val="en-GB"/>
        </w:rPr>
        <w:t xml:space="preserve"> is not worth the cost, especially when it prices out the previous inhabitants.</w:t>
      </w:r>
    </w:p>
    <w:p w14:paraId="708C5A43" w14:textId="69F3D2A2" w:rsidR="00EB1881" w:rsidRPr="00615B84" w:rsidRDefault="00EB1881" w:rsidP="00EB1881">
      <w:pPr>
        <w:rPr>
          <w:rFonts w:cstheme="minorHAnsi"/>
          <w:i/>
          <w:iCs/>
          <w:lang w:val="en-GB"/>
        </w:rPr>
      </w:pPr>
      <w:r w:rsidRPr="00615B84">
        <w:rPr>
          <w:rFonts w:cstheme="minorHAnsi"/>
          <w:i/>
          <w:iCs/>
          <w:lang w:val="en-GB"/>
        </w:rPr>
        <w:t xml:space="preserve">Recommendation </w:t>
      </w:r>
      <w:r w:rsidR="0093594C" w:rsidRPr="00615B84">
        <w:rPr>
          <w:rFonts w:cstheme="minorHAnsi"/>
          <w:i/>
          <w:iCs/>
          <w:lang w:val="en-GB"/>
        </w:rPr>
        <w:t>3</w:t>
      </w:r>
      <w:r w:rsidRPr="00615B84">
        <w:rPr>
          <w:rFonts w:cstheme="minorHAnsi"/>
          <w:i/>
          <w:iCs/>
          <w:lang w:val="en-GB"/>
        </w:rPr>
        <w:t>:</w:t>
      </w:r>
    </w:p>
    <w:p w14:paraId="536FC2FC" w14:textId="61DE5E1B" w:rsidR="00EB1881" w:rsidRPr="00216489" w:rsidRDefault="00AE1752" w:rsidP="00EB1881">
      <w:pPr>
        <w:rPr>
          <w:rFonts w:cstheme="minorHAnsi"/>
        </w:rPr>
      </w:pPr>
      <w:r>
        <w:rPr>
          <w:rFonts w:cstheme="minorHAnsi"/>
          <w:lang w:val="en-GB"/>
        </w:rPr>
        <w:t>As recommended by the recent</w:t>
      </w:r>
      <w:r w:rsidRPr="00AE1752">
        <w:rPr>
          <w:rFonts w:cstheme="minorHAnsi"/>
          <w:lang w:val="en-GB"/>
        </w:rPr>
        <w:t xml:space="preserve"> </w:t>
      </w:r>
      <w:r w:rsidRPr="00216489">
        <w:rPr>
          <w:rFonts w:cstheme="minorHAnsi"/>
          <w:lang w:val="en-GB"/>
        </w:rPr>
        <w:t>Federal Parliamentary Inquiry</w:t>
      </w:r>
      <w:r>
        <w:rPr>
          <w:rFonts w:cstheme="minorHAnsi"/>
          <w:lang w:val="en-GB"/>
        </w:rPr>
        <w:t xml:space="preserve"> into housing, </w:t>
      </w:r>
      <w:r w:rsidRPr="00216489">
        <w:rPr>
          <w:rFonts w:cstheme="minorHAnsi"/>
          <w:lang w:val="en-GB"/>
        </w:rPr>
        <w:t xml:space="preserve">the </w:t>
      </w:r>
      <w:r w:rsidR="00EB1881" w:rsidRPr="00216489">
        <w:rPr>
          <w:rFonts w:cstheme="minorHAnsi"/>
          <w:lang w:val="en-GB"/>
        </w:rPr>
        <w:t xml:space="preserve">Commonwealth government </w:t>
      </w:r>
      <w:r w:rsidR="00EB1881">
        <w:rPr>
          <w:rFonts w:cstheme="minorHAnsi"/>
          <w:lang w:val="en-GB"/>
        </w:rPr>
        <w:t>should</w:t>
      </w:r>
      <w:r w:rsidR="00EB1881" w:rsidRPr="00216489">
        <w:rPr>
          <w:rFonts w:cstheme="minorHAnsi"/>
          <w:lang w:val="en-GB"/>
        </w:rPr>
        <w:t xml:space="preserve"> encourage better decision-making by lower levels of government with financial grants. For example, it could replace some existing unconditional grants and infrastructure spending </w:t>
      </w:r>
      <w:r w:rsidR="00EB1881" w:rsidRPr="00216489">
        <w:rPr>
          <w:rFonts w:cstheme="minorHAnsi"/>
          <w:lang w:val="en-GB"/>
        </w:rPr>
        <w:lastRenderedPageBreak/>
        <w:t>with grants of say $</w:t>
      </w:r>
      <w:r w:rsidR="00D25753" w:rsidRPr="00216489">
        <w:rPr>
          <w:rFonts w:cstheme="minorHAnsi"/>
          <w:lang w:val="en-GB"/>
        </w:rPr>
        <w:t>2</w:t>
      </w:r>
      <w:r w:rsidR="00D25753">
        <w:rPr>
          <w:rFonts w:cstheme="minorHAnsi"/>
          <w:lang w:val="en-GB"/>
        </w:rPr>
        <w:t>5</w:t>
      </w:r>
      <w:r w:rsidR="00EB1881" w:rsidRPr="00216489">
        <w:rPr>
          <w:rFonts w:cstheme="minorHAnsi"/>
          <w:lang w:val="en-GB"/>
        </w:rPr>
        <w:t>,000 per housing completion.</w:t>
      </w:r>
      <w:r w:rsidR="00900611">
        <w:rPr>
          <w:rStyle w:val="FootnoteReference"/>
          <w:rFonts w:cstheme="minorHAnsi"/>
          <w:lang w:val="en-GB"/>
        </w:rPr>
        <w:footnoteReference w:id="3"/>
      </w:r>
      <w:r w:rsidR="001A3B73">
        <w:rPr>
          <w:rFonts w:cstheme="minorHAnsi"/>
          <w:lang w:val="en-GB"/>
        </w:rPr>
        <w:t xml:space="preserve"> </w:t>
      </w:r>
      <w:r w:rsidR="00EB1881" w:rsidRPr="00216489">
        <w:rPr>
          <w:rFonts w:cstheme="minorHAnsi"/>
          <w:lang w:val="en-GB"/>
        </w:rPr>
        <w:t>The CIS Submission to the Parliamentary Inquiry discusses this issue a greater length.</w:t>
      </w:r>
      <w:r w:rsidR="001A3B73">
        <w:rPr>
          <w:rFonts w:cstheme="minorHAnsi"/>
          <w:lang w:val="en-GB"/>
        </w:rPr>
        <w:t xml:space="preserve"> </w:t>
      </w:r>
    </w:p>
    <w:p w14:paraId="01982720" w14:textId="033BD607" w:rsidR="00EB1881" w:rsidRPr="00615B84" w:rsidRDefault="00EB1881" w:rsidP="00EB1881">
      <w:pPr>
        <w:keepNext/>
        <w:rPr>
          <w:rFonts w:cstheme="minorHAnsi"/>
          <w:i/>
          <w:iCs/>
        </w:rPr>
      </w:pPr>
      <w:r w:rsidRPr="00615B84">
        <w:rPr>
          <w:rFonts w:cstheme="minorHAnsi"/>
          <w:i/>
          <w:iCs/>
        </w:rPr>
        <w:t xml:space="preserve">Recommendation </w:t>
      </w:r>
      <w:r w:rsidR="0093594C" w:rsidRPr="00615B84">
        <w:rPr>
          <w:rFonts w:cstheme="minorHAnsi"/>
          <w:i/>
          <w:iCs/>
        </w:rPr>
        <w:t>4</w:t>
      </w:r>
      <w:r w:rsidRPr="00615B84">
        <w:rPr>
          <w:rFonts w:cstheme="minorHAnsi"/>
          <w:i/>
          <w:iCs/>
        </w:rPr>
        <w:t>:</w:t>
      </w:r>
    </w:p>
    <w:p w14:paraId="4521A77A" w14:textId="70527340" w:rsidR="00EB1881" w:rsidRDefault="00EB1881" w:rsidP="00EB1881">
      <w:pPr>
        <w:rPr>
          <w:rFonts w:cstheme="minorHAnsi"/>
        </w:rPr>
      </w:pPr>
      <w:r w:rsidRPr="00216489">
        <w:rPr>
          <w:rFonts w:cstheme="minorHAnsi"/>
        </w:rPr>
        <w:t>State and Territory land authorities need to release more land.</w:t>
      </w:r>
      <w:r w:rsidR="001A3B73">
        <w:rPr>
          <w:rFonts w:cstheme="minorHAnsi"/>
        </w:rPr>
        <w:t xml:space="preserve"> </w:t>
      </w:r>
      <w:r w:rsidRPr="00216489">
        <w:rPr>
          <w:rFonts w:cstheme="minorHAnsi"/>
        </w:rPr>
        <w:t xml:space="preserve">This is most clearly a problem in the Australian Capital Territory where the Suburban </w:t>
      </w:r>
      <w:r>
        <w:rPr>
          <w:rFonts w:cstheme="minorHAnsi"/>
        </w:rPr>
        <w:t>Land Agency</w:t>
      </w:r>
      <w:r w:rsidRPr="00216489">
        <w:rPr>
          <w:rFonts w:cstheme="minorHAnsi"/>
        </w:rPr>
        <w:t xml:space="preserve"> abuses its monopoly position for revenue</w:t>
      </w:r>
      <w:r>
        <w:rPr>
          <w:rFonts w:cstheme="minorHAnsi"/>
        </w:rPr>
        <w:t>-</w:t>
      </w:r>
      <w:r w:rsidRPr="00216489">
        <w:rPr>
          <w:rFonts w:cstheme="minorHAnsi"/>
        </w:rPr>
        <w:t>raising purposes</w:t>
      </w:r>
      <w:r w:rsidR="00613C89">
        <w:rPr>
          <w:rFonts w:cstheme="minorHAnsi"/>
        </w:rPr>
        <w:t xml:space="preserve"> </w:t>
      </w:r>
      <w:r w:rsidR="00C35C6C">
        <w:rPr>
          <w:rFonts w:cstheme="minorHAnsi"/>
        </w:rPr>
        <w:t>(</w:t>
      </w:r>
      <w:r w:rsidR="00C35C6C" w:rsidRPr="00613C89">
        <w:rPr>
          <w:rFonts w:cstheme="minorHAnsi"/>
        </w:rPr>
        <w:t xml:space="preserve">Stanhope </w:t>
      </w:r>
      <w:r w:rsidR="00613C89" w:rsidRPr="00613C89">
        <w:rPr>
          <w:rFonts w:cstheme="minorHAnsi"/>
        </w:rPr>
        <w:t xml:space="preserve">and </w:t>
      </w:r>
      <w:r w:rsidR="00C35C6C" w:rsidRPr="00613C89">
        <w:rPr>
          <w:rFonts w:cstheme="minorHAnsi"/>
        </w:rPr>
        <w:t>Ahmed</w:t>
      </w:r>
      <w:r w:rsidR="00C35C6C">
        <w:rPr>
          <w:rFonts w:cstheme="minorHAnsi"/>
        </w:rPr>
        <w:t xml:space="preserve">, </w:t>
      </w:r>
      <w:hyperlink r:id="rId54" w:history="1">
        <w:r w:rsidR="00C35C6C" w:rsidRPr="00890429">
          <w:rPr>
            <w:rStyle w:val="Hyperlink"/>
            <w:rFonts w:cstheme="minorHAnsi"/>
          </w:rPr>
          <w:t>2021</w:t>
        </w:r>
      </w:hyperlink>
      <w:r w:rsidR="00C35C6C">
        <w:rPr>
          <w:rFonts w:cstheme="minorHAnsi"/>
        </w:rPr>
        <w:t>)</w:t>
      </w:r>
      <w:r w:rsidRPr="00216489">
        <w:rPr>
          <w:rFonts w:cstheme="minorHAnsi"/>
        </w:rPr>
        <w:t>.</w:t>
      </w:r>
    </w:p>
    <w:p w14:paraId="261C40B5" w14:textId="77777777" w:rsidR="00010613" w:rsidRPr="00216489" w:rsidRDefault="00010613" w:rsidP="00EB1881">
      <w:pPr>
        <w:rPr>
          <w:rFonts w:cstheme="minorHAnsi"/>
        </w:rPr>
      </w:pPr>
    </w:p>
    <w:p w14:paraId="2F96FD16" w14:textId="77777777" w:rsidR="00944F9B" w:rsidRPr="00216489" w:rsidRDefault="00944F9B" w:rsidP="00D50BB6">
      <w:pPr>
        <w:rPr>
          <w:rFonts w:cstheme="minorHAnsi"/>
        </w:rPr>
      </w:pPr>
    </w:p>
    <w:p w14:paraId="4C617AE5" w14:textId="77777777" w:rsidR="00442E44" w:rsidRPr="00216489" w:rsidRDefault="00442E44" w:rsidP="000A0D2C">
      <w:pPr>
        <w:pStyle w:val="Heading1"/>
      </w:pPr>
      <w:bookmarkStart w:id="11" w:name="_Toc98922883"/>
      <w:r w:rsidRPr="00216489">
        <w:t>References</w:t>
      </w:r>
      <w:bookmarkEnd w:id="11"/>
    </w:p>
    <w:p w14:paraId="24453198" w14:textId="77777777" w:rsidR="00FE35E3" w:rsidRPr="00220F24" w:rsidRDefault="00FE35E3" w:rsidP="00FE35E3">
      <w:pPr>
        <w:keepNext/>
        <w:keepLines/>
        <w:rPr>
          <w:rFonts w:cstheme="minorHAnsi"/>
        </w:rPr>
      </w:pPr>
      <w:r w:rsidRPr="00220F24">
        <w:rPr>
          <w:rFonts w:cstheme="minorHAnsi"/>
        </w:rPr>
        <w:t>Note: where some references are paywalled, hypertext links are to a more accessible version.</w:t>
      </w:r>
    </w:p>
    <w:p w14:paraId="0D8C5124" w14:textId="77777777" w:rsidR="00FE35E3" w:rsidRPr="00C115D4" w:rsidRDefault="00FE35E3" w:rsidP="00E8734C">
      <w:pPr>
        <w:spacing w:after="60" w:line="240" w:lineRule="auto"/>
        <w:ind w:left="284" w:hanging="284"/>
        <w:rPr>
          <w:rFonts w:cstheme="minorHAnsi"/>
          <w:sz w:val="20"/>
          <w:szCs w:val="20"/>
          <w:lang w:val="en-GB"/>
        </w:rPr>
      </w:pPr>
      <w:proofErr w:type="spellStart"/>
      <w:r w:rsidRPr="00C115D4">
        <w:rPr>
          <w:rFonts w:cstheme="minorHAnsi"/>
          <w:sz w:val="20"/>
          <w:szCs w:val="20"/>
          <w:lang w:val="en-GB"/>
        </w:rPr>
        <w:t>Ahlfeldt</w:t>
      </w:r>
      <w:proofErr w:type="spellEnd"/>
      <w:r w:rsidRPr="00C115D4">
        <w:rPr>
          <w:rFonts w:cstheme="minorHAnsi"/>
          <w:sz w:val="20"/>
          <w:szCs w:val="20"/>
          <w:lang w:val="en-GB"/>
        </w:rPr>
        <w:t xml:space="preserve"> GM and E </w:t>
      </w:r>
      <w:proofErr w:type="spellStart"/>
      <w:r w:rsidRPr="00C115D4">
        <w:rPr>
          <w:rFonts w:cstheme="minorHAnsi"/>
          <w:sz w:val="20"/>
          <w:szCs w:val="20"/>
          <w:lang w:val="en-GB"/>
        </w:rPr>
        <w:t>Pietrostefani</w:t>
      </w:r>
      <w:proofErr w:type="spellEnd"/>
      <w:r w:rsidRPr="00C115D4">
        <w:rPr>
          <w:rFonts w:cstheme="minorHAnsi"/>
          <w:sz w:val="20"/>
          <w:szCs w:val="20"/>
          <w:lang w:val="en-GB"/>
        </w:rPr>
        <w:t xml:space="preserve"> (2019), ‘The Economic Effects of Density: A Synthesis’, </w:t>
      </w:r>
      <w:r w:rsidRPr="00C115D4">
        <w:rPr>
          <w:rFonts w:cstheme="minorHAnsi"/>
          <w:i/>
          <w:iCs/>
          <w:sz w:val="20"/>
          <w:szCs w:val="20"/>
          <w:lang w:val="en-GB"/>
        </w:rPr>
        <w:t>Journal of Urban Economics</w:t>
      </w:r>
      <w:r w:rsidRPr="00C115D4">
        <w:rPr>
          <w:rFonts w:cstheme="minorHAnsi"/>
          <w:sz w:val="20"/>
          <w:szCs w:val="20"/>
          <w:lang w:val="en-GB"/>
        </w:rPr>
        <w:t xml:space="preserve">, 111, pp 93–107. </w:t>
      </w:r>
      <w:hyperlink r:id="rId55" w:history="1">
        <w:r w:rsidRPr="00C115D4">
          <w:rPr>
            <w:rStyle w:val="Hyperlink"/>
            <w:rFonts w:cstheme="minorHAnsi"/>
            <w:sz w:val="20"/>
            <w:szCs w:val="20"/>
            <w:lang w:val="en-GB"/>
          </w:rPr>
          <w:t>https://voxeu.org/article/economic-effects-density-synthesis</w:t>
        </w:r>
      </w:hyperlink>
    </w:p>
    <w:p w14:paraId="6231E7FF" w14:textId="4DC20BC9" w:rsidR="00E70811" w:rsidRPr="00C115D4" w:rsidRDefault="00A231F6"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Baum-Snow, N., Pavan, R. (2013). </w:t>
      </w:r>
      <w:r w:rsidR="001A3B73" w:rsidRPr="00C115D4">
        <w:rPr>
          <w:rFonts w:cstheme="minorHAnsi"/>
          <w:sz w:val="20"/>
          <w:szCs w:val="20"/>
          <w:lang w:val="en-GB"/>
        </w:rPr>
        <w:t>‘</w:t>
      </w:r>
      <w:r w:rsidRPr="00C115D4">
        <w:rPr>
          <w:rFonts w:cstheme="minorHAnsi"/>
          <w:sz w:val="20"/>
          <w:szCs w:val="20"/>
          <w:lang w:val="en-GB"/>
        </w:rPr>
        <w:t>Inequality and city size.</w:t>
      </w:r>
      <w:r w:rsidR="001A3B73" w:rsidRPr="00C115D4">
        <w:rPr>
          <w:rFonts w:cstheme="minorHAnsi"/>
          <w:sz w:val="20"/>
          <w:szCs w:val="20"/>
          <w:lang w:val="en-GB"/>
        </w:rPr>
        <w:t>’</w:t>
      </w:r>
      <w:r w:rsidRPr="00C115D4">
        <w:rPr>
          <w:rFonts w:cstheme="minorHAnsi"/>
          <w:sz w:val="20"/>
          <w:szCs w:val="20"/>
          <w:lang w:val="en-GB"/>
        </w:rPr>
        <w:t xml:space="preserve"> </w:t>
      </w:r>
      <w:r w:rsidRPr="00C115D4">
        <w:rPr>
          <w:rFonts w:cstheme="minorHAnsi"/>
          <w:i/>
          <w:iCs/>
          <w:sz w:val="20"/>
          <w:szCs w:val="20"/>
          <w:lang w:val="en-GB"/>
        </w:rPr>
        <w:t>Review of Economics and Statistics</w:t>
      </w:r>
      <w:r w:rsidRPr="00C115D4">
        <w:rPr>
          <w:rFonts w:cstheme="minorHAnsi"/>
          <w:sz w:val="20"/>
          <w:szCs w:val="20"/>
          <w:lang w:val="en-GB"/>
        </w:rPr>
        <w:t>, 95 (5), 1535-1548</w:t>
      </w:r>
      <w:r w:rsidR="00680876" w:rsidRPr="00C115D4">
        <w:rPr>
          <w:rFonts w:cstheme="minorHAnsi"/>
          <w:sz w:val="20"/>
          <w:szCs w:val="20"/>
          <w:lang w:val="en-GB"/>
        </w:rPr>
        <w:t xml:space="preserve"> </w:t>
      </w:r>
      <w:hyperlink r:id="rId56" w:history="1">
        <w:r w:rsidR="00680876" w:rsidRPr="00C115D4">
          <w:rPr>
            <w:rStyle w:val="Hyperlink"/>
            <w:rFonts w:cstheme="minorHAnsi"/>
            <w:sz w:val="20"/>
            <w:szCs w:val="20"/>
            <w:lang w:val="en-GB"/>
          </w:rPr>
          <w:t>https://direct.mit.edu/rest/article-abstract/95/5/1535/58138/Inequality-and-City-Size?redirectedFrom=fulltext</w:t>
        </w:r>
      </w:hyperlink>
    </w:p>
    <w:p w14:paraId="485D5FDB" w14:textId="75B094F5"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Been, Vicky (2018) </w:t>
      </w:r>
      <w:r w:rsidR="001A3B73" w:rsidRPr="00C115D4">
        <w:rPr>
          <w:rFonts w:cstheme="minorHAnsi"/>
          <w:sz w:val="20"/>
          <w:szCs w:val="20"/>
          <w:lang w:val="en-GB"/>
        </w:rPr>
        <w:t>‘</w:t>
      </w:r>
      <w:r w:rsidRPr="00C115D4">
        <w:rPr>
          <w:rFonts w:cstheme="minorHAnsi"/>
          <w:sz w:val="20"/>
          <w:szCs w:val="20"/>
          <w:lang w:val="en-GB"/>
        </w:rPr>
        <w:t>City NIMBYs</w:t>
      </w:r>
      <w:r w:rsidR="001A3B73" w:rsidRPr="00C115D4">
        <w:rPr>
          <w:rFonts w:cstheme="minorHAnsi"/>
          <w:sz w:val="20"/>
          <w:szCs w:val="20"/>
          <w:lang w:val="en-GB"/>
        </w:rPr>
        <w:t>’</w:t>
      </w:r>
      <w:r w:rsidRPr="00C115D4">
        <w:rPr>
          <w:rFonts w:cstheme="minorHAnsi"/>
          <w:sz w:val="20"/>
          <w:szCs w:val="20"/>
          <w:lang w:val="en-GB"/>
        </w:rPr>
        <w:t xml:space="preserve"> </w:t>
      </w:r>
      <w:r w:rsidRPr="00EE2E85">
        <w:rPr>
          <w:rFonts w:cstheme="minorHAnsi"/>
          <w:i/>
          <w:iCs/>
          <w:sz w:val="20"/>
          <w:szCs w:val="20"/>
          <w:shd w:val="clear" w:color="auto" w:fill="FFFFFF"/>
        </w:rPr>
        <w:t>Journal of Land Use &amp; Environmental Law</w:t>
      </w:r>
      <w:r w:rsidRPr="00C115D4">
        <w:rPr>
          <w:rFonts w:cstheme="minorHAnsi"/>
          <w:sz w:val="20"/>
          <w:szCs w:val="20"/>
          <w:shd w:val="clear" w:color="auto" w:fill="FFFFFF"/>
        </w:rPr>
        <w:t xml:space="preserve"> </w:t>
      </w:r>
      <w:hyperlink r:id="rId57" w:history="1">
        <w:r w:rsidRPr="00C115D4">
          <w:rPr>
            <w:rStyle w:val="Hyperlink"/>
            <w:rFonts w:cstheme="minorHAnsi"/>
            <w:sz w:val="20"/>
            <w:szCs w:val="20"/>
          </w:rPr>
          <w:t>https://furmancenter.org/research/publication/city-nimbys</w:t>
        </w:r>
      </w:hyperlink>
    </w:p>
    <w:p w14:paraId="277EC0E8" w14:textId="25234B6D" w:rsidR="005230B1" w:rsidRPr="00C115D4" w:rsidRDefault="005230B1" w:rsidP="00E8734C">
      <w:pPr>
        <w:spacing w:after="60" w:line="240" w:lineRule="auto"/>
        <w:ind w:left="284" w:hanging="284"/>
        <w:rPr>
          <w:rFonts w:cstheme="minorHAnsi"/>
          <w:sz w:val="20"/>
          <w:szCs w:val="20"/>
        </w:rPr>
      </w:pPr>
      <w:proofErr w:type="spellStart"/>
      <w:r w:rsidRPr="00C115D4">
        <w:rPr>
          <w:rFonts w:cstheme="minorHAnsi"/>
          <w:sz w:val="20"/>
          <w:szCs w:val="20"/>
        </w:rPr>
        <w:t>Carlino</w:t>
      </w:r>
      <w:proofErr w:type="spellEnd"/>
      <w:r w:rsidRPr="00C115D4">
        <w:rPr>
          <w:rFonts w:cstheme="minorHAnsi"/>
          <w:sz w:val="20"/>
          <w:szCs w:val="20"/>
        </w:rPr>
        <w:t>, Gerald, S Chatterjee and</w:t>
      </w:r>
      <w:r w:rsidR="004A2068" w:rsidRPr="00C115D4">
        <w:rPr>
          <w:rFonts w:cstheme="minorHAnsi"/>
          <w:sz w:val="20"/>
          <w:szCs w:val="20"/>
        </w:rPr>
        <w:t xml:space="preserve"> R</w:t>
      </w:r>
      <w:r w:rsidRPr="00C115D4">
        <w:rPr>
          <w:rFonts w:cstheme="minorHAnsi"/>
          <w:sz w:val="20"/>
          <w:szCs w:val="20"/>
        </w:rPr>
        <w:t xml:space="preserve"> Hunt</w:t>
      </w:r>
      <w:r w:rsidR="004A2068" w:rsidRPr="00C115D4">
        <w:rPr>
          <w:rFonts w:cstheme="minorHAnsi"/>
          <w:sz w:val="20"/>
          <w:szCs w:val="20"/>
        </w:rPr>
        <w:t xml:space="preserve"> </w:t>
      </w:r>
      <w:r w:rsidRPr="00C115D4">
        <w:rPr>
          <w:rFonts w:cstheme="minorHAnsi"/>
          <w:sz w:val="20"/>
          <w:szCs w:val="20"/>
        </w:rPr>
        <w:t xml:space="preserve">(2007). </w:t>
      </w:r>
      <w:r w:rsidR="001A3B73" w:rsidRPr="00C115D4">
        <w:rPr>
          <w:rFonts w:cstheme="minorHAnsi"/>
          <w:sz w:val="20"/>
          <w:szCs w:val="20"/>
        </w:rPr>
        <w:t>‘</w:t>
      </w:r>
      <w:r w:rsidRPr="00C115D4">
        <w:rPr>
          <w:rFonts w:cstheme="minorHAnsi"/>
          <w:sz w:val="20"/>
          <w:szCs w:val="20"/>
        </w:rPr>
        <w:t>Urban density and the rate of invention.</w:t>
      </w:r>
      <w:r w:rsidR="001A3B73" w:rsidRPr="00C115D4">
        <w:rPr>
          <w:rFonts w:cstheme="minorHAnsi"/>
          <w:sz w:val="20"/>
          <w:szCs w:val="20"/>
        </w:rPr>
        <w:t>’</w:t>
      </w:r>
      <w:r w:rsidRPr="00C115D4">
        <w:rPr>
          <w:rFonts w:cstheme="minorHAnsi"/>
          <w:sz w:val="20"/>
          <w:szCs w:val="20"/>
        </w:rPr>
        <w:t xml:space="preserve"> </w:t>
      </w:r>
      <w:r w:rsidRPr="00EE2E85">
        <w:rPr>
          <w:rFonts w:cstheme="minorHAnsi"/>
          <w:i/>
          <w:iCs/>
          <w:sz w:val="20"/>
          <w:szCs w:val="20"/>
        </w:rPr>
        <w:t>Journal of Urban Economics</w:t>
      </w:r>
      <w:r w:rsidRPr="00C115D4">
        <w:rPr>
          <w:rFonts w:cstheme="minorHAnsi"/>
          <w:sz w:val="20"/>
          <w:szCs w:val="20"/>
        </w:rPr>
        <w:t>,</w:t>
      </w:r>
      <w:r w:rsidR="004A2068" w:rsidRPr="00C115D4">
        <w:rPr>
          <w:rFonts w:cstheme="minorHAnsi"/>
          <w:sz w:val="20"/>
          <w:szCs w:val="20"/>
        </w:rPr>
        <w:t xml:space="preserve"> </w:t>
      </w:r>
      <w:r w:rsidRPr="00C115D4">
        <w:rPr>
          <w:rFonts w:cstheme="minorHAnsi"/>
          <w:sz w:val="20"/>
          <w:szCs w:val="20"/>
        </w:rPr>
        <w:t>61 (3), 389-419</w:t>
      </w:r>
    </w:p>
    <w:p w14:paraId="295C3CCA" w14:textId="1EAC57C1" w:rsidR="00AD5A5D" w:rsidRPr="00C115D4" w:rsidRDefault="00F01431" w:rsidP="00E8734C">
      <w:pPr>
        <w:spacing w:after="60" w:line="240" w:lineRule="auto"/>
        <w:ind w:left="284" w:hanging="284"/>
        <w:rPr>
          <w:rFonts w:cstheme="minorHAnsi"/>
          <w:sz w:val="20"/>
          <w:szCs w:val="20"/>
        </w:rPr>
      </w:pPr>
      <w:proofErr w:type="spellStart"/>
      <w:r w:rsidRPr="00C115D4">
        <w:rPr>
          <w:rFonts w:cstheme="minorHAnsi"/>
          <w:sz w:val="20"/>
          <w:szCs w:val="20"/>
        </w:rPr>
        <w:t>Carlino</w:t>
      </w:r>
      <w:proofErr w:type="spellEnd"/>
      <w:r w:rsidRPr="00C115D4">
        <w:rPr>
          <w:rFonts w:cstheme="minorHAnsi"/>
          <w:sz w:val="20"/>
          <w:szCs w:val="20"/>
        </w:rPr>
        <w:t xml:space="preserve">, Gerald and William R. Kerr </w:t>
      </w:r>
      <w:r w:rsidR="001A3B73" w:rsidRPr="00C115D4">
        <w:rPr>
          <w:rFonts w:cstheme="minorHAnsi"/>
          <w:sz w:val="20"/>
          <w:szCs w:val="20"/>
        </w:rPr>
        <w:t>‘</w:t>
      </w:r>
      <w:r w:rsidRPr="00C115D4">
        <w:rPr>
          <w:rFonts w:cstheme="minorHAnsi"/>
          <w:sz w:val="20"/>
          <w:szCs w:val="20"/>
        </w:rPr>
        <w:t xml:space="preserve">Agglomeration </w:t>
      </w:r>
      <w:r w:rsidR="00C5369A" w:rsidRPr="00C115D4">
        <w:rPr>
          <w:rFonts w:cstheme="minorHAnsi"/>
          <w:sz w:val="20"/>
          <w:szCs w:val="20"/>
        </w:rPr>
        <w:t xml:space="preserve">and </w:t>
      </w:r>
      <w:r w:rsidRPr="00C115D4">
        <w:rPr>
          <w:rFonts w:cstheme="minorHAnsi"/>
          <w:sz w:val="20"/>
          <w:szCs w:val="20"/>
        </w:rPr>
        <w:t>Innovation</w:t>
      </w:r>
      <w:r w:rsidR="001A3B73" w:rsidRPr="00C115D4">
        <w:rPr>
          <w:rFonts w:cstheme="minorHAnsi"/>
          <w:sz w:val="20"/>
          <w:szCs w:val="20"/>
        </w:rPr>
        <w:t>’</w:t>
      </w:r>
      <w:r w:rsidR="007D3804" w:rsidRPr="00C115D4">
        <w:rPr>
          <w:rFonts w:cstheme="minorHAnsi"/>
          <w:sz w:val="20"/>
          <w:szCs w:val="20"/>
        </w:rPr>
        <w:t xml:space="preserve"> in </w:t>
      </w:r>
      <w:r w:rsidR="007D3804" w:rsidRPr="00C115D4">
        <w:rPr>
          <w:rFonts w:cstheme="minorHAnsi"/>
          <w:i/>
          <w:iCs/>
          <w:sz w:val="20"/>
          <w:szCs w:val="20"/>
        </w:rPr>
        <w:t>Handbook of Regional and Urban Economics</w:t>
      </w:r>
      <w:r w:rsidR="007D3804" w:rsidRPr="00C115D4">
        <w:rPr>
          <w:rFonts w:cstheme="minorHAnsi"/>
          <w:sz w:val="20"/>
          <w:szCs w:val="20"/>
        </w:rPr>
        <w:t xml:space="preserve">, Vol. 5. </w:t>
      </w:r>
      <w:hyperlink r:id="rId58" w:history="1">
        <w:r w:rsidRPr="00C115D4">
          <w:rPr>
            <w:rStyle w:val="Hyperlink"/>
            <w:rFonts w:cstheme="minorHAnsi"/>
            <w:sz w:val="20"/>
            <w:szCs w:val="20"/>
          </w:rPr>
          <w:t>https://www.nber.org/system/files/working_papers/w20367/w20367.pdf</w:t>
        </w:r>
      </w:hyperlink>
    </w:p>
    <w:p w14:paraId="24773C18" w14:textId="02343EDC" w:rsidR="00FE35E3" w:rsidRPr="00C115D4" w:rsidRDefault="00FE35E3" w:rsidP="00E8734C">
      <w:pPr>
        <w:spacing w:after="60" w:line="240" w:lineRule="auto"/>
        <w:ind w:left="284" w:hanging="284"/>
        <w:rPr>
          <w:rFonts w:cstheme="minorHAnsi"/>
          <w:sz w:val="20"/>
          <w:szCs w:val="20"/>
        </w:rPr>
      </w:pPr>
      <w:r w:rsidRPr="00C115D4">
        <w:rPr>
          <w:rFonts w:cstheme="minorHAnsi"/>
          <w:sz w:val="20"/>
          <w:szCs w:val="20"/>
        </w:rPr>
        <w:t xml:space="preserve">CEDA (Committee for Economic Development of Australia) (2017), Housing Australia, August. </w:t>
      </w:r>
      <w:hyperlink r:id="rId59" w:history="1">
        <w:r w:rsidRPr="00C115D4">
          <w:rPr>
            <w:rStyle w:val="Hyperlink"/>
            <w:rFonts w:cstheme="minorHAnsi"/>
            <w:sz w:val="20"/>
            <w:szCs w:val="20"/>
          </w:rPr>
          <w:t>https://www.ceda.com.au/Research-and-policy/All-CEDA-research/Research-catalogue/Housing-Australia</w:t>
        </w:r>
      </w:hyperlink>
    </w:p>
    <w:p w14:paraId="26CA1462" w14:textId="25FC65A9"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t>CIE (Centre for International Economics) (2010), ‘The Benefits and Costs of Alternative Growth Paths for Sydney: Economic, Social and Environmental Impacts’, Report prepared for NSW Department of Planning, December.</w:t>
      </w:r>
    </w:p>
    <w:p w14:paraId="3FD61519" w14:textId="77777777" w:rsidR="002B2F5D" w:rsidRPr="00C115D4" w:rsidRDefault="002B2F5D" w:rsidP="00E8734C">
      <w:pPr>
        <w:spacing w:after="60" w:line="240" w:lineRule="auto"/>
        <w:ind w:left="284" w:hanging="284"/>
        <w:rPr>
          <w:rStyle w:val="Hyperlink"/>
          <w:rFonts w:cstheme="minorHAnsi"/>
          <w:sz w:val="20"/>
          <w:szCs w:val="20"/>
          <w:lang w:val="en-GB"/>
        </w:rPr>
      </w:pPr>
      <w:r w:rsidRPr="00C115D4">
        <w:rPr>
          <w:rFonts w:cstheme="minorHAnsi"/>
          <w:sz w:val="20"/>
          <w:szCs w:val="20"/>
          <w:lang w:val="en-GB"/>
        </w:rPr>
        <w:t xml:space="preserve">CIE (Centre for International Economics) (2013), ‘Reform of the NSW planning system’ </w:t>
      </w:r>
      <w:hyperlink r:id="rId60" w:history="1">
        <w:r w:rsidRPr="00C115D4">
          <w:rPr>
            <w:rStyle w:val="Hyperlink"/>
            <w:rFonts w:cstheme="minorHAnsi"/>
            <w:sz w:val="20"/>
            <w:szCs w:val="20"/>
            <w:lang w:val="en-GB"/>
          </w:rPr>
          <w:t>https://www.thecie.com.au/publications-archive/reform-of-the-nsw-planning-system</w:t>
        </w:r>
      </w:hyperlink>
    </w:p>
    <w:p w14:paraId="12F43C79" w14:textId="77777777" w:rsidR="002B2F5D" w:rsidRPr="00C115D4" w:rsidRDefault="002B2F5D"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Centre for Independent Studies (CIS) (2021) Submission to the Inquiry into Housing Affordability and Supply in Australia. </w:t>
      </w:r>
      <w:hyperlink r:id="rId61" w:history="1">
        <w:r w:rsidRPr="00C115D4">
          <w:rPr>
            <w:rStyle w:val="Hyperlink"/>
            <w:rFonts w:cstheme="minorHAnsi"/>
            <w:sz w:val="20"/>
            <w:szCs w:val="20"/>
            <w:lang w:val="en-GB"/>
          </w:rPr>
          <w:t>https://www.cis.org.au/publications/submissions/submission-to-the-inquiry-into-housing-affordability-and-supply-in-australia/</w:t>
        </w:r>
      </w:hyperlink>
    </w:p>
    <w:p w14:paraId="34BD43E0" w14:textId="417DE739" w:rsidR="00DE77CF" w:rsidRPr="00C115D4" w:rsidRDefault="003C50D4" w:rsidP="00E8734C">
      <w:pPr>
        <w:spacing w:after="60" w:line="240" w:lineRule="auto"/>
        <w:ind w:left="284" w:hanging="284"/>
        <w:rPr>
          <w:rFonts w:cstheme="minorHAnsi"/>
          <w:sz w:val="20"/>
          <w:szCs w:val="20"/>
        </w:rPr>
      </w:pPr>
      <w:r w:rsidRPr="00C115D4">
        <w:rPr>
          <w:rFonts w:cstheme="minorHAnsi"/>
          <w:sz w:val="20"/>
          <w:szCs w:val="20"/>
        </w:rPr>
        <w:t>Combes</w:t>
      </w:r>
      <w:r w:rsidR="00421D88" w:rsidRPr="00C115D4">
        <w:rPr>
          <w:rFonts w:cstheme="minorHAnsi"/>
          <w:sz w:val="20"/>
          <w:szCs w:val="20"/>
        </w:rPr>
        <w:t>,</w:t>
      </w:r>
      <w:r w:rsidRPr="00C115D4">
        <w:rPr>
          <w:rFonts w:cstheme="minorHAnsi"/>
          <w:sz w:val="20"/>
          <w:szCs w:val="20"/>
        </w:rPr>
        <w:t xml:space="preserve"> Pie</w:t>
      </w:r>
      <w:r w:rsidR="00DE77CF" w:rsidRPr="00C115D4">
        <w:rPr>
          <w:rFonts w:cstheme="minorHAnsi"/>
          <w:sz w:val="20"/>
          <w:szCs w:val="20"/>
        </w:rPr>
        <w:t>r</w:t>
      </w:r>
      <w:r w:rsidRPr="00C115D4">
        <w:rPr>
          <w:rFonts w:cstheme="minorHAnsi"/>
          <w:sz w:val="20"/>
          <w:szCs w:val="20"/>
        </w:rPr>
        <w:t>re-Philippe</w:t>
      </w:r>
      <w:r w:rsidR="00DE77CF" w:rsidRPr="00C115D4">
        <w:rPr>
          <w:rFonts w:cstheme="minorHAnsi"/>
          <w:sz w:val="20"/>
          <w:szCs w:val="20"/>
        </w:rPr>
        <w:t xml:space="preserve"> and Laurent </w:t>
      </w:r>
      <w:proofErr w:type="spellStart"/>
      <w:r w:rsidR="00DE77CF" w:rsidRPr="00C115D4">
        <w:rPr>
          <w:rFonts w:cstheme="minorHAnsi"/>
          <w:sz w:val="20"/>
          <w:szCs w:val="20"/>
        </w:rPr>
        <w:t>Gobillon</w:t>
      </w:r>
      <w:proofErr w:type="spellEnd"/>
      <w:r w:rsidR="00DE77CF" w:rsidRPr="00C115D4">
        <w:rPr>
          <w:rFonts w:cstheme="minorHAnsi"/>
          <w:sz w:val="20"/>
          <w:szCs w:val="20"/>
        </w:rPr>
        <w:t xml:space="preserve"> </w:t>
      </w:r>
      <w:r w:rsidR="00DB1C44" w:rsidRPr="00C115D4">
        <w:rPr>
          <w:rFonts w:cstheme="minorHAnsi"/>
          <w:sz w:val="20"/>
          <w:szCs w:val="20"/>
        </w:rPr>
        <w:t xml:space="preserve">(2014) </w:t>
      </w:r>
      <w:r w:rsidR="001A3B73" w:rsidRPr="00C115D4">
        <w:rPr>
          <w:rFonts w:cstheme="minorHAnsi"/>
          <w:sz w:val="20"/>
          <w:szCs w:val="20"/>
        </w:rPr>
        <w:t>‘</w:t>
      </w:r>
      <w:r w:rsidR="00DE77CF" w:rsidRPr="00C115D4">
        <w:rPr>
          <w:rFonts w:cstheme="minorHAnsi"/>
          <w:sz w:val="20"/>
          <w:szCs w:val="20"/>
        </w:rPr>
        <w:t>The Empirics of Agglomeration Economies</w:t>
      </w:r>
      <w:r w:rsidR="001A3B73" w:rsidRPr="00C115D4">
        <w:rPr>
          <w:rFonts w:cstheme="minorHAnsi"/>
          <w:sz w:val="20"/>
          <w:szCs w:val="20"/>
        </w:rPr>
        <w:t>’</w:t>
      </w:r>
      <w:r w:rsidR="008112C7" w:rsidRPr="00C115D4">
        <w:rPr>
          <w:rFonts w:cstheme="minorHAnsi"/>
          <w:sz w:val="20"/>
          <w:szCs w:val="20"/>
        </w:rPr>
        <w:t xml:space="preserve"> in </w:t>
      </w:r>
      <w:r w:rsidR="008112C7" w:rsidRPr="00C115D4">
        <w:rPr>
          <w:rFonts w:cstheme="minorHAnsi"/>
          <w:i/>
          <w:iCs/>
          <w:sz w:val="20"/>
          <w:szCs w:val="20"/>
        </w:rPr>
        <w:t>Handbook of Regional and Urban Economics</w:t>
      </w:r>
      <w:r w:rsidR="008112C7" w:rsidRPr="00C115D4">
        <w:rPr>
          <w:rFonts w:cstheme="minorHAnsi"/>
          <w:sz w:val="20"/>
          <w:szCs w:val="20"/>
        </w:rPr>
        <w:t xml:space="preserve">, Vol. 5. </w:t>
      </w:r>
      <w:hyperlink r:id="rId62" w:history="1">
        <w:r w:rsidR="008112C7" w:rsidRPr="00C115D4">
          <w:rPr>
            <w:rStyle w:val="Hyperlink"/>
            <w:rFonts w:cstheme="minorHAnsi"/>
            <w:sz w:val="20"/>
            <w:szCs w:val="20"/>
          </w:rPr>
          <w:t>https://docs.iza.org/dp8508.pdf</w:t>
        </w:r>
      </w:hyperlink>
    </w:p>
    <w:p w14:paraId="6274D15E" w14:textId="0AF0035A" w:rsidR="007E38A5" w:rsidRPr="00C115D4" w:rsidRDefault="007E38A5" w:rsidP="00E8734C">
      <w:pPr>
        <w:spacing w:after="60" w:line="240" w:lineRule="auto"/>
        <w:ind w:left="284" w:hanging="284"/>
        <w:rPr>
          <w:rFonts w:cstheme="minorHAnsi"/>
          <w:sz w:val="20"/>
          <w:szCs w:val="20"/>
        </w:rPr>
      </w:pPr>
      <w:r w:rsidRPr="00C115D4">
        <w:rPr>
          <w:rFonts w:cstheme="minorHAnsi"/>
          <w:sz w:val="20"/>
          <w:szCs w:val="20"/>
        </w:rPr>
        <w:t xml:space="preserve">De La Roca, Jorge and </w:t>
      </w:r>
      <w:proofErr w:type="spellStart"/>
      <w:r w:rsidRPr="00C115D4">
        <w:rPr>
          <w:rFonts w:cstheme="minorHAnsi"/>
          <w:sz w:val="20"/>
          <w:szCs w:val="20"/>
        </w:rPr>
        <w:t>Puga</w:t>
      </w:r>
      <w:proofErr w:type="spellEnd"/>
      <w:r w:rsidRPr="00C115D4">
        <w:rPr>
          <w:rFonts w:cstheme="minorHAnsi"/>
          <w:sz w:val="20"/>
          <w:szCs w:val="20"/>
        </w:rPr>
        <w:t xml:space="preserve">, Diego. </w:t>
      </w:r>
      <w:r w:rsidR="005018CC" w:rsidRPr="00C115D4">
        <w:rPr>
          <w:rFonts w:cstheme="minorHAnsi"/>
          <w:sz w:val="20"/>
          <w:szCs w:val="20"/>
        </w:rPr>
        <w:t>‘</w:t>
      </w:r>
      <w:r w:rsidRPr="00C115D4">
        <w:rPr>
          <w:rFonts w:cstheme="minorHAnsi"/>
          <w:sz w:val="20"/>
          <w:szCs w:val="20"/>
        </w:rPr>
        <w:t>Learning by working in big cities</w:t>
      </w:r>
      <w:r w:rsidR="005018CC" w:rsidRPr="00C115D4">
        <w:rPr>
          <w:rFonts w:cstheme="minorHAnsi"/>
          <w:sz w:val="20"/>
          <w:szCs w:val="20"/>
        </w:rPr>
        <w:t xml:space="preserve">’ </w:t>
      </w:r>
      <w:r w:rsidR="005018CC" w:rsidRPr="00C115D4">
        <w:rPr>
          <w:rFonts w:cstheme="minorHAnsi"/>
          <w:i/>
          <w:iCs/>
          <w:sz w:val="20"/>
          <w:szCs w:val="20"/>
        </w:rPr>
        <w:t>Review of Economic Studies</w:t>
      </w:r>
      <w:r w:rsidR="005018CC" w:rsidRPr="00C115D4">
        <w:rPr>
          <w:rFonts w:cstheme="minorHAnsi"/>
          <w:sz w:val="20"/>
          <w:szCs w:val="20"/>
        </w:rPr>
        <w:t xml:space="preserve"> (2017) 84, 106–142 </w:t>
      </w:r>
      <w:hyperlink r:id="rId63" w:history="1">
        <w:r w:rsidR="00EE6BA0" w:rsidRPr="00C115D4">
          <w:rPr>
            <w:rStyle w:val="Hyperlink"/>
            <w:rFonts w:cstheme="minorHAnsi"/>
            <w:sz w:val="20"/>
            <w:szCs w:val="20"/>
          </w:rPr>
          <w:t>https://diegopuga.org/papers/DeLaRoca_Puga_REStud_2017.pdf</w:t>
        </w:r>
      </w:hyperlink>
    </w:p>
    <w:p w14:paraId="3EC0A002" w14:textId="2CFF8A99" w:rsidR="002B2F5D" w:rsidRPr="00C115D4" w:rsidRDefault="002B2F5D" w:rsidP="00E8734C">
      <w:pPr>
        <w:spacing w:after="60" w:line="240" w:lineRule="auto"/>
        <w:ind w:left="284" w:hanging="284"/>
        <w:rPr>
          <w:rStyle w:val="Hyperlink"/>
          <w:rFonts w:cstheme="minorHAnsi"/>
          <w:sz w:val="20"/>
          <w:szCs w:val="20"/>
          <w:lang w:val="en-GB"/>
        </w:rPr>
      </w:pPr>
      <w:r w:rsidRPr="00C115D4">
        <w:rPr>
          <w:rFonts w:cstheme="minorHAnsi"/>
          <w:sz w:val="20"/>
          <w:szCs w:val="20"/>
          <w:lang w:val="en-GB"/>
        </w:rPr>
        <w:t>Deloitte Access Economics (2016),</w:t>
      </w:r>
      <w:r w:rsidRPr="00C115D4">
        <w:rPr>
          <w:rFonts w:cstheme="minorHAnsi"/>
          <w:sz w:val="20"/>
          <w:szCs w:val="20"/>
        </w:rPr>
        <w:t xml:space="preserve"> </w:t>
      </w:r>
      <w:r w:rsidRPr="00B16C30">
        <w:rPr>
          <w:rFonts w:cstheme="minorHAnsi"/>
          <w:i/>
          <w:iCs/>
          <w:sz w:val="20"/>
          <w:szCs w:val="20"/>
          <w:lang w:val="en-GB"/>
        </w:rPr>
        <w:t>A Federal Incentives Model for Housing Supply</w:t>
      </w:r>
      <w:r w:rsidRPr="00C115D4">
        <w:rPr>
          <w:rFonts w:cstheme="minorHAnsi"/>
          <w:sz w:val="20"/>
          <w:szCs w:val="20"/>
          <w:lang w:val="en-GB"/>
        </w:rPr>
        <w:t xml:space="preserve">. </w:t>
      </w:r>
      <w:hyperlink r:id="rId64" w:history="1">
        <w:r w:rsidRPr="00C115D4">
          <w:rPr>
            <w:rStyle w:val="Hyperlink"/>
            <w:rFonts w:cstheme="minorHAnsi"/>
            <w:sz w:val="20"/>
            <w:szCs w:val="20"/>
            <w:lang w:val="en-GB"/>
          </w:rPr>
          <w:t>https://www.propertycouncil.com.au/Web/Content/Submissions/National/2016/A_Federal_Incentives_Model_for_Housing_Supply.aspx</w:t>
        </w:r>
      </w:hyperlink>
    </w:p>
    <w:p w14:paraId="07899D0F" w14:textId="1DA6AAF6" w:rsidR="00FE35E3" w:rsidRPr="00C115D4" w:rsidRDefault="00FE35E3" w:rsidP="00E8734C">
      <w:pPr>
        <w:tabs>
          <w:tab w:val="left" w:pos="4111"/>
        </w:tabs>
        <w:spacing w:after="60" w:line="240" w:lineRule="auto"/>
        <w:ind w:left="284" w:hanging="284"/>
        <w:rPr>
          <w:rFonts w:cstheme="minorHAnsi"/>
          <w:sz w:val="20"/>
          <w:szCs w:val="20"/>
          <w:lang w:val="en-GB"/>
        </w:rPr>
      </w:pPr>
      <w:r w:rsidRPr="00C115D4">
        <w:rPr>
          <w:rFonts w:cstheme="minorHAnsi"/>
          <w:sz w:val="20"/>
          <w:szCs w:val="20"/>
          <w:lang w:val="en-GB"/>
        </w:rPr>
        <w:t xml:space="preserve">Economist, The (2021) </w:t>
      </w:r>
      <w:r w:rsidR="001A3B73" w:rsidRPr="00C115D4">
        <w:rPr>
          <w:rFonts w:cstheme="minorHAnsi"/>
          <w:sz w:val="20"/>
          <w:szCs w:val="20"/>
          <w:lang w:val="en-GB"/>
        </w:rPr>
        <w:t>‘</w:t>
      </w:r>
      <w:r w:rsidRPr="00C115D4">
        <w:rPr>
          <w:rFonts w:cstheme="minorHAnsi"/>
          <w:sz w:val="20"/>
          <w:szCs w:val="20"/>
          <w:lang w:val="en-GB"/>
        </w:rPr>
        <w:t>How to turn NIMBYs into YIMBYs</w:t>
      </w:r>
      <w:r w:rsidR="001A3B73" w:rsidRPr="00C115D4">
        <w:rPr>
          <w:rFonts w:cstheme="minorHAnsi"/>
          <w:sz w:val="20"/>
          <w:szCs w:val="20"/>
          <w:lang w:val="en-GB"/>
        </w:rPr>
        <w:t>’</w:t>
      </w:r>
      <w:r w:rsidRPr="00C115D4">
        <w:rPr>
          <w:rFonts w:cstheme="minorHAnsi"/>
          <w:sz w:val="20"/>
          <w:szCs w:val="20"/>
          <w:lang w:val="en-GB"/>
        </w:rPr>
        <w:t xml:space="preserve"> 11 September, 2021; </w:t>
      </w:r>
      <w:hyperlink r:id="rId65" w:history="1">
        <w:r w:rsidRPr="00C115D4">
          <w:rPr>
            <w:rStyle w:val="Hyperlink"/>
            <w:rFonts w:cstheme="minorHAnsi"/>
            <w:sz w:val="20"/>
            <w:szCs w:val="20"/>
            <w:lang w:val="en-GB"/>
          </w:rPr>
          <w:t>https://www.economist.com/finance-and-economics/2021/09/11/how-to-turn-nimbys-into-yimbys</w:t>
        </w:r>
      </w:hyperlink>
    </w:p>
    <w:p w14:paraId="455AF6FB" w14:textId="714C4F46" w:rsidR="00FE35E3" w:rsidRPr="00C115D4" w:rsidRDefault="00FE35E3" w:rsidP="00E8734C">
      <w:pPr>
        <w:tabs>
          <w:tab w:val="left" w:pos="4111"/>
        </w:tabs>
        <w:spacing w:after="60" w:line="240" w:lineRule="auto"/>
        <w:ind w:left="284" w:hanging="284"/>
        <w:rPr>
          <w:rFonts w:cstheme="minorHAnsi"/>
          <w:sz w:val="20"/>
          <w:szCs w:val="20"/>
          <w:lang w:val="en-GB"/>
        </w:rPr>
      </w:pPr>
      <w:r w:rsidRPr="00C115D4">
        <w:rPr>
          <w:rFonts w:cstheme="minorHAnsi"/>
          <w:sz w:val="20"/>
          <w:szCs w:val="20"/>
          <w:lang w:val="en-GB"/>
        </w:rPr>
        <w:t xml:space="preserve">Furman, Jason (2015) </w:t>
      </w:r>
      <w:r w:rsidR="001A3B73" w:rsidRPr="00C115D4">
        <w:rPr>
          <w:rFonts w:cstheme="minorHAnsi"/>
          <w:sz w:val="20"/>
          <w:szCs w:val="20"/>
          <w:lang w:val="en-GB"/>
        </w:rPr>
        <w:t>‘</w:t>
      </w:r>
      <w:r w:rsidRPr="00C115D4">
        <w:rPr>
          <w:rFonts w:cstheme="minorHAnsi"/>
          <w:sz w:val="20"/>
          <w:szCs w:val="20"/>
          <w:lang w:val="en-GB"/>
        </w:rPr>
        <w:t>Barriers to Shared Growth: The Case of Land Use Regulation and Economic Rents</w:t>
      </w:r>
      <w:r w:rsidR="001A3B73" w:rsidRPr="00C115D4">
        <w:rPr>
          <w:rFonts w:cstheme="minorHAnsi"/>
          <w:sz w:val="20"/>
          <w:szCs w:val="20"/>
          <w:lang w:val="en-GB"/>
        </w:rPr>
        <w:t>’</w:t>
      </w:r>
      <w:r w:rsidRPr="00C115D4">
        <w:rPr>
          <w:rFonts w:cstheme="minorHAnsi"/>
          <w:sz w:val="20"/>
          <w:szCs w:val="20"/>
          <w:lang w:val="en-GB"/>
        </w:rPr>
        <w:t xml:space="preserve"> </w:t>
      </w:r>
      <w:hyperlink r:id="rId66" w:history="1">
        <w:r w:rsidRPr="00C115D4">
          <w:rPr>
            <w:rStyle w:val="Hyperlink"/>
            <w:rFonts w:cstheme="minorHAnsi"/>
            <w:sz w:val="20"/>
            <w:szCs w:val="20"/>
            <w:lang w:val="en-GB"/>
          </w:rPr>
          <w:t>https://obamawhitehouse.archives.gov/sites/default/files/page/files/20151120_barriers_shared_growth_land_use_regulation_and_economic_rents.pdf</w:t>
        </w:r>
      </w:hyperlink>
    </w:p>
    <w:p w14:paraId="19AE76FA" w14:textId="0E12F8AC" w:rsidR="00960833" w:rsidRPr="00C115D4" w:rsidRDefault="00960833" w:rsidP="00E8734C">
      <w:pPr>
        <w:spacing w:after="60" w:line="240" w:lineRule="auto"/>
        <w:ind w:left="284" w:hanging="284"/>
        <w:rPr>
          <w:rFonts w:cstheme="minorHAnsi"/>
          <w:sz w:val="20"/>
          <w:szCs w:val="20"/>
          <w:lang w:val="en-GB"/>
        </w:rPr>
      </w:pPr>
      <w:proofErr w:type="spellStart"/>
      <w:r w:rsidRPr="00C115D4">
        <w:rPr>
          <w:rFonts w:cstheme="minorHAnsi"/>
          <w:sz w:val="20"/>
          <w:szCs w:val="20"/>
          <w:lang w:val="en-GB"/>
        </w:rPr>
        <w:lastRenderedPageBreak/>
        <w:t>Ganong</w:t>
      </w:r>
      <w:proofErr w:type="spellEnd"/>
      <w:r w:rsidRPr="00C115D4">
        <w:rPr>
          <w:rFonts w:cstheme="minorHAnsi"/>
          <w:sz w:val="20"/>
          <w:szCs w:val="20"/>
          <w:lang w:val="en-GB"/>
        </w:rPr>
        <w:t xml:space="preserve">, Peter and Daniel </w:t>
      </w:r>
      <w:proofErr w:type="spellStart"/>
      <w:r w:rsidRPr="00C115D4">
        <w:rPr>
          <w:rFonts w:cstheme="minorHAnsi"/>
          <w:sz w:val="20"/>
          <w:szCs w:val="20"/>
          <w:lang w:val="en-GB"/>
        </w:rPr>
        <w:t>Shoag</w:t>
      </w:r>
      <w:proofErr w:type="spellEnd"/>
      <w:r w:rsidRPr="00C115D4">
        <w:rPr>
          <w:rFonts w:cstheme="minorHAnsi"/>
          <w:sz w:val="20"/>
          <w:szCs w:val="20"/>
          <w:lang w:val="en-GB"/>
        </w:rPr>
        <w:t>. “Why has regional income convergence in the U.S. declined?”</w:t>
      </w:r>
      <w:r w:rsidRPr="00C115D4">
        <w:rPr>
          <w:sz w:val="20"/>
          <w:szCs w:val="20"/>
        </w:rPr>
        <w:t xml:space="preserve"> </w:t>
      </w:r>
      <w:r w:rsidRPr="00C115D4">
        <w:rPr>
          <w:i/>
          <w:sz w:val="20"/>
          <w:szCs w:val="20"/>
        </w:rPr>
        <w:t xml:space="preserve">Journal of Urban </w:t>
      </w:r>
      <w:r w:rsidRPr="00C115D4">
        <w:rPr>
          <w:rFonts w:cstheme="minorHAnsi"/>
          <w:i/>
          <w:sz w:val="20"/>
          <w:szCs w:val="20"/>
          <w:lang w:val="en-GB"/>
        </w:rPr>
        <w:t>Economics</w:t>
      </w:r>
      <w:r w:rsidRPr="00C115D4">
        <w:rPr>
          <w:rFonts w:cstheme="minorHAnsi"/>
          <w:sz w:val="20"/>
          <w:szCs w:val="20"/>
          <w:lang w:val="en-GB"/>
        </w:rPr>
        <w:t xml:space="preserve">, Volume 102 ( November 2017): Pages 76-90. </w:t>
      </w:r>
      <w:hyperlink r:id="rId67" w:history="1">
        <w:r w:rsidRPr="00C115D4">
          <w:rPr>
            <w:rStyle w:val="Hyperlink"/>
            <w:rFonts w:cstheme="minorHAnsi"/>
            <w:sz w:val="20"/>
            <w:szCs w:val="20"/>
            <w:lang w:val="en-GB"/>
          </w:rPr>
          <w:t>https://www.nber.org/papers/w23609</w:t>
        </w:r>
      </w:hyperlink>
    </w:p>
    <w:p w14:paraId="475FED6E" w14:textId="3B5A7E5D" w:rsidR="00E06134" w:rsidRPr="00C115D4" w:rsidRDefault="00E06134" w:rsidP="00E8734C">
      <w:pPr>
        <w:spacing w:after="60" w:line="240" w:lineRule="auto"/>
        <w:ind w:left="284" w:hanging="284"/>
        <w:rPr>
          <w:rFonts w:cstheme="minorHAnsi"/>
          <w:sz w:val="20"/>
          <w:szCs w:val="20"/>
          <w:lang w:val="en-GB"/>
        </w:rPr>
      </w:pPr>
      <w:proofErr w:type="spellStart"/>
      <w:r w:rsidRPr="00C115D4">
        <w:rPr>
          <w:rFonts w:cstheme="minorHAnsi"/>
          <w:sz w:val="20"/>
          <w:szCs w:val="20"/>
          <w:lang w:val="en-GB"/>
        </w:rPr>
        <w:t>Glaeser</w:t>
      </w:r>
      <w:proofErr w:type="spellEnd"/>
      <w:r w:rsidRPr="00C115D4">
        <w:rPr>
          <w:rFonts w:cstheme="minorHAnsi"/>
          <w:sz w:val="20"/>
          <w:szCs w:val="20"/>
          <w:lang w:val="en-GB"/>
        </w:rPr>
        <w:t xml:space="preserve">, Edward </w:t>
      </w:r>
      <w:r w:rsidR="00D11611" w:rsidRPr="00C115D4">
        <w:rPr>
          <w:rFonts w:cstheme="minorHAnsi"/>
          <w:sz w:val="20"/>
          <w:szCs w:val="20"/>
          <w:lang w:val="en-GB"/>
        </w:rPr>
        <w:t xml:space="preserve">(2012) </w:t>
      </w:r>
      <w:r w:rsidR="001A3B73" w:rsidRPr="00C115D4">
        <w:rPr>
          <w:rFonts w:cstheme="minorHAnsi"/>
          <w:sz w:val="20"/>
          <w:szCs w:val="20"/>
          <w:lang w:val="en-GB"/>
        </w:rPr>
        <w:t>‘</w:t>
      </w:r>
      <w:r w:rsidR="00D11611" w:rsidRPr="00C115D4">
        <w:rPr>
          <w:rFonts w:cstheme="minorHAnsi"/>
          <w:sz w:val="20"/>
          <w:szCs w:val="20"/>
          <w:lang w:val="en-GB"/>
        </w:rPr>
        <w:t>Triumph of the City: How Our Greatest Invention Makes Us Richer, Smarter, Greener, Healthier, and Happier</w:t>
      </w:r>
      <w:r w:rsidR="001A3B73" w:rsidRPr="00C115D4">
        <w:rPr>
          <w:rFonts w:cstheme="minorHAnsi"/>
          <w:sz w:val="20"/>
          <w:szCs w:val="20"/>
          <w:lang w:val="en-GB"/>
        </w:rPr>
        <w:t>’</w:t>
      </w:r>
      <w:r w:rsidR="00E4526D" w:rsidRPr="00C115D4">
        <w:rPr>
          <w:rFonts w:cstheme="minorHAnsi"/>
          <w:sz w:val="20"/>
          <w:szCs w:val="20"/>
          <w:lang w:val="en-GB"/>
        </w:rPr>
        <w:t xml:space="preserve"> Penguin Books</w:t>
      </w:r>
    </w:p>
    <w:p w14:paraId="1EEE062D" w14:textId="78CF64EE" w:rsidR="00FE35E3" w:rsidRPr="00C115D4" w:rsidRDefault="00FE35E3" w:rsidP="00E8734C">
      <w:pPr>
        <w:spacing w:after="60" w:line="240" w:lineRule="auto"/>
        <w:ind w:left="284" w:hanging="284"/>
        <w:rPr>
          <w:rFonts w:cstheme="minorHAnsi"/>
          <w:sz w:val="20"/>
          <w:szCs w:val="20"/>
          <w:lang w:val="en-GB"/>
        </w:rPr>
      </w:pPr>
      <w:proofErr w:type="spellStart"/>
      <w:r w:rsidRPr="00C115D4">
        <w:rPr>
          <w:rFonts w:cstheme="minorHAnsi"/>
          <w:sz w:val="20"/>
          <w:szCs w:val="20"/>
          <w:lang w:val="en-GB"/>
        </w:rPr>
        <w:t>Glaeser</w:t>
      </w:r>
      <w:proofErr w:type="spellEnd"/>
      <w:r w:rsidRPr="00C115D4">
        <w:rPr>
          <w:rFonts w:cstheme="minorHAnsi"/>
          <w:sz w:val="20"/>
          <w:szCs w:val="20"/>
          <w:lang w:val="en-GB"/>
        </w:rPr>
        <w:t xml:space="preserve">, Edward and Joseph </w:t>
      </w:r>
      <w:proofErr w:type="spellStart"/>
      <w:r w:rsidRPr="00C115D4">
        <w:rPr>
          <w:rFonts w:cstheme="minorHAnsi"/>
          <w:sz w:val="20"/>
          <w:szCs w:val="20"/>
          <w:lang w:val="en-GB"/>
        </w:rPr>
        <w:t>Gyourko</w:t>
      </w:r>
      <w:proofErr w:type="spellEnd"/>
      <w:r w:rsidRPr="00C115D4">
        <w:rPr>
          <w:rFonts w:cstheme="minorHAnsi"/>
          <w:sz w:val="20"/>
          <w:szCs w:val="20"/>
          <w:lang w:val="en-GB"/>
        </w:rPr>
        <w:t xml:space="preserve"> (2003), ‘The Impact of Building Restrictions on Housing Affordability’, </w:t>
      </w:r>
      <w:r w:rsidRPr="00C115D4">
        <w:rPr>
          <w:rFonts w:cstheme="minorHAnsi"/>
          <w:i/>
          <w:iCs/>
          <w:sz w:val="20"/>
          <w:szCs w:val="20"/>
          <w:lang w:val="en-GB"/>
        </w:rPr>
        <w:t>Economic Policy Review</w:t>
      </w:r>
      <w:r w:rsidRPr="00C115D4">
        <w:rPr>
          <w:rFonts w:cstheme="minorHAnsi"/>
          <w:sz w:val="20"/>
          <w:szCs w:val="20"/>
          <w:lang w:val="en-GB"/>
        </w:rPr>
        <w:t xml:space="preserve">, 9(2), pp 21–39. </w:t>
      </w:r>
      <w:hyperlink r:id="rId68" w:history="1">
        <w:r w:rsidRPr="00C115D4">
          <w:rPr>
            <w:rStyle w:val="Hyperlink"/>
            <w:rFonts w:cstheme="minorHAnsi"/>
            <w:sz w:val="20"/>
            <w:szCs w:val="20"/>
            <w:lang w:val="en-GB"/>
          </w:rPr>
          <w:t>https://www.newyorkfed.org/research/epr/03v09n2/0306glae.pdf</w:t>
        </w:r>
      </w:hyperlink>
    </w:p>
    <w:p w14:paraId="2C6FA1D9" w14:textId="77036014" w:rsidR="00FE35E3" w:rsidRPr="00C115D4" w:rsidRDefault="00FE35E3" w:rsidP="00E8734C">
      <w:pPr>
        <w:spacing w:after="60" w:line="240" w:lineRule="auto"/>
        <w:ind w:left="284" w:hanging="284"/>
        <w:rPr>
          <w:rFonts w:cstheme="minorHAnsi"/>
          <w:sz w:val="20"/>
          <w:szCs w:val="20"/>
        </w:rPr>
      </w:pPr>
      <w:proofErr w:type="spellStart"/>
      <w:r w:rsidRPr="00C115D4">
        <w:rPr>
          <w:rFonts w:cstheme="minorHAnsi"/>
          <w:sz w:val="20"/>
          <w:szCs w:val="20"/>
          <w:lang w:val="en-GB"/>
        </w:rPr>
        <w:t>Glaeser</w:t>
      </w:r>
      <w:proofErr w:type="spellEnd"/>
      <w:r w:rsidRPr="00C115D4">
        <w:rPr>
          <w:rFonts w:cstheme="minorHAnsi"/>
          <w:sz w:val="20"/>
          <w:szCs w:val="20"/>
          <w:lang w:val="en-GB"/>
        </w:rPr>
        <w:t xml:space="preserve">, Edward and Joseph </w:t>
      </w:r>
      <w:proofErr w:type="spellStart"/>
      <w:r w:rsidRPr="00C115D4">
        <w:rPr>
          <w:rFonts w:cstheme="minorHAnsi"/>
          <w:sz w:val="20"/>
          <w:szCs w:val="20"/>
          <w:lang w:val="en-GB"/>
        </w:rPr>
        <w:t>Gyourko</w:t>
      </w:r>
      <w:proofErr w:type="spellEnd"/>
      <w:r w:rsidRPr="00C115D4">
        <w:rPr>
          <w:rFonts w:cstheme="minorHAnsi"/>
          <w:sz w:val="20"/>
          <w:szCs w:val="20"/>
          <w:lang w:val="en-GB"/>
        </w:rPr>
        <w:t xml:space="preserve"> (2018) </w:t>
      </w:r>
      <w:r w:rsidR="001A3B73" w:rsidRPr="00C115D4">
        <w:rPr>
          <w:rFonts w:cstheme="minorHAnsi"/>
          <w:sz w:val="20"/>
          <w:szCs w:val="20"/>
          <w:lang w:val="en-GB"/>
        </w:rPr>
        <w:t>‘</w:t>
      </w:r>
      <w:r w:rsidRPr="00C115D4">
        <w:rPr>
          <w:rFonts w:cstheme="minorHAnsi"/>
          <w:sz w:val="20"/>
          <w:szCs w:val="20"/>
          <w:lang w:val="en-GB"/>
        </w:rPr>
        <w:t>The Economic Implications of Housing Supply</w:t>
      </w:r>
      <w:r w:rsidR="001A3B73" w:rsidRPr="00C115D4">
        <w:rPr>
          <w:rFonts w:cstheme="minorHAnsi"/>
          <w:sz w:val="20"/>
          <w:szCs w:val="20"/>
          <w:lang w:val="en-GB"/>
        </w:rPr>
        <w:t>’</w:t>
      </w:r>
      <w:r w:rsidRPr="00C115D4">
        <w:rPr>
          <w:rFonts w:cstheme="minorHAnsi"/>
          <w:sz w:val="20"/>
          <w:szCs w:val="20"/>
          <w:lang w:val="en-GB"/>
        </w:rPr>
        <w:t xml:space="preserve"> </w:t>
      </w:r>
      <w:hyperlink r:id="rId69" w:history="1">
        <w:r w:rsidRPr="00C115D4">
          <w:rPr>
            <w:rStyle w:val="Hyperlink"/>
            <w:rFonts w:cstheme="minorHAnsi"/>
            <w:sz w:val="20"/>
            <w:szCs w:val="20"/>
            <w:lang w:val="en-GB"/>
          </w:rPr>
          <w:t>Journal of Economic Perspectives</w:t>
        </w:r>
      </w:hyperlink>
      <w:r w:rsidRPr="00C115D4">
        <w:rPr>
          <w:rStyle w:val="Hyperlink"/>
          <w:rFonts w:cstheme="minorHAnsi"/>
          <w:sz w:val="20"/>
          <w:szCs w:val="20"/>
          <w:lang w:val="en-GB"/>
        </w:rPr>
        <w:t xml:space="preserve"> </w:t>
      </w:r>
      <w:r w:rsidRPr="00C115D4">
        <w:rPr>
          <w:rFonts w:cstheme="minorHAnsi"/>
          <w:sz w:val="20"/>
          <w:szCs w:val="20"/>
          <w:lang w:val="en-GB"/>
        </w:rPr>
        <w:t xml:space="preserve">Vol. 32, No. 1, pp. 3-30 </w:t>
      </w:r>
    </w:p>
    <w:p w14:paraId="51A0CFD5" w14:textId="77777777" w:rsidR="00FE35E3" w:rsidRPr="00C115D4" w:rsidRDefault="00FE35E3" w:rsidP="00E8734C">
      <w:pPr>
        <w:spacing w:after="60" w:line="240" w:lineRule="auto"/>
        <w:ind w:left="284" w:hanging="284"/>
        <w:rPr>
          <w:rFonts w:cstheme="minorHAnsi"/>
          <w:sz w:val="20"/>
          <w:szCs w:val="20"/>
          <w:lang w:val="en-GB"/>
        </w:rPr>
      </w:pPr>
      <w:proofErr w:type="spellStart"/>
      <w:r w:rsidRPr="00C115D4">
        <w:rPr>
          <w:rFonts w:cstheme="minorHAnsi"/>
          <w:sz w:val="20"/>
          <w:szCs w:val="20"/>
          <w:lang w:val="en-GB"/>
        </w:rPr>
        <w:t>Glaeser</w:t>
      </w:r>
      <w:proofErr w:type="spellEnd"/>
      <w:r w:rsidRPr="00C115D4">
        <w:rPr>
          <w:rFonts w:cstheme="minorHAnsi"/>
          <w:sz w:val="20"/>
          <w:szCs w:val="20"/>
          <w:lang w:val="en-GB"/>
        </w:rPr>
        <w:t xml:space="preserve">, Edward, Joseph </w:t>
      </w:r>
      <w:proofErr w:type="spellStart"/>
      <w:r w:rsidRPr="00C115D4">
        <w:rPr>
          <w:rFonts w:cstheme="minorHAnsi"/>
          <w:sz w:val="20"/>
          <w:szCs w:val="20"/>
          <w:lang w:val="en-GB"/>
        </w:rPr>
        <w:t>Gyourko</w:t>
      </w:r>
      <w:proofErr w:type="spellEnd"/>
      <w:r w:rsidRPr="00C115D4">
        <w:rPr>
          <w:rFonts w:cstheme="minorHAnsi"/>
          <w:sz w:val="20"/>
          <w:szCs w:val="20"/>
          <w:lang w:val="en-GB"/>
        </w:rPr>
        <w:t xml:space="preserve"> and Raven Saks (2005), ‘Why is Manhattan so Expensive? Regulation and the Rise in Housing Prices’, </w:t>
      </w:r>
      <w:r w:rsidRPr="00B16C30">
        <w:rPr>
          <w:rFonts w:cstheme="minorHAnsi"/>
          <w:i/>
          <w:iCs/>
          <w:sz w:val="20"/>
          <w:szCs w:val="20"/>
          <w:lang w:val="en-GB"/>
        </w:rPr>
        <w:t>The Journal of Law &amp; Economics</w:t>
      </w:r>
      <w:r w:rsidRPr="00C115D4">
        <w:rPr>
          <w:rFonts w:cstheme="minorHAnsi"/>
          <w:sz w:val="20"/>
          <w:szCs w:val="20"/>
          <w:lang w:val="en-GB"/>
        </w:rPr>
        <w:t xml:space="preserve">, 48(2), pp 331–369. </w:t>
      </w:r>
      <w:hyperlink r:id="rId70" w:history="1">
        <w:r w:rsidRPr="00C115D4">
          <w:rPr>
            <w:rStyle w:val="Hyperlink"/>
            <w:rFonts w:cstheme="minorHAnsi"/>
            <w:sz w:val="20"/>
            <w:szCs w:val="20"/>
            <w:lang w:val="en-GB"/>
          </w:rPr>
          <w:t>https://repository.upenn.edu/cgi/viewcontent.cgi?article=1007&amp;context=penniur_papers</w:t>
        </w:r>
      </w:hyperlink>
    </w:p>
    <w:p w14:paraId="038F04AE" w14:textId="582BC888" w:rsidR="00A7583C" w:rsidRPr="00C115D4" w:rsidRDefault="000F5902" w:rsidP="00E8734C">
      <w:pPr>
        <w:spacing w:after="60" w:line="240" w:lineRule="auto"/>
        <w:ind w:left="284" w:hanging="284"/>
        <w:rPr>
          <w:rFonts w:cstheme="minorHAnsi"/>
          <w:sz w:val="20"/>
          <w:szCs w:val="20"/>
        </w:rPr>
      </w:pPr>
      <w:proofErr w:type="spellStart"/>
      <w:r w:rsidRPr="00C115D4">
        <w:rPr>
          <w:rFonts w:cstheme="minorHAnsi"/>
          <w:sz w:val="20"/>
          <w:szCs w:val="20"/>
        </w:rPr>
        <w:t>Glaeser</w:t>
      </w:r>
      <w:proofErr w:type="spellEnd"/>
      <w:r w:rsidRPr="00C115D4">
        <w:rPr>
          <w:rFonts w:cstheme="minorHAnsi"/>
          <w:sz w:val="20"/>
          <w:szCs w:val="20"/>
        </w:rPr>
        <w:t xml:space="preserve">, </w:t>
      </w:r>
      <w:r w:rsidRPr="00C115D4">
        <w:rPr>
          <w:rFonts w:cstheme="minorHAnsi"/>
          <w:sz w:val="20"/>
          <w:szCs w:val="20"/>
          <w:lang w:val="en-GB"/>
        </w:rPr>
        <w:t>Edward and D</w:t>
      </w:r>
      <w:r w:rsidR="000F5DC5" w:rsidRPr="00C115D4">
        <w:rPr>
          <w:rFonts w:cstheme="minorHAnsi"/>
          <w:sz w:val="20"/>
          <w:szCs w:val="20"/>
          <w:lang w:val="en-GB"/>
        </w:rPr>
        <w:t>avid</w:t>
      </w:r>
      <w:r w:rsidRPr="00C115D4">
        <w:rPr>
          <w:rFonts w:cstheme="minorHAnsi"/>
          <w:sz w:val="20"/>
          <w:szCs w:val="20"/>
        </w:rPr>
        <w:t xml:space="preserve"> </w:t>
      </w:r>
      <w:proofErr w:type="spellStart"/>
      <w:r w:rsidRPr="00C115D4">
        <w:rPr>
          <w:rFonts w:cstheme="minorHAnsi"/>
          <w:sz w:val="20"/>
          <w:szCs w:val="20"/>
        </w:rPr>
        <w:t>Maré</w:t>
      </w:r>
      <w:proofErr w:type="spellEnd"/>
      <w:r w:rsidRPr="00C115D4">
        <w:rPr>
          <w:rFonts w:cstheme="minorHAnsi"/>
          <w:sz w:val="20"/>
          <w:szCs w:val="20"/>
        </w:rPr>
        <w:t xml:space="preserve"> </w:t>
      </w:r>
      <w:r w:rsidR="000F5DC5" w:rsidRPr="00C115D4">
        <w:rPr>
          <w:rFonts w:cstheme="minorHAnsi"/>
          <w:sz w:val="20"/>
          <w:szCs w:val="20"/>
        </w:rPr>
        <w:t xml:space="preserve">(2001) </w:t>
      </w:r>
      <w:r w:rsidR="00A7583C" w:rsidRPr="00C115D4">
        <w:rPr>
          <w:rFonts w:cstheme="minorHAnsi"/>
          <w:sz w:val="20"/>
          <w:szCs w:val="20"/>
        </w:rPr>
        <w:t xml:space="preserve">‘Cities and Skills’ </w:t>
      </w:r>
      <w:r w:rsidR="003A68FC" w:rsidRPr="00C115D4">
        <w:rPr>
          <w:rFonts w:cstheme="minorHAnsi"/>
          <w:i/>
          <w:iCs/>
          <w:sz w:val="20"/>
          <w:szCs w:val="20"/>
        </w:rPr>
        <w:t xml:space="preserve">Journal of </w:t>
      </w:r>
      <w:proofErr w:type="spellStart"/>
      <w:r w:rsidR="003A68FC" w:rsidRPr="00C115D4">
        <w:rPr>
          <w:rFonts w:cstheme="minorHAnsi"/>
          <w:i/>
          <w:iCs/>
          <w:sz w:val="20"/>
          <w:szCs w:val="20"/>
        </w:rPr>
        <w:t>Labor</w:t>
      </w:r>
      <w:proofErr w:type="spellEnd"/>
      <w:r w:rsidR="003A68FC" w:rsidRPr="00C115D4">
        <w:rPr>
          <w:rFonts w:cstheme="minorHAnsi"/>
          <w:i/>
          <w:iCs/>
          <w:sz w:val="20"/>
          <w:szCs w:val="20"/>
        </w:rPr>
        <w:t xml:space="preserve"> Economics</w:t>
      </w:r>
      <w:r w:rsidR="00A7583C" w:rsidRPr="00C115D4">
        <w:rPr>
          <w:rFonts w:cstheme="minorHAnsi"/>
          <w:sz w:val="20"/>
          <w:szCs w:val="20"/>
        </w:rPr>
        <w:t xml:space="preserve">, </w:t>
      </w:r>
      <w:r w:rsidR="003A68FC" w:rsidRPr="00C115D4">
        <w:rPr>
          <w:rFonts w:cstheme="minorHAnsi"/>
          <w:sz w:val="20"/>
          <w:szCs w:val="20"/>
        </w:rPr>
        <w:t xml:space="preserve">Volume 19, Number 2 </w:t>
      </w:r>
      <w:hyperlink r:id="rId71" w:history="1">
        <w:r w:rsidR="00A7583C" w:rsidRPr="00C115D4">
          <w:rPr>
            <w:rStyle w:val="Hyperlink"/>
            <w:rFonts w:cstheme="minorHAnsi"/>
            <w:sz w:val="20"/>
            <w:szCs w:val="20"/>
          </w:rPr>
          <w:t>https://www.journals.uchicago.edu/doi/abs/10.1086/319563</w:t>
        </w:r>
      </w:hyperlink>
    </w:p>
    <w:p w14:paraId="612DA832" w14:textId="5020B907" w:rsidR="00FE35E3" w:rsidRPr="00C115D4" w:rsidRDefault="00FE35E3" w:rsidP="00E8734C">
      <w:pPr>
        <w:spacing w:after="60" w:line="240" w:lineRule="auto"/>
        <w:ind w:left="284" w:hanging="284"/>
        <w:rPr>
          <w:rFonts w:cstheme="minorHAnsi"/>
          <w:sz w:val="20"/>
          <w:szCs w:val="20"/>
        </w:rPr>
      </w:pPr>
      <w:proofErr w:type="spellStart"/>
      <w:r w:rsidRPr="00C115D4">
        <w:rPr>
          <w:rFonts w:cstheme="minorHAnsi"/>
          <w:sz w:val="20"/>
          <w:szCs w:val="20"/>
        </w:rPr>
        <w:t>Gyourko</w:t>
      </w:r>
      <w:proofErr w:type="spellEnd"/>
      <w:r w:rsidRPr="00C115D4">
        <w:rPr>
          <w:rFonts w:cstheme="minorHAnsi"/>
          <w:sz w:val="20"/>
          <w:szCs w:val="20"/>
        </w:rPr>
        <w:t xml:space="preserve">, Joseph and Jacob </w:t>
      </w:r>
      <w:proofErr w:type="spellStart"/>
      <w:r w:rsidRPr="00C115D4">
        <w:rPr>
          <w:rFonts w:cstheme="minorHAnsi"/>
          <w:sz w:val="20"/>
          <w:szCs w:val="20"/>
        </w:rPr>
        <w:t>Krimmel</w:t>
      </w:r>
      <w:proofErr w:type="spellEnd"/>
      <w:r w:rsidRPr="00C115D4">
        <w:rPr>
          <w:rFonts w:cstheme="minorHAnsi"/>
          <w:sz w:val="20"/>
          <w:szCs w:val="20"/>
        </w:rPr>
        <w:t xml:space="preserve"> (</w:t>
      </w:r>
      <w:hyperlink r:id="rId72" w:history="1">
        <w:r w:rsidRPr="00C115D4">
          <w:rPr>
            <w:rStyle w:val="Hyperlink"/>
            <w:rFonts w:cstheme="minorHAnsi"/>
            <w:sz w:val="20"/>
            <w:szCs w:val="20"/>
          </w:rPr>
          <w:t>2021</w:t>
        </w:r>
      </w:hyperlink>
      <w:r w:rsidRPr="00C115D4">
        <w:rPr>
          <w:rFonts w:cstheme="minorHAnsi"/>
          <w:sz w:val="20"/>
          <w:szCs w:val="20"/>
        </w:rPr>
        <w:t xml:space="preserve">) </w:t>
      </w:r>
      <w:r w:rsidR="001A3B73" w:rsidRPr="00C115D4">
        <w:rPr>
          <w:rFonts w:cstheme="minorHAnsi"/>
          <w:sz w:val="20"/>
          <w:szCs w:val="20"/>
        </w:rPr>
        <w:t>‘</w:t>
      </w:r>
      <w:r w:rsidRPr="00C115D4">
        <w:rPr>
          <w:rFonts w:cstheme="minorHAnsi"/>
          <w:sz w:val="20"/>
          <w:szCs w:val="20"/>
        </w:rPr>
        <w:t>The Impact of Local Residential Land Use Restrictions on Land Values Across and Within Single Family Housing Markets</w:t>
      </w:r>
      <w:r w:rsidR="001A3B73" w:rsidRPr="00C115D4">
        <w:rPr>
          <w:rFonts w:cstheme="minorHAnsi"/>
          <w:sz w:val="20"/>
          <w:szCs w:val="20"/>
        </w:rPr>
        <w:t>’</w:t>
      </w:r>
      <w:r w:rsidRPr="00C115D4">
        <w:rPr>
          <w:rFonts w:cstheme="minorHAnsi"/>
          <w:sz w:val="20"/>
          <w:szCs w:val="20"/>
        </w:rPr>
        <w:t xml:space="preserve"> </w:t>
      </w:r>
      <w:r w:rsidRPr="0078326C">
        <w:rPr>
          <w:rFonts w:cstheme="minorHAnsi"/>
          <w:i/>
          <w:iCs/>
          <w:sz w:val="20"/>
          <w:szCs w:val="20"/>
        </w:rPr>
        <w:t>Journal of Urban Economics</w:t>
      </w:r>
      <w:r w:rsidRPr="00C115D4">
        <w:rPr>
          <w:rFonts w:cstheme="minorHAnsi"/>
          <w:sz w:val="20"/>
          <w:szCs w:val="20"/>
        </w:rPr>
        <w:t xml:space="preserve"> </w:t>
      </w:r>
      <w:hyperlink r:id="rId73" w:history="1">
        <w:r w:rsidRPr="00C115D4">
          <w:rPr>
            <w:rStyle w:val="Hyperlink"/>
            <w:rFonts w:cstheme="minorHAnsi"/>
            <w:sz w:val="20"/>
            <w:szCs w:val="20"/>
          </w:rPr>
          <w:t>http://www.nber.org/papers/w28993</w:t>
        </w:r>
      </w:hyperlink>
    </w:p>
    <w:p w14:paraId="2F9A65EC" w14:textId="77777777" w:rsidR="00FE35E3" w:rsidRPr="00C115D4" w:rsidRDefault="00FE35E3" w:rsidP="00E8734C">
      <w:pPr>
        <w:spacing w:after="60" w:line="240" w:lineRule="auto"/>
        <w:ind w:left="284" w:hanging="284"/>
        <w:rPr>
          <w:rFonts w:cstheme="minorHAnsi"/>
          <w:sz w:val="20"/>
          <w:szCs w:val="20"/>
        </w:rPr>
      </w:pPr>
      <w:proofErr w:type="spellStart"/>
      <w:r w:rsidRPr="00C115D4">
        <w:rPr>
          <w:rFonts w:cstheme="minorHAnsi"/>
          <w:sz w:val="20"/>
          <w:szCs w:val="20"/>
        </w:rPr>
        <w:t>Gyourko</w:t>
      </w:r>
      <w:proofErr w:type="spellEnd"/>
      <w:r w:rsidRPr="00C115D4">
        <w:rPr>
          <w:rFonts w:cstheme="minorHAnsi"/>
          <w:sz w:val="20"/>
          <w:szCs w:val="20"/>
        </w:rPr>
        <w:t xml:space="preserve"> Joseph and Raven Molloy (2015), ‘Regulation and Housing Supply’, </w:t>
      </w:r>
      <w:r w:rsidRPr="0078326C">
        <w:rPr>
          <w:rFonts w:cstheme="minorHAnsi"/>
          <w:i/>
          <w:iCs/>
          <w:sz w:val="20"/>
          <w:szCs w:val="20"/>
        </w:rPr>
        <w:t>Handbook of Regional and Urban Economics</w:t>
      </w:r>
      <w:r w:rsidRPr="00C115D4">
        <w:rPr>
          <w:rFonts w:cstheme="minorHAnsi"/>
          <w:sz w:val="20"/>
          <w:szCs w:val="20"/>
        </w:rPr>
        <w:t xml:space="preserve">, 5, pp 1289–1337. </w:t>
      </w:r>
      <w:hyperlink r:id="rId74" w:history="1">
        <w:r w:rsidRPr="00C115D4">
          <w:rPr>
            <w:rStyle w:val="Hyperlink"/>
            <w:rFonts w:cstheme="minorHAnsi"/>
            <w:sz w:val="20"/>
            <w:szCs w:val="20"/>
          </w:rPr>
          <w:t>http://www.nber.org/papers/w20536</w:t>
        </w:r>
      </w:hyperlink>
    </w:p>
    <w:p w14:paraId="5144EDD1" w14:textId="49006A65" w:rsidR="00FE35E3" w:rsidRPr="00C115D4" w:rsidRDefault="00FE35E3" w:rsidP="00E8734C">
      <w:pPr>
        <w:spacing w:after="60" w:line="240" w:lineRule="auto"/>
        <w:ind w:left="284" w:hanging="284"/>
        <w:rPr>
          <w:rFonts w:cstheme="minorHAnsi"/>
          <w:sz w:val="20"/>
          <w:szCs w:val="20"/>
        </w:rPr>
      </w:pPr>
      <w:r w:rsidRPr="00C115D4">
        <w:rPr>
          <w:rFonts w:cstheme="minorHAnsi"/>
          <w:sz w:val="20"/>
          <w:szCs w:val="20"/>
        </w:rPr>
        <w:t xml:space="preserve">Hamilton, Emily (2021) </w:t>
      </w:r>
      <w:r w:rsidR="001A3B73" w:rsidRPr="00C115D4">
        <w:rPr>
          <w:rFonts w:cstheme="minorHAnsi"/>
          <w:sz w:val="20"/>
          <w:szCs w:val="20"/>
        </w:rPr>
        <w:t>‘</w:t>
      </w:r>
      <w:r w:rsidRPr="00C115D4">
        <w:rPr>
          <w:rFonts w:cstheme="minorHAnsi"/>
          <w:sz w:val="20"/>
          <w:szCs w:val="20"/>
        </w:rPr>
        <w:t>Land Use Regulation and Housing Affordability</w:t>
      </w:r>
      <w:r w:rsidR="001A3B73" w:rsidRPr="00C115D4">
        <w:rPr>
          <w:rFonts w:cstheme="minorHAnsi"/>
          <w:sz w:val="20"/>
          <w:szCs w:val="20"/>
        </w:rPr>
        <w:t>’</w:t>
      </w:r>
      <w:r w:rsidRPr="00C115D4">
        <w:rPr>
          <w:rFonts w:cstheme="minorHAnsi"/>
          <w:sz w:val="20"/>
          <w:szCs w:val="20"/>
        </w:rPr>
        <w:t xml:space="preserve"> Chapter 9 in </w:t>
      </w:r>
      <w:r w:rsidRPr="00C115D4">
        <w:rPr>
          <w:rFonts w:cstheme="minorHAnsi"/>
          <w:i/>
          <w:sz w:val="20"/>
          <w:szCs w:val="20"/>
        </w:rPr>
        <w:t xml:space="preserve">Regulation and Economic Opportunity: Blueprints for Reform </w:t>
      </w:r>
      <w:r w:rsidRPr="00C115D4">
        <w:rPr>
          <w:rFonts w:cstheme="minorHAnsi"/>
          <w:sz w:val="20"/>
          <w:szCs w:val="20"/>
        </w:rPr>
        <w:t xml:space="preserve">edited by Adam Hoffer and Todd Nesbit </w:t>
      </w:r>
      <w:hyperlink r:id="rId75" w:history="1">
        <w:r w:rsidRPr="00C115D4">
          <w:rPr>
            <w:rStyle w:val="Hyperlink"/>
            <w:rFonts w:cstheme="minorHAnsi"/>
            <w:sz w:val="20"/>
            <w:szCs w:val="20"/>
          </w:rPr>
          <w:t>https://www.thecgo.org/wp-content/uploads/2021/04/Regulation_and_Economic_Opportunity_Blueprints_for_Reform.pdf</w:t>
        </w:r>
      </w:hyperlink>
    </w:p>
    <w:p w14:paraId="3E3F8CAA" w14:textId="6D602980" w:rsidR="00FE35E3" w:rsidRPr="00C115D4" w:rsidRDefault="00FE35E3" w:rsidP="00E8734C">
      <w:pPr>
        <w:spacing w:after="60" w:line="240" w:lineRule="auto"/>
        <w:ind w:left="284" w:hanging="284"/>
        <w:rPr>
          <w:rStyle w:val="Hyperlink"/>
          <w:rFonts w:cstheme="minorHAnsi"/>
          <w:sz w:val="20"/>
          <w:szCs w:val="20"/>
        </w:rPr>
      </w:pPr>
      <w:proofErr w:type="spellStart"/>
      <w:r w:rsidRPr="00C115D4">
        <w:rPr>
          <w:rFonts w:cstheme="minorHAnsi"/>
          <w:sz w:val="20"/>
          <w:szCs w:val="20"/>
        </w:rPr>
        <w:t>Hilber</w:t>
      </w:r>
      <w:proofErr w:type="spellEnd"/>
      <w:r w:rsidRPr="00C115D4">
        <w:rPr>
          <w:rFonts w:cstheme="minorHAnsi"/>
          <w:sz w:val="20"/>
          <w:szCs w:val="20"/>
        </w:rPr>
        <w:t xml:space="preserve">, Christian and </w:t>
      </w:r>
      <w:proofErr w:type="spellStart"/>
      <w:r w:rsidRPr="00C115D4">
        <w:rPr>
          <w:rFonts w:cstheme="minorHAnsi"/>
          <w:sz w:val="20"/>
          <w:szCs w:val="20"/>
        </w:rPr>
        <w:t>Wouter</w:t>
      </w:r>
      <w:proofErr w:type="spellEnd"/>
      <w:r w:rsidRPr="00C115D4">
        <w:rPr>
          <w:rFonts w:cstheme="minorHAnsi"/>
          <w:sz w:val="20"/>
          <w:szCs w:val="20"/>
        </w:rPr>
        <w:t xml:space="preserve"> Vermeulen (2016), ‘The Impact of Supply Constraints on House Prices in England’, </w:t>
      </w:r>
      <w:r w:rsidRPr="0078326C">
        <w:rPr>
          <w:rFonts w:cstheme="minorHAnsi"/>
          <w:i/>
          <w:iCs/>
          <w:sz w:val="20"/>
          <w:szCs w:val="20"/>
        </w:rPr>
        <w:t>The Economic Journal</w:t>
      </w:r>
      <w:r w:rsidRPr="00C115D4">
        <w:rPr>
          <w:rFonts w:cstheme="minorHAnsi"/>
          <w:sz w:val="20"/>
          <w:szCs w:val="20"/>
        </w:rPr>
        <w:t xml:space="preserve">, 126(591), pp 358–405. </w:t>
      </w:r>
      <w:hyperlink r:id="rId76" w:history="1">
        <w:r w:rsidRPr="00C115D4">
          <w:rPr>
            <w:rStyle w:val="Hyperlink"/>
            <w:rFonts w:cstheme="minorHAnsi"/>
            <w:sz w:val="20"/>
            <w:szCs w:val="20"/>
          </w:rPr>
          <w:t>https://onlinelibrary.wiley.com/doi/epdf/10.1111/ecoj.12213</w:t>
        </w:r>
      </w:hyperlink>
    </w:p>
    <w:p w14:paraId="678D9A7C" w14:textId="283C5193" w:rsidR="00EB1881" w:rsidRPr="00C115D4" w:rsidRDefault="00DC6C1E" w:rsidP="00E8734C">
      <w:pPr>
        <w:spacing w:after="60" w:line="240" w:lineRule="auto"/>
        <w:ind w:left="284" w:hanging="284"/>
        <w:rPr>
          <w:rFonts w:cstheme="minorHAnsi"/>
          <w:sz w:val="20"/>
          <w:szCs w:val="20"/>
        </w:rPr>
      </w:pPr>
      <w:r w:rsidRPr="00C115D4">
        <w:rPr>
          <w:rFonts w:cstheme="minorHAnsi"/>
          <w:sz w:val="20"/>
          <w:szCs w:val="20"/>
        </w:rPr>
        <w:t>Hsieh</w:t>
      </w:r>
      <w:r w:rsidR="00EB1881" w:rsidRPr="00C115D4">
        <w:rPr>
          <w:rFonts w:cstheme="minorHAnsi"/>
          <w:sz w:val="20"/>
          <w:szCs w:val="20"/>
        </w:rPr>
        <w:t>,</w:t>
      </w:r>
      <w:r w:rsidRPr="00C115D4">
        <w:rPr>
          <w:rFonts w:cstheme="minorHAnsi"/>
          <w:sz w:val="20"/>
          <w:szCs w:val="20"/>
        </w:rPr>
        <w:t xml:space="preserve"> </w:t>
      </w:r>
      <w:r w:rsidR="00EB1881" w:rsidRPr="00C115D4">
        <w:rPr>
          <w:rFonts w:cstheme="minorHAnsi"/>
          <w:sz w:val="20"/>
          <w:szCs w:val="20"/>
        </w:rPr>
        <w:t xml:space="preserve">Chang-Tai </w:t>
      </w:r>
      <w:r w:rsidRPr="00C115D4">
        <w:rPr>
          <w:rFonts w:cstheme="minorHAnsi"/>
          <w:sz w:val="20"/>
          <w:szCs w:val="20"/>
        </w:rPr>
        <w:t>and Enrico Moretti</w:t>
      </w:r>
      <w:r w:rsidR="00EB1881" w:rsidRPr="00C115D4">
        <w:rPr>
          <w:rFonts w:cstheme="minorHAnsi"/>
          <w:sz w:val="20"/>
          <w:szCs w:val="20"/>
        </w:rPr>
        <w:t xml:space="preserve"> ‘Housing Constraints and Spatial Misallocation’ </w:t>
      </w:r>
      <w:r w:rsidRPr="00C115D4">
        <w:rPr>
          <w:rFonts w:cstheme="minorHAnsi"/>
          <w:i/>
          <w:sz w:val="20"/>
          <w:szCs w:val="20"/>
        </w:rPr>
        <w:t>American Economic Journal: Macroeconomics</w:t>
      </w:r>
      <w:r w:rsidRPr="00C115D4">
        <w:rPr>
          <w:rFonts w:cstheme="minorHAnsi"/>
          <w:sz w:val="20"/>
          <w:szCs w:val="20"/>
        </w:rPr>
        <w:t xml:space="preserve"> 2019, 11(2): 1–39</w:t>
      </w:r>
      <w:r w:rsidR="00EB1881" w:rsidRPr="00C115D4">
        <w:rPr>
          <w:rFonts w:cstheme="minorHAnsi"/>
          <w:sz w:val="20"/>
          <w:szCs w:val="20"/>
        </w:rPr>
        <w:t xml:space="preserve">; </w:t>
      </w:r>
      <w:hyperlink r:id="rId77" w:history="1">
        <w:r w:rsidR="00EB1881" w:rsidRPr="00C115D4">
          <w:rPr>
            <w:rStyle w:val="Hyperlink"/>
            <w:rFonts w:cstheme="minorHAnsi"/>
            <w:sz w:val="20"/>
            <w:szCs w:val="20"/>
          </w:rPr>
          <w:t>https://eml.berkeley.edu/~moretti/growth.pdf</w:t>
        </w:r>
      </w:hyperlink>
    </w:p>
    <w:p w14:paraId="4FA63F99" w14:textId="119F4138" w:rsidR="00175778" w:rsidRPr="00C115D4" w:rsidRDefault="00175778" w:rsidP="00E8734C">
      <w:pPr>
        <w:spacing w:after="60" w:line="240" w:lineRule="auto"/>
        <w:ind w:left="284" w:hanging="284"/>
        <w:rPr>
          <w:rFonts w:cstheme="minorHAnsi"/>
          <w:sz w:val="20"/>
          <w:szCs w:val="20"/>
        </w:rPr>
      </w:pPr>
      <w:r w:rsidRPr="00C115D4">
        <w:rPr>
          <w:rFonts w:cstheme="minorHAnsi"/>
          <w:sz w:val="20"/>
          <w:szCs w:val="20"/>
        </w:rPr>
        <w:t xml:space="preserve">IMF (2021) </w:t>
      </w:r>
      <w:r w:rsidR="001A3B73" w:rsidRPr="00C115D4">
        <w:rPr>
          <w:rFonts w:cstheme="minorHAnsi"/>
          <w:sz w:val="20"/>
          <w:szCs w:val="20"/>
        </w:rPr>
        <w:t>‘</w:t>
      </w:r>
      <w:r w:rsidRPr="00C115D4">
        <w:rPr>
          <w:rFonts w:cstheme="minorHAnsi"/>
          <w:sz w:val="20"/>
          <w:szCs w:val="20"/>
        </w:rPr>
        <w:t>Australia: Staff Concluding Statement of the 2021 Article IV Discussions</w:t>
      </w:r>
      <w:r w:rsidR="001A3B73" w:rsidRPr="00C115D4">
        <w:rPr>
          <w:rFonts w:cstheme="minorHAnsi"/>
          <w:sz w:val="20"/>
          <w:szCs w:val="20"/>
        </w:rPr>
        <w:t>’</w:t>
      </w:r>
      <w:r w:rsidRPr="00C115D4">
        <w:rPr>
          <w:rFonts w:cstheme="minorHAnsi"/>
          <w:sz w:val="20"/>
          <w:szCs w:val="20"/>
        </w:rPr>
        <w:t xml:space="preserve"> </w:t>
      </w:r>
      <w:hyperlink r:id="rId78" w:history="1">
        <w:r w:rsidRPr="00C115D4">
          <w:rPr>
            <w:rStyle w:val="Hyperlink"/>
            <w:rFonts w:cstheme="minorHAnsi"/>
            <w:sz w:val="20"/>
            <w:szCs w:val="20"/>
          </w:rPr>
          <w:t>https://www.imf.org/en/News/Articles/2021/09/23/mcs092321-australia-staff-concluding-statement-of-the-2021-article-iv-discussions</w:t>
        </w:r>
      </w:hyperlink>
    </w:p>
    <w:p w14:paraId="67D3848B" w14:textId="1829E2F9" w:rsidR="00FE35E3" w:rsidRPr="00C115D4" w:rsidRDefault="00FE35E3" w:rsidP="00E8734C">
      <w:pPr>
        <w:spacing w:after="60" w:line="240" w:lineRule="auto"/>
        <w:ind w:left="284" w:hanging="284"/>
        <w:rPr>
          <w:rFonts w:cstheme="minorHAnsi"/>
          <w:sz w:val="20"/>
          <w:szCs w:val="20"/>
        </w:rPr>
      </w:pPr>
      <w:r w:rsidRPr="00C115D4">
        <w:rPr>
          <w:rFonts w:cstheme="minorHAnsi"/>
          <w:sz w:val="20"/>
          <w:szCs w:val="20"/>
        </w:rPr>
        <w:t xml:space="preserve">Jenner, Keaton and Peter Tulip (2020) </w:t>
      </w:r>
      <w:r w:rsidR="001A3B73" w:rsidRPr="00C115D4">
        <w:rPr>
          <w:rFonts w:cstheme="minorHAnsi"/>
          <w:sz w:val="20"/>
          <w:szCs w:val="20"/>
        </w:rPr>
        <w:t>‘</w:t>
      </w:r>
      <w:r w:rsidRPr="00C115D4">
        <w:rPr>
          <w:rFonts w:cstheme="minorHAnsi"/>
          <w:sz w:val="20"/>
          <w:szCs w:val="20"/>
        </w:rPr>
        <w:t>The Apartment Shortage</w:t>
      </w:r>
      <w:r w:rsidR="001A3B73" w:rsidRPr="00C115D4">
        <w:rPr>
          <w:rFonts w:cstheme="minorHAnsi"/>
          <w:sz w:val="20"/>
          <w:szCs w:val="20"/>
        </w:rPr>
        <w:t>’</w:t>
      </w:r>
      <w:r w:rsidRPr="00C115D4">
        <w:rPr>
          <w:rFonts w:cstheme="minorHAnsi"/>
          <w:sz w:val="20"/>
          <w:szCs w:val="20"/>
        </w:rPr>
        <w:t xml:space="preserve"> </w:t>
      </w:r>
      <w:hyperlink r:id="rId79" w:history="1">
        <w:r w:rsidRPr="00C115D4">
          <w:rPr>
            <w:rStyle w:val="Hyperlink"/>
            <w:rFonts w:cstheme="minorHAnsi"/>
            <w:sz w:val="20"/>
            <w:szCs w:val="20"/>
          </w:rPr>
          <w:t>https://www.rba.gov.au/publications/rdp/2020/2020-04.html</w:t>
        </w:r>
      </w:hyperlink>
    </w:p>
    <w:p w14:paraId="3890B96A" w14:textId="7494D4A4" w:rsidR="00FE35E3" w:rsidRPr="00C115D4" w:rsidRDefault="00FE35E3" w:rsidP="00E8734C">
      <w:pPr>
        <w:spacing w:after="60" w:line="240" w:lineRule="auto"/>
        <w:ind w:left="284" w:hanging="284"/>
        <w:rPr>
          <w:rFonts w:cstheme="minorHAnsi"/>
          <w:sz w:val="20"/>
          <w:szCs w:val="20"/>
        </w:rPr>
      </w:pPr>
      <w:r w:rsidRPr="00C115D4">
        <w:rPr>
          <w:rFonts w:cstheme="minorHAnsi"/>
          <w:sz w:val="20"/>
          <w:szCs w:val="20"/>
        </w:rPr>
        <w:t xml:space="preserve">Kendall, Ross and Peter Tulip (2018) </w:t>
      </w:r>
      <w:r w:rsidR="001A3B73" w:rsidRPr="00C115D4">
        <w:rPr>
          <w:rFonts w:cstheme="minorHAnsi"/>
          <w:sz w:val="20"/>
          <w:szCs w:val="20"/>
        </w:rPr>
        <w:t>‘</w:t>
      </w:r>
      <w:r w:rsidRPr="00C115D4">
        <w:rPr>
          <w:rFonts w:cstheme="minorHAnsi"/>
          <w:sz w:val="20"/>
          <w:szCs w:val="20"/>
        </w:rPr>
        <w:t>The Effect of Zoning on Housing Prices</w:t>
      </w:r>
      <w:r w:rsidR="001A3B73" w:rsidRPr="00C115D4">
        <w:rPr>
          <w:rFonts w:cstheme="minorHAnsi"/>
          <w:sz w:val="20"/>
          <w:szCs w:val="20"/>
        </w:rPr>
        <w:t>’</w:t>
      </w:r>
      <w:r w:rsidRPr="00C115D4">
        <w:rPr>
          <w:rFonts w:cstheme="minorHAnsi"/>
          <w:sz w:val="20"/>
          <w:szCs w:val="20"/>
        </w:rPr>
        <w:t xml:space="preserve"> </w:t>
      </w:r>
      <w:hyperlink r:id="rId80" w:history="1">
        <w:r w:rsidRPr="00C115D4">
          <w:rPr>
            <w:rStyle w:val="Hyperlink"/>
            <w:rFonts w:cstheme="minorHAnsi"/>
            <w:sz w:val="20"/>
            <w:szCs w:val="20"/>
          </w:rPr>
          <w:t>https://www.rba.gov.au/publications/rdp/2018/2018-03.html</w:t>
        </w:r>
      </w:hyperlink>
    </w:p>
    <w:p w14:paraId="6968E9FD" w14:textId="4F996769" w:rsidR="00050BF1" w:rsidRPr="00C115D4" w:rsidRDefault="00050BF1" w:rsidP="00E8734C">
      <w:pPr>
        <w:spacing w:after="60" w:line="240" w:lineRule="auto"/>
        <w:ind w:left="284" w:hanging="284"/>
        <w:rPr>
          <w:rFonts w:cstheme="minorHAnsi"/>
          <w:sz w:val="20"/>
          <w:szCs w:val="20"/>
          <w:lang w:val="en-GB"/>
        </w:rPr>
      </w:pPr>
      <w:r w:rsidRPr="00C115D4">
        <w:rPr>
          <w:rFonts w:cstheme="minorHAnsi"/>
          <w:sz w:val="20"/>
          <w:szCs w:val="20"/>
          <w:lang w:val="en-GB"/>
        </w:rPr>
        <w:t>Knight Frank (2021)</w:t>
      </w:r>
      <w:r w:rsidR="004A370A" w:rsidRPr="00C115D4">
        <w:rPr>
          <w:rFonts w:cstheme="minorHAnsi"/>
          <w:sz w:val="20"/>
          <w:szCs w:val="20"/>
          <w:lang w:val="en-GB"/>
        </w:rPr>
        <w:t xml:space="preserve"> </w:t>
      </w:r>
      <w:r w:rsidR="001A3B73" w:rsidRPr="00C115D4">
        <w:rPr>
          <w:rFonts w:cstheme="minorHAnsi"/>
          <w:sz w:val="20"/>
          <w:szCs w:val="20"/>
          <w:lang w:val="en-GB"/>
        </w:rPr>
        <w:t>‘</w:t>
      </w:r>
      <w:r w:rsidR="00016965" w:rsidRPr="00C115D4">
        <w:rPr>
          <w:rFonts w:cstheme="minorHAnsi"/>
          <w:sz w:val="20"/>
          <w:szCs w:val="20"/>
          <w:lang w:val="en-GB"/>
        </w:rPr>
        <w:t>Australian Residential Development Review</w:t>
      </w:r>
      <w:r w:rsidR="001A3B73" w:rsidRPr="00C115D4">
        <w:rPr>
          <w:rFonts w:cstheme="minorHAnsi"/>
          <w:sz w:val="20"/>
          <w:szCs w:val="20"/>
          <w:lang w:val="en-GB"/>
        </w:rPr>
        <w:t>’</w:t>
      </w:r>
      <w:r w:rsidR="00016965" w:rsidRPr="00C115D4">
        <w:rPr>
          <w:rFonts w:cstheme="minorHAnsi"/>
          <w:sz w:val="20"/>
          <w:szCs w:val="20"/>
          <w:lang w:val="en-GB"/>
        </w:rPr>
        <w:t xml:space="preserve"> 2021; </w:t>
      </w:r>
      <w:hyperlink r:id="rId81" w:history="1">
        <w:r w:rsidR="00016965" w:rsidRPr="00C115D4">
          <w:rPr>
            <w:rStyle w:val="Hyperlink"/>
            <w:rFonts w:cstheme="minorHAnsi"/>
            <w:sz w:val="20"/>
            <w:szCs w:val="20"/>
            <w:lang w:val="en-GB"/>
          </w:rPr>
          <w:t>https://content.knightfrank.com/research/916/documents/en/australian-residential-development-review-2021-8147.pdf</w:t>
        </w:r>
      </w:hyperlink>
    </w:p>
    <w:p w14:paraId="2FC79E1A" w14:textId="441F05EB" w:rsidR="002734FE" w:rsidRPr="00C115D4" w:rsidRDefault="005A3E3B" w:rsidP="00E8734C">
      <w:pPr>
        <w:spacing w:after="60" w:line="240" w:lineRule="auto"/>
        <w:ind w:left="284" w:hanging="284"/>
        <w:rPr>
          <w:rFonts w:cstheme="minorHAnsi"/>
          <w:sz w:val="20"/>
          <w:szCs w:val="20"/>
          <w:lang w:val="en-GB"/>
        </w:rPr>
      </w:pPr>
      <w:r w:rsidRPr="00C115D4">
        <w:rPr>
          <w:rFonts w:cstheme="minorHAnsi"/>
          <w:sz w:val="20"/>
          <w:szCs w:val="20"/>
          <w:lang w:val="en-GB"/>
        </w:rPr>
        <w:t>Lucas</w:t>
      </w:r>
      <w:r w:rsidR="002734FE" w:rsidRPr="00C115D4">
        <w:rPr>
          <w:rFonts w:cstheme="minorHAnsi"/>
          <w:sz w:val="20"/>
          <w:szCs w:val="20"/>
          <w:lang w:val="en-GB"/>
        </w:rPr>
        <w:t>, Clay (2017)</w:t>
      </w:r>
      <w:r w:rsidRPr="00C115D4">
        <w:rPr>
          <w:rFonts w:cstheme="minorHAnsi"/>
          <w:sz w:val="20"/>
          <w:szCs w:val="20"/>
          <w:lang w:val="en-GB"/>
        </w:rPr>
        <w:t xml:space="preserve"> ‘Developer and Liberal Party Donor Makes $36m Profit after Building Approval from Matthew Guy’, </w:t>
      </w:r>
      <w:r w:rsidRPr="00386D9F">
        <w:rPr>
          <w:rFonts w:cstheme="minorHAnsi"/>
          <w:i/>
          <w:iCs/>
          <w:sz w:val="20"/>
          <w:szCs w:val="20"/>
          <w:lang w:val="en-GB"/>
        </w:rPr>
        <w:t>The Age</w:t>
      </w:r>
      <w:r w:rsidRPr="00C115D4">
        <w:rPr>
          <w:rFonts w:cstheme="minorHAnsi"/>
          <w:sz w:val="20"/>
          <w:szCs w:val="20"/>
          <w:lang w:val="en-GB"/>
        </w:rPr>
        <w:t xml:space="preserve">, 14 </w:t>
      </w:r>
      <w:proofErr w:type="gramStart"/>
      <w:r w:rsidRPr="00C115D4">
        <w:rPr>
          <w:rFonts w:cstheme="minorHAnsi"/>
          <w:sz w:val="20"/>
          <w:szCs w:val="20"/>
          <w:lang w:val="en-GB"/>
        </w:rPr>
        <w:t>August,</w:t>
      </w:r>
      <w:proofErr w:type="gramEnd"/>
      <w:r w:rsidRPr="00C115D4">
        <w:rPr>
          <w:rFonts w:cstheme="minorHAnsi"/>
          <w:sz w:val="20"/>
          <w:szCs w:val="20"/>
          <w:lang w:val="en-GB"/>
        </w:rPr>
        <w:t xml:space="preserve"> 2017. </w:t>
      </w:r>
      <w:hyperlink r:id="rId82" w:history="1">
        <w:r w:rsidR="002734FE" w:rsidRPr="00C115D4">
          <w:rPr>
            <w:rStyle w:val="Hyperlink"/>
            <w:rFonts w:cstheme="minorHAnsi"/>
            <w:sz w:val="20"/>
            <w:szCs w:val="20"/>
            <w:lang w:val="en-GB"/>
          </w:rPr>
          <w:t>https://www.theage.com.au/national/victoria/developer-and-liberal-party-donor-makes-36m-profit-afterbuilding-approval-from-matthew-guy-20170814-gxvr13.html</w:t>
        </w:r>
      </w:hyperlink>
    </w:p>
    <w:p w14:paraId="3AD874C7" w14:textId="18711609"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t>NSW Productivity Commission (</w:t>
      </w:r>
      <w:hyperlink r:id="rId83" w:history="1">
        <w:r w:rsidRPr="00C115D4">
          <w:rPr>
            <w:rStyle w:val="Hyperlink"/>
            <w:rFonts w:cstheme="minorHAnsi"/>
            <w:sz w:val="20"/>
            <w:szCs w:val="20"/>
            <w:lang w:val="en-GB"/>
          </w:rPr>
          <w:t>2021</w:t>
        </w:r>
      </w:hyperlink>
      <w:r w:rsidRPr="00C115D4">
        <w:rPr>
          <w:rFonts w:cstheme="minorHAnsi"/>
          <w:sz w:val="20"/>
          <w:szCs w:val="20"/>
          <w:lang w:val="en-GB"/>
        </w:rPr>
        <w:t xml:space="preserve">) </w:t>
      </w:r>
      <w:r w:rsidR="001A3B73" w:rsidRPr="00C115D4">
        <w:rPr>
          <w:rFonts w:cstheme="minorHAnsi"/>
          <w:sz w:val="20"/>
          <w:szCs w:val="20"/>
          <w:lang w:val="en-GB"/>
        </w:rPr>
        <w:t>‘</w:t>
      </w:r>
      <w:r w:rsidRPr="00C115D4">
        <w:rPr>
          <w:rFonts w:cstheme="minorHAnsi"/>
          <w:sz w:val="20"/>
          <w:szCs w:val="20"/>
          <w:lang w:val="en-GB"/>
        </w:rPr>
        <w:t>Rebooting the economy</w:t>
      </w:r>
      <w:r w:rsidR="001A3B73" w:rsidRPr="00C115D4">
        <w:rPr>
          <w:rFonts w:cstheme="minorHAnsi"/>
          <w:sz w:val="20"/>
          <w:szCs w:val="20"/>
          <w:lang w:val="en-GB"/>
        </w:rPr>
        <w:t>’</w:t>
      </w:r>
      <w:r w:rsidRPr="00C115D4">
        <w:rPr>
          <w:rFonts w:cstheme="minorHAnsi"/>
          <w:sz w:val="20"/>
          <w:szCs w:val="20"/>
          <w:lang w:val="en-GB"/>
        </w:rPr>
        <w:t xml:space="preserve"> </w:t>
      </w:r>
      <w:hyperlink r:id="rId84" w:history="1">
        <w:r w:rsidRPr="00C115D4">
          <w:rPr>
            <w:rStyle w:val="Hyperlink"/>
            <w:rFonts w:cstheme="minorHAnsi"/>
            <w:sz w:val="20"/>
            <w:szCs w:val="20"/>
            <w:lang w:val="en-GB"/>
          </w:rPr>
          <w:t>https://www.productivity.nsw.gov.au/white-paper</w:t>
        </w:r>
      </w:hyperlink>
    </w:p>
    <w:p w14:paraId="0ED82533" w14:textId="73FDD27F" w:rsidR="00A02D66"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OECD (Organisation for Economic Co-operation and Development) </w:t>
      </w:r>
      <w:r w:rsidR="0039621D" w:rsidRPr="00C115D4">
        <w:rPr>
          <w:rFonts w:cstheme="minorHAnsi"/>
          <w:sz w:val="20"/>
          <w:szCs w:val="20"/>
        </w:rPr>
        <w:t xml:space="preserve">(2021) OECD Economic Surveys: Australia 2021 </w:t>
      </w:r>
      <w:hyperlink r:id="rId85" w:history="1">
        <w:r w:rsidR="00A02D66" w:rsidRPr="00C115D4">
          <w:rPr>
            <w:rStyle w:val="Hyperlink"/>
            <w:rFonts w:cstheme="minorHAnsi"/>
            <w:sz w:val="20"/>
            <w:szCs w:val="20"/>
          </w:rPr>
          <w:t>https://read.oecd-ilibrary.org/economics/oecd-economic-surveys-australia-2021_ce96b16a-en?_ga=2.75096466.1667384192.1632746046-1356414766.1630071861</w:t>
        </w:r>
      </w:hyperlink>
      <w:r w:rsidR="00A02D66" w:rsidRPr="00C115D4">
        <w:rPr>
          <w:rFonts w:cstheme="minorHAnsi"/>
          <w:sz w:val="20"/>
          <w:szCs w:val="20"/>
          <w:lang w:val="en-GB"/>
        </w:rPr>
        <w:t xml:space="preserve"> OECD Publishing, Paris.</w:t>
      </w:r>
    </w:p>
    <w:p w14:paraId="5C082A0A" w14:textId="4B46FCDA" w:rsidR="001137B1" w:rsidRPr="00C115D4" w:rsidRDefault="00641B5E" w:rsidP="00E8734C">
      <w:pPr>
        <w:spacing w:after="60" w:line="240" w:lineRule="auto"/>
        <w:ind w:left="284" w:hanging="284"/>
        <w:rPr>
          <w:rFonts w:cstheme="minorHAnsi"/>
          <w:sz w:val="20"/>
          <w:szCs w:val="20"/>
          <w:lang w:val="en-GB"/>
        </w:rPr>
      </w:pPr>
      <w:r w:rsidRPr="00C115D4">
        <w:rPr>
          <w:rFonts w:cstheme="minorHAnsi"/>
          <w:sz w:val="20"/>
          <w:szCs w:val="20"/>
          <w:lang w:val="en-GB"/>
        </w:rPr>
        <w:t>O’Sullivan</w:t>
      </w:r>
      <w:r w:rsidR="001137B1" w:rsidRPr="00C115D4">
        <w:rPr>
          <w:rFonts w:cstheme="minorHAnsi"/>
          <w:sz w:val="20"/>
          <w:szCs w:val="20"/>
          <w:lang w:val="en-GB"/>
        </w:rPr>
        <w:t>, Matt (2020)</w:t>
      </w:r>
      <w:r w:rsidR="001137B1" w:rsidRPr="00C115D4">
        <w:rPr>
          <w:rFonts w:cstheme="minorHAnsi"/>
          <w:sz w:val="20"/>
          <w:szCs w:val="20"/>
        </w:rPr>
        <w:t xml:space="preserve"> </w:t>
      </w:r>
      <w:r w:rsidR="001A3B73" w:rsidRPr="00C115D4">
        <w:rPr>
          <w:rFonts w:cstheme="minorHAnsi"/>
          <w:sz w:val="20"/>
          <w:szCs w:val="20"/>
        </w:rPr>
        <w:t>‘</w:t>
      </w:r>
      <w:r w:rsidR="001137B1" w:rsidRPr="00C115D4">
        <w:rPr>
          <w:rFonts w:cstheme="minorHAnsi"/>
          <w:sz w:val="20"/>
          <w:szCs w:val="20"/>
          <w:lang w:val="en-GB"/>
        </w:rPr>
        <w:t>Development plans for Sydney's north shore scaled back after outcry</w:t>
      </w:r>
      <w:r w:rsidR="001A3B73" w:rsidRPr="00C115D4">
        <w:rPr>
          <w:rFonts w:cstheme="minorHAnsi"/>
          <w:sz w:val="20"/>
          <w:szCs w:val="20"/>
          <w:lang w:val="en-GB"/>
        </w:rPr>
        <w:t>’</w:t>
      </w:r>
      <w:r w:rsidR="002653AC" w:rsidRPr="00C115D4">
        <w:rPr>
          <w:rFonts w:cstheme="minorHAnsi"/>
          <w:sz w:val="20"/>
          <w:szCs w:val="20"/>
          <w:lang w:val="en-GB"/>
        </w:rPr>
        <w:t xml:space="preserve"> Sydney Morning Herald, August 29, 2020</w:t>
      </w:r>
      <w:r w:rsidR="008321C9" w:rsidRPr="00C115D4">
        <w:rPr>
          <w:rFonts w:cstheme="minorHAnsi"/>
          <w:sz w:val="20"/>
          <w:szCs w:val="20"/>
          <w:lang w:val="en-GB"/>
        </w:rPr>
        <w:t xml:space="preserve">; </w:t>
      </w:r>
      <w:hyperlink r:id="rId86" w:history="1">
        <w:r w:rsidR="008321C9" w:rsidRPr="00C115D4">
          <w:rPr>
            <w:rStyle w:val="Hyperlink"/>
            <w:rFonts w:cstheme="minorHAnsi"/>
            <w:sz w:val="20"/>
            <w:szCs w:val="20"/>
            <w:lang w:val="en-GB"/>
          </w:rPr>
          <w:t>https://www.smh.com.au/national/nsw/development-plans-for-sydney-s-north-shore-scaled-back-after-outcry-20200828-p55q9w.html</w:t>
        </w:r>
      </w:hyperlink>
    </w:p>
    <w:p w14:paraId="19D5AA38" w14:textId="5B7DFA67" w:rsidR="00087742" w:rsidRDefault="00087742" w:rsidP="00E2548D">
      <w:pPr>
        <w:spacing w:after="60" w:line="240" w:lineRule="auto"/>
        <w:ind w:left="284" w:hanging="284"/>
        <w:rPr>
          <w:rFonts w:cstheme="minorHAnsi"/>
          <w:sz w:val="20"/>
          <w:szCs w:val="20"/>
          <w:lang w:val="en-GB"/>
        </w:rPr>
      </w:pPr>
      <w:r w:rsidRPr="00087742">
        <w:rPr>
          <w:rFonts w:cstheme="minorHAnsi"/>
          <w:sz w:val="20"/>
          <w:szCs w:val="20"/>
          <w:lang w:val="en-GB"/>
        </w:rPr>
        <w:t xml:space="preserve">Parliament of Australia </w:t>
      </w:r>
      <w:r>
        <w:rPr>
          <w:rFonts w:cstheme="minorHAnsi"/>
          <w:sz w:val="20"/>
          <w:szCs w:val="20"/>
          <w:lang w:val="en-GB"/>
        </w:rPr>
        <w:t>(</w:t>
      </w:r>
      <w:r w:rsidRPr="00087742">
        <w:rPr>
          <w:rFonts w:cstheme="minorHAnsi"/>
          <w:sz w:val="20"/>
          <w:szCs w:val="20"/>
          <w:lang w:val="en-GB"/>
        </w:rPr>
        <w:t>2022</w:t>
      </w:r>
      <w:r>
        <w:rPr>
          <w:rFonts w:cstheme="minorHAnsi"/>
          <w:sz w:val="20"/>
          <w:szCs w:val="20"/>
          <w:lang w:val="en-GB"/>
        </w:rPr>
        <w:t xml:space="preserve">) </w:t>
      </w:r>
      <w:r w:rsidR="00E2548D" w:rsidRPr="00E2548D">
        <w:rPr>
          <w:rFonts w:cstheme="minorHAnsi"/>
          <w:i/>
          <w:iCs/>
          <w:sz w:val="20"/>
          <w:szCs w:val="20"/>
          <w:lang w:val="en-GB"/>
        </w:rPr>
        <w:t>The Australian Dream; Inquiry into housing affordability and supply in Australia</w:t>
      </w:r>
      <w:r w:rsidRPr="00087742">
        <w:rPr>
          <w:rFonts w:cstheme="minorHAnsi"/>
          <w:sz w:val="20"/>
          <w:szCs w:val="20"/>
          <w:lang w:val="en-GB"/>
        </w:rPr>
        <w:t xml:space="preserve">, </w:t>
      </w:r>
      <w:hyperlink r:id="rId87" w:history="1">
        <w:r w:rsidR="005E3CC9" w:rsidRPr="00056A21">
          <w:rPr>
            <w:rStyle w:val="Hyperlink"/>
            <w:rFonts w:cstheme="minorHAnsi"/>
            <w:sz w:val="20"/>
            <w:szCs w:val="20"/>
            <w:lang w:val="en-GB"/>
          </w:rPr>
          <w:t>https://parlinfo.aph.gov.au/parlInfo/download/committees/reportrep/024864/toc_pdf/TheAustralianDream.pdf;fileType=application%2Fpdf</w:t>
        </w:r>
      </w:hyperlink>
    </w:p>
    <w:p w14:paraId="19D29386" w14:textId="314AB384" w:rsidR="002B3D3A" w:rsidRPr="00C115D4" w:rsidRDefault="002B3D3A" w:rsidP="00E8734C">
      <w:pPr>
        <w:spacing w:after="60" w:line="240" w:lineRule="auto"/>
        <w:ind w:left="284" w:hanging="284"/>
        <w:rPr>
          <w:rFonts w:cstheme="minorHAnsi"/>
          <w:sz w:val="20"/>
          <w:szCs w:val="20"/>
          <w:lang w:val="en-GB"/>
        </w:rPr>
      </w:pPr>
      <w:r w:rsidRPr="00C115D4">
        <w:rPr>
          <w:rFonts w:cstheme="minorHAnsi"/>
          <w:sz w:val="20"/>
          <w:szCs w:val="20"/>
          <w:lang w:val="en-GB"/>
        </w:rPr>
        <w:t>PWC</w:t>
      </w:r>
      <w:r w:rsidR="00524AD0" w:rsidRPr="00C115D4">
        <w:rPr>
          <w:rFonts w:cstheme="minorHAnsi"/>
          <w:sz w:val="20"/>
          <w:szCs w:val="20"/>
          <w:lang w:val="en-GB"/>
        </w:rPr>
        <w:t xml:space="preserve"> </w:t>
      </w:r>
      <w:r w:rsidRPr="00C115D4">
        <w:rPr>
          <w:rFonts w:cstheme="minorHAnsi"/>
          <w:sz w:val="20"/>
          <w:szCs w:val="20"/>
          <w:lang w:val="en-GB"/>
        </w:rPr>
        <w:t>(2017)</w:t>
      </w:r>
      <w:r w:rsidR="0007346B" w:rsidRPr="00C115D4">
        <w:rPr>
          <w:rFonts w:cstheme="minorHAnsi"/>
          <w:sz w:val="20"/>
          <w:szCs w:val="20"/>
          <w:lang w:val="en-GB"/>
        </w:rPr>
        <w:t xml:space="preserve"> </w:t>
      </w:r>
      <w:r w:rsidR="001A3B73" w:rsidRPr="00C115D4">
        <w:rPr>
          <w:rFonts w:cstheme="minorHAnsi"/>
          <w:sz w:val="20"/>
          <w:szCs w:val="20"/>
          <w:lang w:val="en-GB"/>
        </w:rPr>
        <w:t>‘</w:t>
      </w:r>
      <w:r w:rsidR="0007346B" w:rsidRPr="00C115D4">
        <w:rPr>
          <w:rFonts w:cstheme="minorHAnsi"/>
          <w:sz w:val="20"/>
          <w:szCs w:val="20"/>
          <w:lang w:val="en-GB"/>
        </w:rPr>
        <w:t>A place for everyone; tackling Sydney’s affordable housing crisis</w:t>
      </w:r>
      <w:r w:rsidR="001A3B73" w:rsidRPr="00C115D4">
        <w:rPr>
          <w:rFonts w:cstheme="minorHAnsi"/>
          <w:sz w:val="20"/>
          <w:szCs w:val="20"/>
          <w:lang w:val="en-GB"/>
        </w:rPr>
        <w:t>’</w:t>
      </w:r>
      <w:r w:rsidRPr="00C115D4">
        <w:rPr>
          <w:rFonts w:cstheme="minorHAnsi"/>
          <w:sz w:val="20"/>
          <w:szCs w:val="20"/>
          <w:lang w:val="en-GB"/>
        </w:rPr>
        <w:t xml:space="preserve"> </w:t>
      </w:r>
      <w:hyperlink r:id="rId88" w:history="1">
        <w:r w:rsidRPr="00C115D4">
          <w:rPr>
            <w:rStyle w:val="Hyperlink"/>
            <w:rFonts w:cstheme="minorHAnsi"/>
            <w:sz w:val="20"/>
            <w:szCs w:val="20"/>
            <w:lang w:val="en-GB"/>
          </w:rPr>
          <w:t>https://www.pwc.com.au/infrastructure/cities-affordable-housing-initiative-report-2017.pdf</w:t>
        </w:r>
      </w:hyperlink>
    </w:p>
    <w:p w14:paraId="39438B4B" w14:textId="52305CF1"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lastRenderedPageBreak/>
        <w:t xml:space="preserve">Productivity Commission (2011) </w:t>
      </w:r>
      <w:r w:rsidR="001A3B73" w:rsidRPr="00C115D4">
        <w:rPr>
          <w:rFonts w:cstheme="minorHAnsi"/>
          <w:sz w:val="20"/>
          <w:szCs w:val="20"/>
          <w:lang w:val="en-GB"/>
        </w:rPr>
        <w:t>‘</w:t>
      </w:r>
      <w:r w:rsidRPr="00C115D4">
        <w:rPr>
          <w:rFonts w:cstheme="minorHAnsi"/>
          <w:sz w:val="20"/>
          <w:szCs w:val="20"/>
          <w:lang w:val="en-GB"/>
        </w:rPr>
        <w:t>Performance Benchmarking of Australian Business Regulation: Planning, Zoning and Development Assessments</w:t>
      </w:r>
      <w:r w:rsidR="001A3B73" w:rsidRPr="00C115D4">
        <w:rPr>
          <w:rFonts w:cstheme="minorHAnsi"/>
          <w:sz w:val="20"/>
          <w:szCs w:val="20"/>
          <w:lang w:val="en-GB"/>
        </w:rPr>
        <w:t>’</w:t>
      </w:r>
      <w:r w:rsidRPr="00C115D4">
        <w:rPr>
          <w:rFonts w:cstheme="minorHAnsi"/>
          <w:sz w:val="20"/>
          <w:szCs w:val="20"/>
          <w:lang w:val="en-GB"/>
        </w:rPr>
        <w:t xml:space="preserve"> </w:t>
      </w:r>
      <w:hyperlink r:id="rId89" w:history="1">
        <w:r w:rsidRPr="00C115D4">
          <w:rPr>
            <w:rStyle w:val="Hyperlink"/>
            <w:rFonts w:cstheme="minorHAnsi"/>
            <w:sz w:val="20"/>
            <w:szCs w:val="20"/>
            <w:lang w:val="en-GB"/>
          </w:rPr>
          <w:t>https://www.pc.gov.au/inquiries/completed/regulation-benchmarking-planning/report</w:t>
        </w:r>
      </w:hyperlink>
    </w:p>
    <w:p w14:paraId="3523FA5E" w14:textId="3DEF3B94" w:rsidR="00D56DA0" w:rsidRPr="00C115D4" w:rsidRDefault="00D56DA0" w:rsidP="00E8734C">
      <w:pPr>
        <w:spacing w:after="60" w:line="240" w:lineRule="auto"/>
        <w:ind w:left="284" w:hanging="284"/>
        <w:rPr>
          <w:rFonts w:cstheme="minorHAnsi"/>
          <w:sz w:val="20"/>
          <w:szCs w:val="20"/>
        </w:rPr>
      </w:pPr>
      <w:r w:rsidRPr="00C115D4">
        <w:rPr>
          <w:rFonts w:cstheme="minorHAnsi"/>
          <w:sz w:val="20"/>
          <w:szCs w:val="20"/>
          <w:lang w:val="en-GB"/>
        </w:rPr>
        <w:t>Productivity Commission (2017)</w:t>
      </w:r>
      <w:r w:rsidR="00910905" w:rsidRPr="00C115D4">
        <w:rPr>
          <w:rFonts w:cstheme="minorHAnsi"/>
          <w:sz w:val="20"/>
          <w:szCs w:val="20"/>
          <w:lang w:val="en-GB"/>
        </w:rPr>
        <w:t xml:space="preserve"> </w:t>
      </w:r>
      <w:r w:rsidR="001A3B73" w:rsidRPr="00C115D4">
        <w:rPr>
          <w:rFonts w:cstheme="minorHAnsi"/>
          <w:sz w:val="20"/>
          <w:szCs w:val="20"/>
          <w:lang w:val="en-GB"/>
        </w:rPr>
        <w:t>‘</w:t>
      </w:r>
      <w:r w:rsidR="00910905" w:rsidRPr="00C115D4">
        <w:rPr>
          <w:rFonts w:cstheme="minorHAnsi"/>
          <w:sz w:val="20"/>
          <w:szCs w:val="20"/>
          <w:lang w:val="en-GB"/>
        </w:rPr>
        <w:t>Shifting the Dial</w:t>
      </w:r>
      <w:r w:rsidR="001A3B73" w:rsidRPr="00C115D4">
        <w:rPr>
          <w:rFonts w:cstheme="minorHAnsi"/>
          <w:sz w:val="20"/>
          <w:szCs w:val="20"/>
          <w:lang w:val="en-GB"/>
        </w:rPr>
        <w:t>’</w:t>
      </w:r>
      <w:r w:rsidRPr="00C115D4">
        <w:rPr>
          <w:rFonts w:cstheme="minorHAnsi"/>
          <w:sz w:val="20"/>
          <w:szCs w:val="20"/>
          <w:lang w:val="en-GB"/>
        </w:rPr>
        <w:t xml:space="preserve"> </w:t>
      </w:r>
      <w:hyperlink r:id="rId90" w:history="1">
        <w:r w:rsidRPr="00C115D4">
          <w:rPr>
            <w:rStyle w:val="Hyperlink"/>
            <w:rFonts w:cstheme="minorHAnsi"/>
            <w:sz w:val="20"/>
            <w:szCs w:val="20"/>
          </w:rPr>
          <w:t>https://www.pc.gov.au/inquiries/completed/productivity-review/report</w:t>
        </w:r>
      </w:hyperlink>
    </w:p>
    <w:p w14:paraId="618EE105" w14:textId="4100DA1F"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rPr>
        <w:t xml:space="preserve">Saunders, Trent and Peter Tulip (2019) </w:t>
      </w:r>
      <w:r w:rsidR="001A3B73" w:rsidRPr="00C115D4">
        <w:rPr>
          <w:rFonts w:cstheme="minorHAnsi"/>
          <w:sz w:val="20"/>
          <w:szCs w:val="20"/>
        </w:rPr>
        <w:t>‘</w:t>
      </w:r>
      <w:r w:rsidRPr="00C115D4">
        <w:rPr>
          <w:rFonts w:cstheme="minorHAnsi"/>
          <w:sz w:val="20"/>
          <w:szCs w:val="20"/>
        </w:rPr>
        <w:t>A Model of the Australian Housing Market</w:t>
      </w:r>
      <w:r w:rsidR="001A3B73" w:rsidRPr="00C115D4">
        <w:rPr>
          <w:rFonts w:cstheme="minorHAnsi"/>
          <w:sz w:val="20"/>
          <w:szCs w:val="20"/>
        </w:rPr>
        <w:t>’</w:t>
      </w:r>
      <w:r w:rsidRPr="00C115D4">
        <w:rPr>
          <w:rFonts w:cstheme="minorHAnsi"/>
          <w:sz w:val="20"/>
          <w:szCs w:val="20"/>
        </w:rPr>
        <w:t xml:space="preserve"> RBA Research Discussion Paper 2019-01 </w:t>
      </w:r>
      <w:hyperlink r:id="rId91" w:history="1">
        <w:r w:rsidRPr="00C115D4">
          <w:rPr>
            <w:rStyle w:val="Hyperlink"/>
            <w:rFonts w:cstheme="minorHAnsi"/>
            <w:sz w:val="20"/>
            <w:szCs w:val="20"/>
          </w:rPr>
          <w:t>https://www.rba.gov.au/publications/rdp/2019/2019-01.html</w:t>
        </w:r>
      </w:hyperlink>
    </w:p>
    <w:p w14:paraId="7E8A2F07" w14:textId="611A44C5" w:rsidR="00613C89" w:rsidRPr="00C115D4" w:rsidRDefault="00613C89"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Stanhope, Jon and Khalid Ahmed (2021) ‘How “blameless” Berry keeps people out of homes’ CityNews November 24, </w:t>
      </w:r>
      <w:proofErr w:type="gramStart"/>
      <w:r w:rsidRPr="00C115D4">
        <w:rPr>
          <w:rFonts w:cstheme="minorHAnsi"/>
          <w:sz w:val="20"/>
          <w:szCs w:val="20"/>
          <w:lang w:val="en-GB"/>
        </w:rPr>
        <w:t>2021</w:t>
      </w:r>
      <w:proofErr w:type="gramEnd"/>
      <w:r w:rsidRPr="00C115D4">
        <w:rPr>
          <w:rFonts w:cstheme="minorHAnsi"/>
          <w:sz w:val="20"/>
          <w:szCs w:val="20"/>
          <w:lang w:val="en-GB"/>
        </w:rPr>
        <w:t xml:space="preserve"> </w:t>
      </w:r>
      <w:hyperlink r:id="rId92" w:history="1">
        <w:r w:rsidRPr="00C115D4">
          <w:rPr>
            <w:rStyle w:val="Hyperlink"/>
            <w:rFonts w:cstheme="minorHAnsi"/>
            <w:sz w:val="20"/>
            <w:szCs w:val="20"/>
            <w:lang w:val="en-GB"/>
          </w:rPr>
          <w:t>https://citynews.com.au/2021/how-blameless-berry-keeps-people-out-of-homes/</w:t>
        </w:r>
      </w:hyperlink>
    </w:p>
    <w:p w14:paraId="1E653DE8" w14:textId="443D4B9A" w:rsidR="00892A91" w:rsidRPr="00C115D4" w:rsidRDefault="00237E40"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Stokes, Rob (2020) ‘Planning Controls’ NSW Legislative Assembly Hansard 6 August 2020 </w:t>
      </w:r>
      <w:hyperlink r:id="rId93" w:anchor="/docid/HANSARD-1323879322-112142" w:history="1">
        <w:r w:rsidR="00892A91" w:rsidRPr="00C115D4">
          <w:rPr>
            <w:rStyle w:val="Hyperlink"/>
            <w:rFonts w:cstheme="minorHAnsi"/>
            <w:sz w:val="20"/>
            <w:szCs w:val="20"/>
            <w:lang w:val="en-GB"/>
          </w:rPr>
          <w:t>https://www.parliament.nsw.gov.au/Hansard/Pages/HansardResult.aspx#/docid/HANSARD-1323879322-112142</w:t>
        </w:r>
      </w:hyperlink>
    </w:p>
    <w:p w14:paraId="431A3500" w14:textId="413B6382" w:rsidR="00FE35E3" w:rsidRPr="00C115D4" w:rsidRDefault="00FE35E3" w:rsidP="00E8734C">
      <w:pPr>
        <w:spacing w:after="60" w:line="240" w:lineRule="auto"/>
        <w:ind w:left="284" w:hanging="284"/>
        <w:rPr>
          <w:rFonts w:cstheme="minorHAnsi"/>
          <w:sz w:val="20"/>
          <w:szCs w:val="20"/>
        </w:rPr>
      </w:pPr>
      <w:r w:rsidRPr="00C115D4">
        <w:rPr>
          <w:rFonts w:cstheme="minorHAnsi"/>
          <w:sz w:val="20"/>
          <w:szCs w:val="20"/>
          <w:lang w:val="en-GB"/>
        </w:rPr>
        <w:t>Travers Morgan and Applied Economics (1991), Housing Costs Study No. 2: Evaluation of Fringe Development and Urban Consolidation, Prepared under the Australian Building Research Grants Scheme.</w:t>
      </w:r>
    </w:p>
    <w:p w14:paraId="6C4C4A0F" w14:textId="77777777" w:rsidR="00FE35E3" w:rsidRPr="00C115D4" w:rsidRDefault="00FE35E3" w:rsidP="00E8734C">
      <w:pPr>
        <w:spacing w:after="60" w:line="240" w:lineRule="auto"/>
        <w:ind w:left="284" w:hanging="284"/>
        <w:rPr>
          <w:rFonts w:cstheme="minorHAnsi"/>
          <w:sz w:val="20"/>
          <w:szCs w:val="20"/>
        </w:rPr>
      </w:pPr>
      <w:proofErr w:type="spellStart"/>
      <w:r w:rsidRPr="00C115D4">
        <w:rPr>
          <w:rFonts w:cstheme="minorHAnsi"/>
          <w:sz w:val="20"/>
          <w:szCs w:val="20"/>
          <w:lang w:val="en-GB"/>
        </w:rPr>
        <w:t>Trubka</w:t>
      </w:r>
      <w:proofErr w:type="spellEnd"/>
      <w:r w:rsidRPr="00C115D4">
        <w:rPr>
          <w:rFonts w:cstheme="minorHAnsi"/>
          <w:sz w:val="20"/>
          <w:szCs w:val="20"/>
          <w:lang w:val="en-GB"/>
        </w:rPr>
        <w:t xml:space="preserve"> R, P </w:t>
      </w:r>
      <w:proofErr w:type="gramStart"/>
      <w:r w:rsidRPr="00C115D4">
        <w:rPr>
          <w:rFonts w:cstheme="minorHAnsi"/>
          <w:sz w:val="20"/>
          <w:szCs w:val="20"/>
          <w:lang w:val="en-GB"/>
        </w:rPr>
        <w:t>Newman</w:t>
      </w:r>
      <w:proofErr w:type="gramEnd"/>
      <w:r w:rsidRPr="00C115D4">
        <w:rPr>
          <w:rFonts w:cstheme="minorHAnsi"/>
          <w:sz w:val="20"/>
          <w:szCs w:val="20"/>
          <w:lang w:val="en-GB"/>
        </w:rPr>
        <w:t xml:space="preserve"> and D </w:t>
      </w:r>
      <w:proofErr w:type="spellStart"/>
      <w:r w:rsidRPr="00C115D4">
        <w:rPr>
          <w:rFonts w:cstheme="minorHAnsi"/>
          <w:sz w:val="20"/>
          <w:szCs w:val="20"/>
          <w:lang w:val="en-GB"/>
        </w:rPr>
        <w:t>Bilsborough</w:t>
      </w:r>
      <w:proofErr w:type="spellEnd"/>
      <w:r w:rsidRPr="00C115D4">
        <w:rPr>
          <w:rFonts w:cstheme="minorHAnsi"/>
          <w:sz w:val="20"/>
          <w:szCs w:val="20"/>
          <w:lang w:val="en-GB"/>
        </w:rPr>
        <w:t xml:space="preserve"> (2008), ‘Assessing the Costs of Alternative Development Paths in Australian Cities’, Curtin University Sustainability Policy Institute, Report commissioned by Parsons Brinkerhoff Australia.</w:t>
      </w:r>
    </w:p>
    <w:p w14:paraId="45C205B4" w14:textId="4AF60AD7" w:rsidR="00FE35E3" w:rsidRPr="00C115D4" w:rsidRDefault="00FE35E3" w:rsidP="00E8734C">
      <w:pPr>
        <w:spacing w:after="60" w:line="240" w:lineRule="auto"/>
        <w:ind w:left="284" w:hanging="284"/>
        <w:rPr>
          <w:rFonts w:cstheme="minorHAnsi"/>
          <w:color w:val="202122"/>
          <w:sz w:val="20"/>
          <w:szCs w:val="20"/>
          <w:shd w:val="clear" w:color="auto" w:fill="FFFFFF"/>
        </w:rPr>
      </w:pPr>
      <w:r w:rsidRPr="00C115D4">
        <w:rPr>
          <w:rFonts w:cstheme="minorHAnsi"/>
          <w:color w:val="202122"/>
          <w:sz w:val="20"/>
          <w:szCs w:val="20"/>
          <w:shd w:val="clear" w:color="auto" w:fill="FFFFFF"/>
        </w:rPr>
        <w:t xml:space="preserve">Tulip, Peter (2020) </w:t>
      </w:r>
      <w:r w:rsidR="001A3B73" w:rsidRPr="00C115D4">
        <w:rPr>
          <w:rFonts w:cstheme="minorHAnsi"/>
          <w:color w:val="202122"/>
          <w:sz w:val="20"/>
          <w:szCs w:val="20"/>
          <w:shd w:val="clear" w:color="auto" w:fill="FFFFFF"/>
        </w:rPr>
        <w:t>‘</w:t>
      </w:r>
      <w:r w:rsidRPr="00C115D4">
        <w:rPr>
          <w:rFonts w:cstheme="minorHAnsi"/>
          <w:color w:val="202122"/>
          <w:sz w:val="20"/>
          <w:szCs w:val="20"/>
          <w:shd w:val="clear" w:color="auto" w:fill="FFFFFF"/>
        </w:rPr>
        <w:t>Planning restrictions harm housing affordability</w:t>
      </w:r>
      <w:r w:rsidR="001A3B73" w:rsidRPr="00C115D4">
        <w:rPr>
          <w:rFonts w:cstheme="minorHAnsi"/>
          <w:color w:val="202122"/>
          <w:sz w:val="20"/>
          <w:szCs w:val="20"/>
          <w:shd w:val="clear" w:color="auto" w:fill="FFFFFF"/>
        </w:rPr>
        <w:t>’</w:t>
      </w:r>
      <w:r w:rsidRPr="00C115D4">
        <w:rPr>
          <w:rFonts w:cstheme="minorHAnsi"/>
          <w:color w:val="202122"/>
          <w:sz w:val="20"/>
          <w:szCs w:val="20"/>
          <w:shd w:val="clear" w:color="auto" w:fill="FFFFFF"/>
        </w:rPr>
        <w:t xml:space="preserve"> </w:t>
      </w:r>
      <w:hyperlink r:id="rId94" w:history="1">
        <w:r w:rsidRPr="00C115D4">
          <w:rPr>
            <w:rStyle w:val="Hyperlink"/>
            <w:rFonts w:cstheme="minorHAnsi"/>
            <w:sz w:val="20"/>
            <w:szCs w:val="20"/>
            <w:shd w:val="clear" w:color="auto" w:fill="FFFFFF"/>
          </w:rPr>
          <w:t>https://www.cis.org.au/publications/policy-papers/planning-restrictions-harm-housing-affordability/</w:t>
        </w:r>
      </w:hyperlink>
    </w:p>
    <w:p w14:paraId="3F61A5BB" w14:textId="260226D9" w:rsidR="00FE35E3" w:rsidRPr="00C115D4" w:rsidRDefault="00FE35E3"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Tulip, Peter (2021) </w:t>
      </w:r>
      <w:r w:rsidR="001A3B73" w:rsidRPr="00C115D4">
        <w:rPr>
          <w:rFonts w:cstheme="minorHAnsi"/>
          <w:sz w:val="20"/>
          <w:szCs w:val="20"/>
          <w:lang w:val="en-GB"/>
        </w:rPr>
        <w:t>‘</w:t>
      </w:r>
      <w:r w:rsidRPr="00C115D4">
        <w:rPr>
          <w:rFonts w:cstheme="minorHAnsi"/>
          <w:sz w:val="20"/>
          <w:szCs w:val="20"/>
          <w:lang w:val="en-GB"/>
        </w:rPr>
        <w:t>Misunderstandings about Planning Restrictions</w:t>
      </w:r>
      <w:r w:rsidR="001A3B73" w:rsidRPr="00C115D4">
        <w:rPr>
          <w:rFonts w:cstheme="minorHAnsi"/>
          <w:sz w:val="20"/>
          <w:szCs w:val="20"/>
          <w:lang w:val="en-GB"/>
        </w:rPr>
        <w:t>’</w:t>
      </w:r>
      <w:r w:rsidRPr="00C115D4">
        <w:rPr>
          <w:rFonts w:cstheme="minorHAnsi"/>
          <w:sz w:val="20"/>
          <w:szCs w:val="20"/>
          <w:lang w:val="en-GB"/>
        </w:rPr>
        <w:t xml:space="preserve"> </w:t>
      </w:r>
      <w:hyperlink r:id="rId95" w:history="1">
        <w:r w:rsidRPr="00C115D4">
          <w:rPr>
            <w:rStyle w:val="Hyperlink"/>
            <w:rFonts w:cstheme="minorHAnsi"/>
            <w:sz w:val="20"/>
            <w:szCs w:val="20"/>
            <w:lang w:val="en-GB"/>
          </w:rPr>
          <w:t>http://petertulip.com/misunderstandings.pdf</w:t>
        </w:r>
      </w:hyperlink>
    </w:p>
    <w:p w14:paraId="13C48582" w14:textId="23B5FE7E" w:rsidR="005001E3" w:rsidRPr="00C115D4" w:rsidRDefault="00FE35E3" w:rsidP="00E8734C">
      <w:pPr>
        <w:spacing w:after="60" w:line="240" w:lineRule="auto"/>
        <w:ind w:left="284" w:hanging="284"/>
        <w:rPr>
          <w:rStyle w:val="Hyperlink"/>
          <w:rFonts w:cstheme="minorHAnsi"/>
          <w:sz w:val="20"/>
          <w:szCs w:val="20"/>
          <w:lang w:val="en-GB"/>
        </w:rPr>
      </w:pPr>
      <w:r w:rsidRPr="00C115D4">
        <w:rPr>
          <w:rFonts w:cstheme="minorHAnsi"/>
          <w:sz w:val="20"/>
          <w:szCs w:val="20"/>
          <w:lang w:val="en-GB"/>
        </w:rPr>
        <w:t xml:space="preserve">Tulip, Peter and Zachary Lanigan (2021) </w:t>
      </w:r>
      <w:proofErr w:type="gramStart"/>
      <w:r w:rsidR="001A3B73" w:rsidRPr="00C115D4">
        <w:rPr>
          <w:rFonts w:cstheme="minorHAnsi"/>
          <w:sz w:val="20"/>
          <w:szCs w:val="20"/>
          <w:lang w:val="en-GB"/>
        </w:rPr>
        <w:t>‘</w:t>
      </w:r>
      <w:r w:rsidRPr="00C115D4">
        <w:rPr>
          <w:rFonts w:cstheme="minorHAnsi"/>
          <w:sz w:val="20"/>
          <w:szCs w:val="20"/>
          <w:lang w:val="en-GB"/>
        </w:rPr>
        <w:t xml:space="preserve"> Does</w:t>
      </w:r>
      <w:proofErr w:type="gramEnd"/>
      <w:r w:rsidRPr="00C115D4">
        <w:rPr>
          <w:rFonts w:cstheme="minorHAnsi"/>
          <w:sz w:val="20"/>
          <w:szCs w:val="20"/>
          <w:lang w:val="en-GB"/>
        </w:rPr>
        <w:t xml:space="preserve"> high-rise development damage neighbourhood character?</w:t>
      </w:r>
      <w:r w:rsidR="001A3B73" w:rsidRPr="00C115D4">
        <w:rPr>
          <w:rFonts w:cstheme="minorHAnsi"/>
          <w:sz w:val="20"/>
          <w:szCs w:val="20"/>
          <w:lang w:val="en-GB"/>
        </w:rPr>
        <w:t>’</w:t>
      </w:r>
      <w:r w:rsidRPr="00C115D4">
        <w:rPr>
          <w:rFonts w:cstheme="minorHAnsi"/>
          <w:sz w:val="20"/>
          <w:szCs w:val="20"/>
          <w:lang w:val="en-GB"/>
        </w:rPr>
        <w:t xml:space="preserve"> </w:t>
      </w:r>
      <w:hyperlink r:id="rId96" w:history="1">
        <w:r w:rsidRPr="00C115D4">
          <w:rPr>
            <w:rStyle w:val="Hyperlink"/>
            <w:rFonts w:cstheme="minorHAnsi"/>
            <w:sz w:val="20"/>
            <w:szCs w:val="20"/>
            <w:lang w:val="en-GB"/>
          </w:rPr>
          <w:t>https://www.cis.org.au/publications/policy-papers/does-high-rise-development-damage-neighbourhood-character/</w:t>
        </w:r>
      </w:hyperlink>
    </w:p>
    <w:p w14:paraId="4F3A9116" w14:textId="65261625" w:rsidR="004F2870" w:rsidRPr="00C115D4" w:rsidRDefault="00E13484" w:rsidP="00E8734C">
      <w:pPr>
        <w:spacing w:after="60" w:line="240" w:lineRule="auto"/>
        <w:ind w:left="284" w:hanging="284"/>
        <w:rPr>
          <w:rFonts w:cstheme="minorHAnsi"/>
          <w:sz w:val="20"/>
          <w:szCs w:val="20"/>
          <w:lang w:val="en-GB"/>
        </w:rPr>
      </w:pPr>
      <w:r w:rsidRPr="00C115D4">
        <w:rPr>
          <w:rFonts w:cstheme="minorHAnsi"/>
          <w:sz w:val="20"/>
          <w:szCs w:val="20"/>
          <w:lang w:val="en-GB"/>
        </w:rPr>
        <w:t xml:space="preserve">Wang, </w:t>
      </w:r>
      <w:proofErr w:type="spellStart"/>
      <w:r w:rsidR="004F2870" w:rsidRPr="00C115D4">
        <w:rPr>
          <w:rFonts w:cstheme="minorHAnsi"/>
          <w:sz w:val="20"/>
          <w:szCs w:val="20"/>
          <w:lang w:val="en-GB"/>
        </w:rPr>
        <w:t>Zhi</w:t>
      </w:r>
      <w:proofErr w:type="spellEnd"/>
      <w:r w:rsidR="004F2870" w:rsidRPr="00C115D4">
        <w:rPr>
          <w:rFonts w:cstheme="minorHAnsi"/>
          <w:sz w:val="20"/>
          <w:szCs w:val="20"/>
          <w:lang w:val="en-GB"/>
        </w:rPr>
        <w:t xml:space="preserve"> (2016) </w:t>
      </w:r>
      <w:r w:rsidR="001A3B73" w:rsidRPr="00C115D4">
        <w:rPr>
          <w:rFonts w:cstheme="minorHAnsi"/>
          <w:sz w:val="20"/>
          <w:szCs w:val="20"/>
          <w:lang w:val="en-GB"/>
        </w:rPr>
        <w:t>‘</w:t>
      </w:r>
      <w:r w:rsidRPr="00C115D4">
        <w:rPr>
          <w:rFonts w:cstheme="minorHAnsi"/>
          <w:sz w:val="20"/>
          <w:szCs w:val="20"/>
          <w:lang w:val="en-GB"/>
        </w:rPr>
        <w:t xml:space="preserve">Wage Growth, Ability Sorting, and Location Choice at </w:t>
      </w:r>
      <w:proofErr w:type="spellStart"/>
      <w:r w:rsidRPr="00C115D4">
        <w:rPr>
          <w:rFonts w:cstheme="minorHAnsi"/>
          <w:sz w:val="20"/>
          <w:szCs w:val="20"/>
          <w:lang w:val="en-GB"/>
        </w:rPr>
        <w:t>Labor</w:t>
      </w:r>
      <w:proofErr w:type="spellEnd"/>
      <w:r w:rsidRPr="00C115D4">
        <w:rPr>
          <w:rFonts w:cstheme="minorHAnsi"/>
          <w:sz w:val="20"/>
          <w:szCs w:val="20"/>
          <w:lang w:val="en-GB"/>
        </w:rPr>
        <w:t>-Force Entry: New Evidence from U.S. Census Data</w:t>
      </w:r>
      <w:r w:rsidR="001A3B73" w:rsidRPr="00C115D4">
        <w:rPr>
          <w:rFonts w:cstheme="minorHAnsi"/>
          <w:sz w:val="20"/>
          <w:szCs w:val="20"/>
          <w:lang w:val="en-GB"/>
        </w:rPr>
        <w:t>’</w:t>
      </w:r>
      <w:r w:rsidR="00E87254" w:rsidRPr="00C115D4">
        <w:rPr>
          <w:rFonts w:cstheme="minorHAnsi"/>
          <w:sz w:val="20"/>
          <w:szCs w:val="20"/>
          <w:lang w:val="en-GB"/>
        </w:rPr>
        <w:t xml:space="preserve"> </w:t>
      </w:r>
      <w:r w:rsidR="00E87254" w:rsidRPr="00C115D4">
        <w:rPr>
          <w:rFonts w:cstheme="minorHAnsi"/>
          <w:i/>
          <w:iCs/>
          <w:sz w:val="20"/>
          <w:szCs w:val="20"/>
          <w:lang w:val="en-GB"/>
        </w:rPr>
        <w:t>Journal of Urban Economics</w:t>
      </w:r>
      <w:r w:rsidR="00E87254" w:rsidRPr="00C115D4">
        <w:rPr>
          <w:rFonts w:cstheme="minorHAnsi"/>
          <w:sz w:val="20"/>
          <w:szCs w:val="20"/>
          <w:lang w:val="en-GB"/>
        </w:rPr>
        <w:t xml:space="preserve"> August 2016 </w:t>
      </w:r>
      <w:hyperlink r:id="rId97" w:history="1">
        <w:r w:rsidR="004F2870" w:rsidRPr="00C115D4">
          <w:rPr>
            <w:rStyle w:val="Hyperlink"/>
            <w:rFonts w:cstheme="minorHAnsi"/>
            <w:sz w:val="20"/>
            <w:szCs w:val="20"/>
            <w:lang w:val="en-GB"/>
          </w:rPr>
          <w:t>https://zhiwang2013brownecon.weebly.com/uploads/4/2/1/9/42190763/wage_growth_jue_2016.pdf</w:t>
        </w:r>
      </w:hyperlink>
    </w:p>
    <w:sectPr w:rsidR="004F2870" w:rsidRPr="00C115D4" w:rsidSect="00C9273A">
      <w:footerReference w:type="default" r:id="rId9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123C" w14:textId="77777777" w:rsidR="00BB3073" w:rsidRDefault="00BB3073" w:rsidP="00177FAE">
      <w:pPr>
        <w:spacing w:after="0" w:line="240" w:lineRule="auto"/>
      </w:pPr>
      <w:r>
        <w:separator/>
      </w:r>
    </w:p>
  </w:endnote>
  <w:endnote w:type="continuationSeparator" w:id="0">
    <w:p w14:paraId="6D423C8C" w14:textId="77777777" w:rsidR="00BB3073" w:rsidRDefault="00BB3073" w:rsidP="0017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Calibri-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414372"/>
      <w:docPartObj>
        <w:docPartGallery w:val="Page Numbers (Bottom of Page)"/>
        <w:docPartUnique/>
      </w:docPartObj>
    </w:sdtPr>
    <w:sdtEndPr>
      <w:rPr>
        <w:noProof/>
      </w:rPr>
    </w:sdtEndPr>
    <w:sdtContent>
      <w:p w14:paraId="3DF32CE9" w14:textId="12F25B9A" w:rsidR="00C634DB" w:rsidRDefault="00C63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BAE84" w14:textId="77777777" w:rsidR="00C634DB" w:rsidRDefault="00C6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3BC5" w14:textId="77777777" w:rsidR="00BB3073" w:rsidRDefault="00BB3073" w:rsidP="00177FAE">
      <w:pPr>
        <w:spacing w:after="0" w:line="240" w:lineRule="auto"/>
      </w:pPr>
      <w:r>
        <w:separator/>
      </w:r>
    </w:p>
  </w:footnote>
  <w:footnote w:type="continuationSeparator" w:id="0">
    <w:p w14:paraId="48EA3424" w14:textId="77777777" w:rsidR="00BB3073" w:rsidRDefault="00BB3073" w:rsidP="00177FAE">
      <w:pPr>
        <w:spacing w:after="0" w:line="240" w:lineRule="auto"/>
      </w:pPr>
      <w:r>
        <w:continuationSeparator/>
      </w:r>
    </w:p>
  </w:footnote>
  <w:footnote w:id="1">
    <w:p w14:paraId="38EFAA60" w14:textId="486073E6" w:rsidR="001A3B73" w:rsidRDefault="001A3B73" w:rsidP="000A0D2C">
      <w:pPr>
        <w:pStyle w:val="Footnote"/>
      </w:pPr>
      <w:r>
        <w:rPr>
          <w:rStyle w:val="FootnoteReference"/>
        </w:rPr>
        <w:footnoteRef/>
      </w:r>
      <w:r>
        <w:t xml:space="preserve"> </w:t>
      </w:r>
      <w:r>
        <w:tab/>
        <w:t xml:space="preserve">The estimates in column 3 and </w:t>
      </w:r>
      <w:r w:rsidR="00A73E1B">
        <w:t xml:space="preserve">column </w:t>
      </w:r>
      <w:r>
        <w:t>2 are conceptually similar except estimates in column 2 use marginal cost and apply after building approval is granted, whereas those in column 3 use average cost and apply at an earlier stage in planning (so incur a larger risk premium).  Jenner and Tulip (2020, Appendix B) discuss further differences between the series.</w:t>
      </w:r>
    </w:p>
  </w:footnote>
  <w:footnote w:id="2">
    <w:p w14:paraId="6174172A" w14:textId="346125FE" w:rsidR="001A3B73" w:rsidRDefault="001A3B73" w:rsidP="000A0D2C">
      <w:pPr>
        <w:pStyle w:val="Footnote"/>
      </w:pPr>
      <w:r>
        <w:rPr>
          <w:rStyle w:val="FootnoteReference"/>
        </w:rPr>
        <w:footnoteRef/>
      </w:r>
      <w:r>
        <w:t xml:space="preserve"> </w:t>
      </w:r>
      <w:r>
        <w:tab/>
        <w:t xml:space="preserve">The published paper incorrectly reports this estimate as 4 per cent.  A correction was acknowledged in </w:t>
      </w:r>
      <w:hyperlink r:id="rId1" w:history="1">
        <w:r w:rsidRPr="00A92A84">
          <w:rPr>
            <w:rStyle w:val="Hyperlink"/>
          </w:rPr>
          <w:t>https://www.econlib.org/a-correction-on-housing-regulation/</w:t>
        </w:r>
      </w:hyperlink>
      <w:r>
        <w:t xml:space="preserve"> </w:t>
      </w:r>
    </w:p>
  </w:footnote>
  <w:footnote w:id="3">
    <w:p w14:paraId="2ACD2859" w14:textId="6E6118E9" w:rsidR="00900611" w:rsidRPr="00E8734C" w:rsidRDefault="00900611">
      <w:pPr>
        <w:pStyle w:val="FootnoteText"/>
        <w:rPr>
          <w:lang w:val="en-GB"/>
        </w:rPr>
      </w:pPr>
      <w:r>
        <w:rPr>
          <w:rStyle w:val="FootnoteReference"/>
        </w:rPr>
        <w:footnoteRef/>
      </w:r>
      <w:r>
        <w:t xml:space="preserve"> </w:t>
      </w:r>
      <w:r w:rsidR="005F2ED0">
        <w:rPr>
          <w:lang w:val="en-GB"/>
        </w:rPr>
        <w:t xml:space="preserve">For example, supposing that </w:t>
      </w:r>
      <w:r w:rsidR="00BE0C52">
        <w:rPr>
          <w:lang w:val="en-GB"/>
        </w:rPr>
        <w:t>conditional</w:t>
      </w:r>
      <w:r w:rsidR="005F2ED0">
        <w:rPr>
          <w:lang w:val="en-GB"/>
        </w:rPr>
        <w:t xml:space="preserve"> grants replaced the discretionary </w:t>
      </w:r>
      <w:r w:rsidR="00DF3E44">
        <w:rPr>
          <w:lang w:val="en-GB"/>
        </w:rPr>
        <w:t xml:space="preserve">$5billion a year </w:t>
      </w:r>
      <w:r w:rsidR="00BE0C52">
        <w:rPr>
          <w:lang w:val="en-GB"/>
        </w:rPr>
        <w:t>Urban Congestion Fund</w:t>
      </w:r>
      <w:r w:rsidR="00051B57">
        <w:rPr>
          <w:lang w:val="en-GB"/>
        </w:rPr>
        <w:t>; assuming about 20,000 dwelling co</w:t>
      </w:r>
      <w:r w:rsidR="00DF54C2">
        <w:rPr>
          <w:lang w:val="en-GB"/>
        </w:rPr>
        <w:t>m</w:t>
      </w:r>
      <w:r w:rsidR="00051B57">
        <w:rPr>
          <w:lang w:val="en-GB"/>
        </w:rPr>
        <w:t>pletions a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5AC"/>
    <w:multiLevelType w:val="hybridMultilevel"/>
    <w:tmpl w:val="AB52D5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23D2C"/>
    <w:multiLevelType w:val="multilevel"/>
    <w:tmpl w:val="CA4C7CF2"/>
    <w:lvl w:ilvl="0">
      <w:start w:val="1"/>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23702FD6"/>
    <w:multiLevelType w:val="hybridMultilevel"/>
    <w:tmpl w:val="2F928136"/>
    <w:lvl w:ilvl="0" w:tplc="BB54297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96471A"/>
    <w:multiLevelType w:val="multilevel"/>
    <w:tmpl w:val="78A8353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8F041D"/>
    <w:multiLevelType w:val="hybridMultilevel"/>
    <w:tmpl w:val="293C431E"/>
    <w:lvl w:ilvl="0" w:tplc="E5A6C8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A914A1"/>
    <w:multiLevelType w:val="hybridMultilevel"/>
    <w:tmpl w:val="57D4BE14"/>
    <w:lvl w:ilvl="0" w:tplc="7B748674">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CFD1DBE"/>
    <w:multiLevelType w:val="hybridMultilevel"/>
    <w:tmpl w:val="30C6A7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5926C3"/>
    <w:multiLevelType w:val="multilevel"/>
    <w:tmpl w:val="85628E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1A"/>
    <w:rsid w:val="00010613"/>
    <w:rsid w:val="00016965"/>
    <w:rsid w:val="000254DC"/>
    <w:rsid w:val="000263FB"/>
    <w:rsid w:val="00026C80"/>
    <w:rsid w:val="00031E35"/>
    <w:rsid w:val="00032A74"/>
    <w:rsid w:val="00035782"/>
    <w:rsid w:val="00042DD1"/>
    <w:rsid w:val="00046014"/>
    <w:rsid w:val="00050BF1"/>
    <w:rsid w:val="00051B57"/>
    <w:rsid w:val="00052203"/>
    <w:rsid w:val="00053949"/>
    <w:rsid w:val="00053BD3"/>
    <w:rsid w:val="00061801"/>
    <w:rsid w:val="00062491"/>
    <w:rsid w:val="00071F7C"/>
    <w:rsid w:val="0007346B"/>
    <w:rsid w:val="000736D6"/>
    <w:rsid w:val="00080A0A"/>
    <w:rsid w:val="00087742"/>
    <w:rsid w:val="00090791"/>
    <w:rsid w:val="00091D62"/>
    <w:rsid w:val="0009284F"/>
    <w:rsid w:val="00092C0E"/>
    <w:rsid w:val="000A0D2C"/>
    <w:rsid w:val="000A276F"/>
    <w:rsid w:val="000A66BE"/>
    <w:rsid w:val="000A6735"/>
    <w:rsid w:val="000B0959"/>
    <w:rsid w:val="000B32D4"/>
    <w:rsid w:val="000B49BF"/>
    <w:rsid w:val="000C0EB1"/>
    <w:rsid w:val="000C1882"/>
    <w:rsid w:val="000C3C2F"/>
    <w:rsid w:val="000D194F"/>
    <w:rsid w:val="000D251D"/>
    <w:rsid w:val="000D2BBA"/>
    <w:rsid w:val="000D6423"/>
    <w:rsid w:val="000E2626"/>
    <w:rsid w:val="000E36FC"/>
    <w:rsid w:val="000E3AE5"/>
    <w:rsid w:val="000E7F0A"/>
    <w:rsid w:val="000F1EE2"/>
    <w:rsid w:val="000F5902"/>
    <w:rsid w:val="000F5DC5"/>
    <w:rsid w:val="00101A2B"/>
    <w:rsid w:val="0010331E"/>
    <w:rsid w:val="00112D26"/>
    <w:rsid w:val="001137B1"/>
    <w:rsid w:val="00121631"/>
    <w:rsid w:val="001236BD"/>
    <w:rsid w:val="001240A7"/>
    <w:rsid w:val="001264F8"/>
    <w:rsid w:val="00126BC2"/>
    <w:rsid w:val="00130774"/>
    <w:rsid w:val="001310F6"/>
    <w:rsid w:val="00135257"/>
    <w:rsid w:val="00147CFB"/>
    <w:rsid w:val="001519BA"/>
    <w:rsid w:val="00151D8D"/>
    <w:rsid w:val="00153AAA"/>
    <w:rsid w:val="00157A19"/>
    <w:rsid w:val="00165E7D"/>
    <w:rsid w:val="001664A0"/>
    <w:rsid w:val="001701DE"/>
    <w:rsid w:val="00172820"/>
    <w:rsid w:val="0017352C"/>
    <w:rsid w:val="00175778"/>
    <w:rsid w:val="00177C6D"/>
    <w:rsid w:val="00177FAE"/>
    <w:rsid w:val="00182306"/>
    <w:rsid w:val="001838A2"/>
    <w:rsid w:val="00187953"/>
    <w:rsid w:val="00192717"/>
    <w:rsid w:val="00195724"/>
    <w:rsid w:val="001A10D5"/>
    <w:rsid w:val="001A378E"/>
    <w:rsid w:val="001A3B73"/>
    <w:rsid w:val="001A3D9E"/>
    <w:rsid w:val="001A4A98"/>
    <w:rsid w:val="001A723F"/>
    <w:rsid w:val="001B705D"/>
    <w:rsid w:val="001C7C0F"/>
    <w:rsid w:val="001D3F65"/>
    <w:rsid w:val="001D79F1"/>
    <w:rsid w:val="001D7FBE"/>
    <w:rsid w:val="001E42BA"/>
    <w:rsid w:val="001E4C02"/>
    <w:rsid w:val="001E5896"/>
    <w:rsid w:val="001E5F1A"/>
    <w:rsid w:val="001E7670"/>
    <w:rsid w:val="00200F76"/>
    <w:rsid w:val="0020258C"/>
    <w:rsid w:val="00202672"/>
    <w:rsid w:val="00204A9A"/>
    <w:rsid w:val="00205C1E"/>
    <w:rsid w:val="00210EDE"/>
    <w:rsid w:val="00216489"/>
    <w:rsid w:val="00220F24"/>
    <w:rsid w:val="00223030"/>
    <w:rsid w:val="00232B42"/>
    <w:rsid w:val="00237E40"/>
    <w:rsid w:val="00240399"/>
    <w:rsid w:val="002442EA"/>
    <w:rsid w:val="002459A4"/>
    <w:rsid w:val="00247DD0"/>
    <w:rsid w:val="002555D6"/>
    <w:rsid w:val="0025762F"/>
    <w:rsid w:val="00257858"/>
    <w:rsid w:val="0026289E"/>
    <w:rsid w:val="002653AC"/>
    <w:rsid w:val="00267BA6"/>
    <w:rsid w:val="002700CD"/>
    <w:rsid w:val="002712D7"/>
    <w:rsid w:val="00272CAA"/>
    <w:rsid w:val="002734FE"/>
    <w:rsid w:val="00276B6F"/>
    <w:rsid w:val="00282ED4"/>
    <w:rsid w:val="0028386A"/>
    <w:rsid w:val="00285A77"/>
    <w:rsid w:val="00290EA3"/>
    <w:rsid w:val="002939EB"/>
    <w:rsid w:val="00297C57"/>
    <w:rsid w:val="002A0E43"/>
    <w:rsid w:val="002A4FA7"/>
    <w:rsid w:val="002A7271"/>
    <w:rsid w:val="002B2BB5"/>
    <w:rsid w:val="002B2F5D"/>
    <w:rsid w:val="002B3D3A"/>
    <w:rsid w:val="002B58D2"/>
    <w:rsid w:val="002B65A7"/>
    <w:rsid w:val="002D2D3A"/>
    <w:rsid w:val="002D44E0"/>
    <w:rsid w:val="002D4E3D"/>
    <w:rsid w:val="002E02E5"/>
    <w:rsid w:val="002E322F"/>
    <w:rsid w:val="002E40E7"/>
    <w:rsid w:val="002E4247"/>
    <w:rsid w:val="00306238"/>
    <w:rsid w:val="0030736F"/>
    <w:rsid w:val="003179D4"/>
    <w:rsid w:val="003201D0"/>
    <w:rsid w:val="0033516B"/>
    <w:rsid w:val="003361FF"/>
    <w:rsid w:val="00336A6F"/>
    <w:rsid w:val="00336B49"/>
    <w:rsid w:val="00341562"/>
    <w:rsid w:val="00341CF8"/>
    <w:rsid w:val="003474AA"/>
    <w:rsid w:val="00347D75"/>
    <w:rsid w:val="0035733C"/>
    <w:rsid w:val="003611FC"/>
    <w:rsid w:val="003639D3"/>
    <w:rsid w:val="00365A6D"/>
    <w:rsid w:val="003746EF"/>
    <w:rsid w:val="00375C60"/>
    <w:rsid w:val="00376A61"/>
    <w:rsid w:val="00386D9F"/>
    <w:rsid w:val="00387F76"/>
    <w:rsid w:val="00390192"/>
    <w:rsid w:val="003908C4"/>
    <w:rsid w:val="0039621D"/>
    <w:rsid w:val="003A2B81"/>
    <w:rsid w:val="003A68FC"/>
    <w:rsid w:val="003B3B50"/>
    <w:rsid w:val="003C2294"/>
    <w:rsid w:val="003C2CEB"/>
    <w:rsid w:val="003C50D4"/>
    <w:rsid w:val="003C5519"/>
    <w:rsid w:val="003C5798"/>
    <w:rsid w:val="003C5A31"/>
    <w:rsid w:val="003D32A5"/>
    <w:rsid w:val="003F78EA"/>
    <w:rsid w:val="00410584"/>
    <w:rsid w:val="00420CE4"/>
    <w:rsid w:val="0042120C"/>
    <w:rsid w:val="004212F5"/>
    <w:rsid w:val="0042156C"/>
    <w:rsid w:val="00421D88"/>
    <w:rsid w:val="00421F27"/>
    <w:rsid w:val="00424250"/>
    <w:rsid w:val="004359EE"/>
    <w:rsid w:val="00442147"/>
    <w:rsid w:val="0044275C"/>
    <w:rsid w:val="00442E44"/>
    <w:rsid w:val="004435F1"/>
    <w:rsid w:val="00450A8A"/>
    <w:rsid w:val="00451C7A"/>
    <w:rsid w:val="00452E32"/>
    <w:rsid w:val="0046021A"/>
    <w:rsid w:val="00465DD5"/>
    <w:rsid w:val="00473532"/>
    <w:rsid w:val="00475D73"/>
    <w:rsid w:val="00483CDC"/>
    <w:rsid w:val="0048540E"/>
    <w:rsid w:val="004902CF"/>
    <w:rsid w:val="004A2068"/>
    <w:rsid w:val="004A33A2"/>
    <w:rsid w:val="004A370A"/>
    <w:rsid w:val="004B79BF"/>
    <w:rsid w:val="004C1678"/>
    <w:rsid w:val="004C1C33"/>
    <w:rsid w:val="004C1E0D"/>
    <w:rsid w:val="004C3656"/>
    <w:rsid w:val="004C4357"/>
    <w:rsid w:val="004C461C"/>
    <w:rsid w:val="004D2154"/>
    <w:rsid w:val="004E4FD9"/>
    <w:rsid w:val="004F1BA2"/>
    <w:rsid w:val="004F2870"/>
    <w:rsid w:val="004F504E"/>
    <w:rsid w:val="005001E3"/>
    <w:rsid w:val="00500F6E"/>
    <w:rsid w:val="005018CC"/>
    <w:rsid w:val="00501BA5"/>
    <w:rsid w:val="00505B31"/>
    <w:rsid w:val="00510FAC"/>
    <w:rsid w:val="0051284D"/>
    <w:rsid w:val="005172D7"/>
    <w:rsid w:val="005230B1"/>
    <w:rsid w:val="00524AD0"/>
    <w:rsid w:val="00527529"/>
    <w:rsid w:val="00527D3C"/>
    <w:rsid w:val="005305FE"/>
    <w:rsid w:val="00535522"/>
    <w:rsid w:val="00541DF9"/>
    <w:rsid w:val="00554EB2"/>
    <w:rsid w:val="00562266"/>
    <w:rsid w:val="005626B1"/>
    <w:rsid w:val="00563CB4"/>
    <w:rsid w:val="00564E34"/>
    <w:rsid w:val="005708C3"/>
    <w:rsid w:val="0057504F"/>
    <w:rsid w:val="005760D0"/>
    <w:rsid w:val="00576D36"/>
    <w:rsid w:val="00577951"/>
    <w:rsid w:val="00582371"/>
    <w:rsid w:val="00587F5D"/>
    <w:rsid w:val="005905D7"/>
    <w:rsid w:val="005930EC"/>
    <w:rsid w:val="00593733"/>
    <w:rsid w:val="00596890"/>
    <w:rsid w:val="005A3E3B"/>
    <w:rsid w:val="005A45BC"/>
    <w:rsid w:val="005A482B"/>
    <w:rsid w:val="005A5635"/>
    <w:rsid w:val="005A5969"/>
    <w:rsid w:val="005A6054"/>
    <w:rsid w:val="005A6DB3"/>
    <w:rsid w:val="005B20C7"/>
    <w:rsid w:val="005B4CAC"/>
    <w:rsid w:val="005C166B"/>
    <w:rsid w:val="005C413B"/>
    <w:rsid w:val="005C66F0"/>
    <w:rsid w:val="005C78BE"/>
    <w:rsid w:val="005C79D7"/>
    <w:rsid w:val="005D2FD2"/>
    <w:rsid w:val="005D3C0E"/>
    <w:rsid w:val="005D3D6A"/>
    <w:rsid w:val="005E1AB4"/>
    <w:rsid w:val="005E33E1"/>
    <w:rsid w:val="005E3CC9"/>
    <w:rsid w:val="005E3F18"/>
    <w:rsid w:val="005E79D5"/>
    <w:rsid w:val="005F1C5E"/>
    <w:rsid w:val="005F2ED0"/>
    <w:rsid w:val="00613C89"/>
    <w:rsid w:val="00615B84"/>
    <w:rsid w:val="00615E0F"/>
    <w:rsid w:val="00615F99"/>
    <w:rsid w:val="00626470"/>
    <w:rsid w:val="0063044D"/>
    <w:rsid w:val="0063192B"/>
    <w:rsid w:val="006344E7"/>
    <w:rsid w:val="00641B5E"/>
    <w:rsid w:val="00642CFF"/>
    <w:rsid w:val="00651FC1"/>
    <w:rsid w:val="0065541B"/>
    <w:rsid w:val="00656E01"/>
    <w:rsid w:val="00663806"/>
    <w:rsid w:val="0066465F"/>
    <w:rsid w:val="006652C8"/>
    <w:rsid w:val="00665658"/>
    <w:rsid w:val="006722AA"/>
    <w:rsid w:val="00672AE3"/>
    <w:rsid w:val="00677DE4"/>
    <w:rsid w:val="00680876"/>
    <w:rsid w:val="00681682"/>
    <w:rsid w:val="00685E94"/>
    <w:rsid w:val="00687489"/>
    <w:rsid w:val="006A01E2"/>
    <w:rsid w:val="006A082C"/>
    <w:rsid w:val="006A0ECE"/>
    <w:rsid w:val="006A1947"/>
    <w:rsid w:val="006B0D1B"/>
    <w:rsid w:val="006B645A"/>
    <w:rsid w:val="006C0B09"/>
    <w:rsid w:val="006C0BF3"/>
    <w:rsid w:val="006C1197"/>
    <w:rsid w:val="006C1BB8"/>
    <w:rsid w:val="006C1CAD"/>
    <w:rsid w:val="006C644A"/>
    <w:rsid w:val="006D0C32"/>
    <w:rsid w:val="006D2797"/>
    <w:rsid w:val="006E180D"/>
    <w:rsid w:val="006E3829"/>
    <w:rsid w:val="006E57F3"/>
    <w:rsid w:val="006E5B9E"/>
    <w:rsid w:val="006E6D2A"/>
    <w:rsid w:val="006F5295"/>
    <w:rsid w:val="006F6713"/>
    <w:rsid w:val="00707ED2"/>
    <w:rsid w:val="00710862"/>
    <w:rsid w:val="00713920"/>
    <w:rsid w:val="00714CE6"/>
    <w:rsid w:val="007209BD"/>
    <w:rsid w:val="00722A39"/>
    <w:rsid w:val="007259F1"/>
    <w:rsid w:val="007262EB"/>
    <w:rsid w:val="00726947"/>
    <w:rsid w:val="00727682"/>
    <w:rsid w:val="00730260"/>
    <w:rsid w:val="0073100E"/>
    <w:rsid w:val="007336EC"/>
    <w:rsid w:val="007343A2"/>
    <w:rsid w:val="00753BF3"/>
    <w:rsid w:val="00754E2B"/>
    <w:rsid w:val="007563F4"/>
    <w:rsid w:val="00756E41"/>
    <w:rsid w:val="00760CEA"/>
    <w:rsid w:val="007622F8"/>
    <w:rsid w:val="00763AA2"/>
    <w:rsid w:val="0077028D"/>
    <w:rsid w:val="00770E40"/>
    <w:rsid w:val="00771380"/>
    <w:rsid w:val="00772596"/>
    <w:rsid w:val="007749E6"/>
    <w:rsid w:val="007751A5"/>
    <w:rsid w:val="00782CCE"/>
    <w:rsid w:val="0078326C"/>
    <w:rsid w:val="0079001C"/>
    <w:rsid w:val="007904D7"/>
    <w:rsid w:val="0079320C"/>
    <w:rsid w:val="00795FDA"/>
    <w:rsid w:val="007975F4"/>
    <w:rsid w:val="007A2009"/>
    <w:rsid w:val="007A6390"/>
    <w:rsid w:val="007A7611"/>
    <w:rsid w:val="007B0F05"/>
    <w:rsid w:val="007B26B4"/>
    <w:rsid w:val="007B5A3D"/>
    <w:rsid w:val="007B6D7F"/>
    <w:rsid w:val="007B6E4C"/>
    <w:rsid w:val="007B7BBA"/>
    <w:rsid w:val="007C305D"/>
    <w:rsid w:val="007C669A"/>
    <w:rsid w:val="007D2613"/>
    <w:rsid w:val="007D3804"/>
    <w:rsid w:val="007D5715"/>
    <w:rsid w:val="007E0A8F"/>
    <w:rsid w:val="007E1A5A"/>
    <w:rsid w:val="007E21A2"/>
    <w:rsid w:val="007E38A5"/>
    <w:rsid w:val="007E451B"/>
    <w:rsid w:val="007E7339"/>
    <w:rsid w:val="007F028D"/>
    <w:rsid w:val="00810C80"/>
    <w:rsid w:val="008112C7"/>
    <w:rsid w:val="0081237A"/>
    <w:rsid w:val="00817F24"/>
    <w:rsid w:val="00821068"/>
    <w:rsid w:val="00821B59"/>
    <w:rsid w:val="00822979"/>
    <w:rsid w:val="00823465"/>
    <w:rsid w:val="00831D94"/>
    <w:rsid w:val="008321C9"/>
    <w:rsid w:val="00837D9F"/>
    <w:rsid w:val="008403B0"/>
    <w:rsid w:val="00842CEC"/>
    <w:rsid w:val="0084409D"/>
    <w:rsid w:val="00846F52"/>
    <w:rsid w:val="00847D94"/>
    <w:rsid w:val="0085088C"/>
    <w:rsid w:val="0085372F"/>
    <w:rsid w:val="008553B8"/>
    <w:rsid w:val="008557E5"/>
    <w:rsid w:val="00856911"/>
    <w:rsid w:val="00860207"/>
    <w:rsid w:val="00872651"/>
    <w:rsid w:val="008762AE"/>
    <w:rsid w:val="00876781"/>
    <w:rsid w:val="008774F8"/>
    <w:rsid w:val="00890429"/>
    <w:rsid w:val="00892A91"/>
    <w:rsid w:val="008952C0"/>
    <w:rsid w:val="008A52FD"/>
    <w:rsid w:val="008A5B2B"/>
    <w:rsid w:val="008A6A1A"/>
    <w:rsid w:val="008A6B76"/>
    <w:rsid w:val="008D0BA2"/>
    <w:rsid w:val="008D1BD7"/>
    <w:rsid w:val="008D58D4"/>
    <w:rsid w:val="008E2219"/>
    <w:rsid w:val="008E2385"/>
    <w:rsid w:val="008E7D83"/>
    <w:rsid w:val="008F1B5F"/>
    <w:rsid w:val="008F1BAA"/>
    <w:rsid w:val="008F2A72"/>
    <w:rsid w:val="008F555D"/>
    <w:rsid w:val="008F6C2E"/>
    <w:rsid w:val="00900611"/>
    <w:rsid w:val="00910905"/>
    <w:rsid w:val="00912B48"/>
    <w:rsid w:val="00913418"/>
    <w:rsid w:val="0091633D"/>
    <w:rsid w:val="00923509"/>
    <w:rsid w:val="0092419E"/>
    <w:rsid w:val="009325A2"/>
    <w:rsid w:val="0093594C"/>
    <w:rsid w:val="00944F9B"/>
    <w:rsid w:val="00960833"/>
    <w:rsid w:val="009673A9"/>
    <w:rsid w:val="0096798C"/>
    <w:rsid w:val="009710C2"/>
    <w:rsid w:val="00971834"/>
    <w:rsid w:val="00974507"/>
    <w:rsid w:val="009759FD"/>
    <w:rsid w:val="00983D72"/>
    <w:rsid w:val="00985F87"/>
    <w:rsid w:val="009975FF"/>
    <w:rsid w:val="00997662"/>
    <w:rsid w:val="009A186D"/>
    <w:rsid w:val="009A3532"/>
    <w:rsid w:val="009A72A4"/>
    <w:rsid w:val="009B2068"/>
    <w:rsid w:val="009B25DE"/>
    <w:rsid w:val="009B4AD9"/>
    <w:rsid w:val="009B751B"/>
    <w:rsid w:val="009C6444"/>
    <w:rsid w:val="009D375B"/>
    <w:rsid w:val="009D3CD4"/>
    <w:rsid w:val="009E133D"/>
    <w:rsid w:val="009E3B40"/>
    <w:rsid w:val="009E5EDA"/>
    <w:rsid w:val="009E634C"/>
    <w:rsid w:val="009E6ABD"/>
    <w:rsid w:val="009F16BF"/>
    <w:rsid w:val="009F4E38"/>
    <w:rsid w:val="009F7943"/>
    <w:rsid w:val="00A02D66"/>
    <w:rsid w:val="00A055CA"/>
    <w:rsid w:val="00A13C7C"/>
    <w:rsid w:val="00A20B8A"/>
    <w:rsid w:val="00A228F1"/>
    <w:rsid w:val="00A231F6"/>
    <w:rsid w:val="00A241F6"/>
    <w:rsid w:val="00A42C19"/>
    <w:rsid w:val="00A44346"/>
    <w:rsid w:val="00A50F46"/>
    <w:rsid w:val="00A60CA7"/>
    <w:rsid w:val="00A622F7"/>
    <w:rsid w:val="00A65A53"/>
    <w:rsid w:val="00A67AEE"/>
    <w:rsid w:val="00A73E1B"/>
    <w:rsid w:val="00A7583C"/>
    <w:rsid w:val="00A76858"/>
    <w:rsid w:val="00A81B61"/>
    <w:rsid w:val="00A96D23"/>
    <w:rsid w:val="00A97C50"/>
    <w:rsid w:val="00AA7DD0"/>
    <w:rsid w:val="00AB067C"/>
    <w:rsid w:val="00AB0F7C"/>
    <w:rsid w:val="00AC21D4"/>
    <w:rsid w:val="00AC2E02"/>
    <w:rsid w:val="00AC32C7"/>
    <w:rsid w:val="00AC78B1"/>
    <w:rsid w:val="00AD5A5D"/>
    <w:rsid w:val="00AE0092"/>
    <w:rsid w:val="00AE0844"/>
    <w:rsid w:val="00AE1752"/>
    <w:rsid w:val="00AE4F04"/>
    <w:rsid w:val="00AE5B0A"/>
    <w:rsid w:val="00AE5B34"/>
    <w:rsid w:val="00AE69E7"/>
    <w:rsid w:val="00AE789C"/>
    <w:rsid w:val="00AF5F67"/>
    <w:rsid w:val="00AF7211"/>
    <w:rsid w:val="00B0053E"/>
    <w:rsid w:val="00B0092A"/>
    <w:rsid w:val="00B05CD0"/>
    <w:rsid w:val="00B11D62"/>
    <w:rsid w:val="00B15B23"/>
    <w:rsid w:val="00B16093"/>
    <w:rsid w:val="00B16C30"/>
    <w:rsid w:val="00B2212D"/>
    <w:rsid w:val="00B2653B"/>
    <w:rsid w:val="00B30828"/>
    <w:rsid w:val="00B32ECE"/>
    <w:rsid w:val="00B35660"/>
    <w:rsid w:val="00B37118"/>
    <w:rsid w:val="00B37829"/>
    <w:rsid w:val="00B40D29"/>
    <w:rsid w:val="00B43922"/>
    <w:rsid w:val="00B532AF"/>
    <w:rsid w:val="00B57738"/>
    <w:rsid w:val="00B57A8E"/>
    <w:rsid w:val="00B57D88"/>
    <w:rsid w:val="00B6027E"/>
    <w:rsid w:val="00B60725"/>
    <w:rsid w:val="00B61CCD"/>
    <w:rsid w:val="00B64698"/>
    <w:rsid w:val="00B70AAE"/>
    <w:rsid w:val="00B763E4"/>
    <w:rsid w:val="00B76BA9"/>
    <w:rsid w:val="00B837A2"/>
    <w:rsid w:val="00B8385E"/>
    <w:rsid w:val="00B86CCA"/>
    <w:rsid w:val="00B90BEA"/>
    <w:rsid w:val="00B918B6"/>
    <w:rsid w:val="00B97C6A"/>
    <w:rsid w:val="00BB3073"/>
    <w:rsid w:val="00BB35A1"/>
    <w:rsid w:val="00BC4FD6"/>
    <w:rsid w:val="00BD4211"/>
    <w:rsid w:val="00BE0C52"/>
    <w:rsid w:val="00BF20D2"/>
    <w:rsid w:val="00BF21A4"/>
    <w:rsid w:val="00BF2B93"/>
    <w:rsid w:val="00BF37A2"/>
    <w:rsid w:val="00BF398A"/>
    <w:rsid w:val="00BF784A"/>
    <w:rsid w:val="00C115D4"/>
    <w:rsid w:val="00C17372"/>
    <w:rsid w:val="00C35C6C"/>
    <w:rsid w:val="00C36609"/>
    <w:rsid w:val="00C37F5B"/>
    <w:rsid w:val="00C46ED5"/>
    <w:rsid w:val="00C47C05"/>
    <w:rsid w:val="00C47D70"/>
    <w:rsid w:val="00C5369A"/>
    <w:rsid w:val="00C562A9"/>
    <w:rsid w:val="00C56EC0"/>
    <w:rsid w:val="00C62D9F"/>
    <w:rsid w:val="00C634DB"/>
    <w:rsid w:val="00C6537A"/>
    <w:rsid w:val="00C65492"/>
    <w:rsid w:val="00C65E07"/>
    <w:rsid w:val="00C708F4"/>
    <w:rsid w:val="00C7270A"/>
    <w:rsid w:val="00C82832"/>
    <w:rsid w:val="00C84FD3"/>
    <w:rsid w:val="00C85E49"/>
    <w:rsid w:val="00C9273A"/>
    <w:rsid w:val="00C93104"/>
    <w:rsid w:val="00C93DC0"/>
    <w:rsid w:val="00C940BA"/>
    <w:rsid w:val="00CA05DB"/>
    <w:rsid w:val="00CA48BB"/>
    <w:rsid w:val="00CA6184"/>
    <w:rsid w:val="00CB03E4"/>
    <w:rsid w:val="00CB4104"/>
    <w:rsid w:val="00CB6741"/>
    <w:rsid w:val="00CB6ABC"/>
    <w:rsid w:val="00CC2FB3"/>
    <w:rsid w:val="00CC7A8B"/>
    <w:rsid w:val="00CD2D39"/>
    <w:rsid w:val="00CD4634"/>
    <w:rsid w:val="00CD4F6F"/>
    <w:rsid w:val="00CD7D07"/>
    <w:rsid w:val="00CE4B3F"/>
    <w:rsid w:val="00CF0327"/>
    <w:rsid w:val="00CF3F97"/>
    <w:rsid w:val="00CF6545"/>
    <w:rsid w:val="00D035A4"/>
    <w:rsid w:val="00D07170"/>
    <w:rsid w:val="00D07720"/>
    <w:rsid w:val="00D11611"/>
    <w:rsid w:val="00D20D25"/>
    <w:rsid w:val="00D210FC"/>
    <w:rsid w:val="00D25753"/>
    <w:rsid w:val="00D32C05"/>
    <w:rsid w:val="00D32D3A"/>
    <w:rsid w:val="00D50BB6"/>
    <w:rsid w:val="00D56D81"/>
    <w:rsid w:val="00D56DA0"/>
    <w:rsid w:val="00D57E22"/>
    <w:rsid w:val="00D60C96"/>
    <w:rsid w:val="00D60D2B"/>
    <w:rsid w:val="00D63525"/>
    <w:rsid w:val="00D666A5"/>
    <w:rsid w:val="00D717FA"/>
    <w:rsid w:val="00D73B5C"/>
    <w:rsid w:val="00D77E13"/>
    <w:rsid w:val="00D8276D"/>
    <w:rsid w:val="00D84656"/>
    <w:rsid w:val="00D934B5"/>
    <w:rsid w:val="00DA05F8"/>
    <w:rsid w:val="00DA7A63"/>
    <w:rsid w:val="00DB1C44"/>
    <w:rsid w:val="00DB5D39"/>
    <w:rsid w:val="00DB63EC"/>
    <w:rsid w:val="00DC167B"/>
    <w:rsid w:val="00DC3927"/>
    <w:rsid w:val="00DC5366"/>
    <w:rsid w:val="00DC6C1E"/>
    <w:rsid w:val="00DC7D55"/>
    <w:rsid w:val="00DD0CC7"/>
    <w:rsid w:val="00DD201F"/>
    <w:rsid w:val="00DD34E7"/>
    <w:rsid w:val="00DD6436"/>
    <w:rsid w:val="00DE288D"/>
    <w:rsid w:val="00DE77CF"/>
    <w:rsid w:val="00DF0EA5"/>
    <w:rsid w:val="00DF3E44"/>
    <w:rsid w:val="00DF54C2"/>
    <w:rsid w:val="00DF5E58"/>
    <w:rsid w:val="00E06134"/>
    <w:rsid w:val="00E06754"/>
    <w:rsid w:val="00E10B89"/>
    <w:rsid w:val="00E12609"/>
    <w:rsid w:val="00E13484"/>
    <w:rsid w:val="00E13C83"/>
    <w:rsid w:val="00E1437E"/>
    <w:rsid w:val="00E2548D"/>
    <w:rsid w:val="00E25EE0"/>
    <w:rsid w:val="00E27B1A"/>
    <w:rsid w:val="00E33944"/>
    <w:rsid w:val="00E34973"/>
    <w:rsid w:val="00E4526D"/>
    <w:rsid w:val="00E5647E"/>
    <w:rsid w:val="00E62585"/>
    <w:rsid w:val="00E70811"/>
    <w:rsid w:val="00E73982"/>
    <w:rsid w:val="00E74B50"/>
    <w:rsid w:val="00E761BB"/>
    <w:rsid w:val="00E77846"/>
    <w:rsid w:val="00E87254"/>
    <w:rsid w:val="00E8734C"/>
    <w:rsid w:val="00E87F86"/>
    <w:rsid w:val="00E90B5E"/>
    <w:rsid w:val="00E9708B"/>
    <w:rsid w:val="00EA32B8"/>
    <w:rsid w:val="00EA49AF"/>
    <w:rsid w:val="00EB1881"/>
    <w:rsid w:val="00EB5E01"/>
    <w:rsid w:val="00EB7575"/>
    <w:rsid w:val="00ED0417"/>
    <w:rsid w:val="00ED1CBE"/>
    <w:rsid w:val="00ED6669"/>
    <w:rsid w:val="00ED7ED1"/>
    <w:rsid w:val="00EE27CE"/>
    <w:rsid w:val="00EE2E85"/>
    <w:rsid w:val="00EE3C1B"/>
    <w:rsid w:val="00EE6BA0"/>
    <w:rsid w:val="00EF4EF2"/>
    <w:rsid w:val="00F01431"/>
    <w:rsid w:val="00F0290B"/>
    <w:rsid w:val="00F0385A"/>
    <w:rsid w:val="00F05445"/>
    <w:rsid w:val="00F12780"/>
    <w:rsid w:val="00F16B70"/>
    <w:rsid w:val="00F1763A"/>
    <w:rsid w:val="00F23C2F"/>
    <w:rsid w:val="00F242C6"/>
    <w:rsid w:val="00F350B7"/>
    <w:rsid w:val="00F36F90"/>
    <w:rsid w:val="00F40F0E"/>
    <w:rsid w:val="00F44260"/>
    <w:rsid w:val="00F45216"/>
    <w:rsid w:val="00F47625"/>
    <w:rsid w:val="00F512C7"/>
    <w:rsid w:val="00F54A87"/>
    <w:rsid w:val="00F65ECB"/>
    <w:rsid w:val="00F743A0"/>
    <w:rsid w:val="00F80F6B"/>
    <w:rsid w:val="00F86CCD"/>
    <w:rsid w:val="00F93A26"/>
    <w:rsid w:val="00F96C0C"/>
    <w:rsid w:val="00FA390F"/>
    <w:rsid w:val="00FA438D"/>
    <w:rsid w:val="00FA5350"/>
    <w:rsid w:val="00FA68F2"/>
    <w:rsid w:val="00FB03CC"/>
    <w:rsid w:val="00FB3529"/>
    <w:rsid w:val="00FB64B8"/>
    <w:rsid w:val="00FC1558"/>
    <w:rsid w:val="00FC1FAC"/>
    <w:rsid w:val="00FC2887"/>
    <w:rsid w:val="00FC4849"/>
    <w:rsid w:val="00FD074E"/>
    <w:rsid w:val="00FD4141"/>
    <w:rsid w:val="00FD5C51"/>
    <w:rsid w:val="00FE35E3"/>
    <w:rsid w:val="00FE7E1B"/>
    <w:rsid w:val="00FF2A2B"/>
    <w:rsid w:val="00FF38C2"/>
    <w:rsid w:val="00FF5EC4"/>
    <w:rsid w:val="00FF7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FE5A"/>
  <w15:chartTrackingRefBased/>
  <w15:docId w15:val="{067BB4C5-CBC4-4129-A8FD-23A4847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A0D2C"/>
    <w:pPr>
      <w:keepNext/>
      <w:keepLines/>
      <w:numPr>
        <w:numId w:val="3"/>
      </w:numPr>
      <w:spacing w:before="240" w:after="120"/>
      <w:ind w:left="714" w:hanging="357"/>
      <w:outlineLvl w:val="0"/>
    </w:pPr>
    <w:rPr>
      <w:rFonts w:eastAsiaTheme="majorEastAsia" w:cstheme="minorHAnsi"/>
      <w:color w:val="2E74B5" w:themeColor="accent1" w:themeShade="BF"/>
      <w:sz w:val="32"/>
      <w:szCs w:val="32"/>
    </w:rPr>
  </w:style>
  <w:style w:type="paragraph" w:styleId="Heading2">
    <w:name w:val="heading 2"/>
    <w:basedOn w:val="Normal"/>
    <w:next w:val="Normal"/>
    <w:link w:val="Heading2Char"/>
    <w:autoRedefine/>
    <w:uiPriority w:val="9"/>
    <w:unhideWhenUsed/>
    <w:qFormat/>
    <w:rsid w:val="00F127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D2C"/>
    <w:rPr>
      <w:rFonts w:eastAsiaTheme="majorEastAsia" w:cstheme="minorHAnsi"/>
      <w:color w:val="2E74B5" w:themeColor="accent1" w:themeShade="BF"/>
      <w:sz w:val="32"/>
      <w:szCs w:val="32"/>
    </w:rPr>
  </w:style>
  <w:style w:type="character" w:customStyle="1" w:styleId="Heading2Char">
    <w:name w:val="Heading 2 Char"/>
    <w:basedOn w:val="DefaultParagraphFont"/>
    <w:link w:val="Heading2"/>
    <w:uiPriority w:val="9"/>
    <w:rsid w:val="00F1278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7670"/>
    <w:pPr>
      <w:ind w:left="720"/>
      <w:contextualSpacing/>
    </w:pPr>
  </w:style>
  <w:style w:type="character" w:styleId="Hyperlink">
    <w:name w:val="Hyperlink"/>
    <w:basedOn w:val="DefaultParagraphFont"/>
    <w:uiPriority w:val="99"/>
    <w:unhideWhenUsed/>
    <w:rsid w:val="007209BD"/>
    <w:rPr>
      <w:color w:val="0563C1" w:themeColor="hyperlink"/>
      <w:u w:val="single"/>
    </w:rPr>
  </w:style>
  <w:style w:type="character" w:customStyle="1" w:styleId="UnresolvedMention1">
    <w:name w:val="Unresolved Mention1"/>
    <w:basedOn w:val="DefaultParagraphFont"/>
    <w:uiPriority w:val="99"/>
    <w:semiHidden/>
    <w:unhideWhenUsed/>
    <w:rsid w:val="007209BD"/>
    <w:rPr>
      <w:color w:val="605E5C"/>
      <w:shd w:val="clear" w:color="auto" w:fill="E1DFDD"/>
    </w:rPr>
  </w:style>
  <w:style w:type="paragraph" w:customStyle="1" w:styleId="RDPText">
    <w:name w:val="RDP Text"/>
    <w:link w:val="RDPTextChar"/>
    <w:qFormat/>
    <w:rsid w:val="00C6537A"/>
    <w:pPr>
      <w:spacing w:after="300" w:line="300" w:lineRule="exact"/>
      <w:jc w:val="both"/>
    </w:pPr>
    <w:rPr>
      <w:rFonts w:ascii="Tahoma" w:eastAsia="Times New Roman" w:hAnsi="Tahoma" w:cs="Times New Roman"/>
      <w:szCs w:val="24"/>
    </w:rPr>
  </w:style>
  <w:style w:type="paragraph" w:customStyle="1" w:styleId="RDPFigureHead">
    <w:name w:val="RDP Figure Head"/>
    <w:basedOn w:val="RDPText"/>
    <w:next w:val="Normal"/>
    <w:uiPriority w:val="57"/>
    <w:qFormat/>
    <w:rsid w:val="00C6537A"/>
    <w:pPr>
      <w:keepNext/>
      <w:keepLines/>
      <w:spacing w:after="0" w:line="240" w:lineRule="auto"/>
      <w:jc w:val="center"/>
    </w:pPr>
    <w:rPr>
      <w:b/>
    </w:rPr>
  </w:style>
  <w:style w:type="character" w:customStyle="1" w:styleId="RDPTextChar">
    <w:name w:val="RDP Text Char"/>
    <w:basedOn w:val="DefaultParagraphFont"/>
    <w:link w:val="RDPText"/>
    <w:rsid w:val="00C6537A"/>
    <w:rPr>
      <w:rFonts w:ascii="Tahoma" w:eastAsia="Times New Roman" w:hAnsi="Tahoma" w:cs="Times New Roman"/>
      <w:szCs w:val="24"/>
    </w:rPr>
  </w:style>
  <w:style w:type="paragraph" w:customStyle="1" w:styleId="RDPFigure">
    <w:name w:val="RDP Figure"/>
    <w:basedOn w:val="RDPText"/>
    <w:next w:val="Normal"/>
    <w:uiPriority w:val="60"/>
    <w:rsid w:val="00C6537A"/>
    <w:pPr>
      <w:keepNext/>
      <w:keepLines/>
      <w:spacing w:after="0" w:line="300" w:lineRule="atLeast"/>
      <w:jc w:val="center"/>
    </w:pPr>
  </w:style>
  <w:style w:type="table" w:styleId="TableGrid">
    <w:name w:val="Table Grid"/>
    <w:basedOn w:val="TableNormal"/>
    <w:uiPriority w:val="39"/>
    <w:rsid w:val="00177FAE"/>
    <w:pPr>
      <w:spacing w:after="0" w:line="240" w:lineRule="auto"/>
    </w:pPr>
    <w:tblPr/>
  </w:style>
  <w:style w:type="character" w:styleId="FootnoteReference">
    <w:name w:val="footnote reference"/>
    <w:basedOn w:val="DefaultParagraphFont"/>
    <w:uiPriority w:val="99"/>
    <w:rsid w:val="00177FAE"/>
    <w:rPr>
      <w:vertAlign w:val="superscript"/>
    </w:rPr>
  </w:style>
  <w:style w:type="paragraph" w:styleId="FootnoteText">
    <w:name w:val="footnote text"/>
    <w:basedOn w:val="Normal"/>
    <w:link w:val="FootnoteTextChar"/>
    <w:uiPriority w:val="99"/>
    <w:semiHidden/>
    <w:unhideWhenUsed/>
    <w:rsid w:val="00177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FAE"/>
    <w:rPr>
      <w:sz w:val="20"/>
      <w:szCs w:val="20"/>
    </w:rPr>
  </w:style>
  <w:style w:type="paragraph" w:customStyle="1" w:styleId="Footnote">
    <w:name w:val="Footnote"/>
    <w:qFormat/>
    <w:rsid w:val="009C6444"/>
    <w:pPr>
      <w:suppressAutoHyphens/>
      <w:spacing w:after="113" w:line="240" w:lineRule="auto"/>
      <w:ind w:left="397" w:hanging="397"/>
    </w:pPr>
    <w:rPr>
      <w:rFonts w:ascii="Palatino Linotype" w:eastAsia="Palatino Linotype" w:hAnsi="Palatino Linotype" w:cs="Palatino Linotype"/>
      <w:sz w:val="18"/>
    </w:rPr>
  </w:style>
  <w:style w:type="character" w:styleId="FollowedHyperlink">
    <w:name w:val="FollowedHyperlink"/>
    <w:basedOn w:val="DefaultParagraphFont"/>
    <w:uiPriority w:val="99"/>
    <w:semiHidden/>
    <w:unhideWhenUsed/>
    <w:rsid w:val="005305FE"/>
    <w:rPr>
      <w:color w:val="954F72" w:themeColor="followedHyperlink"/>
      <w:u w:val="single"/>
    </w:rPr>
  </w:style>
  <w:style w:type="character" w:customStyle="1" w:styleId="UnresolvedMention2">
    <w:name w:val="Unresolved Mention2"/>
    <w:basedOn w:val="DefaultParagraphFont"/>
    <w:uiPriority w:val="99"/>
    <w:semiHidden/>
    <w:unhideWhenUsed/>
    <w:rsid w:val="004359EE"/>
    <w:rPr>
      <w:color w:val="605E5C"/>
      <w:shd w:val="clear" w:color="auto" w:fill="E1DFDD"/>
    </w:rPr>
  </w:style>
  <w:style w:type="paragraph" w:styleId="TOC1">
    <w:name w:val="toc 1"/>
    <w:basedOn w:val="Normal"/>
    <w:next w:val="Normal"/>
    <w:autoRedefine/>
    <w:uiPriority w:val="39"/>
    <w:unhideWhenUsed/>
    <w:rsid w:val="00046014"/>
    <w:pPr>
      <w:tabs>
        <w:tab w:val="left" w:pos="440"/>
        <w:tab w:val="right" w:leader="dot" w:pos="9016"/>
      </w:tabs>
      <w:spacing w:after="100"/>
    </w:pPr>
  </w:style>
  <w:style w:type="paragraph" w:styleId="TOC2">
    <w:name w:val="toc 2"/>
    <w:basedOn w:val="Normal"/>
    <w:next w:val="Normal"/>
    <w:autoRedefine/>
    <w:uiPriority w:val="39"/>
    <w:unhideWhenUsed/>
    <w:rsid w:val="00216489"/>
    <w:pPr>
      <w:spacing w:after="100"/>
      <w:ind w:left="220"/>
    </w:pPr>
  </w:style>
  <w:style w:type="character" w:customStyle="1" w:styleId="UnresolvedMention3">
    <w:name w:val="Unresolved Mention3"/>
    <w:basedOn w:val="DefaultParagraphFont"/>
    <w:uiPriority w:val="99"/>
    <w:semiHidden/>
    <w:unhideWhenUsed/>
    <w:rsid w:val="00BB35A1"/>
    <w:rPr>
      <w:color w:val="605E5C"/>
      <w:shd w:val="clear" w:color="auto" w:fill="E1DFDD"/>
    </w:rPr>
  </w:style>
  <w:style w:type="paragraph" w:styleId="BalloonText">
    <w:name w:val="Balloon Text"/>
    <w:basedOn w:val="Normal"/>
    <w:link w:val="BalloonTextChar"/>
    <w:uiPriority w:val="99"/>
    <w:semiHidden/>
    <w:unhideWhenUsed/>
    <w:rsid w:val="00615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E0F"/>
    <w:rPr>
      <w:rFonts w:ascii="Segoe UI" w:hAnsi="Segoe UI" w:cs="Segoe UI"/>
      <w:sz w:val="18"/>
      <w:szCs w:val="18"/>
    </w:rPr>
  </w:style>
  <w:style w:type="character" w:styleId="CommentReference">
    <w:name w:val="annotation reference"/>
    <w:basedOn w:val="DefaultParagraphFont"/>
    <w:uiPriority w:val="99"/>
    <w:semiHidden/>
    <w:unhideWhenUsed/>
    <w:rsid w:val="007F028D"/>
    <w:rPr>
      <w:sz w:val="16"/>
      <w:szCs w:val="16"/>
    </w:rPr>
  </w:style>
  <w:style w:type="paragraph" w:styleId="CommentText">
    <w:name w:val="annotation text"/>
    <w:basedOn w:val="Normal"/>
    <w:link w:val="CommentTextChar"/>
    <w:uiPriority w:val="99"/>
    <w:semiHidden/>
    <w:unhideWhenUsed/>
    <w:rsid w:val="007F028D"/>
    <w:pPr>
      <w:spacing w:line="240" w:lineRule="auto"/>
    </w:pPr>
    <w:rPr>
      <w:sz w:val="20"/>
      <w:szCs w:val="20"/>
    </w:rPr>
  </w:style>
  <w:style w:type="character" w:customStyle="1" w:styleId="CommentTextChar">
    <w:name w:val="Comment Text Char"/>
    <w:basedOn w:val="DefaultParagraphFont"/>
    <w:link w:val="CommentText"/>
    <w:uiPriority w:val="99"/>
    <w:semiHidden/>
    <w:rsid w:val="007F028D"/>
    <w:rPr>
      <w:sz w:val="20"/>
      <w:szCs w:val="20"/>
    </w:rPr>
  </w:style>
  <w:style w:type="paragraph" w:styleId="CommentSubject">
    <w:name w:val="annotation subject"/>
    <w:basedOn w:val="CommentText"/>
    <w:next w:val="CommentText"/>
    <w:link w:val="CommentSubjectChar"/>
    <w:uiPriority w:val="99"/>
    <w:semiHidden/>
    <w:unhideWhenUsed/>
    <w:rsid w:val="007F028D"/>
    <w:rPr>
      <w:b/>
      <w:bCs/>
    </w:rPr>
  </w:style>
  <w:style w:type="character" w:customStyle="1" w:styleId="CommentSubjectChar">
    <w:name w:val="Comment Subject Char"/>
    <w:basedOn w:val="CommentTextChar"/>
    <w:link w:val="CommentSubject"/>
    <w:uiPriority w:val="99"/>
    <w:semiHidden/>
    <w:rsid w:val="007F028D"/>
    <w:rPr>
      <w:b/>
      <w:bCs/>
      <w:sz w:val="20"/>
      <w:szCs w:val="20"/>
    </w:rPr>
  </w:style>
  <w:style w:type="paragraph" w:styleId="Revision">
    <w:name w:val="Revision"/>
    <w:hidden/>
    <w:uiPriority w:val="99"/>
    <w:semiHidden/>
    <w:rsid w:val="00890429"/>
    <w:pPr>
      <w:spacing w:after="0" w:line="240" w:lineRule="auto"/>
    </w:pPr>
  </w:style>
  <w:style w:type="character" w:styleId="UnresolvedMention">
    <w:name w:val="Unresolved Mention"/>
    <w:basedOn w:val="DefaultParagraphFont"/>
    <w:uiPriority w:val="99"/>
    <w:semiHidden/>
    <w:unhideWhenUsed/>
    <w:rsid w:val="00890429"/>
    <w:rPr>
      <w:color w:val="605E5C"/>
      <w:shd w:val="clear" w:color="auto" w:fill="E1DFDD"/>
    </w:rPr>
  </w:style>
  <w:style w:type="paragraph" w:styleId="Header">
    <w:name w:val="header"/>
    <w:basedOn w:val="Normal"/>
    <w:link w:val="HeaderChar"/>
    <w:uiPriority w:val="99"/>
    <w:unhideWhenUsed/>
    <w:rsid w:val="00C63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4DB"/>
  </w:style>
  <w:style w:type="paragraph" w:styleId="Footer">
    <w:name w:val="footer"/>
    <w:basedOn w:val="Normal"/>
    <w:link w:val="FooterChar"/>
    <w:uiPriority w:val="99"/>
    <w:unhideWhenUsed/>
    <w:rsid w:val="00C63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bamawhitehouse.archives.gov/sites/default/files/page/files/20151120_barriers_shared_growth_land_use_regulation_and_economic_rents.pdf" TargetMode="External"/><Relationship Id="rId21" Type="http://schemas.openxmlformats.org/officeDocument/2006/relationships/hyperlink" Target="https://www.theage.com.au/national/victoria/developer-and-liberal-party-donor-makes-36m-profit-afterbuilding-approval-from-matthew-guy-20170814-gxvr13.html" TargetMode="External"/><Relationship Id="rId42" Type="http://schemas.openxmlformats.org/officeDocument/2006/relationships/hyperlink" Target="https://www.nber.org/system/files/working_papers/w20367/w20367.pdf" TargetMode="External"/><Relationship Id="rId47" Type="http://schemas.openxmlformats.org/officeDocument/2006/relationships/hyperlink" Target="https://eml.berkeley.edu/~moretti/growth.pdf" TargetMode="External"/><Relationship Id="rId63" Type="http://schemas.openxmlformats.org/officeDocument/2006/relationships/hyperlink" Target="https://diegopuga.org/papers/DeLaRoca_Puga_REStud_2017.pdf" TargetMode="External"/><Relationship Id="rId68" Type="http://schemas.openxmlformats.org/officeDocument/2006/relationships/hyperlink" Target="https://www.newyorkfed.org/research/epr/03v09n2/0306glae.pdf" TargetMode="External"/><Relationship Id="rId84" Type="http://schemas.openxmlformats.org/officeDocument/2006/relationships/hyperlink" Target="https://www.productivity.nsw.gov.au/white-paper" TargetMode="External"/><Relationship Id="rId89" Type="http://schemas.openxmlformats.org/officeDocument/2006/relationships/hyperlink" Target="https://www.pc.gov.au/inquiries/completed/regulation-benchmarking-planning/report" TargetMode="External"/><Relationship Id="rId16" Type="http://schemas.openxmlformats.org/officeDocument/2006/relationships/hyperlink" Target="https://www.rba.gov.au/publications/rdp/2020/2020-04.html" TargetMode="External"/><Relationship Id="rId11" Type="http://schemas.openxmlformats.org/officeDocument/2006/relationships/image" Target="media/image1.png"/><Relationship Id="rId32" Type="http://schemas.openxmlformats.org/officeDocument/2006/relationships/hyperlink" Target="https://www.parliament.nsw.gov.au/Hansard/Pages/HansardResult.aspx" TargetMode="External"/><Relationship Id="rId37" Type="http://schemas.openxmlformats.org/officeDocument/2006/relationships/hyperlink" Target="https://www.rba.gov.au/publications/rdp/2019/2019-01.html" TargetMode="External"/><Relationship Id="rId53" Type="http://schemas.openxmlformats.org/officeDocument/2006/relationships/hyperlink" Target="https://www.propertycouncil.com.au/Web/Content/Submissions/National/2016/A_Federal_Incentives_Model_for_Housing_Supply.aspx" TargetMode="External"/><Relationship Id="rId58" Type="http://schemas.openxmlformats.org/officeDocument/2006/relationships/hyperlink" Target="https://www.nber.org/system/files/working_papers/w20367/w20367.pdf" TargetMode="External"/><Relationship Id="rId74" Type="http://schemas.openxmlformats.org/officeDocument/2006/relationships/hyperlink" Target="http://www.nber.org/papers/w20536" TargetMode="External"/><Relationship Id="rId79" Type="http://schemas.openxmlformats.org/officeDocument/2006/relationships/hyperlink" Target="https://www.rba.gov.au/publications/rdp/2020/2020-04.html" TargetMode="External"/><Relationship Id="rId5" Type="http://schemas.openxmlformats.org/officeDocument/2006/relationships/numbering" Target="numbering.xml"/><Relationship Id="rId90" Type="http://schemas.openxmlformats.org/officeDocument/2006/relationships/hyperlink" Target="https://www.pc.gov.au/inquiries/completed/productivity-review/report" TargetMode="External"/><Relationship Id="rId95" Type="http://schemas.openxmlformats.org/officeDocument/2006/relationships/hyperlink" Target="http://petertulip.com/misunderstandings.pdf" TargetMode="External"/><Relationship Id="rId22" Type="http://schemas.openxmlformats.org/officeDocument/2006/relationships/hyperlink" Target="http://petertulip.com/misunderstandings.pdf" TargetMode="External"/><Relationship Id="rId27" Type="http://schemas.openxmlformats.org/officeDocument/2006/relationships/hyperlink" Target="https://obamawhitehouse.archives.gov/sites/default/files/page/files/20151120_barriers_shared_growth_land_use_regulation_and_economic_rents.pdf" TargetMode="External"/><Relationship Id="rId43" Type="http://schemas.openxmlformats.org/officeDocument/2006/relationships/hyperlink" Target="https://www.amazon.com/Triumph-City-Greatest-Invention-Healthier/dp/0143120549" TargetMode="External"/><Relationship Id="rId48" Type="http://schemas.openxmlformats.org/officeDocument/2006/relationships/hyperlink" Target="https://www.nber.org/papers/w23609" TargetMode="External"/><Relationship Id="rId64" Type="http://schemas.openxmlformats.org/officeDocument/2006/relationships/hyperlink" Target="https://www.propertycouncil.com.au/Web/Content/Submissions/National/2016/A_Federal_Incentives_Model_for_Housing_Supply.aspx" TargetMode="External"/><Relationship Id="rId69" Type="http://schemas.openxmlformats.org/officeDocument/2006/relationships/hyperlink" Target="https://www.aeaweb.org/articles?id=10.1257/jep.32.1.3" TargetMode="External"/><Relationship Id="rId80" Type="http://schemas.openxmlformats.org/officeDocument/2006/relationships/hyperlink" Target="https://www.rba.gov.au/publications/rdp/2018/2018-03.html" TargetMode="External"/><Relationship Id="rId85" Type="http://schemas.openxmlformats.org/officeDocument/2006/relationships/hyperlink" Target="https://read.oecd-ilibrary.org/economics/oecd-economic-surveys-australia-2021_ce96b16a-en?_ga=2.75096466.1667384192.1632746046-1356414766.1630071861"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rba.gov.au/publications/rdp/2018/2018-03.html" TargetMode="External"/><Relationship Id="rId25" Type="http://schemas.openxmlformats.org/officeDocument/2006/relationships/hyperlink" Target="https://furmancenter.org/research/publication/city-nimbys" TargetMode="External"/><Relationship Id="rId33" Type="http://schemas.openxmlformats.org/officeDocument/2006/relationships/hyperlink" Target="https://www.cis.org.au/publications/policy-papers/does-high-rise-development-damage-neighbourhood-character/" TargetMode="External"/><Relationship Id="rId38" Type="http://schemas.openxmlformats.org/officeDocument/2006/relationships/hyperlink" Target="https://www.journals.uchicago.edu/doi/abs/10.1086/319563" TargetMode="External"/><Relationship Id="rId46" Type="http://schemas.openxmlformats.org/officeDocument/2006/relationships/hyperlink" Target="https://voxeu.org/article/economic-effects-density-synthesis" TargetMode="External"/><Relationship Id="rId59" Type="http://schemas.openxmlformats.org/officeDocument/2006/relationships/hyperlink" Target="https://www.ceda.com.au/Research-and-policy/All-CEDA-research/Research-catalogue/Housing-Australia" TargetMode="External"/><Relationship Id="rId67" Type="http://schemas.openxmlformats.org/officeDocument/2006/relationships/hyperlink" Target="https://www.nber.org/papers/w23609" TargetMode="External"/><Relationship Id="rId20" Type="http://schemas.openxmlformats.org/officeDocument/2006/relationships/hyperlink" Target="https://www.cis.org.au/publications/policy-papers/planning-restrictions-harm-housing-affordability/" TargetMode="External"/><Relationship Id="rId41" Type="http://schemas.openxmlformats.org/officeDocument/2006/relationships/hyperlink" Target="https://zhiwang2013brownecon.weebly.com/uploads/4/2/1/9/42190763/wage_growth_jue_2016.pdf" TargetMode="External"/><Relationship Id="rId54" Type="http://schemas.openxmlformats.org/officeDocument/2006/relationships/hyperlink" Target="https://citynews.com.au/2021/how-blameless-berry-keeps-people-out-of-homes/" TargetMode="External"/><Relationship Id="rId62" Type="http://schemas.openxmlformats.org/officeDocument/2006/relationships/hyperlink" Target="https://docs.iza.org/dp8508.pdf" TargetMode="External"/><Relationship Id="rId70" Type="http://schemas.openxmlformats.org/officeDocument/2006/relationships/hyperlink" Target="https://repository.upenn.edu/cgi/viewcontent.cgi?article=1007&amp;context=penniur_papers" TargetMode="External"/><Relationship Id="rId75" Type="http://schemas.openxmlformats.org/officeDocument/2006/relationships/hyperlink" Target="https://www.thecgo.org/wp-content/uploads/2021/04/Regulation_and_Economic_Opportunity_Blueprints_for_Reform.pdf" TargetMode="External"/><Relationship Id="rId83" Type="http://schemas.openxmlformats.org/officeDocument/2006/relationships/hyperlink" Target="https://www.productivity.nsw.gov.au/white-paper" TargetMode="External"/><Relationship Id="rId88" Type="http://schemas.openxmlformats.org/officeDocument/2006/relationships/hyperlink" Target="https://www.pwc.com.au/infrastructure/cities-affordable-housing-initiative-report-2017.pdf" TargetMode="External"/><Relationship Id="rId91" Type="http://schemas.openxmlformats.org/officeDocument/2006/relationships/hyperlink" Target="https://www.rba.gov.au/publications/rdp/2019/2019-01.html" TargetMode="External"/><Relationship Id="rId96" Type="http://schemas.openxmlformats.org/officeDocument/2006/relationships/hyperlink" Target="https://www.cis.org.au/publications/policy-papers/does-high-rise-development-damage-neighbourhood-charact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s://www.nber.org/papers/w20536" TargetMode="External"/><Relationship Id="rId28" Type="http://schemas.openxmlformats.org/officeDocument/2006/relationships/hyperlink" Target="https://obamawhitehouse.archives.gov/sites/default/files/page/files/20151120_barriers_shared_growth_land_use_regulation_and_economic_rents.pdf" TargetMode="External"/><Relationship Id="rId36" Type="http://schemas.openxmlformats.org/officeDocument/2006/relationships/hyperlink" Target="https://parlinfo.aph.gov.au/parlInfo/download/committees/reportrep/024864/toc_pdf/TheAustralianDream.pdf;fileType=application%2Fpdf" TargetMode="External"/><Relationship Id="rId49" Type="http://schemas.openxmlformats.org/officeDocument/2006/relationships/hyperlink" Target="https://www.aeaweb.org/articles?id=10.1257/jep.32.1.3" TargetMode="External"/><Relationship Id="rId57" Type="http://schemas.openxmlformats.org/officeDocument/2006/relationships/hyperlink" Target="https://furmancenter.org/research/publication/city-nimbys" TargetMode="External"/><Relationship Id="rId10" Type="http://schemas.openxmlformats.org/officeDocument/2006/relationships/endnotes" Target="endnotes.xml"/><Relationship Id="rId31" Type="http://schemas.openxmlformats.org/officeDocument/2006/relationships/hyperlink" Target="https://www.economist.com/finance-and-economics/2021/09/11/how-to-turn-nimbys-into-yimbys" TargetMode="External"/><Relationship Id="rId44" Type="http://schemas.openxmlformats.org/officeDocument/2006/relationships/hyperlink" Target="https://www.nber.org/system/files/working_papers/w20367/w20367.pdf" TargetMode="External"/><Relationship Id="rId52" Type="http://schemas.openxmlformats.org/officeDocument/2006/relationships/hyperlink" Target="https://www.thecie.com.au/publications-archive/reform-of-the-nsw-planning-system" TargetMode="External"/><Relationship Id="rId60" Type="http://schemas.openxmlformats.org/officeDocument/2006/relationships/hyperlink" Target="https://www.thecie.com.au/publications-archive/reform-of-the-nsw-planning-system" TargetMode="External"/><Relationship Id="rId65" Type="http://schemas.openxmlformats.org/officeDocument/2006/relationships/hyperlink" Target="https://www.economist.com/finance-and-economics/2021/09/11/how-to-turn-nimbys-into-yimbys" TargetMode="External"/><Relationship Id="rId73" Type="http://schemas.openxmlformats.org/officeDocument/2006/relationships/hyperlink" Target="http://www.nber.org/papers/w28993" TargetMode="External"/><Relationship Id="rId78" Type="http://schemas.openxmlformats.org/officeDocument/2006/relationships/hyperlink" Target="https://www.imf.org/en/News/Articles/2021/09/23/mcs092321-australia-staff-concluding-statement-of-the-2021-article-iv-discussions" TargetMode="External"/><Relationship Id="rId81" Type="http://schemas.openxmlformats.org/officeDocument/2006/relationships/hyperlink" Target="https://content.knightfrank.com/research/916/documents/en/australian-residential-development-review-2021-8147.pdf" TargetMode="External"/><Relationship Id="rId86" Type="http://schemas.openxmlformats.org/officeDocument/2006/relationships/hyperlink" Target="https://www.smh.com.au/national/nsw/development-plans-for-sydney-s-north-shore-scaled-back-after-outcry-20200828-p55q9w.html" TargetMode="External"/><Relationship Id="rId94" Type="http://schemas.openxmlformats.org/officeDocument/2006/relationships/hyperlink" Target="https://www.cis.org.au/publications/policy-papers/planning-restrictions-harm-housing-affordability/"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wc.com.au/infrastructure/cities-affordable-housing-initiative-report-2017.pdf" TargetMode="External"/><Relationship Id="rId18" Type="http://schemas.openxmlformats.org/officeDocument/2006/relationships/hyperlink" Target="https://www.rba.gov.au/publications/rdp/2020/2020-04.html" TargetMode="External"/><Relationship Id="rId39" Type="http://schemas.openxmlformats.org/officeDocument/2006/relationships/hyperlink" Target="https://diegopuga.org/papers/DeLaRoca_Puga_REStud_2017.pdf" TargetMode="External"/><Relationship Id="rId34" Type="http://schemas.openxmlformats.org/officeDocument/2006/relationships/hyperlink" Target="https://voxeu.org/article/economic-effects-density-synthesis" TargetMode="External"/><Relationship Id="rId50" Type="http://schemas.openxmlformats.org/officeDocument/2006/relationships/hyperlink" Target="https://www.pc.gov.au/inquiries/completed/productivity-review/report" TargetMode="External"/><Relationship Id="rId55" Type="http://schemas.openxmlformats.org/officeDocument/2006/relationships/hyperlink" Target="https://voxeu.org/article/economic-effects-density-synthesis" TargetMode="External"/><Relationship Id="rId76" Type="http://schemas.openxmlformats.org/officeDocument/2006/relationships/hyperlink" Target="https://onlinelibrary.wiley.com/doi/epdf/10.1111/ecoj.12213" TargetMode="External"/><Relationship Id="rId97" Type="http://schemas.openxmlformats.org/officeDocument/2006/relationships/hyperlink" Target="https://zhiwang2013brownecon.weebly.com/uploads/4/2/1/9/42190763/wage_growth_jue_2016.pdf" TargetMode="External"/><Relationship Id="rId7" Type="http://schemas.openxmlformats.org/officeDocument/2006/relationships/settings" Target="settings.xml"/><Relationship Id="rId71" Type="http://schemas.openxmlformats.org/officeDocument/2006/relationships/hyperlink" Target="https://www.journals.uchicago.edu/doi/abs/10.1086/319563" TargetMode="External"/><Relationship Id="rId92" Type="http://schemas.openxmlformats.org/officeDocument/2006/relationships/hyperlink" Target="https://citynews.com.au/2021/how-blameless-berry-keeps-people-out-of-homes/" TargetMode="External"/><Relationship Id="rId2" Type="http://schemas.openxmlformats.org/officeDocument/2006/relationships/customXml" Target="../customXml/item2.xml"/><Relationship Id="rId29" Type="http://schemas.openxmlformats.org/officeDocument/2006/relationships/hyperlink" Target="https://www.aeaweb.org/articles?id=10.1257/jep.32.1.3" TargetMode="External"/><Relationship Id="rId24" Type="http://schemas.openxmlformats.org/officeDocument/2006/relationships/hyperlink" Target="https://www.thecgo.org/wp-content/uploads/2021/04/Regulation_and_Economic_Opportunity_Blueprints_for_Reform.pdf" TargetMode="External"/><Relationship Id="rId40" Type="http://schemas.openxmlformats.org/officeDocument/2006/relationships/hyperlink" Target="https://direct.mit.edu/rest/article-abstract/95/5/1535/58138/Inequality-and-City-Size?redirectedFrom=fulltext" TargetMode="External"/><Relationship Id="rId45" Type="http://schemas.openxmlformats.org/officeDocument/2006/relationships/hyperlink" Target="https://www.iza.org/publications/dp/8508/the-empirics-of-agglomeration-economies" TargetMode="External"/><Relationship Id="rId66" Type="http://schemas.openxmlformats.org/officeDocument/2006/relationships/hyperlink" Target="https://obamawhitehouse.archives.gov/sites/default/files/page/files/20151120_barriers_shared_growth_land_use_regulation_and_economic_rents.pdf" TargetMode="External"/><Relationship Id="rId87" Type="http://schemas.openxmlformats.org/officeDocument/2006/relationships/hyperlink" Target="https://parlinfo.aph.gov.au/parlInfo/download/committees/reportrep/024864/toc_pdf/TheAustralianDream.pdf;fileType=application%2Fpdf" TargetMode="External"/><Relationship Id="rId61" Type="http://schemas.openxmlformats.org/officeDocument/2006/relationships/hyperlink" Target="https://www.cis.org.au/publications/submissions/submission-to-the-inquiry-into-housing-affordability-and-supply-in-australia/" TargetMode="External"/><Relationship Id="rId82" Type="http://schemas.openxmlformats.org/officeDocument/2006/relationships/hyperlink" Target="https://www.theage.com.au/national/victoria/developer-and-liberal-party-donor-makes-36m-profit-afterbuilding-approval-from-matthew-guy-20170814-gxvr13.html" TargetMode="External"/><Relationship Id="rId19" Type="http://schemas.openxmlformats.org/officeDocument/2006/relationships/hyperlink" Target="https://content.knightfrank.com/research/916/documents/en/australian-residential-development-review-2021-8147.pdf" TargetMode="External"/><Relationship Id="rId14" Type="http://schemas.openxmlformats.org/officeDocument/2006/relationships/hyperlink" Target="https://www.smh.com.au/national/nsw/development-plans-for-sydney-s-north-shore-scaled-back-after-outcry-20200828-p55q9w.html" TargetMode="External"/><Relationship Id="rId30" Type="http://schemas.openxmlformats.org/officeDocument/2006/relationships/hyperlink" Target="https://onlinelibrary.wiley.com/doi/epdf/10.1111/ecoj.12213" TargetMode="External"/><Relationship Id="rId35" Type="http://schemas.openxmlformats.org/officeDocument/2006/relationships/hyperlink" Target="https://repository.upenn.edu/cgi/viewcontent.cgi?article=1007&amp;context=penniur_papers" TargetMode="External"/><Relationship Id="rId56" Type="http://schemas.openxmlformats.org/officeDocument/2006/relationships/hyperlink" Target="https://direct.mit.edu/rest/article-abstract/95/5/1535/58138/Inequality-and-City-Size?redirectedFrom=fulltext" TargetMode="External"/><Relationship Id="rId77" Type="http://schemas.openxmlformats.org/officeDocument/2006/relationships/hyperlink" Target="https://eml.berkeley.edu/~moretti/growth.pdf"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c.gov.au/inquiries/completed/regulation-benchmarking-planning/report" TargetMode="External"/><Relationship Id="rId72" Type="http://schemas.openxmlformats.org/officeDocument/2006/relationships/hyperlink" Target="http://www.nber.org/papers/w28993" TargetMode="External"/><Relationship Id="rId93" Type="http://schemas.openxmlformats.org/officeDocument/2006/relationships/hyperlink" Target="https://www.parliament.nsw.gov.au/Hansard/Pages/HansardResult.aspx" TargetMode="External"/><Relationship Id="rId9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lib.org/a-correction-on-housing-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EB1194FBE0B44AA068D84CF1905053" ma:contentTypeVersion="13" ma:contentTypeDescription="Create a new document." ma:contentTypeScope="" ma:versionID="fda3ab407ab18410779edafe01c3b8bc">
  <xsd:schema xmlns:xsd="http://www.w3.org/2001/XMLSchema" xmlns:xs="http://www.w3.org/2001/XMLSchema" xmlns:p="http://schemas.microsoft.com/office/2006/metadata/properties" xmlns:ns3="633280ca-d028-436e-b523-c38f128d0061" xmlns:ns4="e268c5e1-f79f-4c92-bd54-065e04a8cc0d" targetNamespace="http://schemas.microsoft.com/office/2006/metadata/properties" ma:root="true" ma:fieldsID="bb1f7359fc7bf94cede0168585b0045a" ns3:_="" ns4:_="">
    <xsd:import namespace="633280ca-d028-436e-b523-c38f128d0061"/>
    <xsd:import namespace="e268c5e1-f79f-4c92-bd54-065e04a8cc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280ca-d028-436e-b523-c38f128d0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8c5e1-f79f-4c92-bd54-065e04a8c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A8CBA-9CDC-4460-8172-F0BC46CD09BB}">
  <ds:schemaRefs>
    <ds:schemaRef ds:uri="http://schemas.microsoft.com/sharepoint/v3/contenttype/forms"/>
  </ds:schemaRefs>
</ds:datastoreItem>
</file>

<file path=customXml/itemProps2.xml><?xml version="1.0" encoding="utf-8"?>
<ds:datastoreItem xmlns:ds="http://schemas.openxmlformats.org/officeDocument/2006/customXml" ds:itemID="{E11AF737-50FE-415F-860D-B6076D527C54}">
  <ds:schemaRefs>
    <ds:schemaRef ds:uri="http://schemas.openxmlformats.org/officeDocument/2006/bibliography"/>
  </ds:schemaRefs>
</ds:datastoreItem>
</file>

<file path=customXml/itemProps3.xml><?xml version="1.0" encoding="utf-8"?>
<ds:datastoreItem xmlns:ds="http://schemas.openxmlformats.org/officeDocument/2006/customXml" ds:itemID="{73E2B796-16EC-4BFE-AEA3-7697AAE74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280ca-d028-436e-b523-c38f128d0061"/>
    <ds:schemaRef ds:uri="e268c5e1-f79f-4c92-bd54-065e04a8c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EB4E9-FA48-4883-A7AE-2BDB5233A4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6575</Words>
  <Characters>37482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Submission 42 - Centre for Independent Studies (CIS) - Productivity - Public inquiry</vt:lpstr>
    </vt:vector>
  </TitlesOfParts>
  <Company>Centre for Independent Studies (CIS) </Company>
  <LinksUpToDate>false</LinksUpToDate>
  <CharactersWithSpaces>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Centre for Independent Studies (CIS) - Productivity - Public inquiry</dc:title>
  <dc:subject/>
  <dc:creator>Centre for Independent Studies (CIS) </dc:creator>
  <cp:keywords/>
  <dc:description/>
  <cp:lastModifiedBy>Alston, Chris</cp:lastModifiedBy>
  <cp:revision>85</cp:revision>
  <cp:lastPrinted>2022-03-29T04:18:00Z</cp:lastPrinted>
  <dcterms:created xsi:type="dcterms:W3CDTF">2022-03-22T01:24:00Z</dcterms:created>
  <dcterms:modified xsi:type="dcterms:W3CDTF">2022-03-29T04:19:00Z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0x0101009EEB1194FBE0B44AA068D84CF1905053</vt:lpwstr>
  </property>
</Properties>
</file>