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3A3B" w14:textId="16D274E9" w:rsidR="00532928" w:rsidRPr="00730F87" w:rsidRDefault="00532928" w:rsidP="00402D48">
      <w:pPr>
        <w:pStyle w:val="Heading2"/>
        <w:rPr>
          <w:rFonts w:eastAsia="Times New Roman"/>
          <w:b/>
          <w:bCs/>
        </w:rPr>
      </w:pPr>
      <w:r w:rsidRPr="00730F87">
        <w:rPr>
          <w:rFonts w:eastAsia="Times New Roman"/>
          <w:b/>
          <w:bCs/>
        </w:rPr>
        <w:t>Maritime Union of Australia</w:t>
      </w:r>
    </w:p>
    <w:p w14:paraId="5EE19239" w14:textId="31F83E70" w:rsidR="00532928" w:rsidRPr="00B702C9" w:rsidRDefault="00532928" w:rsidP="00532928">
      <w:pPr>
        <w:rPr>
          <w:sz w:val="24"/>
          <w:szCs w:val="24"/>
        </w:rPr>
      </w:pPr>
      <w:r w:rsidRPr="00B702C9">
        <w:rPr>
          <w:sz w:val="24"/>
          <w:szCs w:val="24"/>
        </w:rPr>
        <w:t>Supplementary submission</w:t>
      </w:r>
      <w:r w:rsidR="00730F87">
        <w:rPr>
          <w:sz w:val="24"/>
          <w:szCs w:val="24"/>
        </w:rPr>
        <w:t xml:space="preserve"> to the Productivity Commission Inquiry into </w:t>
      </w:r>
      <w:r w:rsidR="00331988">
        <w:rPr>
          <w:sz w:val="24"/>
          <w:szCs w:val="24"/>
        </w:rPr>
        <w:t xml:space="preserve">Australia’s </w:t>
      </w:r>
      <w:r w:rsidR="00730F87">
        <w:rPr>
          <w:sz w:val="24"/>
          <w:szCs w:val="24"/>
        </w:rPr>
        <w:t>Maritime Logistics</w:t>
      </w:r>
      <w:r w:rsidR="00331988">
        <w:rPr>
          <w:sz w:val="24"/>
          <w:szCs w:val="24"/>
        </w:rPr>
        <w:t xml:space="preserve"> System</w:t>
      </w:r>
    </w:p>
    <w:p w14:paraId="099398C4" w14:textId="00C7EEB7" w:rsidR="009F7FB9" w:rsidRPr="00B702C9" w:rsidRDefault="009F7FB9" w:rsidP="009F7FB9">
      <w:pPr>
        <w:rPr>
          <w:sz w:val="24"/>
          <w:szCs w:val="24"/>
        </w:rPr>
      </w:pPr>
      <w:r w:rsidRPr="00B702C9">
        <w:rPr>
          <w:sz w:val="24"/>
          <w:szCs w:val="24"/>
        </w:rPr>
        <w:t>1</w:t>
      </w:r>
      <w:r w:rsidR="001D21A9">
        <w:rPr>
          <w:sz w:val="24"/>
          <w:szCs w:val="24"/>
        </w:rPr>
        <w:t>4</w:t>
      </w:r>
      <w:r w:rsidRPr="00B702C9">
        <w:rPr>
          <w:sz w:val="24"/>
          <w:szCs w:val="24"/>
        </w:rPr>
        <w:t xml:space="preserve"> April 2022</w:t>
      </w:r>
    </w:p>
    <w:p w14:paraId="70DCA32A" w14:textId="77777777" w:rsidR="00BB0749" w:rsidRPr="00B702C9" w:rsidRDefault="00BB0749" w:rsidP="009F7FB9">
      <w:pPr>
        <w:rPr>
          <w:sz w:val="24"/>
          <w:szCs w:val="24"/>
        </w:rPr>
      </w:pPr>
    </w:p>
    <w:p w14:paraId="416656F6" w14:textId="432E60F4" w:rsidR="009F7FB9" w:rsidRPr="00B702C9" w:rsidRDefault="00BB0749" w:rsidP="009F7FB9">
      <w:pPr>
        <w:rPr>
          <w:sz w:val="24"/>
          <w:szCs w:val="24"/>
        </w:rPr>
      </w:pPr>
      <w:r w:rsidRPr="00B702C9">
        <w:rPr>
          <w:sz w:val="24"/>
          <w:szCs w:val="24"/>
        </w:rPr>
        <w:t xml:space="preserve">In our main submission to the Inquiry, the MUA quoted some concerning information on container vessel reliability which showed that in April-May 2021, only 17% of vessels were arriving on time across all ports and vessels on the Asia-Oceania </w:t>
      </w:r>
      <w:r w:rsidR="004823B1" w:rsidRPr="00B702C9">
        <w:rPr>
          <w:sz w:val="24"/>
          <w:szCs w:val="24"/>
        </w:rPr>
        <w:t xml:space="preserve">container liner </w:t>
      </w:r>
      <w:r w:rsidRPr="00B702C9">
        <w:rPr>
          <w:sz w:val="24"/>
          <w:szCs w:val="24"/>
        </w:rPr>
        <w:t>routes, and that these vessels were on average 7.6 days late (MUA submission, p.116-117). Schedule reliability across routes calling at ports in Oceania historically ranges from 70% up to 95%.</w:t>
      </w:r>
      <w:r w:rsidRPr="00B702C9">
        <w:rPr>
          <w:rStyle w:val="FootnoteReference"/>
          <w:sz w:val="24"/>
          <w:szCs w:val="24"/>
        </w:rPr>
        <w:footnoteReference w:id="1"/>
      </w:r>
    </w:p>
    <w:p w14:paraId="20CE889D" w14:textId="6AD1AA5D" w:rsidR="00BB0749" w:rsidRPr="00B702C9" w:rsidRDefault="00BB0749" w:rsidP="009F7FB9">
      <w:pPr>
        <w:rPr>
          <w:sz w:val="24"/>
          <w:szCs w:val="24"/>
        </w:rPr>
      </w:pPr>
      <w:r w:rsidRPr="00B702C9">
        <w:rPr>
          <w:sz w:val="24"/>
          <w:szCs w:val="24"/>
        </w:rPr>
        <w:t xml:space="preserve">We have subsequently obtained a longer time series of </w:t>
      </w:r>
      <w:r w:rsidR="007A3A7C" w:rsidRPr="00B702C9">
        <w:rPr>
          <w:sz w:val="24"/>
          <w:szCs w:val="24"/>
        </w:rPr>
        <w:t>this data from Sea-Intelligence</w:t>
      </w:r>
      <w:r w:rsidRPr="00B702C9">
        <w:rPr>
          <w:sz w:val="24"/>
          <w:szCs w:val="24"/>
        </w:rPr>
        <w:t xml:space="preserve">, specific to the </w:t>
      </w:r>
      <w:r w:rsidR="007A3A7C" w:rsidRPr="00B702C9">
        <w:rPr>
          <w:sz w:val="24"/>
          <w:szCs w:val="24"/>
        </w:rPr>
        <w:t>five</w:t>
      </w:r>
      <w:r w:rsidRPr="00B702C9">
        <w:rPr>
          <w:sz w:val="24"/>
          <w:szCs w:val="24"/>
        </w:rPr>
        <w:t xml:space="preserve"> Australian container ports.  </w:t>
      </w:r>
    </w:p>
    <w:p w14:paraId="0D567E8E" w14:textId="12FC927A" w:rsidR="003A5B89" w:rsidRPr="00B702C9" w:rsidRDefault="003A5B89" w:rsidP="003A5B89">
      <w:pPr>
        <w:pStyle w:val="Default"/>
        <w:rPr>
          <w:rFonts w:eastAsia="Times New Roman"/>
          <w:color w:val="auto"/>
        </w:rPr>
      </w:pPr>
      <w:r w:rsidRPr="00B702C9">
        <w:rPr>
          <w:rFonts w:eastAsia="Times New Roman"/>
          <w:color w:val="auto"/>
        </w:rPr>
        <w:t>Over the 18 months from August 2020 to January 2022, 83% of all the international container vessels arriving</w:t>
      </w:r>
      <w:r w:rsidR="00CB4CED">
        <w:rPr>
          <w:rFonts w:eastAsia="Times New Roman"/>
          <w:color w:val="auto"/>
        </w:rPr>
        <w:t xml:space="preserve"> in</w:t>
      </w:r>
      <w:r w:rsidRPr="00B702C9">
        <w:rPr>
          <w:rFonts w:eastAsia="Times New Roman"/>
          <w:color w:val="auto"/>
        </w:rPr>
        <w:t xml:space="preserve"> Australia’s five major container ports arrived late for their allocated slot. Those late vessels were an average of almost 7 days late.</w:t>
      </w:r>
    </w:p>
    <w:p w14:paraId="2916E21A" w14:textId="77777777" w:rsidR="003A5B89" w:rsidRPr="00B702C9" w:rsidRDefault="003A5B89" w:rsidP="007A3A7C">
      <w:pPr>
        <w:pStyle w:val="Default"/>
        <w:rPr>
          <w:rFonts w:eastAsia="Times New Roman"/>
          <w:color w:val="auto"/>
        </w:rPr>
      </w:pPr>
    </w:p>
    <w:p w14:paraId="28E5696B" w14:textId="3E2C492E" w:rsidR="00BB0749" w:rsidRPr="00CB4CED" w:rsidRDefault="00B702C9" w:rsidP="00CB4CED">
      <w:pPr>
        <w:pStyle w:val="Default"/>
        <w:rPr>
          <w:rFonts w:eastAsia="Times New Roman"/>
          <w:color w:val="auto"/>
        </w:rPr>
      </w:pPr>
      <w:r>
        <w:rPr>
          <w:rFonts w:eastAsia="Times New Roman"/>
          <w:color w:val="auto"/>
        </w:rPr>
        <w:t>In</w:t>
      </w:r>
      <w:r w:rsidR="007A3A7C" w:rsidRPr="00B702C9">
        <w:rPr>
          <w:rFonts w:eastAsia="Times New Roman"/>
          <w:color w:val="auto"/>
        </w:rPr>
        <w:t xml:space="preserve"> January 2022, 86% of international container vessels were still arriving </w:t>
      </w:r>
      <w:r w:rsidR="00A30E44" w:rsidRPr="00B702C9">
        <w:rPr>
          <w:rFonts w:eastAsia="Times New Roman"/>
          <w:color w:val="auto"/>
        </w:rPr>
        <w:t xml:space="preserve">in Australian ports </w:t>
      </w:r>
      <w:r w:rsidR="007A3A7C" w:rsidRPr="00B702C9">
        <w:rPr>
          <w:rFonts w:eastAsia="Times New Roman"/>
          <w:color w:val="auto"/>
        </w:rPr>
        <w:t xml:space="preserve">on average </w:t>
      </w:r>
      <w:r w:rsidR="00160DD4">
        <w:rPr>
          <w:rFonts w:eastAsia="Times New Roman"/>
          <w:color w:val="auto"/>
        </w:rPr>
        <w:t>more than 7</w:t>
      </w:r>
      <w:r w:rsidR="007A3A7C" w:rsidRPr="00B702C9">
        <w:rPr>
          <w:rFonts w:eastAsia="Times New Roman"/>
          <w:color w:val="auto"/>
        </w:rPr>
        <w:t xml:space="preserve"> days late</w:t>
      </w:r>
      <w:r w:rsidR="005712FB">
        <w:rPr>
          <w:rFonts w:eastAsia="Times New Roman"/>
          <w:color w:val="auto"/>
        </w:rPr>
        <w:t xml:space="preserve"> (Table </w:t>
      </w:r>
      <w:r w:rsidR="00CB4CED">
        <w:rPr>
          <w:rFonts w:eastAsia="Times New Roman"/>
          <w:color w:val="auto"/>
        </w:rPr>
        <w:t>1</w:t>
      </w:r>
      <w:r w:rsidR="005712FB">
        <w:rPr>
          <w:rFonts w:eastAsia="Times New Roman"/>
          <w:color w:val="auto"/>
        </w:rPr>
        <w:t>)</w:t>
      </w:r>
      <w:r w:rsidR="007A3A7C" w:rsidRPr="00B702C9">
        <w:rPr>
          <w:rFonts w:eastAsia="Times New Roman"/>
          <w:color w:val="auto"/>
        </w:rPr>
        <w:t xml:space="preserve">. No industrial action </w:t>
      </w:r>
      <w:r w:rsidR="00A827E4" w:rsidRPr="00B702C9">
        <w:rPr>
          <w:rFonts w:eastAsia="Times New Roman"/>
          <w:color w:val="auto"/>
        </w:rPr>
        <w:t>had taken place for months (</w:t>
      </w:r>
      <w:r w:rsidR="0003726A" w:rsidRPr="00B702C9">
        <w:rPr>
          <w:rFonts w:eastAsia="Times New Roman"/>
          <w:color w:val="auto"/>
        </w:rPr>
        <w:t>T</w:t>
      </w:r>
      <w:r w:rsidR="00A827E4" w:rsidRPr="00B702C9">
        <w:rPr>
          <w:rFonts w:eastAsia="Times New Roman"/>
          <w:color w:val="auto"/>
        </w:rPr>
        <w:t xml:space="preserve">able </w:t>
      </w:r>
      <w:r w:rsidR="00CB4CED">
        <w:rPr>
          <w:rFonts w:eastAsia="Times New Roman"/>
          <w:color w:val="auto"/>
        </w:rPr>
        <w:t>2</w:t>
      </w:r>
      <w:r w:rsidR="00A827E4" w:rsidRPr="00B702C9">
        <w:rPr>
          <w:rFonts w:eastAsia="Times New Roman"/>
          <w:color w:val="auto"/>
        </w:rPr>
        <w:t>)</w:t>
      </w:r>
      <w:r w:rsidR="00CB4CED">
        <w:rPr>
          <w:rFonts w:eastAsia="Times New Roman"/>
          <w:color w:val="auto"/>
        </w:rPr>
        <w:t>.</w:t>
      </w:r>
    </w:p>
    <w:p w14:paraId="35C63470" w14:textId="77777777" w:rsidR="00CB4CED" w:rsidRPr="00B702C9" w:rsidRDefault="00CB4CED" w:rsidP="009F7FB9">
      <w:pPr>
        <w:rPr>
          <w:sz w:val="24"/>
          <w:szCs w:val="24"/>
        </w:rPr>
      </w:pPr>
    </w:p>
    <w:p w14:paraId="07DAA60D" w14:textId="25FA16FE" w:rsidR="00BB0749" w:rsidRDefault="00BB0749" w:rsidP="00BB0749">
      <w:r w:rsidRPr="00DD5737">
        <w:rPr>
          <w:b/>
          <w:bCs/>
        </w:rPr>
        <w:t xml:space="preserve">Figure </w:t>
      </w:r>
      <w:r>
        <w:rPr>
          <w:b/>
          <w:bCs/>
        </w:rPr>
        <w:t>1</w:t>
      </w:r>
      <w:r w:rsidRPr="00DD5737">
        <w:rPr>
          <w:b/>
          <w:bCs/>
        </w:rPr>
        <w:t>:</w:t>
      </w:r>
      <w:r>
        <w:t xml:space="preserve"> </w:t>
      </w:r>
      <w:r w:rsidR="0003726A">
        <w:t>R</w:t>
      </w:r>
      <w:r>
        <w:t>eliability of container shipping vessels calling at major Australian container ports.</w:t>
      </w:r>
    </w:p>
    <w:p w14:paraId="6A20FC4A" w14:textId="77777777" w:rsidR="00BB0749" w:rsidRDefault="00BB0749" w:rsidP="00BB0749">
      <w:pPr>
        <w:spacing w:after="0"/>
        <w:rPr>
          <w:noProof/>
        </w:rPr>
      </w:pPr>
      <w:r>
        <w:rPr>
          <w:noProof/>
        </w:rPr>
        <w:drawing>
          <wp:inline distT="0" distB="0" distL="0" distR="0" wp14:anchorId="35D4AE7F" wp14:editId="7E7D675F">
            <wp:extent cx="6496050" cy="3448050"/>
            <wp:effectExtent l="0" t="0" r="0" b="0"/>
            <wp:docPr id="3" name="Chart 3" descr="Figure 1: Reliability of container shipping vessels calling at major Australian container ports. Described in text below.">
              <a:extLst xmlns:a="http://schemas.openxmlformats.org/drawingml/2006/main">
                <a:ext uri="{FF2B5EF4-FFF2-40B4-BE49-F238E27FC236}">
                  <a16:creationId xmlns:a16="http://schemas.microsoft.com/office/drawing/2014/main" id="{449CD238-7DAF-4B59-A84D-39CE058FF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C37B83" w14:textId="0D303F86" w:rsidR="005A3677" w:rsidRPr="001D21A9" w:rsidRDefault="00BB0749" w:rsidP="001D21A9">
      <w:pPr>
        <w:pStyle w:val="Pa25"/>
        <w:keepNext/>
        <w:keepLines/>
        <w:spacing w:after="160"/>
        <w:rPr>
          <w:rFonts w:asciiTheme="minorHAnsi" w:hAnsiTheme="minorHAnsi" w:cstheme="minorHAnsi"/>
          <w:color w:val="000000"/>
          <w:sz w:val="22"/>
          <w:szCs w:val="22"/>
        </w:rPr>
      </w:pPr>
      <w:r w:rsidRPr="001963CB">
        <w:rPr>
          <w:rFonts w:asciiTheme="minorHAnsi" w:hAnsiTheme="minorHAnsi" w:cstheme="minorHAnsi"/>
          <w:b/>
          <w:bCs/>
          <w:color w:val="000000"/>
          <w:sz w:val="22"/>
          <w:szCs w:val="22"/>
        </w:rPr>
        <w:t>Source</w:t>
      </w:r>
      <w:r w:rsidRPr="001963CB">
        <w:rPr>
          <w:rFonts w:asciiTheme="minorHAnsi" w:hAnsiTheme="minorHAnsi" w:cstheme="minorHAnsi"/>
          <w:color w:val="000000"/>
          <w:sz w:val="22"/>
          <w:szCs w:val="22"/>
        </w:rPr>
        <w:t xml:space="preserve">: </w:t>
      </w:r>
      <w:hyperlink r:id="rId12" w:history="1">
        <w:r w:rsidRPr="009B0858">
          <w:rPr>
            <w:rStyle w:val="Hyperlink"/>
            <w:rFonts w:asciiTheme="minorHAnsi" w:hAnsiTheme="minorHAnsi" w:cstheme="minorHAnsi"/>
            <w:sz w:val="22"/>
            <w:szCs w:val="22"/>
          </w:rPr>
          <w:t>SeaIntelligence</w:t>
        </w:r>
      </w:hyperlink>
      <w:r w:rsidRPr="001963CB">
        <w:rPr>
          <w:rFonts w:asciiTheme="minorHAnsi" w:hAnsiTheme="minorHAnsi" w:cstheme="minorHAnsi"/>
          <w:color w:val="000000"/>
          <w:sz w:val="22"/>
          <w:szCs w:val="22"/>
        </w:rPr>
        <w:t>, data supplied to the MUA March 2021, available on request.</w:t>
      </w:r>
    </w:p>
    <w:p w14:paraId="4FD33AE6" w14:textId="77777777" w:rsidR="001D21A9" w:rsidRDefault="001D21A9">
      <w:pPr>
        <w:rPr>
          <w:b/>
          <w:bCs/>
        </w:rPr>
      </w:pPr>
      <w:r>
        <w:rPr>
          <w:b/>
          <w:bCs/>
        </w:rPr>
        <w:br w:type="page"/>
      </w:r>
    </w:p>
    <w:p w14:paraId="07835FA5" w14:textId="0F01B6EC" w:rsidR="00CB4CED" w:rsidRDefault="00CB4CED" w:rsidP="00297064">
      <w:pPr>
        <w:spacing w:after="120"/>
      </w:pPr>
      <w:r w:rsidRPr="00342386">
        <w:rPr>
          <w:b/>
          <w:bCs/>
        </w:rPr>
        <w:lastRenderedPageBreak/>
        <w:t>Table 2:</w:t>
      </w:r>
      <w:r>
        <w:t xml:space="preserve"> Container vessel reliability and average delay in January 2022</w:t>
      </w:r>
    </w:p>
    <w:tbl>
      <w:tblPr>
        <w:tblStyle w:val="MediumShading1-Accent11"/>
        <w:tblW w:w="0" w:type="auto"/>
        <w:tblLook w:val="04A0" w:firstRow="1" w:lastRow="0" w:firstColumn="1" w:lastColumn="0" w:noHBand="0" w:noVBand="1"/>
      </w:tblPr>
      <w:tblGrid>
        <w:gridCol w:w="1947"/>
        <w:gridCol w:w="2721"/>
        <w:gridCol w:w="1947"/>
      </w:tblGrid>
      <w:tr w:rsidR="00CB4CED" w14:paraId="6ED03A50" w14:textId="77777777" w:rsidTr="00C7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55F8E64D" w14:textId="77777777" w:rsidR="00CB4CED" w:rsidRDefault="00CB4CED" w:rsidP="00C76999"/>
        </w:tc>
        <w:tc>
          <w:tcPr>
            <w:tcW w:w="2721" w:type="dxa"/>
          </w:tcPr>
          <w:p w14:paraId="48A7FC00" w14:textId="77777777" w:rsidR="00CB4CED" w:rsidRDefault="00CB4CED" w:rsidP="00C76999">
            <w:pPr>
              <w:cnfStyle w:val="100000000000" w:firstRow="1" w:lastRow="0" w:firstColumn="0" w:lastColumn="0" w:oddVBand="0" w:evenVBand="0" w:oddHBand="0" w:evenHBand="0" w:firstRowFirstColumn="0" w:firstRowLastColumn="0" w:lastRowFirstColumn="0" w:lastRowLastColumn="0"/>
            </w:pPr>
            <w:r>
              <w:t>Percentage of container vessels arriving on-time</w:t>
            </w:r>
          </w:p>
        </w:tc>
        <w:tc>
          <w:tcPr>
            <w:tcW w:w="1947" w:type="dxa"/>
          </w:tcPr>
          <w:p w14:paraId="6F7B78A5" w14:textId="77777777" w:rsidR="00CB4CED" w:rsidRDefault="00CB4CED" w:rsidP="00C76999">
            <w:pPr>
              <w:cnfStyle w:val="100000000000" w:firstRow="1" w:lastRow="0" w:firstColumn="0" w:lastColumn="0" w:oddVBand="0" w:evenVBand="0" w:oddHBand="0" w:evenHBand="0" w:firstRowFirstColumn="0" w:firstRowLastColumn="0" w:lastRowFirstColumn="0" w:lastRowLastColumn="0"/>
            </w:pPr>
            <w:r>
              <w:t>Average days late</w:t>
            </w:r>
          </w:p>
        </w:tc>
      </w:tr>
      <w:tr w:rsidR="00CB4CED" w14:paraId="6E5B74A8" w14:textId="77777777" w:rsidTr="00C7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455A1050" w14:textId="77777777" w:rsidR="00CB4CED" w:rsidRDefault="00CB4CED" w:rsidP="00C76999">
            <w:r>
              <w:t>Sydney</w:t>
            </w:r>
          </w:p>
        </w:tc>
        <w:tc>
          <w:tcPr>
            <w:tcW w:w="2721" w:type="dxa"/>
          </w:tcPr>
          <w:p w14:paraId="2B30B3A4" w14:textId="77777777" w:rsidR="00CB4CED" w:rsidRDefault="00CB4CED" w:rsidP="00C76999">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26%</w:t>
            </w:r>
          </w:p>
        </w:tc>
        <w:tc>
          <w:tcPr>
            <w:tcW w:w="1947" w:type="dxa"/>
          </w:tcPr>
          <w:p w14:paraId="0668679C" w14:textId="77777777" w:rsidR="00CB4CED" w:rsidRPr="006F3B7C" w:rsidRDefault="00CB4CED" w:rsidP="00C76999">
            <w:pPr>
              <w:cnfStyle w:val="000000100000" w:firstRow="0" w:lastRow="0" w:firstColumn="0" w:lastColumn="0" w:oddVBand="0" w:evenVBand="0" w:oddHBand="1" w:evenHBand="0" w:firstRowFirstColumn="0" w:firstRowLastColumn="0" w:lastRowFirstColumn="0" w:lastRowLastColumn="0"/>
            </w:pPr>
            <w:r w:rsidRPr="006F3B7C">
              <w:rPr>
                <w:rFonts w:ascii="Calibri" w:hAnsi="Calibri" w:cs="Calibri"/>
                <w:color w:val="000000"/>
              </w:rPr>
              <w:t>8.3</w:t>
            </w:r>
          </w:p>
        </w:tc>
      </w:tr>
      <w:tr w:rsidR="00CB4CED" w14:paraId="4D8672D8" w14:textId="77777777" w:rsidTr="00C769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45973895" w14:textId="77777777" w:rsidR="00CB4CED" w:rsidRDefault="00CB4CED" w:rsidP="00C76999">
            <w:r>
              <w:t>Melbourne</w:t>
            </w:r>
          </w:p>
        </w:tc>
        <w:tc>
          <w:tcPr>
            <w:tcW w:w="2721" w:type="dxa"/>
          </w:tcPr>
          <w:p w14:paraId="5562872A" w14:textId="77777777" w:rsidR="00CB4CED" w:rsidRDefault="00CB4CED" w:rsidP="00C76999">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8%</w:t>
            </w:r>
          </w:p>
        </w:tc>
        <w:tc>
          <w:tcPr>
            <w:tcW w:w="1947" w:type="dxa"/>
          </w:tcPr>
          <w:p w14:paraId="3FE84AB2" w14:textId="77777777" w:rsidR="00CB4CED" w:rsidRPr="006F3B7C" w:rsidRDefault="00CB4CED" w:rsidP="00C76999">
            <w:pPr>
              <w:cnfStyle w:val="000000010000" w:firstRow="0" w:lastRow="0" w:firstColumn="0" w:lastColumn="0" w:oddVBand="0" w:evenVBand="0" w:oddHBand="0" w:evenHBand="1" w:firstRowFirstColumn="0" w:firstRowLastColumn="0" w:lastRowFirstColumn="0" w:lastRowLastColumn="0"/>
            </w:pPr>
            <w:r w:rsidRPr="006F3B7C">
              <w:rPr>
                <w:rFonts w:ascii="Calibri" w:hAnsi="Calibri" w:cs="Calibri"/>
                <w:color w:val="000000"/>
              </w:rPr>
              <w:t>7.7</w:t>
            </w:r>
          </w:p>
        </w:tc>
      </w:tr>
      <w:tr w:rsidR="00CB4CED" w14:paraId="7A6F9FEF" w14:textId="77777777" w:rsidTr="00C7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39F09CB0" w14:textId="77777777" w:rsidR="00CB4CED" w:rsidRDefault="00CB4CED" w:rsidP="00C76999">
            <w:r>
              <w:t>Brisbane</w:t>
            </w:r>
          </w:p>
        </w:tc>
        <w:tc>
          <w:tcPr>
            <w:tcW w:w="2721" w:type="dxa"/>
          </w:tcPr>
          <w:p w14:paraId="5EB7EC12" w14:textId="77777777" w:rsidR="00CB4CED" w:rsidRDefault="00CB4CED" w:rsidP="00C76999">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9%</w:t>
            </w:r>
          </w:p>
        </w:tc>
        <w:tc>
          <w:tcPr>
            <w:tcW w:w="1947" w:type="dxa"/>
          </w:tcPr>
          <w:p w14:paraId="50E84A1A" w14:textId="77777777" w:rsidR="00CB4CED" w:rsidRPr="006F3B7C" w:rsidRDefault="00CB4CED" w:rsidP="00C76999">
            <w:pPr>
              <w:cnfStyle w:val="000000100000" w:firstRow="0" w:lastRow="0" w:firstColumn="0" w:lastColumn="0" w:oddVBand="0" w:evenVBand="0" w:oddHBand="1" w:evenHBand="0" w:firstRowFirstColumn="0" w:firstRowLastColumn="0" w:lastRowFirstColumn="0" w:lastRowLastColumn="0"/>
            </w:pPr>
            <w:r w:rsidRPr="006F3B7C">
              <w:rPr>
                <w:rFonts w:ascii="Calibri" w:hAnsi="Calibri" w:cs="Calibri"/>
                <w:color w:val="000000"/>
              </w:rPr>
              <w:t>8.1</w:t>
            </w:r>
          </w:p>
        </w:tc>
      </w:tr>
      <w:tr w:rsidR="00CB4CED" w14:paraId="2DAC35A8" w14:textId="77777777" w:rsidTr="00C769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27578185" w14:textId="77777777" w:rsidR="00CB4CED" w:rsidRDefault="00CB4CED" w:rsidP="00C76999">
            <w:r>
              <w:t>Adelaide</w:t>
            </w:r>
          </w:p>
        </w:tc>
        <w:tc>
          <w:tcPr>
            <w:tcW w:w="2721" w:type="dxa"/>
          </w:tcPr>
          <w:p w14:paraId="6310A228" w14:textId="77777777" w:rsidR="00CB4CED" w:rsidRDefault="00CB4CED" w:rsidP="00C76999">
            <w:pPr>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rPr>
              <w:t>20%</w:t>
            </w:r>
          </w:p>
        </w:tc>
        <w:tc>
          <w:tcPr>
            <w:tcW w:w="1947" w:type="dxa"/>
          </w:tcPr>
          <w:p w14:paraId="1029C661" w14:textId="77777777" w:rsidR="00CB4CED" w:rsidRPr="006F3B7C" w:rsidRDefault="00CB4CED" w:rsidP="00C76999">
            <w:pPr>
              <w:cnfStyle w:val="000000010000" w:firstRow="0" w:lastRow="0" w:firstColumn="0" w:lastColumn="0" w:oddVBand="0" w:evenVBand="0" w:oddHBand="0" w:evenHBand="1" w:firstRowFirstColumn="0" w:firstRowLastColumn="0" w:lastRowFirstColumn="0" w:lastRowLastColumn="0"/>
            </w:pPr>
            <w:r w:rsidRPr="006F3B7C">
              <w:t>5.4</w:t>
            </w:r>
          </w:p>
        </w:tc>
      </w:tr>
      <w:tr w:rsidR="00CB4CED" w14:paraId="512DA2F9" w14:textId="77777777" w:rsidTr="00C7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42932D45" w14:textId="77777777" w:rsidR="00CB4CED" w:rsidRDefault="00CB4CED" w:rsidP="00C76999">
            <w:r>
              <w:t>Fremantle</w:t>
            </w:r>
          </w:p>
        </w:tc>
        <w:tc>
          <w:tcPr>
            <w:tcW w:w="2721" w:type="dxa"/>
          </w:tcPr>
          <w:p w14:paraId="233C9599" w14:textId="77777777" w:rsidR="00CB4CED" w:rsidRDefault="00CB4CED" w:rsidP="00C76999">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6%</w:t>
            </w:r>
          </w:p>
        </w:tc>
        <w:tc>
          <w:tcPr>
            <w:tcW w:w="1947" w:type="dxa"/>
          </w:tcPr>
          <w:p w14:paraId="6643C6C7" w14:textId="77777777" w:rsidR="00CB4CED" w:rsidRPr="006F3B7C" w:rsidRDefault="00CB4CED" w:rsidP="00C76999">
            <w:pPr>
              <w:cnfStyle w:val="000000100000" w:firstRow="0" w:lastRow="0" w:firstColumn="0" w:lastColumn="0" w:oddVBand="0" w:evenVBand="0" w:oddHBand="1" w:evenHBand="0" w:firstRowFirstColumn="0" w:firstRowLastColumn="0" w:lastRowFirstColumn="0" w:lastRowLastColumn="0"/>
            </w:pPr>
            <w:r w:rsidRPr="006F3B7C">
              <w:rPr>
                <w:rFonts w:ascii="Calibri" w:hAnsi="Calibri" w:cs="Calibri"/>
                <w:color w:val="000000"/>
              </w:rPr>
              <w:t>7.5</w:t>
            </w:r>
          </w:p>
        </w:tc>
      </w:tr>
      <w:tr w:rsidR="00CB4CED" w14:paraId="52F617FF" w14:textId="77777777" w:rsidTr="00C769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5ED20CC3" w14:textId="77777777" w:rsidR="00CB4CED" w:rsidRDefault="00CB4CED" w:rsidP="00C76999">
            <w:r>
              <w:t>TOTAL</w:t>
            </w:r>
          </w:p>
        </w:tc>
        <w:tc>
          <w:tcPr>
            <w:tcW w:w="2721" w:type="dxa"/>
          </w:tcPr>
          <w:p w14:paraId="3B407AAB" w14:textId="77777777" w:rsidR="00CB4CED" w:rsidRDefault="00CB4CED" w:rsidP="00C76999">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14%</w:t>
            </w:r>
          </w:p>
        </w:tc>
        <w:tc>
          <w:tcPr>
            <w:tcW w:w="1947" w:type="dxa"/>
          </w:tcPr>
          <w:p w14:paraId="33AEC631" w14:textId="77777777" w:rsidR="00CB4CED" w:rsidRPr="006F3B7C" w:rsidRDefault="00CB4CED" w:rsidP="00C76999">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Pr>
                <w:rFonts w:ascii="Calibri" w:hAnsi="Calibri" w:cs="Calibri"/>
                <w:color w:val="000000"/>
              </w:rPr>
              <w:t>7.7</w:t>
            </w:r>
          </w:p>
        </w:tc>
      </w:tr>
    </w:tbl>
    <w:p w14:paraId="46037571" w14:textId="77777777" w:rsidR="00CB4CED" w:rsidRPr="001963CB" w:rsidRDefault="00CB4CED" w:rsidP="00CB4CED">
      <w:pPr>
        <w:pStyle w:val="Pa25"/>
        <w:keepNext/>
        <w:keepLines/>
        <w:spacing w:after="160"/>
        <w:rPr>
          <w:rFonts w:asciiTheme="minorHAnsi" w:hAnsiTheme="minorHAnsi" w:cstheme="minorHAnsi"/>
          <w:color w:val="000000"/>
          <w:sz w:val="22"/>
          <w:szCs w:val="22"/>
        </w:rPr>
      </w:pPr>
      <w:r w:rsidRPr="001963CB">
        <w:rPr>
          <w:rFonts w:asciiTheme="minorHAnsi" w:hAnsiTheme="minorHAnsi" w:cstheme="minorHAnsi"/>
          <w:b/>
          <w:bCs/>
          <w:color w:val="000000"/>
          <w:sz w:val="22"/>
          <w:szCs w:val="22"/>
        </w:rPr>
        <w:t>Source</w:t>
      </w:r>
      <w:r w:rsidRPr="001963CB">
        <w:rPr>
          <w:rFonts w:asciiTheme="minorHAnsi" w:hAnsiTheme="minorHAnsi" w:cstheme="minorHAnsi"/>
          <w:color w:val="000000"/>
          <w:sz w:val="22"/>
          <w:szCs w:val="22"/>
        </w:rPr>
        <w:t xml:space="preserve">: </w:t>
      </w:r>
      <w:hyperlink r:id="rId13" w:history="1">
        <w:r w:rsidRPr="009B0858">
          <w:rPr>
            <w:rStyle w:val="Hyperlink"/>
            <w:rFonts w:asciiTheme="minorHAnsi" w:hAnsiTheme="minorHAnsi" w:cstheme="minorHAnsi"/>
            <w:sz w:val="22"/>
            <w:szCs w:val="22"/>
          </w:rPr>
          <w:t>SeaIntelligence</w:t>
        </w:r>
      </w:hyperlink>
      <w:r w:rsidRPr="001963CB">
        <w:rPr>
          <w:rFonts w:asciiTheme="minorHAnsi" w:hAnsiTheme="minorHAnsi" w:cstheme="minorHAnsi"/>
          <w:color w:val="000000"/>
          <w:sz w:val="22"/>
          <w:szCs w:val="22"/>
        </w:rPr>
        <w:t>, data supplied to the MUA March 2021, available on request.</w:t>
      </w:r>
    </w:p>
    <w:p w14:paraId="1CDA8DEC" w14:textId="77777777" w:rsidR="00CB4CED" w:rsidRDefault="00CB4CED" w:rsidP="005A3677">
      <w:pPr>
        <w:autoSpaceDE w:val="0"/>
        <w:autoSpaceDN w:val="0"/>
        <w:adjustRightInd w:val="0"/>
      </w:pPr>
    </w:p>
    <w:p w14:paraId="55B84666" w14:textId="5170C238" w:rsidR="00B702C9" w:rsidRDefault="00B702C9" w:rsidP="005A3677">
      <w:pPr>
        <w:autoSpaceDE w:val="0"/>
        <w:autoSpaceDN w:val="0"/>
        <w:adjustRightInd w:val="0"/>
        <w:rPr>
          <w:sz w:val="24"/>
          <w:szCs w:val="24"/>
        </w:rPr>
      </w:pPr>
      <w:r w:rsidRPr="00E10D4C">
        <w:rPr>
          <w:sz w:val="24"/>
          <w:szCs w:val="24"/>
        </w:rPr>
        <w:t xml:space="preserve">This is an extraordinary level of </w:t>
      </w:r>
      <w:r w:rsidR="0002381F" w:rsidRPr="00E10D4C">
        <w:rPr>
          <w:sz w:val="24"/>
          <w:szCs w:val="24"/>
        </w:rPr>
        <w:t>disruption to Australian supply chains</w:t>
      </w:r>
      <w:r w:rsidR="001925F3" w:rsidRPr="00E10D4C">
        <w:rPr>
          <w:sz w:val="24"/>
          <w:szCs w:val="24"/>
        </w:rPr>
        <w:t xml:space="preserve">, that goes far beyond the impact of industrial action at </w:t>
      </w:r>
      <w:r w:rsidR="00E47650" w:rsidRPr="00E10D4C">
        <w:rPr>
          <w:sz w:val="24"/>
          <w:szCs w:val="24"/>
        </w:rPr>
        <w:t>any one compan</w:t>
      </w:r>
      <w:r w:rsidR="004C7F0A">
        <w:rPr>
          <w:sz w:val="24"/>
          <w:szCs w:val="24"/>
        </w:rPr>
        <w:t>y</w:t>
      </w:r>
      <w:r w:rsidR="00E47650" w:rsidRPr="00E10D4C">
        <w:rPr>
          <w:sz w:val="24"/>
          <w:szCs w:val="24"/>
        </w:rPr>
        <w:t xml:space="preserve">. </w:t>
      </w:r>
      <w:r w:rsidR="00846A6A" w:rsidRPr="00E10D4C">
        <w:rPr>
          <w:sz w:val="24"/>
          <w:szCs w:val="24"/>
        </w:rPr>
        <w:t>For example, n</w:t>
      </w:r>
      <w:r w:rsidR="00E47650" w:rsidRPr="00E10D4C">
        <w:rPr>
          <w:sz w:val="24"/>
          <w:szCs w:val="24"/>
        </w:rPr>
        <w:t xml:space="preserve">o protected </w:t>
      </w:r>
      <w:r w:rsidR="00846A6A" w:rsidRPr="00E10D4C">
        <w:rPr>
          <w:sz w:val="24"/>
          <w:szCs w:val="24"/>
        </w:rPr>
        <w:t>action has taken place at the Adelaide container terminal (FACT) since 2017</w:t>
      </w:r>
      <w:r w:rsidR="00E10D4C" w:rsidRPr="00E10D4C">
        <w:rPr>
          <w:sz w:val="24"/>
          <w:szCs w:val="24"/>
        </w:rPr>
        <w:t>, but reliability there has deteriorated in parallel with other ports.</w:t>
      </w:r>
      <w:r w:rsidR="00946E22">
        <w:rPr>
          <w:sz w:val="24"/>
          <w:szCs w:val="24"/>
        </w:rPr>
        <w:t xml:space="preserve"> As of January 2022, there has </w:t>
      </w:r>
      <w:r w:rsidR="00403736">
        <w:rPr>
          <w:sz w:val="24"/>
          <w:szCs w:val="24"/>
        </w:rPr>
        <w:t>been no sustained improvement.</w:t>
      </w:r>
    </w:p>
    <w:p w14:paraId="433F80EC" w14:textId="77777777" w:rsidR="001D21A9" w:rsidRPr="001D21A9" w:rsidRDefault="001D21A9" w:rsidP="005A3677">
      <w:pPr>
        <w:autoSpaceDE w:val="0"/>
        <w:autoSpaceDN w:val="0"/>
        <w:adjustRightInd w:val="0"/>
        <w:rPr>
          <w:sz w:val="24"/>
          <w:szCs w:val="24"/>
        </w:rPr>
      </w:pPr>
    </w:p>
    <w:p w14:paraId="2FD2BE18" w14:textId="57B2150E" w:rsidR="00A827E4" w:rsidRDefault="00A827E4" w:rsidP="00673BE9">
      <w:pPr>
        <w:pStyle w:val="Default"/>
        <w:keepNext/>
        <w:keepLines/>
        <w:spacing w:after="120"/>
        <w:rPr>
          <w:rFonts w:eastAsia="Times New Roman"/>
          <w:color w:val="auto"/>
          <w:sz w:val="23"/>
          <w:szCs w:val="23"/>
        </w:rPr>
      </w:pPr>
      <w:r w:rsidRPr="00B438B8">
        <w:rPr>
          <w:rFonts w:eastAsia="Times New Roman"/>
          <w:b/>
          <w:bCs/>
          <w:color w:val="auto"/>
          <w:sz w:val="23"/>
          <w:szCs w:val="23"/>
        </w:rPr>
        <w:t>Table 1:</w:t>
      </w:r>
      <w:r>
        <w:rPr>
          <w:rFonts w:eastAsia="Times New Roman"/>
          <w:color w:val="auto"/>
          <w:sz w:val="23"/>
          <w:szCs w:val="23"/>
        </w:rPr>
        <w:t xml:space="preserve"> </w:t>
      </w:r>
      <w:r w:rsidR="00B438B8">
        <w:rPr>
          <w:rFonts w:eastAsia="Times New Roman"/>
          <w:color w:val="auto"/>
          <w:sz w:val="23"/>
          <w:szCs w:val="23"/>
        </w:rPr>
        <w:t>Protected industrial action at major Australian container terminals.</w:t>
      </w:r>
    </w:p>
    <w:tbl>
      <w:tblPr>
        <w:tblStyle w:val="MediumShading1-Accent11"/>
        <w:tblW w:w="0" w:type="auto"/>
        <w:tblLook w:val="04A0" w:firstRow="1" w:lastRow="0" w:firstColumn="1" w:lastColumn="0" w:noHBand="0" w:noVBand="1"/>
      </w:tblPr>
      <w:tblGrid>
        <w:gridCol w:w="2405"/>
        <w:gridCol w:w="3686"/>
      </w:tblGrid>
      <w:tr w:rsidR="00A827E4" w14:paraId="2A265884" w14:textId="77777777" w:rsidTr="006F3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D36261" w14:textId="77777777" w:rsidR="00A827E4" w:rsidRPr="006F3B7C" w:rsidRDefault="00A827E4" w:rsidP="00223DCE">
            <w:pPr>
              <w:keepNext/>
              <w:keepLines/>
            </w:pPr>
            <w:bookmarkStart w:id="0" w:name="_Hlk100677573"/>
            <w:r w:rsidRPr="006F3B7C">
              <w:t>Terminal operator</w:t>
            </w:r>
          </w:p>
        </w:tc>
        <w:tc>
          <w:tcPr>
            <w:tcW w:w="3686" w:type="dxa"/>
          </w:tcPr>
          <w:p w14:paraId="4271FDE7" w14:textId="3CA57701" w:rsidR="00A827E4" w:rsidRPr="006F3B7C" w:rsidRDefault="00A827E4" w:rsidP="00223DCE">
            <w:pPr>
              <w:keepNext/>
              <w:keepLines/>
              <w:cnfStyle w:val="100000000000" w:firstRow="1" w:lastRow="0" w:firstColumn="0" w:lastColumn="0" w:oddVBand="0" w:evenVBand="0" w:oddHBand="0" w:evenHBand="0" w:firstRowFirstColumn="0" w:firstRowLastColumn="0" w:lastRowFirstColumn="0" w:lastRowLastColumn="0"/>
            </w:pPr>
            <w:r w:rsidRPr="006F3B7C">
              <w:t>No protected industrial action since</w:t>
            </w:r>
          </w:p>
        </w:tc>
      </w:tr>
      <w:tr w:rsidR="00A827E4" w14:paraId="11A03917" w14:textId="77777777" w:rsidTr="006F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C1E9260" w14:textId="77777777" w:rsidR="00A827E4" w:rsidRDefault="00A827E4" w:rsidP="00223DCE">
            <w:pPr>
              <w:keepNext/>
              <w:keepLines/>
            </w:pPr>
            <w:r>
              <w:t>FACT</w:t>
            </w:r>
          </w:p>
        </w:tc>
        <w:tc>
          <w:tcPr>
            <w:tcW w:w="3686" w:type="dxa"/>
          </w:tcPr>
          <w:p w14:paraId="5BE23F38" w14:textId="4B9A72DD" w:rsidR="00A827E4" w:rsidRDefault="00323053" w:rsidP="00223DCE">
            <w:pPr>
              <w:keepNext/>
              <w:keepLines/>
              <w:cnfStyle w:val="000000100000" w:firstRow="0" w:lastRow="0" w:firstColumn="0" w:lastColumn="0" w:oddVBand="0" w:evenVBand="0" w:oddHBand="1" w:evenHBand="0" w:firstRowFirstColumn="0" w:firstRowLastColumn="0" w:lastRowFirstColumn="0" w:lastRowLastColumn="0"/>
            </w:pPr>
            <w:r>
              <w:t>2017</w:t>
            </w:r>
          </w:p>
        </w:tc>
      </w:tr>
      <w:tr w:rsidR="00A827E4" w14:paraId="720F8A33" w14:textId="77777777" w:rsidTr="006F3B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ABAD07E" w14:textId="77777777" w:rsidR="00A827E4" w:rsidRDefault="00A827E4" w:rsidP="00223DCE">
            <w:pPr>
              <w:keepNext/>
              <w:keepLines/>
            </w:pPr>
            <w:r>
              <w:t>DP World</w:t>
            </w:r>
          </w:p>
        </w:tc>
        <w:tc>
          <w:tcPr>
            <w:tcW w:w="3686" w:type="dxa"/>
          </w:tcPr>
          <w:p w14:paraId="7BDD40E5" w14:textId="77777777" w:rsidR="00A827E4" w:rsidRDefault="00A827E4" w:rsidP="00223DCE">
            <w:pPr>
              <w:keepNext/>
              <w:keepLines/>
              <w:cnfStyle w:val="000000010000" w:firstRow="0" w:lastRow="0" w:firstColumn="0" w:lastColumn="0" w:oddVBand="0" w:evenVBand="0" w:oddHBand="0" w:evenHBand="1" w:firstRowFirstColumn="0" w:firstRowLastColumn="0" w:lastRowFirstColumn="0" w:lastRowLastColumn="0"/>
            </w:pPr>
            <w:r>
              <w:t>December 2020</w:t>
            </w:r>
          </w:p>
        </w:tc>
      </w:tr>
      <w:tr w:rsidR="00397270" w14:paraId="7F3E22C1" w14:textId="77777777" w:rsidTr="006F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161A65" w14:textId="2CF18980" w:rsidR="00397270" w:rsidRDefault="00397270" w:rsidP="00397270">
            <w:pPr>
              <w:keepNext/>
              <w:keepLines/>
            </w:pPr>
            <w:r>
              <w:t>VICT</w:t>
            </w:r>
          </w:p>
        </w:tc>
        <w:tc>
          <w:tcPr>
            <w:tcW w:w="3686" w:type="dxa"/>
          </w:tcPr>
          <w:p w14:paraId="0AFF4D1E" w14:textId="4934BDFA" w:rsidR="00397270" w:rsidRPr="00A21ED9" w:rsidRDefault="00397270" w:rsidP="00397270">
            <w:pPr>
              <w:keepNext/>
              <w:keepLines/>
              <w:cnfStyle w:val="000000100000" w:firstRow="0" w:lastRow="0" w:firstColumn="0" w:lastColumn="0" w:oddVBand="0" w:evenVBand="0" w:oddHBand="1" w:evenHBand="0" w:firstRowFirstColumn="0" w:firstRowLastColumn="0" w:lastRowFirstColumn="0" w:lastRowLastColumn="0"/>
              <w:rPr>
                <w:highlight w:val="yellow"/>
              </w:rPr>
            </w:pPr>
            <w:r>
              <w:t>May 2021</w:t>
            </w:r>
          </w:p>
        </w:tc>
      </w:tr>
      <w:tr w:rsidR="00397270" w14:paraId="7DFC30DD" w14:textId="77777777" w:rsidTr="006F3B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35ADDA" w14:textId="77777777" w:rsidR="00397270" w:rsidRPr="00B57447" w:rsidRDefault="00397270" w:rsidP="00397270">
            <w:pPr>
              <w:keepNext/>
              <w:keepLines/>
            </w:pPr>
            <w:r w:rsidRPr="00B57447">
              <w:t xml:space="preserve">Hutchison </w:t>
            </w:r>
          </w:p>
        </w:tc>
        <w:tc>
          <w:tcPr>
            <w:tcW w:w="3686" w:type="dxa"/>
          </w:tcPr>
          <w:p w14:paraId="7B5B709D" w14:textId="5B27DB79" w:rsidR="00397270" w:rsidRPr="00B57447" w:rsidRDefault="00B57447" w:rsidP="00397270">
            <w:pPr>
              <w:keepNext/>
              <w:keepLines/>
              <w:cnfStyle w:val="000000010000" w:firstRow="0" w:lastRow="0" w:firstColumn="0" w:lastColumn="0" w:oddVBand="0" w:evenVBand="0" w:oddHBand="0" w:evenHBand="1" w:firstRowFirstColumn="0" w:firstRowLastColumn="0" w:lastRowFirstColumn="0" w:lastRowLastColumn="0"/>
            </w:pPr>
            <w:r w:rsidRPr="00B57447">
              <w:t>July</w:t>
            </w:r>
            <w:r w:rsidR="00397270" w:rsidRPr="00B57447">
              <w:t xml:space="preserve"> 2021</w:t>
            </w:r>
          </w:p>
        </w:tc>
      </w:tr>
      <w:tr w:rsidR="00397270" w14:paraId="6E936D33" w14:textId="77777777" w:rsidTr="006F3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50E7A6D" w14:textId="77777777" w:rsidR="00397270" w:rsidRDefault="00397270" w:rsidP="00397270">
            <w:pPr>
              <w:keepNext/>
              <w:keepLines/>
            </w:pPr>
            <w:r>
              <w:t>Patrick</w:t>
            </w:r>
          </w:p>
        </w:tc>
        <w:tc>
          <w:tcPr>
            <w:tcW w:w="3686" w:type="dxa"/>
          </w:tcPr>
          <w:p w14:paraId="477BAC72" w14:textId="0C8CBA78" w:rsidR="00397270" w:rsidRDefault="00397270" w:rsidP="00397270">
            <w:pPr>
              <w:keepNext/>
              <w:keepLines/>
              <w:cnfStyle w:val="000000100000" w:firstRow="0" w:lastRow="0" w:firstColumn="0" w:lastColumn="0" w:oddVBand="0" w:evenVBand="0" w:oddHBand="1" w:evenHBand="0" w:firstRowFirstColumn="0" w:firstRowLastColumn="0" w:lastRowFirstColumn="0" w:lastRowLastColumn="0"/>
            </w:pPr>
            <w:r>
              <w:t>Mid</w:t>
            </w:r>
            <w:r w:rsidR="00713730">
              <w:t>-</w:t>
            </w:r>
            <w:r>
              <w:t>October 2021</w:t>
            </w:r>
          </w:p>
        </w:tc>
      </w:tr>
      <w:bookmarkEnd w:id="0"/>
    </w:tbl>
    <w:p w14:paraId="03CBE583" w14:textId="77777777" w:rsidR="00A827E4" w:rsidRDefault="00A827E4" w:rsidP="00223DCE">
      <w:pPr>
        <w:keepNext/>
        <w:keepLines/>
      </w:pPr>
    </w:p>
    <w:p w14:paraId="2AF64E12" w14:textId="77777777" w:rsidR="00946E22" w:rsidRDefault="00B438B8" w:rsidP="0003726A">
      <w:pPr>
        <w:pStyle w:val="Default"/>
        <w:rPr>
          <w:rFonts w:eastAsia="Times New Roman"/>
          <w:color w:val="auto"/>
        </w:rPr>
      </w:pPr>
      <w:r w:rsidRPr="003A5B89">
        <w:rPr>
          <w:rFonts w:eastAsia="Times New Roman"/>
          <w:color w:val="auto"/>
        </w:rPr>
        <w:t xml:space="preserve">Figure 1 shows </w:t>
      </w:r>
      <w:r w:rsidR="000E09EE" w:rsidRPr="003A5B89">
        <w:rPr>
          <w:rFonts w:eastAsia="Times New Roman"/>
          <w:color w:val="auto"/>
        </w:rPr>
        <w:t xml:space="preserve">vessel </w:t>
      </w:r>
      <w:r w:rsidRPr="003A5B89">
        <w:rPr>
          <w:rFonts w:eastAsia="Times New Roman"/>
          <w:color w:val="auto"/>
        </w:rPr>
        <w:t xml:space="preserve">reliability deteriorating </w:t>
      </w:r>
      <w:r w:rsidR="000E09EE" w:rsidRPr="003A5B89">
        <w:rPr>
          <w:rFonts w:eastAsia="Times New Roman"/>
          <w:color w:val="auto"/>
        </w:rPr>
        <w:t>from July</w:t>
      </w:r>
      <w:r w:rsidRPr="003A5B89">
        <w:rPr>
          <w:rFonts w:eastAsia="Times New Roman"/>
          <w:color w:val="auto"/>
        </w:rPr>
        <w:t xml:space="preserve"> 2019</w:t>
      </w:r>
      <w:r w:rsidR="00E10D4C">
        <w:rPr>
          <w:rFonts w:eastAsia="Times New Roman"/>
          <w:color w:val="auto"/>
        </w:rPr>
        <w:t>, before the pandemic</w:t>
      </w:r>
      <w:r w:rsidR="000E09EE" w:rsidRPr="003A5B89">
        <w:rPr>
          <w:rFonts w:eastAsia="Times New Roman"/>
          <w:color w:val="auto"/>
        </w:rPr>
        <w:t>.</w:t>
      </w:r>
      <w:r w:rsidRPr="003A5B89">
        <w:rPr>
          <w:rFonts w:eastAsia="Times New Roman"/>
          <w:color w:val="auto"/>
        </w:rPr>
        <w:t xml:space="preserve"> </w:t>
      </w:r>
      <w:r w:rsidR="0003726A" w:rsidRPr="003A5B89">
        <w:rPr>
          <w:rFonts w:eastAsia="Times New Roman"/>
          <w:color w:val="auto"/>
        </w:rPr>
        <w:t xml:space="preserve">In the first six months of 2019, an average of 11.5% of vessels had a delayed arrival, of just over 3 days on average. Across the next eight months from July 2019 to February 2020, almost 30% of vessels were late. </w:t>
      </w:r>
    </w:p>
    <w:p w14:paraId="030C9A37" w14:textId="77777777" w:rsidR="00946E22" w:rsidRDefault="00946E22" w:rsidP="0003726A">
      <w:pPr>
        <w:pStyle w:val="Default"/>
        <w:rPr>
          <w:rFonts w:eastAsia="Times New Roman"/>
          <w:color w:val="auto"/>
        </w:rPr>
      </w:pPr>
    </w:p>
    <w:p w14:paraId="0650E305" w14:textId="6C859066" w:rsidR="0003726A" w:rsidRDefault="00946E22" w:rsidP="0003726A">
      <w:pPr>
        <w:pStyle w:val="Default"/>
        <w:rPr>
          <w:rFonts w:eastAsia="Times New Roman"/>
          <w:color w:val="auto"/>
        </w:rPr>
      </w:pPr>
      <w:r>
        <w:rPr>
          <w:rFonts w:eastAsia="Times New Roman"/>
          <w:color w:val="auto"/>
        </w:rPr>
        <w:t>O</w:t>
      </w:r>
      <w:r w:rsidRPr="003A5B89">
        <w:rPr>
          <w:rFonts w:eastAsia="Times New Roman"/>
          <w:color w:val="auto"/>
        </w:rPr>
        <w:t>nce the effects of the pandemic began to bite</w:t>
      </w:r>
      <w:r>
        <w:rPr>
          <w:rFonts w:eastAsia="Times New Roman"/>
          <w:color w:val="auto"/>
        </w:rPr>
        <w:t xml:space="preserve">, </w:t>
      </w:r>
      <w:r w:rsidR="0003726A" w:rsidRPr="003A5B89">
        <w:rPr>
          <w:rFonts w:eastAsia="Times New Roman"/>
          <w:color w:val="auto"/>
        </w:rPr>
        <w:t xml:space="preserve">43% of vessels </w:t>
      </w:r>
      <w:r>
        <w:rPr>
          <w:rFonts w:eastAsia="Times New Roman"/>
          <w:color w:val="auto"/>
        </w:rPr>
        <w:t>were</w:t>
      </w:r>
      <w:r w:rsidR="0003726A" w:rsidRPr="003A5B89">
        <w:rPr>
          <w:rFonts w:eastAsia="Times New Roman"/>
          <w:color w:val="auto"/>
        </w:rPr>
        <w:t xml:space="preserve"> delayed in July 2020, and then 72% of vessels </w:t>
      </w:r>
      <w:r w:rsidR="00A67748">
        <w:rPr>
          <w:rFonts w:eastAsia="Times New Roman"/>
          <w:color w:val="auto"/>
        </w:rPr>
        <w:t>were</w:t>
      </w:r>
      <w:r w:rsidR="0003726A" w:rsidRPr="003A5B89">
        <w:rPr>
          <w:rFonts w:eastAsia="Times New Roman"/>
          <w:color w:val="auto"/>
        </w:rPr>
        <w:t xml:space="preserve"> delayed in August 2020</w:t>
      </w:r>
      <w:r w:rsidR="00A67748">
        <w:rPr>
          <w:rFonts w:eastAsia="Times New Roman"/>
          <w:color w:val="auto"/>
        </w:rPr>
        <w:t xml:space="preserve">. </w:t>
      </w:r>
      <w:r w:rsidR="00704F9D">
        <w:rPr>
          <w:rFonts w:eastAsia="Times New Roman"/>
          <w:color w:val="auto"/>
        </w:rPr>
        <w:t xml:space="preserve">The lateness of vessels increased </w:t>
      </w:r>
      <w:r w:rsidR="00BF00EE">
        <w:rPr>
          <w:rFonts w:eastAsia="Times New Roman"/>
          <w:color w:val="auto"/>
        </w:rPr>
        <w:t>sharply in August and September 2020 and has remained poor through to January 202</w:t>
      </w:r>
      <w:r w:rsidR="001E6BD3">
        <w:rPr>
          <w:rFonts w:eastAsia="Times New Roman"/>
          <w:color w:val="auto"/>
        </w:rPr>
        <w:t>2</w:t>
      </w:r>
      <w:r w:rsidR="00CD6CCE">
        <w:rPr>
          <w:rFonts w:eastAsia="Times New Roman"/>
          <w:color w:val="auto"/>
        </w:rPr>
        <w:t xml:space="preserve"> (Figure 2)</w:t>
      </w:r>
      <w:r w:rsidR="00BF00EE">
        <w:rPr>
          <w:rFonts w:eastAsia="Times New Roman"/>
          <w:color w:val="auto"/>
        </w:rPr>
        <w:t xml:space="preserve">. </w:t>
      </w:r>
    </w:p>
    <w:p w14:paraId="75EFB32A" w14:textId="77777777" w:rsidR="00BF00EE" w:rsidRDefault="00BF00EE" w:rsidP="0003726A">
      <w:pPr>
        <w:pStyle w:val="Default"/>
        <w:rPr>
          <w:rFonts w:eastAsia="Times New Roman"/>
          <w:color w:val="auto"/>
        </w:rPr>
      </w:pPr>
    </w:p>
    <w:p w14:paraId="6B864BA5" w14:textId="0B11360D" w:rsidR="00BF00EE" w:rsidRDefault="00C0176C" w:rsidP="0003726A">
      <w:pPr>
        <w:pStyle w:val="Default"/>
        <w:rPr>
          <w:rFonts w:eastAsia="Times New Roman"/>
          <w:color w:val="auto"/>
        </w:rPr>
      </w:pPr>
      <w:r>
        <w:rPr>
          <w:rFonts w:eastAsia="Times New Roman"/>
          <w:color w:val="auto"/>
        </w:rPr>
        <w:t>What is notable in the data is that in July and August 2020, particular services become delayed</w:t>
      </w:r>
      <w:r w:rsidR="00E15148">
        <w:rPr>
          <w:rFonts w:eastAsia="Times New Roman"/>
          <w:color w:val="auto"/>
        </w:rPr>
        <w:t xml:space="preserve">, while others stay on timetable. For example, in July 2020, </w:t>
      </w:r>
      <w:r w:rsidR="000A7581">
        <w:rPr>
          <w:rFonts w:eastAsia="Times New Roman"/>
          <w:color w:val="auto"/>
        </w:rPr>
        <w:t>eight services have fewer than 50% of vessels arriving on time, while another five services maintain</w:t>
      </w:r>
      <w:r w:rsidR="002A22AC">
        <w:rPr>
          <w:rFonts w:eastAsia="Times New Roman"/>
          <w:color w:val="auto"/>
        </w:rPr>
        <w:t>ed</w:t>
      </w:r>
      <w:r w:rsidR="000A7581">
        <w:rPr>
          <w:rFonts w:eastAsia="Times New Roman"/>
          <w:color w:val="auto"/>
        </w:rPr>
        <w:t xml:space="preserve"> </w:t>
      </w:r>
      <w:r w:rsidR="00AC61E8">
        <w:rPr>
          <w:rFonts w:eastAsia="Times New Roman"/>
          <w:color w:val="auto"/>
        </w:rPr>
        <w:t xml:space="preserve">80-100% vessel reliability. This suggests that the impact on reliability </w:t>
      </w:r>
      <w:r w:rsidR="00D62CB4">
        <w:rPr>
          <w:rFonts w:eastAsia="Times New Roman"/>
          <w:color w:val="auto"/>
        </w:rPr>
        <w:t xml:space="preserve">is related to what ports and countries services are arriving from, and the effect of the pandemic and congestion there. </w:t>
      </w:r>
      <w:r w:rsidR="00512012">
        <w:rPr>
          <w:rFonts w:eastAsia="Times New Roman"/>
          <w:color w:val="auto"/>
        </w:rPr>
        <w:t xml:space="preserve">Clearly, Chinese ports were affected early in the pandemic, and the Chinese government took and continues to take extended lockdown measures that </w:t>
      </w:r>
      <w:r w:rsidR="00100AE5">
        <w:rPr>
          <w:rFonts w:eastAsia="Times New Roman"/>
          <w:color w:val="auto"/>
        </w:rPr>
        <w:t>have a significant effect on the port workforce and operations</w:t>
      </w:r>
      <w:r w:rsidR="00841D99">
        <w:rPr>
          <w:rFonts w:eastAsia="Times New Roman"/>
          <w:color w:val="auto"/>
        </w:rPr>
        <w:t>, and associated supply chains</w:t>
      </w:r>
      <w:r w:rsidR="00100AE5">
        <w:rPr>
          <w:rFonts w:eastAsia="Times New Roman"/>
          <w:color w:val="auto"/>
        </w:rPr>
        <w:t>.</w:t>
      </w:r>
    </w:p>
    <w:p w14:paraId="11BFF316" w14:textId="77777777" w:rsidR="00E15148" w:rsidRDefault="00E15148" w:rsidP="0003726A">
      <w:pPr>
        <w:pStyle w:val="Default"/>
        <w:rPr>
          <w:rFonts w:eastAsia="Times New Roman"/>
          <w:color w:val="auto"/>
        </w:rPr>
      </w:pPr>
    </w:p>
    <w:p w14:paraId="439A531E" w14:textId="77777777" w:rsidR="00E15148" w:rsidRPr="003A5B89" w:rsidRDefault="00E15148" w:rsidP="0003726A">
      <w:pPr>
        <w:pStyle w:val="Default"/>
        <w:rPr>
          <w:rFonts w:eastAsia="Times New Roman"/>
          <w:color w:val="auto"/>
        </w:rPr>
      </w:pPr>
    </w:p>
    <w:p w14:paraId="4F106076" w14:textId="127AD1F2" w:rsidR="00961F90" w:rsidRDefault="00311223" w:rsidP="00402D48">
      <w:pPr>
        <w:keepNext/>
        <w:keepLines/>
      </w:pPr>
      <w:r w:rsidRPr="00DD5737">
        <w:rPr>
          <w:b/>
          <w:bCs/>
        </w:rPr>
        <w:lastRenderedPageBreak/>
        <w:t xml:space="preserve">Figure </w:t>
      </w:r>
      <w:r>
        <w:rPr>
          <w:b/>
          <w:bCs/>
        </w:rPr>
        <w:t>2</w:t>
      </w:r>
      <w:r w:rsidRPr="00DD5737">
        <w:rPr>
          <w:b/>
          <w:bCs/>
        </w:rPr>
        <w:t>:</w:t>
      </w:r>
      <w:r>
        <w:t xml:space="preserve"> Average </w:t>
      </w:r>
      <w:r w:rsidR="00C75B76">
        <w:t>days late for late-arriving ships calling at major Australian container ports.</w:t>
      </w:r>
    </w:p>
    <w:p w14:paraId="215235CA" w14:textId="15263C9D" w:rsidR="00865D87" w:rsidRDefault="00865D87" w:rsidP="00402D48">
      <w:pPr>
        <w:keepNext/>
        <w:keepLines/>
        <w:spacing w:after="0"/>
      </w:pPr>
      <w:r>
        <w:rPr>
          <w:noProof/>
        </w:rPr>
        <w:drawing>
          <wp:inline distT="0" distB="0" distL="0" distR="0" wp14:anchorId="79E0BB8B" wp14:editId="3B8D3675">
            <wp:extent cx="5915025" cy="3087370"/>
            <wp:effectExtent l="0" t="0" r="9525" b="17780"/>
            <wp:docPr id="2" name="Chart 2" descr="Figure 2: Average days late for late-arriving ships calling at major Australian container ports. Described in text above.">
              <a:extLst xmlns:a="http://schemas.openxmlformats.org/drawingml/2006/main">
                <a:ext uri="{FF2B5EF4-FFF2-40B4-BE49-F238E27FC236}">
                  <a16:creationId xmlns:a16="http://schemas.microsoft.com/office/drawing/2014/main" id="{2FA13460-368D-4059-9229-2BF2E6FAA4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A94511" w14:textId="0A531658" w:rsidR="00AB33A9" w:rsidRPr="001963CB" w:rsidRDefault="00AB33A9" w:rsidP="00402D48">
      <w:pPr>
        <w:pStyle w:val="Pa25"/>
        <w:keepNext/>
        <w:keepLines/>
        <w:spacing w:after="160"/>
        <w:rPr>
          <w:rFonts w:asciiTheme="minorHAnsi" w:hAnsiTheme="minorHAnsi" w:cstheme="minorHAnsi"/>
          <w:color w:val="000000"/>
          <w:sz w:val="22"/>
          <w:szCs w:val="22"/>
        </w:rPr>
      </w:pPr>
      <w:r w:rsidRPr="001963CB">
        <w:rPr>
          <w:rFonts w:asciiTheme="minorHAnsi" w:hAnsiTheme="minorHAnsi" w:cstheme="minorHAnsi"/>
          <w:b/>
          <w:bCs/>
          <w:color w:val="000000"/>
          <w:sz w:val="22"/>
          <w:szCs w:val="22"/>
        </w:rPr>
        <w:t>Source</w:t>
      </w:r>
      <w:r w:rsidRPr="001963CB">
        <w:rPr>
          <w:rFonts w:asciiTheme="minorHAnsi" w:hAnsiTheme="minorHAnsi" w:cstheme="minorHAnsi"/>
          <w:color w:val="000000"/>
          <w:sz w:val="22"/>
          <w:szCs w:val="22"/>
        </w:rPr>
        <w:t xml:space="preserve">: </w:t>
      </w:r>
      <w:hyperlink r:id="rId15" w:history="1">
        <w:r w:rsidRPr="009B0858">
          <w:rPr>
            <w:rStyle w:val="Hyperlink"/>
            <w:rFonts w:asciiTheme="minorHAnsi" w:hAnsiTheme="minorHAnsi" w:cstheme="minorHAnsi"/>
            <w:sz w:val="22"/>
            <w:szCs w:val="22"/>
          </w:rPr>
          <w:t>SeaIntelligence</w:t>
        </w:r>
      </w:hyperlink>
      <w:r w:rsidRPr="001963CB">
        <w:rPr>
          <w:rFonts w:asciiTheme="minorHAnsi" w:hAnsiTheme="minorHAnsi" w:cstheme="minorHAnsi"/>
          <w:color w:val="000000"/>
          <w:sz w:val="22"/>
          <w:szCs w:val="22"/>
        </w:rPr>
        <w:t>, data supplied to the MUA March 2021, available on request.</w:t>
      </w:r>
    </w:p>
    <w:p w14:paraId="76F016D8" w14:textId="77777777" w:rsidR="00AB33A9" w:rsidRDefault="00AB33A9"/>
    <w:p w14:paraId="346E6B1F" w14:textId="6FA9EE2D" w:rsidR="00AD0B87" w:rsidRDefault="00AD0B87">
      <w:r>
        <w:t>We urge the Productivity Commission to closely consider t</w:t>
      </w:r>
      <w:r w:rsidR="00FC2BEA">
        <w:t xml:space="preserve">his data, and its implications. While major shipping interests are attempting to point the finger at workers and their unions for delays, workers cannot load or discharge vessels if they are not in port. The </w:t>
      </w:r>
      <w:r w:rsidR="00C4237E">
        <w:t>real source of these delays lies with the flaws in global supply chains, the impact of the pandemic, and the Australian government</w:t>
      </w:r>
      <w:r w:rsidR="00B60074">
        <w:t>’s refusal to properly regulate international shipping servicing Australia.</w:t>
      </w:r>
    </w:p>
    <w:sectPr w:rsidR="00AD0B87" w:rsidSect="00FA0CF9">
      <w:footerReference w:type="default" r:id="rId16"/>
      <w:pgSz w:w="11906" w:h="16838"/>
      <w:pgMar w:top="1134"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0F8F" w14:textId="77777777" w:rsidR="00CD28C1" w:rsidRDefault="00CD28C1" w:rsidP="005A3677">
      <w:pPr>
        <w:spacing w:after="0" w:line="240" w:lineRule="auto"/>
      </w:pPr>
      <w:r>
        <w:separator/>
      </w:r>
    </w:p>
  </w:endnote>
  <w:endnote w:type="continuationSeparator" w:id="0">
    <w:p w14:paraId="22C1FDF3" w14:textId="77777777" w:rsidR="00CD28C1" w:rsidRDefault="00CD28C1" w:rsidP="005A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90569"/>
      <w:docPartObj>
        <w:docPartGallery w:val="Page Numbers (Bottom of Page)"/>
        <w:docPartUnique/>
      </w:docPartObj>
    </w:sdtPr>
    <w:sdtEndPr>
      <w:rPr>
        <w:noProof/>
      </w:rPr>
    </w:sdtEndPr>
    <w:sdtContent>
      <w:p w14:paraId="16F1522E" w14:textId="3C974A43" w:rsidR="00FA0CF9" w:rsidRDefault="00FA0C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030C7" w14:textId="77777777" w:rsidR="00FA0CF9" w:rsidRDefault="00FA0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1296" w14:textId="77777777" w:rsidR="00CD28C1" w:rsidRDefault="00CD28C1" w:rsidP="005A3677">
      <w:pPr>
        <w:spacing w:after="0" w:line="240" w:lineRule="auto"/>
      </w:pPr>
      <w:r>
        <w:separator/>
      </w:r>
    </w:p>
  </w:footnote>
  <w:footnote w:type="continuationSeparator" w:id="0">
    <w:p w14:paraId="5A7BBD66" w14:textId="77777777" w:rsidR="00CD28C1" w:rsidRDefault="00CD28C1" w:rsidP="005A3677">
      <w:pPr>
        <w:spacing w:after="0" w:line="240" w:lineRule="auto"/>
      </w:pPr>
      <w:r>
        <w:continuationSeparator/>
      </w:r>
    </w:p>
  </w:footnote>
  <w:footnote w:id="1">
    <w:p w14:paraId="41758DB6" w14:textId="12D672A6" w:rsidR="00BB0749" w:rsidRPr="00331988" w:rsidRDefault="00BB0749" w:rsidP="00331988">
      <w:pPr>
        <w:autoSpaceDE w:val="0"/>
        <w:autoSpaceDN w:val="0"/>
        <w:adjustRightInd w:val="0"/>
        <w:rPr>
          <w:sz w:val="20"/>
          <w:szCs w:val="20"/>
        </w:rPr>
      </w:pPr>
      <w:r>
        <w:rPr>
          <w:rStyle w:val="FootnoteReference"/>
        </w:rPr>
        <w:footnoteRef/>
      </w:r>
      <w:r>
        <w:t xml:space="preserve"> </w:t>
      </w:r>
      <w:r w:rsidRPr="002353F4">
        <w:rPr>
          <w:sz w:val="20"/>
          <w:szCs w:val="20"/>
        </w:rPr>
        <w:t>Source: Sea-Intelligence Maritime Analysis, Global Liner Performance Report, June 2021</w:t>
      </w:r>
      <w:r>
        <w:rPr>
          <w:sz w:val="20"/>
          <w:szCs w:val="20"/>
        </w:rPr>
        <w:t>, p.51-62.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01E4B"/>
    <w:multiLevelType w:val="hybridMultilevel"/>
    <w:tmpl w:val="81227712"/>
    <w:lvl w:ilvl="0" w:tplc="0C3E029C">
      <w:start w:val="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4215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87"/>
    <w:rsid w:val="0002381F"/>
    <w:rsid w:val="0003726A"/>
    <w:rsid w:val="00070665"/>
    <w:rsid w:val="00082C60"/>
    <w:rsid w:val="00090DB4"/>
    <w:rsid w:val="000A7581"/>
    <w:rsid w:val="000E09EE"/>
    <w:rsid w:val="000E43FC"/>
    <w:rsid w:val="000F4845"/>
    <w:rsid w:val="00100AE5"/>
    <w:rsid w:val="00101F76"/>
    <w:rsid w:val="00112AE4"/>
    <w:rsid w:val="001316E4"/>
    <w:rsid w:val="00150CE1"/>
    <w:rsid w:val="00160DD4"/>
    <w:rsid w:val="0019116C"/>
    <w:rsid w:val="001925F3"/>
    <w:rsid w:val="00195A33"/>
    <w:rsid w:val="001A340D"/>
    <w:rsid w:val="001C035F"/>
    <w:rsid w:val="001C27C4"/>
    <w:rsid w:val="001D21A9"/>
    <w:rsid w:val="001D3B60"/>
    <w:rsid w:val="001E6BD3"/>
    <w:rsid w:val="00223DCE"/>
    <w:rsid w:val="00234CE5"/>
    <w:rsid w:val="00235932"/>
    <w:rsid w:val="002526E5"/>
    <w:rsid w:val="00293822"/>
    <w:rsid w:val="00297064"/>
    <w:rsid w:val="002A22AC"/>
    <w:rsid w:val="002C720B"/>
    <w:rsid w:val="00311223"/>
    <w:rsid w:val="00312855"/>
    <w:rsid w:val="00323053"/>
    <w:rsid w:val="00331988"/>
    <w:rsid w:val="00342386"/>
    <w:rsid w:val="00376234"/>
    <w:rsid w:val="00397270"/>
    <w:rsid w:val="003A5B89"/>
    <w:rsid w:val="003C5CC9"/>
    <w:rsid w:val="003E3403"/>
    <w:rsid w:val="00402D48"/>
    <w:rsid w:val="00403736"/>
    <w:rsid w:val="00407E3D"/>
    <w:rsid w:val="00443755"/>
    <w:rsid w:val="00481E9F"/>
    <w:rsid w:val="004823B1"/>
    <w:rsid w:val="004B2469"/>
    <w:rsid w:val="004C7F0A"/>
    <w:rsid w:val="004E045F"/>
    <w:rsid w:val="004F1BD1"/>
    <w:rsid w:val="004F4CE7"/>
    <w:rsid w:val="00512012"/>
    <w:rsid w:val="00516EDE"/>
    <w:rsid w:val="00532928"/>
    <w:rsid w:val="005501A7"/>
    <w:rsid w:val="00550D3F"/>
    <w:rsid w:val="00557AC5"/>
    <w:rsid w:val="005712FB"/>
    <w:rsid w:val="005A3677"/>
    <w:rsid w:val="005A6693"/>
    <w:rsid w:val="005A794F"/>
    <w:rsid w:val="0061098F"/>
    <w:rsid w:val="00673BE9"/>
    <w:rsid w:val="00697DF6"/>
    <w:rsid w:val="006B208A"/>
    <w:rsid w:val="006C607A"/>
    <w:rsid w:val="006D38BA"/>
    <w:rsid w:val="006E60CF"/>
    <w:rsid w:val="006F3B7C"/>
    <w:rsid w:val="00702E9A"/>
    <w:rsid w:val="00704F9D"/>
    <w:rsid w:val="00707B98"/>
    <w:rsid w:val="00713730"/>
    <w:rsid w:val="00730F87"/>
    <w:rsid w:val="00740DAD"/>
    <w:rsid w:val="00783231"/>
    <w:rsid w:val="007A3A7C"/>
    <w:rsid w:val="007B2117"/>
    <w:rsid w:val="007B2D27"/>
    <w:rsid w:val="007C0D9C"/>
    <w:rsid w:val="007C1AC9"/>
    <w:rsid w:val="007D6122"/>
    <w:rsid w:val="007F2F62"/>
    <w:rsid w:val="00836FC9"/>
    <w:rsid w:val="00841D99"/>
    <w:rsid w:val="00846A6A"/>
    <w:rsid w:val="00865D87"/>
    <w:rsid w:val="0087600B"/>
    <w:rsid w:val="0087684B"/>
    <w:rsid w:val="008A03C3"/>
    <w:rsid w:val="008B0569"/>
    <w:rsid w:val="008B2504"/>
    <w:rsid w:val="008B2C83"/>
    <w:rsid w:val="008B4C8C"/>
    <w:rsid w:val="008C7BEA"/>
    <w:rsid w:val="00904EA3"/>
    <w:rsid w:val="00946E22"/>
    <w:rsid w:val="00953538"/>
    <w:rsid w:val="00961F90"/>
    <w:rsid w:val="00964DA0"/>
    <w:rsid w:val="00986FB4"/>
    <w:rsid w:val="00992220"/>
    <w:rsid w:val="009B0858"/>
    <w:rsid w:val="009B5C82"/>
    <w:rsid w:val="009D409D"/>
    <w:rsid w:val="009F7FB9"/>
    <w:rsid w:val="00A06363"/>
    <w:rsid w:val="00A10054"/>
    <w:rsid w:val="00A21ED9"/>
    <w:rsid w:val="00A30E44"/>
    <w:rsid w:val="00A3252A"/>
    <w:rsid w:val="00A6559F"/>
    <w:rsid w:val="00A67748"/>
    <w:rsid w:val="00A827E4"/>
    <w:rsid w:val="00A91E02"/>
    <w:rsid w:val="00AB33A9"/>
    <w:rsid w:val="00AB5996"/>
    <w:rsid w:val="00AC61E8"/>
    <w:rsid w:val="00AD0311"/>
    <w:rsid w:val="00AD0B87"/>
    <w:rsid w:val="00B1501D"/>
    <w:rsid w:val="00B339B9"/>
    <w:rsid w:val="00B438B8"/>
    <w:rsid w:val="00B523BB"/>
    <w:rsid w:val="00B56938"/>
    <w:rsid w:val="00B57447"/>
    <w:rsid w:val="00B60074"/>
    <w:rsid w:val="00B702C9"/>
    <w:rsid w:val="00BB0749"/>
    <w:rsid w:val="00BF00EE"/>
    <w:rsid w:val="00BF232C"/>
    <w:rsid w:val="00C0176C"/>
    <w:rsid w:val="00C04AFB"/>
    <w:rsid w:val="00C05DB5"/>
    <w:rsid w:val="00C4237E"/>
    <w:rsid w:val="00C75B76"/>
    <w:rsid w:val="00C81BD8"/>
    <w:rsid w:val="00CA6BEC"/>
    <w:rsid w:val="00CB4CED"/>
    <w:rsid w:val="00CC2E9F"/>
    <w:rsid w:val="00CC574C"/>
    <w:rsid w:val="00CD28C1"/>
    <w:rsid w:val="00CD6CCE"/>
    <w:rsid w:val="00D34888"/>
    <w:rsid w:val="00D44773"/>
    <w:rsid w:val="00D477FC"/>
    <w:rsid w:val="00D62CB4"/>
    <w:rsid w:val="00DB4EAE"/>
    <w:rsid w:val="00E0093F"/>
    <w:rsid w:val="00E10D4C"/>
    <w:rsid w:val="00E15148"/>
    <w:rsid w:val="00E31F4E"/>
    <w:rsid w:val="00E4142A"/>
    <w:rsid w:val="00E47650"/>
    <w:rsid w:val="00F000D4"/>
    <w:rsid w:val="00F353C7"/>
    <w:rsid w:val="00F615CD"/>
    <w:rsid w:val="00F85366"/>
    <w:rsid w:val="00F96288"/>
    <w:rsid w:val="00FA0CF9"/>
    <w:rsid w:val="00FA467F"/>
    <w:rsid w:val="00FC2BEA"/>
    <w:rsid w:val="00FD3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344F"/>
  <w15:chartTrackingRefBased/>
  <w15:docId w15:val="{4F90128E-8E06-4760-AB59-81BD5D7F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2D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5">
    <w:name w:val="Pa25"/>
    <w:basedOn w:val="Normal"/>
    <w:next w:val="Normal"/>
    <w:uiPriority w:val="99"/>
    <w:rsid w:val="00AB33A9"/>
    <w:pPr>
      <w:autoSpaceDE w:val="0"/>
      <w:autoSpaceDN w:val="0"/>
      <w:adjustRightInd w:val="0"/>
      <w:spacing w:after="0" w:line="201" w:lineRule="atLeast"/>
    </w:pPr>
    <w:rPr>
      <w:rFonts w:ascii="Gotham" w:hAnsi="Gotham"/>
      <w:sz w:val="24"/>
      <w:szCs w:val="24"/>
    </w:rPr>
  </w:style>
  <w:style w:type="character" w:styleId="Hyperlink">
    <w:name w:val="Hyperlink"/>
    <w:basedOn w:val="DefaultParagraphFont"/>
    <w:uiPriority w:val="99"/>
    <w:unhideWhenUsed/>
    <w:rsid w:val="009B0858"/>
    <w:rPr>
      <w:color w:val="0563C1" w:themeColor="hyperlink"/>
      <w:u w:val="single"/>
    </w:rPr>
  </w:style>
  <w:style w:type="character" w:styleId="UnresolvedMention">
    <w:name w:val="Unresolved Mention"/>
    <w:basedOn w:val="DefaultParagraphFont"/>
    <w:uiPriority w:val="99"/>
    <w:semiHidden/>
    <w:unhideWhenUsed/>
    <w:rsid w:val="009B0858"/>
    <w:rPr>
      <w:color w:val="605E5C"/>
      <w:shd w:val="clear" w:color="auto" w:fill="E1DFDD"/>
    </w:rPr>
  </w:style>
  <w:style w:type="character" w:customStyle="1" w:styleId="ListParagraphChar">
    <w:name w:val="List Paragraph Char"/>
    <w:aliases w:val="L Char,List Paragraph1 Char,B1 paragraph Char"/>
    <w:basedOn w:val="DefaultParagraphFont"/>
    <w:link w:val="ListParagraph"/>
    <w:uiPriority w:val="34"/>
    <w:locked/>
    <w:rsid w:val="00F353C7"/>
    <w:rPr>
      <w:rFonts w:ascii="Calibri" w:hAnsi="Calibri" w:cs="Calibri"/>
    </w:rPr>
  </w:style>
  <w:style w:type="paragraph" w:styleId="ListParagraph">
    <w:name w:val="List Paragraph"/>
    <w:aliases w:val="L,List Paragraph1,B1 paragraph"/>
    <w:basedOn w:val="Normal"/>
    <w:link w:val="ListParagraphChar"/>
    <w:uiPriority w:val="34"/>
    <w:qFormat/>
    <w:rsid w:val="00F353C7"/>
    <w:pPr>
      <w:spacing w:after="0" w:line="240" w:lineRule="auto"/>
      <w:ind w:left="720"/>
      <w:contextualSpacing/>
    </w:pPr>
    <w:rPr>
      <w:rFonts w:ascii="Calibri" w:hAnsi="Calibri" w:cs="Calibri"/>
    </w:rPr>
  </w:style>
  <w:style w:type="paragraph" w:customStyle="1" w:styleId="Default">
    <w:name w:val="Default"/>
    <w:basedOn w:val="Normal"/>
    <w:rsid w:val="00516EDE"/>
    <w:pPr>
      <w:autoSpaceDE w:val="0"/>
      <w:autoSpaceDN w:val="0"/>
      <w:spacing w:after="0" w:line="240" w:lineRule="auto"/>
    </w:pPr>
    <w:rPr>
      <w:rFonts w:ascii="Calibri" w:hAnsi="Calibri" w:cs="Calibri"/>
      <w:color w:val="000000"/>
      <w:sz w:val="24"/>
      <w:szCs w:val="24"/>
      <w:lang w:eastAsia="en-AU"/>
    </w:rPr>
  </w:style>
  <w:style w:type="character" w:customStyle="1" w:styleId="Heading2Char">
    <w:name w:val="Heading 2 Char"/>
    <w:basedOn w:val="DefaultParagraphFont"/>
    <w:link w:val="Heading2"/>
    <w:uiPriority w:val="9"/>
    <w:rsid w:val="00402D48"/>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5A3677"/>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5A3677"/>
    <w:rPr>
      <w:rFonts w:ascii="Calibri" w:hAnsi="Calibri" w:cs="Calibri"/>
      <w:sz w:val="20"/>
      <w:szCs w:val="20"/>
    </w:rPr>
  </w:style>
  <w:style w:type="character" w:styleId="FootnoteReference">
    <w:name w:val="footnote reference"/>
    <w:basedOn w:val="DefaultParagraphFont"/>
    <w:uiPriority w:val="99"/>
    <w:unhideWhenUsed/>
    <w:rsid w:val="005A3677"/>
    <w:rPr>
      <w:vertAlign w:val="superscript"/>
    </w:rPr>
  </w:style>
  <w:style w:type="table" w:customStyle="1" w:styleId="MediumShading1-Accent11">
    <w:name w:val="Medium Shading 1 - Accent 11"/>
    <w:basedOn w:val="TableNormal"/>
    <w:uiPriority w:val="63"/>
    <w:rsid w:val="005A367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eGrid">
    <w:name w:val="Table Grid"/>
    <w:basedOn w:val="TableNormal"/>
    <w:uiPriority w:val="39"/>
    <w:rsid w:val="008B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CF9"/>
  </w:style>
  <w:style w:type="paragraph" w:styleId="Footer">
    <w:name w:val="footer"/>
    <w:basedOn w:val="Normal"/>
    <w:link w:val="FooterChar"/>
    <w:uiPriority w:val="99"/>
    <w:unhideWhenUsed/>
    <w:rsid w:val="00FA0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8201">
      <w:bodyDiv w:val="1"/>
      <w:marLeft w:val="0"/>
      <w:marRight w:val="0"/>
      <w:marTop w:val="0"/>
      <w:marBottom w:val="0"/>
      <w:divBdr>
        <w:top w:val="none" w:sz="0" w:space="0" w:color="auto"/>
        <w:left w:val="none" w:sz="0" w:space="0" w:color="auto"/>
        <w:bottom w:val="none" w:sz="0" w:space="0" w:color="auto"/>
        <w:right w:val="none" w:sz="0" w:space="0" w:color="auto"/>
      </w:divBdr>
    </w:div>
    <w:div w:id="160632820">
      <w:bodyDiv w:val="1"/>
      <w:marLeft w:val="0"/>
      <w:marRight w:val="0"/>
      <w:marTop w:val="0"/>
      <w:marBottom w:val="0"/>
      <w:divBdr>
        <w:top w:val="none" w:sz="0" w:space="0" w:color="auto"/>
        <w:left w:val="none" w:sz="0" w:space="0" w:color="auto"/>
        <w:bottom w:val="none" w:sz="0" w:space="0" w:color="auto"/>
        <w:right w:val="none" w:sz="0" w:space="0" w:color="auto"/>
      </w:divBdr>
    </w:div>
    <w:div w:id="380252059">
      <w:bodyDiv w:val="1"/>
      <w:marLeft w:val="0"/>
      <w:marRight w:val="0"/>
      <w:marTop w:val="0"/>
      <w:marBottom w:val="0"/>
      <w:divBdr>
        <w:top w:val="none" w:sz="0" w:space="0" w:color="auto"/>
        <w:left w:val="none" w:sz="0" w:space="0" w:color="auto"/>
        <w:bottom w:val="none" w:sz="0" w:space="0" w:color="auto"/>
        <w:right w:val="none" w:sz="0" w:space="0" w:color="auto"/>
      </w:divBdr>
    </w:div>
    <w:div w:id="1590305539">
      <w:bodyDiv w:val="1"/>
      <w:marLeft w:val="0"/>
      <w:marRight w:val="0"/>
      <w:marTop w:val="0"/>
      <w:marBottom w:val="0"/>
      <w:divBdr>
        <w:top w:val="none" w:sz="0" w:space="0" w:color="auto"/>
        <w:left w:val="none" w:sz="0" w:space="0" w:color="auto"/>
        <w:bottom w:val="none" w:sz="0" w:space="0" w:color="auto"/>
        <w:right w:val="none" w:sz="0" w:space="0" w:color="auto"/>
      </w:divBdr>
    </w:div>
    <w:div w:id="1818498718">
      <w:bodyDiv w:val="1"/>
      <w:marLeft w:val="0"/>
      <w:marRight w:val="0"/>
      <w:marTop w:val="0"/>
      <w:marBottom w:val="0"/>
      <w:divBdr>
        <w:top w:val="none" w:sz="0" w:space="0" w:color="auto"/>
        <w:left w:val="none" w:sz="0" w:space="0" w:color="auto"/>
        <w:bottom w:val="none" w:sz="0" w:space="0" w:color="auto"/>
        <w:right w:val="none" w:sz="0" w:space="0" w:color="auto"/>
      </w:divBdr>
    </w:div>
    <w:div w:id="19067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a-intelligenc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a-intelligen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www.sea-intelligenc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mua.sharepoint.com/sites/PCMaritimeLogisticsInquiry/Shared%20Documents/202203%20-%20Container%20vessel%20reliability%20in%20Australian%20po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ua.sharepoint.com/sites/PCMaritimeLogisticsInquiry/Shared%20Documents/202203%20-%20Container%20vessel%20reliability%20in%20Australian%20po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1"/>
              <a:t>Percentage</a:t>
            </a:r>
            <a:r>
              <a:rPr lang="en-AU" b="1" baseline="0"/>
              <a:t> of container vessels arriving on-time to Australian ports</a:t>
            </a:r>
            <a:endParaRPr lang="en-AU"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9896573560923962E-2"/>
          <c:y val="0.13782969181832405"/>
          <c:w val="0.91072751694356535"/>
          <c:h val="0.60841585907530793"/>
        </c:manualLayout>
      </c:layout>
      <c:lineChart>
        <c:grouping val="standard"/>
        <c:varyColors val="0"/>
        <c:ser>
          <c:idx val="0"/>
          <c:order val="0"/>
          <c:tx>
            <c:strRef>
              <c:f>'reliability graph'!$A$3</c:f>
              <c:strCache>
                <c:ptCount val="1"/>
                <c:pt idx="0">
                  <c:v>Sydney</c:v>
                </c:pt>
              </c:strCache>
            </c:strRef>
          </c:tx>
          <c:spPr>
            <a:ln w="28575" cap="rnd">
              <a:solidFill>
                <a:schemeClr val="accent1"/>
              </a:solidFill>
              <a:round/>
            </a:ln>
            <a:effectLst/>
          </c:spPr>
          <c:marker>
            <c:symbol val="none"/>
          </c:marker>
          <c:cat>
            <c:numRef>
              <c:f>'reliability graph'!$B$2:$AL$2</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'reliability graph'!$B$3:$AL$3</c:f>
              <c:numCache>
                <c:formatCode>0.0%</c:formatCode>
                <c:ptCount val="37"/>
                <c:pt idx="0">
                  <c:v>0.84337349397590367</c:v>
                </c:pt>
                <c:pt idx="1">
                  <c:v>0.90277777777777779</c:v>
                </c:pt>
                <c:pt idx="2">
                  <c:v>0.87341772151898733</c:v>
                </c:pt>
                <c:pt idx="3">
                  <c:v>0.86046511627906974</c:v>
                </c:pt>
                <c:pt idx="4">
                  <c:v>0.9</c:v>
                </c:pt>
                <c:pt idx="5">
                  <c:v>0.92500000000000004</c:v>
                </c:pt>
                <c:pt idx="6">
                  <c:v>0.84705882352941175</c:v>
                </c:pt>
                <c:pt idx="7">
                  <c:v>0.80263157894736847</c:v>
                </c:pt>
                <c:pt idx="8">
                  <c:v>0.57499999999999996</c:v>
                </c:pt>
                <c:pt idx="9">
                  <c:v>0.81927710843373491</c:v>
                </c:pt>
                <c:pt idx="10">
                  <c:v>0.80263157894736847</c:v>
                </c:pt>
                <c:pt idx="11">
                  <c:v>0.66666666666666663</c:v>
                </c:pt>
                <c:pt idx="12">
                  <c:v>0.64556962025316456</c:v>
                </c:pt>
                <c:pt idx="13">
                  <c:v>0.56140350877192979</c:v>
                </c:pt>
                <c:pt idx="14">
                  <c:v>0.79104477611940294</c:v>
                </c:pt>
                <c:pt idx="15">
                  <c:v>0.6428571428571429</c:v>
                </c:pt>
                <c:pt idx="16">
                  <c:v>0.53731343283582089</c:v>
                </c:pt>
                <c:pt idx="17">
                  <c:v>0.6811594202898551</c:v>
                </c:pt>
                <c:pt idx="18">
                  <c:v>0.49295774647887325</c:v>
                </c:pt>
                <c:pt idx="19">
                  <c:v>0.15277777777777779</c:v>
                </c:pt>
                <c:pt idx="20">
                  <c:v>0.16363636363636364</c:v>
                </c:pt>
                <c:pt idx="21">
                  <c:v>7.8125E-2</c:v>
                </c:pt>
                <c:pt idx="22">
                  <c:v>0.14035087719298245</c:v>
                </c:pt>
                <c:pt idx="23">
                  <c:v>0.24242424242424243</c:v>
                </c:pt>
                <c:pt idx="24">
                  <c:v>0.14705882352941177</c:v>
                </c:pt>
                <c:pt idx="25">
                  <c:v>0.14925373134328357</c:v>
                </c:pt>
                <c:pt idx="26">
                  <c:v>0.2318840579710145</c:v>
                </c:pt>
                <c:pt idx="27">
                  <c:v>0.25333333333333335</c:v>
                </c:pt>
                <c:pt idx="28">
                  <c:v>0.20547945205479451</c:v>
                </c:pt>
                <c:pt idx="29">
                  <c:v>0.17741935483870969</c:v>
                </c:pt>
                <c:pt idx="30">
                  <c:v>0.13513513513513514</c:v>
                </c:pt>
                <c:pt idx="31">
                  <c:v>0.13513513513513514</c:v>
                </c:pt>
                <c:pt idx="32">
                  <c:v>0.24242424242424243</c:v>
                </c:pt>
                <c:pt idx="33">
                  <c:v>0.23529411764705882</c:v>
                </c:pt>
                <c:pt idx="34">
                  <c:v>0.15384615384615385</c:v>
                </c:pt>
                <c:pt idx="35">
                  <c:v>0.18181818181818182</c:v>
                </c:pt>
                <c:pt idx="36">
                  <c:v>0.25925925925925924</c:v>
                </c:pt>
              </c:numCache>
            </c:numRef>
          </c:val>
          <c:smooth val="0"/>
          <c:extLst>
            <c:ext xmlns:c16="http://schemas.microsoft.com/office/drawing/2014/chart" uri="{C3380CC4-5D6E-409C-BE32-E72D297353CC}">
              <c16:uniqueId val="{00000000-118E-46D2-8BBA-396A7263B3F6}"/>
            </c:ext>
          </c:extLst>
        </c:ser>
        <c:ser>
          <c:idx val="1"/>
          <c:order val="1"/>
          <c:tx>
            <c:strRef>
              <c:f>'reliability graph'!$A$4</c:f>
              <c:strCache>
                <c:ptCount val="1"/>
                <c:pt idx="0">
                  <c:v>Melbourne</c:v>
                </c:pt>
              </c:strCache>
            </c:strRef>
          </c:tx>
          <c:spPr>
            <a:ln w="28575" cap="rnd">
              <a:solidFill>
                <a:schemeClr val="accent2"/>
              </a:solidFill>
              <a:round/>
            </a:ln>
            <a:effectLst/>
          </c:spPr>
          <c:marker>
            <c:symbol val="none"/>
          </c:marker>
          <c:cat>
            <c:numRef>
              <c:f>'reliability graph'!$B$2:$AL$2</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'reliability graph'!$B$4:$AL$4</c:f>
              <c:numCache>
                <c:formatCode>0.0%</c:formatCode>
                <c:ptCount val="37"/>
                <c:pt idx="0">
                  <c:v>0.8271604938271605</c:v>
                </c:pt>
                <c:pt idx="1">
                  <c:v>0.91428571428571426</c:v>
                </c:pt>
                <c:pt idx="2">
                  <c:v>0.83561643835616439</c:v>
                </c:pt>
                <c:pt idx="3">
                  <c:v>0.8441558441558441</c:v>
                </c:pt>
                <c:pt idx="4">
                  <c:v>0.88461538461538458</c:v>
                </c:pt>
                <c:pt idx="5">
                  <c:v>0.86301369863013699</c:v>
                </c:pt>
                <c:pt idx="6">
                  <c:v>0.73750000000000004</c:v>
                </c:pt>
                <c:pt idx="7">
                  <c:v>0.75</c:v>
                </c:pt>
                <c:pt idx="8">
                  <c:v>0.58666666666666667</c:v>
                </c:pt>
                <c:pt idx="9">
                  <c:v>0.76315789473684215</c:v>
                </c:pt>
                <c:pt idx="10">
                  <c:v>0.69444444444444442</c:v>
                </c:pt>
                <c:pt idx="11">
                  <c:v>0.58666666666666667</c:v>
                </c:pt>
                <c:pt idx="12">
                  <c:v>0.62857142857142856</c:v>
                </c:pt>
                <c:pt idx="13">
                  <c:v>0.55172413793103448</c:v>
                </c:pt>
                <c:pt idx="14">
                  <c:v>0.7931034482758621</c:v>
                </c:pt>
                <c:pt idx="15">
                  <c:v>0.71641791044776115</c:v>
                </c:pt>
                <c:pt idx="16">
                  <c:v>0.5757575757575758</c:v>
                </c:pt>
                <c:pt idx="17">
                  <c:v>0.73134328358208955</c:v>
                </c:pt>
                <c:pt idx="18">
                  <c:v>0.47058823529411764</c:v>
                </c:pt>
                <c:pt idx="19">
                  <c:v>0.3188405797101449</c:v>
                </c:pt>
                <c:pt idx="20">
                  <c:v>0.25862068965517243</c:v>
                </c:pt>
                <c:pt idx="21">
                  <c:v>0.15873015873015872</c:v>
                </c:pt>
                <c:pt idx="22">
                  <c:v>0.24242424242424243</c:v>
                </c:pt>
                <c:pt idx="23">
                  <c:v>0.17647058823529413</c:v>
                </c:pt>
                <c:pt idx="24">
                  <c:v>0.125</c:v>
                </c:pt>
                <c:pt idx="25">
                  <c:v>0.16129032258064516</c:v>
                </c:pt>
                <c:pt idx="26">
                  <c:v>0.18840579710144928</c:v>
                </c:pt>
                <c:pt idx="27">
                  <c:v>0.14492753623188406</c:v>
                </c:pt>
                <c:pt idx="28">
                  <c:v>0.27777777777777779</c:v>
                </c:pt>
                <c:pt idx="29">
                  <c:v>0.26865671641791045</c:v>
                </c:pt>
                <c:pt idx="30">
                  <c:v>0.2318840579710145</c:v>
                </c:pt>
                <c:pt idx="31">
                  <c:v>0.13157894736842105</c:v>
                </c:pt>
                <c:pt idx="32">
                  <c:v>0.18032786885245902</c:v>
                </c:pt>
                <c:pt idx="33">
                  <c:v>4.5454545454545456E-2</c:v>
                </c:pt>
                <c:pt idx="34">
                  <c:v>6.5573770491803282E-2</c:v>
                </c:pt>
                <c:pt idx="35">
                  <c:v>9.2307692307692313E-2</c:v>
                </c:pt>
                <c:pt idx="36">
                  <c:v>7.6923076923076927E-2</c:v>
                </c:pt>
              </c:numCache>
            </c:numRef>
          </c:val>
          <c:smooth val="0"/>
          <c:extLst>
            <c:ext xmlns:c16="http://schemas.microsoft.com/office/drawing/2014/chart" uri="{C3380CC4-5D6E-409C-BE32-E72D297353CC}">
              <c16:uniqueId val="{00000001-118E-46D2-8BBA-396A7263B3F6}"/>
            </c:ext>
          </c:extLst>
        </c:ser>
        <c:ser>
          <c:idx val="2"/>
          <c:order val="2"/>
          <c:tx>
            <c:strRef>
              <c:f>'reliability graph'!$A$5</c:f>
              <c:strCache>
                <c:ptCount val="1"/>
                <c:pt idx="0">
                  <c:v>Brisbane</c:v>
                </c:pt>
              </c:strCache>
            </c:strRef>
          </c:tx>
          <c:spPr>
            <a:ln w="28575" cap="rnd">
              <a:solidFill>
                <a:schemeClr val="accent3"/>
              </a:solidFill>
              <a:round/>
            </a:ln>
            <a:effectLst/>
          </c:spPr>
          <c:marker>
            <c:symbol val="none"/>
          </c:marker>
          <c:cat>
            <c:numRef>
              <c:f>'reliability graph'!$B$2:$AL$2</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'reliability graph'!$B$5:$AL$5</c:f>
              <c:numCache>
                <c:formatCode>0.0%</c:formatCode>
                <c:ptCount val="37"/>
                <c:pt idx="0">
                  <c:v>0.89189189189189189</c:v>
                </c:pt>
                <c:pt idx="1">
                  <c:v>0.79710144927536231</c:v>
                </c:pt>
                <c:pt idx="2">
                  <c:v>0.88059701492537312</c:v>
                </c:pt>
                <c:pt idx="3">
                  <c:v>0.86585365853658536</c:v>
                </c:pt>
                <c:pt idx="4">
                  <c:v>0.88888888888888884</c:v>
                </c:pt>
                <c:pt idx="5">
                  <c:v>0.91549295774647887</c:v>
                </c:pt>
                <c:pt idx="6">
                  <c:v>0.84810126582278478</c:v>
                </c:pt>
                <c:pt idx="7">
                  <c:v>0.8529411764705882</c:v>
                </c:pt>
                <c:pt idx="8">
                  <c:v>0.58904109589041098</c:v>
                </c:pt>
                <c:pt idx="9">
                  <c:v>0.74285714285714288</c:v>
                </c:pt>
                <c:pt idx="10">
                  <c:v>0.80519480519480524</c:v>
                </c:pt>
                <c:pt idx="11">
                  <c:v>0.71604938271604934</c:v>
                </c:pt>
                <c:pt idx="12">
                  <c:v>0.72839506172839508</c:v>
                </c:pt>
                <c:pt idx="13">
                  <c:v>0.532258064516129</c:v>
                </c:pt>
                <c:pt idx="14">
                  <c:v>0.70491803278688525</c:v>
                </c:pt>
                <c:pt idx="15">
                  <c:v>0.66666666666666663</c:v>
                </c:pt>
                <c:pt idx="16">
                  <c:v>0.58333333333333337</c:v>
                </c:pt>
                <c:pt idx="17">
                  <c:v>0.68571428571428572</c:v>
                </c:pt>
                <c:pt idx="18">
                  <c:v>0.60273972602739723</c:v>
                </c:pt>
                <c:pt idx="19">
                  <c:v>0.42465753424657532</c:v>
                </c:pt>
                <c:pt idx="20">
                  <c:v>0.19047619047619047</c:v>
                </c:pt>
                <c:pt idx="21">
                  <c:v>0.29032258064516131</c:v>
                </c:pt>
                <c:pt idx="22">
                  <c:v>0.171875</c:v>
                </c:pt>
                <c:pt idx="23">
                  <c:v>0.18333333333333332</c:v>
                </c:pt>
                <c:pt idx="24">
                  <c:v>0.12121212121212122</c:v>
                </c:pt>
                <c:pt idx="25">
                  <c:v>0.13043478260869565</c:v>
                </c:pt>
                <c:pt idx="26">
                  <c:v>0.22368421052631579</c:v>
                </c:pt>
                <c:pt idx="27">
                  <c:v>0.17808219178082191</c:v>
                </c:pt>
                <c:pt idx="28">
                  <c:v>0.13698630136986301</c:v>
                </c:pt>
                <c:pt idx="29">
                  <c:v>0.15873015873015872</c:v>
                </c:pt>
                <c:pt idx="30">
                  <c:v>0.18309859154929578</c:v>
                </c:pt>
                <c:pt idx="31">
                  <c:v>0.14473684210526316</c:v>
                </c:pt>
                <c:pt idx="32">
                  <c:v>6.5573770491803282E-2</c:v>
                </c:pt>
                <c:pt idx="33">
                  <c:v>0.11940298507462686</c:v>
                </c:pt>
                <c:pt idx="34">
                  <c:v>7.8125E-2</c:v>
                </c:pt>
                <c:pt idx="35">
                  <c:v>0.1044776119402985</c:v>
                </c:pt>
                <c:pt idx="36">
                  <c:v>8.4745762711864403E-2</c:v>
                </c:pt>
              </c:numCache>
            </c:numRef>
          </c:val>
          <c:smooth val="0"/>
          <c:extLst>
            <c:ext xmlns:c16="http://schemas.microsoft.com/office/drawing/2014/chart" uri="{C3380CC4-5D6E-409C-BE32-E72D297353CC}">
              <c16:uniqueId val="{00000002-118E-46D2-8BBA-396A7263B3F6}"/>
            </c:ext>
          </c:extLst>
        </c:ser>
        <c:ser>
          <c:idx val="3"/>
          <c:order val="3"/>
          <c:tx>
            <c:strRef>
              <c:f>'reliability graph'!$A$6</c:f>
              <c:strCache>
                <c:ptCount val="1"/>
                <c:pt idx="0">
                  <c:v>Adelaide</c:v>
                </c:pt>
              </c:strCache>
            </c:strRef>
          </c:tx>
          <c:spPr>
            <a:ln w="28575" cap="rnd">
              <a:solidFill>
                <a:schemeClr val="accent4"/>
              </a:solidFill>
              <a:round/>
            </a:ln>
            <a:effectLst/>
          </c:spPr>
          <c:marker>
            <c:symbol val="none"/>
          </c:marker>
          <c:cat>
            <c:numRef>
              <c:f>'reliability graph'!$B$2:$AL$2</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'reliability graph'!$B$6:$AL$6</c:f>
              <c:numCache>
                <c:formatCode>0.0%</c:formatCode>
                <c:ptCount val="37"/>
                <c:pt idx="0">
                  <c:v>0.94444444444444442</c:v>
                </c:pt>
                <c:pt idx="1">
                  <c:v>0.91176470588235292</c:v>
                </c:pt>
                <c:pt idx="2">
                  <c:v>0.83333333333333337</c:v>
                </c:pt>
                <c:pt idx="3">
                  <c:v>0.77142857142857146</c:v>
                </c:pt>
                <c:pt idx="4">
                  <c:v>0.92307692307692313</c:v>
                </c:pt>
                <c:pt idx="5">
                  <c:v>0.89189189189189189</c:v>
                </c:pt>
                <c:pt idx="6">
                  <c:v>0.7142857142857143</c:v>
                </c:pt>
                <c:pt idx="7">
                  <c:v>0.67567567567567566</c:v>
                </c:pt>
                <c:pt idx="8">
                  <c:v>0.56756756756756754</c:v>
                </c:pt>
                <c:pt idx="9">
                  <c:v>0.81578947368421051</c:v>
                </c:pt>
                <c:pt idx="10">
                  <c:v>0.77777777777777779</c:v>
                </c:pt>
                <c:pt idx="11">
                  <c:v>0.43333333333333335</c:v>
                </c:pt>
                <c:pt idx="12">
                  <c:v>0.52</c:v>
                </c:pt>
                <c:pt idx="13">
                  <c:v>0.65384615384615385</c:v>
                </c:pt>
                <c:pt idx="14">
                  <c:v>0.86206896551724133</c:v>
                </c:pt>
                <c:pt idx="15">
                  <c:v>0.62068965517241381</c:v>
                </c:pt>
                <c:pt idx="16">
                  <c:v>0.375</c:v>
                </c:pt>
                <c:pt idx="17">
                  <c:v>0.61538461538461542</c:v>
                </c:pt>
                <c:pt idx="18">
                  <c:v>0.53846153846153844</c:v>
                </c:pt>
                <c:pt idx="19">
                  <c:v>0.21428571428571427</c:v>
                </c:pt>
                <c:pt idx="20">
                  <c:v>0.34782608695652173</c:v>
                </c:pt>
                <c:pt idx="21">
                  <c:v>7.6923076923076927E-2</c:v>
                </c:pt>
                <c:pt idx="22">
                  <c:v>0.22727272727272727</c:v>
                </c:pt>
                <c:pt idx="23">
                  <c:v>0.13043478260869565</c:v>
                </c:pt>
                <c:pt idx="24">
                  <c:v>9.5238095238095233E-2</c:v>
                </c:pt>
                <c:pt idx="25">
                  <c:v>0.17391304347826086</c:v>
                </c:pt>
                <c:pt idx="26">
                  <c:v>0.27272727272727271</c:v>
                </c:pt>
                <c:pt idx="27">
                  <c:v>0.21739130434782608</c:v>
                </c:pt>
                <c:pt idx="28">
                  <c:v>0.32</c:v>
                </c:pt>
                <c:pt idx="29">
                  <c:v>0.33333333333333331</c:v>
                </c:pt>
                <c:pt idx="30">
                  <c:v>0.18181818181818182</c:v>
                </c:pt>
                <c:pt idx="31">
                  <c:v>0.21739130434782608</c:v>
                </c:pt>
                <c:pt idx="32">
                  <c:v>5.8823529411764705E-2</c:v>
                </c:pt>
                <c:pt idx="33">
                  <c:v>0.10526315789473684</c:v>
                </c:pt>
                <c:pt idx="34">
                  <c:v>0</c:v>
                </c:pt>
                <c:pt idx="35">
                  <c:v>0.1875</c:v>
                </c:pt>
                <c:pt idx="36">
                  <c:v>0.2</c:v>
                </c:pt>
              </c:numCache>
            </c:numRef>
          </c:val>
          <c:smooth val="0"/>
          <c:extLst>
            <c:ext xmlns:c16="http://schemas.microsoft.com/office/drawing/2014/chart" uri="{C3380CC4-5D6E-409C-BE32-E72D297353CC}">
              <c16:uniqueId val="{00000003-118E-46D2-8BBA-396A7263B3F6}"/>
            </c:ext>
          </c:extLst>
        </c:ser>
        <c:ser>
          <c:idx val="4"/>
          <c:order val="4"/>
          <c:tx>
            <c:strRef>
              <c:f>'reliability graph'!$A$7</c:f>
              <c:strCache>
                <c:ptCount val="1"/>
                <c:pt idx="0">
                  <c:v>Fremantle</c:v>
                </c:pt>
              </c:strCache>
            </c:strRef>
          </c:tx>
          <c:spPr>
            <a:ln w="28575" cap="rnd">
              <a:solidFill>
                <a:schemeClr val="accent5"/>
              </a:solidFill>
              <a:round/>
            </a:ln>
            <a:effectLst/>
          </c:spPr>
          <c:marker>
            <c:symbol val="none"/>
          </c:marker>
          <c:cat>
            <c:numRef>
              <c:f>'reliability graph'!$B$2:$AL$2</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'reliability graph'!$B$7:$AL$7</c:f>
              <c:numCache>
                <c:formatCode>0.0%</c:formatCode>
                <c:ptCount val="37"/>
                <c:pt idx="0">
                  <c:v>0.93181818181818177</c:v>
                </c:pt>
                <c:pt idx="1">
                  <c:v>0.97435897435897434</c:v>
                </c:pt>
                <c:pt idx="2">
                  <c:v>0.90243902439024393</c:v>
                </c:pt>
                <c:pt idx="3">
                  <c:v>0.88095238095238093</c:v>
                </c:pt>
                <c:pt idx="4">
                  <c:v>0.9555555555555556</c:v>
                </c:pt>
                <c:pt idx="5">
                  <c:v>0.90243902439024393</c:v>
                </c:pt>
                <c:pt idx="6">
                  <c:v>0.79069767441860461</c:v>
                </c:pt>
                <c:pt idx="7">
                  <c:v>0.81818181818181823</c:v>
                </c:pt>
                <c:pt idx="8">
                  <c:v>0.85365853658536583</c:v>
                </c:pt>
                <c:pt idx="9">
                  <c:v>0.85365853658536583</c:v>
                </c:pt>
                <c:pt idx="10">
                  <c:v>0.80645161290322576</c:v>
                </c:pt>
                <c:pt idx="11">
                  <c:v>0.62068965517241381</c:v>
                </c:pt>
                <c:pt idx="12">
                  <c:v>0.65517241379310343</c:v>
                </c:pt>
                <c:pt idx="13">
                  <c:v>0.7142857142857143</c:v>
                </c:pt>
                <c:pt idx="14">
                  <c:v>0.93333333333333335</c:v>
                </c:pt>
                <c:pt idx="15">
                  <c:v>0.54838709677419351</c:v>
                </c:pt>
                <c:pt idx="16">
                  <c:v>0.6071428571428571</c:v>
                </c:pt>
                <c:pt idx="17">
                  <c:v>0.6071428571428571</c:v>
                </c:pt>
                <c:pt idx="18">
                  <c:v>0.76666666666666672</c:v>
                </c:pt>
                <c:pt idx="19">
                  <c:v>0.31034482758620691</c:v>
                </c:pt>
                <c:pt idx="20">
                  <c:v>0.34615384615384615</c:v>
                </c:pt>
                <c:pt idx="21">
                  <c:v>0.12121212121212122</c:v>
                </c:pt>
                <c:pt idx="22">
                  <c:v>0</c:v>
                </c:pt>
                <c:pt idx="23">
                  <c:v>0.1111111111111111</c:v>
                </c:pt>
                <c:pt idx="24">
                  <c:v>0.13043478260869565</c:v>
                </c:pt>
                <c:pt idx="25">
                  <c:v>0.14285714285714285</c:v>
                </c:pt>
                <c:pt idx="26">
                  <c:v>0.2413793103448276</c:v>
                </c:pt>
                <c:pt idx="27">
                  <c:v>0.15384615384615385</c:v>
                </c:pt>
                <c:pt idx="28">
                  <c:v>0.30303030303030304</c:v>
                </c:pt>
                <c:pt idx="29">
                  <c:v>0.32</c:v>
                </c:pt>
                <c:pt idx="30">
                  <c:v>6.8965517241379309E-2</c:v>
                </c:pt>
                <c:pt idx="31">
                  <c:v>9.5238095238095233E-2</c:v>
                </c:pt>
                <c:pt idx="32">
                  <c:v>0.21739130434782608</c:v>
                </c:pt>
                <c:pt idx="33">
                  <c:v>0</c:v>
                </c:pt>
                <c:pt idx="34">
                  <c:v>4.7619047619047616E-2</c:v>
                </c:pt>
                <c:pt idx="35">
                  <c:v>0.08</c:v>
                </c:pt>
                <c:pt idx="36">
                  <c:v>5.8823529411764705E-2</c:v>
                </c:pt>
              </c:numCache>
            </c:numRef>
          </c:val>
          <c:smooth val="0"/>
          <c:extLst>
            <c:ext xmlns:c16="http://schemas.microsoft.com/office/drawing/2014/chart" uri="{C3380CC4-5D6E-409C-BE32-E72D297353CC}">
              <c16:uniqueId val="{00000004-118E-46D2-8BBA-396A7263B3F6}"/>
            </c:ext>
          </c:extLst>
        </c:ser>
        <c:dLbls>
          <c:showLegendKey val="0"/>
          <c:showVal val="0"/>
          <c:showCatName val="0"/>
          <c:showSerName val="0"/>
          <c:showPercent val="0"/>
          <c:showBubbleSize val="0"/>
        </c:dLbls>
        <c:smooth val="0"/>
        <c:axId val="451714104"/>
        <c:axId val="451727224"/>
      </c:lineChart>
      <c:catAx>
        <c:axId val="45171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727224"/>
        <c:crosses val="autoZero"/>
        <c:auto val="1"/>
        <c:lblAlgn val="ctr"/>
        <c:lblOffset val="100"/>
        <c:noMultiLvlLbl val="0"/>
      </c:catAx>
      <c:valAx>
        <c:axId val="45172722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714104"/>
        <c:crosses val="autoZero"/>
        <c:crossBetween val="between"/>
      </c:valAx>
      <c:spPr>
        <a:noFill/>
        <a:ln>
          <a:noFill/>
        </a:ln>
        <a:effectLst/>
      </c:spPr>
    </c:plotArea>
    <c:legend>
      <c:legendPos val="b"/>
      <c:layout>
        <c:manualLayout>
          <c:xMode val="edge"/>
          <c:yMode val="edge"/>
          <c:x val="0.20579431087671854"/>
          <c:y val="0.89440730504713417"/>
          <c:w val="0.58691510040694583"/>
          <c:h val="5.090532157448924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Average number</a:t>
            </a:r>
            <a:r>
              <a:rPr lang="en-AU" baseline="0"/>
              <a:t> of days late for late-arriving container vessels </a:t>
            </a:r>
          </a:p>
          <a:p>
            <a:pPr>
              <a:defRPr sz="1400" b="0" i="0" u="none" strike="noStrike" kern="1200" spc="0" baseline="0">
                <a:solidFill>
                  <a:schemeClr val="tx1">
                    <a:lumMod val="65000"/>
                    <a:lumOff val="35000"/>
                  </a:schemeClr>
                </a:solidFill>
                <a:latin typeface="+mn-lt"/>
                <a:ea typeface="+mn-ea"/>
                <a:cs typeface="+mn-cs"/>
              </a:defRPr>
            </a:pPr>
            <a:r>
              <a:rPr lang="en-AU" baseline="0"/>
              <a:t>in Australian ports </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'average delay graph'!$A$4</c:f>
              <c:strCache>
                <c:ptCount val="1"/>
                <c:pt idx="0">
                  <c:v>Sydney</c:v>
                </c:pt>
              </c:strCache>
            </c:strRef>
          </c:tx>
          <c:spPr>
            <a:ln w="28575" cap="rnd">
              <a:solidFill>
                <a:schemeClr val="accent1"/>
              </a:solidFill>
              <a:round/>
            </a:ln>
            <a:effectLst/>
          </c:spPr>
          <c:marker>
            <c:symbol val="none"/>
          </c:marker>
          <c:cat>
            <c:numRef>
              <c:f>'average delay graph'!$B$3:$AL$3</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'average delay graph'!$B$4:$AL$4</c:f>
              <c:numCache>
                <c:formatCode>General</c:formatCode>
                <c:ptCount val="37"/>
                <c:pt idx="0">
                  <c:v>3.5555555555555554</c:v>
                </c:pt>
                <c:pt idx="1">
                  <c:v>5</c:v>
                </c:pt>
                <c:pt idx="2">
                  <c:v>4.9444444444444446</c:v>
                </c:pt>
                <c:pt idx="3">
                  <c:v>4.2142857142857144</c:v>
                </c:pt>
                <c:pt idx="4">
                  <c:v>4.583333333333333</c:v>
                </c:pt>
                <c:pt idx="5">
                  <c:v>3.2222333333333335</c:v>
                </c:pt>
                <c:pt idx="6">
                  <c:v>4.4444444444444446</c:v>
                </c:pt>
                <c:pt idx="7">
                  <c:v>4.0555555555555554</c:v>
                </c:pt>
                <c:pt idx="8">
                  <c:v>4.0539176470588236</c:v>
                </c:pt>
                <c:pt idx="9">
                  <c:v>4.3181818181818183</c:v>
                </c:pt>
                <c:pt idx="10">
                  <c:v>2.9259222222222223</c:v>
                </c:pt>
                <c:pt idx="11">
                  <c:v>3.0238142857142853</c:v>
                </c:pt>
                <c:pt idx="12">
                  <c:v>2.6</c:v>
                </c:pt>
                <c:pt idx="13">
                  <c:v>3.5833333333333335</c:v>
                </c:pt>
                <c:pt idx="14">
                  <c:v>4.5666700000000002</c:v>
                </c:pt>
                <c:pt idx="15">
                  <c:v>3.9545454545454546</c:v>
                </c:pt>
                <c:pt idx="16">
                  <c:v>4.0441176470588234</c:v>
                </c:pt>
                <c:pt idx="17">
                  <c:v>4.5772727272727272</c:v>
                </c:pt>
                <c:pt idx="18">
                  <c:v>4.277779999999999</c:v>
                </c:pt>
                <c:pt idx="19">
                  <c:v>4.7607823529411766</c:v>
                </c:pt>
                <c:pt idx="20">
                  <c:v>8.2453722222222225</c:v>
                </c:pt>
                <c:pt idx="21">
                  <c:v>8.9294117647058826</c:v>
                </c:pt>
                <c:pt idx="22">
                  <c:v>7.3055611111111114</c:v>
                </c:pt>
                <c:pt idx="23">
                  <c:v>7.2755000000000001</c:v>
                </c:pt>
                <c:pt idx="24">
                  <c:v>7.6101888888888896</c:v>
                </c:pt>
                <c:pt idx="25">
                  <c:v>8.206142105263158</c:v>
                </c:pt>
                <c:pt idx="26">
                  <c:v>6.2874949999999998</c:v>
                </c:pt>
                <c:pt idx="27">
                  <c:v>5.6249950000000002</c:v>
                </c:pt>
                <c:pt idx="28">
                  <c:v>5.6307052631578953</c:v>
                </c:pt>
                <c:pt idx="29">
                  <c:v>7.1111055555555556</c:v>
                </c:pt>
                <c:pt idx="30">
                  <c:v>6.1750050000000005</c:v>
                </c:pt>
                <c:pt idx="31">
                  <c:v>8.8958300000000001</c:v>
                </c:pt>
                <c:pt idx="32">
                  <c:v>8.5131578947368425</c:v>
                </c:pt>
                <c:pt idx="33">
                  <c:v>9.8529352941176462</c:v>
                </c:pt>
                <c:pt idx="34">
                  <c:v>7.8379555555555545</c:v>
                </c:pt>
                <c:pt idx="35">
                  <c:v>9.2591649999999994</c:v>
                </c:pt>
                <c:pt idx="36">
                  <c:v>8.303929411764706</c:v>
                </c:pt>
              </c:numCache>
            </c:numRef>
          </c:val>
          <c:smooth val="0"/>
          <c:extLst>
            <c:ext xmlns:c16="http://schemas.microsoft.com/office/drawing/2014/chart" uri="{C3380CC4-5D6E-409C-BE32-E72D297353CC}">
              <c16:uniqueId val="{00000000-0457-4D63-B2E3-441CFBE3B61A}"/>
            </c:ext>
          </c:extLst>
        </c:ser>
        <c:ser>
          <c:idx val="1"/>
          <c:order val="1"/>
          <c:tx>
            <c:strRef>
              <c:f>'average delay graph'!$A$5</c:f>
              <c:strCache>
                <c:ptCount val="1"/>
                <c:pt idx="0">
                  <c:v>Melbourne</c:v>
                </c:pt>
              </c:strCache>
            </c:strRef>
          </c:tx>
          <c:spPr>
            <a:ln w="28575" cap="rnd">
              <a:solidFill>
                <a:schemeClr val="accent2"/>
              </a:solidFill>
              <a:round/>
            </a:ln>
            <a:effectLst/>
          </c:spPr>
          <c:marker>
            <c:symbol val="none"/>
          </c:marker>
          <c:cat>
            <c:numRef>
              <c:f>'average delay graph'!$B$3:$AL$3</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'average delay graph'!$B$5:$AL$5</c:f>
              <c:numCache>
                <c:formatCode>General</c:formatCode>
                <c:ptCount val="37"/>
                <c:pt idx="0">
                  <c:v>3.6</c:v>
                </c:pt>
                <c:pt idx="1">
                  <c:v>3.2</c:v>
                </c:pt>
                <c:pt idx="2">
                  <c:v>3</c:v>
                </c:pt>
                <c:pt idx="3">
                  <c:v>3.0625</c:v>
                </c:pt>
                <c:pt idx="4">
                  <c:v>3.5</c:v>
                </c:pt>
                <c:pt idx="5">
                  <c:v>2.9285714285714284</c:v>
                </c:pt>
                <c:pt idx="6">
                  <c:v>2.9861083333333336</c:v>
                </c:pt>
                <c:pt idx="7">
                  <c:v>3.5833333333333335</c:v>
                </c:pt>
                <c:pt idx="8">
                  <c:v>3.6880928571428568</c:v>
                </c:pt>
                <c:pt idx="9">
                  <c:v>4.75</c:v>
                </c:pt>
                <c:pt idx="10">
                  <c:v>3.375</c:v>
                </c:pt>
                <c:pt idx="11">
                  <c:v>2.9345285714285714</c:v>
                </c:pt>
                <c:pt idx="12">
                  <c:v>3.1666714285714286</c:v>
                </c:pt>
                <c:pt idx="13">
                  <c:v>3.8333333333333335</c:v>
                </c:pt>
                <c:pt idx="14">
                  <c:v>5.1785714285714288</c:v>
                </c:pt>
                <c:pt idx="15">
                  <c:v>3.07667</c:v>
                </c:pt>
                <c:pt idx="16">
                  <c:v>3.782053846153846</c:v>
                </c:pt>
                <c:pt idx="17">
                  <c:v>4.7618999999999998</c:v>
                </c:pt>
                <c:pt idx="18">
                  <c:v>3.4833399999999997</c:v>
                </c:pt>
                <c:pt idx="19">
                  <c:v>4.8122199999999999</c:v>
                </c:pt>
                <c:pt idx="20">
                  <c:v>6.1633333333333331</c:v>
                </c:pt>
                <c:pt idx="21">
                  <c:v>6.1729124999999998</c:v>
                </c:pt>
                <c:pt idx="22">
                  <c:v>6.1229187500000002</c:v>
                </c:pt>
                <c:pt idx="23">
                  <c:v>6.3342157894736841</c:v>
                </c:pt>
                <c:pt idx="24">
                  <c:v>7.3287055555555565</c:v>
                </c:pt>
                <c:pt idx="25">
                  <c:v>8.2526263157894739</c:v>
                </c:pt>
                <c:pt idx="26">
                  <c:v>5.501752631578948</c:v>
                </c:pt>
                <c:pt idx="27">
                  <c:v>5.6947421052631579</c:v>
                </c:pt>
                <c:pt idx="28">
                  <c:v>5.2675421052631579</c:v>
                </c:pt>
                <c:pt idx="29">
                  <c:v>5.8088235294117645</c:v>
                </c:pt>
                <c:pt idx="30">
                  <c:v>6.0833333333333339</c:v>
                </c:pt>
                <c:pt idx="31">
                  <c:v>7.7316699999999985</c:v>
                </c:pt>
                <c:pt idx="32">
                  <c:v>7.1973631578947366</c:v>
                </c:pt>
                <c:pt idx="33">
                  <c:v>9.3777761904761903</c:v>
                </c:pt>
                <c:pt idx="34">
                  <c:v>9.022495000000001</c:v>
                </c:pt>
                <c:pt idx="35">
                  <c:v>8.5453666666666681</c:v>
                </c:pt>
                <c:pt idx="36">
                  <c:v>7.6875000000000009</c:v>
                </c:pt>
              </c:numCache>
            </c:numRef>
          </c:val>
          <c:smooth val="0"/>
          <c:extLst>
            <c:ext xmlns:c16="http://schemas.microsoft.com/office/drawing/2014/chart" uri="{C3380CC4-5D6E-409C-BE32-E72D297353CC}">
              <c16:uniqueId val="{00000001-0457-4D63-B2E3-441CFBE3B61A}"/>
            </c:ext>
          </c:extLst>
        </c:ser>
        <c:ser>
          <c:idx val="2"/>
          <c:order val="2"/>
          <c:tx>
            <c:strRef>
              <c:f>'average delay graph'!$A$6</c:f>
              <c:strCache>
                <c:ptCount val="1"/>
                <c:pt idx="0">
                  <c:v>Brisbane</c:v>
                </c:pt>
              </c:strCache>
            </c:strRef>
          </c:tx>
          <c:spPr>
            <a:ln w="28575" cap="rnd">
              <a:solidFill>
                <a:schemeClr val="accent3"/>
              </a:solidFill>
              <a:round/>
            </a:ln>
            <a:effectLst/>
          </c:spPr>
          <c:marker>
            <c:symbol val="none"/>
          </c:marker>
          <c:cat>
            <c:numRef>
              <c:f>'average delay graph'!$B$3:$AL$3</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'average delay graph'!$B$6:$AL$6</c:f>
              <c:numCache>
                <c:formatCode>General</c:formatCode>
                <c:ptCount val="37"/>
                <c:pt idx="0">
                  <c:v>3.5</c:v>
                </c:pt>
                <c:pt idx="1">
                  <c:v>2.4</c:v>
                </c:pt>
                <c:pt idx="2">
                  <c:v>3.1428571428571428</c:v>
                </c:pt>
                <c:pt idx="3">
                  <c:v>2.5714285714285716</c:v>
                </c:pt>
                <c:pt idx="4">
                  <c:v>2.9166666666666665</c:v>
                </c:pt>
                <c:pt idx="5">
                  <c:v>2.25</c:v>
                </c:pt>
                <c:pt idx="6">
                  <c:v>2.8333333333333335</c:v>
                </c:pt>
                <c:pt idx="7">
                  <c:v>3.9285714285714284</c:v>
                </c:pt>
                <c:pt idx="8">
                  <c:v>3.6538461538461537</c:v>
                </c:pt>
                <c:pt idx="9">
                  <c:v>5.15</c:v>
                </c:pt>
                <c:pt idx="10">
                  <c:v>4.0833374999999998</c:v>
                </c:pt>
                <c:pt idx="11">
                  <c:v>3.7604124999999997</c:v>
                </c:pt>
                <c:pt idx="12">
                  <c:v>3.4416699999999998</c:v>
                </c:pt>
                <c:pt idx="13">
                  <c:v>3.6180666666666661</c:v>
                </c:pt>
                <c:pt idx="14">
                  <c:v>4.0648111111111112</c:v>
                </c:pt>
                <c:pt idx="15">
                  <c:v>3.5151545454545454</c:v>
                </c:pt>
                <c:pt idx="16">
                  <c:v>3.9523857142857142</c:v>
                </c:pt>
                <c:pt idx="17">
                  <c:v>3.2962888888888888</c:v>
                </c:pt>
                <c:pt idx="18">
                  <c:v>4.4772727272727275</c:v>
                </c:pt>
                <c:pt idx="19">
                  <c:v>4.3076923076923075</c:v>
                </c:pt>
                <c:pt idx="20">
                  <c:v>6.5688866666666668</c:v>
                </c:pt>
                <c:pt idx="21">
                  <c:v>7.098807142857142</c:v>
                </c:pt>
                <c:pt idx="22">
                  <c:v>6.4210578947368422</c:v>
                </c:pt>
                <c:pt idx="23">
                  <c:v>6.7549000000000001</c:v>
                </c:pt>
                <c:pt idx="24">
                  <c:v>6.7444444444444436</c:v>
                </c:pt>
                <c:pt idx="25">
                  <c:v>8.0698380952380973</c:v>
                </c:pt>
                <c:pt idx="26">
                  <c:v>6.8958349999999999</c:v>
                </c:pt>
                <c:pt idx="27">
                  <c:v>6.6031809523809537</c:v>
                </c:pt>
                <c:pt idx="28">
                  <c:v>7.32</c:v>
                </c:pt>
                <c:pt idx="29">
                  <c:v>7.5383350000000009</c:v>
                </c:pt>
                <c:pt idx="30">
                  <c:v>6.9475049999999996</c:v>
                </c:pt>
                <c:pt idx="31">
                  <c:v>8.3075681818181817</c:v>
                </c:pt>
                <c:pt idx="32">
                  <c:v>8.0460238095238097</c:v>
                </c:pt>
                <c:pt idx="33">
                  <c:v>9.8458349999999992</c:v>
                </c:pt>
                <c:pt idx="34">
                  <c:v>9.1365095238095222</c:v>
                </c:pt>
                <c:pt idx="35">
                  <c:v>9.253171428571429</c:v>
                </c:pt>
                <c:pt idx="36">
                  <c:v>8.0539666666666658</c:v>
                </c:pt>
              </c:numCache>
            </c:numRef>
          </c:val>
          <c:smooth val="0"/>
          <c:extLst>
            <c:ext xmlns:c16="http://schemas.microsoft.com/office/drawing/2014/chart" uri="{C3380CC4-5D6E-409C-BE32-E72D297353CC}">
              <c16:uniqueId val="{00000002-0457-4D63-B2E3-441CFBE3B61A}"/>
            </c:ext>
          </c:extLst>
        </c:ser>
        <c:ser>
          <c:idx val="3"/>
          <c:order val="3"/>
          <c:tx>
            <c:strRef>
              <c:f>'average delay graph'!$A$7</c:f>
              <c:strCache>
                <c:ptCount val="1"/>
                <c:pt idx="0">
                  <c:v>Adelaide</c:v>
                </c:pt>
              </c:strCache>
            </c:strRef>
          </c:tx>
          <c:spPr>
            <a:ln w="28575" cap="rnd">
              <a:solidFill>
                <a:schemeClr val="accent4"/>
              </a:solidFill>
              <a:round/>
            </a:ln>
            <a:effectLst/>
          </c:spPr>
          <c:marker>
            <c:symbol val="none"/>
          </c:marker>
          <c:cat>
            <c:numRef>
              <c:f>'average delay graph'!$B$3:$AL$3</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'average delay graph'!$B$7:$AL$7</c:f>
              <c:numCache>
                <c:formatCode>0.00</c:formatCode>
                <c:ptCount val="37"/>
                <c:pt idx="0">
                  <c:v>4.5</c:v>
                </c:pt>
                <c:pt idx="1">
                  <c:v>3.6666666666666665</c:v>
                </c:pt>
                <c:pt idx="2">
                  <c:v>3.5</c:v>
                </c:pt>
                <c:pt idx="3">
                  <c:v>3.8</c:v>
                </c:pt>
                <c:pt idx="4">
                  <c:v>4</c:v>
                </c:pt>
                <c:pt idx="5">
                  <c:v>3.6666666666666665</c:v>
                </c:pt>
                <c:pt idx="6">
                  <c:v>3.0666599999999997</c:v>
                </c:pt>
                <c:pt idx="7">
                  <c:v>2.7857142857142856</c:v>
                </c:pt>
                <c:pt idx="8">
                  <c:v>3.7619000000000002</c:v>
                </c:pt>
                <c:pt idx="9">
                  <c:v>3.5</c:v>
                </c:pt>
                <c:pt idx="10">
                  <c:v>3.5833249999999999</c:v>
                </c:pt>
                <c:pt idx="11">
                  <c:v>3.1666666666666665</c:v>
                </c:pt>
                <c:pt idx="12">
                  <c:v>3.3333333333333335</c:v>
                </c:pt>
                <c:pt idx="13">
                  <c:v>4.75</c:v>
                </c:pt>
                <c:pt idx="14">
                  <c:v>3.5</c:v>
                </c:pt>
                <c:pt idx="15">
                  <c:v>3.6666666666666665</c:v>
                </c:pt>
                <c:pt idx="16">
                  <c:v>4.2142857142857144</c:v>
                </c:pt>
                <c:pt idx="17">
                  <c:v>3.9333399999999998</c:v>
                </c:pt>
                <c:pt idx="18">
                  <c:v>3.4333399999999998</c:v>
                </c:pt>
                <c:pt idx="19">
                  <c:v>5.0357142857142856</c:v>
                </c:pt>
                <c:pt idx="20">
                  <c:v>5.1499999999999995</c:v>
                </c:pt>
                <c:pt idx="21">
                  <c:v>6.2142857142857144</c:v>
                </c:pt>
                <c:pt idx="22">
                  <c:v>7.0238142857142858</c:v>
                </c:pt>
                <c:pt idx="23">
                  <c:v>7.095242857142857</c:v>
                </c:pt>
                <c:pt idx="24">
                  <c:v>7.1309571428571425</c:v>
                </c:pt>
                <c:pt idx="25">
                  <c:v>5.1904714285714286</c:v>
                </c:pt>
                <c:pt idx="26">
                  <c:v>4.661900000000001</c:v>
                </c:pt>
                <c:pt idx="27">
                  <c:v>4.904757142857143</c:v>
                </c:pt>
                <c:pt idx="28">
                  <c:v>6.0952285714285717</c:v>
                </c:pt>
                <c:pt idx="29">
                  <c:v>5.5555500000000002</c:v>
                </c:pt>
                <c:pt idx="30">
                  <c:v>5.1309571428571425</c:v>
                </c:pt>
                <c:pt idx="31">
                  <c:v>6.9523857142857137</c:v>
                </c:pt>
                <c:pt idx="32">
                  <c:v>6.1428571428571432</c:v>
                </c:pt>
                <c:pt idx="33">
                  <c:v>7.5357142857142856</c:v>
                </c:pt>
                <c:pt idx="34">
                  <c:v>7.583333333333333</c:v>
                </c:pt>
                <c:pt idx="35">
                  <c:v>5.1944499999999998</c:v>
                </c:pt>
                <c:pt idx="36">
                  <c:v>5.3928571428571432</c:v>
                </c:pt>
              </c:numCache>
            </c:numRef>
          </c:val>
          <c:smooth val="0"/>
          <c:extLst>
            <c:ext xmlns:c16="http://schemas.microsoft.com/office/drawing/2014/chart" uri="{C3380CC4-5D6E-409C-BE32-E72D297353CC}">
              <c16:uniqueId val="{00000003-0457-4D63-B2E3-441CFBE3B61A}"/>
            </c:ext>
          </c:extLst>
        </c:ser>
        <c:ser>
          <c:idx val="4"/>
          <c:order val="4"/>
          <c:tx>
            <c:strRef>
              <c:f>'average delay graph'!$A$8</c:f>
              <c:strCache>
                <c:ptCount val="1"/>
                <c:pt idx="0">
                  <c:v>Fremantle</c:v>
                </c:pt>
              </c:strCache>
            </c:strRef>
          </c:tx>
          <c:spPr>
            <a:ln w="28575" cap="rnd">
              <a:solidFill>
                <a:schemeClr val="accent5"/>
              </a:solidFill>
              <a:round/>
            </a:ln>
            <a:effectLst/>
          </c:spPr>
          <c:marker>
            <c:symbol val="none"/>
          </c:marker>
          <c:cat>
            <c:numRef>
              <c:f>'average delay graph'!$B$3:$AL$3</c:f>
              <c:numCache>
                <c:formatCode>General</c:formatCode>
                <c:ptCount val="37"/>
                <c:pt idx="0">
                  <c:v>201901</c:v>
                </c:pt>
                <c:pt idx="1">
                  <c:v>201902</c:v>
                </c:pt>
                <c:pt idx="2">
                  <c:v>201903</c:v>
                </c:pt>
                <c:pt idx="3">
                  <c:v>201904</c:v>
                </c:pt>
                <c:pt idx="4">
                  <c:v>201905</c:v>
                </c:pt>
                <c:pt idx="5">
                  <c:v>201906</c:v>
                </c:pt>
                <c:pt idx="6">
                  <c:v>201907</c:v>
                </c:pt>
                <c:pt idx="7">
                  <c:v>201908</c:v>
                </c:pt>
                <c:pt idx="8">
                  <c:v>201909</c:v>
                </c:pt>
                <c:pt idx="9">
                  <c:v>201910</c:v>
                </c:pt>
                <c:pt idx="10">
                  <c:v>201911</c:v>
                </c:pt>
                <c:pt idx="11">
                  <c:v>201912</c:v>
                </c:pt>
                <c:pt idx="12">
                  <c:v>202001</c:v>
                </c:pt>
                <c:pt idx="13">
                  <c:v>202002</c:v>
                </c:pt>
                <c:pt idx="14">
                  <c:v>202003</c:v>
                </c:pt>
                <c:pt idx="15">
                  <c:v>202004</c:v>
                </c:pt>
                <c:pt idx="16">
                  <c:v>202005</c:v>
                </c:pt>
                <c:pt idx="17">
                  <c:v>202006</c:v>
                </c:pt>
                <c:pt idx="18">
                  <c:v>202007</c:v>
                </c:pt>
                <c:pt idx="19">
                  <c:v>202008</c:v>
                </c:pt>
                <c:pt idx="20">
                  <c:v>202009</c:v>
                </c:pt>
                <c:pt idx="21">
                  <c:v>202010</c:v>
                </c:pt>
                <c:pt idx="22">
                  <c:v>202011</c:v>
                </c:pt>
                <c:pt idx="23">
                  <c:v>202012</c:v>
                </c:pt>
                <c:pt idx="24">
                  <c:v>202101</c:v>
                </c:pt>
                <c:pt idx="25">
                  <c:v>202102</c:v>
                </c:pt>
                <c:pt idx="26">
                  <c:v>202103</c:v>
                </c:pt>
                <c:pt idx="27">
                  <c:v>202104</c:v>
                </c:pt>
                <c:pt idx="28">
                  <c:v>202105</c:v>
                </c:pt>
                <c:pt idx="29">
                  <c:v>202106</c:v>
                </c:pt>
                <c:pt idx="30">
                  <c:v>202107</c:v>
                </c:pt>
                <c:pt idx="31">
                  <c:v>202108</c:v>
                </c:pt>
                <c:pt idx="32">
                  <c:v>202109</c:v>
                </c:pt>
                <c:pt idx="33">
                  <c:v>202110</c:v>
                </c:pt>
                <c:pt idx="34">
                  <c:v>202111</c:v>
                </c:pt>
                <c:pt idx="35">
                  <c:v>202112</c:v>
                </c:pt>
                <c:pt idx="36">
                  <c:v>202201</c:v>
                </c:pt>
              </c:numCache>
            </c:numRef>
          </c:cat>
          <c:val>
            <c:numRef>
              <c:f>'average delay graph'!$B$8:$AL$8</c:f>
              <c:numCache>
                <c:formatCode>General</c:formatCode>
                <c:ptCount val="37"/>
                <c:pt idx="0">
                  <c:v>3</c:v>
                </c:pt>
                <c:pt idx="1">
                  <c:v>2</c:v>
                </c:pt>
                <c:pt idx="2">
                  <c:v>2</c:v>
                </c:pt>
                <c:pt idx="3">
                  <c:v>3.5</c:v>
                </c:pt>
                <c:pt idx="4">
                  <c:v>2</c:v>
                </c:pt>
                <c:pt idx="5">
                  <c:v>3.3333333333333335</c:v>
                </c:pt>
                <c:pt idx="6">
                  <c:v>2.6</c:v>
                </c:pt>
                <c:pt idx="7">
                  <c:v>3</c:v>
                </c:pt>
                <c:pt idx="8">
                  <c:v>3.4444333333333339</c:v>
                </c:pt>
                <c:pt idx="9">
                  <c:v>2.5</c:v>
                </c:pt>
                <c:pt idx="10">
                  <c:v>4.166666666666667</c:v>
                </c:pt>
                <c:pt idx="11">
                  <c:v>3.0416750000000001</c:v>
                </c:pt>
                <c:pt idx="12">
                  <c:v>4.1458250000000003</c:v>
                </c:pt>
                <c:pt idx="13">
                  <c:v>5.7083250000000003</c:v>
                </c:pt>
                <c:pt idx="14">
                  <c:v>2.5</c:v>
                </c:pt>
                <c:pt idx="15">
                  <c:v>3.1458500000000003</c:v>
                </c:pt>
                <c:pt idx="16">
                  <c:v>4.3610999999999995</c:v>
                </c:pt>
                <c:pt idx="17">
                  <c:v>3.683325</c:v>
                </c:pt>
                <c:pt idx="18">
                  <c:v>5.75</c:v>
                </c:pt>
                <c:pt idx="19">
                  <c:v>4.4733399999999994</c:v>
                </c:pt>
                <c:pt idx="20">
                  <c:v>4.5285714285714285</c:v>
                </c:pt>
                <c:pt idx="21">
                  <c:v>6.9547714285714282</c:v>
                </c:pt>
                <c:pt idx="22">
                  <c:v>6.4323285714285703</c:v>
                </c:pt>
                <c:pt idx="23">
                  <c:v>8.8928571428571423</c:v>
                </c:pt>
                <c:pt idx="24">
                  <c:v>4.8809428571428572</c:v>
                </c:pt>
                <c:pt idx="25">
                  <c:v>6.0714285714285712</c:v>
                </c:pt>
                <c:pt idx="26">
                  <c:v>5.3928571428571432</c:v>
                </c:pt>
                <c:pt idx="27">
                  <c:v>4.4833285714285713</c:v>
                </c:pt>
                <c:pt idx="28">
                  <c:v>5.6928571428571431</c:v>
                </c:pt>
                <c:pt idx="29">
                  <c:v>5.7976142857142863</c:v>
                </c:pt>
                <c:pt idx="30">
                  <c:v>7.4071428571428575</c:v>
                </c:pt>
                <c:pt idx="31">
                  <c:v>9.2805499999999999</c:v>
                </c:pt>
                <c:pt idx="32">
                  <c:v>7.1111000000000004</c:v>
                </c:pt>
                <c:pt idx="33">
                  <c:v>10.700000000000001</c:v>
                </c:pt>
                <c:pt idx="34">
                  <c:v>8.15</c:v>
                </c:pt>
                <c:pt idx="35">
                  <c:v>9.7936500000000013</c:v>
                </c:pt>
                <c:pt idx="36">
                  <c:v>7.5</c:v>
                </c:pt>
              </c:numCache>
            </c:numRef>
          </c:val>
          <c:smooth val="0"/>
          <c:extLst>
            <c:ext xmlns:c16="http://schemas.microsoft.com/office/drawing/2014/chart" uri="{C3380CC4-5D6E-409C-BE32-E72D297353CC}">
              <c16:uniqueId val="{00000004-0457-4D63-B2E3-441CFBE3B61A}"/>
            </c:ext>
          </c:extLst>
        </c:ser>
        <c:dLbls>
          <c:showLegendKey val="0"/>
          <c:showVal val="0"/>
          <c:showCatName val="0"/>
          <c:showSerName val="0"/>
          <c:showPercent val="0"/>
          <c:showBubbleSize val="0"/>
        </c:dLbls>
        <c:smooth val="0"/>
        <c:axId val="924357448"/>
        <c:axId val="924356464"/>
      </c:lineChart>
      <c:catAx>
        <c:axId val="924357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356464"/>
        <c:crosses val="autoZero"/>
        <c:auto val="1"/>
        <c:lblAlgn val="ctr"/>
        <c:lblOffset val="100"/>
        <c:noMultiLvlLbl val="0"/>
      </c:catAx>
      <c:valAx>
        <c:axId val="92435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Days</a:t>
                </a:r>
                <a:r>
                  <a:rPr lang="en-AU" baseline="0"/>
                  <a:t> late (average of all late vessels)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357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7bcf37-5ad9-4feb-a6d9-7509e1159770">
      <Value>1</Value>
    </TaxCatchAll>
    <athenawicks xmlns="eca8b8e7-e911-442b-8be0-9f74f4a7a067" xsi:nil="true"/>
    <i0f84bba906045b4af568ee102a52dcb xmlns="dc7bcf37-5ad9-4feb-a6d9-7509e115977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clearedby xmlns="eca8b8e7-e911-442b-8be0-9f74f4a7a067">
      <UserInfo>
        <DisplayName/>
        <AccountId xsi:nil="true"/>
        <AccountType/>
      </UserInfo>
    </clear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2260156D2DF64FAC57C5811ACCE19A" ma:contentTypeVersion="14" ma:contentTypeDescription="Create a new document." ma:contentTypeScope="" ma:versionID="55d3fc0a684e8ab07f4a43adb78dfc7e">
  <xsd:schema xmlns:xsd="http://www.w3.org/2001/XMLSchema" xmlns:xs="http://www.w3.org/2001/XMLSchema" xmlns:p="http://schemas.microsoft.com/office/2006/metadata/properties" xmlns:ns2="dc7bcf37-5ad9-4feb-a6d9-7509e1159770" xmlns:ns3="eca8b8e7-e911-442b-8be0-9f74f4a7a067" targetNamespace="http://schemas.microsoft.com/office/2006/metadata/properties" ma:root="true" ma:fieldsID="10b2aa3414863067d7263b1043ec73b7" ns2:_="" ns3:_="">
    <xsd:import namespace="dc7bcf37-5ad9-4feb-a6d9-7509e1159770"/>
    <xsd:import namespace="eca8b8e7-e911-442b-8be0-9f74f4a7a06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clearedby" minOccurs="0"/>
                <xsd:element ref="ns3:MediaServiceDateTaken" minOccurs="0"/>
                <xsd:element ref="ns3:MediaServiceAutoTags" minOccurs="0"/>
                <xsd:element ref="ns3:MediaLengthInSeconds" minOccurs="0"/>
                <xsd:element ref="ns3:athenawic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bcf37-5ad9-4feb-a6d9-7509e1159770"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d6c521-2df6-4c24-a658-e93e46d22513}" ma:internalName="TaxCatchAll" ma:showField="CatchAllData" ma:web="dc7bcf37-5ad9-4feb-a6d9-7509e115977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8b8e7-e911-442b-8be0-9f74f4a7a0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learedby" ma:index="17" nillable="true" ma:displayName="cleared by " ma:format="Dropdown" ma:list="UserInfo" ma:SharePointGroup="0" ma:internalName="clea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thenawicks" ma:index="21" nillable="true" ma:displayName="athena wicks" ma:description="to confirm confidential material" ma:format="Dropdown" ma:internalName="athenawick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FB1A8-9876-468E-809F-AF934B0E84DE}">
  <ds:schemaRefs>
    <ds:schemaRef ds:uri="http://schemas.microsoft.com/office/2006/metadata/properties"/>
    <ds:schemaRef ds:uri="http://schemas.microsoft.com/office/infopath/2007/PartnerControls"/>
    <ds:schemaRef ds:uri="dc7bcf37-5ad9-4feb-a6d9-7509e1159770"/>
    <ds:schemaRef ds:uri="eca8b8e7-e911-442b-8be0-9f74f4a7a067"/>
  </ds:schemaRefs>
</ds:datastoreItem>
</file>

<file path=customXml/itemProps2.xml><?xml version="1.0" encoding="utf-8"?>
<ds:datastoreItem xmlns:ds="http://schemas.openxmlformats.org/officeDocument/2006/customXml" ds:itemID="{9FC61301-667E-4711-AE97-C6CB9D57A924}">
  <ds:schemaRefs>
    <ds:schemaRef ds:uri="http://schemas.openxmlformats.org/officeDocument/2006/bibliography"/>
  </ds:schemaRefs>
</ds:datastoreItem>
</file>

<file path=customXml/itemProps3.xml><?xml version="1.0" encoding="utf-8"?>
<ds:datastoreItem xmlns:ds="http://schemas.openxmlformats.org/officeDocument/2006/customXml" ds:itemID="{A1695143-A553-4E94-BCD2-8826023E81B3}">
  <ds:schemaRefs>
    <ds:schemaRef ds:uri="http://schemas.microsoft.com/sharepoint/v3/contenttype/forms"/>
  </ds:schemaRefs>
</ds:datastoreItem>
</file>

<file path=customXml/itemProps4.xml><?xml version="1.0" encoding="utf-8"?>
<ds:datastoreItem xmlns:ds="http://schemas.openxmlformats.org/officeDocument/2006/customXml" ds:itemID="{B48AA88F-E34B-4C87-8E14-D6A886994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bcf37-5ad9-4feb-a6d9-7509e1159770"/>
    <ds:schemaRef ds:uri="eca8b8e7-e911-442b-8be0-9f74f4a7a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72 - Maritime Union of Australia (MUA) supplementary submission - Australia's Maritime Logistics System - Public inquiry</vt:lpstr>
    </vt:vector>
  </TitlesOfParts>
  <Company>Maritime Union of Australia (MUA)</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72 - Maritime Union of Australia (MUA) supplementary submission - Australia's Maritime Logistics System - Public inquiry</dc:title>
  <dc:subject/>
  <dc:creator>Maritime Union of Australia (MUA)</dc:creator>
  <cp:keywords/>
  <dc:description/>
  <cp:lastModifiedBy>Dobson, Bianca</cp:lastModifiedBy>
  <cp:revision>7</cp:revision>
  <dcterms:created xsi:type="dcterms:W3CDTF">2022-05-03T00:35:00Z</dcterms:created>
  <dcterms:modified xsi:type="dcterms:W3CDTF">2022-05-03T01:57:00Z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0x010100B62260156D2DF64FAC57C5811ACCE19A</vt:lpwstr>
  </property>
  <property fmtid="{D5CDD505-2E9C-101B-9397-08002B2CF9AE}" pid="3" name="RevIMBCS">
    <vt:lpwstr>1;#Unclassified|3955eeb1-2d18-4582-aeb2-00144ec3aaf5</vt:lpwstr>
  </property>
</Properties>
</file>