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F52A" w14:textId="1775B169" w:rsidR="009124CA" w:rsidRPr="00B53B82" w:rsidRDefault="00C44005" w:rsidP="00B53B82">
      <w:pPr>
        <w:pBdr>
          <w:bottom w:val="single" w:sz="4" w:space="1" w:color="auto"/>
        </w:pBdr>
        <w:rPr>
          <w:sz w:val="48"/>
          <w:szCs w:val="48"/>
          <w:lang w:val="en-AU"/>
        </w:rPr>
      </w:pPr>
      <w:r w:rsidRPr="00B53B82">
        <w:rPr>
          <w:sz w:val="48"/>
          <w:szCs w:val="48"/>
          <w:lang w:val="en-AU"/>
        </w:rPr>
        <w:t>Response to Interim Report on Review of</w:t>
      </w:r>
      <w:r w:rsidR="004063E0" w:rsidRPr="00B53B82">
        <w:rPr>
          <w:sz w:val="48"/>
          <w:szCs w:val="48"/>
          <w:lang w:val="en-AU"/>
        </w:rPr>
        <w:t xml:space="preserve"> the</w:t>
      </w:r>
      <w:r w:rsidRPr="00B53B82">
        <w:rPr>
          <w:sz w:val="48"/>
          <w:szCs w:val="48"/>
          <w:lang w:val="en-AU"/>
        </w:rPr>
        <w:t xml:space="preserve"> National School Reform Agreement</w:t>
      </w:r>
    </w:p>
    <w:p w14:paraId="1923C457" w14:textId="0C30041E" w:rsidR="004063E0" w:rsidRDefault="004063E0" w:rsidP="00C44005">
      <w:pPr>
        <w:rPr>
          <w:lang w:val="en-AU"/>
        </w:rPr>
      </w:pPr>
    </w:p>
    <w:p w14:paraId="291AA374" w14:textId="447A3084" w:rsidR="004063E0" w:rsidRPr="0074039D" w:rsidRDefault="000D2B05" w:rsidP="00C44005">
      <w:pPr>
        <w:rPr>
          <w:sz w:val="36"/>
          <w:szCs w:val="36"/>
        </w:rPr>
      </w:pPr>
      <w:r w:rsidRPr="0074039D">
        <w:rPr>
          <w:sz w:val="36"/>
          <w:szCs w:val="36"/>
        </w:rPr>
        <w:t>What’s Wrong?</w:t>
      </w:r>
    </w:p>
    <w:p w14:paraId="2AC271B7" w14:textId="4B73F100" w:rsidR="00B53B82" w:rsidRDefault="00A2144C" w:rsidP="00C44005">
      <w:r>
        <w:t>The central problem with Australian education is with outcomes for boys – whether one considers</w:t>
      </w:r>
      <w:r w:rsidR="0074039D">
        <w:t xml:space="preserve"> the matter</w:t>
      </w:r>
      <w:r>
        <w:t xml:space="preserve"> equality or just the impact on overall outcomes.</w:t>
      </w:r>
    </w:p>
    <w:p w14:paraId="11086C30" w14:textId="0B2B3945" w:rsidR="00A2144C" w:rsidRDefault="00A2144C" w:rsidP="00C44005"/>
    <w:p w14:paraId="1440B8A7" w14:textId="60B6CB3F" w:rsidR="00A2144C" w:rsidRDefault="00713701" w:rsidP="00C44005">
      <w:r>
        <w:t xml:space="preserve">In its current form, </w:t>
      </w:r>
      <w:r w:rsidR="00A2144C">
        <w:t>Chapte</w:t>
      </w:r>
      <w:r>
        <w:t xml:space="preserve">r 3 of the interim report is frankly bizarre – concerning itself with trivia while steadfastly ignoring the elephant in the room. I have no doubt that the authors are actually familiar with the state of things though they may prefer to cover it up. </w:t>
      </w:r>
      <w:r w:rsidR="0074039D">
        <w:t>But let me remind them of some of the issues:</w:t>
      </w:r>
    </w:p>
    <w:p w14:paraId="2B6400C7" w14:textId="156008BF" w:rsidR="0074039D" w:rsidRDefault="0074039D" w:rsidP="0074039D">
      <w:pPr>
        <w:pStyle w:val="ListParagraph"/>
        <w:numPr>
          <w:ilvl w:val="0"/>
          <w:numId w:val="1"/>
        </w:numPr>
      </w:pPr>
      <w:r w:rsidRPr="0074039D">
        <w:rPr>
          <w:b/>
          <w:bCs/>
        </w:rPr>
        <w:t>Retention</w:t>
      </w:r>
      <w:r>
        <w:t xml:space="preserve">: </w:t>
      </w:r>
      <w:r w:rsidRPr="0074039D">
        <w:t>In the early 1990s, participation rates for males &amp; females were equal.</w:t>
      </w:r>
      <w:r w:rsidR="00AA6AD7">
        <w:rPr>
          <w:rStyle w:val="FootnoteReference"/>
        </w:rPr>
        <w:footnoteReference w:id="1"/>
      </w:r>
      <w:r w:rsidR="00AA6AD7">
        <w:t xml:space="preserve"> </w:t>
      </w:r>
      <w:r w:rsidRPr="0074039D">
        <w:t>In 2020, for every 17yo girl not going to school, there were 1.5 boys.</w:t>
      </w:r>
      <w:r w:rsidR="00AA6AD7">
        <w:rPr>
          <w:rStyle w:val="FootnoteReference"/>
        </w:rPr>
        <w:footnoteReference w:id="2"/>
      </w:r>
      <w:r w:rsidRPr="0074039D">
        <w:t xml:space="preserve"> </w:t>
      </w:r>
    </w:p>
    <w:p w14:paraId="61D766BA" w14:textId="5CC3E9A9" w:rsidR="00B53B82" w:rsidRDefault="00AA6AD7" w:rsidP="00596D00">
      <w:pPr>
        <w:pStyle w:val="ListParagraph"/>
        <w:numPr>
          <w:ilvl w:val="0"/>
          <w:numId w:val="1"/>
        </w:numPr>
      </w:pPr>
      <w:r w:rsidRPr="00AA6AD7">
        <w:rPr>
          <w:b/>
          <w:bCs/>
        </w:rPr>
        <w:t>Suspensions</w:t>
      </w:r>
      <w:r w:rsidRPr="00AA6AD7">
        <w:t>:</w:t>
      </w:r>
      <w:r>
        <w:t xml:space="preserve"> </w:t>
      </w:r>
      <w:r w:rsidRPr="00AA6AD7">
        <w:t>In NSW, 2.6 boys are suspended for each girl. Astoundingly, there are a significant number of K-2 children suspended and the ratio there is 7.3 to 1!</w:t>
      </w:r>
      <w:r>
        <w:rPr>
          <w:rStyle w:val="FootnoteReference"/>
        </w:rPr>
        <w:footnoteReference w:id="3"/>
      </w:r>
    </w:p>
    <w:p w14:paraId="62E7DAA0" w14:textId="44DDBED4" w:rsidR="00AA6AD7" w:rsidRDefault="00AA6AD7" w:rsidP="00596D00">
      <w:pPr>
        <w:pStyle w:val="ListParagraph"/>
        <w:numPr>
          <w:ilvl w:val="0"/>
          <w:numId w:val="1"/>
        </w:numPr>
      </w:pPr>
      <w:r>
        <w:rPr>
          <w:b/>
          <w:bCs/>
        </w:rPr>
        <w:t>Expulsions</w:t>
      </w:r>
      <w:r w:rsidRPr="00AA6AD7">
        <w:t>:</w:t>
      </w:r>
      <w:r>
        <w:t xml:space="preserve"> </w:t>
      </w:r>
      <w:r w:rsidRPr="00AA6AD7">
        <w:t>In Victoria, 4.3 boys are expelled for each girl.</w:t>
      </w:r>
      <w:r>
        <w:rPr>
          <w:rStyle w:val="FootnoteReference"/>
        </w:rPr>
        <w:footnoteReference w:id="4"/>
      </w:r>
    </w:p>
    <w:p w14:paraId="1F3E6588" w14:textId="545B36BB" w:rsidR="00AC3DDB" w:rsidRDefault="00AC3DDB" w:rsidP="00AC3DDB">
      <w:pPr>
        <w:pStyle w:val="ListParagraph"/>
        <w:numPr>
          <w:ilvl w:val="0"/>
          <w:numId w:val="1"/>
        </w:numPr>
      </w:pPr>
      <w:r w:rsidRPr="00AC3DDB">
        <w:rPr>
          <w:b/>
          <w:bCs/>
        </w:rPr>
        <w:t>Schools failing boys</w:t>
      </w:r>
      <w:r>
        <w:t>: The following graph shows</w:t>
      </w:r>
      <w:r w:rsidR="00271DB0">
        <w:t xml:space="preserve"> the frequency with which schools fail to educate boys.</w:t>
      </w:r>
      <w:r w:rsidRPr="00AC3DDB">
        <w:rPr>
          <w:lang w:val="en-AU"/>
        </w:rPr>
        <w:t xml:space="preserve"> </w:t>
      </w:r>
      <w:bookmarkStart w:id="0" w:name="_Hlk114233254"/>
      <w:r>
        <w:t>It’s no better if we look at average results rather than those being left behind.</w:t>
      </w:r>
      <w:r w:rsidRPr="000E5738">
        <w:t xml:space="preserve"> </w:t>
      </w:r>
      <w:r>
        <w:t xml:space="preserve">In the </w:t>
      </w:r>
      <w:r w:rsidRPr="000E5738">
        <w:t xml:space="preserve">writing test, </w:t>
      </w:r>
      <w:r>
        <w:t>boys are</w:t>
      </w:r>
      <w:r w:rsidRPr="000E5738">
        <w:t xml:space="preserve"> 7.2 months </w:t>
      </w:r>
      <w:r>
        <w:t>behind girls</w:t>
      </w:r>
      <w:r w:rsidRPr="000E5738">
        <w:t xml:space="preserve"> in Year 3, 9.72 months in Year 5, 18.12 months in Year 7, and 20.52 months in Year 9</w:t>
      </w:r>
      <w:r>
        <w:t>. Almost 2 full years!</w:t>
      </w:r>
      <w:bookmarkEnd w:id="0"/>
    </w:p>
    <w:p w14:paraId="2FEA94BB" w14:textId="55588E91" w:rsidR="00AC3DDB" w:rsidRDefault="00AC3DDB" w:rsidP="00AC3DDB">
      <w:pPr>
        <w:pStyle w:val="ListParagraph"/>
      </w:pPr>
      <w:r>
        <w:rPr>
          <w:noProof/>
        </w:rPr>
        <w:drawing>
          <wp:inline distT="0" distB="0" distL="0" distR="0" wp14:anchorId="41623933" wp14:editId="70394246">
            <wp:extent cx="4800600" cy="2556510"/>
            <wp:effectExtent l="0" t="0" r="0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9EE3C2C-0E1E-4749-A835-9986C2769B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CD1A04" w14:textId="1833D0D5" w:rsidR="00AC3DDB" w:rsidRPr="00AC3DDB" w:rsidRDefault="00450C1E" w:rsidP="00AC3DDB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b/>
          <w:bCs/>
          <w:lang w:val="en-AU"/>
        </w:rPr>
        <w:lastRenderedPageBreak/>
        <w:t xml:space="preserve">Schools getting worse </w:t>
      </w:r>
      <w:r>
        <w:rPr>
          <w:lang w:val="en-AU"/>
        </w:rPr>
        <w:t xml:space="preserve">: </w:t>
      </w:r>
      <w:r w:rsidRPr="00450C1E">
        <w:rPr>
          <w:lang w:val="en-AU"/>
        </w:rPr>
        <w:t>NAPLAN</w:t>
      </w:r>
      <w:r>
        <w:rPr>
          <w:rStyle w:val="FootnoteReference"/>
          <w:lang w:val="en-AU"/>
        </w:rPr>
        <w:footnoteReference w:id="5"/>
      </w:r>
      <w:r w:rsidRPr="00450C1E">
        <w:rPr>
          <w:lang w:val="en-AU"/>
        </w:rPr>
        <w:t xml:space="preserve"> data shows how frequently schools are failing to educate children to minimum standards. The two graphs below show the ratio of boys not educated to minimum standards versus girls.</w:t>
      </w:r>
      <w:r>
        <w:rPr>
          <w:lang w:val="en-AU"/>
        </w:rPr>
        <w:t xml:space="preserve"> Interestingly numeracy started from a position of rough equality but has moved to increasing </w:t>
      </w:r>
      <w:r w:rsidR="006E7909">
        <w:rPr>
          <w:lang w:val="en-AU"/>
        </w:rPr>
        <w:t>bias</w:t>
      </w:r>
      <w:r>
        <w:rPr>
          <w:lang w:val="en-AU"/>
        </w:rPr>
        <w:t>. (See later discussion.)</w:t>
      </w:r>
    </w:p>
    <w:p w14:paraId="0E2D2D4A" w14:textId="77777777" w:rsidR="00450C1E" w:rsidRPr="00450C1E" w:rsidRDefault="00450C1E" w:rsidP="00450C1E">
      <w:pPr>
        <w:pStyle w:val="ListParagraph"/>
        <w:rPr>
          <w:lang w:val="en-AU"/>
        </w:rPr>
      </w:pPr>
      <w:r>
        <w:rPr>
          <w:noProof/>
        </w:rPr>
        <w:drawing>
          <wp:inline distT="0" distB="0" distL="0" distR="0" wp14:anchorId="762F1A5D" wp14:editId="0813619E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FF787960-F13E-4E5A-827B-18684E4931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804F4D" w14:textId="73E4D22C" w:rsidR="00AA6AD7" w:rsidRDefault="00450C1E" w:rsidP="00450C1E">
      <w:pPr>
        <w:pStyle w:val="ListParagraph"/>
      </w:pPr>
      <w:r>
        <w:rPr>
          <w:noProof/>
        </w:rPr>
        <w:drawing>
          <wp:inline distT="0" distB="0" distL="0" distR="0" wp14:anchorId="2C5FD36D" wp14:editId="733ED6BC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AF2FD242-AB5E-451B-8279-27671CD809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F4D8A69" w14:textId="25C9A149" w:rsidR="00AA6AD7" w:rsidRPr="00271DB0" w:rsidRDefault="00271DB0" w:rsidP="00271DB0">
      <w:pPr>
        <w:pStyle w:val="ListParagraph"/>
        <w:numPr>
          <w:ilvl w:val="0"/>
          <w:numId w:val="1"/>
        </w:numPr>
        <w:rPr>
          <w:lang w:val="en-AU"/>
        </w:rPr>
      </w:pPr>
      <w:r w:rsidRPr="00271DB0">
        <w:rPr>
          <w:b/>
          <w:bCs/>
        </w:rPr>
        <w:t>Schools failing to get boys into university:</w:t>
      </w:r>
      <w:r w:rsidRPr="00271DB0">
        <w:rPr>
          <w:lang w:val="en-AU"/>
        </w:rPr>
        <w:t xml:space="preserve"> In 1988 equal numbers of males and females were able to go to university.</w:t>
      </w:r>
      <w:r>
        <w:rPr>
          <w:rStyle w:val="FootnoteReference"/>
          <w:lang w:val="en-AU"/>
        </w:rPr>
        <w:footnoteReference w:id="6"/>
      </w:r>
      <w:r w:rsidRPr="00271DB0">
        <w:rPr>
          <w:lang w:val="en-AU"/>
        </w:rPr>
        <w:t xml:space="preserve"> </w:t>
      </w:r>
      <w:r>
        <w:rPr>
          <w:lang w:val="en-AU"/>
        </w:rPr>
        <w:t>In 2021</w:t>
      </w:r>
      <w:r w:rsidRPr="00271DB0">
        <w:rPr>
          <w:lang w:val="en-AU"/>
        </w:rPr>
        <w:t xml:space="preserve"> there </w:t>
      </w:r>
      <w:r>
        <w:rPr>
          <w:lang w:val="en-AU"/>
        </w:rPr>
        <w:t>we</w:t>
      </w:r>
      <w:r w:rsidRPr="00271DB0">
        <w:rPr>
          <w:lang w:val="en-AU"/>
        </w:rPr>
        <w:t>re 1.4 females for every male doing degree or graduate study</w:t>
      </w:r>
      <w:r>
        <w:rPr>
          <w:lang w:val="en-AU"/>
        </w:rPr>
        <w:t>.</w:t>
      </w:r>
      <w:r>
        <w:rPr>
          <w:rStyle w:val="FootnoteReference"/>
          <w:lang w:val="en-AU"/>
        </w:rPr>
        <w:footnoteReference w:id="7"/>
      </w:r>
    </w:p>
    <w:p w14:paraId="6A619B04" w14:textId="77777777" w:rsidR="00271DB0" w:rsidRDefault="00271DB0" w:rsidP="00AA6AD7"/>
    <w:p w14:paraId="23B8F95B" w14:textId="234246DF" w:rsidR="00B53B82" w:rsidRPr="0074039D" w:rsidRDefault="006E7909" w:rsidP="00F74C34">
      <w:pPr>
        <w:keepNext/>
        <w:rPr>
          <w:sz w:val="36"/>
          <w:szCs w:val="36"/>
        </w:rPr>
      </w:pPr>
      <w:r>
        <w:rPr>
          <w:sz w:val="36"/>
          <w:szCs w:val="36"/>
        </w:rPr>
        <w:lastRenderedPageBreak/>
        <w:t>What Causes This?</w:t>
      </w:r>
    </w:p>
    <w:p w14:paraId="315E405E" w14:textId="5381E408" w:rsidR="00F74C34" w:rsidRDefault="00823404" w:rsidP="00C44005">
      <w:r>
        <w:t>One thing that is clear</w:t>
      </w:r>
      <w:r w:rsidR="006E7909">
        <w:t>,</w:t>
      </w:r>
      <w:r>
        <w:t xml:space="preserve"> is that the different outcomes for boys &amp; girls </w:t>
      </w:r>
      <w:r w:rsidR="00F74C34">
        <w:t>don’t result from lower ability by boys.</w:t>
      </w:r>
      <w:r w:rsidR="00F74C34">
        <w:rPr>
          <w:rStyle w:val="FootnoteReference"/>
        </w:rPr>
        <w:footnoteReference w:id="8"/>
      </w:r>
      <w:r w:rsidR="00F74C34">
        <w:t xml:space="preserve"> They reflect a bias </w:t>
      </w:r>
      <w:r w:rsidR="006E7909">
        <w:t>by</w:t>
      </w:r>
      <w:r w:rsidR="00F74C34">
        <w:t xml:space="preserve"> schools against boys.</w:t>
      </w:r>
    </w:p>
    <w:p w14:paraId="54D75411" w14:textId="77777777" w:rsidR="00F74C34" w:rsidRDefault="00F74C34" w:rsidP="00C44005"/>
    <w:p w14:paraId="4D10EDE9" w14:textId="2E24DFEB" w:rsidR="006E7909" w:rsidRDefault="001A61AA" w:rsidP="00C44005">
      <w:r>
        <w:t>In part</w:t>
      </w:r>
      <w:r w:rsidR="002D3E6F">
        <w:t>,</w:t>
      </w:r>
      <w:r>
        <w:t xml:space="preserve"> the bias arises from what is often described as the feminisation of education – teaching methods, teaching environment</w:t>
      </w:r>
      <w:r w:rsidR="00176DEC">
        <w:rPr>
          <w:rStyle w:val="FootnoteReference"/>
        </w:rPr>
        <w:footnoteReference w:id="9"/>
      </w:r>
      <w:r>
        <w:t xml:space="preserve"> and assessment methods that </w:t>
      </w:r>
      <w:r w:rsidR="006E7909">
        <w:t>favour girls.</w:t>
      </w:r>
      <w:r>
        <w:t xml:space="preserve"> However</w:t>
      </w:r>
      <w:r w:rsidR="006E7909">
        <w:t>, in my view,</w:t>
      </w:r>
      <w:r>
        <w:t xml:space="preserve"> the most </w:t>
      </w:r>
      <w:r w:rsidR="006E7909">
        <w:t xml:space="preserve">troubling cause of </w:t>
      </w:r>
      <w:r w:rsidR="002D3E6F">
        <w:t>the bias is outright discrimination.</w:t>
      </w:r>
    </w:p>
    <w:p w14:paraId="73AD710A" w14:textId="5FD686D7" w:rsidR="002D3E6F" w:rsidRDefault="002D3E6F" w:rsidP="00C44005"/>
    <w:p w14:paraId="43FFC9D6" w14:textId="35C62CCC" w:rsidR="002D3E6F" w:rsidRDefault="002D3E6F" w:rsidP="00C44005">
      <w:r>
        <w:t>There is abundant research from around the world showing that teachers will score papers they believe came from a girl more highly than an equivalent paper they believe came from a boy.</w:t>
      </w:r>
      <w:r>
        <w:rPr>
          <w:rStyle w:val="FootnoteReference"/>
        </w:rPr>
        <w:footnoteReference w:id="10"/>
      </w:r>
      <w:r>
        <w:rPr>
          <w:rStyle w:val="FootnoteReference"/>
        </w:rPr>
        <w:footnoteReference w:id="11"/>
      </w:r>
      <w:r>
        <w:rPr>
          <w:rStyle w:val="FootnoteReference"/>
        </w:rPr>
        <w:footnoteReference w:id="12"/>
      </w:r>
      <w:r>
        <w:rPr>
          <w:rStyle w:val="FootnoteReference"/>
        </w:rPr>
        <w:footnoteReference w:id="13"/>
      </w:r>
      <w:r w:rsidR="002216DB">
        <w:rPr>
          <w:rStyle w:val="FootnoteReference"/>
        </w:rPr>
        <w:footnoteReference w:id="14"/>
      </w:r>
      <w:r w:rsidR="002216DB">
        <w:rPr>
          <w:rStyle w:val="FootnoteReference"/>
        </w:rPr>
        <w:footnoteReference w:id="15"/>
      </w:r>
      <w:r w:rsidR="002216DB">
        <w:rPr>
          <w:rStyle w:val="FootnoteReference"/>
        </w:rPr>
        <w:footnoteReference w:id="16"/>
      </w:r>
      <w:r>
        <w:t xml:space="preserve"> The fact that nothing is done in Australia to address this blatant discrimination suggests that it is, at a minimum, accepted if not </w:t>
      </w:r>
      <w:r w:rsidR="002216DB">
        <w:t xml:space="preserve">actually </w:t>
      </w:r>
      <w:r>
        <w:t>encouraged.</w:t>
      </w:r>
    </w:p>
    <w:p w14:paraId="09AE5860" w14:textId="09A89569" w:rsidR="00A2144C" w:rsidRDefault="00A2144C" w:rsidP="00C44005"/>
    <w:p w14:paraId="2378927F" w14:textId="557B4C8E" w:rsidR="00713701" w:rsidRPr="0074039D" w:rsidRDefault="00713701" w:rsidP="00C44005">
      <w:pPr>
        <w:rPr>
          <w:sz w:val="36"/>
          <w:szCs w:val="36"/>
        </w:rPr>
      </w:pPr>
      <w:r w:rsidRPr="0074039D">
        <w:rPr>
          <w:sz w:val="36"/>
          <w:szCs w:val="36"/>
        </w:rPr>
        <w:t>Summary</w:t>
      </w:r>
    </w:p>
    <w:p w14:paraId="6213FEFE" w14:textId="67E41923" w:rsidR="00713701" w:rsidRPr="00C44005" w:rsidRDefault="00176DEC" w:rsidP="00C44005">
      <w:r>
        <w:t>T</w:t>
      </w:r>
      <w:r w:rsidR="00713701">
        <w:t>his report is not a</w:t>
      </w:r>
      <w:r w:rsidR="00A661C7">
        <w:t xml:space="preserve"> sincere</w:t>
      </w:r>
      <w:r w:rsidR="00713701">
        <w:t xml:space="preserve"> attempt to address problems in education. Shame on you.</w:t>
      </w:r>
    </w:p>
    <w:sectPr w:rsidR="00713701" w:rsidRPr="00C44005" w:rsidSect="00036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8B27C" w14:textId="77777777" w:rsidR="00B15CAA" w:rsidRDefault="00B15CAA" w:rsidP="00AA6AD7">
      <w:pPr>
        <w:spacing w:after="0" w:line="240" w:lineRule="auto"/>
      </w:pPr>
      <w:r>
        <w:separator/>
      </w:r>
    </w:p>
  </w:endnote>
  <w:endnote w:type="continuationSeparator" w:id="0">
    <w:p w14:paraId="4425F3D4" w14:textId="77777777" w:rsidR="00B15CAA" w:rsidRDefault="00B15CAA" w:rsidP="00AA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B7A9" w14:textId="77777777" w:rsidR="00B15CAA" w:rsidRDefault="00B15CAA" w:rsidP="00AA6AD7">
      <w:pPr>
        <w:spacing w:after="0" w:line="240" w:lineRule="auto"/>
      </w:pPr>
      <w:r>
        <w:separator/>
      </w:r>
    </w:p>
  </w:footnote>
  <w:footnote w:type="continuationSeparator" w:id="0">
    <w:p w14:paraId="3174F78B" w14:textId="77777777" w:rsidR="00B15CAA" w:rsidRDefault="00B15CAA" w:rsidP="00AA6AD7">
      <w:pPr>
        <w:spacing w:after="0" w:line="240" w:lineRule="auto"/>
      </w:pPr>
      <w:r>
        <w:continuationSeparator/>
      </w:r>
    </w:p>
  </w:footnote>
  <w:footnote w:id="1">
    <w:p w14:paraId="2765E7AE" w14:textId="09157515" w:rsidR="00AA6AD7" w:rsidRPr="00AA6AD7" w:rsidRDefault="00AA6AD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hyperlink r:id="rId1" w:history="1">
        <w:r w:rsidRPr="00F35360">
          <w:rPr>
            <w:rStyle w:val="Hyperlink"/>
          </w:rPr>
          <w:t>https://www.abs.gov.au/ausstats/abs@.nsf/2f762f95845417aeca25706c00834efa/c2a1e1b677d4ae81ca2570ec00195177!OpenDocument</w:t>
        </w:r>
      </w:hyperlink>
      <w:r>
        <w:t xml:space="preserve"> </w:t>
      </w:r>
    </w:p>
  </w:footnote>
  <w:footnote w:id="2">
    <w:p w14:paraId="5B8E0E6F" w14:textId="444D4710" w:rsidR="00AA6AD7" w:rsidRPr="00AA6AD7" w:rsidRDefault="00AA6AD7" w:rsidP="00AA6AD7">
      <w:pPr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AA6AD7">
        <w:rPr>
          <w:sz w:val="20"/>
          <w:szCs w:val="20"/>
          <w:lang w:val="en-AU"/>
        </w:rPr>
        <w:t xml:space="preserve">Table 66a </w:t>
      </w:r>
      <w:hyperlink r:id="rId2" w:anchor="data-download" w:history="1">
        <w:r w:rsidRPr="00AA6AD7">
          <w:rPr>
            <w:rStyle w:val="Hyperlink"/>
            <w:sz w:val="20"/>
            <w:szCs w:val="20"/>
            <w:lang w:val="en-AU"/>
          </w:rPr>
          <w:t>https://www.abs.gov.au/statistics/people/education/schools/latest-release#data-download</w:t>
        </w:r>
      </w:hyperlink>
    </w:p>
  </w:footnote>
  <w:footnote w:id="3">
    <w:p w14:paraId="386349CC" w14:textId="6A79326D" w:rsidR="00AA6AD7" w:rsidRPr="00AA6AD7" w:rsidRDefault="00AA6AD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B13483">
          <w:rPr>
            <w:rStyle w:val="Hyperlink"/>
            <w:lang w:val="en-AU"/>
          </w:rPr>
          <w:t>https://data.cese.nsw.gov.au/data/dataset/c0a90a6f-2509-45c5-ba77-cf5b00350043/resource/7d039678-7527-4744-93a5-e162aa74de11/download/2021_suspension-and-expulsion-factsheet_vr_v2_aa.pdf</w:t>
        </w:r>
      </w:hyperlink>
      <w:r>
        <w:rPr>
          <w:rStyle w:val="Hyperlink"/>
          <w:lang w:val="en-AU"/>
        </w:rPr>
        <w:t xml:space="preserve"> </w:t>
      </w:r>
    </w:p>
  </w:footnote>
  <w:footnote w:id="4">
    <w:p w14:paraId="78B3F50F" w14:textId="5C98404E" w:rsidR="00AA6AD7" w:rsidRPr="00AA6AD7" w:rsidRDefault="00AA6AD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B13483">
          <w:rPr>
            <w:rStyle w:val="Hyperlink"/>
            <w:lang w:val="en-AU"/>
          </w:rPr>
          <w:t>https://www.theage.com.au/politics/victoria/school-expulsion-rates-plunge-after-students-gain-new-power-to-appeal-20200819-p55n8l.html</w:t>
        </w:r>
      </w:hyperlink>
      <w:r>
        <w:rPr>
          <w:rStyle w:val="Hyperlink"/>
          <w:lang w:val="en-AU"/>
        </w:rPr>
        <w:t xml:space="preserve"> </w:t>
      </w:r>
    </w:p>
  </w:footnote>
  <w:footnote w:id="5">
    <w:p w14:paraId="65A23E20" w14:textId="6BA0BB78" w:rsidR="00450C1E" w:rsidRPr="00450C1E" w:rsidRDefault="00450C1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F35360">
          <w:rPr>
            <w:rStyle w:val="Hyperlink"/>
          </w:rPr>
          <w:t>https://readwritethinklearn.com/blog/naplan-2021-results/</w:t>
        </w:r>
      </w:hyperlink>
      <w:r>
        <w:t xml:space="preserve"> </w:t>
      </w:r>
    </w:p>
  </w:footnote>
  <w:footnote w:id="6">
    <w:p w14:paraId="1BBE4812" w14:textId="4DAEEC80" w:rsidR="00271DB0" w:rsidRPr="00271DB0" w:rsidRDefault="00271DB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hyperlink r:id="rId6" w:history="1">
        <w:r w:rsidRPr="00F35360">
          <w:rPr>
            <w:rStyle w:val="Hyperlink"/>
            <w:lang w:val="en-AU"/>
          </w:rPr>
          <w:t>https://www.abs.gov.au/ausstats/abs@.nsf/2f762f95845417aeca25706c00834efa/c2a1e1b677d4ae81ca2570ec00195177!OpenDocument</w:t>
        </w:r>
      </w:hyperlink>
      <w:r>
        <w:rPr>
          <w:rStyle w:val="Hyperlink"/>
          <w:lang w:val="en-AU"/>
        </w:rPr>
        <w:t xml:space="preserve"> </w:t>
      </w:r>
    </w:p>
  </w:footnote>
  <w:footnote w:id="7">
    <w:p w14:paraId="7B8081BF" w14:textId="26E03058" w:rsidR="00271DB0" w:rsidRPr="00271DB0" w:rsidRDefault="00271DB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71DB0">
        <w:t xml:space="preserve">Table 4 </w:t>
      </w:r>
      <w:hyperlink r:id="rId7" w:anchor="data-download" w:history="1">
        <w:r w:rsidRPr="00F35360">
          <w:rPr>
            <w:rStyle w:val="Hyperlink"/>
          </w:rPr>
          <w:t>https://www.abs.gov.au/statistics/people/education/schools/latest-release#data-download</w:t>
        </w:r>
      </w:hyperlink>
      <w:r>
        <w:t xml:space="preserve"> </w:t>
      </w:r>
    </w:p>
  </w:footnote>
  <w:footnote w:id="8">
    <w:p w14:paraId="6364B8DD" w14:textId="6F4484BC" w:rsidR="00F74C34" w:rsidRPr="00F74C34" w:rsidRDefault="00F74C3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hyperlink r:id="rId8" w:history="1">
        <w:r w:rsidR="002216DB" w:rsidRPr="00F35360">
          <w:rPr>
            <w:rStyle w:val="Hyperlink"/>
          </w:rPr>
          <w:t>https://www.education.vic.gov.au/Documents/school/principals/transition/GenderPerformance.pdf?Redirect=5</w:t>
        </w:r>
      </w:hyperlink>
      <w:r w:rsidR="002216DB">
        <w:t xml:space="preserve"> </w:t>
      </w:r>
    </w:p>
  </w:footnote>
  <w:footnote w:id="9">
    <w:p w14:paraId="57AF1269" w14:textId="77777777" w:rsidR="00176DEC" w:rsidRPr="002216DB" w:rsidRDefault="00176DEC" w:rsidP="00176DE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F35360">
          <w:rPr>
            <w:rStyle w:val="Hyperlink"/>
          </w:rPr>
          <w:t>https://9now.nine.com.au/a-current-affair/highschool-boys-allegedly-forced-into-rape-apology-on-behalf-of-gender-speak-out/c0ee6859-9f0b-49f8-8141-1ed68d65af8f</w:t>
        </w:r>
      </w:hyperlink>
      <w:r>
        <w:t xml:space="preserve"> </w:t>
      </w:r>
    </w:p>
  </w:footnote>
  <w:footnote w:id="10">
    <w:p w14:paraId="0C0DE18B" w14:textId="2B62D87C" w:rsidR="002D3E6F" w:rsidRPr="002D3E6F" w:rsidRDefault="002D3E6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566D4C">
          <w:rPr>
            <w:rStyle w:val="Hyperlink"/>
            <w:lang w:val="en-AU"/>
          </w:rPr>
          <w:t>https://www.economist.com/international/2015/03/07/the-weaker-sex</w:t>
        </w:r>
      </w:hyperlink>
      <w:r>
        <w:rPr>
          <w:rStyle w:val="Hyperlink"/>
          <w:lang w:val="en-AU"/>
        </w:rPr>
        <w:t xml:space="preserve"> </w:t>
      </w:r>
    </w:p>
  </w:footnote>
  <w:footnote w:id="11">
    <w:p w14:paraId="3BC0B826" w14:textId="360539FA" w:rsidR="002D3E6F" w:rsidRPr="002D3E6F" w:rsidRDefault="002D3E6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1" w:history="1">
        <w:r w:rsidRPr="00F35360">
          <w:rPr>
            <w:rStyle w:val="Hyperlink"/>
            <w:lang w:val="en-AU"/>
          </w:rPr>
          <w:t>https://www.bbc.com/news/education-31751672</w:t>
        </w:r>
      </w:hyperlink>
    </w:p>
  </w:footnote>
  <w:footnote w:id="12">
    <w:p w14:paraId="154D185F" w14:textId="57F1D6D2" w:rsidR="002D3E6F" w:rsidRPr="002D3E6F" w:rsidRDefault="002D3E6F" w:rsidP="002D3E6F">
      <w:pPr>
        <w:rPr>
          <w:sz w:val="20"/>
          <w:szCs w:val="20"/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2" w:history="1">
        <w:r w:rsidRPr="002D3E6F">
          <w:rPr>
            <w:rStyle w:val="Hyperlink"/>
            <w:sz w:val="20"/>
            <w:szCs w:val="20"/>
            <w:lang w:val="en-AU"/>
          </w:rPr>
          <w:t>https://www.sciencedirect.com/science/article/abs/pii/S1041608020301151?via%3Dihub</w:t>
        </w:r>
      </w:hyperlink>
      <w:r w:rsidRPr="002D3E6F">
        <w:rPr>
          <w:sz w:val="20"/>
          <w:szCs w:val="20"/>
          <w:lang w:val="en-AU"/>
        </w:rPr>
        <w:t xml:space="preserve"> </w:t>
      </w:r>
    </w:p>
  </w:footnote>
  <w:footnote w:id="13">
    <w:p w14:paraId="4C38AEDD" w14:textId="1294223A" w:rsidR="002D3E6F" w:rsidRPr="002D3E6F" w:rsidRDefault="002D3E6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3" w:history="1">
        <w:r w:rsidRPr="002D3E6F">
          <w:rPr>
            <w:rStyle w:val="Hyperlink"/>
            <w:lang w:val="en-AU"/>
          </w:rPr>
          <w:t>https://cep.lse.ac.uk/pubs/download/dp1341.pdf</w:t>
        </w:r>
      </w:hyperlink>
      <w:r>
        <w:rPr>
          <w:rStyle w:val="Hyperlink"/>
          <w:lang w:val="en-AU"/>
        </w:rPr>
        <w:t xml:space="preserve"> </w:t>
      </w:r>
    </w:p>
  </w:footnote>
  <w:footnote w:id="14">
    <w:p w14:paraId="7D90A203" w14:textId="68F66573" w:rsidR="002216DB" w:rsidRPr="002216DB" w:rsidRDefault="002216D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4" w:history="1">
        <w:r w:rsidRPr="00F35360">
          <w:rPr>
            <w:rStyle w:val="Hyperlink"/>
          </w:rPr>
          <w:t>https://www.lifesitenews.com/news/eliminating-feminist-teacher-bias-erases-boys-falling-grades-study-finds/</w:t>
        </w:r>
      </w:hyperlink>
      <w:r>
        <w:t xml:space="preserve"> </w:t>
      </w:r>
    </w:p>
  </w:footnote>
  <w:footnote w:id="15">
    <w:p w14:paraId="7F1B83C8" w14:textId="32F898C5" w:rsidR="002216DB" w:rsidRPr="002216DB" w:rsidRDefault="002216D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5" w:history="1">
        <w:r w:rsidRPr="00963742">
          <w:rPr>
            <w:rStyle w:val="Hyperlink"/>
            <w:lang w:val="en-AU"/>
          </w:rPr>
          <w:t>https://mitili.mit.edu/sites/default/files/project-documents/SEII-Discussion-Paper-2016.07-Terrier.pdf</w:t>
        </w:r>
      </w:hyperlink>
      <w:r>
        <w:rPr>
          <w:rStyle w:val="Hyperlink"/>
          <w:lang w:val="en-AU"/>
        </w:rPr>
        <w:t xml:space="preserve"> </w:t>
      </w:r>
    </w:p>
  </w:footnote>
  <w:footnote w:id="16">
    <w:p w14:paraId="5563D68C" w14:textId="4FA18564" w:rsidR="002216DB" w:rsidRPr="002216DB" w:rsidRDefault="002216D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6" w:history="1">
        <w:r w:rsidRPr="00963742">
          <w:rPr>
            <w:rStyle w:val="Hyperlink"/>
            <w:lang w:val="en-AU"/>
          </w:rPr>
          <w:t>https://2014.economicsofeducation.com/user/pdfsesiones/166.pdf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554B1"/>
    <w:multiLevelType w:val="hybridMultilevel"/>
    <w:tmpl w:val="FC74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4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05"/>
    <w:rsid w:val="000364C7"/>
    <w:rsid w:val="000D2B05"/>
    <w:rsid w:val="00176DEC"/>
    <w:rsid w:val="00186B1F"/>
    <w:rsid w:val="001A61AA"/>
    <w:rsid w:val="002216DB"/>
    <w:rsid w:val="00271DB0"/>
    <w:rsid w:val="002D3E6F"/>
    <w:rsid w:val="004063E0"/>
    <w:rsid w:val="00450C1E"/>
    <w:rsid w:val="005E3E12"/>
    <w:rsid w:val="00690EBD"/>
    <w:rsid w:val="006E7909"/>
    <w:rsid w:val="00713701"/>
    <w:rsid w:val="0074039D"/>
    <w:rsid w:val="00823404"/>
    <w:rsid w:val="009124CA"/>
    <w:rsid w:val="00A2144C"/>
    <w:rsid w:val="00A661C7"/>
    <w:rsid w:val="00AA6AD7"/>
    <w:rsid w:val="00AC3DDB"/>
    <w:rsid w:val="00B15CAA"/>
    <w:rsid w:val="00B53B82"/>
    <w:rsid w:val="00C44005"/>
    <w:rsid w:val="00E80D52"/>
    <w:rsid w:val="00F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7EC5"/>
  <w15:chartTrackingRefBased/>
  <w15:docId w15:val="{05033B86-C4A0-4AFD-9DF3-0076F1D5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1F"/>
    <w:pPr>
      <w:spacing w:after="4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B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03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6A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A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6A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A6A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vic.gov.au/Documents/school/principals/transition/GenderPerformance.pdf?Redirect=5" TargetMode="External"/><Relationship Id="rId13" Type="http://schemas.openxmlformats.org/officeDocument/2006/relationships/hyperlink" Target="https://cep.lse.ac.uk/pubs/download/dp1341.pdf" TargetMode="External"/><Relationship Id="rId3" Type="http://schemas.openxmlformats.org/officeDocument/2006/relationships/hyperlink" Target="https://data.cese.nsw.gov.au/data/dataset/c0a90a6f-2509-45c5-ba77-cf5b00350043/resource/7d039678-7527-4744-93a5-e162aa74de11/download/2021_suspension-and-expulsion-factsheet_vr_v2_aa.pdf" TargetMode="External"/><Relationship Id="rId7" Type="http://schemas.openxmlformats.org/officeDocument/2006/relationships/hyperlink" Target="https://www.abs.gov.au/statistics/people/education/schools/latest-release" TargetMode="External"/><Relationship Id="rId12" Type="http://schemas.openxmlformats.org/officeDocument/2006/relationships/hyperlink" Target="https://www.sciencedirect.com/science/article/abs/pii/S1041608020301151?via%3Dihub" TargetMode="External"/><Relationship Id="rId2" Type="http://schemas.openxmlformats.org/officeDocument/2006/relationships/hyperlink" Target="https://www.abs.gov.au/statistics/people/education/schools/latest-release" TargetMode="External"/><Relationship Id="rId16" Type="http://schemas.openxmlformats.org/officeDocument/2006/relationships/hyperlink" Target="https://2014.economicsofeducation.com/user/pdfsesiones/166.pdf" TargetMode="External"/><Relationship Id="rId1" Type="http://schemas.openxmlformats.org/officeDocument/2006/relationships/hyperlink" Target="https://www.abs.gov.au/ausstats/abs@.nsf/2f762f95845417aeca25706c00834efa/c2a1e1b677d4ae81ca2570ec00195177!OpenDocument" TargetMode="External"/><Relationship Id="rId6" Type="http://schemas.openxmlformats.org/officeDocument/2006/relationships/hyperlink" Target="https://www.abs.gov.au/ausstats/abs@.nsf/2f762f95845417aeca25706c00834efa/c2a1e1b677d4ae81ca2570ec00195177!OpenDocument" TargetMode="External"/><Relationship Id="rId11" Type="http://schemas.openxmlformats.org/officeDocument/2006/relationships/hyperlink" Target="https://www.bbc.com/news/education-31751672" TargetMode="External"/><Relationship Id="rId5" Type="http://schemas.openxmlformats.org/officeDocument/2006/relationships/hyperlink" Target="https://readwritethinklearn.com/blog/naplan-2021-results/" TargetMode="External"/><Relationship Id="rId15" Type="http://schemas.openxmlformats.org/officeDocument/2006/relationships/hyperlink" Target="https://mitili.mit.edu/sites/default/files/project-documents/SEII-Discussion-Paper-2016.07-Terrier.pdf" TargetMode="External"/><Relationship Id="rId10" Type="http://schemas.openxmlformats.org/officeDocument/2006/relationships/hyperlink" Target="https://www.economist.com/international/2015/03/07/the-weaker-sex" TargetMode="External"/><Relationship Id="rId4" Type="http://schemas.openxmlformats.org/officeDocument/2006/relationships/hyperlink" Target="https://www.theage.com.au/politics/victoria/school-expulsion-rates-plunge-after-students-gain-new-power-to-appeal-20200819-p55n8l.html" TargetMode="External"/><Relationship Id="rId9" Type="http://schemas.openxmlformats.org/officeDocument/2006/relationships/hyperlink" Target="https://9now.nine.com.au/a-current-affair/highschool-boys-allegedly-forced-into-rape-apology-on-behalf-of-gender-speak-out/c0ee6859-9f0b-49f8-8141-1ed68d65af8f" TargetMode="External"/><Relationship Id="rId14" Type="http://schemas.openxmlformats.org/officeDocument/2006/relationships/hyperlink" Target="https://www.lifesitenews.com/news/eliminating-feminist-teacher-bias-erases-boys-falling-grades-study-finds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_e_f\Desktop\Projects\BA%20Projects\Boys%20Ed\Scores\NAPLA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_e_f\Desktop\Projects\BA%20Projects\Boys%20Ed\Scores\NAPLA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_e_f\Desktop\Projects\BA%20Projects\Boys%20Ed\Scores\NAPLAN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Year 7: Ratio </a:t>
            </a:r>
            <a:r>
              <a:rPr lang="en-GB" sz="1200" b="0" i="0" u="none" strike="noStrike" baseline="0">
                <a:effectLst/>
              </a:rPr>
              <a:t>of Boys to Girls below Minimum standard</a:t>
            </a:r>
            <a:endParaRPr lang="en-GB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552559055118111"/>
          <c:y val="0.23272860266535236"/>
          <c:w val="0.80809951881014874"/>
          <c:h val="0.638214031830135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'Year 7'!$A$6</c:f>
              <c:strCache>
                <c:ptCount val="1"/>
                <c:pt idx="0">
                  <c:v>Ratio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'Year 7'!$B$5:$F$5</c:f>
              <c:strCache>
                <c:ptCount val="5"/>
                <c:pt idx="0">
                  <c:v>Reading</c:v>
                </c:pt>
                <c:pt idx="1">
                  <c:v>Writing</c:v>
                </c:pt>
                <c:pt idx="2">
                  <c:v>Spelling</c:v>
                </c:pt>
                <c:pt idx="3">
                  <c:v>Grammar</c:v>
                </c:pt>
                <c:pt idx="4">
                  <c:v>Numeracy</c:v>
                </c:pt>
              </c:strCache>
            </c:strRef>
          </c:cat>
          <c:val>
            <c:numRef>
              <c:f>'Year 7'!$B$6:$F$6</c:f>
              <c:numCache>
                <c:formatCode>General</c:formatCode>
                <c:ptCount val="5"/>
                <c:pt idx="0">
                  <c:v>1.9523809523809517</c:v>
                </c:pt>
                <c:pt idx="1">
                  <c:v>2.2741935483870948</c:v>
                </c:pt>
                <c:pt idx="2">
                  <c:v>1.9756097560975623</c:v>
                </c:pt>
                <c:pt idx="3">
                  <c:v>1.9130434782608683</c:v>
                </c:pt>
                <c:pt idx="4">
                  <c:v>1.2096774193548381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A8-41AB-BFFB-49CF872F2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60113215"/>
        <c:axId val="960111967"/>
      </c:barChart>
      <c:catAx>
        <c:axId val="96011321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0111967"/>
        <c:crosses val="autoZero"/>
        <c:auto val="1"/>
        <c:lblAlgn val="ctr"/>
        <c:lblOffset val="100"/>
        <c:noMultiLvlLbl val="0"/>
      </c:catAx>
      <c:valAx>
        <c:axId val="960111967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0113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Reading:</a:t>
            </a:r>
            <a:r>
              <a:rPr lang="en-GB" sz="1200" baseline="0"/>
              <a:t> </a:t>
            </a:r>
            <a:r>
              <a:rPr lang="en-GB" sz="1200"/>
              <a:t>Ratio of Boys to Girls below Minimum standard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Reading!$B$12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Reading!$A$13:$A$16</c:f>
              <c:strCache>
                <c:ptCount val="4"/>
                <c:pt idx="0">
                  <c:v>Year 3</c:v>
                </c:pt>
                <c:pt idx="1">
                  <c:v>Year 5</c:v>
                </c:pt>
                <c:pt idx="2">
                  <c:v>Year 7</c:v>
                </c:pt>
                <c:pt idx="3">
                  <c:v>Year 9</c:v>
                </c:pt>
              </c:strCache>
            </c:strRef>
          </c:cat>
          <c:val>
            <c:numRef>
              <c:f>Reading!$B$13:$B$16</c:f>
              <c:numCache>
                <c:formatCode>General</c:formatCode>
                <c:ptCount val="4"/>
                <c:pt idx="0">
                  <c:v>1.6440677966101684</c:v>
                </c:pt>
                <c:pt idx="1">
                  <c:v>1.4861111111111109</c:v>
                </c:pt>
                <c:pt idx="2">
                  <c:v>1.6363636363636349</c:v>
                </c:pt>
                <c:pt idx="3">
                  <c:v>1.5178571428571443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36-46BA-AD19-C31E195A81B6}"/>
            </c:ext>
          </c:extLst>
        </c:ser>
        <c:ser>
          <c:idx val="1"/>
          <c:order val="1"/>
          <c:tx>
            <c:strRef>
              <c:f>Reading!$C$12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Reading!$A$13:$A$16</c:f>
              <c:strCache>
                <c:ptCount val="4"/>
                <c:pt idx="0">
                  <c:v>Year 3</c:v>
                </c:pt>
                <c:pt idx="1">
                  <c:v>Year 5</c:v>
                </c:pt>
                <c:pt idx="2">
                  <c:v>Year 7</c:v>
                </c:pt>
                <c:pt idx="3">
                  <c:v>Year 9</c:v>
                </c:pt>
              </c:strCache>
            </c:strRef>
          </c:cat>
          <c:val>
            <c:numRef>
              <c:f>Reading!$C$13:$C$16</c:f>
              <c:numCache>
                <c:formatCode>General</c:formatCode>
                <c:ptCount val="4"/>
                <c:pt idx="0">
                  <c:v>1.8928571428571437</c:v>
                </c:pt>
                <c:pt idx="1">
                  <c:v>1.882352941176469</c:v>
                </c:pt>
                <c:pt idx="2">
                  <c:v>1.9523809523809517</c:v>
                </c:pt>
                <c:pt idx="3">
                  <c:v>1.7567567567567555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36-46BA-AD19-C31E195A81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64879119"/>
        <c:axId val="1064880367"/>
      </c:barChart>
      <c:catAx>
        <c:axId val="106487911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4880367"/>
        <c:crosses val="autoZero"/>
        <c:auto val="1"/>
        <c:lblAlgn val="ctr"/>
        <c:lblOffset val="100"/>
        <c:noMultiLvlLbl val="0"/>
      </c:catAx>
      <c:valAx>
        <c:axId val="1064880367"/>
        <c:scaling>
          <c:orientation val="minMax"/>
          <c:max val="2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48791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624496937882763"/>
          <c:y val="0.87557815689705432"/>
          <c:w val="0.1875100612423447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/>
              <a:t>Numeracy: Ratio of Boys to Girls below Minimum standard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Numeracy!$B$12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Numeracy!$A$13:$A$16</c:f>
              <c:strCache>
                <c:ptCount val="4"/>
                <c:pt idx="0">
                  <c:v>Year 3</c:v>
                </c:pt>
                <c:pt idx="1">
                  <c:v>Year 5</c:v>
                </c:pt>
                <c:pt idx="2">
                  <c:v>Year 7</c:v>
                </c:pt>
                <c:pt idx="3">
                  <c:v>Year 9</c:v>
                </c:pt>
              </c:strCache>
            </c:strRef>
          </c:cat>
          <c:val>
            <c:numRef>
              <c:f>Numeracy!$B$13:$B$16</c:f>
              <c:numCache>
                <c:formatCode>General</c:formatCode>
                <c:ptCount val="4"/>
                <c:pt idx="0">
                  <c:v>1.2000000000000013</c:v>
                </c:pt>
                <c:pt idx="1">
                  <c:v>0.96000000000000041</c:v>
                </c:pt>
                <c:pt idx="2">
                  <c:v>0.97872340425531734</c:v>
                </c:pt>
                <c:pt idx="3">
                  <c:v>0.98437499999999867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C8-4AE6-BAB5-404743E112DD}"/>
            </c:ext>
          </c:extLst>
        </c:ser>
        <c:ser>
          <c:idx val="1"/>
          <c:order val="1"/>
          <c:tx>
            <c:strRef>
              <c:f>Numeracy!$C$12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Numeracy!$A$13:$A$16</c:f>
              <c:strCache>
                <c:ptCount val="4"/>
                <c:pt idx="0">
                  <c:v>Year 3</c:v>
                </c:pt>
                <c:pt idx="1">
                  <c:v>Year 5</c:v>
                </c:pt>
                <c:pt idx="2">
                  <c:v>Year 7</c:v>
                </c:pt>
                <c:pt idx="3">
                  <c:v>Year 9</c:v>
                </c:pt>
              </c:strCache>
            </c:strRef>
          </c:cat>
          <c:val>
            <c:numRef>
              <c:f>Numeracy!$C$13:$C$16</c:f>
              <c:numCache>
                <c:formatCode>General</c:formatCode>
                <c:ptCount val="4"/>
                <c:pt idx="0">
                  <c:v>1.219512195121953</c:v>
                </c:pt>
                <c:pt idx="1">
                  <c:v>1.1276595744680837</c:v>
                </c:pt>
                <c:pt idx="2">
                  <c:v>1.2096774193548381</c:v>
                </c:pt>
                <c:pt idx="3">
                  <c:v>1.2553191489361706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C8-4AE6-BAB5-404743E112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64879119"/>
        <c:axId val="1064880367"/>
      </c:barChart>
      <c:catAx>
        <c:axId val="106487911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4880367"/>
        <c:crosses val="autoZero"/>
        <c:auto val="1"/>
        <c:lblAlgn val="ctr"/>
        <c:lblOffset val="100"/>
        <c:noMultiLvlLbl val="0"/>
      </c:catAx>
      <c:valAx>
        <c:axId val="1064880367"/>
        <c:scaling>
          <c:orientation val="minMax"/>
          <c:max val="2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48791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624496937882763"/>
          <c:y val="0.87557815689705432"/>
          <c:w val="0.1875100612423447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0.42389</cdr:x>
      <cdr:y>0.9082</cdr:y>
    </cdr:from>
    <cdr:to>
      <cdr:x>0.51389</cdr:x>
      <cdr:y>0.97139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4F6E6847-12E8-41B8-A5AC-7B90C0DA34E3}"/>
            </a:ext>
          </a:extLst>
        </cdr:cNvPr>
        <cdr:cNvSpPr txBox="1"/>
      </cdr:nvSpPr>
      <cdr:spPr>
        <a:xfrm xmlns:a="http://schemas.openxmlformats.org/drawingml/2006/main">
          <a:off x="1938020" y="2337971"/>
          <a:ext cx="411480" cy="162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/>
            <a:t>Equal</a:t>
          </a:r>
        </a:p>
      </cdr:txBody>
    </cdr:sp>
  </cdr:relSizeAnchor>
  <cdr:relSizeAnchor xmlns:cdr="http://schemas.openxmlformats.org/drawingml/2006/chartDrawing">
    <cdr:from>
      <cdr:x>0.66806</cdr:x>
      <cdr:y>0.91169</cdr:y>
    </cdr:from>
    <cdr:to>
      <cdr:x>0.82806</cdr:x>
      <cdr:y>1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8E990FA5-0918-4DC6-B33A-BF392E28A68F}"/>
            </a:ext>
          </a:extLst>
        </cdr:cNvPr>
        <cdr:cNvSpPr txBox="1"/>
      </cdr:nvSpPr>
      <cdr:spPr>
        <a:xfrm xmlns:a="http://schemas.openxmlformats.org/drawingml/2006/main">
          <a:off x="3054350" y="2346961"/>
          <a:ext cx="731520" cy="2273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/>
            <a:t>Boys Disadvantaged</a:t>
          </a:r>
        </a:p>
      </cdr:txBody>
    </cdr:sp>
  </cdr:relSizeAnchor>
  <cdr:relSizeAnchor xmlns:cdr="http://schemas.openxmlformats.org/drawingml/2006/chartDrawing">
    <cdr:from>
      <cdr:x>0.14056</cdr:x>
      <cdr:y>0.88012</cdr:y>
    </cdr:from>
    <cdr:to>
      <cdr:x>0.79194</cdr:x>
      <cdr:y>0.90627</cdr:y>
    </cdr:to>
    <cdr:sp macro="" textlink="">
      <cdr:nvSpPr>
        <cdr:cNvPr id="6" name="Arrow: Left-Right 5">
          <a:extLst xmlns:a="http://schemas.openxmlformats.org/drawingml/2006/main">
            <a:ext uri="{FF2B5EF4-FFF2-40B4-BE49-F238E27FC236}">
              <a16:creationId xmlns:a16="http://schemas.microsoft.com/office/drawing/2014/main" id="{D9787EDE-9E6B-43D7-97E2-8ABADF85B106}"/>
            </a:ext>
          </a:extLst>
        </cdr:cNvPr>
        <cdr:cNvSpPr/>
      </cdr:nvSpPr>
      <cdr:spPr>
        <a:xfrm xmlns:a="http://schemas.openxmlformats.org/drawingml/2006/main">
          <a:off x="642620" y="2265680"/>
          <a:ext cx="2978150" cy="67310"/>
        </a:xfrm>
        <a:prstGeom xmlns:a="http://schemas.openxmlformats.org/drawingml/2006/main" prst="leftRightArrow">
          <a:avLst/>
        </a:prstGeom>
        <a:gradFill xmlns:a="http://schemas.openxmlformats.org/drawingml/2006/main" flip="none" rotWithShape="1">
          <a:gsLst>
            <a:gs pos="0">
              <a:schemeClr val="bg1"/>
            </a:gs>
            <a:gs pos="100000">
              <a:srgbClr val="C00000"/>
            </a:gs>
          </a:gsLst>
          <a:path path="circle">
            <a:fillToRect l="50000" t="50000" r="50000" b="50000"/>
          </a:path>
          <a:tileRect/>
        </a:gra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0.05556</cdr:x>
      <cdr:y>0.91169</cdr:y>
    </cdr:from>
    <cdr:to>
      <cdr:x>0.21556</cdr:x>
      <cdr:y>1</cdr:y>
    </cdr:to>
    <cdr:sp macro="" textlink="">
      <cdr:nvSpPr>
        <cdr:cNvPr id="9" name="TextBox 1">
          <a:extLst xmlns:a="http://schemas.openxmlformats.org/drawingml/2006/main">
            <a:ext uri="{FF2B5EF4-FFF2-40B4-BE49-F238E27FC236}">
              <a16:creationId xmlns:a16="http://schemas.microsoft.com/office/drawing/2014/main" id="{0E611BD2-8060-4221-8815-07CDAC57593E}"/>
            </a:ext>
          </a:extLst>
        </cdr:cNvPr>
        <cdr:cNvSpPr txBox="1"/>
      </cdr:nvSpPr>
      <cdr:spPr>
        <a:xfrm xmlns:a="http://schemas.openxmlformats.org/drawingml/2006/main">
          <a:off x="254000" y="2346961"/>
          <a:ext cx="731520" cy="2273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/>
            <a:t>Girls Disadvantaged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0.485</cdr:x>
      <cdr:y>0.88472</cdr:y>
    </cdr:from>
    <cdr:to>
      <cdr:x>0.685</cdr:x>
      <cdr:y>0.95417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967BAC33-C93F-47AB-B42A-F9720F4FE9EB}"/>
            </a:ext>
          </a:extLst>
        </cdr:cNvPr>
        <cdr:cNvSpPr txBox="1"/>
      </cdr:nvSpPr>
      <cdr:spPr>
        <a:xfrm xmlns:a="http://schemas.openxmlformats.org/drawingml/2006/main">
          <a:off x="2217420" y="2426970"/>
          <a:ext cx="9144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800"/>
            <a:t>Equal</a:t>
          </a:r>
        </a:p>
      </cdr:txBody>
    </cdr:sp>
  </cdr:relSizeAnchor>
  <cdr:relSizeAnchor xmlns:cdr="http://schemas.openxmlformats.org/drawingml/2006/chartDrawing">
    <cdr:from>
      <cdr:x>0.84</cdr:x>
      <cdr:y>0.89074</cdr:y>
    </cdr:from>
    <cdr:to>
      <cdr:x>1</cdr:x>
      <cdr:y>0.97361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8093392A-4640-4547-8298-3A44C5E1F233}"/>
            </a:ext>
          </a:extLst>
        </cdr:cNvPr>
        <cdr:cNvSpPr txBox="1"/>
      </cdr:nvSpPr>
      <cdr:spPr>
        <a:xfrm xmlns:a="http://schemas.openxmlformats.org/drawingml/2006/main">
          <a:off x="3840480" y="2443480"/>
          <a:ext cx="731520" cy="2273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/>
            <a:t>Disadvantage</a:t>
          </a:r>
        </a:p>
      </cdr:txBody>
    </cdr:sp>
  </cdr:relSizeAnchor>
  <cdr:relSizeAnchor xmlns:cdr="http://schemas.openxmlformats.org/drawingml/2006/chartDrawing">
    <cdr:from>
      <cdr:x>0.53444</cdr:x>
      <cdr:y>0.86019</cdr:y>
    </cdr:from>
    <cdr:to>
      <cdr:x>0.89278</cdr:x>
      <cdr:y>0.8963</cdr:y>
    </cdr:to>
    <cdr:sp macro="" textlink="">
      <cdr:nvSpPr>
        <cdr:cNvPr id="4" name="Arrow: Right 3">
          <a:extLst xmlns:a="http://schemas.openxmlformats.org/drawingml/2006/main">
            <a:ext uri="{FF2B5EF4-FFF2-40B4-BE49-F238E27FC236}">
              <a16:creationId xmlns:a16="http://schemas.microsoft.com/office/drawing/2014/main" id="{1CDE65FE-26A7-4651-B961-5D30193EB8C1}"/>
            </a:ext>
          </a:extLst>
        </cdr:cNvPr>
        <cdr:cNvSpPr/>
      </cdr:nvSpPr>
      <cdr:spPr>
        <a:xfrm xmlns:a="http://schemas.openxmlformats.org/drawingml/2006/main">
          <a:off x="2443480" y="2359660"/>
          <a:ext cx="1638300" cy="99060"/>
        </a:xfrm>
        <a:prstGeom xmlns:a="http://schemas.openxmlformats.org/drawingml/2006/main" prst="rightArrow">
          <a:avLst/>
        </a:prstGeom>
        <a:gradFill xmlns:a="http://schemas.openxmlformats.org/drawingml/2006/main">
          <a:gsLst>
            <a:gs pos="0">
              <a:schemeClr val="bg1"/>
            </a:gs>
            <a:gs pos="100000">
              <a:srgbClr val="FF0000"/>
            </a:gs>
            <a:gs pos="100000">
              <a:srgbClr val="C00000"/>
            </a:gs>
          </a:gsLst>
          <a:lin ang="0" scaled="1"/>
        </a:gra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t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GB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0.485</cdr:x>
      <cdr:y>0.88472</cdr:y>
    </cdr:from>
    <cdr:to>
      <cdr:x>0.685</cdr:x>
      <cdr:y>0.95417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967BAC33-C93F-47AB-B42A-F9720F4FE9EB}"/>
            </a:ext>
          </a:extLst>
        </cdr:cNvPr>
        <cdr:cNvSpPr txBox="1"/>
      </cdr:nvSpPr>
      <cdr:spPr>
        <a:xfrm xmlns:a="http://schemas.openxmlformats.org/drawingml/2006/main">
          <a:off x="2217420" y="2426970"/>
          <a:ext cx="9144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800"/>
            <a:t>Equal</a:t>
          </a:r>
        </a:p>
      </cdr:txBody>
    </cdr:sp>
  </cdr:relSizeAnchor>
  <cdr:relSizeAnchor xmlns:cdr="http://schemas.openxmlformats.org/drawingml/2006/chartDrawing">
    <cdr:from>
      <cdr:x>0.84</cdr:x>
      <cdr:y>0.89074</cdr:y>
    </cdr:from>
    <cdr:to>
      <cdr:x>1</cdr:x>
      <cdr:y>0.97361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8093392A-4640-4547-8298-3A44C5E1F233}"/>
            </a:ext>
          </a:extLst>
        </cdr:cNvPr>
        <cdr:cNvSpPr txBox="1"/>
      </cdr:nvSpPr>
      <cdr:spPr>
        <a:xfrm xmlns:a="http://schemas.openxmlformats.org/drawingml/2006/main">
          <a:off x="3840480" y="2443480"/>
          <a:ext cx="731520" cy="2273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/>
            <a:t>Disadvantage</a:t>
          </a:r>
        </a:p>
      </cdr:txBody>
    </cdr:sp>
  </cdr:relSizeAnchor>
  <cdr:relSizeAnchor xmlns:cdr="http://schemas.openxmlformats.org/drawingml/2006/chartDrawing">
    <cdr:from>
      <cdr:x>0.53333</cdr:x>
      <cdr:y>0.85556</cdr:y>
    </cdr:from>
    <cdr:to>
      <cdr:x>0.89167</cdr:x>
      <cdr:y>0.89167</cdr:y>
    </cdr:to>
    <cdr:sp macro="" textlink="">
      <cdr:nvSpPr>
        <cdr:cNvPr id="4" name="Arrow: Right 3"/>
        <cdr:cNvSpPr/>
      </cdr:nvSpPr>
      <cdr:spPr>
        <a:xfrm xmlns:a="http://schemas.openxmlformats.org/drawingml/2006/main">
          <a:off x="2438400" y="2346960"/>
          <a:ext cx="1638300" cy="99060"/>
        </a:xfrm>
        <a:prstGeom xmlns:a="http://schemas.openxmlformats.org/drawingml/2006/main" prst="rightArrow">
          <a:avLst/>
        </a:prstGeom>
        <a:gradFill xmlns:a="http://schemas.openxmlformats.org/drawingml/2006/main">
          <a:gsLst>
            <a:gs pos="0">
              <a:schemeClr val="bg1"/>
            </a:gs>
            <a:gs pos="100000">
              <a:srgbClr val="FF0000"/>
            </a:gs>
            <a:gs pos="100000">
              <a:srgbClr val="C00000"/>
            </a:gs>
          </a:gsLst>
          <a:lin ang="0" scaled="1"/>
        </a:gra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t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GB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3B82-F073-4FA0-ACCA-469621BA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DR56 - Anthony Farr - National School Reform Agreement - Commissioned study</vt:lpstr>
    </vt:vector>
  </TitlesOfParts>
  <Company>Anthony Farr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DR56 - Anthony Farr - National School Reform Agreement - Commissioned study</dc:title>
  <dc:subject/>
  <dc:creator>Anthony Farr</dc:creator>
  <cp:keywords/>
  <dc:description/>
  <cp:lastModifiedBy>Chris Alston</cp:lastModifiedBy>
  <cp:revision>3</cp:revision>
  <dcterms:created xsi:type="dcterms:W3CDTF">2022-09-20T06:17:00Z</dcterms:created>
  <dcterms:modified xsi:type="dcterms:W3CDTF">2022-09-20T23:28:00Z</dcterms:modified>
</cp:coreProperties>
</file>