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ECC3" w14:textId="55531AC1" w:rsidR="0021115D" w:rsidRPr="0021115D" w:rsidRDefault="0021115D" w:rsidP="0021115D">
      <w:pPr>
        <w:jc w:val="center"/>
        <w:rPr>
          <w:b/>
          <w:bCs/>
        </w:rPr>
      </w:pPr>
      <w:r w:rsidRPr="0021115D">
        <w:rPr>
          <w:b/>
          <w:bCs/>
        </w:rPr>
        <w:t>Submission to the</w:t>
      </w:r>
    </w:p>
    <w:p w14:paraId="776D2A75" w14:textId="703635B4" w:rsidR="00B478D8" w:rsidRDefault="0021115D" w:rsidP="0021115D">
      <w:pPr>
        <w:jc w:val="center"/>
        <w:rPr>
          <w:b/>
          <w:bCs/>
        </w:rPr>
      </w:pPr>
      <w:r w:rsidRPr="0021115D">
        <w:rPr>
          <w:b/>
          <w:bCs/>
        </w:rPr>
        <w:t>Productivity Commission’s Review of Philanthropy 2023</w:t>
      </w:r>
    </w:p>
    <w:p w14:paraId="6AB72131" w14:textId="300A83D6" w:rsidR="0021115D" w:rsidRDefault="0021115D" w:rsidP="0021115D">
      <w:pPr>
        <w:jc w:val="center"/>
        <w:rPr>
          <w:b/>
          <w:bCs/>
        </w:rPr>
      </w:pPr>
      <w:r>
        <w:rPr>
          <w:b/>
          <w:bCs/>
        </w:rPr>
        <w:t xml:space="preserve">Submitted by Edmund D.H. Flack. </w:t>
      </w:r>
      <w:proofErr w:type="spellStart"/>
      <w:r>
        <w:rPr>
          <w:b/>
          <w:bCs/>
        </w:rPr>
        <w:t>B.Ec</w:t>
      </w:r>
      <w:proofErr w:type="spellEnd"/>
      <w:r>
        <w:rPr>
          <w:b/>
          <w:bCs/>
        </w:rPr>
        <w:t>., PhD., JP(Qual)</w:t>
      </w:r>
    </w:p>
    <w:p w14:paraId="1E70756F" w14:textId="1FD8D1EB" w:rsidR="0021115D" w:rsidRPr="00F372F1" w:rsidRDefault="0021115D" w:rsidP="0021115D">
      <w:pPr>
        <w:jc w:val="both"/>
        <w:rPr>
          <w:b/>
          <w:bCs/>
        </w:rPr>
      </w:pPr>
      <w:r w:rsidRPr="00F372F1">
        <w:rPr>
          <w:b/>
          <w:bCs/>
        </w:rPr>
        <w:t>Introduction</w:t>
      </w:r>
    </w:p>
    <w:p w14:paraId="5BF9F4EB" w14:textId="0B6A9631" w:rsidR="0021115D" w:rsidRDefault="0021115D" w:rsidP="0021115D">
      <w:pPr>
        <w:jc w:val="both"/>
      </w:pPr>
      <w:r>
        <w:t>Whilst I acknowledge that the Productivity Commission provides an important economic and market-based perspective to its inquiries, I would like to suggest that, because of the not-for-profit,</w:t>
      </w:r>
      <w:r w:rsidR="005B4300">
        <w:t xml:space="preserve"> often religious and</w:t>
      </w:r>
      <w:r w:rsidR="002A1329">
        <w:t>/or</w:t>
      </w:r>
      <w:r w:rsidR="005B4300">
        <w:t xml:space="preserve"> </w:t>
      </w:r>
      <w:r>
        <w:t>communitarian basis of philanthrop</w:t>
      </w:r>
      <w:r w:rsidR="005B4300">
        <w:t xml:space="preserve">y, the Commission </w:t>
      </w:r>
      <w:r w:rsidR="00247B82">
        <w:t xml:space="preserve">will </w:t>
      </w:r>
      <w:r w:rsidR="005B4300">
        <w:t>need to consider not only the economics but also the philosophical</w:t>
      </w:r>
      <w:r w:rsidR="00FF480F">
        <w:t>, social</w:t>
      </w:r>
      <w:r w:rsidR="005B4300">
        <w:t xml:space="preserve"> </w:t>
      </w:r>
      <w:r w:rsidR="00247B82">
        <w:t xml:space="preserve">and psychological </w:t>
      </w:r>
      <w:r w:rsidR="005B4300">
        <w:t>foundations of philanthropy.</w:t>
      </w:r>
    </w:p>
    <w:p w14:paraId="58FB4E85" w14:textId="7D123E83" w:rsidR="007B7BCF" w:rsidRDefault="007B7BCF" w:rsidP="00247B82">
      <w:pPr>
        <w:jc w:val="both"/>
      </w:pPr>
      <w:r w:rsidRPr="007B7BCF">
        <w:t>My sub</w:t>
      </w:r>
      <w:r>
        <w:t xml:space="preserve">mission is written in </w:t>
      </w:r>
      <w:r w:rsidR="00F140A2">
        <w:t>f</w:t>
      </w:r>
      <w:r w:rsidR="00B91094">
        <w:t>ive</w:t>
      </w:r>
      <w:r>
        <w:t xml:space="preserve"> sections. The first section responds to </w:t>
      </w:r>
      <w:r w:rsidR="000A7997">
        <w:t>the</w:t>
      </w:r>
      <w:r w:rsidR="000B1BBA">
        <w:t xml:space="preserve"> </w:t>
      </w:r>
      <w:r w:rsidR="000B1BBA" w:rsidRPr="000B1BBA">
        <w:t>“</w:t>
      </w:r>
      <w:bookmarkStart w:id="0" w:name="_Hlk127163118"/>
      <w:r w:rsidR="000B1BBA" w:rsidRPr="000B1BBA">
        <w:t xml:space="preserve">tendencies and motivations </w:t>
      </w:r>
      <w:bookmarkEnd w:id="0"/>
      <w:r w:rsidR="000B1BBA" w:rsidRPr="000B1BBA">
        <w:t>for Australians’ charitable giving”</w:t>
      </w:r>
      <w:r w:rsidR="000A7997">
        <w:t xml:space="preserve"> referred to in the scope</w:t>
      </w:r>
      <w:r w:rsidR="0070303A">
        <w:t xml:space="preserve"> documents of the Inquiry</w:t>
      </w:r>
      <w:r w:rsidR="000A7997">
        <w:t xml:space="preserve">. </w:t>
      </w:r>
      <w:r w:rsidR="000B1BBA">
        <w:t xml:space="preserve"> It argues that too little emphasis has been given by policy makers to the psychological and moral motivations of donors for giving and has instead, emphasised the policies designed to reduce the risks of giving though oversite and regulation. I contend that this emphasis can have the effect of reducing </w:t>
      </w:r>
      <w:r w:rsidR="00BE481E">
        <w:t>many</w:t>
      </w:r>
      <w:r w:rsidR="00F140A2">
        <w:t xml:space="preserve"> donors’</w:t>
      </w:r>
      <w:r w:rsidR="000B1BBA">
        <w:t xml:space="preserve"> natural inclination for philanthropic giving.</w:t>
      </w:r>
      <w:r w:rsidR="001F170E">
        <w:t xml:space="preserve"> </w:t>
      </w:r>
      <w:r w:rsidR="001F170E" w:rsidRPr="00BE630E">
        <w:rPr>
          <w:i/>
          <w:iCs/>
        </w:rPr>
        <w:t>“</w:t>
      </w:r>
      <w:r w:rsidR="00BE630E">
        <w:rPr>
          <w:i/>
          <w:iCs/>
        </w:rPr>
        <w:t>Do what you must but d</w:t>
      </w:r>
      <w:r w:rsidR="001F170E" w:rsidRPr="00BE630E">
        <w:rPr>
          <w:i/>
          <w:iCs/>
        </w:rPr>
        <w:t xml:space="preserve">on’t </w:t>
      </w:r>
      <w:r w:rsidR="00BE630E">
        <w:rPr>
          <w:i/>
          <w:iCs/>
        </w:rPr>
        <w:t>disturb</w:t>
      </w:r>
      <w:r w:rsidR="001F170E" w:rsidRPr="00BE630E">
        <w:rPr>
          <w:i/>
          <w:iCs/>
        </w:rPr>
        <w:t xml:space="preserve"> the horses”</w:t>
      </w:r>
      <w:r w:rsidR="001F170E">
        <w:t>.</w:t>
      </w:r>
    </w:p>
    <w:p w14:paraId="70FF1D6B" w14:textId="0C3B7855" w:rsidR="0078266D" w:rsidRDefault="000B1BBA" w:rsidP="00247B82">
      <w:pPr>
        <w:jc w:val="both"/>
      </w:pPr>
      <w:r>
        <w:t>In the second section</w:t>
      </w:r>
      <w:r w:rsidR="0078266D">
        <w:t>, I argue that considerations of the “effectiveness</w:t>
      </w:r>
      <w:r w:rsidR="00F126D4">
        <w:t xml:space="preserve"> ….</w:t>
      </w:r>
      <w:r w:rsidR="0078266D">
        <w:t xml:space="preserve"> of the use of donations” is largely dependent on the perspective of the assessor. I submit that philanthropic donors, economists, social scientists and government regulators are likely to have differing perspectives.</w:t>
      </w:r>
    </w:p>
    <w:p w14:paraId="27F496B4" w14:textId="510C0C0F" w:rsidR="00BC6C29" w:rsidRDefault="0078266D" w:rsidP="00247B82">
      <w:pPr>
        <w:jc w:val="both"/>
      </w:pPr>
      <w:r>
        <w:t xml:space="preserve">The </w:t>
      </w:r>
      <w:r w:rsidR="00F126D4">
        <w:t xml:space="preserve">third section responds to the </w:t>
      </w:r>
      <w:r w:rsidR="00BC6C29">
        <w:t>references in the Terms of Reference to the “…</w:t>
      </w:r>
      <w:r w:rsidR="00BC6C29" w:rsidRPr="00BC6C29">
        <w:t>efficiency of the use of donations</w:t>
      </w:r>
      <w:r w:rsidR="00BC6C29">
        <w:t>”.</w:t>
      </w:r>
      <w:r w:rsidR="000F7989">
        <w:t xml:space="preserve"> </w:t>
      </w:r>
      <w:r w:rsidR="00BC6C29">
        <w:t xml:space="preserve">I submit that </w:t>
      </w:r>
      <w:r w:rsidR="00681146">
        <w:t xml:space="preserve">calculations </w:t>
      </w:r>
      <w:r w:rsidR="00BD5A44">
        <w:t xml:space="preserve">made </w:t>
      </w:r>
      <w:proofErr w:type="gramStart"/>
      <w:r w:rsidR="00BD5A44">
        <w:t>in</w:t>
      </w:r>
      <w:r w:rsidR="00681146">
        <w:t xml:space="preserve"> order to</w:t>
      </w:r>
      <w:proofErr w:type="gramEnd"/>
      <w:r w:rsidR="00681146">
        <w:t xml:space="preserve"> assess the efficiency of the use of donations tend to be misleading because </w:t>
      </w:r>
      <w:r w:rsidR="003427E7">
        <w:t xml:space="preserve">they </w:t>
      </w:r>
      <w:r w:rsidR="00BE630E">
        <w:t>tend to be</w:t>
      </w:r>
      <w:r w:rsidR="00681146">
        <w:t xml:space="preserve"> made </w:t>
      </w:r>
      <w:r w:rsidR="003427E7">
        <w:t xml:space="preserve">using </w:t>
      </w:r>
      <w:r w:rsidR="00681146">
        <w:t xml:space="preserve">financial </w:t>
      </w:r>
      <w:r w:rsidR="003427E7">
        <w:t xml:space="preserve">data from the </w:t>
      </w:r>
      <w:r w:rsidR="00681146">
        <w:t>account</w:t>
      </w:r>
      <w:r w:rsidR="003427E7">
        <w:t xml:space="preserve">s of charities. </w:t>
      </w:r>
      <w:r w:rsidR="00BD5A44">
        <w:t>I argue that the allocation of income and expenses to cost centres such as “services”, “fundraising” and “administration” is almost impossible to regulate to ensure that there is a uniform system of allocation</w:t>
      </w:r>
      <w:r w:rsidR="00327C29">
        <w:t xml:space="preserve"> </w:t>
      </w:r>
      <w:r w:rsidR="0044353E">
        <w:t>that</w:t>
      </w:r>
      <w:r w:rsidR="00327C29">
        <w:t xml:space="preserve"> would facilitate useful comparisons</w:t>
      </w:r>
      <w:r w:rsidR="00BD5A44">
        <w:t>.</w:t>
      </w:r>
    </w:p>
    <w:p w14:paraId="01DE69A3" w14:textId="1DB0FBA5" w:rsidR="00F140A2" w:rsidRPr="00037E74" w:rsidRDefault="00F140A2" w:rsidP="00247B82">
      <w:pPr>
        <w:jc w:val="both"/>
      </w:pPr>
      <w:r>
        <w:t>The fourth section in this submission responds to the Commission’s interest in the “</w:t>
      </w:r>
      <w:r w:rsidRPr="00F140A2">
        <w:t xml:space="preserve">ability of donors to assess and compare charities based on evidence of </w:t>
      </w:r>
      <w:r>
        <w:t>“</w:t>
      </w:r>
      <w:proofErr w:type="gramStart"/>
      <w:r w:rsidRPr="00F140A2">
        <w:t>….impact</w:t>
      </w:r>
      <w:proofErr w:type="gramEnd"/>
      <w:r w:rsidRPr="00F140A2">
        <w:t xml:space="preserve"> evaluation comparison sites</w:t>
      </w:r>
      <w:r>
        <w:t>.”</w:t>
      </w:r>
      <w:r w:rsidR="000A7997">
        <w:t xml:space="preserve"> My submission reflects the </w:t>
      </w:r>
      <w:r w:rsidR="000910E7">
        <w:t>findings</w:t>
      </w:r>
      <w:r w:rsidR="000A7997">
        <w:t xml:space="preserve"> of the </w:t>
      </w:r>
      <w:r w:rsidR="000910E7">
        <w:t xml:space="preserve">large number of international studies on the issue and </w:t>
      </w:r>
      <w:r w:rsidR="005F18C5">
        <w:t>argues</w:t>
      </w:r>
      <w:r w:rsidR="000910E7">
        <w:t xml:space="preserve"> that </w:t>
      </w:r>
      <w:r w:rsidR="005F18C5">
        <w:t>a</w:t>
      </w:r>
      <w:r w:rsidR="000910E7" w:rsidRPr="005F18C5">
        <w:t xml:space="preserve">lthough some rating agencies look at transparency, </w:t>
      </w:r>
      <w:r w:rsidR="000F7989" w:rsidRPr="005F18C5">
        <w:t>governance,</w:t>
      </w:r>
      <w:r w:rsidR="000910E7" w:rsidRPr="005F18C5">
        <w:t xml:space="preserve"> or fundraising practices, no one has found a </w:t>
      </w:r>
      <w:r w:rsidR="00BE630E">
        <w:t xml:space="preserve">reliable </w:t>
      </w:r>
      <w:r w:rsidR="000910E7" w:rsidRPr="005F18C5">
        <w:t>way to measure and report on effectiveness and quality of services</w:t>
      </w:r>
      <w:r w:rsidR="00037E74">
        <w:t xml:space="preserve"> that allows reliable comparisons </w:t>
      </w:r>
      <w:r w:rsidR="0070303A">
        <w:t>of multiple</w:t>
      </w:r>
      <w:r w:rsidR="00037E74">
        <w:t xml:space="preserve"> providers</w:t>
      </w:r>
      <w:r w:rsidR="0044353E">
        <w:t>.</w:t>
      </w:r>
    </w:p>
    <w:p w14:paraId="3E42238B" w14:textId="63BEC2CF" w:rsidR="00037E74" w:rsidRPr="00037E74" w:rsidRDefault="00037E74" w:rsidP="00247B82">
      <w:pPr>
        <w:jc w:val="both"/>
      </w:pPr>
      <w:r>
        <w:t>In t</w:t>
      </w:r>
      <w:r w:rsidRPr="00037E74">
        <w:t>he fifth section</w:t>
      </w:r>
      <w:r>
        <w:t xml:space="preserve">, I argue that in this inquiry, greater attention should be given to policies that focus on </w:t>
      </w:r>
      <w:r w:rsidR="0044353E">
        <w:t xml:space="preserve">raising and maintaining high </w:t>
      </w:r>
      <w:r>
        <w:t xml:space="preserve">standards of governance </w:t>
      </w:r>
      <w:r w:rsidR="00CE7C59">
        <w:t>and “trusteeship” in the not-for-profit sector.</w:t>
      </w:r>
    </w:p>
    <w:p w14:paraId="26E97416" w14:textId="77777777" w:rsidR="000F7989" w:rsidRDefault="000F7989" w:rsidP="00247B82">
      <w:pPr>
        <w:jc w:val="both"/>
        <w:rPr>
          <w:b/>
          <w:bCs/>
        </w:rPr>
      </w:pPr>
    </w:p>
    <w:p w14:paraId="272A0097" w14:textId="563769FA" w:rsidR="0090559F" w:rsidRPr="0016597F" w:rsidRDefault="00CD13F8" w:rsidP="00247B82">
      <w:pPr>
        <w:jc w:val="both"/>
        <w:rPr>
          <w:b/>
          <w:bCs/>
        </w:rPr>
      </w:pPr>
      <w:r>
        <w:rPr>
          <w:b/>
          <w:bCs/>
        </w:rPr>
        <w:lastRenderedPageBreak/>
        <w:t xml:space="preserve">Section 1 - </w:t>
      </w:r>
      <w:r w:rsidR="0090559F" w:rsidRPr="0016597F">
        <w:rPr>
          <w:b/>
          <w:bCs/>
        </w:rPr>
        <w:t>Tendencies and motivations</w:t>
      </w:r>
      <w:r w:rsidR="00097D34">
        <w:rPr>
          <w:b/>
          <w:bCs/>
        </w:rPr>
        <w:t xml:space="preserve"> for Philanthropy</w:t>
      </w:r>
    </w:p>
    <w:p w14:paraId="33E3BD6E" w14:textId="09465394" w:rsidR="00247B82" w:rsidRDefault="00247B82" w:rsidP="00247B82">
      <w:pPr>
        <w:jc w:val="both"/>
      </w:pPr>
      <w:r>
        <w:t>The available academic research into the tendencies and motivations for</w:t>
      </w:r>
      <w:r w:rsidR="0090559F">
        <w:t xml:space="preserve"> </w:t>
      </w:r>
      <w:r>
        <w:t>charitable giving in Australia tends to focus on very practical research into</w:t>
      </w:r>
      <w:r w:rsidR="0090559F">
        <w:t xml:space="preserve"> </w:t>
      </w:r>
      <w:r>
        <w:t>charitable fundraising practice</w:t>
      </w:r>
      <w:r w:rsidR="00E62DE1">
        <w:t xml:space="preserve"> rather than the underlying philosophical and</w:t>
      </w:r>
      <w:r w:rsidR="0090559F">
        <w:t xml:space="preserve"> </w:t>
      </w:r>
      <w:r w:rsidR="00E62DE1">
        <w:t>cultural basis on which philanthropic behaviours are based</w:t>
      </w:r>
      <w:r w:rsidR="00492F83">
        <w:rPr>
          <w:rStyle w:val="FootnoteReference"/>
        </w:rPr>
        <w:footnoteReference w:id="2"/>
      </w:r>
      <w:r w:rsidR="00162012">
        <w:rPr>
          <w:rStyle w:val="FootnoteReference"/>
        </w:rPr>
        <w:footnoteReference w:id="3"/>
      </w:r>
      <w:r w:rsidR="00E62DE1">
        <w:t>.</w:t>
      </w:r>
    </w:p>
    <w:p w14:paraId="5DD472E6" w14:textId="57160376" w:rsidR="00362D52" w:rsidRDefault="00E62DE1" w:rsidP="00247B82">
      <w:pPr>
        <w:jc w:val="both"/>
      </w:pPr>
      <w:r>
        <w:t xml:space="preserve">It is my submission that the Commission needs to take note of the historical </w:t>
      </w:r>
      <w:r w:rsidR="001F5F69">
        <w:t xml:space="preserve">and cultural </w:t>
      </w:r>
      <w:r w:rsidR="00944403">
        <w:t>understanding</w:t>
      </w:r>
      <w:r>
        <w:t xml:space="preserve"> of “philanthropy”</w:t>
      </w:r>
      <w:r w:rsidR="00362D52">
        <w:t xml:space="preserve"> and the psychological and sociological motivations for giving.</w:t>
      </w:r>
      <w:r>
        <w:t xml:space="preserve"> </w:t>
      </w:r>
    </w:p>
    <w:p w14:paraId="7EA75C0C" w14:textId="35E99A62" w:rsidR="00E62DE1" w:rsidRDefault="00301760" w:rsidP="00247B82">
      <w:pPr>
        <w:jc w:val="both"/>
      </w:pPr>
      <w:r w:rsidRPr="00301760">
        <w:t xml:space="preserve">It is generally agreed that the term “philanthropy” was first coined by the Ancient Greek playwright, Aeschylus (526-456 BC) in his play “Prometheus Bound”. “Philanthropy” literally means - </w:t>
      </w:r>
      <w:proofErr w:type="spellStart"/>
      <w:r w:rsidRPr="00301760">
        <w:t>philos</w:t>
      </w:r>
      <w:proofErr w:type="spellEnd"/>
      <w:r w:rsidRPr="00301760">
        <w:t xml:space="preserve"> - loving (in the sense of benefiting, caring for and nourishing) and </w:t>
      </w:r>
      <w:proofErr w:type="spellStart"/>
      <w:r w:rsidRPr="00301760">
        <w:t>anthropos</w:t>
      </w:r>
      <w:proofErr w:type="spellEnd"/>
      <w:r w:rsidRPr="00301760">
        <w:t>- humankind, humanity or human-ness.</w:t>
      </w:r>
    </w:p>
    <w:p w14:paraId="1A5591F6" w14:textId="4F948931" w:rsidR="00301760" w:rsidRDefault="00C52F0B" w:rsidP="00247B82">
      <w:pPr>
        <w:jc w:val="both"/>
      </w:pPr>
      <w:r>
        <w:t>Early Hebrew and Christian teaching</w:t>
      </w:r>
      <w:r w:rsidR="001F5F69">
        <w:t>s</w:t>
      </w:r>
      <w:r>
        <w:t xml:space="preserve"> also influenced the way western society understands “philanthropy”. </w:t>
      </w:r>
      <w:r w:rsidR="0031483B">
        <w:t>Christian</w:t>
      </w:r>
      <w:r w:rsidRPr="00C52F0B">
        <w:t xml:space="preserve"> theology emphasises the twin duties of Divine Mercy. The mercy of God the Father, characterised by benevolent steadfast love from </w:t>
      </w:r>
      <w:r w:rsidR="0031483B">
        <w:t>a father</w:t>
      </w:r>
      <w:r w:rsidRPr="00C52F0B">
        <w:t xml:space="preserve"> </w:t>
      </w:r>
      <w:r w:rsidR="0031483B">
        <w:t xml:space="preserve">figure </w:t>
      </w:r>
      <w:r w:rsidRPr="00C52F0B">
        <w:t xml:space="preserve">(old Hebrew word “hesed”) and the mercy of </w:t>
      </w:r>
      <w:r w:rsidR="0031483B">
        <w:t>a</w:t>
      </w:r>
      <w:r w:rsidRPr="00C52F0B">
        <w:t xml:space="preserve"> </w:t>
      </w:r>
      <w:r w:rsidR="0031483B">
        <w:t>mother</w:t>
      </w:r>
      <w:r w:rsidRPr="00C52F0B">
        <w:t xml:space="preserve"> </w:t>
      </w:r>
      <w:r w:rsidR="0031483B">
        <w:t>figure</w:t>
      </w:r>
      <w:r w:rsidRPr="00C52F0B">
        <w:t>, characterised by tender compassion and identification with those in distress (old Hebrew word “</w:t>
      </w:r>
      <w:proofErr w:type="spellStart"/>
      <w:r w:rsidRPr="00C52F0B">
        <w:t>rachamin</w:t>
      </w:r>
      <w:proofErr w:type="spellEnd"/>
      <w:r w:rsidRPr="00C52F0B">
        <w:t>”).</w:t>
      </w:r>
      <w:r>
        <w:t xml:space="preserve"> </w:t>
      </w:r>
      <w:r w:rsidRPr="00C52F0B">
        <w:t>To use a</w:t>
      </w:r>
      <w:r w:rsidR="0090559F">
        <w:t>n</w:t>
      </w:r>
      <w:r w:rsidRPr="00C52F0B">
        <w:t xml:space="preserve"> analogy, </w:t>
      </w:r>
      <w:r w:rsidR="00655863">
        <w:t xml:space="preserve">a majority of </w:t>
      </w:r>
      <w:r w:rsidR="00A703A4">
        <w:t>members of the community</w:t>
      </w:r>
      <w:r w:rsidRPr="00C52F0B">
        <w:t xml:space="preserve"> </w:t>
      </w:r>
      <w:r w:rsidR="00A703A4">
        <w:t xml:space="preserve">feel a </w:t>
      </w:r>
      <w:r w:rsidR="0031483B">
        <w:t xml:space="preserve">personal </w:t>
      </w:r>
      <w:r w:rsidR="00A703A4">
        <w:t>duty to</w:t>
      </w:r>
      <w:r w:rsidRPr="00C52F0B">
        <w:t xml:space="preserve"> tender the injured at the bottom of the cliff and </w:t>
      </w:r>
      <w:r w:rsidR="0031483B">
        <w:t xml:space="preserve">a joint </w:t>
      </w:r>
      <w:r w:rsidR="00362D52">
        <w:t>duty</w:t>
      </w:r>
      <w:r w:rsidR="0031483B">
        <w:t xml:space="preserve"> to </w:t>
      </w:r>
      <w:r w:rsidRPr="00C52F0B">
        <w:t>work with other citizens of goodwill, to ensure that adequate fences are built to prevent people falling.</w:t>
      </w:r>
    </w:p>
    <w:p w14:paraId="65F3E5B1" w14:textId="770A2D51" w:rsidR="0090559F" w:rsidRDefault="001F5F69" w:rsidP="00247B82">
      <w:pPr>
        <w:jc w:val="both"/>
      </w:pPr>
      <w:r>
        <w:t>Despite the diminish</w:t>
      </w:r>
      <w:r w:rsidR="00362D52">
        <w:t>ed</w:t>
      </w:r>
      <w:r>
        <w:t xml:space="preserve"> influence of the </w:t>
      </w:r>
      <w:r w:rsidR="0090559F">
        <w:t>religion</w:t>
      </w:r>
      <w:r>
        <w:t xml:space="preserve"> in modern Australian </w:t>
      </w:r>
      <w:r w:rsidR="00A703A4">
        <w:t>s</w:t>
      </w:r>
      <w:r>
        <w:t xml:space="preserve">ociety, I submit that a significant portion of Australian society still </w:t>
      </w:r>
      <w:r w:rsidR="00A703A4">
        <w:t xml:space="preserve">feel the </w:t>
      </w:r>
      <w:r>
        <w:t xml:space="preserve">need to </w:t>
      </w:r>
      <w:r w:rsidR="0031483B">
        <w:t xml:space="preserve">personally </w:t>
      </w:r>
      <w:r>
        <w:t xml:space="preserve">respond to people in need through personal giving </w:t>
      </w:r>
      <w:r w:rsidR="0031483B" w:rsidRPr="0031483B">
        <w:t>when the</w:t>
      </w:r>
      <w:r w:rsidRPr="0031483B">
        <w:t>y</w:t>
      </w:r>
      <w:r w:rsidR="0031483B" w:rsidRPr="0031483B">
        <w:t xml:space="preserve"> are made aware of the need</w:t>
      </w:r>
      <w:r w:rsidR="0031483B">
        <w:t xml:space="preserve"> (“</w:t>
      </w:r>
      <w:proofErr w:type="spellStart"/>
      <w:r w:rsidR="0031483B">
        <w:t>rachamin</w:t>
      </w:r>
      <w:proofErr w:type="spellEnd"/>
      <w:r w:rsidR="0031483B">
        <w:t>”)</w:t>
      </w:r>
      <w:r w:rsidR="0031483B" w:rsidRPr="0031483B">
        <w:t xml:space="preserve">. </w:t>
      </w:r>
      <w:r w:rsidR="0090559F">
        <w:t xml:space="preserve">A smaller, but significant section of society, </w:t>
      </w:r>
      <w:r w:rsidR="00362D52">
        <w:t>still</w:t>
      </w:r>
      <w:r w:rsidR="0090559F">
        <w:t xml:space="preserve"> feel obligated </w:t>
      </w:r>
      <w:r w:rsidR="00362D52">
        <w:t>“</w:t>
      </w:r>
      <w:r w:rsidR="0090559F">
        <w:t xml:space="preserve">to do something”, including making a gift, </w:t>
      </w:r>
      <w:r w:rsidR="000E7F2E">
        <w:t>to ameliorate</w:t>
      </w:r>
      <w:r w:rsidR="0090559F">
        <w:t xml:space="preserve"> the causes of the need (“</w:t>
      </w:r>
      <w:proofErr w:type="spellStart"/>
      <w:r w:rsidR="0090559F">
        <w:t>hased</w:t>
      </w:r>
      <w:proofErr w:type="spellEnd"/>
      <w:r w:rsidR="0090559F">
        <w:t>”)</w:t>
      </w:r>
      <w:r w:rsidR="00563B43">
        <w:rPr>
          <w:rStyle w:val="FootnoteReference"/>
        </w:rPr>
        <w:footnoteReference w:id="4"/>
      </w:r>
      <w:r w:rsidR="0090559F">
        <w:t>.</w:t>
      </w:r>
    </w:p>
    <w:p w14:paraId="4B68C258" w14:textId="63E44AAA" w:rsidR="00D117EA" w:rsidRDefault="00A703A4" w:rsidP="000F7989">
      <w:pPr>
        <w:jc w:val="both"/>
      </w:pPr>
      <w:r>
        <w:t xml:space="preserve">I submit that this is why most donors do not make choices based on efficiency or effectiveness but rather on </w:t>
      </w:r>
      <w:r w:rsidR="0090559F">
        <w:t xml:space="preserve">a deeply held psychological, </w:t>
      </w:r>
      <w:r w:rsidR="00D15A73">
        <w:t xml:space="preserve">social, </w:t>
      </w:r>
      <w:r w:rsidR="0090559F">
        <w:t xml:space="preserve">moral or religious need to respond to </w:t>
      </w:r>
      <w:r w:rsidR="008E68CC">
        <w:t xml:space="preserve">perceived </w:t>
      </w:r>
      <w:r>
        <w:t>need.</w:t>
      </w:r>
      <w:r w:rsidR="005E3057">
        <w:rPr>
          <w:rStyle w:val="FootnoteReference"/>
        </w:rPr>
        <w:footnoteReference w:id="5"/>
      </w:r>
      <w:r w:rsidR="005E3057">
        <w:t>.</w:t>
      </w:r>
      <w:r w:rsidR="00C342B1">
        <w:rPr>
          <w:rStyle w:val="FootnoteReference"/>
        </w:rPr>
        <w:footnoteReference w:id="6"/>
      </w:r>
      <w:r w:rsidR="00D65C1A" w:rsidRPr="00D65C1A">
        <w:t xml:space="preserve"> </w:t>
      </w:r>
      <w:r w:rsidR="004426E6">
        <w:t xml:space="preserve"> </w:t>
      </w:r>
      <w:r w:rsidR="00D117EA">
        <w:t xml:space="preserve">Perhaps </w:t>
      </w:r>
      <w:r w:rsidR="00944403">
        <w:t xml:space="preserve">one of </w:t>
      </w:r>
      <w:r w:rsidR="00D117EA">
        <w:t>the best example</w:t>
      </w:r>
      <w:r w:rsidR="00944403">
        <w:t>s</w:t>
      </w:r>
      <w:r w:rsidR="00D117EA">
        <w:t xml:space="preserve"> of </w:t>
      </w:r>
      <w:proofErr w:type="spellStart"/>
      <w:r w:rsidR="00D117EA">
        <w:t>rachamin</w:t>
      </w:r>
      <w:proofErr w:type="spellEnd"/>
      <w:r w:rsidR="00D117EA">
        <w:t xml:space="preserve">-type philanthropy in Australian society today is the popularity and success of </w:t>
      </w:r>
      <w:r w:rsidR="000A7997">
        <w:t xml:space="preserve">“crowdfunding” </w:t>
      </w:r>
      <w:r w:rsidR="000A7997">
        <w:lastRenderedPageBreak/>
        <w:t xml:space="preserve">and </w:t>
      </w:r>
      <w:r w:rsidR="00D117EA">
        <w:t>GoFundMe fundraising platform</w:t>
      </w:r>
      <w:r w:rsidR="000A7997">
        <w:t>s</w:t>
      </w:r>
      <w:r w:rsidR="00D117EA">
        <w:t>, where donors are facilitated in giving directly to others in need</w:t>
      </w:r>
      <w:r w:rsidR="000A7997">
        <w:t>, frequently without reference to any charities involved</w:t>
      </w:r>
      <w:r w:rsidR="00944403">
        <w:t>.</w:t>
      </w:r>
      <w:r w:rsidR="000A7997">
        <w:rPr>
          <w:rStyle w:val="FootnoteReference"/>
        </w:rPr>
        <w:footnoteReference w:id="7"/>
      </w:r>
      <w:r w:rsidR="00D117EA">
        <w:t>.</w:t>
      </w:r>
      <w:r w:rsidR="00D117EA">
        <w:rPr>
          <w:rStyle w:val="FootnoteReference"/>
        </w:rPr>
        <w:footnoteReference w:id="8"/>
      </w:r>
      <w:r w:rsidR="009002B4">
        <w:t>.</w:t>
      </w:r>
      <w:r w:rsidR="009002B4">
        <w:rPr>
          <w:rStyle w:val="FootnoteReference"/>
        </w:rPr>
        <w:footnoteReference w:id="9"/>
      </w:r>
      <w:r w:rsidR="00D117EA">
        <w:t xml:space="preserve">  </w:t>
      </w:r>
    </w:p>
    <w:p w14:paraId="48115657" w14:textId="77777777" w:rsidR="00CC6144" w:rsidRDefault="00CC6144" w:rsidP="000F7989">
      <w:pPr>
        <w:jc w:val="both"/>
      </w:pPr>
    </w:p>
    <w:p w14:paraId="74CF2B8B" w14:textId="77777777" w:rsidR="00CD13F8" w:rsidRDefault="00CD13F8" w:rsidP="000F7989">
      <w:pPr>
        <w:jc w:val="both"/>
      </w:pPr>
      <w:r>
        <w:rPr>
          <w:b/>
          <w:bCs/>
        </w:rPr>
        <w:t>Section 2 – “E</w:t>
      </w:r>
      <w:r w:rsidRPr="00CD13F8">
        <w:rPr>
          <w:b/>
          <w:bCs/>
        </w:rPr>
        <w:t>ffectiveness …. of the use of donations</w:t>
      </w:r>
      <w:r w:rsidRPr="00CD13F8">
        <w:t>”</w:t>
      </w:r>
      <w:r>
        <w:t xml:space="preserve">. </w:t>
      </w:r>
    </w:p>
    <w:p w14:paraId="2BAAE235" w14:textId="4AC659C6" w:rsidR="00031179" w:rsidRPr="00031179" w:rsidRDefault="00031179" w:rsidP="00031179">
      <w:pPr>
        <w:jc w:val="both"/>
      </w:pPr>
      <w:r w:rsidRPr="00031179">
        <w:t xml:space="preserve">Defining “effectiveness” of philanthropic transactions is complex because the measures of “effectiveness” depend largely on the perspective </w:t>
      </w:r>
      <w:r w:rsidR="00891FE6">
        <w:t>of the assessor</w:t>
      </w:r>
      <w:r w:rsidRPr="00031179">
        <w:t>.</w:t>
      </w:r>
    </w:p>
    <w:p w14:paraId="6FDCBF93" w14:textId="77777777" w:rsidR="004E0EF8" w:rsidRDefault="00031179" w:rsidP="004E0EF8">
      <w:pPr>
        <w:jc w:val="both"/>
      </w:pPr>
      <w:r w:rsidRPr="00031179">
        <w:t xml:space="preserve">To illustrate the point, I provide three different examples of </w:t>
      </w:r>
      <w:r w:rsidR="00CF4FC5">
        <w:t xml:space="preserve">acts of </w:t>
      </w:r>
      <w:r w:rsidRPr="00031179">
        <w:t xml:space="preserve">philanthropy </w:t>
      </w:r>
      <w:r w:rsidR="00663624">
        <w:t xml:space="preserve">in </w:t>
      </w:r>
      <w:r w:rsidR="00845BB6">
        <w:t xml:space="preserve">support of </w:t>
      </w:r>
      <w:r w:rsidRPr="00031179">
        <w:t>people who are homeless</w:t>
      </w:r>
      <w:r w:rsidR="007A4169">
        <w:t>:</w:t>
      </w:r>
    </w:p>
    <w:p w14:paraId="159234BE" w14:textId="4B542AF7" w:rsidR="00031179" w:rsidRDefault="004E0EF8" w:rsidP="000D66F4">
      <w:pPr>
        <w:spacing w:after="0"/>
        <w:rPr>
          <w:rFonts w:eastAsia="Arial"/>
          <w:sz w:val="22"/>
          <w:szCs w:val="22"/>
          <w:lang w:val="en-GB" w:eastAsia="en-AU"/>
        </w:rPr>
      </w:pPr>
      <w:r w:rsidRPr="000D66F4">
        <w:rPr>
          <w:rFonts w:eastAsia="Arial"/>
          <w:sz w:val="22"/>
          <w:szCs w:val="22"/>
          <w:lang w:val="en-GB" w:eastAsia="en-AU"/>
        </w:rPr>
        <w:t>Example A.</w:t>
      </w:r>
      <w:r w:rsidRPr="000D66F4">
        <w:rPr>
          <w:rFonts w:eastAsia="Arial"/>
          <w:sz w:val="22"/>
          <w:szCs w:val="22"/>
          <w:lang w:val="en-GB" w:eastAsia="en-AU"/>
        </w:rPr>
        <w:tab/>
      </w:r>
      <w:r w:rsidR="00DB00A2" w:rsidRPr="000D66F4">
        <w:rPr>
          <w:rFonts w:eastAsia="Arial"/>
          <w:sz w:val="22"/>
          <w:szCs w:val="22"/>
          <w:lang w:val="en-GB" w:eastAsia="en-AU"/>
        </w:rPr>
        <w:t>My neighbour</w:t>
      </w:r>
      <w:r w:rsidR="00031179" w:rsidRPr="000D66F4">
        <w:rPr>
          <w:rFonts w:eastAsia="Arial"/>
          <w:sz w:val="22"/>
          <w:szCs w:val="22"/>
          <w:lang w:val="en-GB" w:eastAsia="en-AU"/>
        </w:rPr>
        <w:t xml:space="preserve"> recently received a request for a donation from </w:t>
      </w:r>
      <w:proofErr w:type="spellStart"/>
      <w:r w:rsidR="00031179" w:rsidRPr="000D66F4">
        <w:rPr>
          <w:rFonts w:eastAsia="Arial"/>
          <w:sz w:val="22"/>
          <w:szCs w:val="22"/>
          <w:lang w:val="en-GB" w:eastAsia="en-AU"/>
        </w:rPr>
        <w:t>Rosies</w:t>
      </w:r>
      <w:proofErr w:type="spellEnd"/>
      <w:r w:rsidR="0049709A" w:rsidRPr="000D66F4">
        <w:rPr>
          <w:rFonts w:eastAsia="Arial"/>
          <w:sz w:val="22"/>
          <w:szCs w:val="22"/>
          <w:lang w:val="en-GB" w:eastAsia="en-AU"/>
        </w:rPr>
        <w:t xml:space="preserve"> (</w:t>
      </w:r>
      <w:proofErr w:type="spellStart"/>
      <w:r w:rsidR="00ED17BE">
        <w:fldChar w:fldCharType="begin"/>
      </w:r>
      <w:r w:rsidR="00ED17BE">
        <w:instrText>HYPERLINK "https://rosies.org.au/"</w:instrText>
      </w:r>
      <w:r w:rsidR="00ED17BE">
        <w:fldChar w:fldCharType="separate"/>
      </w:r>
      <w:r w:rsidR="00F74EB3" w:rsidRPr="000D66F4">
        <w:rPr>
          <w:rFonts w:eastAsia="Arial"/>
          <w:sz w:val="22"/>
          <w:szCs w:val="22"/>
          <w:lang w:val="en-GB" w:eastAsia="en-AU"/>
        </w:rPr>
        <w:t>Rosies</w:t>
      </w:r>
      <w:proofErr w:type="spellEnd"/>
      <w:r w:rsidR="00F74EB3" w:rsidRPr="000D66F4">
        <w:rPr>
          <w:rFonts w:eastAsia="Arial"/>
          <w:sz w:val="22"/>
          <w:szCs w:val="22"/>
          <w:lang w:val="en-GB" w:eastAsia="en-AU"/>
        </w:rPr>
        <w:t xml:space="preserve"> </w:t>
      </w:r>
      <w:r w:rsidR="000D66F4">
        <w:rPr>
          <w:rFonts w:eastAsia="Arial"/>
          <w:sz w:val="22"/>
          <w:szCs w:val="22"/>
          <w:lang w:val="en-GB" w:eastAsia="en-AU"/>
        </w:rPr>
        <w:tab/>
      </w:r>
      <w:r w:rsidR="000D66F4">
        <w:rPr>
          <w:rFonts w:eastAsia="Arial"/>
          <w:sz w:val="22"/>
          <w:szCs w:val="22"/>
          <w:lang w:val="en-GB" w:eastAsia="en-AU"/>
        </w:rPr>
        <w:tab/>
      </w:r>
      <w:r w:rsidR="00F74EB3" w:rsidRPr="000D66F4">
        <w:rPr>
          <w:rFonts w:eastAsia="Arial"/>
          <w:sz w:val="22"/>
          <w:szCs w:val="22"/>
          <w:lang w:val="en-GB" w:eastAsia="en-AU"/>
        </w:rPr>
        <w:t>Youth Mission Inc</w:t>
      </w:r>
      <w:r w:rsidR="00ED17BE">
        <w:rPr>
          <w:rFonts w:eastAsia="Arial"/>
          <w:sz w:val="22"/>
          <w:szCs w:val="22"/>
          <w:lang w:val="en-GB" w:eastAsia="en-AU"/>
        </w:rPr>
        <w:fldChar w:fldCharType="end"/>
      </w:r>
      <w:r w:rsidR="00F74EB3" w:rsidRPr="000D66F4">
        <w:rPr>
          <w:rFonts w:eastAsia="Arial"/>
          <w:sz w:val="22"/>
          <w:szCs w:val="22"/>
          <w:lang w:val="en-GB" w:eastAsia="en-AU"/>
        </w:rPr>
        <w:t xml:space="preserve">) </w:t>
      </w:r>
      <w:r w:rsidR="00031179" w:rsidRPr="000D66F4">
        <w:rPr>
          <w:rFonts w:eastAsia="Arial"/>
          <w:sz w:val="22"/>
          <w:szCs w:val="22"/>
          <w:lang w:val="en-GB" w:eastAsia="en-AU"/>
        </w:rPr>
        <w:t xml:space="preserve">a charity that provides friendship and conversation for </w:t>
      </w:r>
      <w:r w:rsidR="000D66F4">
        <w:rPr>
          <w:rFonts w:eastAsia="Arial"/>
          <w:sz w:val="22"/>
          <w:szCs w:val="22"/>
          <w:lang w:val="en-GB" w:eastAsia="en-AU"/>
        </w:rPr>
        <w:tab/>
      </w:r>
      <w:r w:rsidR="000D66F4">
        <w:rPr>
          <w:rFonts w:eastAsia="Arial"/>
          <w:sz w:val="22"/>
          <w:szCs w:val="22"/>
          <w:lang w:val="en-GB" w:eastAsia="en-AU"/>
        </w:rPr>
        <w:tab/>
      </w:r>
      <w:r w:rsidR="000D66F4">
        <w:rPr>
          <w:rFonts w:eastAsia="Arial"/>
          <w:sz w:val="22"/>
          <w:szCs w:val="22"/>
          <w:lang w:val="en-GB" w:eastAsia="en-AU"/>
        </w:rPr>
        <w:tab/>
      </w:r>
      <w:r w:rsidR="00031179" w:rsidRPr="000D66F4">
        <w:rPr>
          <w:rFonts w:eastAsia="Arial"/>
          <w:sz w:val="22"/>
          <w:szCs w:val="22"/>
          <w:lang w:val="en-GB" w:eastAsia="en-AU"/>
        </w:rPr>
        <w:t xml:space="preserve">homeless people on the street. </w:t>
      </w:r>
      <w:proofErr w:type="spellStart"/>
      <w:r w:rsidR="00031179" w:rsidRPr="000D66F4">
        <w:rPr>
          <w:rFonts w:eastAsia="Arial"/>
          <w:sz w:val="22"/>
          <w:szCs w:val="22"/>
          <w:lang w:val="en-GB" w:eastAsia="en-AU"/>
        </w:rPr>
        <w:t>Rosies</w:t>
      </w:r>
      <w:proofErr w:type="spellEnd"/>
      <w:r w:rsidR="00031179" w:rsidRPr="000D66F4">
        <w:rPr>
          <w:rFonts w:eastAsia="Arial"/>
          <w:sz w:val="22"/>
          <w:szCs w:val="22"/>
          <w:lang w:val="en-GB" w:eastAsia="en-AU"/>
        </w:rPr>
        <w:t xml:space="preserve"> volunteers reach out with connection </w:t>
      </w:r>
      <w:r w:rsidR="000D66F4">
        <w:rPr>
          <w:rFonts w:eastAsia="Arial"/>
          <w:sz w:val="22"/>
          <w:szCs w:val="22"/>
          <w:lang w:val="en-GB" w:eastAsia="en-AU"/>
        </w:rPr>
        <w:tab/>
      </w:r>
      <w:r w:rsidR="000D66F4">
        <w:rPr>
          <w:rFonts w:eastAsia="Arial"/>
          <w:sz w:val="22"/>
          <w:szCs w:val="22"/>
          <w:lang w:val="en-GB" w:eastAsia="en-AU"/>
        </w:rPr>
        <w:tab/>
      </w:r>
      <w:r w:rsidR="00031179" w:rsidRPr="000D66F4">
        <w:rPr>
          <w:rFonts w:eastAsia="Arial"/>
          <w:sz w:val="22"/>
          <w:szCs w:val="22"/>
          <w:lang w:val="en-GB" w:eastAsia="en-AU"/>
        </w:rPr>
        <w:t xml:space="preserve">and conversation to those who are vulnerable and isolated. </w:t>
      </w:r>
      <w:proofErr w:type="spellStart"/>
      <w:r w:rsidR="00031179" w:rsidRPr="000D66F4">
        <w:rPr>
          <w:rFonts w:eastAsia="Arial"/>
          <w:sz w:val="22"/>
          <w:szCs w:val="22"/>
          <w:lang w:val="en-GB" w:eastAsia="en-AU"/>
        </w:rPr>
        <w:t>Rosies</w:t>
      </w:r>
      <w:proofErr w:type="spellEnd"/>
      <w:r w:rsidR="00031179" w:rsidRPr="000D66F4">
        <w:rPr>
          <w:rFonts w:eastAsia="Arial"/>
          <w:sz w:val="22"/>
          <w:szCs w:val="22"/>
          <w:lang w:val="en-GB" w:eastAsia="en-AU"/>
        </w:rPr>
        <w:t xml:space="preserve"> needs to </w:t>
      </w:r>
      <w:r w:rsidR="000D66F4">
        <w:rPr>
          <w:rFonts w:eastAsia="Arial"/>
          <w:sz w:val="22"/>
          <w:szCs w:val="22"/>
          <w:lang w:val="en-GB" w:eastAsia="en-AU"/>
        </w:rPr>
        <w:tab/>
      </w:r>
      <w:r w:rsidR="000D66F4">
        <w:rPr>
          <w:rFonts w:eastAsia="Arial"/>
          <w:sz w:val="22"/>
          <w:szCs w:val="22"/>
          <w:lang w:val="en-GB" w:eastAsia="en-AU"/>
        </w:rPr>
        <w:tab/>
      </w:r>
      <w:r w:rsidR="00031179" w:rsidRPr="000D66F4">
        <w:rPr>
          <w:rFonts w:eastAsia="Arial"/>
          <w:sz w:val="22"/>
          <w:szCs w:val="22"/>
          <w:lang w:val="en-GB" w:eastAsia="en-AU"/>
        </w:rPr>
        <w:t xml:space="preserve">raise funds for the organisation of their </w:t>
      </w:r>
      <w:r w:rsidR="00712744" w:rsidRPr="000D66F4">
        <w:rPr>
          <w:rFonts w:eastAsia="Arial"/>
          <w:sz w:val="22"/>
          <w:szCs w:val="22"/>
          <w:lang w:val="en-GB" w:eastAsia="en-AU"/>
        </w:rPr>
        <w:t>volunteers, transport</w:t>
      </w:r>
      <w:r w:rsidR="00031179" w:rsidRPr="000D66F4">
        <w:rPr>
          <w:rFonts w:eastAsia="Arial"/>
          <w:sz w:val="22"/>
          <w:szCs w:val="22"/>
          <w:lang w:val="en-GB" w:eastAsia="en-AU"/>
        </w:rPr>
        <w:t xml:space="preserve"> and for the many </w:t>
      </w:r>
      <w:r w:rsidR="000D66F4">
        <w:rPr>
          <w:rFonts w:eastAsia="Arial"/>
          <w:sz w:val="22"/>
          <w:szCs w:val="22"/>
          <w:lang w:val="en-GB" w:eastAsia="en-AU"/>
        </w:rPr>
        <w:tab/>
      </w:r>
      <w:r w:rsidR="000D66F4">
        <w:rPr>
          <w:rFonts w:eastAsia="Arial"/>
          <w:sz w:val="22"/>
          <w:szCs w:val="22"/>
          <w:lang w:val="en-GB" w:eastAsia="en-AU"/>
        </w:rPr>
        <w:tab/>
      </w:r>
      <w:r w:rsidR="00031179" w:rsidRPr="000D66F4">
        <w:rPr>
          <w:rFonts w:eastAsia="Arial"/>
          <w:sz w:val="22"/>
          <w:szCs w:val="22"/>
          <w:lang w:val="en-GB" w:eastAsia="en-AU"/>
        </w:rPr>
        <w:t xml:space="preserve">free coffee vans that are made available in the streets across Queensland. </w:t>
      </w:r>
      <w:r w:rsidR="000D66F4">
        <w:rPr>
          <w:rFonts w:eastAsia="Arial"/>
          <w:sz w:val="22"/>
          <w:szCs w:val="22"/>
          <w:lang w:val="en-GB" w:eastAsia="en-AU"/>
        </w:rPr>
        <w:tab/>
      </w:r>
      <w:r w:rsidR="000D66F4">
        <w:rPr>
          <w:rFonts w:eastAsia="Arial"/>
          <w:sz w:val="22"/>
          <w:szCs w:val="22"/>
          <w:lang w:val="en-GB" w:eastAsia="en-AU"/>
        </w:rPr>
        <w:tab/>
      </w:r>
      <w:proofErr w:type="spellStart"/>
      <w:r w:rsidR="00031179" w:rsidRPr="000D66F4">
        <w:rPr>
          <w:rFonts w:eastAsia="Arial"/>
          <w:sz w:val="22"/>
          <w:szCs w:val="22"/>
          <w:lang w:val="en-GB" w:eastAsia="en-AU"/>
        </w:rPr>
        <w:t>Rosies</w:t>
      </w:r>
      <w:proofErr w:type="spellEnd"/>
      <w:r w:rsidR="00031179" w:rsidRPr="000D66F4">
        <w:rPr>
          <w:rFonts w:eastAsia="Arial"/>
          <w:sz w:val="22"/>
          <w:szCs w:val="22"/>
          <w:lang w:val="en-GB" w:eastAsia="en-AU"/>
        </w:rPr>
        <w:t xml:space="preserve"> is supported by many generous donors and by large numbers of </w:t>
      </w:r>
      <w:r w:rsidR="000D66F4">
        <w:rPr>
          <w:rFonts w:eastAsia="Arial"/>
          <w:sz w:val="22"/>
          <w:szCs w:val="22"/>
          <w:lang w:val="en-GB" w:eastAsia="en-AU"/>
        </w:rPr>
        <w:tab/>
      </w:r>
      <w:r w:rsidR="000D66F4">
        <w:rPr>
          <w:rFonts w:eastAsia="Arial"/>
          <w:sz w:val="22"/>
          <w:szCs w:val="22"/>
          <w:lang w:val="en-GB" w:eastAsia="en-AU"/>
        </w:rPr>
        <w:tab/>
      </w:r>
      <w:r w:rsidR="000D66F4">
        <w:rPr>
          <w:rFonts w:eastAsia="Arial"/>
          <w:sz w:val="22"/>
          <w:szCs w:val="22"/>
          <w:lang w:val="en-GB" w:eastAsia="en-AU"/>
        </w:rPr>
        <w:tab/>
      </w:r>
      <w:r w:rsidR="00031179" w:rsidRPr="000D66F4">
        <w:rPr>
          <w:rFonts w:eastAsia="Arial"/>
          <w:sz w:val="22"/>
          <w:szCs w:val="22"/>
          <w:lang w:val="en-GB" w:eastAsia="en-AU"/>
        </w:rPr>
        <w:t>volunteers.</w:t>
      </w:r>
      <w:r w:rsidR="00DB00A2" w:rsidRPr="000D66F4">
        <w:rPr>
          <w:rFonts w:eastAsia="Arial"/>
          <w:sz w:val="22"/>
          <w:szCs w:val="22"/>
          <w:lang w:val="en-GB" w:eastAsia="en-AU"/>
        </w:rPr>
        <w:t xml:space="preserve"> He decided to give a donation of </w:t>
      </w:r>
      <w:proofErr w:type="gramStart"/>
      <w:r w:rsidR="00DB00A2" w:rsidRPr="000D66F4">
        <w:rPr>
          <w:rFonts w:eastAsia="Arial"/>
          <w:sz w:val="22"/>
          <w:szCs w:val="22"/>
          <w:lang w:val="en-GB" w:eastAsia="en-AU"/>
        </w:rPr>
        <w:t>$50.00</w:t>
      </w:r>
      <w:proofErr w:type="gramEnd"/>
    </w:p>
    <w:p w14:paraId="77012197" w14:textId="01729239" w:rsidR="000D66F4" w:rsidRDefault="000D66F4" w:rsidP="000D66F4">
      <w:pPr>
        <w:spacing w:after="0"/>
        <w:rPr>
          <w:rFonts w:eastAsia="Arial"/>
          <w:sz w:val="22"/>
          <w:szCs w:val="22"/>
          <w:lang w:val="en-GB" w:eastAsia="en-AU"/>
        </w:rPr>
      </w:pPr>
    </w:p>
    <w:p w14:paraId="4BCAECA1" w14:textId="421DB410" w:rsidR="000D66F4" w:rsidRDefault="00CD13F8" w:rsidP="0070303A">
      <w:pPr>
        <w:jc w:val="both"/>
      </w:pPr>
      <w:r>
        <w:t xml:space="preserve">Example B. </w:t>
      </w:r>
      <w:r w:rsidR="005E158C" w:rsidRPr="005E158C">
        <w:t xml:space="preserve">A local businessman was contacted by Vinnies to </w:t>
      </w:r>
      <w:proofErr w:type="gramStart"/>
      <w:r w:rsidR="005E158C" w:rsidRPr="005E158C">
        <w:t>make a donation</w:t>
      </w:r>
      <w:proofErr w:type="gramEnd"/>
      <w:r w:rsidR="005E158C" w:rsidRPr="005E158C">
        <w:t xml:space="preserve"> towards </w:t>
      </w:r>
      <w:r w:rsidR="000D66F4">
        <w:tab/>
      </w:r>
      <w:r w:rsidR="000D66F4">
        <w:tab/>
      </w:r>
      <w:r w:rsidR="005E158C" w:rsidRPr="005E158C">
        <w:t>Cornerstone.</w:t>
      </w:r>
      <w:r w:rsidR="005E158C">
        <w:t xml:space="preserve"> </w:t>
      </w:r>
      <w:bookmarkStart w:id="1" w:name="_Hlk131191684"/>
      <w:r>
        <w:fldChar w:fldCharType="begin"/>
      </w:r>
      <w:r>
        <w:instrText>HYPERLINK "https://qld.vinnies.org.au/services/housing/specialist-homelessness-services"</w:instrText>
      </w:r>
      <w:r>
        <w:fldChar w:fldCharType="separate"/>
      </w:r>
      <w:r w:rsidR="00031179" w:rsidRPr="00A46711">
        <w:rPr>
          <w:rStyle w:val="Hyperlink"/>
        </w:rPr>
        <w:t>Cornerstone Homelessness Services</w:t>
      </w:r>
      <w:r>
        <w:rPr>
          <w:rStyle w:val="Hyperlink"/>
        </w:rPr>
        <w:fldChar w:fldCharType="end"/>
      </w:r>
      <w:bookmarkEnd w:id="1"/>
      <w:r w:rsidR="005E158C">
        <w:rPr>
          <w:rStyle w:val="Hyperlink"/>
        </w:rPr>
        <w:t xml:space="preserve"> is </w:t>
      </w:r>
      <w:r w:rsidR="00031179" w:rsidRPr="00031179">
        <w:t xml:space="preserve">operated by St </w:t>
      </w:r>
      <w:r w:rsidR="000D66F4">
        <w:tab/>
      </w:r>
      <w:r w:rsidR="000D66F4">
        <w:tab/>
      </w:r>
      <w:r w:rsidR="000D66F4">
        <w:tab/>
      </w:r>
      <w:r w:rsidR="00031179" w:rsidRPr="00031179">
        <w:t>Vincent de Paul Society</w:t>
      </w:r>
      <w:r w:rsidR="001F2CB2">
        <w:t>, Queensland</w:t>
      </w:r>
      <w:r w:rsidR="005E158C">
        <w:t xml:space="preserve"> and </w:t>
      </w:r>
      <w:r w:rsidR="001F2CB2">
        <w:t>provides</w:t>
      </w:r>
      <w:r w:rsidR="00031179" w:rsidRPr="00031179">
        <w:t xml:space="preserve"> a </w:t>
      </w:r>
      <w:r w:rsidR="00610A3C">
        <w:t>“</w:t>
      </w:r>
      <w:r w:rsidR="00031179" w:rsidRPr="00031179">
        <w:t xml:space="preserve">housing first </w:t>
      </w:r>
      <w:r w:rsidR="000D66F4">
        <w:tab/>
      </w:r>
      <w:r w:rsidR="000D66F4">
        <w:tab/>
      </w:r>
      <w:r w:rsidR="000D66F4">
        <w:tab/>
      </w:r>
      <w:r w:rsidR="00031179" w:rsidRPr="00031179">
        <w:t>approach</w:t>
      </w:r>
      <w:r w:rsidR="00610A3C">
        <w:t>”</w:t>
      </w:r>
      <w:r w:rsidR="00031179" w:rsidRPr="00031179">
        <w:t xml:space="preserve"> which transitions a person or household, wherever possible, </w:t>
      </w:r>
      <w:r w:rsidR="000D66F4">
        <w:tab/>
      </w:r>
      <w:r w:rsidR="000D66F4">
        <w:tab/>
      </w:r>
      <w:r w:rsidR="00031179" w:rsidRPr="00031179">
        <w:t xml:space="preserve"> from homelessness into stable, long-term housing, with support </w:t>
      </w:r>
      <w:r w:rsidR="0070303A">
        <w:tab/>
      </w:r>
      <w:r w:rsidR="0070303A">
        <w:tab/>
      </w:r>
      <w:r w:rsidR="0070303A">
        <w:tab/>
      </w:r>
      <w:r w:rsidR="00031179" w:rsidRPr="00031179">
        <w:t xml:space="preserve">provided where necessary to sustain the tenancy. </w:t>
      </w:r>
      <w:r w:rsidR="00DB00A2">
        <w:t xml:space="preserve">It was explained that </w:t>
      </w:r>
      <w:r w:rsidR="000D66F4">
        <w:tab/>
      </w:r>
      <w:r w:rsidR="000D66F4">
        <w:tab/>
      </w:r>
      <w:r w:rsidR="00DB00A2">
        <w:t xml:space="preserve">the funds raised would help </w:t>
      </w:r>
      <w:r w:rsidR="00031179" w:rsidRPr="00031179">
        <w:t xml:space="preserve">to pay for the administration of the properties </w:t>
      </w:r>
      <w:r w:rsidR="000D66F4">
        <w:tab/>
      </w:r>
      <w:r w:rsidR="000D66F4">
        <w:tab/>
      </w:r>
      <w:r w:rsidR="00031179" w:rsidRPr="00031179">
        <w:t xml:space="preserve">and Vinnies ability to add the “extras” that </w:t>
      </w:r>
      <w:r w:rsidR="00DB00A2">
        <w:t xml:space="preserve">help </w:t>
      </w:r>
      <w:r w:rsidR="00031179" w:rsidRPr="00031179">
        <w:t xml:space="preserve">make the services more </w:t>
      </w:r>
      <w:r w:rsidR="000D66F4">
        <w:tab/>
      </w:r>
      <w:r w:rsidR="000D66F4">
        <w:tab/>
      </w:r>
      <w:r w:rsidR="00031179" w:rsidRPr="00031179">
        <w:t xml:space="preserve">personal and friendly. The </w:t>
      </w:r>
      <w:r w:rsidR="00DB00A2">
        <w:t xml:space="preserve">businessman decided to give $500 again as he </w:t>
      </w:r>
      <w:r w:rsidR="000D66F4">
        <w:tab/>
      </w:r>
      <w:r w:rsidR="000D66F4">
        <w:tab/>
      </w:r>
      <w:r w:rsidR="00DB00A2">
        <w:t xml:space="preserve">had been a donor </w:t>
      </w:r>
      <w:r w:rsidR="00A46711">
        <w:t>during the</w:t>
      </w:r>
      <w:r w:rsidR="00031179" w:rsidRPr="00031179">
        <w:t xml:space="preserve"> </w:t>
      </w:r>
      <w:r w:rsidR="00A46711">
        <w:t>professional</w:t>
      </w:r>
      <w:r w:rsidR="00031179" w:rsidRPr="00031179">
        <w:t xml:space="preserve"> “capital fundraising” campaign </w:t>
      </w:r>
      <w:r w:rsidR="000D66F4">
        <w:tab/>
      </w:r>
      <w:r w:rsidR="000D66F4">
        <w:tab/>
      </w:r>
      <w:r w:rsidR="00031179" w:rsidRPr="00031179">
        <w:t xml:space="preserve">conducted </w:t>
      </w:r>
      <w:r w:rsidR="0070303A">
        <w:t xml:space="preserve">to build the facility </w:t>
      </w:r>
      <w:r w:rsidR="00A46711">
        <w:t>several years ago.</w:t>
      </w:r>
      <w:r w:rsidR="00031179" w:rsidRPr="00031179">
        <w:t xml:space="preserve">  </w:t>
      </w:r>
    </w:p>
    <w:p w14:paraId="420B0D54" w14:textId="2059D958" w:rsidR="00031179" w:rsidRPr="00031179" w:rsidRDefault="00CD13F8" w:rsidP="000D66F4">
      <w:pPr>
        <w:jc w:val="both"/>
      </w:pPr>
      <w:r>
        <w:t>Example C.</w:t>
      </w:r>
      <w:r w:rsidR="000D66F4">
        <w:tab/>
      </w:r>
      <w:r w:rsidR="00031179" w:rsidRPr="00031179">
        <w:t xml:space="preserve">In a local shopping </w:t>
      </w:r>
      <w:r w:rsidR="00A46711" w:rsidRPr="00031179">
        <w:t>centre,</w:t>
      </w:r>
      <w:r w:rsidR="00031179" w:rsidRPr="00031179">
        <w:t xml:space="preserve"> a shopper was recently approached for a </w:t>
      </w:r>
      <w:r w:rsidR="000D66F4">
        <w:tab/>
      </w:r>
      <w:r w:rsidR="000D66F4">
        <w:tab/>
      </w:r>
      <w:r w:rsidR="000D66F4">
        <w:tab/>
      </w:r>
      <w:r w:rsidR="00031179" w:rsidRPr="00031179">
        <w:t xml:space="preserve">donation by a person who appeared to be homeless who said that he </w:t>
      </w:r>
      <w:r w:rsidR="000D66F4">
        <w:tab/>
      </w:r>
      <w:r w:rsidR="000D66F4">
        <w:tab/>
      </w:r>
      <w:r w:rsidR="000D66F4">
        <w:tab/>
      </w:r>
      <w:r w:rsidR="00031179" w:rsidRPr="00031179">
        <w:t xml:space="preserve">needed help to pay for a place to stay and “get cleaned up”. The shopper </w:t>
      </w:r>
      <w:r w:rsidR="000D66F4">
        <w:tab/>
      </w:r>
      <w:r w:rsidR="000D66F4">
        <w:tab/>
      </w:r>
      <w:r w:rsidR="00031179" w:rsidRPr="00031179">
        <w:t xml:space="preserve">spoke briefly to the person about his situation and gave him $10.00. and </w:t>
      </w:r>
      <w:r w:rsidR="000D66F4">
        <w:lastRenderedPageBreak/>
        <w:tab/>
      </w:r>
      <w:r w:rsidR="000D66F4">
        <w:tab/>
      </w:r>
      <w:r w:rsidR="00031179" w:rsidRPr="00031179">
        <w:t>wished him good luck.</w:t>
      </w:r>
      <w:r w:rsidR="004B21C4">
        <w:t xml:space="preserve"> (</w:t>
      </w:r>
      <w:proofErr w:type="gramStart"/>
      <w:r w:rsidR="0032146F">
        <w:t>despite</w:t>
      </w:r>
      <w:proofErr w:type="gramEnd"/>
      <w:r w:rsidR="0032146F">
        <w:t xml:space="preserve"> such “b</w:t>
      </w:r>
      <w:r w:rsidR="004B21C4" w:rsidRPr="004B21C4">
        <w:t>egging</w:t>
      </w:r>
      <w:r w:rsidR="0032146F">
        <w:t>”</w:t>
      </w:r>
      <w:r w:rsidR="004B21C4" w:rsidRPr="004B21C4">
        <w:t xml:space="preserve"> in a public place </w:t>
      </w:r>
      <w:r w:rsidR="0032146F">
        <w:t xml:space="preserve">being </w:t>
      </w:r>
      <w:r w:rsidR="0032146F">
        <w:tab/>
      </w:r>
      <w:r w:rsidR="0032146F">
        <w:tab/>
      </w:r>
      <w:r w:rsidR="0032146F">
        <w:tab/>
      </w:r>
      <w:r w:rsidR="004B21C4" w:rsidRPr="004B21C4">
        <w:t>illegal in Queensland</w:t>
      </w:r>
      <w:r w:rsidR="004B21C4">
        <w:t xml:space="preserve"> – see Sect 8 of the Summary Offences Act 2005)</w:t>
      </w:r>
    </w:p>
    <w:p w14:paraId="308CC9A2" w14:textId="34D60FF6" w:rsidR="00962AEF" w:rsidRDefault="00746897" w:rsidP="00031179">
      <w:pPr>
        <w:jc w:val="both"/>
      </w:pPr>
      <w:r>
        <w:t xml:space="preserve">I submit that </w:t>
      </w:r>
      <w:r w:rsidR="00B3235A">
        <w:t>the</w:t>
      </w:r>
      <w:r w:rsidR="00580F16">
        <w:t xml:space="preserve"> assessment of </w:t>
      </w:r>
      <w:r w:rsidR="00F27127">
        <w:t>the</w:t>
      </w:r>
      <w:r w:rsidR="00F27127" w:rsidRPr="00F27127">
        <w:t xml:space="preserve"> </w:t>
      </w:r>
      <w:r w:rsidR="0085275F">
        <w:t>“</w:t>
      </w:r>
      <w:r w:rsidR="00F27127" w:rsidRPr="00031179">
        <w:t>effectiveness</w:t>
      </w:r>
      <w:r w:rsidR="0085275F">
        <w:t>” of any one of these donations</w:t>
      </w:r>
      <w:r w:rsidR="00F27127">
        <w:t xml:space="preserve"> </w:t>
      </w:r>
      <w:r w:rsidR="00B134A7">
        <w:t>depends largely on the perspective</w:t>
      </w:r>
      <w:r w:rsidR="00D15A73">
        <w:t>s</w:t>
      </w:r>
      <w:r w:rsidR="00B134A7">
        <w:t xml:space="preserve"> of the </w:t>
      </w:r>
      <w:r w:rsidR="00641B6D">
        <w:t>assessor</w:t>
      </w:r>
      <w:r w:rsidR="00962AEF">
        <w:t xml:space="preserve">. </w:t>
      </w:r>
    </w:p>
    <w:p w14:paraId="3D0B1AF8" w14:textId="1BBF47C7" w:rsidR="00031179" w:rsidRDefault="00641B6D" w:rsidP="00031179">
      <w:pPr>
        <w:jc w:val="both"/>
      </w:pPr>
      <w:r>
        <w:t xml:space="preserve">If the </w:t>
      </w:r>
      <w:r w:rsidR="00FE24E7">
        <w:t>assessment is being made</w:t>
      </w:r>
      <w:r w:rsidR="00727407">
        <w:t xml:space="preserve"> by </w:t>
      </w:r>
      <w:r w:rsidR="00334312">
        <w:t>a philanthropic donor</w:t>
      </w:r>
      <w:r w:rsidR="004B635F">
        <w:t xml:space="preserve">, the donor may be satisfied </w:t>
      </w:r>
      <w:r w:rsidR="00743FF8">
        <w:t>in</w:t>
      </w:r>
      <w:r w:rsidR="004B635F">
        <w:t xml:space="preserve"> </w:t>
      </w:r>
      <w:r w:rsidR="00FC4D87">
        <w:t xml:space="preserve">their </w:t>
      </w:r>
      <w:r w:rsidR="008B1285">
        <w:t>belief that they ha</w:t>
      </w:r>
      <w:r w:rsidR="00F3095D">
        <w:t>ve</w:t>
      </w:r>
      <w:r w:rsidR="008B1285">
        <w:t xml:space="preserve"> </w:t>
      </w:r>
      <w:r w:rsidR="002B5E6F">
        <w:t xml:space="preserve">responded </w:t>
      </w:r>
      <w:r w:rsidR="007B068D">
        <w:t>in a small way to people in need</w:t>
      </w:r>
      <w:r w:rsidR="00BB01B0">
        <w:t xml:space="preserve"> and felt g</w:t>
      </w:r>
      <w:r w:rsidR="00B859E5">
        <w:t>oo</w:t>
      </w:r>
      <w:r w:rsidR="00BB01B0">
        <w:t>d that they had “done the right thing</w:t>
      </w:r>
      <w:r w:rsidR="00B859E5">
        <w:t>”.</w:t>
      </w:r>
      <w:r w:rsidR="00224D8B">
        <w:t xml:space="preserve"> At the time when they made their donation it is unlikely</w:t>
      </w:r>
      <w:r w:rsidR="00425863">
        <w:t xml:space="preserve"> that they would </w:t>
      </w:r>
      <w:r w:rsidR="00AC4CA2">
        <w:t xml:space="preserve">have </w:t>
      </w:r>
      <w:r w:rsidR="00425863">
        <w:t>ask</w:t>
      </w:r>
      <w:r w:rsidR="00AC4CA2">
        <w:t>ed</w:t>
      </w:r>
      <w:r w:rsidR="00425863">
        <w:t xml:space="preserve"> themselves</w:t>
      </w:r>
      <w:r w:rsidR="00B531E4">
        <w:t xml:space="preserve"> the</w:t>
      </w:r>
      <w:r w:rsidR="00425863">
        <w:t xml:space="preserve"> questions </w:t>
      </w:r>
      <w:r w:rsidR="00031179" w:rsidRPr="00031179">
        <w:t>- “</w:t>
      </w:r>
      <w:r w:rsidR="00DB00A2">
        <w:t>I</w:t>
      </w:r>
      <w:r w:rsidR="00031179" w:rsidRPr="00031179">
        <w:t xml:space="preserve">s my gift </w:t>
      </w:r>
      <w:r w:rsidR="00DB00A2">
        <w:t xml:space="preserve">going to be </w:t>
      </w:r>
      <w:r w:rsidR="00031179" w:rsidRPr="00031179">
        <w:t xml:space="preserve">effective?” </w:t>
      </w:r>
      <w:r w:rsidR="00DB00A2">
        <w:t xml:space="preserve">or </w:t>
      </w:r>
      <w:r w:rsidR="00031179" w:rsidRPr="00031179">
        <w:t>“</w:t>
      </w:r>
      <w:r w:rsidR="00DB00A2">
        <w:t>I</w:t>
      </w:r>
      <w:r w:rsidR="00031179" w:rsidRPr="00031179">
        <w:t xml:space="preserve">s my </w:t>
      </w:r>
      <w:r w:rsidR="00DB00A2">
        <w:t>giving an</w:t>
      </w:r>
      <w:r w:rsidR="00031179" w:rsidRPr="00031179">
        <w:t xml:space="preserve"> efficient</w:t>
      </w:r>
      <w:r w:rsidR="00DB00A2">
        <w:t xml:space="preserve"> way to help</w:t>
      </w:r>
      <w:r w:rsidR="00031179" w:rsidRPr="00031179">
        <w:t>?”</w:t>
      </w:r>
    </w:p>
    <w:p w14:paraId="00E135D1" w14:textId="4F7547A2" w:rsidR="004E5B34" w:rsidRPr="00031179" w:rsidRDefault="004E5B34" w:rsidP="00031179">
      <w:pPr>
        <w:jc w:val="both"/>
      </w:pPr>
      <w:r>
        <w:t>If the assessment was being made by a</w:t>
      </w:r>
      <w:r w:rsidR="007C2494">
        <w:t xml:space="preserve"> person who </w:t>
      </w:r>
      <w:r w:rsidR="009737FA">
        <w:t xml:space="preserve">has </w:t>
      </w:r>
      <w:r w:rsidR="008E237E">
        <w:t>some knowledge</w:t>
      </w:r>
      <w:r w:rsidR="00286573">
        <w:t xml:space="preserve"> of the </w:t>
      </w:r>
      <w:r w:rsidR="0025229E">
        <w:t xml:space="preserve">mental </w:t>
      </w:r>
      <w:r w:rsidR="005A29BD">
        <w:t xml:space="preserve">distress </w:t>
      </w:r>
      <w:r w:rsidR="00286573">
        <w:t>associated with homeless</w:t>
      </w:r>
      <w:r w:rsidR="004A71A2">
        <w:t xml:space="preserve">ness, that person may </w:t>
      </w:r>
      <w:r w:rsidR="008B06C1">
        <w:t xml:space="preserve">prefer to support </w:t>
      </w:r>
      <w:proofErr w:type="spellStart"/>
      <w:r w:rsidR="00D86DF3">
        <w:t>Rosies</w:t>
      </w:r>
      <w:proofErr w:type="spellEnd"/>
      <w:r w:rsidR="002F6186">
        <w:t>.</w:t>
      </w:r>
      <w:r w:rsidR="00025EBE">
        <w:t xml:space="preserve"> </w:t>
      </w:r>
      <w:r w:rsidR="00A74BC5">
        <w:t>A</w:t>
      </w:r>
      <w:r w:rsidR="004F4F7D">
        <w:t>lternative</w:t>
      </w:r>
      <w:r w:rsidR="00A74BC5">
        <w:t xml:space="preserve">ly, </w:t>
      </w:r>
      <w:r w:rsidR="00D9457F">
        <w:t xml:space="preserve">a person </w:t>
      </w:r>
      <w:r w:rsidR="008325BD">
        <w:t xml:space="preserve">who is </w:t>
      </w:r>
      <w:r w:rsidR="00D9457F">
        <w:t>aware of the current “housing crisis</w:t>
      </w:r>
      <w:r w:rsidR="008325BD">
        <w:t>”</w:t>
      </w:r>
      <w:r w:rsidR="004F4F7D">
        <w:t xml:space="preserve"> </w:t>
      </w:r>
      <w:r w:rsidR="00A74BC5">
        <w:t>may</w:t>
      </w:r>
      <w:r w:rsidR="004F287D">
        <w:t xml:space="preserve"> want to </w:t>
      </w:r>
      <w:r w:rsidR="005F3C30">
        <w:t>see more funds made available to Vinnies</w:t>
      </w:r>
      <w:r w:rsidR="00DB3D9F">
        <w:t xml:space="preserve"> and their housing services</w:t>
      </w:r>
      <w:r w:rsidR="00D92751">
        <w:t>.</w:t>
      </w:r>
      <w:r w:rsidR="002D3B25">
        <w:t xml:space="preserve"> </w:t>
      </w:r>
      <w:r w:rsidR="007C2494">
        <w:t xml:space="preserve"> </w:t>
      </w:r>
    </w:p>
    <w:p w14:paraId="6E16728F" w14:textId="797B359F" w:rsidR="00031179" w:rsidRPr="00031179" w:rsidRDefault="00031179" w:rsidP="00031179">
      <w:pPr>
        <w:jc w:val="both"/>
      </w:pPr>
      <w:r w:rsidRPr="00031179">
        <w:t xml:space="preserve">I submit that each of these examples </w:t>
      </w:r>
      <w:r w:rsidR="0020053F">
        <w:t xml:space="preserve">demonstrate </w:t>
      </w:r>
      <w:r w:rsidR="00E420B9">
        <w:t>the different perspectives</w:t>
      </w:r>
      <w:r w:rsidR="007D53F7">
        <w:t xml:space="preserve"> that</w:t>
      </w:r>
      <w:r w:rsidRPr="00031179">
        <w:t xml:space="preserve"> donors </w:t>
      </w:r>
      <w:r w:rsidR="007D53F7">
        <w:t xml:space="preserve">bring to their choices when </w:t>
      </w:r>
      <w:r w:rsidRPr="00031179">
        <w:t xml:space="preserve">challenged to make philanthropic decisions about helping homeless people in need. </w:t>
      </w:r>
      <w:r w:rsidR="00986AC2">
        <w:t>I submit that m</w:t>
      </w:r>
      <w:r w:rsidRPr="00031179">
        <w:t>ost people are inclined to respond philanthropically (with kindness and</w:t>
      </w:r>
      <w:r w:rsidR="001E0755">
        <w:t>/</w:t>
      </w:r>
      <w:r w:rsidRPr="00031179">
        <w:t>or a sense of duty) without consideration of the “efficiency” or “effectiveness” of their donations.  </w:t>
      </w:r>
    </w:p>
    <w:p w14:paraId="79F50A36" w14:textId="4F96A32C" w:rsidR="00C22056" w:rsidRDefault="00031179" w:rsidP="00031179">
      <w:pPr>
        <w:jc w:val="both"/>
      </w:pPr>
      <w:r w:rsidRPr="00031179">
        <w:t xml:space="preserve">It </w:t>
      </w:r>
      <w:r w:rsidR="00654246">
        <w:t>is</w:t>
      </w:r>
      <w:r w:rsidRPr="00031179">
        <w:t xml:space="preserve"> also true that a donor’s consideration of “effectiveness” may, in part, be determined by the timing of that consideration. The decision to donate when asked may be different when the donor later reviewed alternatives as to where and how to donate</w:t>
      </w:r>
      <w:r w:rsidRPr="00031179">
        <w:rPr>
          <w:vertAlign w:val="superscript"/>
        </w:rPr>
        <w:footnoteReference w:id="10"/>
      </w:r>
      <w:r w:rsidRPr="00031179">
        <w:t>.</w:t>
      </w:r>
    </w:p>
    <w:p w14:paraId="2AAF035E" w14:textId="2E7ADF45" w:rsidR="00CD13F8" w:rsidRDefault="00CD13F8" w:rsidP="00247B82">
      <w:pPr>
        <w:jc w:val="both"/>
        <w:rPr>
          <w:b/>
          <w:bCs/>
        </w:rPr>
      </w:pPr>
      <w:r>
        <w:rPr>
          <w:b/>
          <w:bCs/>
        </w:rPr>
        <w:t xml:space="preserve">Section 3. </w:t>
      </w:r>
      <w:r w:rsidRPr="00CD13F8">
        <w:rPr>
          <w:b/>
          <w:bCs/>
        </w:rPr>
        <w:t>“</w:t>
      </w:r>
      <w:r>
        <w:rPr>
          <w:b/>
          <w:bCs/>
        </w:rPr>
        <w:t>E</w:t>
      </w:r>
      <w:r w:rsidRPr="00CD13F8">
        <w:rPr>
          <w:b/>
          <w:bCs/>
        </w:rPr>
        <w:t>fficiency of the use of donations”.</w:t>
      </w:r>
    </w:p>
    <w:p w14:paraId="56FCCA53" w14:textId="17522DC7" w:rsidR="00136176" w:rsidRPr="005D056E" w:rsidRDefault="00136176" w:rsidP="00247B82">
      <w:pPr>
        <w:jc w:val="both"/>
      </w:pPr>
      <w:r w:rsidRPr="005D056E">
        <w:t xml:space="preserve">There are a number of ways that </w:t>
      </w:r>
      <w:r w:rsidR="004A1C27" w:rsidRPr="005D056E">
        <w:t xml:space="preserve">parties involved in </w:t>
      </w:r>
      <w:r w:rsidRPr="005D056E">
        <w:t xml:space="preserve">philanthropic transactions </w:t>
      </w:r>
      <w:r w:rsidR="004A1C27" w:rsidRPr="005D056E">
        <w:t xml:space="preserve">may </w:t>
      </w:r>
      <w:proofErr w:type="gramStart"/>
      <w:r w:rsidR="004A1C27" w:rsidRPr="005D056E">
        <w:t xml:space="preserve">use </w:t>
      </w:r>
      <w:r w:rsidRPr="005D056E">
        <w:t xml:space="preserve"> an</w:t>
      </w:r>
      <w:proofErr w:type="gramEnd"/>
      <w:r w:rsidRPr="005D056E">
        <w:t xml:space="preserve"> economic perspective</w:t>
      </w:r>
      <w:r w:rsidR="00097D34" w:rsidRPr="005D056E">
        <w:t xml:space="preserve"> – including the </w:t>
      </w:r>
      <w:r w:rsidR="00190B46" w:rsidRPr="005D056E">
        <w:t xml:space="preserve">perspectives of </w:t>
      </w:r>
      <w:r w:rsidR="004A1C27" w:rsidRPr="005D056E">
        <w:t xml:space="preserve">donors, charities and regulators. </w:t>
      </w:r>
    </w:p>
    <w:p w14:paraId="0D697314" w14:textId="6A523381" w:rsidR="007C2B27" w:rsidRPr="005D056E" w:rsidRDefault="004A1C27" w:rsidP="00247B82">
      <w:pPr>
        <w:jc w:val="both"/>
      </w:pPr>
      <w:r w:rsidRPr="005D056E">
        <w:t xml:space="preserve">I submit that for only a small proportion of donors, the economics of their donation </w:t>
      </w:r>
      <w:r w:rsidR="00573E30" w:rsidRPr="005D056E">
        <w:t>is</w:t>
      </w:r>
      <w:r w:rsidRPr="005D056E">
        <w:t xml:space="preserve"> important, </w:t>
      </w:r>
      <w:r w:rsidR="00FE670D" w:rsidRPr="005D056E">
        <w:t>however</w:t>
      </w:r>
      <w:r w:rsidRPr="005D056E">
        <w:t xml:space="preserve"> charities themselves </w:t>
      </w:r>
      <w:r w:rsidR="00FE670D" w:rsidRPr="005D056E">
        <w:t xml:space="preserve">and government regulators </w:t>
      </w:r>
      <w:r w:rsidRPr="005D056E">
        <w:t xml:space="preserve">are concerned to ensure that the donations </w:t>
      </w:r>
      <w:r w:rsidR="00190B46" w:rsidRPr="005D056E">
        <w:t xml:space="preserve">that </w:t>
      </w:r>
      <w:r w:rsidR="00FE670D" w:rsidRPr="005D056E">
        <w:t>charities</w:t>
      </w:r>
      <w:r w:rsidRPr="005D056E">
        <w:t xml:space="preserve"> receive are used in an efficient and effective way. </w:t>
      </w:r>
    </w:p>
    <w:p w14:paraId="70669C6F" w14:textId="2252C8F9" w:rsidR="00FE670D" w:rsidRDefault="00FE670D" w:rsidP="00247B82">
      <w:pPr>
        <w:jc w:val="both"/>
      </w:pPr>
      <w:r w:rsidRPr="005D056E">
        <w:t>“</w:t>
      </w:r>
      <w:r w:rsidR="00B57AAE" w:rsidRPr="005D056E">
        <w:t>A</w:t>
      </w:r>
      <w:r w:rsidRPr="005D056E">
        <w:t>gency theory”</w:t>
      </w:r>
      <w:r w:rsidR="00EA5910" w:rsidRPr="005D056E">
        <w:rPr>
          <w:rStyle w:val="FootnoteReference"/>
        </w:rPr>
        <w:footnoteReference w:id="11"/>
      </w:r>
      <w:r w:rsidR="00B57AAE" w:rsidRPr="005D056E">
        <w:t xml:space="preserve"> </w:t>
      </w:r>
      <w:r w:rsidR="00BE108A" w:rsidRPr="005D056E">
        <w:t xml:space="preserve">proposes that donors to charities (customers) use </w:t>
      </w:r>
      <w:r w:rsidR="00012D0A" w:rsidRPr="005D056E">
        <w:t>non-profit</w:t>
      </w:r>
      <w:r w:rsidR="00BE108A" w:rsidRPr="005D056E">
        <w:t xml:space="preserve"> organisations as trusted agents because customers find it costly to determine quality </w:t>
      </w:r>
      <w:r w:rsidR="00BE108A" w:rsidRPr="005D056E">
        <w:lastRenderedPageBreak/>
        <w:t>before or even after purchase</w:t>
      </w:r>
      <w:r w:rsidR="00012D0A" w:rsidRPr="005D056E">
        <w:t xml:space="preserve"> and prefer to use non-profit</w:t>
      </w:r>
      <w:r w:rsidR="00BE108A" w:rsidRPr="005D056E">
        <w:t xml:space="preserve"> </w:t>
      </w:r>
      <w:r w:rsidR="00012D0A" w:rsidRPr="005D056E">
        <w:t>rather than for-profit organisations</w:t>
      </w:r>
      <w:r w:rsidR="00012D0A" w:rsidRPr="005D056E">
        <w:rPr>
          <w:rStyle w:val="FootnoteReference"/>
        </w:rPr>
        <w:footnoteReference w:id="12"/>
      </w:r>
      <w:r w:rsidR="00012D0A" w:rsidRPr="005D056E">
        <w:t>.</w:t>
      </w:r>
    </w:p>
    <w:p w14:paraId="4A27A29C" w14:textId="6E295AC7" w:rsidR="005D056E" w:rsidRDefault="005D056E" w:rsidP="005D056E">
      <w:pPr>
        <w:jc w:val="both"/>
        <w:rPr>
          <w:b/>
          <w:bCs/>
        </w:rPr>
      </w:pPr>
    </w:p>
    <w:p w14:paraId="31CAFD9E" w14:textId="6D9609B8" w:rsidR="005D056E" w:rsidRPr="005D056E" w:rsidRDefault="005D056E" w:rsidP="005D056E">
      <w:pPr>
        <w:pBdr>
          <w:top w:val="double" w:sz="4" w:space="1" w:color="auto"/>
          <w:left w:val="double" w:sz="4" w:space="4" w:color="auto"/>
          <w:bottom w:val="double" w:sz="4" w:space="1" w:color="auto"/>
          <w:right w:val="double" w:sz="4" w:space="4" w:color="auto"/>
        </w:pBdr>
        <w:jc w:val="both"/>
        <w:rPr>
          <w:b/>
          <w:bCs/>
        </w:rPr>
      </w:pPr>
      <w:r w:rsidRPr="005D056E">
        <w:rPr>
          <w:b/>
          <w:bCs/>
        </w:rPr>
        <w:t>Agency theory</w:t>
      </w:r>
    </w:p>
    <w:p w14:paraId="5370673F" w14:textId="05B8753D" w:rsidR="005D056E" w:rsidRPr="005D056E" w:rsidRDefault="005D056E" w:rsidP="005D056E">
      <w:pPr>
        <w:pBdr>
          <w:top w:val="double" w:sz="4" w:space="1" w:color="auto"/>
          <w:left w:val="double" w:sz="4" w:space="4" w:color="auto"/>
          <w:bottom w:val="double" w:sz="4" w:space="1" w:color="auto"/>
          <w:right w:val="double" w:sz="4" w:space="4" w:color="auto"/>
        </w:pBdr>
        <w:jc w:val="both"/>
      </w:pPr>
      <w:r w:rsidRPr="005D056E">
        <w:t xml:space="preserve">Calls for greater levels of accountability in philanthropy are theoretically based on </w:t>
      </w:r>
      <w:r>
        <w:t>the economic “</w:t>
      </w:r>
      <w:r w:rsidRPr="005D056E">
        <w:t>agency theory</w:t>
      </w:r>
      <w:r>
        <w:t>”</w:t>
      </w:r>
      <w:r w:rsidRPr="005D056E">
        <w:t xml:space="preserve"> – the idea that the donor (purchaser) must rely on a charity (agent) to deliver the donation (product) to the beneficiary. The agent is said to have a duty of accountability to the donor to maintain the purchaser’s level of trust in the agent’s duties as an intermediary. The agent must also be relied upon to report the effectiveness (outcome) of the transaction.</w:t>
      </w:r>
      <w:r w:rsidRPr="005D056E">
        <w:rPr>
          <w:vertAlign w:val="superscript"/>
        </w:rPr>
        <w:footnoteReference w:id="13"/>
      </w:r>
      <w:r w:rsidRPr="005D056E">
        <w:t xml:space="preserve"> </w:t>
      </w:r>
    </w:p>
    <w:p w14:paraId="25A65F18" w14:textId="7A9AEEE3" w:rsidR="00C96340" w:rsidRDefault="00C96340" w:rsidP="00247B82">
      <w:pPr>
        <w:jc w:val="both"/>
      </w:pPr>
      <w:r w:rsidRPr="00C96340">
        <w:t>From an economic perspective, the philanthropic donor has an exchange with the beneficiaries either directly or through the agency of a charity.</w:t>
      </w:r>
    </w:p>
    <w:p w14:paraId="3E63BD38" w14:textId="77777777" w:rsidR="00C96340" w:rsidRDefault="007C2B27" w:rsidP="00247B82">
      <w:pPr>
        <w:jc w:val="both"/>
      </w:pPr>
      <w:r w:rsidRPr="005D056E">
        <w:t>From the donors’ perspective, the use of a trusted agent may be an attractive alternative to an agent that has a commercial interest. The use of a commercial agent may reduce</w:t>
      </w:r>
      <w:r w:rsidR="00841840" w:rsidRPr="005D056E">
        <w:t xml:space="preserve"> the donor’s inclination to give to a </w:t>
      </w:r>
      <w:r w:rsidR="00FC7269" w:rsidRPr="005D056E">
        <w:t xml:space="preserve">person in need or to a “good cause” </w:t>
      </w:r>
      <w:r w:rsidR="00841840" w:rsidRPr="005D056E">
        <w:t xml:space="preserve">since the presence of a commercial agent may detract from the donor’s </w:t>
      </w:r>
      <w:r w:rsidR="005D056E">
        <w:t>confidence and therefore reduce the donor</w:t>
      </w:r>
      <w:r w:rsidR="00C96340">
        <w:t>’</w:t>
      </w:r>
      <w:r w:rsidR="005D056E">
        <w:t xml:space="preserve">s sense of </w:t>
      </w:r>
      <w:r w:rsidR="00FC7269" w:rsidRPr="005D056E">
        <w:t>psychological well-being.</w:t>
      </w:r>
      <w:r w:rsidR="00FC7269" w:rsidRPr="005D056E">
        <w:rPr>
          <w:vertAlign w:val="superscript"/>
        </w:rPr>
        <w:footnoteReference w:id="14"/>
      </w:r>
      <w:r w:rsidR="00FC7269" w:rsidRPr="005D056E">
        <w:t xml:space="preserve"> </w:t>
      </w:r>
    </w:p>
    <w:p w14:paraId="2EFD5BE0" w14:textId="7AD04EA3" w:rsidR="00FC7269" w:rsidRPr="005D056E" w:rsidRDefault="00FC7269" w:rsidP="00247B82">
      <w:pPr>
        <w:jc w:val="both"/>
      </w:pPr>
      <w:r w:rsidRPr="005D056E">
        <w:t>Other authoritative research finds more direct benefits to the donor referred to as “warm inner glow”</w:t>
      </w:r>
      <w:r w:rsidRPr="005D056E">
        <w:rPr>
          <w:vertAlign w:val="superscript"/>
        </w:rPr>
        <w:footnoteReference w:id="15"/>
      </w:r>
      <w:r w:rsidR="00841840" w:rsidRPr="005D056E">
        <w:t>.</w:t>
      </w:r>
      <w:r w:rsidRPr="005D056E">
        <w:rPr>
          <w:vertAlign w:val="superscript"/>
        </w:rPr>
        <w:footnoteReference w:id="16"/>
      </w:r>
      <w:r w:rsidR="00841840" w:rsidRPr="005D056E">
        <w:t>. which are enjoyed without consideration of the characteristics of the agent.</w:t>
      </w:r>
    </w:p>
    <w:p w14:paraId="1FD71FDE" w14:textId="77777777" w:rsidR="00C96340" w:rsidRPr="00C96340" w:rsidRDefault="00701710" w:rsidP="00C96340">
      <w:pPr>
        <w:jc w:val="both"/>
      </w:pPr>
      <w:r w:rsidRPr="00701710">
        <w:t>The available literature finds that donors are motivated by a complex mix of benefits to the donor including psychological benefits, such as “walm inner glow” and reputational benefits which are difficult to measure.</w:t>
      </w:r>
      <w:proofErr w:type="gramStart"/>
      <w:r w:rsidRPr="00701710">
        <w:rPr>
          <w:vertAlign w:val="superscript"/>
        </w:rPr>
        <w:t>1</w:t>
      </w:r>
      <w:r w:rsidR="00C96340">
        <w:rPr>
          <w:vertAlign w:val="superscript"/>
        </w:rPr>
        <w:t xml:space="preserve">  </w:t>
      </w:r>
      <w:r w:rsidR="00C96340" w:rsidRPr="00C96340">
        <w:t>The</w:t>
      </w:r>
      <w:proofErr w:type="gramEnd"/>
      <w:r w:rsidR="00C96340" w:rsidRPr="00C96340">
        <w:t xml:space="preserve"> donor may also consider the cost of the transaction. Using a charity (trusted agent) may have the additional benefit to the donor of reducing the cost of their donation through the tax concessions available to donors who give to the charity</w:t>
      </w:r>
      <w:r w:rsidR="00C96340" w:rsidRPr="00C96340">
        <w:rPr>
          <w:vertAlign w:val="superscript"/>
        </w:rPr>
        <w:footnoteReference w:id="17"/>
      </w:r>
      <w:r w:rsidR="00C96340" w:rsidRPr="00C96340">
        <w:t xml:space="preserve">.  </w:t>
      </w:r>
    </w:p>
    <w:p w14:paraId="6BF15E4C" w14:textId="01C16AC2" w:rsidR="008E68CC" w:rsidRDefault="00FA5580" w:rsidP="00247B82">
      <w:pPr>
        <w:jc w:val="both"/>
      </w:pPr>
      <w:r>
        <w:t xml:space="preserve">I submit that there are three </w:t>
      </w:r>
      <w:r w:rsidR="00EF55F6">
        <w:t>issue</w:t>
      </w:r>
      <w:r>
        <w:t>s that must be addressed in effort</w:t>
      </w:r>
      <w:r w:rsidR="00EF55F6">
        <w:t>s</w:t>
      </w:r>
      <w:r>
        <w:t xml:space="preserve"> to provide measures of effectiveness and efficiency </w:t>
      </w:r>
      <w:r w:rsidR="00EF55F6">
        <w:t>–</w:t>
      </w:r>
      <w:r>
        <w:t xml:space="preserve"> </w:t>
      </w:r>
      <w:r w:rsidR="00EF55F6">
        <w:t xml:space="preserve">challenges in defining “effectiveness” and </w:t>
      </w:r>
      <w:r w:rsidR="00EF55F6">
        <w:lastRenderedPageBreak/>
        <w:t xml:space="preserve">“efficiency” </w:t>
      </w:r>
      <w:r w:rsidR="00162012">
        <w:t>of</w:t>
      </w:r>
      <w:r w:rsidR="00EF55F6">
        <w:t xml:space="preserve"> philanthropic activities, achieving consistent measurement across multiple types of philanthropic environments, determining whether such measures encourage or discourage philanthropic transactions</w:t>
      </w:r>
      <w:r w:rsidR="00F2210C">
        <w:rPr>
          <w:rStyle w:val="FootnoteReference"/>
        </w:rPr>
        <w:footnoteReference w:id="18"/>
      </w:r>
      <w:r w:rsidR="00EF55F6">
        <w:t xml:space="preserve">. </w:t>
      </w:r>
      <w:r w:rsidR="00CC1993">
        <w:rPr>
          <w:rStyle w:val="FootnoteReference"/>
        </w:rPr>
        <w:footnoteReference w:id="19"/>
      </w:r>
      <w:r w:rsidR="00EF55F6">
        <w:t xml:space="preserve"> </w:t>
      </w:r>
    </w:p>
    <w:p w14:paraId="73E59309" w14:textId="30B0F92C" w:rsidR="0016597F" w:rsidRDefault="0016597F" w:rsidP="00247B82">
      <w:pPr>
        <w:jc w:val="both"/>
        <w:rPr>
          <w:b/>
          <w:bCs/>
        </w:rPr>
      </w:pPr>
      <w:r>
        <w:rPr>
          <w:b/>
          <w:bCs/>
        </w:rPr>
        <w:t xml:space="preserve">Measuring the </w:t>
      </w:r>
      <w:r w:rsidR="005E6F96">
        <w:rPr>
          <w:b/>
          <w:bCs/>
        </w:rPr>
        <w:t xml:space="preserve">economic </w:t>
      </w:r>
      <w:r>
        <w:rPr>
          <w:b/>
          <w:bCs/>
        </w:rPr>
        <w:t>“efficiency” of philanthropy</w:t>
      </w:r>
    </w:p>
    <w:p w14:paraId="6C4582A8" w14:textId="15E51614" w:rsidR="0016597F" w:rsidRDefault="0016597F" w:rsidP="00247B82">
      <w:pPr>
        <w:jc w:val="both"/>
      </w:pPr>
      <w:r w:rsidRPr="0016597F">
        <w:t>“Efficiency”</w:t>
      </w:r>
      <w:r w:rsidR="00E8615C">
        <w:t xml:space="preserve"> when considering philanthropic transactions</w:t>
      </w:r>
      <w:r w:rsidRPr="0016597F">
        <w:t xml:space="preserve"> </w:t>
      </w:r>
      <w:r>
        <w:t xml:space="preserve">is generally understood </w:t>
      </w:r>
      <w:r w:rsidR="003A530F">
        <w:t xml:space="preserve">in economics </w:t>
      </w:r>
      <w:r>
        <w:t>to mean the measure of the relationship between</w:t>
      </w:r>
      <w:r w:rsidR="00E8615C">
        <w:t xml:space="preserve"> inputs (donations) and outputs (charitable works</w:t>
      </w:r>
      <w:r w:rsidR="002F01C1">
        <w:t xml:space="preserve"> or charitable purposes</w:t>
      </w:r>
      <w:r w:rsidR="00E8615C">
        <w:t xml:space="preserve">), however there are </w:t>
      </w:r>
      <w:r w:rsidR="00E8615C" w:rsidRPr="00E8615C">
        <w:t>several types of efficiency, including allocative and productive efficiency, technical efficiency, ‘X’ efficiency, dynamic efficiency and social efficiency</w:t>
      </w:r>
      <w:r w:rsidR="00BB3E3A">
        <w:t xml:space="preserve">, all of which have bearing on any consideration of </w:t>
      </w:r>
      <w:r w:rsidR="009341B6">
        <w:t>“efficiency” in the philanthropic sector of the economy</w:t>
      </w:r>
      <w:r w:rsidR="00E8615C" w:rsidRPr="00E8615C">
        <w:t>.</w:t>
      </w:r>
    </w:p>
    <w:p w14:paraId="465156CD" w14:textId="013F725C" w:rsidR="00E8615C" w:rsidRDefault="00BB3E3A" w:rsidP="00247B82">
      <w:pPr>
        <w:jc w:val="both"/>
      </w:pPr>
      <w:r>
        <w:t xml:space="preserve">In the literature on philanthropic transactions there is a significant </w:t>
      </w:r>
      <w:r w:rsidR="009341B6">
        <w:t>number of perspectives and views about the value of measurements of efficiency.</w:t>
      </w:r>
      <w:r w:rsidR="00F33D58">
        <w:t xml:space="preserve"> Similarly, the research literature varies widely on whether the provision of efficiency measures either encourages or discourages philanthropy.</w:t>
      </w:r>
      <w:r w:rsidR="00F33D58" w:rsidRPr="00F33D58">
        <w:rPr>
          <w:vertAlign w:val="superscript"/>
        </w:rPr>
        <w:t>3</w:t>
      </w:r>
      <w:r w:rsidR="0015677C">
        <w:rPr>
          <w:vertAlign w:val="superscript"/>
        </w:rPr>
        <w:t>.</w:t>
      </w:r>
      <w:r w:rsidR="0015677C">
        <w:rPr>
          <w:rStyle w:val="FootnoteReference"/>
        </w:rPr>
        <w:footnoteReference w:id="20"/>
      </w:r>
      <w:r w:rsidR="000234D0">
        <w:rPr>
          <w:vertAlign w:val="superscript"/>
        </w:rPr>
        <w:t>.</w:t>
      </w:r>
    </w:p>
    <w:p w14:paraId="7A12D7E9" w14:textId="791AF3DA" w:rsidR="00115430" w:rsidRPr="00115430" w:rsidRDefault="00115430" w:rsidP="00247B82">
      <w:pPr>
        <w:jc w:val="both"/>
      </w:pPr>
      <w:r>
        <w:t>The Industry Commission 1995 addressed the issue of making judgements about the efficiency of charities based</w:t>
      </w:r>
      <w:r w:rsidR="00303A43">
        <w:t xml:space="preserve"> on the </w:t>
      </w:r>
      <w:r>
        <w:t>cost of administration and fundraising in their report and found that there are problems with the use of such measures.</w:t>
      </w:r>
      <w:r>
        <w:rPr>
          <w:rStyle w:val="FootnoteReference"/>
        </w:rPr>
        <w:footnoteReference w:id="21"/>
      </w:r>
    </w:p>
    <w:p w14:paraId="076BEB9D" w14:textId="08F40BBE" w:rsidR="00F33D58" w:rsidRPr="00F33D58" w:rsidRDefault="00F33D58" w:rsidP="00247B82">
      <w:pPr>
        <w:jc w:val="both"/>
      </w:pPr>
      <w:r>
        <w:t xml:space="preserve">There is also some evidence that the media focus on “cost of administration” in charities has had the effect of </w:t>
      </w:r>
      <w:r w:rsidR="00C96340">
        <w:t>dis</w:t>
      </w:r>
      <w:r>
        <w:t xml:space="preserve">couraging philanthropic organisations </w:t>
      </w:r>
      <w:r w:rsidR="00C96340">
        <w:t>spending funds</w:t>
      </w:r>
      <w:r>
        <w:t xml:space="preserve"> on important administrative functions such as insurance, financial and human resources management</w:t>
      </w:r>
      <w:r w:rsidR="00C96340">
        <w:t>,</w:t>
      </w:r>
      <w:r>
        <w:t xml:space="preserve"> resulting </w:t>
      </w:r>
      <w:r w:rsidR="00DA6161">
        <w:t>i</w:t>
      </w:r>
      <w:r>
        <w:t>n a deleterious effect on the overall management and culture of the organisation and its capacity to deliver quality outcomes</w:t>
      </w:r>
      <w:r w:rsidRPr="00F6799E">
        <w:t>.</w:t>
      </w:r>
      <w:r w:rsidR="00641FAD">
        <w:rPr>
          <w:rStyle w:val="FootnoteReference"/>
        </w:rPr>
        <w:footnoteReference w:id="22"/>
      </w:r>
      <w:r w:rsidR="001C310B">
        <w:t xml:space="preserve"> </w:t>
      </w:r>
      <w:r w:rsidR="00641FAD">
        <w:rPr>
          <w:rStyle w:val="FootnoteReference"/>
        </w:rPr>
        <w:footnoteReference w:id="23"/>
      </w:r>
      <w:r w:rsidR="00641FAD">
        <w:t>.</w:t>
      </w:r>
      <w:r w:rsidR="001C310B">
        <w:t xml:space="preserve">   </w:t>
      </w:r>
      <w:r>
        <w:t xml:space="preserve">  </w:t>
      </w:r>
    </w:p>
    <w:p w14:paraId="078F126A" w14:textId="6A2505A0" w:rsidR="009341B6" w:rsidRPr="0016597F" w:rsidRDefault="00DA6161" w:rsidP="00247B82">
      <w:pPr>
        <w:jc w:val="both"/>
      </w:pPr>
      <w:r>
        <w:lastRenderedPageBreak/>
        <w:t>In Australia, the complexity created by the uncoordinated regulatory environment in which charities must operate, make the availability of comparative data even more difficult than in other comparable international jurisdictions.</w:t>
      </w:r>
      <w:r>
        <w:rPr>
          <w:rStyle w:val="FootnoteReference"/>
        </w:rPr>
        <w:footnoteReference w:id="24"/>
      </w:r>
      <w:r w:rsidR="004F408E">
        <w:t xml:space="preserve">. </w:t>
      </w:r>
      <w:r w:rsidR="004F408E">
        <w:rPr>
          <w:rStyle w:val="FootnoteReference"/>
        </w:rPr>
        <w:footnoteReference w:id="25"/>
      </w:r>
    </w:p>
    <w:p w14:paraId="3347B213" w14:textId="32D853E3" w:rsidR="002923E8" w:rsidRDefault="00276DDC" w:rsidP="00C1244B">
      <w:pPr>
        <w:spacing w:after="0"/>
        <w:rPr>
          <w:rFonts w:eastAsia="Arial"/>
          <w:sz w:val="22"/>
          <w:szCs w:val="22"/>
          <w:lang w:val="en-GB" w:eastAsia="en-AU"/>
        </w:rPr>
      </w:pPr>
      <w:r>
        <w:rPr>
          <w:rFonts w:eastAsia="Arial"/>
          <w:sz w:val="22"/>
          <w:szCs w:val="22"/>
          <w:lang w:val="en-GB" w:eastAsia="en-AU"/>
        </w:rPr>
        <w:t>An e</w:t>
      </w:r>
      <w:r w:rsidR="002923E8">
        <w:rPr>
          <w:rFonts w:eastAsia="Arial"/>
          <w:sz w:val="22"/>
          <w:szCs w:val="22"/>
          <w:lang w:val="en-GB" w:eastAsia="en-AU"/>
        </w:rPr>
        <w:t xml:space="preserve">xample </w:t>
      </w:r>
      <w:r>
        <w:rPr>
          <w:rFonts w:eastAsia="Arial"/>
          <w:sz w:val="22"/>
          <w:szCs w:val="22"/>
          <w:lang w:eastAsia="en-AU"/>
        </w:rPr>
        <w:t xml:space="preserve">of the difficulties encountered when donors wish to </w:t>
      </w:r>
      <w:r w:rsidRPr="00276DDC">
        <w:rPr>
          <w:rFonts w:eastAsia="Arial"/>
          <w:sz w:val="22"/>
          <w:szCs w:val="22"/>
          <w:lang w:eastAsia="en-AU"/>
        </w:rPr>
        <w:t xml:space="preserve">compare charities using financial data available on the Australian Charities and Not-for-profits Commission website, </w:t>
      </w:r>
      <w:r>
        <w:rPr>
          <w:rFonts w:eastAsia="Arial"/>
          <w:sz w:val="22"/>
          <w:szCs w:val="22"/>
          <w:lang w:eastAsia="en-AU"/>
        </w:rPr>
        <w:t xml:space="preserve">is provided by </w:t>
      </w:r>
      <w:r w:rsidRPr="00276DDC">
        <w:rPr>
          <w:rFonts w:eastAsia="Arial"/>
          <w:sz w:val="22"/>
          <w:szCs w:val="22"/>
          <w:lang w:eastAsia="en-AU"/>
        </w:rPr>
        <w:t xml:space="preserve">an extract from the financial returns of </w:t>
      </w:r>
      <w:proofErr w:type="spellStart"/>
      <w:r w:rsidRPr="00276DDC">
        <w:rPr>
          <w:rFonts w:eastAsia="Arial"/>
          <w:sz w:val="22"/>
          <w:szCs w:val="22"/>
          <w:lang w:eastAsia="en-AU"/>
        </w:rPr>
        <w:t>Rosies</w:t>
      </w:r>
      <w:proofErr w:type="spellEnd"/>
      <w:r w:rsidRPr="00276DDC">
        <w:rPr>
          <w:rFonts w:eastAsia="Arial"/>
          <w:sz w:val="22"/>
          <w:szCs w:val="22"/>
          <w:lang w:eastAsia="en-AU"/>
        </w:rPr>
        <w:t xml:space="preserve"> (Example 1) and Cornerstone Homelessness Services, operated by St Vincent de Paul Society, Queensland (Example 2) are attached at Annex A. It will be noted that </w:t>
      </w:r>
      <w:r>
        <w:rPr>
          <w:rFonts w:eastAsia="Arial"/>
          <w:sz w:val="22"/>
          <w:szCs w:val="22"/>
          <w:lang w:eastAsia="en-AU"/>
        </w:rPr>
        <w:t xml:space="preserve">a </w:t>
      </w:r>
      <w:r w:rsidRPr="00276DDC">
        <w:rPr>
          <w:rFonts w:eastAsia="Arial"/>
          <w:sz w:val="22"/>
          <w:szCs w:val="22"/>
          <w:lang w:eastAsia="en-AU"/>
        </w:rPr>
        <w:t xml:space="preserve">comparison of the </w:t>
      </w:r>
      <w:r>
        <w:rPr>
          <w:rFonts w:eastAsia="Arial"/>
          <w:sz w:val="22"/>
          <w:szCs w:val="22"/>
          <w:lang w:eastAsia="en-AU"/>
        </w:rPr>
        <w:t xml:space="preserve">financial returns of these two </w:t>
      </w:r>
      <w:r w:rsidRPr="00276DDC">
        <w:rPr>
          <w:rFonts w:eastAsia="Arial"/>
          <w:sz w:val="22"/>
          <w:szCs w:val="22"/>
          <w:lang w:eastAsia="en-AU"/>
        </w:rPr>
        <w:t>homelessness charities to assess “efficiency” are not possible.</w:t>
      </w:r>
    </w:p>
    <w:p w14:paraId="42150CAE" w14:textId="77777777" w:rsidR="002923E8" w:rsidRDefault="002923E8" w:rsidP="00C1244B">
      <w:pPr>
        <w:spacing w:after="0"/>
        <w:rPr>
          <w:rFonts w:eastAsia="Arial"/>
          <w:sz w:val="22"/>
          <w:szCs w:val="22"/>
          <w:lang w:val="en-GB" w:eastAsia="en-AU"/>
        </w:rPr>
      </w:pPr>
    </w:p>
    <w:p w14:paraId="5D0ED6CB" w14:textId="6B958656" w:rsidR="00C1244B" w:rsidRPr="00C1244B" w:rsidRDefault="00C1244B" w:rsidP="00C1244B">
      <w:pPr>
        <w:spacing w:after="0"/>
        <w:rPr>
          <w:rFonts w:eastAsia="Arial"/>
          <w:sz w:val="22"/>
          <w:szCs w:val="22"/>
          <w:lang w:val="en-GB" w:eastAsia="en-AU"/>
        </w:rPr>
      </w:pPr>
      <w:r w:rsidRPr="00C1244B">
        <w:rPr>
          <w:rFonts w:eastAsia="Arial"/>
          <w:sz w:val="22"/>
          <w:szCs w:val="22"/>
          <w:lang w:val="en-GB" w:eastAsia="en-AU"/>
        </w:rPr>
        <w:t xml:space="preserve">Examples of the </w:t>
      </w:r>
      <w:r w:rsidR="00015547">
        <w:rPr>
          <w:rFonts w:eastAsia="Arial"/>
          <w:sz w:val="22"/>
          <w:szCs w:val="22"/>
          <w:lang w:val="en-GB" w:eastAsia="en-AU"/>
        </w:rPr>
        <w:t>difficulties</w:t>
      </w:r>
      <w:r w:rsidRPr="00C1244B">
        <w:rPr>
          <w:rFonts w:eastAsia="Arial"/>
          <w:sz w:val="22"/>
          <w:szCs w:val="22"/>
          <w:lang w:val="en-GB" w:eastAsia="en-AU"/>
        </w:rPr>
        <w:t xml:space="preserve"> encountered when calculating the efficiency of charities using cost centre accounting</w:t>
      </w:r>
      <w:r w:rsidR="00276DDC">
        <w:rPr>
          <w:rFonts w:eastAsia="Arial"/>
          <w:sz w:val="22"/>
          <w:szCs w:val="22"/>
          <w:lang w:val="en-GB" w:eastAsia="en-AU"/>
        </w:rPr>
        <w:t xml:space="preserve"> data are illustrated below.</w:t>
      </w:r>
    </w:p>
    <w:p w14:paraId="43396EC4" w14:textId="77777777" w:rsidR="004F408E" w:rsidRDefault="004F408E" w:rsidP="00C1244B">
      <w:pPr>
        <w:spacing w:after="0"/>
        <w:rPr>
          <w:rFonts w:eastAsia="Arial"/>
          <w:sz w:val="22"/>
          <w:szCs w:val="22"/>
          <w:lang w:val="en-GB" w:eastAsia="en-AU"/>
        </w:rPr>
      </w:pPr>
    </w:p>
    <w:p w14:paraId="187A981A" w14:textId="000B0E8A" w:rsidR="00C1244B" w:rsidRPr="00C1244B" w:rsidRDefault="00C1244B" w:rsidP="00C1244B">
      <w:pPr>
        <w:spacing w:after="0"/>
        <w:rPr>
          <w:rFonts w:eastAsia="Arial"/>
          <w:sz w:val="22"/>
          <w:szCs w:val="22"/>
          <w:lang w:val="en-GB" w:eastAsia="en-AU"/>
        </w:rPr>
      </w:pPr>
      <w:r w:rsidRPr="00C1244B">
        <w:rPr>
          <w:rFonts w:eastAsia="Arial"/>
          <w:sz w:val="22"/>
          <w:szCs w:val="22"/>
          <w:lang w:val="en-GB" w:eastAsia="en-AU"/>
        </w:rPr>
        <w:t xml:space="preserve">Example </w:t>
      </w:r>
      <w:r w:rsidR="00CD13F8">
        <w:rPr>
          <w:rFonts w:eastAsia="Arial"/>
          <w:sz w:val="22"/>
          <w:szCs w:val="22"/>
          <w:lang w:val="en-GB" w:eastAsia="en-AU"/>
        </w:rPr>
        <w:t>D</w:t>
      </w:r>
    </w:p>
    <w:p w14:paraId="3229D93D" w14:textId="7E6CBE43" w:rsidR="00C1244B" w:rsidRPr="00C1244B" w:rsidRDefault="00C1244B" w:rsidP="00C1244B">
      <w:pPr>
        <w:spacing w:after="0"/>
        <w:ind w:left="720"/>
        <w:rPr>
          <w:rFonts w:eastAsia="Arial"/>
          <w:sz w:val="22"/>
          <w:szCs w:val="22"/>
          <w:lang w:val="en-GB" w:eastAsia="en-AU"/>
        </w:rPr>
      </w:pPr>
      <w:r w:rsidRPr="00C1244B">
        <w:rPr>
          <w:rFonts w:eastAsia="Arial"/>
          <w:sz w:val="22"/>
          <w:szCs w:val="22"/>
          <w:lang w:val="en-GB" w:eastAsia="en-AU"/>
        </w:rPr>
        <w:t xml:space="preserve">A medium sized </w:t>
      </w:r>
      <w:r w:rsidR="00C96340" w:rsidRPr="00C1244B">
        <w:rPr>
          <w:rFonts w:eastAsia="Arial"/>
          <w:sz w:val="22"/>
          <w:szCs w:val="22"/>
          <w:lang w:val="en-GB" w:eastAsia="en-AU"/>
        </w:rPr>
        <w:t>childcare</w:t>
      </w:r>
      <w:r w:rsidRPr="00C1244B">
        <w:rPr>
          <w:rFonts w:eastAsia="Arial"/>
          <w:sz w:val="22"/>
          <w:szCs w:val="22"/>
          <w:lang w:val="en-GB" w:eastAsia="en-AU"/>
        </w:rPr>
        <w:t xml:space="preserve"> charity runs three small suburban centres.</w:t>
      </w:r>
    </w:p>
    <w:p w14:paraId="0A7FD10E" w14:textId="2CFF4685" w:rsidR="00C1244B" w:rsidRPr="00C1244B" w:rsidRDefault="00C1244B" w:rsidP="00C1244B">
      <w:pPr>
        <w:spacing w:after="0"/>
        <w:ind w:left="720"/>
        <w:rPr>
          <w:rFonts w:eastAsia="Arial"/>
          <w:sz w:val="22"/>
          <w:szCs w:val="22"/>
          <w:lang w:val="en-GB" w:eastAsia="en-AU"/>
        </w:rPr>
      </w:pPr>
      <w:r w:rsidRPr="00C1244B">
        <w:rPr>
          <w:rFonts w:eastAsia="Arial"/>
          <w:sz w:val="22"/>
          <w:szCs w:val="22"/>
          <w:lang w:val="en-GB" w:eastAsia="en-AU"/>
        </w:rPr>
        <w:t xml:space="preserve">Traditional procedures have parents call at the desk to pay their fees on a weekly basis. One of the </w:t>
      </w:r>
      <w:r w:rsidR="00C96340" w:rsidRPr="00C1244B">
        <w:rPr>
          <w:rFonts w:eastAsia="Arial"/>
          <w:sz w:val="22"/>
          <w:szCs w:val="22"/>
          <w:lang w:val="en-GB" w:eastAsia="en-AU"/>
        </w:rPr>
        <w:t>childcare</w:t>
      </w:r>
      <w:r w:rsidRPr="00C1244B">
        <w:rPr>
          <w:rFonts w:eastAsia="Arial"/>
          <w:sz w:val="22"/>
          <w:szCs w:val="22"/>
          <w:lang w:val="en-GB" w:eastAsia="en-AU"/>
        </w:rPr>
        <w:t xml:space="preserve"> workers at each centre processes the payments and provides receipts at the front desks.</w:t>
      </w:r>
    </w:p>
    <w:p w14:paraId="6483BC08" w14:textId="77777777" w:rsidR="00C1244B" w:rsidRPr="00C1244B" w:rsidRDefault="00C1244B" w:rsidP="00C1244B">
      <w:pPr>
        <w:spacing w:after="0"/>
        <w:ind w:left="720"/>
        <w:rPr>
          <w:rFonts w:eastAsia="Arial"/>
          <w:sz w:val="22"/>
          <w:szCs w:val="22"/>
          <w:lang w:val="en-GB" w:eastAsia="en-AU"/>
        </w:rPr>
      </w:pPr>
    </w:p>
    <w:p w14:paraId="2CD176B8" w14:textId="6197D11F" w:rsidR="00C1244B" w:rsidRPr="00C1244B" w:rsidRDefault="00C1244B" w:rsidP="00C1244B">
      <w:pPr>
        <w:spacing w:after="0"/>
        <w:ind w:left="720"/>
        <w:rPr>
          <w:rFonts w:eastAsia="Arial"/>
          <w:sz w:val="22"/>
          <w:szCs w:val="22"/>
          <w:lang w:val="en-GB" w:eastAsia="en-AU"/>
        </w:rPr>
      </w:pPr>
      <w:r w:rsidRPr="00C1244B">
        <w:rPr>
          <w:rFonts w:eastAsia="Arial"/>
          <w:sz w:val="22"/>
          <w:szCs w:val="22"/>
          <w:lang w:val="en-GB" w:eastAsia="en-AU"/>
        </w:rPr>
        <w:t xml:space="preserve">The manager suggests that parents should in future be required to pay online </w:t>
      </w:r>
      <w:proofErr w:type="gramStart"/>
      <w:r w:rsidRPr="00C1244B">
        <w:rPr>
          <w:rFonts w:eastAsia="Arial"/>
          <w:sz w:val="22"/>
          <w:szCs w:val="22"/>
          <w:lang w:val="en-GB" w:eastAsia="en-AU"/>
        </w:rPr>
        <w:t>so as to</w:t>
      </w:r>
      <w:proofErr w:type="gramEnd"/>
      <w:r w:rsidRPr="00C1244B">
        <w:rPr>
          <w:rFonts w:eastAsia="Arial"/>
          <w:sz w:val="22"/>
          <w:szCs w:val="22"/>
          <w:lang w:val="en-GB" w:eastAsia="en-AU"/>
        </w:rPr>
        <w:t xml:space="preserve"> relieve </w:t>
      </w:r>
      <w:r w:rsidR="00C96340" w:rsidRPr="00C1244B">
        <w:rPr>
          <w:rFonts w:eastAsia="Arial"/>
          <w:sz w:val="22"/>
          <w:szCs w:val="22"/>
          <w:lang w:val="en-GB" w:eastAsia="en-AU"/>
        </w:rPr>
        <w:t>childcare</w:t>
      </w:r>
      <w:r w:rsidRPr="00C1244B">
        <w:rPr>
          <w:rFonts w:eastAsia="Arial"/>
          <w:sz w:val="22"/>
          <w:szCs w:val="22"/>
          <w:lang w:val="en-GB" w:eastAsia="en-AU"/>
        </w:rPr>
        <w:t xml:space="preserve"> staff of the task and to employ a part-time clerk to keep the records.</w:t>
      </w:r>
    </w:p>
    <w:p w14:paraId="7AC43553" w14:textId="77777777" w:rsidR="00C1244B" w:rsidRPr="00C1244B" w:rsidRDefault="00C1244B" w:rsidP="00C1244B">
      <w:pPr>
        <w:spacing w:after="0"/>
        <w:ind w:left="720"/>
        <w:rPr>
          <w:rFonts w:eastAsia="Arial"/>
          <w:sz w:val="22"/>
          <w:szCs w:val="22"/>
          <w:lang w:val="en-GB" w:eastAsia="en-AU"/>
        </w:rPr>
      </w:pPr>
    </w:p>
    <w:p w14:paraId="543EB21A" w14:textId="5A9180E8" w:rsidR="00C1244B" w:rsidRPr="00C1244B" w:rsidRDefault="00C1244B" w:rsidP="00C1244B">
      <w:pPr>
        <w:spacing w:after="0"/>
        <w:ind w:left="720"/>
        <w:rPr>
          <w:rFonts w:eastAsia="Arial"/>
          <w:sz w:val="22"/>
          <w:szCs w:val="22"/>
          <w:lang w:val="en-GB" w:eastAsia="en-AU"/>
        </w:rPr>
      </w:pPr>
      <w:r w:rsidRPr="00C1244B">
        <w:rPr>
          <w:rFonts w:eastAsia="Arial"/>
          <w:sz w:val="22"/>
          <w:szCs w:val="22"/>
          <w:lang w:val="en-GB" w:eastAsia="en-AU"/>
        </w:rPr>
        <w:t xml:space="preserve">The Committee </w:t>
      </w:r>
      <w:proofErr w:type="gramStart"/>
      <w:r w:rsidRPr="00C1244B">
        <w:rPr>
          <w:rFonts w:eastAsia="Arial"/>
          <w:sz w:val="22"/>
          <w:szCs w:val="22"/>
          <w:lang w:val="en-GB" w:eastAsia="en-AU"/>
        </w:rPr>
        <w:t>has to</w:t>
      </w:r>
      <w:proofErr w:type="gramEnd"/>
      <w:r w:rsidRPr="00C1244B">
        <w:rPr>
          <w:rFonts w:eastAsia="Arial"/>
          <w:sz w:val="22"/>
          <w:szCs w:val="22"/>
          <w:lang w:val="en-GB" w:eastAsia="en-AU"/>
        </w:rPr>
        <w:t xml:space="preserve"> decide whether to </w:t>
      </w:r>
      <w:r w:rsidR="00D72B62">
        <w:rPr>
          <w:rFonts w:eastAsia="Arial"/>
          <w:sz w:val="22"/>
          <w:szCs w:val="22"/>
          <w:lang w:val="en-GB" w:eastAsia="en-AU"/>
        </w:rPr>
        <w:t>prevent</w:t>
      </w:r>
      <w:r w:rsidRPr="00C1244B">
        <w:rPr>
          <w:rFonts w:eastAsia="Arial"/>
          <w:sz w:val="22"/>
          <w:szCs w:val="22"/>
          <w:lang w:val="en-GB" w:eastAsia="en-AU"/>
        </w:rPr>
        <w:t xml:space="preserve"> </w:t>
      </w:r>
      <w:r w:rsidR="00C96340" w:rsidRPr="00C1244B">
        <w:rPr>
          <w:rFonts w:eastAsia="Arial"/>
          <w:sz w:val="22"/>
          <w:szCs w:val="22"/>
          <w:lang w:val="en-GB" w:eastAsia="en-AU"/>
        </w:rPr>
        <w:t>childcare</w:t>
      </w:r>
      <w:r w:rsidRPr="00C1244B">
        <w:rPr>
          <w:rFonts w:eastAsia="Arial"/>
          <w:sz w:val="22"/>
          <w:szCs w:val="22"/>
          <w:lang w:val="en-GB" w:eastAsia="en-AU"/>
        </w:rPr>
        <w:t xml:space="preserve"> staff from being diverted from their core duties for short periods or to increase administration costs by employing a clerk.</w:t>
      </w:r>
    </w:p>
    <w:p w14:paraId="04438084" w14:textId="77777777" w:rsidR="00C1244B" w:rsidRPr="00C1244B" w:rsidRDefault="00C1244B" w:rsidP="00C1244B">
      <w:pPr>
        <w:spacing w:after="0"/>
        <w:rPr>
          <w:rFonts w:eastAsia="Arial"/>
          <w:sz w:val="22"/>
          <w:szCs w:val="22"/>
          <w:lang w:val="en-GB" w:eastAsia="en-AU"/>
        </w:rPr>
      </w:pPr>
    </w:p>
    <w:p w14:paraId="2CA5FF1A" w14:textId="61DE47B7" w:rsidR="00C1244B" w:rsidRPr="00C1244B" w:rsidRDefault="00C1244B" w:rsidP="00C96340">
      <w:pPr>
        <w:spacing w:after="0"/>
        <w:rPr>
          <w:rFonts w:eastAsia="Arial"/>
          <w:sz w:val="22"/>
          <w:szCs w:val="22"/>
          <w:lang w:val="en-GB" w:eastAsia="en-AU"/>
        </w:rPr>
      </w:pPr>
      <w:r w:rsidRPr="00C1244B">
        <w:rPr>
          <w:rFonts w:eastAsia="Arial"/>
          <w:sz w:val="22"/>
          <w:szCs w:val="22"/>
          <w:lang w:val="en-GB" w:eastAsia="en-AU"/>
        </w:rPr>
        <w:t xml:space="preserve">Example </w:t>
      </w:r>
      <w:r w:rsidR="00CD13F8">
        <w:rPr>
          <w:rFonts w:eastAsia="Arial"/>
          <w:sz w:val="22"/>
          <w:szCs w:val="22"/>
          <w:lang w:val="en-GB" w:eastAsia="en-AU"/>
        </w:rPr>
        <w:t>E</w:t>
      </w:r>
    </w:p>
    <w:p w14:paraId="671E6ED5" w14:textId="4E7B88D4" w:rsidR="00C1244B" w:rsidRPr="00C1244B" w:rsidRDefault="00C1244B" w:rsidP="00C1244B">
      <w:pPr>
        <w:spacing w:after="0"/>
        <w:ind w:left="720"/>
        <w:rPr>
          <w:rFonts w:eastAsia="Arial"/>
          <w:sz w:val="22"/>
          <w:szCs w:val="22"/>
          <w:lang w:val="en-GB" w:eastAsia="en-AU"/>
        </w:rPr>
      </w:pPr>
      <w:r w:rsidRPr="00C1244B">
        <w:rPr>
          <w:rFonts w:eastAsia="Arial"/>
          <w:sz w:val="22"/>
          <w:szCs w:val="22"/>
          <w:lang w:val="en-GB" w:eastAsia="en-AU"/>
        </w:rPr>
        <w:t xml:space="preserve">The CEO of an international </w:t>
      </w:r>
      <w:proofErr w:type="gramStart"/>
      <w:r w:rsidRPr="00C1244B">
        <w:rPr>
          <w:rFonts w:eastAsia="Arial"/>
          <w:sz w:val="22"/>
          <w:szCs w:val="22"/>
          <w:lang w:val="en-GB" w:eastAsia="en-AU"/>
        </w:rPr>
        <w:t>child care</w:t>
      </w:r>
      <w:proofErr w:type="gramEnd"/>
      <w:r w:rsidRPr="00C1244B">
        <w:rPr>
          <w:rFonts w:eastAsia="Arial"/>
          <w:sz w:val="22"/>
          <w:szCs w:val="22"/>
          <w:lang w:val="en-GB" w:eastAsia="en-AU"/>
        </w:rPr>
        <w:t xml:space="preserve"> agency in London received an urgent satellite telephone call from the supervisor of the agency's food transport operation in Northern Kenya.</w:t>
      </w:r>
      <w:r w:rsidR="00C96340">
        <w:rPr>
          <w:rFonts w:eastAsia="Arial"/>
          <w:sz w:val="22"/>
          <w:szCs w:val="22"/>
          <w:lang w:val="en-GB" w:eastAsia="en-AU"/>
        </w:rPr>
        <w:t xml:space="preserve"> </w:t>
      </w:r>
      <w:r w:rsidRPr="00C1244B">
        <w:rPr>
          <w:rFonts w:eastAsia="Arial"/>
          <w:sz w:val="22"/>
          <w:szCs w:val="22"/>
          <w:lang w:val="en-GB" w:eastAsia="en-AU"/>
        </w:rPr>
        <w:t>The supervisor explained that the locally employed drivers of the trucks carrying food supplies to South Sudan during the famine were refusing to drive as they had not been paid in two weeks.</w:t>
      </w:r>
    </w:p>
    <w:p w14:paraId="158ECE54" w14:textId="77777777" w:rsidR="00C1244B" w:rsidRPr="00C1244B" w:rsidRDefault="00C1244B" w:rsidP="00C1244B">
      <w:pPr>
        <w:spacing w:after="0"/>
        <w:ind w:left="720"/>
        <w:rPr>
          <w:rFonts w:eastAsia="Arial"/>
          <w:sz w:val="22"/>
          <w:szCs w:val="22"/>
          <w:lang w:val="en-GB" w:eastAsia="en-AU"/>
        </w:rPr>
      </w:pPr>
    </w:p>
    <w:p w14:paraId="7C668765" w14:textId="62376882" w:rsidR="00C1244B" w:rsidRPr="00C1244B" w:rsidRDefault="00C1244B" w:rsidP="00C1244B">
      <w:pPr>
        <w:spacing w:after="0"/>
        <w:ind w:left="720"/>
        <w:rPr>
          <w:rFonts w:eastAsia="Arial"/>
          <w:sz w:val="22"/>
          <w:szCs w:val="22"/>
          <w:lang w:val="en-GB" w:eastAsia="en-AU"/>
        </w:rPr>
      </w:pPr>
      <w:r w:rsidRPr="00C1244B">
        <w:rPr>
          <w:rFonts w:eastAsia="Arial"/>
          <w:sz w:val="22"/>
          <w:szCs w:val="22"/>
          <w:lang w:val="en-GB" w:eastAsia="en-AU"/>
        </w:rPr>
        <w:t>The CEO phoned the Chief Accountant asking for urgent action and she contacts the bank which then makes enquiries as to the cause of the problem. Several follow up calls are made to the bank which agrees to resend the funds. The Chief Accountant rang the CEO who then rang the supervisor via satellite assuring him that funds are on the way.</w:t>
      </w:r>
    </w:p>
    <w:p w14:paraId="04653684" w14:textId="77777777" w:rsidR="00C1244B" w:rsidRPr="00C1244B" w:rsidRDefault="00C1244B" w:rsidP="00C1244B">
      <w:pPr>
        <w:spacing w:after="0"/>
        <w:ind w:left="720"/>
        <w:rPr>
          <w:rFonts w:eastAsia="Arial"/>
          <w:sz w:val="22"/>
          <w:szCs w:val="22"/>
          <w:lang w:val="en-GB" w:eastAsia="en-AU"/>
        </w:rPr>
      </w:pPr>
    </w:p>
    <w:p w14:paraId="39E90D24" w14:textId="169FA549" w:rsidR="00C1244B" w:rsidRDefault="00C1244B" w:rsidP="00CC1993">
      <w:pPr>
        <w:spacing w:after="0"/>
        <w:jc w:val="both"/>
        <w:rPr>
          <w:rFonts w:eastAsia="Arial"/>
          <w:sz w:val="22"/>
          <w:szCs w:val="22"/>
          <w:lang w:val="en-GB" w:eastAsia="en-AU"/>
        </w:rPr>
      </w:pPr>
      <w:r w:rsidRPr="00C1244B">
        <w:rPr>
          <w:rFonts w:eastAsia="Arial"/>
          <w:sz w:val="22"/>
          <w:szCs w:val="22"/>
          <w:lang w:val="en-GB" w:eastAsia="en-AU"/>
        </w:rPr>
        <w:lastRenderedPageBreak/>
        <w:t xml:space="preserve">How should the costs of </w:t>
      </w:r>
      <w:r w:rsidR="002C2387">
        <w:rPr>
          <w:rFonts w:eastAsia="Arial"/>
          <w:sz w:val="22"/>
          <w:szCs w:val="22"/>
          <w:lang w:val="en-GB" w:eastAsia="en-AU"/>
        </w:rPr>
        <w:t xml:space="preserve">essential, services-related activities such as </w:t>
      </w:r>
      <w:r w:rsidRPr="00C1244B">
        <w:rPr>
          <w:rFonts w:eastAsia="Arial"/>
          <w:sz w:val="22"/>
          <w:szCs w:val="22"/>
          <w:lang w:val="en-GB" w:eastAsia="en-AU"/>
        </w:rPr>
        <w:t>the satellite calls, the additional bank fees, the time of the CEO and the Chief Accountant be allocated to "services" and "administration"?</w:t>
      </w:r>
    </w:p>
    <w:p w14:paraId="27F4196F" w14:textId="5A808AA5" w:rsidR="00CC1993" w:rsidRDefault="00CC1993" w:rsidP="00CC1993">
      <w:pPr>
        <w:spacing w:after="0"/>
        <w:jc w:val="both"/>
        <w:rPr>
          <w:rFonts w:eastAsia="Arial"/>
          <w:sz w:val="22"/>
          <w:szCs w:val="22"/>
          <w:lang w:val="en-GB" w:eastAsia="en-AU"/>
        </w:rPr>
      </w:pPr>
    </w:p>
    <w:p w14:paraId="1053B52F" w14:textId="764738E8" w:rsidR="00CC1993" w:rsidRPr="00C1244B" w:rsidRDefault="00CC1993" w:rsidP="00CC1993">
      <w:pPr>
        <w:spacing w:after="0"/>
        <w:jc w:val="both"/>
        <w:rPr>
          <w:rFonts w:eastAsia="Arial"/>
          <w:sz w:val="22"/>
          <w:szCs w:val="22"/>
          <w:lang w:val="en-GB" w:eastAsia="en-AU"/>
        </w:rPr>
      </w:pPr>
      <w:r>
        <w:rPr>
          <w:rFonts w:eastAsia="Arial"/>
          <w:sz w:val="22"/>
          <w:szCs w:val="22"/>
          <w:lang w:val="en-GB" w:eastAsia="en-AU"/>
        </w:rPr>
        <w:t xml:space="preserve">The </w:t>
      </w:r>
      <w:r w:rsidR="002655D6">
        <w:rPr>
          <w:rFonts w:eastAsia="Arial"/>
          <w:sz w:val="22"/>
          <w:szCs w:val="22"/>
          <w:lang w:val="en-GB" w:eastAsia="en-AU"/>
        </w:rPr>
        <w:t xml:space="preserve">discretion available to the preparers of a charity’s financial reports means that the costs allocated to “services” and “administration” will vary. The pursuit </w:t>
      </w:r>
      <w:r w:rsidR="002655D6" w:rsidRPr="002655D6">
        <w:rPr>
          <w:rFonts w:eastAsia="Arial"/>
          <w:sz w:val="22"/>
          <w:szCs w:val="22"/>
          <w:lang w:val="en-GB" w:eastAsia="en-AU"/>
        </w:rPr>
        <w:t xml:space="preserve">by preparers </w:t>
      </w:r>
      <w:r w:rsidR="002655D6">
        <w:rPr>
          <w:rFonts w:eastAsia="Arial"/>
          <w:sz w:val="22"/>
          <w:szCs w:val="22"/>
          <w:lang w:val="en-GB" w:eastAsia="en-AU"/>
        </w:rPr>
        <w:t>of low administrative costs motivated by a desire to signal “efficiency” may also distort reliable comparisons.</w:t>
      </w:r>
      <w:r w:rsidR="002655D6">
        <w:rPr>
          <w:rStyle w:val="FootnoteReference"/>
          <w:rFonts w:eastAsia="Arial"/>
          <w:sz w:val="22"/>
          <w:szCs w:val="22"/>
          <w:lang w:val="en-GB" w:eastAsia="en-AU"/>
        </w:rPr>
        <w:footnoteReference w:id="26"/>
      </w:r>
    </w:p>
    <w:p w14:paraId="420FBC2D" w14:textId="77777777" w:rsidR="002C2387" w:rsidRDefault="002C2387" w:rsidP="00247B82">
      <w:pPr>
        <w:jc w:val="both"/>
      </w:pPr>
    </w:p>
    <w:p w14:paraId="0649FCEF" w14:textId="72F7273A" w:rsidR="003F2C73" w:rsidRPr="003F2C73" w:rsidRDefault="003F2C73" w:rsidP="00247B82">
      <w:pPr>
        <w:jc w:val="both"/>
      </w:pPr>
      <w:r w:rsidRPr="003F2C73">
        <w:t>Similarly</w:t>
      </w:r>
      <w:r>
        <w:t xml:space="preserve">, </w:t>
      </w:r>
      <w:r w:rsidR="00AC650F">
        <w:t xml:space="preserve">smaller </w:t>
      </w:r>
      <w:r>
        <w:t>charities are likely to encourage all staff and volunteers to help promote fundraising for their organisation. For example</w:t>
      </w:r>
      <w:r w:rsidR="00817019">
        <w:t>,</w:t>
      </w:r>
      <w:r>
        <w:t xml:space="preserve"> a volunteer-run garage sale or </w:t>
      </w:r>
      <w:r w:rsidR="00AC650F">
        <w:t xml:space="preserve">a </w:t>
      </w:r>
      <w:r>
        <w:t xml:space="preserve">raffle designed to raise funds for the charity is likely to engage both services and administrative staff in the preparations, if not the </w:t>
      </w:r>
      <w:r w:rsidR="00817019">
        <w:t xml:space="preserve">sales </w:t>
      </w:r>
      <w:r>
        <w:t>event itself. It is unlikely that the costs of th</w:t>
      </w:r>
      <w:r w:rsidR="00AC650F">
        <w:t>e</w:t>
      </w:r>
      <w:r>
        <w:t>s</w:t>
      </w:r>
      <w:r w:rsidR="00AC650F">
        <w:t>e</w:t>
      </w:r>
      <w:r>
        <w:t xml:space="preserve"> fundraising event</w:t>
      </w:r>
      <w:r w:rsidR="00AC650F">
        <w:t>s</w:t>
      </w:r>
      <w:r>
        <w:t xml:space="preserve"> will be carefully analysed and allocated across “fundraising”, “services” and “administration”</w:t>
      </w:r>
      <w:r w:rsidR="00817019">
        <w:t xml:space="preserve"> cost centres.</w:t>
      </w:r>
    </w:p>
    <w:p w14:paraId="50104F2D" w14:textId="77777777" w:rsidR="002923E8" w:rsidRDefault="002923E8" w:rsidP="00247B82">
      <w:pPr>
        <w:jc w:val="both"/>
        <w:rPr>
          <w:b/>
          <w:bCs/>
        </w:rPr>
      </w:pPr>
    </w:p>
    <w:p w14:paraId="485B0DBB" w14:textId="7608F0F1" w:rsidR="00CD13F8" w:rsidRDefault="00CD13F8" w:rsidP="00247B82">
      <w:pPr>
        <w:jc w:val="both"/>
        <w:rPr>
          <w:b/>
          <w:bCs/>
        </w:rPr>
      </w:pPr>
      <w:r>
        <w:rPr>
          <w:b/>
          <w:bCs/>
        </w:rPr>
        <w:t>Section 4.  “A</w:t>
      </w:r>
      <w:r w:rsidRPr="00CD13F8">
        <w:rPr>
          <w:b/>
          <w:bCs/>
        </w:rPr>
        <w:t xml:space="preserve">bility of donors to assess and compare charities based on evidence of </w:t>
      </w:r>
      <w:proofErr w:type="gramStart"/>
      <w:r w:rsidRPr="00CD13F8">
        <w:rPr>
          <w:b/>
          <w:bCs/>
        </w:rPr>
        <w:t>….impact</w:t>
      </w:r>
      <w:proofErr w:type="gramEnd"/>
      <w:r w:rsidRPr="00CD13F8">
        <w:rPr>
          <w:b/>
          <w:bCs/>
        </w:rPr>
        <w:t xml:space="preserve"> evaluation comparison sites.”</w:t>
      </w:r>
    </w:p>
    <w:p w14:paraId="77D021BB" w14:textId="056032BF" w:rsidR="00264BC3" w:rsidRDefault="00264BC3" w:rsidP="00264BC3">
      <w:pPr>
        <w:jc w:val="both"/>
      </w:pPr>
      <w:r w:rsidRPr="00264BC3">
        <w:t xml:space="preserve">Despite having differing perspectives, </w:t>
      </w:r>
      <w:r w:rsidR="00276DDC">
        <w:t xml:space="preserve">I submit that </w:t>
      </w:r>
      <w:r w:rsidRPr="00264BC3">
        <w:t xml:space="preserve">a small minority of donors may choose to research their choices before giving by reviewing information available about the charity. In this age of on-line information about charitable causes, some donors will simply “Google” the name of the charity or the cause such as “homelessness” and discover a range of different types of information perhaps including the charity’s own web site, their Facebook site, </w:t>
      </w:r>
      <w:r w:rsidR="002A3B1D">
        <w:t>sites</w:t>
      </w:r>
      <w:r w:rsidRPr="00264BC3">
        <w:t xml:space="preserve"> such as </w:t>
      </w:r>
      <w:hyperlink r:id="rId8" w:history="1">
        <w:r w:rsidR="00015547" w:rsidRPr="00015547">
          <w:rPr>
            <w:rStyle w:val="Hyperlink"/>
          </w:rPr>
          <w:t>AAM Nation Care</w:t>
        </w:r>
      </w:hyperlink>
      <w:r w:rsidR="00015547">
        <w:t xml:space="preserve">, </w:t>
      </w:r>
      <w:hyperlink r:id="rId9" w:history="1">
        <w:r w:rsidR="002A3B1D" w:rsidRPr="002A3B1D">
          <w:rPr>
            <w:rStyle w:val="Hyperlink"/>
          </w:rPr>
          <w:t>GoVolunteer.com.au</w:t>
        </w:r>
      </w:hyperlink>
      <w:r w:rsidR="002A3B1D">
        <w:t xml:space="preserve"> or </w:t>
      </w:r>
      <w:r w:rsidRPr="00264BC3">
        <w:t>“</w:t>
      </w:r>
      <w:hyperlink r:id="rId10" w:history="1">
        <w:r w:rsidRPr="00264BC3">
          <w:rPr>
            <w:rStyle w:val="Hyperlink"/>
          </w:rPr>
          <w:t>10 Best Homeless Charities Making a Notable Impact”</w:t>
        </w:r>
      </w:hyperlink>
      <w:r w:rsidRPr="00264BC3">
        <w:t xml:space="preserve"> and</w:t>
      </w:r>
      <w:r w:rsidR="006A6D76">
        <w:t>, for those aware of</w:t>
      </w:r>
      <w:r w:rsidRPr="00264BC3">
        <w:t xml:space="preserve"> government sites such as the Australian Charities and Non-profit Commission (</w:t>
      </w:r>
      <w:hyperlink r:id="rId11" w:history="1">
        <w:r w:rsidRPr="00264BC3">
          <w:rPr>
            <w:rStyle w:val="Hyperlink"/>
          </w:rPr>
          <w:t>ACNC</w:t>
        </w:r>
      </w:hyperlink>
      <w:r w:rsidRPr="00264BC3">
        <w:t>)</w:t>
      </w:r>
      <w:r w:rsidR="006A6D76">
        <w:t>, the annual returns of relevant charities</w:t>
      </w:r>
      <w:r w:rsidRPr="00264BC3">
        <w:t xml:space="preserve">. </w:t>
      </w:r>
    </w:p>
    <w:p w14:paraId="466D0781" w14:textId="613C4674" w:rsidR="00CD13F8" w:rsidRPr="00264BC3" w:rsidRDefault="004F408E" w:rsidP="00264BC3">
      <w:pPr>
        <w:jc w:val="both"/>
      </w:pPr>
      <w:r w:rsidRPr="004F408E">
        <w:t xml:space="preserve">There is </w:t>
      </w:r>
      <w:r w:rsidR="006A6D76">
        <w:t xml:space="preserve">some </w:t>
      </w:r>
      <w:r w:rsidRPr="004F408E">
        <w:t>evidence of an increasing demand for information available to donors from “rating agencies”, that use a mix of data derived from the annual returns of charities to government regulators</w:t>
      </w:r>
      <w:r w:rsidRPr="004F408E">
        <w:rPr>
          <w:vertAlign w:val="superscript"/>
        </w:rPr>
        <w:footnoteReference w:id="27"/>
      </w:r>
      <w:r w:rsidRPr="004F408E">
        <w:t>.</w:t>
      </w:r>
    </w:p>
    <w:p w14:paraId="4F90FCD8" w14:textId="679168A5" w:rsidR="004E0EF8" w:rsidRPr="004E0EF8" w:rsidRDefault="004E0EF8" w:rsidP="00247B82">
      <w:pPr>
        <w:jc w:val="both"/>
      </w:pPr>
      <w:r w:rsidRPr="004E0EF8">
        <w:t xml:space="preserve">Consideration must also be given to </w:t>
      </w:r>
      <w:r>
        <w:t xml:space="preserve">alternative perspectives in any consideration of measuring the “impact” of charitable services </w:t>
      </w:r>
      <w:proofErr w:type="gramStart"/>
      <w:r>
        <w:t>in order to</w:t>
      </w:r>
      <w:proofErr w:type="gramEnd"/>
      <w:r>
        <w:t xml:space="preserve"> make comparisons.</w:t>
      </w:r>
    </w:p>
    <w:p w14:paraId="6E31334C" w14:textId="2B47532F" w:rsidR="000D66F4" w:rsidRDefault="00D06560" w:rsidP="00247B82">
      <w:pPr>
        <w:jc w:val="both"/>
      </w:pPr>
      <w:r w:rsidRPr="00AB3FF0">
        <w:lastRenderedPageBreak/>
        <w:t>I submit that assessments made by donors about the “impact” of their donations on the beneficiaries of the charitable cause will depend largely on the</w:t>
      </w:r>
      <w:r w:rsidR="00AB3FF0" w:rsidRPr="00AB3FF0">
        <w:t xml:space="preserve"> donors’ </w:t>
      </w:r>
      <w:r w:rsidRPr="00AB3FF0">
        <w:t>perspective. Some donors will view the services provided by charities such as “</w:t>
      </w:r>
      <w:proofErr w:type="spellStart"/>
      <w:r w:rsidRPr="00AB3FF0">
        <w:t>Rosies</w:t>
      </w:r>
      <w:proofErr w:type="spellEnd"/>
      <w:r w:rsidRPr="00AB3FF0">
        <w:t xml:space="preserve">” (Example A. above) as worthy of their support </w:t>
      </w:r>
      <w:r w:rsidR="00AB3FF0" w:rsidRPr="00AB3FF0">
        <w:t xml:space="preserve">when approached, </w:t>
      </w:r>
      <w:r w:rsidRPr="00AB3FF0">
        <w:t xml:space="preserve">because those services respond to the emotional needs of people suffering </w:t>
      </w:r>
      <w:r w:rsidRPr="002655D6">
        <w:t>homelessness</w:t>
      </w:r>
      <w:r w:rsidR="00AB3FF0" w:rsidRPr="002655D6">
        <w:t>.</w:t>
      </w:r>
    </w:p>
    <w:p w14:paraId="599ECB77" w14:textId="552B5EF2" w:rsidR="00AB3FF0" w:rsidRDefault="00AB3FF0" w:rsidP="00247B82">
      <w:pPr>
        <w:jc w:val="both"/>
      </w:pPr>
      <w:r>
        <w:t xml:space="preserve">Other donors will respond positively to the approach from a charity like </w:t>
      </w:r>
      <w:r w:rsidRPr="00AB3FF0">
        <w:t>Cornerstone Homelessness Services</w:t>
      </w:r>
      <w:r>
        <w:t xml:space="preserve"> (Example B) because the donor is of the view that services aimed at enabling </w:t>
      </w:r>
      <w:r w:rsidR="002655D6">
        <w:t xml:space="preserve">selected </w:t>
      </w:r>
      <w:r>
        <w:t>beneficiaries to transition out of homelessness are more worthy of their support.</w:t>
      </w:r>
    </w:p>
    <w:p w14:paraId="7BE653DC" w14:textId="3453B8EA" w:rsidR="0002442E" w:rsidRPr="00D06560" w:rsidRDefault="0002442E" w:rsidP="00247B82">
      <w:pPr>
        <w:jc w:val="both"/>
      </w:pPr>
      <w:r>
        <w:t>Some donors are more likely to respond in person to the homeless man in Example C because they are moved by the urgency of the request.</w:t>
      </w:r>
    </w:p>
    <w:p w14:paraId="51ACF67F" w14:textId="77777777" w:rsidR="00276DDC" w:rsidRDefault="00276DDC" w:rsidP="00247B82">
      <w:pPr>
        <w:jc w:val="both"/>
        <w:rPr>
          <w:b/>
          <w:bCs/>
        </w:rPr>
      </w:pPr>
    </w:p>
    <w:p w14:paraId="7EF462E9" w14:textId="27430895" w:rsidR="0016597F" w:rsidRDefault="000B25D1" w:rsidP="00247B82">
      <w:pPr>
        <w:jc w:val="both"/>
        <w:rPr>
          <w:b/>
          <w:bCs/>
        </w:rPr>
      </w:pPr>
      <w:r w:rsidRPr="000B25D1">
        <w:rPr>
          <w:b/>
          <w:bCs/>
        </w:rPr>
        <w:t>The Role of Rating Agencies in the Market for Charitable Contributions</w:t>
      </w:r>
    </w:p>
    <w:p w14:paraId="4C3146CA" w14:textId="77777777" w:rsidR="00740359" w:rsidRPr="00740359" w:rsidRDefault="00740359" w:rsidP="00740359">
      <w:pPr>
        <w:jc w:val="both"/>
      </w:pPr>
      <w:r w:rsidRPr="00740359">
        <w:t xml:space="preserve">Measuring effectiveness and efficiency in the philanthropic and </w:t>
      </w:r>
      <w:proofErr w:type="spellStart"/>
      <w:r w:rsidRPr="00740359">
        <w:t>nonprofit</w:t>
      </w:r>
      <w:proofErr w:type="spellEnd"/>
      <w:r w:rsidRPr="00740359">
        <w:t xml:space="preserve"> sectors includes a wide variety of measures.</w:t>
      </w:r>
      <w:r w:rsidRPr="00740359">
        <w:rPr>
          <w:vertAlign w:val="superscript"/>
        </w:rPr>
        <w:footnoteReference w:id="28"/>
      </w:r>
      <w:r w:rsidRPr="00740359">
        <w:t xml:space="preserve"> </w:t>
      </w:r>
    </w:p>
    <w:p w14:paraId="19759B76" w14:textId="6E906637" w:rsidR="00740359" w:rsidRPr="00740359" w:rsidRDefault="00740359" w:rsidP="00740359">
      <w:pPr>
        <w:jc w:val="both"/>
      </w:pPr>
      <w:r w:rsidRPr="00740359">
        <w:t xml:space="preserve">Internationally, there have been several approaches to measure efficiency based on financial data using the allocation of costs to philanthropic </w:t>
      </w:r>
      <w:r w:rsidR="00A5155E">
        <w:t>“</w:t>
      </w:r>
      <w:r w:rsidRPr="00740359">
        <w:t>services</w:t>
      </w:r>
      <w:r w:rsidR="00A5155E">
        <w:t>”</w:t>
      </w:r>
      <w:r w:rsidRPr="00740359">
        <w:t xml:space="preserve"> and “overheads”. This approach has been the subject of much media attention and academic debate.</w:t>
      </w:r>
      <w:r w:rsidRPr="00740359">
        <w:rPr>
          <w:vertAlign w:val="superscript"/>
        </w:rPr>
        <w:footnoteReference w:id="29"/>
      </w:r>
      <w:r w:rsidRPr="00740359">
        <w:t xml:space="preserve"> </w:t>
      </w:r>
    </w:p>
    <w:p w14:paraId="4FD9BCCE" w14:textId="3F88C714" w:rsidR="00740359" w:rsidRPr="00740359" w:rsidRDefault="00740359" w:rsidP="00740359">
      <w:pPr>
        <w:jc w:val="both"/>
      </w:pPr>
      <w:r w:rsidRPr="00740359">
        <w:t>One approach to the difficult</w:t>
      </w:r>
      <w:r w:rsidR="00F43738">
        <w:t>ies</w:t>
      </w:r>
      <w:r w:rsidRPr="00740359">
        <w:t xml:space="preserve"> donors </w:t>
      </w:r>
      <w:proofErr w:type="gramStart"/>
      <w:r w:rsidRPr="00740359">
        <w:t>have</w:t>
      </w:r>
      <w:proofErr w:type="gramEnd"/>
      <w:r w:rsidRPr="00740359">
        <w:t xml:space="preserve"> in collecting and comparing “the efficiency” of charities based on financial data</w:t>
      </w:r>
      <w:r w:rsidR="00A5155E">
        <w:t xml:space="preserve"> lodged with regulators </w:t>
      </w:r>
      <w:r w:rsidRPr="00740359">
        <w:t>has been the use of “rating agencies”.</w:t>
      </w:r>
      <w:r w:rsidRPr="00740359">
        <w:rPr>
          <w:vertAlign w:val="superscript"/>
        </w:rPr>
        <w:footnoteReference w:id="30"/>
      </w:r>
      <w:r w:rsidRPr="00740359">
        <w:t xml:space="preserve"> However, authoritative research has called into question the reliability of the findings of such rating agencies.</w:t>
      </w:r>
      <w:r w:rsidRPr="00740359">
        <w:rPr>
          <w:vertAlign w:val="superscript"/>
        </w:rPr>
        <w:footnoteReference w:id="31"/>
      </w:r>
    </w:p>
    <w:p w14:paraId="445B68CC" w14:textId="6AC14F85" w:rsidR="00162012" w:rsidRDefault="00162012" w:rsidP="00247B82">
      <w:pPr>
        <w:jc w:val="both"/>
      </w:pPr>
      <w:r w:rsidRPr="00162012">
        <w:t xml:space="preserve">The most significant hurdle </w:t>
      </w:r>
      <w:r w:rsidR="001D424C">
        <w:t xml:space="preserve">that must be overcome </w:t>
      </w:r>
      <w:r>
        <w:t>to</w:t>
      </w:r>
      <w:r w:rsidR="001D424C">
        <w:t xml:space="preserve"> a</w:t>
      </w:r>
      <w:r>
        <w:t xml:space="preserve">llow for the </w:t>
      </w:r>
      <w:r w:rsidRPr="00162012">
        <w:t xml:space="preserve">generation of reliable figures for the calculation of </w:t>
      </w:r>
      <w:r w:rsidR="002655D6">
        <w:t xml:space="preserve">economic </w:t>
      </w:r>
      <w:r w:rsidRPr="00162012">
        <w:t>efficiency</w:t>
      </w:r>
      <w:r>
        <w:t xml:space="preserve"> is the lack of consistent classification</w:t>
      </w:r>
      <w:r w:rsidR="009279EE">
        <w:t xml:space="preserve"> of </w:t>
      </w:r>
      <w:r w:rsidR="00EE3936">
        <w:t>inputs and outputs.</w:t>
      </w:r>
      <w:r w:rsidR="00C342B1">
        <w:rPr>
          <w:rStyle w:val="FootnoteReference"/>
        </w:rPr>
        <w:footnoteReference w:id="32"/>
      </w:r>
    </w:p>
    <w:p w14:paraId="34A6E54C" w14:textId="34AA111A" w:rsidR="00984D11" w:rsidRDefault="003847D6" w:rsidP="00247B82">
      <w:pPr>
        <w:jc w:val="both"/>
      </w:pPr>
      <w:r>
        <w:t>Charity r</w:t>
      </w:r>
      <w:r w:rsidR="00984D11">
        <w:t>egulators around the world</w:t>
      </w:r>
      <w:r>
        <w:t xml:space="preserve"> have </w:t>
      </w:r>
      <w:r w:rsidR="00991772">
        <w:t xml:space="preserve">struggled to </w:t>
      </w:r>
      <w:r w:rsidR="00A31716">
        <w:t xml:space="preserve">respond to calls for a </w:t>
      </w:r>
      <w:r w:rsidR="00EB1ACE">
        <w:t>consistent</w:t>
      </w:r>
      <w:r w:rsidR="00A31716">
        <w:t xml:space="preserve"> approach to </w:t>
      </w:r>
      <w:r w:rsidR="00EB1ACE">
        <w:t>collecting</w:t>
      </w:r>
      <w:r w:rsidR="00AC52D4">
        <w:t xml:space="preserve"> data about the efficiency of the charities they regulate</w:t>
      </w:r>
      <w:r w:rsidR="004F408E">
        <w:t xml:space="preserve">. </w:t>
      </w:r>
      <w:r w:rsidR="001D424C" w:rsidRPr="001D424C">
        <w:t xml:space="preserve">In </w:t>
      </w:r>
      <w:r w:rsidR="001D424C" w:rsidRPr="001D424C">
        <w:lastRenderedPageBreak/>
        <w:t>Australia, the allocation of costs to “services”, “administration” or “fundraising”</w:t>
      </w:r>
      <w:r w:rsidR="00FC6144">
        <w:rPr>
          <w:rStyle w:val="FootnoteReference"/>
        </w:rPr>
        <w:footnoteReference w:id="33"/>
      </w:r>
      <w:r w:rsidR="001D424C" w:rsidRPr="001D424C">
        <w:t xml:space="preserve"> has also been controversial and made more complex by a lack of consistency in the financial data used for comparisons between charities.</w:t>
      </w:r>
      <w:r w:rsidR="001D424C" w:rsidRPr="001D424C">
        <w:rPr>
          <w:vertAlign w:val="superscript"/>
        </w:rPr>
        <w:footnoteReference w:id="34"/>
      </w:r>
      <w:r w:rsidR="00F43738">
        <w:t>.</w:t>
      </w:r>
      <w:r w:rsidR="00F43738">
        <w:rPr>
          <w:rStyle w:val="FootnoteReference"/>
        </w:rPr>
        <w:footnoteReference w:id="35"/>
      </w:r>
    </w:p>
    <w:p w14:paraId="55D82388" w14:textId="15147F6E" w:rsidR="001D424C" w:rsidRDefault="001D424C" w:rsidP="00247B82">
      <w:pPr>
        <w:jc w:val="both"/>
      </w:pPr>
      <w:r>
        <w:t xml:space="preserve">The recent initiatives to develop </w:t>
      </w:r>
      <w:r w:rsidR="00D96A74">
        <w:t xml:space="preserve">more defined types of </w:t>
      </w:r>
      <w:r w:rsidR="001E3F7C">
        <w:t xml:space="preserve">disclosures of </w:t>
      </w:r>
      <w:r w:rsidR="00D96A74">
        <w:t>Income and Expenses</w:t>
      </w:r>
      <w:r>
        <w:t xml:space="preserve"> </w:t>
      </w:r>
      <w:r w:rsidR="00D96A74">
        <w:t xml:space="preserve">in </w:t>
      </w:r>
      <w:r>
        <w:t>not-for-profit accounting standards</w:t>
      </w:r>
      <w:r w:rsidR="00D96A74">
        <w:t>, including the recommended National Standard Chart of Accounts (NSCOA</w:t>
      </w:r>
      <w:r w:rsidR="00D96A74">
        <w:rPr>
          <w:rStyle w:val="FootnoteReference"/>
        </w:rPr>
        <w:footnoteReference w:id="36"/>
      </w:r>
      <w:r w:rsidR="00D96A74">
        <w:t xml:space="preserve">) and the International Financial Reporting for </w:t>
      </w:r>
      <w:proofErr w:type="spellStart"/>
      <w:r w:rsidR="00D96A74">
        <w:t>Non Profit</w:t>
      </w:r>
      <w:proofErr w:type="spellEnd"/>
      <w:r w:rsidR="00D96A74">
        <w:t xml:space="preserve"> Organisations (</w:t>
      </w:r>
      <w:hyperlink r:id="rId12" w:history="1">
        <w:r w:rsidR="00D96A74" w:rsidRPr="00D96A74">
          <w:rPr>
            <w:rStyle w:val="Hyperlink"/>
          </w:rPr>
          <w:t>IFR4NPO</w:t>
        </w:r>
      </w:hyperlink>
      <w:r w:rsidR="00D96A74">
        <w:t>) may help to define more clearly the lines of account in charity annual financial statements</w:t>
      </w:r>
      <w:r w:rsidR="00A5155E">
        <w:t>.</w:t>
      </w:r>
      <w:r w:rsidR="00D96A74">
        <w:t xml:space="preserve"> </w:t>
      </w:r>
      <w:r w:rsidR="00A5155E">
        <w:t>H</w:t>
      </w:r>
      <w:r w:rsidR="00D96A74">
        <w:t>owever</w:t>
      </w:r>
      <w:r w:rsidR="00A5155E">
        <w:t xml:space="preserve">, I submit, the problem of the discretionary allocation </w:t>
      </w:r>
      <w:proofErr w:type="gramStart"/>
      <w:r w:rsidR="00A5155E">
        <w:t>of  expenses</w:t>
      </w:r>
      <w:proofErr w:type="gramEnd"/>
      <w:r w:rsidR="00A5155E">
        <w:t xml:space="preserve"> across cost centres such as “Services” and “Administration” will persist to render comparisons between charities unreliable</w:t>
      </w:r>
      <w:r w:rsidR="00F43738">
        <w:rPr>
          <w:rStyle w:val="FootnoteReference"/>
        </w:rPr>
        <w:footnoteReference w:id="37"/>
      </w:r>
      <w:r w:rsidR="00A5155E">
        <w:t xml:space="preserve">. </w:t>
      </w:r>
      <w:r w:rsidR="00D06560">
        <w:rPr>
          <w:rStyle w:val="FootnoteReference"/>
        </w:rPr>
        <w:footnoteReference w:id="38"/>
      </w:r>
      <w:r w:rsidR="00D06560">
        <w:t xml:space="preserve">. </w:t>
      </w:r>
      <w:r w:rsidR="00D06560">
        <w:rPr>
          <w:rStyle w:val="FootnoteReference"/>
        </w:rPr>
        <w:footnoteReference w:id="39"/>
      </w:r>
    </w:p>
    <w:p w14:paraId="782475C9" w14:textId="768D5BE5" w:rsidR="00831403" w:rsidRPr="00831403" w:rsidRDefault="00831403" w:rsidP="00831403">
      <w:pPr>
        <w:jc w:val="both"/>
      </w:pPr>
      <w:r w:rsidRPr="00831403">
        <w:t xml:space="preserve">The problems associated with the inconsistencies in the allocation of expenses in cost centres such as “services”, “overheads” and “administration” are exacerbated by the varying contractual reporting demands of government funding agencies. </w:t>
      </w:r>
      <w:r w:rsidR="008E640F">
        <w:t xml:space="preserve">Larger </w:t>
      </w:r>
      <w:r w:rsidR="00276DDC">
        <w:t>charities</w:t>
      </w:r>
      <w:r w:rsidR="00946EA0">
        <w:t xml:space="preserve"> that earn </w:t>
      </w:r>
      <w:r w:rsidR="0002442E">
        <w:t>most</w:t>
      </w:r>
      <w:r w:rsidR="00946EA0">
        <w:t xml:space="preserve"> of their income from government grants and service contracts are likely to be influenced in their decisions about the allocation of service costs and administration costs by the terms of their agreements.</w:t>
      </w:r>
      <w:r w:rsidR="00946EA0">
        <w:rPr>
          <w:rStyle w:val="FootnoteReference"/>
        </w:rPr>
        <w:footnoteReference w:id="40"/>
      </w:r>
      <w:r w:rsidR="00946EA0">
        <w:t xml:space="preserve"> </w:t>
      </w:r>
    </w:p>
    <w:p w14:paraId="4E6957D5" w14:textId="4CD5846E" w:rsidR="002655D6" w:rsidRDefault="002655D6" w:rsidP="00247B82">
      <w:pPr>
        <w:jc w:val="both"/>
      </w:pPr>
      <w:r>
        <w:t xml:space="preserve">There is an emerging </w:t>
      </w:r>
      <w:r w:rsidR="0002442E">
        <w:t xml:space="preserve">interest </w:t>
      </w:r>
      <w:r w:rsidR="00444BF8">
        <w:t xml:space="preserve">among both </w:t>
      </w:r>
      <w:r w:rsidR="0002442E">
        <w:t xml:space="preserve">academic and </w:t>
      </w:r>
      <w:r w:rsidR="00444BF8">
        <w:t xml:space="preserve">social services providers in </w:t>
      </w:r>
      <w:r>
        <w:t xml:space="preserve">assessments about the </w:t>
      </w:r>
      <w:r w:rsidR="006E2E9E">
        <w:t>impacts of charitable services on the charity’s beneficiaries</w:t>
      </w:r>
      <w:r w:rsidR="00831403">
        <w:rPr>
          <w:rStyle w:val="FootnoteReference"/>
        </w:rPr>
        <w:footnoteReference w:id="41"/>
      </w:r>
      <w:r w:rsidR="006E2E9E">
        <w:t xml:space="preserve">.  By the nature of such assessments, it is unlikely that </w:t>
      </w:r>
      <w:r w:rsidR="00444BF8">
        <w:t xml:space="preserve">such assessments will be useful </w:t>
      </w:r>
      <w:r w:rsidR="006E2E9E">
        <w:t xml:space="preserve">to </w:t>
      </w:r>
      <w:r w:rsidR="006E2E9E">
        <w:lastRenderedPageBreak/>
        <w:t>dono</w:t>
      </w:r>
      <w:r w:rsidR="00444BF8">
        <w:t>rs</w:t>
      </w:r>
      <w:r w:rsidR="00831403">
        <w:t xml:space="preserve"> </w:t>
      </w:r>
      <w:r w:rsidR="00444BF8">
        <w:t xml:space="preserve">in making comparisons between service providers </w:t>
      </w:r>
      <w:r w:rsidR="00831403">
        <w:t xml:space="preserve">as the </w:t>
      </w:r>
      <w:r w:rsidR="005F7020">
        <w:t xml:space="preserve">objectives, and </w:t>
      </w:r>
      <w:r w:rsidR="00444BF8">
        <w:t xml:space="preserve">methodologies </w:t>
      </w:r>
      <w:r w:rsidR="005F7020">
        <w:t>applied in</w:t>
      </w:r>
      <w:r w:rsidR="00276DDC">
        <w:t xml:space="preserve"> such assessments </w:t>
      </w:r>
      <w:r w:rsidR="00444BF8">
        <w:t xml:space="preserve">will </w:t>
      </w:r>
      <w:r w:rsidR="00831403">
        <w:t>vary</w:t>
      </w:r>
      <w:r w:rsidR="006E2E9E">
        <w:t>.</w:t>
      </w:r>
      <w:r w:rsidR="00CC6144">
        <w:rPr>
          <w:rStyle w:val="FootnoteReference"/>
        </w:rPr>
        <w:footnoteReference w:id="42"/>
      </w:r>
      <w:r w:rsidR="006E2E9E">
        <w:t xml:space="preserve"> </w:t>
      </w:r>
    </w:p>
    <w:p w14:paraId="36465AF6" w14:textId="77777777" w:rsidR="004B1E9B" w:rsidRDefault="004B1E9B" w:rsidP="00247B82">
      <w:pPr>
        <w:jc w:val="both"/>
      </w:pPr>
    </w:p>
    <w:p w14:paraId="378EE95B" w14:textId="3166B90A" w:rsidR="004B1E9B" w:rsidRPr="004B1E9B" w:rsidRDefault="004B1E9B" w:rsidP="00247B82">
      <w:pPr>
        <w:jc w:val="both"/>
        <w:rPr>
          <w:b/>
          <w:bCs/>
        </w:rPr>
      </w:pPr>
      <w:r>
        <w:rPr>
          <w:b/>
          <w:bCs/>
          <w:noProof/>
        </w:rPr>
        <w:drawing>
          <wp:anchor distT="0" distB="0" distL="114300" distR="114300" simplePos="0" relativeHeight="251657216" behindDoc="1" locked="0" layoutInCell="1" allowOverlap="1" wp14:anchorId="0C044813" wp14:editId="4B541803">
            <wp:simplePos x="0" y="0"/>
            <wp:positionH relativeFrom="column">
              <wp:posOffset>0</wp:posOffset>
            </wp:positionH>
            <wp:positionV relativeFrom="paragraph">
              <wp:posOffset>216535</wp:posOffset>
            </wp:positionV>
            <wp:extent cx="5724525" cy="3848100"/>
            <wp:effectExtent l="0" t="0" r="0" b="0"/>
            <wp:wrapTight wrapText="bothSides">
              <wp:wrapPolygon edited="0">
                <wp:start x="0" y="0"/>
                <wp:lineTo x="0" y="21493"/>
                <wp:lineTo x="21564" y="21493"/>
                <wp:lineTo x="2156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384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E9B">
        <w:rPr>
          <w:b/>
          <w:bCs/>
        </w:rPr>
        <w:t>Influences in donors’ decision making</w:t>
      </w:r>
    </w:p>
    <w:p w14:paraId="4FB51E18" w14:textId="0225F95B" w:rsidR="009013AB" w:rsidRPr="00CE7C59" w:rsidRDefault="00CE7C59" w:rsidP="00CC410C">
      <w:pPr>
        <w:rPr>
          <w:b/>
          <w:bCs/>
        </w:rPr>
      </w:pPr>
      <w:r w:rsidRPr="00CE7C59">
        <w:rPr>
          <w:b/>
          <w:bCs/>
        </w:rPr>
        <w:t>Section 5. The Importance of high standards of Governance and “trusteeship”.</w:t>
      </w:r>
    </w:p>
    <w:p w14:paraId="59BBFD8E" w14:textId="04E9ED3C" w:rsidR="002A0D40" w:rsidRDefault="002A0D40" w:rsidP="002A0D40">
      <w:r>
        <w:t xml:space="preserve">I submit that greater emphasis needs to be given </w:t>
      </w:r>
      <w:r w:rsidR="00BA3B5A">
        <w:t xml:space="preserve">by regulators </w:t>
      </w:r>
      <w:r>
        <w:t xml:space="preserve">to the promotion </w:t>
      </w:r>
      <w:r w:rsidR="00A11A81">
        <w:t xml:space="preserve">and regulation </w:t>
      </w:r>
      <w:r>
        <w:t>of good governance</w:t>
      </w:r>
      <w:r w:rsidR="007A035F">
        <w:t xml:space="preserve"> and ethical behaviour</w:t>
      </w:r>
      <w:r>
        <w:t xml:space="preserve"> in charitable and not-for-profit organisations.</w:t>
      </w:r>
      <w:r w:rsidR="00B55E27">
        <w:t xml:space="preserve"> The following examples demonstrate this need:</w:t>
      </w:r>
    </w:p>
    <w:p w14:paraId="62E28D5C" w14:textId="514CD103" w:rsidR="00B55E27" w:rsidRDefault="00B55E27" w:rsidP="00095267">
      <w:r>
        <w:t>Example F.</w:t>
      </w:r>
      <w:r w:rsidR="00095267">
        <w:tab/>
        <w:t xml:space="preserve">The Board of a suburban ex services club in Melbourne decide to hold </w:t>
      </w:r>
      <w:r w:rsidR="00095267">
        <w:tab/>
      </w:r>
      <w:r w:rsidR="00095267">
        <w:tab/>
      </w:r>
      <w:r w:rsidR="00095267">
        <w:tab/>
        <w:t xml:space="preserve">their quarterly meeting in a hotel on Hamilton Island in Queensland as a </w:t>
      </w:r>
      <w:r w:rsidR="00095267">
        <w:tab/>
      </w:r>
      <w:r w:rsidR="00095267">
        <w:tab/>
        <w:t xml:space="preserve">reward for the seven volunteer members of their Board. The arrangements </w:t>
      </w:r>
      <w:r w:rsidR="00095267">
        <w:tab/>
      </w:r>
      <w:r w:rsidR="00095267">
        <w:tab/>
        <w:t xml:space="preserve">include air fares, three days accommodation and meals paid for by the </w:t>
      </w:r>
      <w:r w:rsidR="00095267">
        <w:tab/>
      </w:r>
      <w:r w:rsidR="00095267">
        <w:tab/>
        <w:t>club.</w:t>
      </w:r>
    </w:p>
    <w:p w14:paraId="2F57AB5F" w14:textId="42B495FD" w:rsidR="00095267" w:rsidRDefault="00095267" w:rsidP="002A0D40">
      <w:r>
        <w:t>Example G.</w:t>
      </w:r>
      <w:r>
        <w:tab/>
        <w:t>The Manager of a suburban childcare centre</w:t>
      </w:r>
      <w:r w:rsidR="001F479D">
        <w:t xml:space="preserve"> run by a local charity is </w:t>
      </w:r>
      <w:r w:rsidR="001F479D">
        <w:tab/>
      </w:r>
      <w:r w:rsidR="001F479D">
        <w:tab/>
      </w:r>
      <w:r w:rsidR="001F479D">
        <w:tab/>
        <w:t xml:space="preserve">provided with a vehicle for his private use on the grounds that he has a </w:t>
      </w:r>
      <w:r w:rsidR="001F479D">
        <w:tab/>
      </w:r>
      <w:r w:rsidR="001F479D">
        <w:tab/>
        <w:t xml:space="preserve">mobility disability. One of the parents complain to the Committee that the </w:t>
      </w:r>
      <w:r w:rsidR="001F479D">
        <w:tab/>
      </w:r>
      <w:r w:rsidR="001F479D">
        <w:tab/>
        <w:t xml:space="preserve">vehicle provided is an unnecessarily expensive make and model and that </w:t>
      </w:r>
      <w:r w:rsidR="001F479D">
        <w:lastRenderedPageBreak/>
        <w:tab/>
      </w:r>
      <w:r w:rsidR="001F479D">
        <w:tab/>
        <w:t xml:space="preserve">the vehicle was purchased from a firm owned by a member of the </w:t>
      </w:r>
      <w:r w:rsidR="001F479D">
        <w:tab/>
      </w:r>
      <w:r w:rsidR="001F479D">
        <w:tab/>
      </w:r>
      <w:r w:rsidR="001F479D">
        <w:tab/>
        <w:t>Committee.</w:t>
      </w:r>
    </w:p>
    <w:p w14:paraId="65A96DBC" w14:textId="603F54AA" w:rsidR="00EF693A" w:rsidRDefault="002A0D40" w:rsidP="002A0D40">
      <w:r>
        <w:t xml:space="preserve">At the heart of the governance of charitable organisations must be the </w:t>
      </w:r>
      <w:r w:rsidR="00EF693A">
        <w:t>legal</w:t>
      </w:r>
      <w:r>
        <w:t xml:space="preserve"> </w:t>
      </w:r>
      <w:r w:rsidR="00EF693A">
        <w:t xml:space="preserve">construct of </w:t>
      </w:r>
      <w:r w:rsidR="00085448">
        <w:t>“</w:t>
      </w:r>
      <w:r>
        <w:t>trusteeship</w:t>
      </w:r>
      <w:r w:rsidR="00085448">
        <w:t>”</w:t>
      </w:r>
      <w:r>
        <w:t xml:space="preserve">. </w:t>
      </w:r>
      <w:r w:rsidR="00EF693A">
        <w:t xml:space="preserve">A trustee must </w:t>
      </w:r>
    </w:p>
    <w:p w14:paraId="51C5EA6A" w14:textId="248E8447" w:rsidR="00EF693A" w:rsidRPr="00EF693A" w:rsidRDefault="00EF693A" w:rsidP="00EF693A">
      <w:pPr>
        <w:numPr>
          <w:ilvl w:val="0"/>
          <w:numId w:val="6"/>
        </w:numPr>
        <w:rPr>
          <w:i/>
          <w:iCs/>
        </w:rPr>
      </w:pPr>
      <w:r w:rsidRPr="00EF693A">
        <w:rPr>
          <w:i/>
          <w:iCs/>
        </w:rPr>
        <w:t>Act in the best interests of beneficiaries. This requires a trustee to act with the reasonable care, skill and diligence that an ordinary businessperson would expect.</w:t>
      </w:r>
    </w:p>
    <w:p w14:paraId="30BECA7D" w14:textId="77777777" w:rsidR="00EF693A" w:rsidRPr="00EF693A" w:rsidRDefault="00EF693A" w:rsidP="00EF693A">
      <w:pPr>
        <w:numPr>
          <w:ilvl w:val="0"/>
          <w:numId w:val="6"/>
        </w:numPr>
        <w:rPr>
          <w:i/>
          <w:iCs/>
        </w:rPr>
      </w:pPr>
      <w:r w:rsidRPr="00EF693A">
        <w:rPr>
          <w:i/>
          <w:iCs/>
        </w:rPr>
        <w:t>Duty to preserve trust property. A trustee must conserve the trust property (including the income and capital) against loss.</w:t>
      </w:r>
    </w:p>
    <w:p w14:paraId="226AD90E" w14:textId="77777777" w:rsidR="00EF693A" w:rsidRPr="00EF693A" w:rsidRDefault="00EF693A" w:rsidP="00EF693A">
      <w:pPr>
        <w:numPr>
          <w:ilvl w:val="0"/>
          <w:numId w:val="6"/>
        </w:numPr>
        <w:rPr>
          <w:i/>
          <w:iCs/>
        </w:rPr>
      </w:pPr>
      <w:r w:rsidRPr="00EF693A">
        <w:rPr>
          <w:i/>
          <w:iCs/>
        </w:rPr>
        <w:t>Not to make a personal profit from the trust. A trustee has no right to make a profit from the trust, if any profit is made from the trust, the trustee has a duty to account for the profit to the trust and the beneficiaries.</w:t>
      </w:r>
    </w:p>
    <w:p w14:paraId="7815B809" w14:textId="77777777" w:rsidR="00EF693A" w:rsidRPr="00EF693A" w:rsidRDefault="00EF693A" w:rsidP="00EF693A">
      <w:pPr>
        <w:numPr>
          <w:ilvl w:val="0"/>
          <w:numId w:val="6"/>
        </w:numPr>
        <w:rPr>
          <w:i/>
          <w:iCs/>
        </w:rPr>
      </w:pPr>
      <w:r w:rsidRPr="00EF693A">
        <w:rPr>
          <w:i/>
          <w:iCs/>
        </w:rPr>
        <w:t>Duty to account and provide information to beneficiaries. A trustee must keep an updated and accurate record of accounts and make this available to a beneficiary upon their request.</w:t>
      </w:r>
    </w:p>
    <w:p w14:paraId="74423C2F" w14:textId="3DBA4A4F" w:rsidR="00EF693A" w:rsidRPr="00EF693A" w:rsidRDefault="00EF693A" w:rsidP="00EF693A">
      <w:pPr>
        <w:numPr>
          <w:ilvl w:val="0"/>
          <w:numId w:val="6"/>
        </w:numPr>
        <w:rPr>
          <w:i/>
          <w:iCs/>
        </w:rPr>
      </w:pPr>
      <w:r w:rsidRPr="00EF693A">
        <w:rPr>
          <w:i/>
          <w:iCs/>
        </w:rPr>
        <w:t>Duty to act in person. Generally, a trustee has no right to delegate their duties to a third person, there are exceptions to this rule, such as engaging accountants and lawyers to perform specific tasks. Trust deeds usually provide a list of professionals that may be appointed to assist with performing tasks under the trust.</w:t>
      </w:r>
      <w:r>
        <w:rPr>
          <w:rStyle w:val="FootnoteReference"/>
          <w:i/>
          <w:iCs/>
        </w:rPr>
        <w:footnoteReference w:id="43"/>
      </w:r>
    </w:p>
    <w:p w14:paraId="2F4CBEA9" w14:textId="78BDA98F" w:rsidR="002A0D40" w:rsidRDefault="002A0D40" w:rsidP="002A0D40">
      <w:r>
        <w:t xml:space="preserve">This construction </w:t>
      </w:r>
      <w:r w:rsidR="00085448">
        <w:t xml:space="preserve">of the duties of governance </w:t>
      </w:r>
      <w:r>
        <w:t>re</w:t>
      </w:r>
      <w:r w:rsidR="00085448">
        <w:t>s</w:t>
      </w:r>
      <w:r>
        <w:t xml:space="preserve">ponds to the need for a trusted agent in what is otherwise a </w:t>
      </w:r>
      <w:r w:rsidR="00085448">
        <w:t>“</w:t>
      </w:r>
      <w:r>
        <w:t>market for lemons</w:t>
      </w:r>
      <w:r w:rsidR="00085448">
        <w:t>”</w:t>
      </w:r>
      <w:r>
        <w:t xml:space="preserve">; in which the donor has </w:t>
      </w:r>
      <w:r w:rsidR="00085448">
        <w:t>a paucity of</w:t>
      </w:r>
      <w:r>
        <w:t xml:space="preserve"> knowledge about the quality of the product or the reliability of their agent.</w:t>
      </w:r>
    </w:p>
    <w:p w14:paraId="15015C96" w14:textId="7B01174D" w:rsidR="002A0D40" w:rsidRDefault="002A0D40" w:rsidP="002A0D40">
      <w:r>
        <w:t>It therefore follows that the donor</w:t>
      </w:r>
      <w:r w:rsidR="00085448">
        <w:t xml:space="preserve">’s </w:t>
      </w:r>
      <w:r>
        <w:t xml:space="preserve">confidence and trust is likely to be influenced by </w:t>
      </w:r>
      <w:proofErr w:type="gramStart"/>
      <w:r>
        <w:t>a number of</w:t>
      </w:r>
      <w:proofErr w:type="gramEnd"/>
      <w:r>
        <w:t xml:space="preserve"> signals such as the </w:t>
      </w:r>
      <w:r w:rsidR="00085448">
        <w:t xml:space="preserve">popular </w:t>
      </w:r>
      <w:r>
        <w:t xml:space="preserve">reputation of the charitable entity and its board. Other signals such as </w:t>
      </w:r>
      <w:r w:rsidR="00085448">
        <w:t xml:space="preserve">a donor’s </w:t>
      </w:r>
      <w:r>
        <w:t>previous satisfactory relations</w:t>
      </w:r>
      <w:r w:rsidR="00085448">
        <w:t xml:space="preserve"> with the charity and</w:t>
      </w:r>
      <w:r>
        <w:t xml:space="preserve"> familiarity with identities associated with the charity and their standing in the community</w:t>
      </w:r>
      <w:r w:rsidR="00085448">
        <w:t>, will be important signals of quality for donors</w:t>
      </w:r>
      <w:r w:rsidR="003F4B7E">
        <w:rPr>
          <w:rStyle w:val="FootnoteReference"/>
        </w:rPr>
        <w:footnoteReference w:id="44"/>
      </w:r>
      <w:r w:rsidR="00085448">
        <w:t>.</w:t>
      </w:r>
    </w:p>
    <w:p w14:paraId="73E7E253" w14:textId="2687E044" w:rsidR="00BA3B5A" w:rsidRDefault="00BA3B5A" w:rsidP="002A0D40">
      <w:r>
        <w:lastRenderedPageBreak/>
        <w:t>Regulatory measures such as requiring Committee members and members of Boards of larger charities to have a Director Identification Number</w:t>
      </w:r>
      <w:r w:rsidR="00073AB2">
        <w:rPr>
          <w:rStyle w:val="FootnoteReference"/>
        </w:rPr>
        <w:footnoteReference w:id="45"/>
      </w:r>
      <w:r>
        <w:t xml:space="preserve"> will assists </w:t>
      </w:r>
      <w:r w:rsidR="00073AB2">
        <w:t>in making those that serve in charities and other non-profit organisations more accountable.</w:t>
      </w:r>
    </w:p>
    <w:p w14:paraId="0F371990" w14:textId="7F5AB4E3" w:rsidR="009013AB" w:rsidRDefault="002A0D40" w:rsidP="002A0D40">
      <w:r>
        <w:t>Good governance of charities must include a strong ethical culture to ensure that the</w:t>
      </w:r>
      <w:r w:rsidR="00085448">
        <w:t xml:space="preserve"> </w:t>
      </w:r>
      <w:r>
        <w:t>operations of the charity are conducted in accordance with high community standards, not just compliance with the regulatory environment.</w:t>
      </w:r>
    </w:p>
    <w:p w14:paraId="5755DB39" w14:textId="55841B90" w:rsidR="009013AB" w:rsidRDefault="00CC1993" w:rsidP="00CC410C">
      <w:r w:rsidRPr="00CC1993">
        <w:t xml:space="preserve">I submit that the persistent pursuit </w:t>
      </w:r>
      <w:r w:rsidR="001E40BE">
        <w:t xml:space="preserve">of financial ratios </w:t>
      </w:r>
      <w:r w:rsidRPr="00CC1993">
        <w:t xml:space="preserve">by </w:t>
      </w:r>
      <w:r w:rsidR="001E40BE">
        <w:t xml:space="preserve">some </w:t>
      </w:r>
      <w:r w:rsidRPr="00CC1993">
        <w:t>regulators</w:t>
      </w:r>
      <w:r w:rsidR="00B55E27">
        <w:t>,</w:t>
      </w:r>
      <w:r w:rsidRPr="00CC1993">
        <w:t xml:space="preserve"> and by a </w:t>
      </w:r>
      <w:r w:rsidR="001E40BE" w:rsidRPr="00CC1993">
        <w:t xml:space="preserve">small minority </w:t>
      </w:r>
      <w:r w:rsidR="001E40BE">
        <w:t xml:space="preserve">of </w:t>
      </w:r>
      <w:r w:rsidR="001E40BE" w:rsidRPr="00CC1993">
        <w:t>donor</w:t>
      </w:r>
      <w:r w:rsidR="001E40BE">
        <w:t>s</w:t>
      </w:r>
      <w:r w:rsidR="00B55E27">
        <w:t>,</w:t>
      </w:r>
      <w:r w:rsidRPr="00CC1993">
        <w:t xml:space="preserve"> as a </w:t>
      </w:r>
      <w:r w:rsidR="0022636C">
        <w:t xml:space="preserve">simplistic </w:t>
      </w:r>
      <w:r w:rsidRPr="00CC1993">
        <w:t>measure of efficiency or effectiveness of charities</w:t>
      </w:r>
      <w:r w:rsidR="00B55E27">
        <w:t>,</w:t>
      </w:r>
      <w:r w:rsidRPr="00CC1993">
        <w:t xml:space="preserve"> is fl</w:t>
      </w:r>
      <w:r w:rsidR="00E261AB">
        <w:t>aw</w:t>
      </w:r>
      <w:r w:rsidRPr="00CC1993">
        <w:t>ed</w:t>
      </w:r>
      <w:r w:rsidR="0022636C">
        <w:t>,</w:t>
      </w:r>
      <w:r w:rsidR="00E261AB">
        <w:t xml:space="preserve"> has the potential to mislead</w:t>
      </w:r>
      <w:r w:rsidR="0022636C">
        <w:t xml:space="preserve"> and may encourage decisions that will adversely impact sound management.</w:t>
      </w:r>
      <w:r w:rsidRPr="00CC1993">
        <w:t xml:space="preserve"> Further that a greater focus should </w:t>
      </w:r>
      <w:r>
        <w:t xml:space="preserve">be </w:t>
      </w:r>
      <w:r w:rsidRPr="00CC1993">
        <w:t>directed towards improving standards of governance in charitable organisations. It follows that increased regulation of good governance in charities is more likely to increase levels of public trust and philanthropic support</w:t>
      </w:r>
      <w:r>
        <w:t>.</w:t>
      </w:r>
    </w:p>
    <w:p w14:paraId="16D6B346" w14:textId="06AE545D" w:rsidR="009013AB" w:rsidRDefault="00831403" w:rsidP="00CC410C">
      <w:pPr>
        <w:rPr>
          <w:b/>
          <w:bCs/>
        </w:rPr>
      </w:pPr>
      <w:r w:rsidRPr="00831403">
        <w:rPr>
          <w:b/>
          <w:bCs/>
        </w:rPr>
        <w:t>Recommendations</w:t>
      </w:r>
      <w:r w:rsidR="001E40BE">
        <w:rPr>
          <w:b/>
          <w:bCs/>
        </w:rPr>
        <w:t>:</w:t>
      </w:r>
    </w:p>
    <w:p w14:paraId="602E7406" w14:textId="0A910F37" w:rsidR="001E40BE" w:rsidRDefault="00B31488" w:rsidP="00B31488">
      <w:pPr>
        <w:pStyle w:val="ListParagraph"/>
        <w:numPr>
          <w:ilvl w:val="0"/>
          <w:numId w:val="7"/>
        </w:numPr>
      </w:pPr>
      <w:r w:rsidRPr="00B31488">
        <w:t xml:space="preserve">That </w:t>
      </w:r>
      <w:r>
        <w:t>government regulators give greater emphasis to measures that promote philanthropy by</w:t>
      </w:r>
      <w:r w:rsidR="00B64FF4">
        <w:t>:</w:t>
      </w:r>
    </w:p>
    <w:p w14:paraId="0889D395" w14:textId="342E1A9B" w:rsidR="00B31488" w:rsidRDefault="00B31488" w:rsidP="00B31488">
      <w:pPr>
        <w:pStyle w:val="ListParagraph"/>
        <w:numPr>
          <w:ilvl w:val="1"/>
          <w:numId w:val="7"/>
        </w:numPr>
      </w:pPr>
      <w:r>
        <w:t xml:space="preserve">Giving greater </w:t>
      </w:r>
      <w:r w:rsidR="00B64FF4">
        <w:t>atten</w:t>
      </w:r>
      <w:r>
        <w:t xml:space="preserve">tion to the sociological influences in Australian society that support and hinder </w:t>
      </w:r>
      <w:r w:rsidR="00B64FF4">
        <w:t>philanthropy.</w:t>
      </w:r>
    </w:p>
    <w:p w14:paraId="47BC6D91" w14:textId="77777777" w:rsidR="00BA3B5A" w:rsidRPr="00BA3B5A" w:rsidRDefault="00BA3B5A" w:rsidP="00BA3B5A">
      <w:pPr>
        <w:pStyle w:val="ListParagraph"/>
        <w:numPr>
          <w:ilvl w:val="0"/>
          <w:numId w:val="7"/>
        </w:numPr>
      </w:pPr>
      <w:r w:rsidRPr="00BA3B5A">
        <w:t>Support and encourage high standards of good governance in non-profit and charitable organisations based on trusteeship.</w:t>
      </w:r>
    </w:p>
    <w:p w14:paraId="7C21B171" w14:textId="4E0AE322" w:rsidR="00B64FF4" w:rsidRDefault="00B64FF4" w:rsidP="00101C7D">
      <w:pPr>
        <w:pStyle w:val="ListParagraph"/>
        <w:numPr>
          <w:ilvl w:val="0"/>
          <w:numId w:val="7"/>
        </w:numPr>
      </w:pPr>
      <w:r>
        <w:t>Support the development of a national regulatory framework for all not-for-profit organisations.</w:t>
      </w:r>
    </w:p>
    <w:p w14:paraId="68CDB630" w14:textId="18E29A0A" w:rsidR="00B64FF4" w:rsidRDefault="00B64FF4" w:rsidP="00101C7D">
      <w:pPr>
        <w:pStyle w:val="ListParagraph"/>
        <w:numPr>
          <w:ilvl w:val="0"/>
          <w:numId w:val="7"/>
        </w:numPr>
      </w:pPr>
      <w:r>
        <w:t xml:space="preserve">Support the ACNC’s </w:t>
      </w:r>
      <w:r w:rsidR="00101C7D">
        <w:t xml:space="preserve">on-going </w:t>
      </w:r>
      <w:r>
        <w:t>efforts to reduce the regulatory burden on charities</w:t>
      </w:r>
      <w:r w:rsidR="00101C7D">
        <w:t xml:space="preserve"> </w:t>
      </w:r>
      <w:r w:rsidR="00A22700">
        <w:t xml:space="preserve">and not-for-profit organisations </w:t>
      </w:r>
      <w:r w:rsidR="00101C7D">
        <w:t>by aligning State and Territory regulation</w:t>
      </w:r>
      <w:r w:rsidR="008B71CB">
        <w:t xml:space="preserve"> including fundraising regulation.</w:t>
      </w:r>
    </w:p>
    <w:p w14:paraId="0B14C5CC" w14:textId="28E750EC" w:rsidR="00B64FF4" w:rsidRDefault="00B64FF4" w:rsidP="00101C7D">
      <w:pPr>
        <w:pStyle w:val="ListParagraph"/>
        <w:numPr>
          <w:ilvl w:val="0"/>
          <w:numId w:val="7"/>
        </w:numPr>
      </w:pPr>
      <w:r>
        <w:t>Support the</w:t>
      </w:r>
      <w:r w:rsidR="00101C7D">
        <w:t xml:space="preserve"> progressive </w:t>
      </w:r>
      <w:r>
        <w:t xml:space="preserve">implementation of the </w:t>
      </w:r>
      <w:r w:rsidR="00101C7D">
        <w:t xml:space="preserve">International </w:t>
      </w:r>
      <w:r w:rsidR="00101C7D" w:rsidRPr="00101C7D">
        <w:t xml:space="preserve">Financial Reporting </w:t>
      </w:r>
      <w:r w:rsidR="00BA3B5A">
        <w:t xml:space="preserve">Standards </w:t>
      </w:r>
      <w:r w:rsidR="00101C7D" w:rsidRPr="00101C7D">
        <w:t xml:space="preserve">for </w:t>
      </w:r>
      <w:r w:rsidR="00BA3B5A" w:rsidRPr="00101C7D">
        <w:t>Non-Profit</w:t>
      </w:r>
      <w:r w:rsidR="00101C7D" w:rsidRPr="00101C7D">
        <w:t xml:space="preserve"> Organisations</w:t>
      </w:r>
      <w:r w:rsidR="00BA3B5A">
        <w:t>.</w:t>
      </w:r>
    </w:p>
    <w:p w14:paraId="0A5B065B" w14:textId="17D64889" w:rsidR="00101C7D" w:rsidRDefault="008B71CB" w:rsidP="00101C7D">
      <w:pPr>
        <w:pStyle w:val="ListParagraph"/>
        <w:numPr>
          <w:ilvl w:val="0"/>
          <w:numId w:val="7"/>
        </w:numPr>
      </w:pPr>
      <w:r>
        <w:t>Warn against</w:t>
      </w:r>
      <w:r w:rsidR="00101C7D">
        <w:t xml:space="preserve"> the use of “efficiency” ratios to measures and compare charities.  </w:t>
      </w:r>
    </w:p>
    <w:p w14:paraId="2E941A14" w14:textId="77777777" w:rsidR="00101C7D" w:rsidRPr="00B31488" w:rsidRDefault="00101C7D" w:rsidP="00101C7D">
      <w:pPr>
        <w:pStyle w:val="ListParagraph"/>
        <w:ind w:left="1440"/>
      </w:pPr>
    </w:p>
    <w:p w14:paraId="4D8CEE77" w14:textId="32A516D6" w:rsidR="00E4275C" w:rsidRPr="00E4275C" w:rsidRDefault="00E4275C" w:rsidP="00E4275C"/>
    <w:p w14:paraId="0269CDC9" w14:textId="7E1E3185" w:rsidR="00E4275C" w:rsidRDefault="00E4275C" w:rsidP="00E4275C"/>
    <w:p w14:paraId="675EBCF1" w14:textId="38834CAF" w:rsidR="001D2B12" w:rsidRDefault="001D2B12" w:rsidP="00E4275C"/>
    <w:p w14:paraId="202194F7" w14:textId="435C94D5" w:rsidR="001D2B12" w:rsidRDefault="001D2B12" w:rsidP="00E4275C"/>
    <w:p w14:paraId="51C685B2" w14:textId="4803E118" w:rsidR="001D2B12" w:rsidRDefault="001D2B12" w:rsidP="00E4275C"/>
    <w:p w14:paraId="57DF30FB" w14:textId="2866F02A" w:rsidR="001D2B12" w:rsidRDefault="001D2B12" w:rsidP="00E4275C"/>
    <w:p w14:paraId="2C2F984C" w14:textId="5802ACAA" w:rsidR="002923E8" w:rsidRDefault="002923E8" w:rsidP="002923E8">
      <w:pPr>
        <w:jc w:val="center"/>
        <w:rPr>
          <w:b/>
          <w:bCs/>
        </w:rPr>
      </w:pPr>
      <w:r>
        <w:rPr>
          <w:b/>
          <w:bCs/>
        </w:rPr>
        <w:lastRenderedPageBreak/>
        <w:t>ANNEX A</w:t>
      </w:r>
    </w:p>
    <w:p w14:paraId="6833330A" w14:textId="7AF1E01C" w:rsidR="00DC0C75" w:rsidRPr="0060787B" w:rsidRDefault="0060787B" w:rsidP="00E4275C">
      <w:pPr>
        <w:rPr>
          <w:b/>
          <w:bCs/>
        </w:rPr>
      </w:pPr>
      <w:r w:rsidRPr="0060787B">
        <w:rPr>
          <w:b/>
          <w:bCs/>
        </w:rPr>
        <w:t>Example H</w:t>
      </w:r>
    </w:p>
    <w:p w14:paraId="3CD237B2" w14:textId="7E6F517F" w:rsidR="00DC0C75" w:rsidRDefault="0060787B" w:rsidP="00E4275C">
      <w:r w:rsidRPr="0060787B">
        <w:rPr>
          <w:noProof/>
        </w:rPr>
        <w:drawing>
          <wp:inline distT="0" distB="0" distL="0" distR="0" wp14:anchorId="0F966502" wp14:editId="01833830">
            <wp:extent cx="5731510" cy="35433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a:stretch>
                      <a:fillRect/>
                    </a:stretch>
                  </pic:blipFill>
                  <pic:spPr>
                    <a:xfrm>
                      <a:off x="0" y="0"/>
                      <a:ext cx="5731510" cy="3543300"/>
                    </a:xfrm>
                    <a:prstGeom prst="rect">
                      <a:avLst/>
                    </a:prstGeom>
                  </pic:spPr>
                </pic:pic>
              </a:graphicData>
            </a:graphic>
          </wp:inline>
        </w:drawing>
      </w:r>
    </w:p>
    <w:p w14:paraId="1A7E37F9" w14:textId="7735FF01" w:rsidR="00BE4305" w:rsidRPr="00BE4305" w:rsidRDefault="00BE4305" w:rsidP="00BE4305"/>
    <w:p w14:paraId="6D84C85D" w14:textId="05EB63AC" w:rsidR="00BE4305" w:rsidRPr="00BE4305" w:rsidRDefault="0060787B" w:rsidP="00BE4305">
      <w:r w:rsidRPr="0060787B">
        <w:rPr>
          <w:noProof/>
        </w:rPr>
        <w:drawing>
          <wp:inline distT="0" distB="0" distL="0" distR="0" wp14:anchorId="325B7109" wp14:editId="051F4770">
            <wp:extent cx="5731510" cy="2837180"/>
            <wp:effectExtent l="0" t="0" r="0" b="0"/>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15"/>
                    <a:stretch>
                      <a:fillRect/>
                    </a:stretch>
                  </pic:blipFill>
                  <pic:spPr>
                    <a:xfrm>
                      <a:off x="0" y="0"/>
                      <a:ext cx="5731510" cy="2837180"/>
                    </a:xfrm>
                    <a:prstGeom prst="rect">
                      <a:avLst/>
                    </a:prstGeom>
                  </pic:spPr>
                </pic:pic>
              </a:graphicData>
            </a:graphic>
          </wp:inline>
        </w:drawing>
      </w:r>
    </w:p>
    <w:p w14:paraId="2FB21E6B" w14:textId="5F45B9F3" w:rsidR="00BE4305" w:rsidRPr="00BE4305" w:rsidRDefault="00BE4305" w:rsidP="00BE4305"/>
    <w:p w14:paraId="10FB7945" w14:textId="1A680550" w:rsidR="00BE4305" w:rsidRPr="00BE4305" w:rsidRDefault="00BE4305" w:rsidP="00BE4305"/>
    <w:p w14:paraId="23A09F36" w14:textId="6408A997" w:rsidR="00BE4305" w:rsidRPr="00BE4305" w:rsidRDefault="00BE4305" w:rsidP="00BE4305"/>
    <w:p w14:paraId="3B5EF0EE" w14:textId="444DA397" w:rsidR="00BE4305" w:rsidRPr="00BE4305" w:rsidRDefault="00BE4305" w:rsidP="00BE4305"/>
    <w:p w14:paraId="7189BC7B" w14:textId="4C10B8B6" w:rsidR="00BE4305" w:rsidRDefault="00BE4305" w:rsidP="00BE4305"/>
    <w:p w14:paraId="388B0C0A" w14:textId="71232CF3" w:rsidR="00BE4305" w:rsidRDefault="0060787B" w:rsidP="00BE4305">
      <w:pPr>
        <w:ind w:firstLine="720"/>
      </w:pPr>
      <w:r w:rsidRPr="0060787B">
        <w:rPr>
          <w:noProof/>
        </w:rPr>
        <w:drawing>
          <wp:inline distT="0" distB="0" distL="0" distR="0" wp14:anchorId="6D8067E7" wp14:editId="498288EE">
            <wp:extent cx="5731510" cy="5987415"/>
            <wp:effectExtent l="0" t="0" r="0" b="0"/>
            <wp:docPr id="8" name="Picture 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with low confidence"/>
                    <pic:cNvPicPr/>
                  </pic:nvPicPr>
                  <pic:blipFill>
                    <a:blip r:embed="rId16"/>
                    <a:stretch>
                      <a:fillRect/>
                    </a:stretch>
                  </pic:blipFill>
                  <pic:spPr>
                    <a:xfrm>
                      <a:off x="0" y="0"/>
                      <a:ext cx="5731510" cy="5987415"/>
                    </a:xfrm>
                    <a:prstGeom prst="rect">
                      <a:avLst/>
                    </a:prstGeom>
                  </pic:spPr>
                </pic:pic>
              </a:graphicData>
            </a:graphic>
          </wp:inline>
        </w:drawing>
      </w:r>
    </w:p>
    <w:p w14:paraId="0E82F7F0" w14:textId="516E71BA" w:rsidR="00BE4305" w:rsidRDefault="00BE4305" w:rsidP="00BE4305">
      <w:pPr>
        <w:ind w:firstLine="720"/>
      </w:pPr>
    </w:p>
    <w:p w14:paraId="150DC79C" w14:textId="6AD55B73" w:rsidR="00BE4305" w:rsidRDefault="00BE4305" w:rsidP="00BE4305">
      <w:pPr>
        <w:ind w:firstLine="720"/>
      </w:pPr>
    </w:p>
    <w:p w14:paraId="3CF2FA9F" w14:textId="77777777" w:rsidR="0060787B" w:rsidRDefault="0060787B" w:rsidP="00BE4305">
      <w:pPr>
        <w:ind w:firstLine="720"/>
        <w:rPr>
          <w:b/>
          <w:bCs/>
        </w:rPr>
      </w:pPr>
    </w:p>
    <w:p w14:paraId="2960CC71" w14:textId="77777777" w:rsidR="0060787B" w:rsidRDefault="0060787B" w:rsidP="00BE4305">
      <w:pPr>
        <w:ind w:firstLine="720"/>
        <w:rPr>
          <w:b/>
          <w:bCs/>
        </w:rPr>
      </w:pPr>
    </w:p>
    <w:p w14:paraId="06D44172" w14:textId="77777777" w:rsidR="0060787B" w:rsidRDefault="0060787B" w:rsidP="00BE4305">
      <w:pPr>
        <w:ind w:firstLine="720"/>
        <w:rPr>
          <w:b/>
          <w:bCs/>
        </w:rPr>
      </w:pPr>
    </w:p>
    <w:p w14:paraId="70ADD4FD" w14:textId="77777777" w:rsidR="0060787B" w:rsidRDefault="0060787B" w:rsidP="00BE4305">
      <w:pPr>
        <w:ind w:firstLine="720"/>
        <w:rPr>
          <w:b/>
          <w:bCs/>
        </w:rPr>
      </w:pPr>
    </w:p>
    <w:p w14:paraId="05868D99" w14:textId="77777777" w:rsidR="0060787B" w:rsidRDefault="0060787B" w:rsidP="00BE4305">
      <w:pPr>
        <w:ind w:firstLine="720"/>
        <w:rPr>
          <w:b/>
          <w:bCs/>
        </w:rPr>
      </w:pPr>
    </w:p>
    <w:p w14:paraId="1FEF2B45" w14:textId="77777777" w:rsidR="0060787B" w:rsidRDefault="0060787B" w:rsidP="00BE4305">
      <w:pPr>
        <w:ind w:firstLine="720"/>
        <w:rPr>
          <w:b/>
          <w:bCs/>
        </w:rPr>
      </w:pPr>
    </w:p>
    <w:p w14:paraId="16224A4F" w14:textId="15F2D557" w:rsidR="0060787B" w:rsidRPr="0060787B" w:rsidRDefault="0060787B" w:rsidP="00BE4305">
      <w:pPr>
        <w:ind w:firstLine="720"/>
        <w:rPr>
          <w:b/>
          <w:bCs/>
        </w:rPr>
      </w:pPr>
      <w:r w:rsidRPr="0060787B">
        <w:rPr>
          <w:b/>
          <w:bCs/>
        </w:rPr>
        <w:t>Example I</w:t>
      </w:r>
    </w:p>
    <w:p w14:paraId="02DE7892" w14:textId="0F211DB6" w:rsidR="00BE4305" w:rsidRDefault="00905AAD" w:rsidP="00905AAD">
      <w:pPr>
        <w:ind w:firstLine="720"/>
        <w:jc w:val="both"/>
      </w:pPr>
      <w:r w:rsidRPr="00905AAD">
        <w:rPr>
          <w:noProof/>
        </w:rPr>
        <w:drawing>
          <wp:inline distT="0" distB="0" distL="0" distR="0" wp14:anchorId="047D8E23" wp14:editId="1A49BB51">
            <wp:extent cx="5731510" cy="552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5521960"/>
                    </a:xfrm>
                    <a:prstGeom prst="rect">
                      <a:avLst/>
                    </a:prstGeom>
                  </pic:spPr>
                </pic:pic>
              </a:graphicData>
            </a:graphic>
          </wp:inline>
        </w:drawing>
      </w:r>
    </w:p>
    <w:p w14:paraId="476AC074" w14:textId="68D92E31" w:rsidR="00BE4305" w:rsidRDefault="00BE4305" w:rsidP="00BE4305">
      <w:pPr>
        <w:ind w:firstLine="720"/>
      </w:pPr>
    </w:p>
    <w:p w14:paraId="20B91C42" w14:textId="787DD74E" w:rsidR="00BE4305" w:rsidRPr="00BE4305" w:rsidRDefault="00BE4305" w:rsidP="00BE4305"/>
    <w:p w14:paraId="0752A9CF" w14:textId="47606B49" w:rsidR="00BE4305" w:rsidRDefault="00BE4305" w:rsidP="00BE4305">
      <w:pPr>
        <w:ind w:firstLine="720"/>
      </w:pPr>
    </w:p>
    <w:p w14:paraId="59009906" w14:textId="06FB5C4A" w:rsidR="002246D1" w:rsidRDefault="002246D1" w:rsidP="00BE4305">
      <w:pPr>
        <w:ind w:firstLine="720"/>
      </w:pPr>
    </w:p>
    <w:p w14:paraId="741045F1" w14:textId="6ECDF49A" w:rsidR="002246D1" w:rsidRPr="00BE4305" w:rsidRDefault="002246D1" w:rsidP="00BE4305">
      <w:pPr>
        <w:ind w:firstLine="720"/>
      </w:pPr>
    </w:p>
    <w:sectPr w:rsidR="002246D1" w:rsidRPr="00BE430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6F81" w14:textId="77777777" w:rsidR="00BD1386" w:rsidRDefault="00BD1386" w:rsidP="00492F83">
      <w:pPr>
        <w:spacing w:after="0" w:line="240" w:lineRule="auto"/>
      </w:pPr>
      <w:r>
        <w:separator/>
      </w:r>
    </w:p>
  </w:endnote>
  <w:endnote w:type="continuationSeparator" w:id="0">
    <w:p w14:paraId="783C0A67" w14:textId="77777777" w:rsidR="00BD1386" w:rsidRDefault="00BD1386" w:rsidP="00492F83">
      <w:pPr>
        <w:spacing w:after="0" w:line="240" w:lineRule="auto"/>
      </w:pPr>
      <w:r>
        <w:continuationSeparator/>
      </w:r>
    </w:p>
  </w:endnote>
  <w:endnote w:type="continuationNotice" w:id="1">
    <w:p w14:paraId="5E05AC18" w14:textId="77777777" w:rsidR="00BD1386" w:rsidRDefault="00BD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1E7C" w14:textId="77777777" w:rsidR="005C4FC6" w:rsidRDefault="005C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965650"/>
      <w:docPartObj>
        <w:docPartGallery w:val="Page Numbers (Bottom of Page)"/>
        <w:docPartUnique/>
      </w:docPartObj>
    </w:sdtPr>
    <w:sdtEndPr>
      <w:rPr>
        <w:noProof/>
      </w:rPr>
    </w:sdtEndPr>
    <w:sdtContent>
      <w:p w14:paraId="206C0353" w14:textId="060376BD" w:rsidR="00CA032C" w:rsidRDefault="00CA0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D9FAE" w14:textId="77777777" w:rsidR="00CA032C" w:rsidRDefault="00CA0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0421" w14:textId="77777777" w:rsidR="005C4FC6" w:rsidRDefault="005C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7F92" w14:textId="77777777" w:rsidR="00BD1386" w:rsidRDefault="00BD1386" w:rsidP="00492F83">
      <w:pPr>
        <w:spacing w:after="0" w:line="240" w:lineRule="auto"/>
      </w:pPr>
      <w:r>
        <w:separator/>
      </w:r>
    </w:p>
  </w:footnote>
  <w:footnote w:type="continuationSeparator" w:id="0">
    <w:p w14:paraId="258313A6" w14:textId="77777777" w:rsidR="00BD1386" w:rsidRDefault="00BD1386" w:rsidP="00492F83">
      <w:pPr>
        <w:spacing w:after="0" w:line="240" w:lineRule="auto"/>
      </w:pPr>
      <w:r>
        <w:continuationSeparator/>
      </w:r>
    </w:p>
  </w:footnote>
  <w:footnote w:type="continuationNotice" w:id="1">
    <w:p w14:paraId="7500D4E1" w14:textId="77777777" w:rsidR="00BD1386" w:rsidRDefault="00BD1386">
      <w:pPr>
        <w:spacing w:after="0" w:line="240" w:lineRule="auto"/>
      </w:pPr>
    </w:p>
  </w:footnote>
  <w:footnote w:id="2">
    <w:p w14:paraId="00DB74E1" w14:textId="5EE85C69" w:rsidR="00492F83" w:rsidRDefault="00492F83">
      <w:pPr>
        <w:pStyle w:val="FootnoteText"/>
      </w:pPr>
      <w:r>
        <w:rPr>
          <w:rStyle w:val="FootnoteReference"/>
        </w:rPr>
        <w:footnoteRef/>
      </w:r>
      <w:r>
        <w:t xml:space="preserve"> </w:t>
      </w:r>
      <w:proofErr w:type="spellStart"/>
      <w:r w:rsidRPr="00492F83">
        <w:t>Bekkers</w:t>
      </w:r>
      <w:proofErr w:type="spellEnd"/>
      <w:r w:rsidRPr="00492F83">
        <w:t xml:space="preserve">, R., &amp; </w:t>
      </w:r>
      <w:proofErr w:type="spellStart"/>
      <w:r w:rsidRPr="00492F83">
        <w:t>Wiepking</w:t>
      </w:r>
      <w:proofErr w:type="spellEnd"/>
      <w:r w:rsidRPr="00492F83">
        <w:t>, P. (2007). Generosity and Philanthropy: A Literature Review. SSRN Electronic Journal. https://www.academia.edu/4228173/GENEROSITY_AND_PHILANTHROPY_A_LITERATURE_REVIEW</w:t>
      </w:r>
    </w:p>
  </w:footnote>
  <w:footnote w:id="3">
    <w:p w14:paraId="6A011D5E" w14:textId="663B7C08" w:rsidR="00162012" w:rsidRDefault="00162012">
      <w:pPr>
        <w:pStyle w:val="FootnoteText"/>
      </w:pPr>
      <w:r>
        <w:rPr>
          <w:rStyle w:val="FootnoteReference"/>
        </w:rPr>
        <w:footnoteRef/>
      </w:r>
      <w:r>
        <w:t xml:space="preserve"> </w:t>
      </w:r>
      <w:proofErr w:type="spellStart"/>
      <w:r w:rsidRPr="00162012">
        <w:t>Bhati</w:t>
      </w:r>
      <w:proofErr w:type="spellEnd"/>
      <w:r w:rsidRPr="00162012">
        <w:t xml:space="preserve">, A., &amp; Hansen, R. (2020). A literature review of experimental studies in fundraising. Journal of </w:t>
      </w:r>
      <w:proofErr w:type="spellStart"/>
      <w:r w:rsidRPr="00162012">
        <w:t>Behavioral</w:t>
      </w:r>
      <w:proofErr w:type="spellEnd"/>
      <w:r w:rsidRPr="00162012">
        <w:t xml:space="preserve"> Public Administration, 3(1), Article 1. https://doi.org/10.30636/jbpa.31.129</w:t>
      </w:r>
    </w:p>
  </w:footnote>
  <w:footnote w:id="4">
    <w:p w14:paraId="1FC16E74" w14:textId="35DCF9CC" w:rsidR="00563B43" w:rsidRDefault="00563B43">
      <w:pPr>
        <w:pStyle w:val="FootnoteText"/>
      </w:pPr>
      <w:r>
        <w:rPr>
          <w:rStyle w:val="FootnoteReference"/>
        </w:rPr>
        <w:footnoteRef/>
      </w:r>
      <w:r>
        <w:t xml:space="preserve"> </w:t>
      </w:r>
      <w:r w:rsidRPr="00563B43">
        <w:t xml:space="preserve">Scaife, W., Williamson, A., McDonald, K., &amp; </w:t>
      </w:r>
      <w:proofErr w:type="spellStart"/>
      <w:r w:rsidRPr="00563B43">
        <w:t>Smyllie</w:t>
      </w:r>
      <w:proofErr w:type="spellEnd"/>
      <w:r w:rsidRPr="00563B43">
        <w:t xml:space="preserve">, S. (2012). </w:t>
      </w:r>
      <w:r w:rsidRPr="00563B43">
        <w:rPr>
          <w:i/>
          <w:iCs/>
        </w:rPr>
        <w:t>Foundations for giving: Why and how Australians structure their philanthropy</w:t>
      </w:r>
      <w:r w:rsidRPr="00563B43">
        <w:t>.</w:t>
      </w:r>
    </w:p>
  </w:footnote>
  <w:footnote w:id="5">
    <w:p w14:paraId="7E45A3D2" w14:textId="5C9586C9" w:rsidR="005E3057" w:rsidRDefault="005E3057">
      <w:pPr>
        <w:pStyle w:val="FootnoteText"/>
      </w:pPr>
      <w:r>
        <w:rPr>
          <w:rStyle w:val="FootnoteReference"/>
        </w:rPr>
        <w:footnoteRef/>
      </w:r>
      <w:r>
        <w:t xml:space="preserve"> </w:t>
      </w:r>
      <w:r w:rsidRPr="005E3057">
        <w:t>Moll, et al., (2006), MRI Studies of the human brain whilst philanthropic decision making.</w:t>
      </w:r>
    </w:p>
  </w:footnote>
  <w:footnote w:id="6">
    <w:p w14:paraId="5C1B9C3E" w14:textId="598813E7" w:rsidR="00C342B1" w:rsidRDefault="00C342B1">
      <w:pPr>
        <w:pStyle w:val="FootnoteText"/>
      </w:pPr>
      <w:r>
        <w:rPr>
          <w:rStyle w:val="FootnoteReference"/>
        </w:rPr>
        <w:footnoteRef/>
      </w:r>
      <w:r w:rsidRPr="00C342B1">
        <w:t>. Breeze, B. (2013). How Donors Choose Charities: The Role of Personal Taste and Experiences in Giving Decisions. Voluntary Sector Review, 4, 165–183. https://doi.org/10.1332/204080513X667792</w:t>
      </w:r>
    </w:p>
  </w:footnote>
  <w:footnote w:id="7">
    <w:p w14:paraId="007B8736" w14:textId="537159BE" w:rsidR="000A7997" w:rsidRDefault="000A7997">
      <w:pPr>
        <w:pStyle w:val="FootnoteText"/>
      </w:pPr>
      <w:r>
        <w:rPr>
          <w:rStyle w:val="FootnoteReference"/>
        </w:rPr>
        <w:footnoteRef/>
      </w:r>
      <w:r>
        <w:t xml:space="preserve"> </w:t>
      </w:r>
      <w:r w:rsidRPr="000A7997">
        <w:t xml:space="preserve">van </w:t>
      </w:r>
      <w:proofErr w:type="spellStart"/>
      <w:r w:rsidRPr="000A7997">
        <w:t>Teunenbroek</w:t>
      </w:r>
      <w:proofErr w:type="spellEnd"/>
      <w:r w:rsidRPr="000A7997">
        <w:t xml:space="preserve">, C., Chiesa, C. D., &amp; Hesse, L. (n.d.). The contribution of crowdfunding for philanthropy: A systematic review and framework of donation and reward crowdfunding. </w:t>
      </w:r>
      <w:r w:rsidRPr="000A7997">
        <w:rPr>
          <w:i/>
          <w:iCs/>
        </w:rPr>
        <w:t>Journal of Philanthropy and Marketing</w:t>
      </w:r>
      <w:r w:rsidRPr="000A7997">
        <w:t xml:space="preserve">, </w:t>
      </w:r>
      <w:r w:rsidRPr="000A7997">
        <w:rPr>
          <w:i/>
          <w:iCs/>
        </w:rPr>
        <w:t>n/a</w:t>
      </w:r>
      <w:r w:rsidRPr="000A7997">
        <w:t xml:space="preserve">(n/a), e1791. </w:t>
      </w:r>
      <w:hyperlink r:id="rId1" w:history="1">
        <w:r w:rsidRPr="000A7997">
          <w:rPr>
            <w:rStyle w:val="Hyperlink"/>
          </w:rPr>
          <w:t>https://doi.org/10.1002/nvsm.1791</w:t>
        </w:r>
      </w:hyperlink>
    </w:p>
  </w:footnote>
  <w:footnote w:id="8">
    <w:p w14:paraId="26559630" w14:textId="533EF2F0" w:rsidR="00D117EA" w:rsidRDefault="00D117EA">
      <w:pPr>
        <w:pStyle w:val="FootnoteText"/>
      </w:pPr>
      <w:r>
        <w:rPr>
          <w:rStyle w:val="FootnoteReference"/>
        </w:rPr>
        <w:footnoteRef/>
      </w:r>
      <w:r>
        <w:t xml:space="preserve"> </w:t>
      </w:r>
      <w:r w:rsidRPr="00D117EA">
        <w:t>GOFUNDME. (n.d.). Fundraising Institute Australia. Retrieved 23 February 2023, from https://fia.org.au/gofundme/</w:t>
      </w:r>
    </w:p>
  </w:footnote>
  <w:footnote w:id="9">
    <w:p w14:paraId="5D981A1A" w14:textId="77777777" w:rsidR="009002B4" w:rsidRPr="009002B4" w:rsidRDefault="009002B4" w:rsidP="009002B4">
      <w:pPr>
        <w:pStyle w:val="FootnoteText"/>
      </w:pPr>
      <w:r>
        <w:rPr>
          <w:rStyle w:val="FootnoteReference"/>
        </w:rPr>
        <w:footnoteRef/>
      </w:r>
      <w:r>
        <w:t xml:space="preserve"> </w:t>
      </w:r>
      <w:r w:rsidRPr="009002B4">
        <w:t xml:space="preserve">Powell, R., Evans, D., Bednar, H., </w:t>
      </w:r>
      <w:proofErr w:type="spellStart"/>
      <w:r w:rsidRPr="009002B4">
        <w:t>Oladipupo</w:t>
      </w:r>
      <w:proofErr w:type="spellEnd"/>
      <w:r w:rsidRPr="009002B4">
        <w:t xml:space="preserve">, B., &amp; Sidibe, T. (n.d.). Using trust-based philanthropy with community-based organizations during the COVID-19 pandemic. </w:t>
      </w:r>
      <w:r w:rsidRPr="009002B4">
        <w:rPr>
          <w:i/>
          <w:iCs/>
        </w:rPr>
        <w:t>Journal of Philanthropy and Marketing</w:t>
      </w:r>
      <w:r w:rsidRPr="009002B4">
        <w:t xml:space="preserve">, </w:t>
      </w:r>
      <w:r w:rsidRPr="009002B4">
        <w:rPr>
          <w:i/>
          <w:iCs/>
        </w:rPr>
        <w:t>n/a</w:t>
      </w:r>
      <w:r w:rsidRPr="009002B4">
        <w:t xml:space="preserve">(n/a), e1786. </w:t>
      </w:r>
      <w:hyperlink r:id="rId2" w:history="1">
        <w:r w:rsidRPr="009002B4">
          <w:rPr>
            <w:rStyle w:val="Hyperlink"/>
          </w:rPr>
          <w:t>https://doi.org/10.1002/nvsm.1786</w:t>
        </w:r>
      </w:hyperlink>
    </w:p>
    <w:p w14:paraId="0AC6E103" w14:textId="2F2E4238" w:rsidR="009002B4" w:rsidRDefault="009002B4">
      <w:pPr>
        <w:pStyle w:val="FootnoteText"/>
      </w:pPr>
    </w:p>
  </w:footnote>
  <w:footnote w:id="10">
    <w:p w14:paraId="2078FB86" w14:textId="77777777" w:rsidR="00031179" w:rsidRDefault="00031179" w:rsidP="00031179">
      <w:pPr>
        <w:pStyle w:val="FootnoteText"/>
      </w:pPr>
      <w:r>
        <w:tab/>
      </w:r>
    </w:p>
    <w:p w14:paraId="5C560816" w14:textId="77777777" w:rsidR="00031179" w:rsidRDefault="00031179" w:rsidP="00031179">
      <w:pPr>
        <w:pStyle w:val="FootnoteText"/>
      </w:pPr>
    </w:p>
  </w:footnote>
  <w:footnote w:id="11">
    <w:p w14:paraId="442FFEFE" w14:textId="0FA34A8F" w:rsidR="00EA5910" w:rsidRDefault="00EA5910">
      <w:pPr>
        <w:pStyle w:val="FootnoteText"/>
      </w:pPr>
      <w:r>
        <w:rPr>
          <w:rStyle w:val="FootnoteReference"/>
        </w:rPr>
        <w:footnoteRef/>
      </w:r>
      <w:r>
        <w:t xml:space="preserve"> </w:t>
      </w:r>
      <w:r w:rsidRPr="00EA5910">
        <w:t xml:space="preserve">Rose-Ackerman, S. (1996). Altruism, </w:t>
      </w:r>
      <w:proofErr w:type="spellStart"/>
      <w:r w:rsidRPr="00EA5910">
        <w:t>Nonprofits</w:t>
      </w:r>
      <w:proofErr w:type="spellEnd"/>
      <w:r w:rsidRPr="00EA5910">
        <w:t xml:space="preserve">, and Economic Theory. </w:t>
      </w:r>
      <w:r w:rsidRPr="00EA5910">
        <w:rPr>
          <w:i/>
          <w:iCs/>
        </w:rPr>
        <w:t>Journal of Economic Literature</w:t>
      </w:r>
      <w:r w:rsidRPr="00EA5910">
        <w:t xml:space="preserve">, </w:t>
      </w:r>
      <w:r w:rsidRPr="00EA5910">
        <w:rPr>
          <w:i/>
          <w:iCs/>
        </w:rPr>
        <w:t>34</w:t>
      </w:r>
      <w:r w:rsidRPr="00EA5910">
        <w:t>(2), 701–728.</w:t>
      </w:r>
    </w:p>
  </w:footnote>
  <w:footnote w:id="12">
    <w:p w14:paraId="489E0612" w14:textId="7ABA6A34" w:rsidR="00012D0A" w:rsidRDefault="00012D0A">
      <w:pPr>
        <w:pStyle w:val="FootnoteText"/>
      </w:pPr>
      <w:r>
        <w:rPr>
          <w:rStyle w:val="FootnoteReference"/>
        </w:rPr>
        <w:footnoteRef/>
      </w:r>
      <w:r>
        <w:t xml:space="preserve"> </w:t>
      </w:r>
      <w:r w:rsidRPr="00012D0A">
        <w:rPr>
          <w:i/>
          <w:iCs/>
        </w:rPr>
        <w:t>The Non-profit Enterprise in Market Economics</w:t>
      </w:r>
      <w:r w:rsidRPr="00012D0A">
        <w:t xml:space="preserve">. (n.d.). Routledge &amp; CRC Press. Retrieved 6 March 2023, from </w:t>
      </w:r>
      <w:hyperlink r:id="rId3" w:history="1">
        <w:r w:rsidRPr="00012D0A">
          <w:rPr>
            <w:rStyle w:val="Hyperlink"/>
          </w:rPr>
          <w:t>https://www.routledge.com/The-Non-profit-Enterprise-in-Market-Economics/James-Rose-Ackerman/p/book/9780415866279</w:t>
        </w:r>
      </w:hyperlink>
    </w:p>
  </w:footnote>
  <w:footnote w:id="13">
    <w:p w14:paraId="1A35B55B" w14:textId="77777777" w:rsidR="005D056E" w:rsidRDefault="005D056E" w:rsidP="005D056E">
      <w:pPr>
        <w:pStyle w:val="FootnoteText"/>
      </w:pPr>
      <w:r>
        <w:rPr>
          <w:rStyle w:val="FootnoteReference"/>
        </w:rPr>
        <w:footnoteRef/>
      </w:r>
      <w:r>
        <w:t xml:space="preserve"> </w:t>
      </w:r>
      <w:r w:rsidRPr="004426E6">
        <w:t xml:space="preserve">Steinberg, R. (2008). Principal-Agent Theory and </w:t>
      </w:r>
      <w:proofErr w:type="spellStart"/>
      <w:r w:rsidRPr="004426E6">
        <w:t>Nonprofit</w:t>
      </w:r>
      <w:proofErr w:type="spellEnd"/>
      <w:r w:rsidRPr="004426E6">
        <w:t xml:space="preserve"> Accountability. Working Papers, Article wp200803. https://ideas.repec.org//p/iup/wpaper/wp200803.html</w:t>
      </w:r>
    </w:p>
  </w:footnote>
  <w:footnote w:id="14">
    <w:p w14:paraId="35DC00C4" w14:textId="77777777" w:rsidR="00FC7269" w:rsidRDefault="00FC7269" w:rsidP="00FC7269">
      <w:pPr>
        <w:pStyle w:val="FootnoteText"/>
      </w:pPr>
      <w:r>
        <w:rPr>
          <w:rStyle w:val="FootnoteReference"/>
        </w:rPr>
        <w:footnoteRef/>
      </w:r>
      <w:r>
        <w:t xml:space="preserve"> </w:t>
      </w:r>
      <w:r w:rsidRPr="0007637E">
        <w:t xml:space="preserve">Curry, O. S., Rowland, L. A., Van Lissa, C. J., </w:t>
      </w:r>
      <w:proofErr w:type="spellStart"/>
      <w:r w:rsidRPr="0007637E">
        <w:t>Zlotowitz</w:t>
      </w:r>
      <w:proofErr w:type="spellEnd"/>
      <w:r w:rsidRPr="0007637E">
        <w:t xml:space="preserve">, S., </w:t>
      </w:r>
      <w:proofErr w:type="spellStart"/>
      <w:r w:rsidRPr="0007637E">
        <w:t>McAlaney</w:t>
      </w:r>
      <w:proofErr w:type="spellEnd"/>
      <w:r w:rsidRPr="0007637E">
        <w:t>, J., &amp; Whitehouse, H. (2018). Happy to help? A systematic review and meta-analysis of the effects of performing acts of kindness on the well-being of the actor. Journal of Experimental Social Psychology, 76, 320–329. https://doi.org/10.1016/j.jesp.2018.02.014</w:t>
      </w:r>
    </w:p>
  </w:footnote>
  <w:footnote w:id="15">
    <w:p w14:paraId="54162A5B" w14:textId="77777777" w:rsidR="00FC7269" w:rsidRDefault="00FC7269" w:rsidP="00FC7269">
      <w:pPr>
        <w:pStyle w:val="FootnoteText"/>
      </w:pPr>
      <w:r>
        <w:rPr>
          <w:rStyle w:val="FootnoteReference"/>
        </w:rPr>
        <w:footnoteRef/>
      </w:r>
      <w:r>
        <w:t xml:space="preserve"> </w:t>
      </w:r>
      <w:proofErr w:type="spellStart"/>
      <w:r w:rsidRPr="00FB0124">
        <w:t>Andreoni</w:t>
      </w:r>
      <w:proofErr w:type="spellEnd"/>
      <w:r w:rsidRPr="00FB0124">
        <w:t>, J. (1990). Impure Altruism and Donations to Public Goods: A Theory of Warm-Glow Giving. The Economic Journal, 100(401), 464–477. https://doi.org/10.2307/2234133</w:t>
      </w:r>
    </w:p>
  </w:footnote>
  <w:footnote w:id="16">
    <w:p w14:paraId="7163C603" w14:textId="77777777" w:rsidR="00FC7269" w:rsidRDefault="00FC7269" w:rsidP="00FC7269">
      <w:pPr>
        <w:pStyle w:val="FootnoteText"/>
      </w:pPr>
      <w:r>
        <w:rPr>
          <w:rStyle w:val="FootnoteReference"/>
        </w:rPr>
        <w:footnoteRef/>
      </w:r>
      <w:r>
        <w:t xml:space="preserve"> </w:t>
      </w:r>
      <w:r w:rsidRPr="00C94998">
        <w:t xml:space="preserve">Routley, C., </w:t>
      </w:r>
      <w:proofErr w:type="spellStart"/>
      <w:r w:rsidRPr="00C94998">
        <w:t>Sargeant</w:t>
      </w:r>
      <w:proofErr w:type="spellEnd"/>
      <w:r w:rsidRPr="00C94998">
        <w:t xml:space="preserve">, A., &amp; Scaife, W. (2007). Bequests to Educational Institutions: Who Gives and Why? </w:t>
      </w:r>
      <w:r w:rsidRPr="00C94998">
        <w:rPr>
          <w:i/>
          <w:iCs/>
        </w:rPr>
        <w:t xml:space="preserve">Nova </w:t>
      </w:r>
      <w:proofErr w:type="spellStart"/>
      <w:r w:rsidRPr="00C94998">
        <w:rPr>
          <w:i/>
          <w:iCs/>
        </w:rPr>
        <w:t>Hedwigia</w:t>
      </w:r>
      <w:proofErr w:type="spellEnd"/>
      <w:r w:rsidRPr="00C94998">
        <w:t xml:space="preserve">, </w:t>
      </w:r>
      <w:r w:rsidRPr="00C94998">
        <w:rPr>
          <w:i/>
          <w:iCs/>
        </w:rPr>
        <w:t>7</w:t>
      </w:r>
      <w:r w:rsidRPr="00C94998">
        <w:t>(3), Article 3.</w:t>
      </w:r>
    </w:p>
  </w:footnote>
  <w:footnote w:id="17">
    <w:p w14:paraId="41702003" w14:textId="21C5721F" w:rsidR="00C96340" w:rsidRDefault="00C96340" w:rsidP="00C96340">
      <w:pPr>
        <w:pStyle w:val="FootnoteText"/>
      </w:pPr>
      <w:r>
        <w:rPr>
          <w:rStyle w:val="FootnoteReference"/>
        </w:rPr>
        <w:footnoteRef/>
      </w:r>
      <w:r>
        <w:t xml:space="preserve"> </w:t>
      </w:r>
      <w:hyperlink r:id="rId4" w:history="1">
        <w:r w:rsidRPr="00470F43">
          <w:rPr>
            <w:rStyle w:val="Hyperlink"/>
          </w:rPr>
          <w:t>Australian Tax Office</w:t>
        </w:r>
      </w:hyperlink>
    </w:p>
  </w:footnote>
  <w:footnote w:id="18">
    <w:p w14:paraId="6EAC2341" w14:textId="3583D13D" w:rsidR="00F2210C" w:rsidRDefault="00F2210C">
      <w:pPr>
        <w:pStyle w:val="FootnoteText"/>
      </w:pPr>
      <w:r>
        <w:rPr>
          <w:rStyle w:val="FootnoteReference"/>
        </w:rPr>
        <w:footnoteRef/>
      </w:r>
      <w:r>
        <w:t xml:space="preserve"> </w:t>
      </w:r>
      <w:r w:rsidRPr="00F2210C">
        <w:t>Vollmer, J. (2017). When​ ​does​ ​effectiveness​ ​matter?​ ​An​ ​experimental​ ​investigation​ ​of donors’​ ​response​ ​to​ ​effectiveness​ ​information. https://www.academia.edu/36411670/When_does_effectiveness_matter_An_experimental_investigation_of_donors_response_to_effectiveness_information</w:t>
      </w:r>
    </w:p>
  </w:footnote>
  <w:footnote w:id="19">
    <w:p w14:paraId="07C1548C" w14:textId="77777777" w:rsidR="00CC1993" w:rsidRPr="00CC1993" w:rsidRDefault="00CC1993" w:rsidP="00CC1993">
      <w:pPr>
        <w:pStyle w:val="FootnoteText"/>
      </w:pPr>
      <w:r>
        <w:rPr>
          <w:rStyle w:val="FootnoteReference"/>
        </w:rPr>
        <w:footnoteRef/>
      </w:r>
      <w:r>
        <w:t xml:space="preserve"> </w:t>
      </w:r>
      <w:r w:rsidRPr="00CC1993">
        <w:t xml:space="preserve">Connolly, C., Hyndman, N., &amp; McConville, D. (2013). Conversion Ratios, Efficiency and Obfuscation: A Study of the Impact of Changed UK Charity Accounting Requirements on External Stakeholders. </w:t>
      </w:r>
      <w:proofErr w:type="spellStart"/>
      <w:r w:rsidRPr="00CC1993">
        <w:rPr>
          <w:i/>
          <w:iCs/>
        </w:rPr>
        <w:t>Voluntas</w:t>
      </w:r>
      <w:proofErr w:type="spellEnd"/>
      <w:r w:rsidRPr="00CC1993">
        <w:rPr>
          <w:i/>
          <w:iCs/>
        </w:rPr>
        <w:t xml:space="preserve">: International Journal of Voluntary and </w:t>
      </w:r>
      <w:proofErr w:type="spellStart"/>
      <w:r w:rsidRPr="00CC1993">
        <w:rPr>
          <w:i/>
          <w:iCs/>
        </w:rPr>
        <w:t>Nonprofit</w:t>
      </w:r>
      <w:proofErr w:type="spellEnd"/>
      <w:r w:rsidRPr="00CC1993">
        <w:rPr>
          <w:i/>
          <w:iCs/>
        </w:rPr>
        <w:t xml:space="preserve"> Organizations</w:t>
      </w:r>
      <w:r w:rsidRPr="00CC1993">
        <w:t xml:space="preserve">, </w:t>
      </w:r>
      <w:r w:rsidRPr="00CC1993">
        <w:rPr>
          <w:i/>
          <w:iCs/>
        </w:rPr>
        <w:t>24</w:t>
      </w:r>
      <w:r w:rsidRPr="00CC1993">
        <w:t>(3), 785–804.</w:t>
      </w:r>
    </w:p>
    <w:p w14:paraId="7429360B" w14:textId="1ED52F6A" w:rsidR="00CC1993" w:rsidRDefault="00CC1993">
      <w:pPr>
        <w:pStyle w:val="FootnoteText"/>
      </w:pPr>
    </w:p>
  </w:footnote>
  <w:footnote w:id="20">
    <w:p w14:paraId="6DB33B07" w14:textId="496C0E44" w:rsidR="0015677C" w:rsidRDefault="0015677C">
      <w:pPr>
        <w:pStyle w:val="FootnoteText"/>
      </w:pPr>
      <w:r>
        <w:rPr>
          <w:rStyle w:val="FootnoteReference"/>
        </w:rPr>
        <w:footnoteRef/>
      </w:r>
      <w:r>
        <w:t xml:space="preserve"> </w:t>
      </w:r>
      <w:proofErr w:type="spellStart"/>
      <w:r w:rsidRPr="0015677C">
        <w:t>Trussel</w:t>
      </w:r>
      <w:proofErr w:type="spellEnd"/>
      <w:r w:rsidRPr="0015677C">
        <w:t>, J. M., &amp; Parsons, L. M. (2007). Financial Reporting Factors Affecting Donations to Charitable Organizations. Advances in Accounting, 23, 263–285. https://doi.org/10.1016/S0882-6110(07)23010-X</w:t>
      </w:r>
    </w:p>
  </w:footnote>
  <w:footnote w:id="21">
    <w:p w14:paraId="48D34E35" w14:textId="27AC01BF" w:rsidR="00115430" w:rsidRPr="00115430" w:rsidRDefault="00115430" w:rsidP="00115430">
      <w:pPr>
        <w:pStyle w:val="FootnoteText"/>
      </w:pPr>
      <w:r>
        <w:rPr>
          <w:rStyle w:val="FootnoteReference"/>
        </w:rPr>
        <w:footnoteRef/>
      </w:r>
      <w:r>
        <w:t xml:space="preserve"> </w:t>
      </w:r>
      <w:r w:rsidRPr="00115430">
        <w:t xml:space="preserve">Commission, Industry. (1995, June 16). </w:t>
      </w:r>
      <w:r w:rsidRPr="00115430">
        <w:rPr>
          <w:i/>
          <w:iCs/>
        </w:rPr>
        <w:t>Charitable Organisations in Australia—Industry Commission inquiry report</w:t>
      </w:r>
      <w:r w:rsidRPr="00115430">
        <w:t xml:space="preserve">. </w:t>
      </w:r>
      <w:hyperlink r:id="rId5" w:history="1">
        <w:r w:rsidRPr="00115430">
          <w:rPr>
            <w:rStyle w:val="Hyperlink"/>
          </w:rPr>
          <w:t>https://www.pc.gov.au/inquiries/completed/charity</w:t>
        </w:r>
      </w:hyperlink>
    </w:p>
    <w:p w14:paraId="3306358C" w14:textId="6D6C19E6" w:rsidR="00115430" w:rsidRDefault="00115430">
      <w:pPr>
        <w:pStyle w:val="FootnoteText"/>
      </w:pPr>
    </w:p>
  </w:footnote>
  <w:footnote w:id="22">
    <w:p w14:paraId="5F37A5F5" w14:textId="7E5D98B4" w:rsidR="00641FAD" w:rsidRPr="00641FAD" w:rsidRDefault="00641FAD" w:rsidP="00641FAD">
      <w:pPr>
        <w:pStyle w:val="FootnoteText"/>
      </w:pPr>
      <w:r>
        <w:rPr>
          <w:rStyle w:val="FootnoteReference"/>
        </w:rPr>
        <w:footnoteRef/>
      </w:r>
      <w:r>
        <w:t xml:space="preserve"> </w:t>
      </w:r>
      <w:proofErr w:type="spellStart"/>
      <w:r w:rsidRPr="00641FAD">
        <w:t>Lecy</w:t>
      </w:r>
      <w:proofErr w:type="spellEnd"/>
      <w:r w:rsidRPr="00641FAD">
        <w:t xml:space="preserve">, J. D., &amp; Searing, E. A. M. (2015). Anatomy of the </w:t>
      </w:r>
      <w:proofErr w:type="spellStart"/>
      <w:r w:rsidRPr="00641FAD">
        <w:t>Nonprofit</w:t>
      </w:r>
      <w:proofErr w:type="spellEnd"/>
      <w:r w:rsidRPr="00641FAD">
        <w:t xml:space="preserve"> Starvation Cycle: An Analysis of Falling Overhead Ratios in the </w:t>
      </w:r>
      <w:proofErr w:type="spellStart"/>
      <w:r w:rsidRPr="00641FAD">
        <w:t>Nonprofit</w:t>
      </w:r>
      <w:proofErr w:type="spellEnd"/>
      <w:r w:rsidRPr="00641FAD">
        <w:t xml:space="preserve"> Sector. </w:t>
      </w:r>
      <w:proofErr w:type="spellStart"/>
      <w:r w:rsidRPr="00641FAD">
        <w:rPr>
          <w:i/>
          <w:iCs/>
        </w:rPr>
        <w:t>Nonprofit</w:t>
      </w:r>
      <w:proofErr w:type="spellEnd"/>
      <w:r w:rsidRPr="00641FAD">
        <w:rPr>
          <w:i/>
          <w:iCs/>
        </w:rPr>
        <w:t xml:space="preserve"> and Voluntary Sector Quarterly</w:t>
      </w:r>
      <w:r w:rsidRPr="00641FAD">
        <w:t xml:space="preserve">, </w:t>
      </w:r>
      <w:r w:rsidRPr="00641FAD">
        <w:rPr>
          <w:i/>
          <w:iCs/>
        </w:rPr>
        <w:t>44</w:t>
      </w:r>
      <w:r w:rsidRPr="00641FAD">
        <w:t xml:space="preserve">(3), 539–563. </w:t>
      </w:r>
      <w:hyperlink r:id="rId6" w:history="1">
        <w:r w:rsidRPr="00641FAD">
          <w:rPr>
            <w:rStyle w:val="Hyperlink"/>
          </w:rPr>
          <w:t>https://doi.org/10.1177/0899764014527175</w:t>
        </w:r>
      </w:hyperlink>
    </w:p>
    <w:p w14:paraId="1C3207BC" w14:textId="74E69BEA" w:rsidR="00641FAD" w:rsidRDefault="00641FAD">
      <w:pPr>
        <w:pStyle w:val="FootnoteText"/>
      </w:pPr>
    </w:p>
  </w:footnote>
  <w:footnote w:id="23">
    <w:p w14:paraId="20B89761" w14:textId="7AA09ABF" w:rsidR="00641FAD" w:rsidRPr="00641FAD" w:rsidRDefault="00641FAD" w:rsidP="00641FAD">
      <w:pPr>
        <w:pStyle w:val="FootnoteText"/>
      </w:pPr>
      <w:r>
        <w:rPr>
          <w:rStyle w:val="FootnoteReference"/>
        </w:rPr>
        <w:footnoteRef/>
      </w:r>
      <w:r>
        <w:t xml:space="preserve"> </w:t>
      </w:r>
      <w:r w:rsidRPr="00641FAD">
        <w:t xml:space="preserve">Hung, C., Hager, M. A., &amp; Tian, Y. (2022). Do Donors Penalize </w:t>
      </w:r>
      <w:proofErr w:type="spellStart"/>
      <w:r w:rsidRPr="00641FAD">
        <w:t>Nonprofits</w:t>
      </w:r>
      <w:proofErr w:type="spellEnd"/>
      <w:r w:rsidRPr="00641FAD">
        <w:t xml:space="preserve"> </w:t>
      </w:r>
      <w:proofErr w:type="gramStart"/>
      <w:r w:rsidRPr="00641FAD">
        <w:t>With</w:t>
      </w:r>
      <w:proofErr w:type="gramEnd"/>
      <w:r w:rsidRPr="00641FAD">
        <w:t xml:space="preserve"> Higher Non-Program Costs? A Meta-Analysis of Donor Overhead Aversion. </w:t>
      </w:r>
      <w:proofErr w:type="spellStart"/>
      <w:r w:rsidRPr="00641FAD">
        <w:rPr>
          <w:i/>
          <w:iCs/>
        </w:rPr>
        <w:t>Nonprofit</w:t>
      </w:r>
      <w:proofErr w:type="spellEnd"/>
      <w:r w:rsidRPr="00641FAD">
        <w:rPr>
          <w:i/>
          <w:iCs/>
        </w:rPr>
        <w:t xml:space="preserve"> and Voluntary Sector Quarterly</w:t>
      </w:r>
      <w:r w:rsidRPr="00641FAD">
        <w:t xml:space="preserve">, 08997640221138260. </w:t>
      </w:r>
      <w:hyperlink r:id="rId7" w:history="1">
        <w:r w:rsidRPr="00641FAD">
          <w:rPr>
            <w:rStyle w:val="Hyperlink"/>
          </w:rPr>
          <w:t>https://doi.org/10.1177/08997640221138260</w:t>
        </w:r>
      </w:hyperlink>
    </w:p>
    <w:p w14:paraId="5F3F9921" w14:textId="64941730" w:rsidR="00641FAD" w:rsidRDefault="00641FAD">
      <w:pPr>
        <w:pStyle w:val="FootnoteText"/>
      </w:pPr>
    </w:p>
  </w:footnote>
  <w:footnote w:id="24">
    <w:p w14:paraId="1920F419" w14:textId="749FB5DF" w:rsidR="00DA6161" w:rsidRDefault="00DA6161">
      <w:pPr>
        <w:pStyle w:val="FootnoteText"/>
      </w:pPr>
      <w:r>
        <w:rPr>
          <w:rStyle w:val="FootnoteReference"/>
        </w:rPr>
        <w:footnoteRef/>
      </w:r>
      <w:r>
        <w:t xml:space="preserve"> </w:t>
      </w:r>
      <w:proofErr w:type="spellStart"/>
      <w:r w:rsidRPr="00DA6161">
        <w:t>Mcgregor</w:t>
      </w:r>
      <w:proofErr w:type="spellEnd"/>
      <w:r w:rsidRPr="00DA6161">
        <w:t xml:space="preserve">-Lowndes, M. (2023). Are any more Recommendations worth implementing from nearly 30 years of Commonwealth </w:t>
      </w:r>
      <w:proofErr w:type="spellStart"/>
      <w:r w:rsidRPr="00DA6161">
        <w:t>Nonprofit</w:t>
      </w:r>
      <w:proofErr w:type="spellEnd"/>
      <w:r w:rsidRPr="00DA6161">
        <w:t xml:space="preserve"> Reform Reports? [Working Paper]. https://eprints.qut.edu.au/237821/</w:t>
      </w:r>
    </w:p>
  </w:footnote>
  <w:footnote w:id="25">
    <w:p w14:paraId="57A0F484" w14:textId="77777777" w:rsidR="004F408E" w:rsidRPr="004F408E" w:rsidRDefault="004F408E" w:rsidP="004F408E">
      <w:pPr>
        <w:pStyle w:val="FootnoteText"/>
      </w:pPr>
      <w:r>
        <w:rPr>
          <w:rStyle w:val="FootnoteReference"/>
        </w:rPr>
        <w:footnoteRef/>
      </w:r>
      <w:r>
        <w:t xml:space="preserve"> </w:t>
      </w:r>
      <w:r w:rsidRPr="004F408E">
        <w:t xml:space="preserve">Flack, T., McGregor-Lowndes, M., Marsden, S., &amp; Poole, G. (2014). Go your own way: Reporting of fundraising in Australian charity financial statements. </w:t>
      </w:r>
      <w:r w:rsidRPr="004F408E">
        <w:rPr>
          <w:i/>
          <w:iCs/>
        </w:rPr>
        <w:t>Third Sector Review</w:t>
      </w:r>
      <w:r w:rsidRPr="004F408E">
        <w:t xml:space="preserve">, </w:t>
      </w:r>
      <w:r w:rsidRPr="004F408E">
        <w:rPr>
          <w:i/>
          <w:iCs/>
        </w:rPr>
        <w:t>20</w:t>
      </w:r>
      <w:r w:rsidRPr="004F408E">
        <w:t>(2), Article 2.</w:t>
      </w:r>
    </w:p>
    <w:p w14:paraId="2955B1C7" w14:textId="54D15B38" w:rsidR="004F408E" w:rsidRDefault="004F408E">
      <w:pPr>
        <w:pStyle w:val="FootnoteText"/>
      </w:pPr>
    </w:p>
  </w:footnote>
  <w:footnote w:id="26">
    <w:p w14:paraId="377BB07F" w14:textId="77777777" w:rsidR="002655D6" w:rsidRPr="002655D6" w:rsidRDefault="002655D6" w:rsidP="002655D6">
      <w:pPr>
        <w:pStyle w:val="FootnoteText"/>
      </w:pPr>
      <w:r>
        <w:rPr>
          <w:rStyle w:val="FootnoteReference"/>
        </w:rPr>
        <w:footnoteRef/>
      </w:r>
      <w:r>
        <w:t xml:space="preserve"> </w:t>
      </w:r>
      <w:r w:rsidRPr="002655D6">
        <w:t xml:space="preserve">Connolly, C., Hyndman, N., &amp; McConville, D. (2013). Conversion Ratios, Efficiency and Obfuscation: A Study of the Impact of Changed UK Charity Accounting Requirements on External Stakeholders. </w:t>
      </w:r>
      <w:proofErr w:type="spellStart"/>
      <w:r w:rsidRPr="002655D6">
        <w:rPr>
          <w:i/>
          <w:iCs/>
        </w:rPr>
        <w:t>Voluntas</w:t>
      </w:r>
      <w:proofErr w:type="spellEnd"/>
      <w:r w:rsidRPr="002655D6">
        <w:rPr>
          <w:i/>
          <w:iCs/>
        </w:rPr>
        <w:t xml:space="preserve">: International Journal of Voluntary and </w:t>
      </w:r>
      <w:proofErr w:type="spellStart"/>
      <w:r w:rsidRPr="002655D6">
        <w:rPr>
          <w:i/>
          <w:iCs/>
        </w:rPr>
        <w:t>Nonprofit</w:t>
      </w:r>
      <w:proofErr w:type="spellEnd"/>
      <w:r w:rsidRPr="002655D6">
        <w:rPr>
          <w:i/>
          <w:iCs/>
        </w:rPr>
        <w:t xml:space="preserve"> Organizations</w:t>
      </w:r>
      <w:r w:rsidRPr="002655D6">
        <w:t xml:space="preserve">, </w:t>
      </w:r>
      <w:r w:rsidRPr="002655D6">
        <w:rPr>
          <w:i/>
          <w:iCs/>
        </w:rPr>
        <w:t>24</w:t>
      </w:r>
      <w:r w:rsidRPr="002655D6">
        <w:t>(3), 785–804.</w:t>
      </w:r>
    </w:p>
    <w:p w14:paraId="255F18D0" w14:textId="1F2ED846" w:rsidR="002655D6" w:rsidRDefault="002655D6">
      <w:pPr>
        <w:pStyle w:val="FootnoteText"/>
      </w:pPr>
    </w:p>
  </w:footnote>
  <w:footnote w:id="27">
    <w:p w14:paraId="3C716EAE" w14:textId="77777777" w:rsidR="004F408E" w:rsidRDefault="004F408E" w:rsidP="004F408E">
      <w:pPr>
        <w:pStyle w:val="FootnoteText"/>
      </w:pPr>
      <w:r>
        <w:rPr>
          <w:rStyle w:val="FootnoteReference"/>
        </w:rPr>
        <w:footnoteRef/>
      </w:r>
      <w:r>
        <w:t xml:space="preserve"> </w:t>
      </w:r>
      <w:r w:rsidRPr="00136176">
        <w:t xml:space="preserve">Gordon, T. P., Knock, C. L., &amp; Neely, D. G. (2009). The role of rating agencies in the market for charitable contributions: An empirical test. </w:t>
      </w:r>
      <w:r w:rsidRPr="00136176">
        <w:rPr>
          <w:i/>
          <w:iCs/>
        </w:rPr>
        <w:t>Journal of Accounting and Public Policy</w:t>
      </w:r>
      <w:r w:rsidRPr="00136176">
        <w:t xml:space="preserve">, </w:t>
      </w:r>
      <w:r w:rsidRPr="00136176">
        <w:rPr>
          <w:i/>
          <w:iCs/>
        </w:rPr>
        <w:t>28</w:t>
      </w:r>
      <w:r w:rsidRPr="00136176">
        <w:t xml:space="preserve">(6), 469–484. </w:t>
      </w:r>
      <w:hyperlink r:id="rId8" w:history="1">
        <w:r w:rsidRPr="00136176">
          <w:rPr>
            <w:rStyle w:val="Hyperlink"/>
          </w:rPr>
          <w:t>https://doi.org/10.1016/j.jaccpubpol.2009.08.001</w:t>
        </w:r>
      </w:hyperlink>
    </w:p>
  </w:footnote>
  <w:footnote w:id="28">
    <w:p w14:paraId="6F2D1ADA" w14:textId="77777777" w:rsidR="00740359" w:rsidRDefault="00740359" w:rsidP="00740359">
      <w:pPr>
        <w:pStyle w:val="FootnoteText"/>
      </w:pPr>
      <w:r>
        <w:rPr>
          <w:rStyle w:val="FootnoteReference"/>
        </w:rPr>
        <w:footnoteRef/>
      </w:r>
      <w:r>
        <w:t xml:space="preserve"> </w:t>
      </w:r>
      <w:proofErr w:type="spellStart"/>
      <w:r w:rsidRPr="0021429A">
        <w:t>Cordery</w:t>
      </w:r>
      <w:proofErr w:type="spellEnd"/>
      <w:r w:rsidRPr="0021429A">
        <w:t>, C. (2013). Measuring performance in the third sector. Qualitative Research in Accounting &amp;amp; Management. https://www.academia.edu/47792160/Measuring_performance_in_the_third_sector</w:t>
      </w:r>
    </w:p>
  </w:footnote>
  <w:footnote w:id="29">
    <w:p w14:paraId="306C0C3E" w14:textId="77777777" w:rsidR="00740359" w:rsidRDefault="00740359" w:rsidP="00740359">
      <w:pPr>
        <w:pStyle w:val="FootnoteText"/>
      </w:pPr>
      <w:r>
        <w:rPr>
          <w:rStyle w:val="FootnoteReference"/>
        </w:rPr>
        <w:footnoteRef/>
      </w:r>
      <w:r>
        <w:t xml:space="preserve"> </w:t>
      </w:r>
      <w:r w:rsidRPr="008B4233">
        <w:t>Hager, M., &amp; Flack, T. (2004). The Pros and Cons of Financial Efficiency Standards.</w:t>
      </w:r>
    </w:p>
  </w:footnote>
  <w:footnote w:id="30">
    <w:p w14:paraId="3C1E617E" w14:textId="77777777" w:rsidR="00740359" w:rsidRDefault="00740359" w:rsidP="00740359">
      <w:pPr>
        <w:pStyle w:val="FootnoteText"/>
      </w:pPr>
      <w:r>
        <w:rPr>
          <w:rStyle w:val="FootnoteReference"/>
        </w:rPr>
        <w:footnoteRef/>
      </w:r>
      <w:r>
        <w:t xml:space="preserve"> </w:t>
      </w:r>
      <w:r w:rsidRPr="00E35265">
        <w:t>Gordon, T. P., Knock, C. L., &amp; Neely, D. G. (2009). The role of rating agencies in the market for charitable contributions: An empirical test. Journal of Accounting and Public Policy, 28(6), 469.</w:t>
      </w:r>
    </w:p>
  </w:footnote>
  <w:footnote w:id="31">
    <w:p w14:paraId="748EF6BD" w14:textId="77777777" w:rsidR="00740359" w:rsidRPr="000234D0" w:rsidRDefault="00740359" w:rsidP="00740359">
      <w:pPr>
        <w:pStyle w:val="FootnoteText"/>
      </w:pPr>
      <w:r>
        <w:rPr>
          <w:rStyle w:val="FootnoteReference"/>
        </w:rPr>
        <w:footnoteRef/>
      </w:r>
      <w:r>
        <w:t xml:space="preserve"> </w:t>
      </w:r>
      <w:r w:rsidRPr="000234D0">
        <w:t xml:space="preserve">McConville, D., &amp; </w:t>
      </w:r>
      <w:proofErr w:type="spellStart"/>
      <w:r w:rsidRPr="000234D0">
        <w:t>Cordery</w:t>
      </w:r>
      <w:proofErr w:type="spellEnd"/>
      <w:r w:rsidRPr="000234D0">
        <w:t xml:space="preserve">, C. (2018). Charity performance reporting, regulatory approaches and </w:t>
      </w:r>
      <w:proofErr w:type="gramStart"/>
      <w:r w:rsidRPr="000234D0">
        <w:t>standard-setting</w:t>
      </w:r>
      <w:proofErr w:type="gramEnd"/>
      <w:r w:rsidRPr="000234D0">
        <w:t xml:space="preserve">. </w:t>
      </w:r>
      <w:r w:rsidRPr="000234D0">
        <w:rPr>
          <w:i/>
          <w:iCs/>
        </w:rPr>
        <w:t>Journal of Accounting and Public Policy</w:t>
      </w:r>
      <w:r w:rsidRPr="000234D0">
        <w:t xml:space="preserve">, </w:t>
      </w:r>
      <w:r w:rsidRPr="000234D0">
        <w:rPr>
          <w:i/>
          <w:iCs/>
        </w:rPr>
        <w:t>37</w:t>
      </w:r>
      <w:r w:rsidRPr="000234D0">
        <w:t xml:space="preserve">(4), 300–314. </w:t>
      </w:r>
      <w:hyperlink r:id="rId9" w:history="1">
        <w:r w:rsidRPr="000234D0">
          <w:rPr>
            <w:rStyle w:val="Hyperlink"/>
          </w:rPr>
          <w:t>https://doi.org/10.1016/j.jaccpubpol.2018.07.004</w:t>
        </w:r>
      </w:hyperlink>
    </w:p>
    <w:p w14:paraId="2B9C93F1" w14:textId="77777777" w:rsidR="00740359" w:rsidRDefault="00740359" w:rsidP="00740359">
      <w:pPr>
        <w:pStyle w:val="FootnoteText"/>
      </w:pPr>
    </w:p>
  </w:footnote>
  <w:footnote w:id="32">
    <w:p w14:paraId="5CECE949" w14:textId="09499E53" w:rsidR="00C342B1" w:rsidRDefault="00C342B1">
      <w:pPr>
        <w:pStyle w:val="FootnoteText"/>
      </w:pPr>
      <w:r>
        <w:rPr>
          <w:rStyle w:val="FootnoteReference"/>
        </w:rPr>
        <w:footnoteRef/>
      </w:r>
      <w:r>
        <w:t xml:space="preserve"> </w:t>
      </w:r>
      <w:r w:rsidRPr="00C342B1">
        <w:t>Gordon, T. P., Knock, C. L., &amp; Neely, D. G. (2009). The role of rating agencies in the market for charitable contributions: An empirical test. Journal of Accounting and Public Policy, 28(6), 469.</w:t>
      </w:r>
    </w:p>
  </w:footnote>
  <w:footnote w:id="33">
    <w:p w14:paraId="19B86B36" w14:textId="77777777" w:rsidR="00FC6144" w:rsidRPr="00FC6144" w:rsidRDefault="00FC6144" w:rsidP="00FC6144">
      <w:pPr>
        <w:pStyle w:val="FootnoteText"/>
      </w:pPr>
      <w:r>
        <w:rPr>
          <w:rStyle w:val="FootnoteReference"/>
        </w:rPr>
        <w:footnoteRef/>
      </w:r>
      <w:r>
        <w:t xml:space="preserve"> </w:t>
      </w:r>
      <w:r w:rsidRPr="00FC6144">
        <w:t xml:space="preserve">Flack, T. (2004). </w:t>
      </w:r>
      <w:r w:rsidRPr="00FC6144">
        <w:rPr>
          <w:i/>
          <w:iCs/>
        </w:rPr>
        <w:t>The Mandatory Disclosure of Cost of Fundraising Ratios: Does it achieve the regulators’ purposes?</w:t>
      </w:r>
      <w:r w:rsidRPr="00FC6144">
        <w:t xml:space="preserve"> [Report]. QUT. </w:t>
      </w:r>
      <w:hyperlink r:id="rId10" w:history="1">
        <w:r w:rsidRPr="00FC6144">
          <w:rPr>
            <w:rStyle w:val="Hyperlink"/>
          </w:rPr>
          <w:t>http://eprints.qut.edu.au/4555/</w:t>
        </w:r>
      </w:hyperlink>
    </w:p>
    <w:p w14:paraId="7B5ED594" w14:textId="52F5A8E5" w:rsidR="00FC6144" w:rsidRDefault="00FC6144">
      <w:pPr>
        <w:pStyle w:val="FootnoteText"/>
      </w:pPr>
    </w:p>
  </w:footnote>
  <w:footnote w:id="34">
    <w:p w14:paraId="0B592FF1" w14:textId="77777777" w:rsidR="001D424C" w:rsidRDefault="001D424C" w:rsidP="001D424C">
      <w:pPr>
        <w:pStyle w:val="FootnoteText"/>
      </w:pPr>
      <w:r>
        <w:rPr>
          <w:rStyle w:val="FootnoteReference"/>
        </w:rPr>
        <w:footnoteRef/>
      </w:r>
      <w:r>
        <w:t xml:space="preserve"> </w:t>
      </w:r>
      <w:r w:rsidRPr="00E35265">
        <w:t>Flack, T., McGregor-Lowndes, M., Marsden, S., &amp; Poole, G. (2014). Go your own way: Reporting of fundraising in Australian charity financial statements. Third Sector Review, 20(2), Article 2.</w:t>
      </w:r>
    </w:p>
  </w:footnote>
  <w:footnote w:id="35">
    <w:p w14:paraId="305B075B" w14:textId="77777777" w:rsidR="00F43738" w:rsidRPr="00F43738" w:rsidRDefault="00F43738" w:rsidP="00F43738">
      <w:pPr>
        <w:pStyle w:val="FootnoteText"/>
      </w:pPr>
      <w:r>
        <w:rPr>
          <w:rStyle w:val="FootnoteReference"/>
        </w:rPr>
        <w:footnoteRef/>
      </w:r>
      <w:r>
        <w:t xml:space="preserve"> </w:t>
      </w:r>
      <w:r w:rsidRPr="00F43738">
        <w:t xml:space="preserve">Ling, Q., &amp; Gordon Neely, D. (2013). Charitable ratings and financial reporting quality: Evidence from the human service sector. </w:t>
      </w:r>
      <w:r w:rsidRPr="00F43738">
        <w:rPr>
          <w:i/>
          <w:iCs/>
        </w:rPr>
        <w:t>Journal of Public Budgeting, Accounting &amp; Financial Management</w:t>
      </w:r>
      <w:r w:rsidRPr="00F43738">
        <w:t xml:space="preserve">, </w:t>
      </w:r>
      <w:r w:rsidRPr="00F43738">
        <w:rPr>
          <w:i/>
          <w:iCs/>
        </w:rPr>
        <w:t>25</w:t>
      </w:r>
      <w:r w:rsidRPr="00F43738">
        <w:t xml:space="preserve">(1), 69–90. </w:t>
      </w:r>
      <w:hyperlink r:id="rId11" w:history="1">
        <w:r w:rsidRPr="00F43738">
          <w:rPr>
            <w:rStyle w:val="Hyperlink"/>
          </w:rPr>
          <w:t>https://doi.org/10.1108/JPBAFM-25-01-2013-B004</w:t>
        </w:r>
      </w:hyperlink>
    </w:p>
    <w:p w14:paraId="39BD1668" w14:textId="2F35F17F" w:rsidR="00F43738" w:rsidRDefault="00F43738">
      <w:pPr>
        <w:pStyle w:val="FootnoteText"/>
      </w:pPr>
    </w:p>
  </w:footnote>
  <w:footnote w:id="36">
    <w:p w14:paraId="1BF601BB" w14:textId="77777777" w:rsidR="00D96A74" w:rsidRPr="00D96A74" w:rsidRDefault="00D96A74" w:rsidP="00D96A74">
      <w:pPr>
        <w:pStyle w:val="FootnoteText"/>
      </w:pPr>
      <w:r>
        <w:rPr>
          <w:rStyle w:val="FootnoteReference"/>
        </w:rPr>
        <w:footnoteRef/>
      </w:r>
      <w:r>
        <w:t xml:space="preserve"> </w:t>
      </w:r>
      <w:r w:rsidRPr="00D96A74">
        <w:rPr>
          <w:i/>
          <w:iCs/>
        </w:rPr>
        <w:t>National Standard Chart of Accounts | ACNC</w:t>
      </w:r>
      <w:r w:rsidRPr="00D96A74">
        <w:t xml:space="preserve">. (n.d.). Retrieved 31 March 2023, from </w:t>
      </w:r>
      <w:hyperlink r:id="rId12" w:history="1">
        <w:r w:rsidRPr="00D96A74">
          <w:rPr>
            <w:rStyle w:val="Hyperlink"/>
          </w:rPr>
          <w:t>https://www.acnc.gov.au/for-charities/manage-your-charity/national-standard-chart-accounts</w:t>
        </w:r>
      </w:hyperlink>
    </w:p>
    <w:p w14:paraId="6AC21B2C" w14:textId="47AD1237" w:rsidR="00D96A74" w:rsidRDefault="00D96A74">
      <w:pPr>
        <w:pStyle w:val="FootnoteText"/>
      </w:pPr>
    </w:p>
  </w:footnote>
  <w:footnote w:id="37">
    <w:p w14:paraId="78551B02" w14:textId="242F04D6" w:rsidR="00F43738" w:rsidRDefault="00F43738">
      <w:pPr>
        <w:pStyle w:val="FootnoteText"/>
      </w:pPr>
      <w:r>
        <w:rPr>
          <w:rStyle w:val="FootnoteReference"/>
        </w:rPr>
        <w:footnoteRef/>
      </w:r>
      <w:r>
        <w:t xml:space="preserve"> </w:t>
      </w:r>
      <w:r w:rsidRPr="00F43738">
        <w:t xml:space="preserve">Phillips, S. D. (2013). Shining Light on Charities or Looking in the Wrong Place? Regulation-by-Transparency in Canada. </w:t>
      </w:r>
      <w:r w:rsidRPr="00F43738">
        <w:rPr>
          <w:i/>
          <w:iCs/>
        </w:rPr>
        <w:t xml:space="preserve">VOLUNTAS: International Journal of Voluntary and </w:t>
      </w:r>
      <w:proofErr w:type="spellStart"/>
      <w:r w:rsidRPr="00F43738">
        <w:rPr>
          <w:i/>
          <w:iCs/>
        </w:rPr>
        <w:t>Nonprofit</w:t>
      </w:r>
      <w:proofErr w:type="spellEnd"/>
      <w:r w:rsidRPr="00F43738">
        <w:rPr>
          <w:i/>
          <w:iCs/>
        </w:rPr>
        <w:t xml:space="preserve"> Organizations</w:t>
      </w:r>
      <w:r w:rsidRPr="00F43738">
        <w:t xml:space="preserve">, </w:t>
      </w:r>
      <w:r w:rsidRPr="00F43738">
        <w:rPr>
          <w:i/>
          <w:iCs/>
        </w:rPr>
        <w:t>24</w:t>
      </w:r>
      <w:r w:rsidRPr="00F43738">
        <w:t xml:space="preserve">(3), 881–905. </w:t>
      </w:r>
      <w:hyperlink r:id="rId13" w:history="1">
        <w:r w:rsidRPr="00F43738">
          <w:rPr>
            <w:rStyle w:val="Hyperlink"/>
          </w:rPr>
          <w:t>https://doi.org/10.1007/s11266-013-9374-5</w:t>
        </w:r>
      </w:hyperlink>
    </w:p>
  </w:footnote>
  <w:footnote w:id="38">
    <w:p w14:paraId="007309B5" w14:textId="77777777" w:rsidR="00D06560" w:rsidRPr="00D06560" w:rsidRDefault="00D06560" w:rsidP="00D06560">
      <w:pPr>
        <w:pStyle w:val="FootnoteText"/>
      </w:pPr>
      <w:r>
        <w:rPr>
          <w:rStyle w:val="FootnoteReference"/>
        </w:rPr>
        <w:footnoteRef/>
      </w:r>
      <w:r>
        <w:t xml:space="preserve"> </w:t>
      </w:r>
      <w:r w:rsidRPr="00D06560">
        <w:t xml:space="preserve">Hager, M., &amp; Flack, T. (2004). </w:t>
      </w:r>
      <w:r w:rsidRPr="00D06560">
        <w:rPr>
          <w:i/>
          <w:iCs/>
        </w:rPr>
        <w:t>The Pros and Cons of Financial Efficiency Standards</w:t>
      </w:r>
      <w:r w:rsidRPr="00D06560">
        <w:t>.</w:t>
      </w:r>
    </w:p>
    <w:p w14:paraId="36724C2E" w14:textId="58481754" w:rsidR="00D06560" w:rsidRDefault="00D06560">
      <w:pPr>
        <w:pStyle w:val="FootnoteText"/>
      </w:pPr>
    </w:p>
  </w:footnote>
  <w:footnote w:id="39">
    <w:p w14:paraId="4754841B" w14:textId="77777777" w:rsidR="00D06560" w:rsidRPr="00D06560" w:rsidRDefault="00D06560" w:rsidP="00D06560">
      <w:pPr>
        <w:pStyle w:val="FootnoteText"/>
      </w:pPr>
      <w:r>
        <w:rPr>
          <w:rStyle w:val="FootnoteReference"/>
        </w:rPr>
        <w:footnoteRef/>
      </w:r>
      <w:r>
        <w:t xml:space="preserve"> </w:t>
      </w:r>
      <w:r w:rsidRPr="00D06560">
        <w:t xml:space="preserve">Hung, C., Hager, M. A., &amp; Tian, Y. (2022). Do Donors Penalize </w:t>
      </w:r>
      <w:proofErr w:type="spellStart"/>
      <w:r w:rsidRPr="00D06560">
        <w:t>Nonprofits</w:t>
      </w:r>
      <w:proofErr w:type="spellEnd"/>
      <w:r w:rsidRPr="00D06560">
        <w:t xml:space="preserve"> </w:t>
      </w:r>
      <w:proofErr w:type="gramStart"/>
      <w:r w:rsidRPr="00D06560">
        <w:t>With</w:t>
      </w:r>
      <w:proofErr w:type="gramEnd"/>
      <w:r w:rsidRPr="00D06560">
        <w:t xml:space="preserve"> Higher Non-Program Costs? A Meta-Analysis of Donor Overhead Aversion. </w:t>
      </w:r>
      <w:proofErr w:type="spellStart"/>
      <w:r w:rsidRPr="00D06560">
        <w:rPr>
          <w:i/>
          <w:iCs/>
        </w:rPr>
        <w:t>Nonprofit</w:t>
      </w:r>
      <w:proofErr w:type="spellEnd"/>
      <w:r w:rsidRPr="00D06560">
        <w:rPr>
          <w:i/>
          <w:iCs/>
        </w:rPr>
        <w:t xml:space="preserve"> and Voluntary Sector Quarterly</w:t>
      </w:r>
      <w:r w:rsidRPr="00D06560">
        <w:t xml:space="preserve">, 08997640221138260. </w:t>
      </w:r>
      <w:hyperlink r:id="rId14" w:history="1">
        <w:r w:rsidRPr="00D06560">
          <w:rPr>
            <w:rStyle w:val="Hyperlink"/>
          </w:rPr>
          <w:t>https://doi.org/10.1177/08997640221138260</w:t>
        </w:r>
      </w:hyperlink>
    </w:p>
    <w:p w14:paraId="797BA91F" w14:textId="105CE351" w:rsidR="00D06560" w:rsidRDefault="00D06560">
      <w:pPr>
        <w:pStyle w:val="FootnoteText"/>
      </w:pPr>
    </w:p>
  </w:footnote>
  <w:footnote w:id="40">
    <w:p w14:paraId="1B27E91B" w14:textId="77777777" w:rsidR="00946EA0" w:rsidRPr="00946EA0" w:rsidRDefault="00946EA0" w:rsidP="00946EA0">
      <w:pPr>
        <w:pStyle w:val="FootnoteText"/>
      </w:pPr>
      <w:r>
        <w:rPr>
          <w:rStyle w:val="FootnoteReference"/>
        </w:rPr>
        <w:footnoteRef/>
      </w:r>
      <w:r>
        <w:t xml:space="preserve"> </w:t>
      </w:r>
      <w:r w:rsidRPr="00946EA0">
        <w:t xml:space="preserve">Flack, T., &amp; Ryan, C. (2005). Financial Reporting by Australian </w:t>
      </w:r>
      <w:proofErr w:type="spellStart"/>
      <w:r w:rsidRPr="00946EA0">
        <w:t>Nonprofit</w:t>
      </w:r>
      <w:proofErr w:type="spellEnd"/>
      <w:r w:rsidRPr="00946EA0">
        <w:t xml:space="preserve"> Organisations: Dilemmas Posed by Government Funders. </w:t>
      </w:r>
      <w:r w:rsidRPr="00946EA0">
        <w:rPr>
          <w:i/>
          <w:iCs/>
        </w:rPr>
        <w:t>Australian Journal of Public Administration</w:t>
      </w:r>
      <w:r w:rsidRPr="00946EA0">
        <w:t xml:space="preserve">, </w:t>
      </w:r>
      <w:r w:rsidRPr="00946EA0">
        <w:rPr>
          <w:i/>
          <w:iCs/>
        </w:rPr>
        <w:t>64</w:t>
      </w:r>
      <w:r w:rsidRPr="00946EA0">
        <w:t xml:space="preserve">. </w:t>
      </w:r>
      <w:hyperlink r:id="rId15" w:history="1">
        <w:r w:rsidRPr="00946EA0">
          <w:rPr>
            <w:rStyle w:val="Hyperlink"/>
          </w:rPr>
          <w:t>https://doi.org/10.1111/j.1467-8500.2005.00453.x</w:t>
        </w:r>
      </w:hyperlink>
    </w:p>
    <w:p w14:paraId="731EF5E4" w14:textId="65266362" w:rsidR="00946EA0" w:rsidRDefault="00946EA0">
      <w:pPr>
        <w:pStyle w:val="FootnoteText"/>
      </w:pPr>
    </w:p>
  </w:footnote>
  <w:footnote w:id="41">
    <w:p w14:paraId="108E9839" w14:textId="77777777" w:rsidR="00831403" w:rsidRPr="00831403" w:rsidRDefault="00831403" w:rsidP="00831403">
      <w:pPr>
        <w:pStyle w:val="FootnoteText"/>
      </w:pPr>
      <w:r>
        <w:rPr>
          <w:rStyle w:val="FootnoteReference"/>
        </w:rPr>
        <w:footnoteRef/>
      </w:r>
      <w:r>
        <w:t xml:space="preserve"> </w:t>
      </w:r>
      <w:r w:rsidRPr="00831403">
        <w:t xml:space="preserve">Knight, R., &amp; Sheehan, B. (2020). </w:t>
      </w:r>
      <w:r w:rsidRPr="00831403">
        <w:rPr>
          <w:i/>
          <w:iCs/>
        </w:rPr>
        <w:t>Developing an Outcomes Measurement Framework for The Love of Learning Program</w:t>
      </w:r>
      <w:r w:rsidRPr="00831403">
        <w:t xml:space="preserve">. The Australian Centre for Philanthropy and </w:t>
      </w:r>
      <w:proofErr w:type="spellStart"/>
      <w:r w:rsidRPr="00831403">
        <w:t>Nonprofit</w:t>
      </w:r>
      <w:proofErr w:type="spellEnd"/>
      <w:r w:rsidRPr="00831403">
        <w:t xml:space="preserve"> Studies, Queensland University of Technology. </w:t>
      </w:r>
      <w:hyperlink r:id="rId16" w:history="1">
        <w:r w:rsidRPr="00831403">
          <w:rPr>
            <w:rStyle w:val="Hyperlink"/>
          </w:rPr>
          <w:t>https://eprints.qut.edu.au/199824/</w:t>
        </w:r>
      </w:hyperlink>
    </w:p>
    <w:p w14:paraId="54F18C6A" w14:textId="4972732F" w:rsidR="00831403" w:rsidRDefault="00831403">
      <w:pPr>
        <w:pStyle w:val="FootnoteText"/>
      </w:pPr>
    </w:p>
  </w:footnote>
  <w:footnote w:id="42">
    <w:p w14:paraId="44257B6D" w14:textId="77777777" w:rsidR="00CC6144" w:rsidRPr="00CC6144" w:rsidRDefault="00CC6144" w:rsidP="00CC6144">
      <w:pPr>
        <w:pStyle w:val="FootnoteText"/>
      </w:pPr>
      <w:r>
        <w:rPr>
          <w:rStyle w:val="FootnoteReference"/>
        </w:rPr>
        <w:footnoteRef/>
      </w:r>
      <w:r>
        <w:t xml:space="preserve"> </w:t>
      </w:r>
      <w:r w:rsidRPr="00CC6144">
        <w:t xml:space="preserve">Breeze, B. (2013). How Donors Choose Charities: The Role of Personal Taste and Experiences in Giving Decisions. </w:t>
      </w:r>
      <w:r w:rsidRPr="00CC6144">
        <w:rPr>
          <w:i/>
          <w:iCs/>
        </w:rPr>
        <w:t>Voluntary Sector Review</w:t>
      </w:r>
      <w:r w:rsidRPr="00CC6144">
        <w:t xml:space="preserve">, </w:t>
      </w:r>
      <w:r w:rsidRPr="00CC6144">
        <w:rPr>
          <w:i/>
          <w:iCs/>
        </w:rPr>
        <w:t>4</w:t>
      </w:r>
      <w:r w:rsidRPr="00CC6144">
        <w:t xml:space="preserve">, 165–183. </w:t>
      </w:r>
      <w:hyperlink r:id="rId17" w:history="1">
        <w:r w:rsidRPr="00CC6144">
          <w:rPr>
            <w:rStyle w:val="Hyperlink"/>
          </w:rPr>
          <w:t>https://doi.org/10.1332/204080513X667792</w:t>
        </w:r>
      </w:hyperlink>
    </w:p>
    <w:p w14:paraId="52CDA4A8" w14:textId="6CFCEC5F" w:rsidR="00CC6144" w:rsidRDefault="00CC6144">
      <w:pPr>
        <w:pStyle w:val="FootnoteText"/>
      </w:pPr>
    </w:p>
  </w:footnote>
  <w:footnote w:id="43">
    <w:p w14:paraId="5653E04D" w14:textId="77777777" w:rsidR="00EF693A" w:rsidRPr="00EF693A" w:rsidRDefault="00EF693A" w:rsidP="00EF693A">
      <w:pPr>
        <w:pStyle w:val="FootnoteText"/>
      </w:pPr>
      <w:r>
        <w:rPr>
          <w:rStyle w:val="FootnoteReference"/>
        </w:rPr>
        <w:footnoteRef/>
      </w:r>
      <w:r>
        <w:t xml:space="preserve"> </w:t>
      </w:r>
      <w:r w:rsidRPr="00EF693A">
        <w:t xml:space="preserve">Hicks, B. (2021, February 10). </w:t>
      </w:r>
      <w:r w:rsidRPr="00EF693A">
        <w:rPr>
          <w:i/>
          <w:iCs/>
        </w:rPr>
        <w:t>The role and responsibilities of a trustee</w:t>
      </w:r>
      <w:r w:rsidRPr="00EF693A">
        <w:t xml:space="preserve">. JMA Legal. </w:t>
      </w:r>
      <w:hyperlink r:id="rId18" w:history="1">
        <w:r w:rsidRPr="00EF693A">
          <w:rPr>
            <w:rStyle w:val="Hyperlink"/>
          </w:rPr>
          <w:t>https://jmalegal.com.au/the-role-and-responsibilities-of-a-trustee/</w:t>
        </w:r>
      </w:hyperlink>
    </w:p>
    <w:p w14:paraId="2EC19E61" w14:textId="6AD0C815" w:rsidR="00EF693A" w:rsidRDefault="00EF693A">
      <w:pPr>
        <w:pStyle w:val="FootnoteText"/>
      </w:pPr>
    </w:p>
  </w:footnote>
  <w:footnote w:id="44">
    <w:p w14:paraId="2AAD6F81" w14:textId="77777777" w:rsidR="003F4B7E" w:rsidRPr="003F4B7E" w:rsidRDefault="003F4B7E" w:rsidP="003F4B7E">
      <w:pPr>
        <w:pStyle w:val="FootnoteText"/>
      </w:pPr>
      <w:r>
        <w:rPr>
          <w:rStyle w:val="FootnoteReference"/>
        </w:rPr>
        <w:footnoteRef/>
      </w:r>
      <w:r>
        <w:t xml:space="preserve"> </w:t>
      </w:r>
      <w:r w:rsidRPr="003F4B7E">
        <w:t xml:space="preserve">Roberts, G., </w:t>
      </w:r>
      <w:proofErr w:type="spellStart"/>
      <w:r w:rsidRPr="003F4B7E">
        <w:t>Raihani</w:t>
      </w:r>
      <w:proofErr w:type="spellEnd"/>
      <w:r w:rsidRPr="003F4B7E">
        <w:t xml:space="preserve">, N., </w:t>
      </w:r>
      <w:proofErr w:type="spellStart"/>
      <w:r w:rsidRPr="003F4B7E">
        <w:t>Bshary</w:t>
      </w:r>
      <w:proofErr w:type="spellEnd"/>
      <w:r w:rsidRPr="003F4B7E">
        <w:t xml:space="preserve">, R., Manrique, H. M., Farina, A., </w:t>
      </w:r>
      <w:proofErr w:type="spellStart"/>
      <w:r w:rsidRPr="003F4B7E">
        <w:t>Samu</w:t>
      </w:r>
      <w:proofErr w:type="spellEnd"/>
      <w:r w:rsidRPr="003F4B7E">
        <w:t xml:space="preserve">, F., &amp; Barclay, P. (2021). The benefits of being seen to help others: Indirect reciprocity and reputation-based partner choice. </w:t>
      </w:r>
      <w:r w:rsidRPr="003F4B7E">
        <w:rPr>
          <w:i/>
          <w:iCs/>
        </w:rPr>
        <w:t>Philosophical Transactions of the Royal Society of London. Series B, Biological Sciences</w:t>
      </w:r>
      <w:r w:rsidRPr="003F4B7E">
        <w:t xml:space="preserve">, </w:t>
      </w:r>
      <w:r w:rsidRPr="003F4B7E">
        <w:rPr>
          <w:i/>
          <w:iCs/>
        </w:rPr>
        <w:t>376</w:t>
      </w:r>
      <w:r w:rsidRPr="003F4B7E">
        <w:t xml:space="preserve">(1838), 20200290. </w:t>
      </w:r>
      <w:hyperlink r:id="rId19" w:history="1">
        <w:r w:rsidRPr="003F4B7E">
          <w:rPr>
            <w:rStyle w:val="Hyperlink"/>
          </w:rPr>
          <w:t>https://doi.org/10.1098/rstb.2020.0290</w:t>
        </w:r>
      </w:hyperlink>
    </w:p>
    <w:p w14:paraId="26AC5F0E" w14:textId="5A9B5EEF" w:rsidR="003F4B7E" w:rsidRDefault="003F4B7E">
      <w:pPr>
        <w:pStyle w:val="FootnoteText"/>
      </w:pPr>
    </w:p>
  </w:footnote>
  <w:footnote w:id="45">
    <w:p w14:paraId="7702CDC0" w14:textId="77777777" w:rsidR="00073AB2" w:rsidRPr="00073AB2" w:rsidRDefault="00073AB2" w:rsidP="00073AB2">
      <w:pPr>
        <w:pStyle w:val="FootnoteText"/>
      </w:pPr>
      <w:r>
        <w:rPr>
          <w:rStyle w:val="FootnoteReference"/>
        </w:rPr>
        <w:footnoteRef/>
      </w:r>
      <w:r>
        <w:t xml:space="preserve"> </w:t>
      </w:r>
      <w:r w:rsidRPr="00073AB2">
        <w:rPr>
          <w:i/>
          <w:iCs/>
        </w:rPr>
        <w:t>Director identification number | Australian Business Registry Services (ABRS)</w:t>
      </w:r>
      <w:r w:rsidRPr="00073AB2">
        <w:t xml:space="preserve">. (n.d.). Retrieved 2 April 2023, from </w:t>
      </w:r>
      <w:hyperlink r:id="rId20" w:history="1">
        <w:r w:rsidRPr="00073AB2">
          <w:rPr>
            <w:rStyle w:val="Hyperlink"/>
          </w:rPr>
          <w:t>https://www.abrs.gov.au/director-identification-number</w:t>
        </w:r>
      </w:hyperlink>
    </w:p>
    <w:p w14:paraId="45B347A0" w14:textId="419C29BF" w:rsidR="00073AB2" w:rsidRDefault="00073A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BC4F" w14:textId="77777777" w:rsidR="005C4FC6" w:rsidRDefault="005C4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5305" w14:textId="341B21A2" w:rsidR="002A1329" w:rsidRPr="005C4FC6" w:rsidRDefault="002A1329" w:rsidP="005C4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3F2E" w14:textId="77777777" w:rsidR="005C4FC6" w:rsidRDefault="005C4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6BF"/>
    <w:multiLevelType w:val="multilevel"/>
    <w:tmpl w:val="308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14193B"/>
    <w:multiLevelType w:val="hybridMultilevel"/>
    <w:tmpl w:val="3A123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D65CF"/>
    <w:multiLevelType w:val="hybridMultilevel"/>
    <w:tmpl w:val="F4562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373812"/>
    <w:multiLevelType w:val="hybridMultilevel"/>
    <w:tmpl w:val="77BA89B0"/>
    <w:lvl w:ilvl="0" w:tplc="0C090015">
      <w:start w:val="1"/>
      <w:numFmt w:val="upp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49B857E8"/>
    <w:multiLevelType w:val="hybridMultilevel"/>
    <w:tmpl w:val="4EA0E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603069"/>
    <w:multiLevelType w:val="hybridMultilevel"/>
    <w:tmpl w:val="C03E980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623B4438"/>
    <w:multiLevelType w:val="hybridMultilevel"/>
    <w:tmpl w:val="9E8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1789196">
    <w:abstractNumId w:val="5"/>
  </w:num>
  <w:num w:numId="2" w16cid:durableId="1289624525">
    <w:abstractNumId w:val="3"/>
  </w:num>
  <w:num w:numId="3" w16cid:durableId="211774097">
    <w:abstractNumId w:val="2"/>
  </w:num>
  <w:num w:numId="4" w16cid:durableId="1812599898">
    <w:abstractNumId w:val="6"/>
  </w:num>
  <w:num w:numId="5" w16cid:durableId="2051831951">
    <w:abstractNumId w:val="4"/>
  </w:num>
  <w:num w:numId="6" w16cid:durableId="874201099">
    <w:abstractNumId w:val="0"/>
  </w:num>
  <w:num w:numId="7" w16cid:durableId="102606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5D"/>
    <w:rsid w:val="00007D27"/>
    <w:rsid w:val="0001253A"/>
    <w:rsid w:val="00012D0A"/>
    <w:rsid w:val="00015547"/>
    <w:rsid w:val="00015CED"/>
    <w:rsid w:val="000234D0"/>
    <w:rsid w:val="0002442E"/>
    <w:rsid w:val="00025EBE"/>
    <w:rsid w:val="00031179"/>
    <w:rsid w:val="00037E74"/>
    <w:rsid w:val="0006580C"/>
    <w:rsid w:val="00073AB2"/>
    <w:rsid w:val="0007637E"/>
    <w:rsid w:val="00083806"/>
    <w:rsid w:val="00085448"/>
    <w:rsid w:val="000910E7"/>
    <w:rsid w:val="00095267"/>
    <w:rsid w:val="00097D34"/>
    <w:rsid w:val="000A7997"/>
    <w:rsid w:val="000B1BBA"/>
    <w:rsid w:val="000B25D1"/>
    <w:rsid w:val="000B4CA2"/>
    <w:rsid w:val="000C55C7"/>
    <w:rsid w:val="000D2874"/>
    <w:rsid w:val="000D66F4"/>
    <w:rsid w:val="000D790B"/>
    <w:rsid w:val="000E11F7"/>
    <w:rsid w:val="000E7F2E"/>
    <w:rsid w:val="000F7989"/>
    <w:rsid w:val="00101C7D"/>
    <w:rsid w:val="00115430"/>
    <w:rsid w:val="00121E18"/>
    <w:rsid w:val="00136176"/>
    <w:rsid w:val="00145327"/>
    <w:rsid w:val="0015677C"/>
    <w:rsid w:val="00162012"/>
    <w:rsid w:val="001641EC"/>
    <w:rsid w:val="0016597F"/>
    <w:rsid w:val="001667D5"/>
    <w:rsid w:val="0018795E"/>
    <w:rsid w:val="00190B46"/>
    <w:rsid w:val="00197C2A"/>
    <w:rsid w:val="001A39E8"/>
    <w:rsid w:val="001C310B"/>
    <w:rsid w:val="001D2B12"/>
    <w:rsid w:val="001D424C"/>
    <w:rsid w:val="001E0755"/>
    <w:rsid w:val="001E346B"/>
    <w:rsid w:val="001E3B9F"/>
    <w:rsid w:val="001E3F7C"/>
    <w:rsid w:val="001E40BE"/>
    <w:rsid w:val="001F170E"/>
    <w:rsid w:val="001F2CB2"/>
    <w:rsid w:val="001F479D"/>
    <w:rsid w:val="001F5F69"/>
    <w:rsid w:val="0020053F"/>
    <w:rsid w:val="00206431"/>
    <w:rsid w:val="0021115D"/>
    <w:rsid w:val="0021429A"/>
    <w:rsid w:val="00221B9C"/>
    <w:rsid w:val="002246D1"/>
    <w:rsid w:val="00224A21"/>
    <w:rsid w:val="00224D8B"/>
    <w:rsid w:val="0022636C"/>
    <w:rsid w:val="00246486"/>
    <w:rsid w:val="00247B82"/>
    <w:rsid w:val="0025229E"/>
    <w:rsid w:val="00254A82"/>
    <w:rsid w:val="00264BC3"/>
    <w:rsid w:val="002655D6"/>
    <w:rsid w:val="002717AC"/>
    <w:rsid w:val="00275AA6"/>
    <w:rsid w:val="00276DDC"/>
    <w:rsid w:val="002826B0"/>
    <w:rsid w:val="00283CA0"/>
    <w:rsid w:val="00286573"/>
    <w:rsid w:val="0029150B"/>
    <w:rsid w:val="00291F82"/>
    <w:rsid w:val="002923E8"/>
    <w:rsid w:val="002A0D40"/>
    <w:rsid w:val="002A1329"/>
    <w:rsid w:val="002A3B1D"/>
    <w:rsid w:val="002B2401"/>
    <w:rsid w:val="002B5E6F"/>
    <w:rsid w:val="002C2387"/>
    <w:rsid w:val="002C2D67"/>
    <w:rsid w:val="002D3B25"/>
    <w:rsid w:val="002F01C1"/>
    <w:rsid w:val="002F6186"/>
    <w:rsid w:val="00300873"/>
    <w:rsid w:val="00301760"/>
    <w:rsid w:val="00303A43"/>
    <w:rsid w:val="0031483B"/>
    <w:rsid w:val="00314E3F"/>
    <w:rsid w:val="0032146F"/>
    <w:rsid w:val="00327C29"/>
    <w:rsid w:val="00334312"/>
    <w:rsid w:val="003417AE"/>
    <w:rsid w:val="00342325"/>
    <w:rsid w:val="003427E7"/>
    <w:rsid w:val="00347F2D"/>
    <w:rsid w:val="00352BD4"/>
    <w:rsid w:val="00357F0E"/>
    <w:rsid w:val="00362D52"/>
    <w:rsid w:val="003847D6"/>
    <w:rsid w:val="00387886"/>
    <w:rsid w:val="003A22A2"/>
    <w:rsid w:val="003A530F"/>
    <w:rsid w:val="003D2EE9"/>
    <w:rsid w:val="003D7C96"/>
    <w:rsid w:val="003E3560"/>
    <w:rsid w:val="003E6117"/>
    <w:rsid w:val="003F03AE"/>
    <w:rsid w:val="003F2C73"/>
    <w:rsid w:val="003F4B7E"/>
    <w:rsid w:val="004063BE"/>
    <w:rsid w:val="00412CBA"/>
    <w:rsid w:val="00421217"/>
    <w:rsid w:val="00423C61"/>
    <w:rsid w:val="00425863"/>
    <w:rsid w:val="004426E6"/>
    <w:rsid w:val="0044353E"/>
    <w:rsid w:val="00444BF8"/>
    <w:rsid w:val="00470F43"/>
    <w:rsid w:val="004719DA"/>
    <w:rsid w:val="00492F83"/>
    <w:rsid w:val="0049709A"/>
    <w:rsid w:val="004A1C27"/>
    <w:rsid w:val="004A71A2"/>
    <w:rsid w:val="004B1E9B"/>
    <w:rsid w:val="004B21C4"/>
    <w:rsid w:val="004B4736"/>
    <w:rsid w:val="004B635F"/>
    <w:rsid w:val="004B6E50"/>
    <w:rsid w:val="004C6DB9"/>
    <w:rsid w:val="004D3E81"/>
    <w:rsid w:val="004E0EF8"/>
    <w:rsid w:val="004E5B34"/>
    <w:rsid w:val="004F2306"/>
    <w:rsid w:val="004F287D"/>
    <w:rsid w:val="004F408E"/>
    <w:rsid w:val="004F4F7D"/>
    <w:rsid w:val="00502C8D"/>
    <w:rsid w:val="005154F0"/>
    <w:rsid w:val="005370F4"/>
    <w:rsid w:val="00541752"/>
    <w:rsid w:val="00541F9B"/>
    <w:rsid w:val="00563B43"/>
    <w:rsid w:val="00573E30"/>
    <w:rsid w:val="00580F16"/>
    <w:rsid w:val="005955E7"/>
    <w:rsid w:val="005A1979"/>
    <w:rsid w:val="005A29BD"/>
    <w:rsid w:val="005A78E2"/>
    <w:rsid w:val="005B4300"/>
    <w:rsid w:val="005C4FC6"/>
    <w:rsid w:val="005D056E"/>
    <w:rsid w:val="005D438C"/>
    <w:rsid w:val="005D524D"/>
    <w:rsid w:val="005D67E0"/>
    <w:rsid w:val="005E158C"/>
    <w:rsid w:val="005E3057"/>
    <w:rsid w:val="005E6F96"/>
    <w:rsid w:val="005F18C5"/>
    <w:rsid w:val="005F3B12"/>
    <w:rsid w:val="005F3C30"/>
    <w:rsid w:val="005F7020"/>
    <w:rsid w:val="0060787B"/>
    <w:rsid w:val="00610A3C"/>
    <w:rsid w:val="006279DC"/>
    <w:rsid w:val="00641B6D"/>
    <w:rsid w:val="00641FAD"/>
    <w:rsid w:val="00645C72"/>
    <w:rsid w:val="00651280"/>
    <w:rsid w:val="00654246"/>
    <w:rsid w:val="00655863"/>
    <w:rsid w:val="00657388"/>
    <w:rsid w:val="00660DCB"/>
    <w:rsid w:val="00663624"/>
    <w:rsid w:val="00667393"/>
    <w:rsid w:val="00672881"/>
    <w:rsid w:val="00681146"/>
    <w:rsid w:val="00692364"/>
    <w:rsid w:val="006A5017"/>
    <w:rsid w:val="006A6D76"/>
    <w:rsid w:val="006C02D6"/>
    <w:rsid w:val="006D0ABE"/>
    <w:rsid w:val="006E2E9E"/>
    <w:rsid w:val="006F0102"/>
    <w:rsid w:val="006F2FC5"/>
    <w:rsid w:val="006F5CC3"/>
    <w:rsid w:val="00701603"/>
    <w:rsid w:val="00701710"/>
    <w:rsid w:val="0070303A"/>
    <w:rsid w:val="007049EB"/>
    <w:rsid w:val="00707D5A"/>
    <w:rsid w:val="00711C74"/>
    <w:rsid w:val="00712744"/>
    <w:rsid w:val="00727407"/>
    <w:rsid w:val="00731E36"/>
    <w:rsid w:val="0074031C"/>
    <w:rsid w:val="00740359"/>
    <w:rsid w:val="00741497"/>
    <w:rsid w:val="00743FF8"/>
    <w:rsid w:val="00746897"/>
    <w:rsid w:val="0078266D"/>
    <w:rsid w:val="007910D7"/>
    <w:rsid w:val="007A035F"/>
    <w:rsid w:val="007A4169"/>
    <w:rsid w:val="007A616E"/>
    <w:rsid w:val="007B068D"/>
    <w:rsid w:val="007B43BD"/>
    <w:rsid w:val="007B7BCF"/>
    <w:rsid w:val="007C2494"/>
    <w:rsid w:val="007C2B27"/>
    <w:rsid w:val="007C466D"/>
    <w:rsid w:val="007D5314"/>
    <w:rsid w:val="007D53F7"/>
    <w:rsid w:val="007E5939"/>
    <w:rsid w:val="007E664E"/>
    <w:rsid w:val="007F33BE"/>
    <w:rsid w:val="008034C5"/>
    <w:rsid w:val="00817019"/>
    <w:rsid w:val="0082490B"/>
    <w:rsid w:val="00831403"/>
    <w:rsid w:val="008325BD"/>
    <w:rsid w:val="00841840"/>
    <w:rsid w:val="00845BB6"/>
    <w:rsid w:val="0085275F"/>
    <w:rsid w:val="00852DAF"/>
    <w:rsid w:val="008903D8"/>
    <w:rsid w:val="00891FE6"/>
    <w:rsid w:val="008A479D"/>
    <w:rsid w:val="008B06C1"/>
    <w:rsid w:val="008B1285"/>
    <w:rsid w:val="008B3B89"/>
    <w:rsid w:val="008B4233"/>
    <w:rsid w:val="008B71CB"/>
    <w:rsid w:val="008E237E"/>
    <w:rsid w:val="008E28AD"/>
    <w:rsid w:val="008E55F3"/>
    <w:rsid w:val="008E640F"/>
    <w:rsid w:val="008E68CC"/>
    <w:rsid w:val="008F5B43"/>
    <w:rsid w:val="009002B4"/>
    <w:rsid w:val="009013AB"/>
    <w:rsid w:val="0090559F"/>
    <w:rsid w:val="00905AAD"/>
    <w:rsid w:val="00906E6C"/>
    <w:rsid w:val="009279EE"/>
    <w:rsid w:val="009341B6"/>
    <w:rsid w:val="00944403"/>
    <w:rsid w:val="00946EA0"/>
    <w:rsid w:val="00954740"/>
    <w:rsid w:val="00962AEF"/>
    <w:rsid w:val="00963A5C"/>
    <w:rsid w:val="00970764"/>
    <w:rsid w:val="009712A3"/>
    <w:rsid w:val="009737FA"/>
    <w:rsid w:val="00984D11"/>
    <w:rsid w:val="00986298"/>
    <w:rsid w:val="00986AC2"/>
    <w:rsid w:val="00991772"/>
    <w:rsid w:val="0099384F"/>
    <w:rsid w:val="009A4852"/>
    <w:rsid w:val="009F04A0"/>
    <w:rsid w:val="00A11A81"/>
    <w:rsid w:val="00A14F17"/>
    <w:rsid w:val="00A22700"/>
    <w:rsid w:val="00A31716"/>
    <w:rsid w:val="00A31F8F"/>
    <w:rsid w:val="00A35A2D"/>
    <w:rsid w:val="00A35BDB"/>
    <w:rsid w:val="00A46711"/>
    <w:rsid w:val="00A50F0E"/>
    <w:rsid w:val="00A5155E"/>
    <w:rsid w:val="00A657C3"/>
    <w:rsid w:val="00A703A4"/>
    <w:rsid w:val="00A73911"/>
    <w:rsid w:val="00A74BC5"/>
    <w:rsid w:val="00A84530"/>
    <w:rsid w:val="00A84626"/>
    <w:rsid w:val="00A909DF"/>
    <w:rsid w:val="00A90F28"/>
    <w:rsid w:val="00AA32B9"/>
    <w:rsid w:val="00AA5BD8"/>
    <w:rsid w:val="00AB29B4"/>
    <w:rsid w:val="00AB3FF0"/>
    <w:rsid w:val="00AB4BE1"/>
    <w:rsid w:val="00AB5640"/>
    <w:rsid w:val="00AC25FE"/>
    <w:rsid w:val="00AC4CA2"/>
    <w:rsid w:val="00AC52D4"/>
    <w:rsid w:val="00AC650F"/>
    <w:rsid w:val="00AD01F8"/>
    <w:rsid w:val="00AD0E4A"/>
    <w:rsid w:val="00AD2933"/>
    <w:rsid w:val="00B134A7"/>
    <w:rsid w:val="00B14958"/>
    <w:rsid w:val="00B20AA5"/>
    <w:rsid w:val="00B31488"/>
    <w:rsid w:val="00B3235A"/>
    <w:rsid w:val="00B478D8"/>
    <w:rsid w:val="00B47F3C"/>
    <w:rsid w:val="00B531E4"/>
    <w:rsid w:val="00B55E27"/>
    <w:rsid w:val="00B57AAE"/>
    <w:rsid w:val="00B64FF4"/>
    <w:rsid w:val="00B80BEE"/>
    <w:rsid w:val="00B859E5"/>
    <w:rsid w:val="00B91094"/>
    <w:rsid w:val="00BA3B5A"/>
    <w:rsid w:val="00BA487B"/>
    <w:rsid w:val="00BA52B6"/>
    <w:rsid w:val="00BB01B0"/>
    <w:rsid w:val="00BB3E3A"/>
    <w:rsid w:val="00BC6C29"/>
    <w:rsid w:val="00BD1386"/>
    <w:rsid w:val="00BD2F9A"/>
    <w:rsid w:val="00BD5A44"/>
    <w:rsid w:val="00BE108A"/>
    <w:rsid w:val="00BE4305"/>
    <w:rsid w:val="00BE481E"/>
    <w:rsid w:val="00BE5C2F"/>
    <w:rsid w:val="00BE630E"/>
    <w:rsid w:val="00C0621B"/>
    <w:rsid w:val="00C1244B"/>
    <w:rsid w:val="00C22056"/>
    <w:rsid w:val="00C342B1"/>
    <w:rsid w:val="00C41D89"/>
    <w:rsid w:val="00C451AD"/>
    <w:rsid w:val="00C52F0B"/>
    <w:rsid w:val="00C62B29"/>
    <w:rsid w:val="00C76AA9"/>
    <w:rsid w:val="00C94998"/>
    <w:rsid w:val="00C96340"/>
    <w:rsid w:val="00CA032C"/>
    <w:rsid w:val="00CB0717"/>
    <w:rsid w:val="00CC1993"/>
    <w:rsid w:val="00CC1FD7"/>
    <w:rsid w:val="00CC410C"/>
    <w:rsid w:val="00CC56D4"/>
    <w:rsid w:val="00CC6144"/>
    <w:rsid w:val="00CD13F8"/>
    <w:rsid w:val="00CD4E88"/>
    <w:rsid w:val="00CE7C59"/>
    <w:rsid w:val="00CF4FC5"/>
    <w:rsid w:val="00CF733C"/>
    <w:rsid w:val="00D0482F"/>
    <w:rsid w:val="00D06560"/>
    <w:rsid w:val="00D117EA"/>
    <w:rsid w:val="00D15A73"/>
    <w:rsid w:val="00D3550A"/>
    <w:rsid w:val="00D4068D"/>
    <w:rsid w:val="00D40BC4"/>
    <w:rsid w:val="00D54570"/>
    <w:rsid w:val="00D65C1A"/>
    <w:rsid w:val="00D7043B"/>
    <w:rsid w:val="00D72B62"/>
    <w:rsid w:val="00D86DF3"/>
    <w:rsid w:val="00D87D9F"/>
    <w:rsid w:val="00D92751"/>
    <w:rsid w:val="00D9457F"/>
    <w:rsid w:val="00D961BE"/>
    <w:rsid w:val="00D96A74"/>
    <w:rsid w:val="00D97FCF"/>
    <w:rsid w:val="00DA6161"/>
    <w:rsid w:val="00DB00A2"/>
    <w:rsid w:val="00DB3D9F"/>
    <w:rsid w:val="00DC0C75"/>
    <w:rsid w:val="00DC208A"/>
    <w:rsid w:val="00DC7EA2"/>
    <w:rsid w:val="00DD1218"/>
    <w:rsid w:val="00DD56EE"/>
    <w:rsid w:val="00DE46FD"/>
    <w:rsid w:val="00DF0E64"/>
    <w:rsid w:val="00E03E22"/>
    <w:rsid w:val="00E261AB"/>
    <w:rsid w:val="00E33D53"/>
    <w:rsid w:val="00E35265"/>
    <w:rsid w:val="00E420B9"/>
    <w:rsid w:val="00E4275C"/>
    <w:rsid w:val="00E42A1A"/>
    <w:rsid w:val="00E4564E"/>
    <w:rsid w:val="00E53FFF"/>
    <w:rsid w:val="00E62DE1"/>
    <w:rsid w:val="00E705A5"/>
    <w:rsid w:val="00E8615C"/>
    <w:rsid w:val="00E978A4"/>
    <w:rsid w:val="00EA4998"/>
    <w:rsid w:val="00EA5257"/>
    <w:rsid w:val="00EA5910"/>
    <w:rsid w:val="00EA7210"/>
    <w:rsid w:val="00EB0A55"/>
    <w:rsid w:val="00EB1ACE"/>
    <w:rsid w:val="00ED17BE"/>
    <w:rsid w:val="00ED70ED"/>
    <w:rsid w:val="00EE1D37"/>
    <w:rsid w:val="00EE3936"/>
    <w:rsid w:val="00EE61B4"/>
    <w:rsid w:val="00EF33CE"/>
    <w:rsid w:val="00EF3CEC"/>
    <w:rsid w:val="00EF55F6"/>
    <w:rsid w:val="00EF693A"/>
    <w:rsid w:val="00F01ED8"/>
    <w:rsid w:val="00F0345A"/>
    <w:rsid w:val="00F109CD"/>
    <w:rsid w:val="00F126D4"/>
    <w:rsid w:val="00F140A2"/>
    <w:rsid w:val="00F14E72"/>
    <w:rsid w:val="00F2210C"/>
    <w:rsid w:val="00F27127"/>
    <w:rsid w:val="00F3095D"/>
    <w:rsid w:val="00F33D58"/>
    <w:rsid w:val="00F372F1"/>
    <w:rsid w:val="00F43738"/>
    <w:rsid w:val="00F55FFC"/>
    <w:rsid w:val="00F63BF1"/>
    <w:rsid w:val="00F66EE3"/>
    <w:rsid w:val="00F6799E"/>
    <w:rsid w:val="00F731CD"/>
    <w:rsid w:val="00F73C8D"/>
    <w:rsid w:val="00F74EB3"/>
    <w:rsid w:val="00F7737C"/>
    <w:rsid w:val="00F90BD7"/>
    <w:rsid w:val="00F952C1"/>
    <w:rsid w:val="00FA05D8"/>
    <w:rsid w:val="00FA2099"/>
    <w:rsid w:val="00FA2E36"/>
    <w:rsid w:val="00FA5580"/>
    <w:rsid w:val="00FB0124"/>
    <w:rsid w:val="00FB6E79"/>
    <w:rsid w:val="00FC4D87"/>
    <w:rsid w:val="00FC6144"/>
    <w:rsid w:val="00FC7269"/>
    <w:rsid w:val="00FE0485"/>
    <w:rsid w:val="00FE24E7"/>
    <w:rsid w:val="00FE670D"/>
    <w:rsid w:val="00FF173A"/>
    <w:rsid w:val="00FF4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9816"/>
  <w15:docId w15:val="{FB134191-4DED-4996-8D3D-81EDF410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3"/>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3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00"/>
    <w:pPr>
      <w:ind w:left="720"/>
      <w:contextualSpacing/>
    </w:pPr>
  </w:style>
  <w:style w:type="paragraph" w:styleId="FootnoteText">
    <w:name w:val="footnote text"/>
    <w:basedOn w:val="Normal"/>
    <w:link w:val="FootnoteTextChar"/>
    <w:uiPriority w:val="99"/>
    <w:semiHidden/>
    <w:unhideWhenUsed/>
    <w:rsid w:val="00492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F83"/>
    <w:rPr>
      <w:sz w:val="20"/>
      <w:szCs w:val="20"/>
    </w:rPr>
  </w:style>
  <w:style w:type="character" w:styleId="FootnoteReference">
    <w:name w:val="footnote reference"/>
    <w:basedOn w:val="DefaultParagraphFont"/>
    <w:uiPriority w:val="99"/>
    <w:semiHidden/>
    <w:unhideWhenUsed/>
    <w:rsid w:val="00492F83"/>
    <w:rPr>
      <w:vertAlign w:val="superscript"/>
    </w:rPr>
  </w:style>
  <w:style w:type="character" w:styleId="Hyperlink">
    <w:name w:val="Hyperlink"/>
    <w:basedOn w:val="DefaultParagraphFont"/>
    <w:uiPriority w:val="99"/>
    <w:unhideWhenUsed/>
    <w:rsid w:val="0015677C"/>
    <w:rPr>
      <w:color w:val="0000FF" w:themeColor="hyperlink"/>
      <w:u w:val="single"/>
    </w:rPr>
  </w:style>
  <w:style w:type="character" w:styleId="UnresolvedMention">
    <w:name w:val="Unresolved Mention"/>
    <w:basedOn w:val="DefaultParagraphFont"/>
    <w:uiPriority w:val="99"/>
    <w:semiHidden/>
    <w:unhideWhenUsed/>
    <w:rsid w:val="0015677C"/>
    <w:rPr>
      <w:color w:val="605E5C"/>
      <w:shd w:val="clear" w:color="auto" w:fill="E1DFDD"/>
    </w:rPr>
  </w:style>
  <w:style w:type="paragraph" w:styleId="Header">
    <w:name w:val="header"/>
    <w:basedOn w:val="Normal"/>
    <w:link w:val="HeaderChar"/>
    <w:uiPriority w:val="99"/>
    <w:unhideWhenUsed/>
    <w:rsid w:val="00FE0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485"/>
  </w:style>
  <w:style w:type="paragraph" w:styleId="Footer">
    <w:name w:val="footer"/>
    <w:basedOn w:val="Normal"/>
    <w:link w:val="FooterChar"/>
    <w:uiPriority w:val="99"/>
    <w:unhideWhenUsed/>
    <w:rsid w:val="00FE0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485"/>
  </w:style>
  <w:style w:type="character" w:customStyle="1" w:styleId="Heading1Char">
    <w:name w:val="Heading 1 Char"/>
    <w:basedOn w:val="DefaultParagraphFont"/>
    <w:link w:val="Heading1"/>
    <w:uiPriority w:val="9"/>
    <w:rsid w:val="0034232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42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471">
      <w:bodyDiv w:val="1"/>
      <w:marLeft w:val="0"/>
      <w:marRight w:val="0"/>
      <w:marTop w:val="0"/>
      <w:marBottom w:val="0"/>
      <w:divBdr>
        <w:top w:val="none" w:sz="0" w:space="0" w:color="auto"/>
        <w:left w:val="none" w:sz="0" w:space="0" w:color="auto"/>
        <w:bottom w:val="none" w:sz="0" w:space="0" w:color="auto"/>
        <w:right w:val="none" w:sz="0" w:space="0" w:color="auto"/>
      </w:divBdr>
      <w:divsChild>
        <w:div w:id="1042746576">
          <w:marLeft w:val="480"/>
          <w:marRight w:val="0"/>
          <w:marTop w:val="0"/>
          <w:marBottom w:val="0"/>
          <w:divBdr>
            <w:top w:val="none" w:sz="0" w:space="0" w:color="auto"/>
            <w:left w:val="none" w:sz="0" w:space="0" w:color="auto"/>
            <w:bottom w:val="none" w:sz="0" w:space="0" w:color="auto"/>
            <w:right w:val="none" w:sz="0" w:space="0" w:color="auto"/>
          </w:divBdr>
          <w:divsChild>
            <w:div w:id="15395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875">
      <w:bodyDiv w:val="1"/>
      <w:marLeft w:val="0"/>
      <w:marRight w:val="0"/>
      <w:marTop w:val="0"/>
      <w:marBottom w:val="0"/>
      <w:divBdr>
        <w:top w:val="none" w:sz="0" w:space="0" w:color="auto"/>
        <w:left w:val="none" w:sz="0" w:space="0" w:color="auto"/>
        <w:bottom w:val="none" w:sz="0" w:space="0" w:color="auto"/>
        <w:right w:val="none" w:sz="0" w:space="0" w:color="auto"/>
      </w:divBdr>
      <w:divsChild>
        <w:div w:id="515267260">
          <w:marLeft w:val="480"/>
          <w:marRight w:val="0"/>
          <w:marTop w:val="0"/>
          <w:marBottom w:val="0"/>
          <w:divBdr>
            <w:top w:val="none" w:sz="0" w:space="0" w:color="auto"/>
            <w:left w:val="none" w:sz="0" w:space="0" w:color="auto"/>
            <w:bottom w:val="none" w:sz="0" w:space="0" w:color="auto"/>
            <w:right w:val="none" w:sz="0" w:space="0" w:color="auto"/>
          </w:divBdr>
          <w:divsChild>
            <w:div w:id="5550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3538">
      <w:bodyDiv w:val="1"/>
      <w:marLeft w:val="0"/>
      <w:marRight w:val="0"/>
      <w:marTop w:val="0"/>
      <w:marBottom w:val="0"/>
      <w:divBdr>
        <w:top w:val="none" w:sz="0" w:space="0" w:color="auto"/>
        <w:left w:val="none" w:sz="0" w:space="0" w:color="auto"/>
        <w:bottom w:val="none" w:sz="0" w:space="0" w:color="auto"/>
        <w:right w:val="none" w:sz="0" w:space="0" w:color="auto"/>
      </w:divBdr>
      <w:divsChild>
        <w:div w:id="676468127">
          <w:marLeft w:val="480"/>
          <w:marRight w:val="0"/>
          <w:marTop w:val="0"/>
          <w:marBottom w:val="0"/>
          <w:divBdr>
            <w:top w:val="none" w:sz="0" w:space="0" w:color="auto"/>
            <w:left w:val="none" w:sz="0" w:space="0" w:color="auto"/>
            <w:bottom w:val="none" w:sz="0" w:space="0" w:color="auto"/>
            <w:right w:val="none" w:sz="0" w:space="0" w:color="auto"/>
          </w:divBdr>
          <w:divsChild>
            <w:div w:id="8538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645">
      <w:bodyDiv w:val="1"/>
      <w:marLeft w:val="0"/>
      <w:marRight w:val="0"/>
      <w:marTop w:val="0"/>
      <w:marBottom w:val="0"/>
      <w:divBdr>
        <w:top w:val="none" w:sz="0" w:space="0" w:color="auto"/>
        <w:left w:val="none" w:sz="0" w:space="0" w:color="auto"/>
        <w:bottom w:val="none" w:sz="0" w:space="0" w:color="auto"/>
        <w:right w:val="none" w:sz="0" w:space="0" w:color="auto"/>
      </w:divBdr>
      <w:divsChild>
        <w:div w:id="230193617">
          <w:marLeft w:val="480"/>
          <w:marRight w:val="0"/>
          <w:marTop w:val="0"/>
          <w:marBottom w:val="0"/>
          <w:divBdr>
            <w:top w:val="none" w:sz="0" w:space="0" w:color="auto"/>
            <w:left w:val="none" w:sz="0" w:space="0" w:color="auto"/>
            <w:bottom w:val="none" w:sz="0" w:space="0" w:color="auto"/>
            <w:right w:val="none" w:sz="0" w:space="0" w:color="auto"/>
          </w:divBdr>
          <w:divsChild>
            <w:div w:id="17166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480">
      <w:bodyDiv w:val="1"/>
      <w:marLeft w:val="0"/>
      <w:marRight w:val="0"/>
      <w:marTop w:val="0"/>
      <w:marBottom w:val="0"/>
      <w:divBdr>
        <w:top w:val="none" w:sz="0" w:space="0" w:color="auto"/>
        <w:left w:val="none" w:sz="0" w:space="0" w:color="auto"/>
        <w:bottom w:val="none" w:sz="0" w:space="0" w:color="auto"/>
        <w:right w:val="none" w:sz="0" w:space="0" w:color="auto"/>
      </w:divBdr>
      <w:divsChild>
        <w:div w:id="366879720">
          <w:marLeft w:val="480"/>
          <w:marRight w:val="0"/>
          <w:marTop w:val="0"/>
          <w:marBottom w:val="0"/>
          <w:divBdr>
            <w:top w:val="none" w:sz="0" w:space="0" w:color="auto"/>
            <w:left w:val="none" w:sz="0" w:space="0" w:color="auto"/>
            <w:bottom w:val="none" w:sz="0" w:space="0" w:color="auto"/>
            <w:right w:val="none" w:sz="0" w:space="0" w:color="auto"/>
          </w:divBdr>
          <w:divsChild>
            <w:div w:id="8298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99">
      <w:bodyDiv w:val="1"/>
      <w:marLeft w:val="0"/>
      <w:marRight w:val="0"/>
      <w:marTop w:val="0"/>
      <w:marBottom w:val="0"/>
      <w:divBdr>
        <w:top w:val="none" w:sz="0" w:space="0" w:color="auto"/>
        <w:left w:val="none" w:sz="0" w:space="0" w:color="auto"/>
        <w:bottom w:val="none" w:sz="0" w:space="0" w:color="auto"/>
        <w:right w:val="none" w:sz="0" w:space="0" w:color="auto"/>
      </w:divBdr>
      <w:divsChild>
        <w:div w:id="2128236937">
          <w:marLeft w:val="480"/>
          <w:marRight w:val="0"/>
          <w:marTop w:val="0"/>
          <w:marBottom w:val="0"/>
          <w:divBdr>
            <w:top w:val="none" w:sz="0" w:space="0" w:color="auto"/>
            <w:left w:val="none" w:sz="0" w:space="0" w:color="auto"/>
            <w:bottom w:val="none" w:sz="0" w:space="0" w:color="auto"/>
            <w:right w:val="none" w:sz="0" w:space="0" w:color="auto"/>
          </w:divBdr>
          <w:divsChild>
            <w:div w:id="4480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01531">
      <w:bodyDiv w:val="1"/>
      <w:marLeft w:val="0"/>
      <w:marRight w:val="0"/>
      <w:marTop w:val="0"/>
      <w:marBottom w:val="0"/>
      <w:divBdr>
        <w:top w:val="none" w:sz="0" w:space="0" w:color="auto"/>
        <w:left w:val="none" w:sz="0" w:space="0" w:color="auto"/>
        <w:bottom w:val="none" w:sz="0" w:space="0" w:color="auto"/>
        <w:right w:val="none" w:sz="0" w:space="0" w:color="auto"/>
      </w:divBdr>
      <w:divsChild>
        <w:div w:id="54015550">
          <w:marLeft w:val="480"/>
          <w:marRight w:val="0"/>
          <w:marTop w:val="0"/>
          <w:marBottom w:val="0"/>
          <w:divBdr>
            <w:top w:val="none" w:sz="0" w:space="0" w:color="auto"/>
            <w:left w:val="none" w:sz="0" w:space="0" w:color="auto"/>
            <w:bottom w:val="none" w:sz="0" w:space="0" w:color="auto"/>
            <w:right w:val="none" w:sz="0" w:space="0" w:color="auto"/>
          </w:divBdr>
          <w:divsChild>
            <w:div w:id="10870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11671">
          <w:marLeft w:val="480"/>
          <w:marRight w:val="0"/>
          <w:marTop w:val="0"/>
          <w:marBottom w:val="0"/>
          <w:divBdr>
            <w:top w:val="none" w:sz="0" w:space="0" w:color="auto"/>
            <w:left w:val="none" w:sz="0" w:space="0" w:color="auto"/>
            <w:bottom w:val="none" w:sz="0" w:space="0" w:color="auto"/>
            <w:right w:val="none" w:sz="0" w:space="0" w:color="auto"/>
          </w:divBdr>
          <w:divsChild>
            <w:div w:id="1153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76610">
      <w:bodyDiv w:val="1"/>
      <w:marLeft w:val="0"/>
      <w:marRight w:val="0"/>
      <w:marTop w:val="0"/>
      <w:marBottom w:val="0"/>
      <w:divBdr>
        <w:top w:val="none" w:sz="0" w:space="0" w:color="auto"/>
        <w:left w:val="none" w:sz="0" w:space="0" w:color="auto"/>
        <w:bottom w:val="none" w:sz="0" w:space="0" w:color="auto"/>
        <w:right w:val="none" w:sz="0" w:space="0" w:color="auto"/>
      </w:divBdr>
      <w:divsChild>
        <w:div w:id="1597248380">
          <w:marLeft w:val="480"/>
          <w:marRight w:val="0"/>
          <w:marTop w:val="0"/>
          <w:marBottom w:val="0"/>
          <w:divBdr>
            <w:top w:val="none" w:sz="0" w:space="0" w:color="auto"/>
            <w:left w:val="none" w:sz="0" w:space="0" w:color="auto"/>
            <w:bottom w:val="none" w:sz="0" w:space="0" w:color="auto"/>
            <w:right w:val="none" w:sz="0" w:space="0" w:color="auto"/>
          </w:divBdr>
          <w:divsChild>
            <w:div w:id="6803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6483">
      <w:bodyDiv w:val="1"/>
      <w:marLeft w:val="0"/>
      <w:marRight w:val="0"/>
      <w:marTop w:val="0"/>
      <w:marBottom w:val="0"/>
      <w:divBdr>
        <w:top w:val="none" w:sz="0" w:space="0" w:color="auto"/>
        <w:left w:val="none" w:sz="0" w:space="0" w:color="auto"/>
        <w:bottom w:val="none" w:sz="0" w:space="0" w:color="auto"/>
        <w:right w:val="none" w:sz="0" w:space="0" w:color="auto"/>
      </w:divBdr>
      <w:divsChild>
        <w:div w:id="1402873716">
          <w:marLeft w:val="480"/>
          <w:marRight w:val="0"/>
          <w:marTop w:val="0"/>
          <w:marBottom w:val="0"/>
          <w:divBdr>
            <w:top w:val="none" w:sz="0" w:space="0" w:color="auto"/>
            <w:left w:val="none" w:sz="0" w:space="0" w:color="auto"/>
            <w:bottom w:val="none" w:sz="0" w:space="0" w:color="auto"/>
            <w:right w:val="none" w:sz="0" w:space="0" w:color="auto"/>
          </w:divBdr>
          <w:divsChild>
            <w:div w:id="6479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959">
      <w:bodyDiv w:val="1"/>
      <w:marLeft w:val="0"/>
      <w:marRight w:val="0"/>
      <w:marTop w:val="0"/>
      <w:marBottom w:val="0"/>
      <w:divBdr>
        <w:top w:val="none" w:sz="0" w:space="0" w:color="auto"/>
        <w:left w:val="none" w:sz="0" w:space="0" w:color="auto"/>
        <w:bottom w:val="none" w:sz="0" w:space="0" w:color="auto"/>
        <w:right w:val="none" w:sz="0" w:space="0" w:color="auto"/>
      </w:divBdr>
      <w:divsChild>
        <w:div w:id="1366297264">
          <w:marLeft w:val="480"/>
          <w:marRight w:val="0"/>
          <w:marTop w:val="0"/>
          <w:marBottom w:val="0"/>
          <w:divBdr>
            <w:top w:val="none" w:sz="0" w:space="0" w:color="auto"/>
            <w:left w:val="none" w:sz="0" w:space="0" w:color="auto"/>
            <w:bottom w:val="none" w:sz="0" w:space="0" w:color="auto"/>
            <w:right w:val="none" w:sz="0" w:space="0" w:color="auto"/>
          </w:divBdr>
          <w:divsChild>
            <w:div w:id="20003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0798">
      <w:bodyDiv w:val="1"/>
      <w:marLeft w:val="0"/>
      <w:marRight w:val="0"/>
      <w:marTop w:val="0"/>
      <w:marBottom w:val="0"/>
      <w:divBdr>
        <w:top w:val="none" w:sz="0" w:space="0" w:color="auto"/>
        <w:left w:val="none" w:sz="0" w:space="0" w:color="auto"/>
        <w:bottom w:val="none" w:sz="0" w:space="0" w:color="auto"/>
        <w:right w:val="none" w:sz="0" w:space="0" w:color="auto"/>
      </w:divBdr>
      <w:divsChild>
        <w:div w:id="1918589715">
          <w:marLeft w:val="480"/>
          <w:marRight w:val="0"/>
          <w:marTop w:val="0"/>
          <w:marBottom w:val="0"/>
          <w:divBdr>
            <w:top w:val="none" w:sz="0" w:space="0" w:color="auto"/>
            <w:left w:val="none" w:sz="0" w:space="0" w:color="auto"/>
            <w:bottom w:val="none" w:sz="0" w:space="0" w:color="auto"/>
            <w:right w:val="none" w:sz="0" w:space="0" w:color="auto"/>
          </w:divBdr>
          <w:divsChild>
            <w:div w:id="7874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8559">
      <w:bodyDiv w:val="1"/>
      <w:marLeft w:val="0"/>
      <w:marRight w:val="0"/>
      <w:marTop w:val="0"/>
      <w:marBottom w:val="0"/>
      <w:divBdr>
        <w:top w:val="none" w:sz="0" w:space="0" w:color="auto"/>
        <w:left w:val="none" w:sz="0" w:space="0" w:color="auto"/>
        <w:bottom w:val="none" w:sz="0" w:space="0" w:color="auto"/>
        <w:right w:val="none" w:sz="0" w:space="0" w:color="auto"/>
      </w:divBdr>
    </w:div>
    <w:div w:id="491721338">
      <w:bodyDiv w:val="1"/>
      <w:marLeft w:val="0"/>
      <w:marRight w:val="0"/>
      <w:marTop w:val="0"/>
      <w:marBottom w:val="0"/>
      <w:divBdr>
        <w:top w:val="none" w:sz="0" w:space="0" w:color="auto"/>
        <w:left w:val="none" w:sz="0" w:space="0" w:color="auto"/>
        <w:bottom w:val="none" w:sz="0" w:space="0" w:color="auto"/>
        <w:right w:val="none" w:sz="0" w:space="0" w:color="auto"/>
      </w:divBdr>
      <w:divsChild>
        <w:div w:id="1265768734">
          <w:marLeft w:val="480"/>
          <w:marRight w:val="0"/>
          <w:marTop w:val="0"/>
          <w:marBottom w:val="0"/>
          <w:divBdr>
            <w:top w:val="none" w:sz="0" w:space="0" w:color="auto"/>
            <w:left w:val="none" w:sz="0" w:space="0" w:color="auto"/>
            <w:bottom w:val="none" w:sz="0" w:space="0" w:color="auto"/>
            <w:right w:val="none" w:sz="0" w:space="0" w:color="auto"/>
          </w:divBdr>
          <w:divsChild>
            <w:div w:id="1009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5300">
      <w:bodyDiv w:val="1"/>
      <w:marLeft w:val="0"/>
      <w:marRight w:val="0"/>
      <w:marTop w:val="0"/>
      <w:marBottom w:val="0"/>
      <w:divBdr>
        <w:top w:val="none" w:sz="0" w:space="0" w:color="auto"/>
        <w:left w:val="none" w:sz="0" w:space="0" w:color="auto"/>
        <w:bottom w:val="none" w:sz="0" w:space="0" w:color="auto"/>
        <w:right w:val="none" w:sz="0" w:space="0" w:color="auto"/>
      </w:divBdr>
      <w:divsChild>
        <w:div w:id="48192125">
          <w:marLeft w:val="480"/>
          <w:marRight w:val="0"/>
          <w:marTop w:val="0"/>
          <w:marBottom w:val="0"/>
          <w:divBdr>
            <w:top w:val="none" w:sz="0" w:space="0" w:color="auto"/>
            <w:left w:val="none" w:sz="0" w:space="0" w:color="auto"/>
            <w:bottom w:val="none" w:sz="0" w:space="0" w:color="auto"/>
            <w:right w:val="none" w:sz="0" w:space="0" w:color="auto"/>
          </w:divBdr>
          <w:divsChild>
            <w:div w:id="4727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809">
      <w:bodyDiv w:val="1"/>
      <w:marLeft w:val="0"/>
      <w:marRight w:val="0"/>
      <w:marTop w:val="0"/>
      <w:marBottom w:val="0"/>
      <w:divBdr>
        <w:top w:val="none" w:sz="0" w:space="0" w:color="auto"/>
        <w:left w:val="none" w:sz="0" w:space="0" w:color="auto"/>
        <w:bottom w:val="none" w:sz="0" w:space="0" w:color="auto"/>
        <w:right w:val="none" w:sz="0" w:space="0" w:color="auto"/>
      </w:divBdr>
      <w:divsChild>
        <w:div w:id="1439107227">
          <w:marLeft w:val="480"/>
          <w:marRight w:val="0"/>
          <w:marTop w:val="0"/>
          <w:marBottom w:val="0"/>
          <w:divBdr>
            <w:top w:val="none" w:sz="0" w:space="0" w:color="auto"/>
            <w:left w:val="none" w:sz="0" w:space="0" w:color="auto"/>
            <w:bottom w:val="none" w:sz="0" w:space="0" w:color="auto"/>
            <w:right w:val="none" w:sz="0" w:space="0" w:color="auto"/>
          </w:divBdr>
          <w:divsChild>
            <w:div w:id="181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4648">
      <w:bodyDiv w:val="1"/>
      <w:marLeft w:val="0"/>
      <w:marRight w:val="0"/>
      <w:marTop w:val="0"/>
      <w:marBottom w:val="0"/>
      <w:divBdr>
        <w:top w:val="none" w:sz="0" w:space="0" w:color="auto"/>
        <w:left w:val="none" w:sz="0" w:space="0" w:color="auto"/>
        <w:bottom w:val="none" w:sz="0" w:space="0" w:color="auto"/>
        <w:right w:val="none" w:sz="0" w:space="0" w:color="auto"/>
      </w:divBdr>
      <w:divsChild>
        <w:div w:id="1984964698">
          <w:marLeft w:val="480"/>
          <w:marRight w:val="0"/>
          <w:marTop w:val="0"/>
          <w:marBottom w:val="0"/>
          <w:divBdr>
            <w:top w:val="none" w:sz="0" w:space="0" w:color="auto"/>
            <w:left w:val="none" w:sz="0" w:space="0" w:color="auto"/>
            <w:bottom w:val="none" w:sz="0" w:space="0" w:color="auto"/>
            <w:right w:val="none" w:sz="0" w:space="0" w:color="auto"/>
          </w:divBdr>
          <w:divsChild>
            <w:div w:id="934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330">
      <w:bodyDiv w:val="1"/>
      <w:marLeft w:val="0"/>
      <w:marRight w:val="0"/>
      <w:marTop w:val="0"/>
      <w:marBottom w:val="0"/>
      <w:divBdr>
        <w:top w:val="none" w:sz="0" w:space="0" w:color="auto"/>
        <w:left w:val="none" w:sz="0" w:space="0" w:color="auto"/>
        <w:bottom w:val="none" w:sz="0" w:space="0" w:color="auto"/>
        <w:right w:val="none" w:sz="0" w:space="0" w:color="auto"/>
      </w:divBdr>
      <w:divsChild>
        <w:div w:id="101151880">
          <w:marLeft w:val="480"/>
          <w:marRight w:val="0"/>
          <w:marTop w:val="0"/>
          <w:marBottom w:val="0"/>
          <w:divBdr>
            <w:top w:val="none" w:sz="0" w:space="0" w:color="auto"/>
            <w:left w:val="none" w:sz="0" w:space="0" w:color="auto"/>
            <w:bottom w:val="none" w:sz="0" w:space="0" w:color="auto"/>
            <w:right w:val="none" w:sz="0" w:space="0" w:color="auto"/>
          </w:divBdr>
          <w:divsChild>
            <w:div w:id="6334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1693">
      <w:bodyDiv w:val="1"/>
      <w:marLeft w:val="0"/>
      <w:marRight w:val="0"/>
      <w:marTop w:val="0"/>
      <w:marBottom w:val="0"/>
      <w:divBdr>
        <w:top w:val="none" w:sz="0" w:space="0" w:color="auto"/>
        <w:left w:val="none" w:sz="0" w:space="0" w:color="auto"/>
        <w:bottom w:val="none" w:sz="0" w:space="0" w:color="auto"/>
        <w:right w:val="none" w:sz="0" w:space="0" w:color="auto"/>
      </w:divBdr>
      <w:divsChild>
        <w:div w:id="1165046919">
          <w:marLeft w:val="480"/>
          <w:marRight w:val="0"/>
          <w:marTop w:val="0"/>
          <w:marBottom w:val="0"/>
          <w:divBdr>
            <w:top w:val="none" w:sz="0" w:space="0" w:color="auto"/>
            <w:left w:val="none" w:sz="0" w:space="0" w:color="auto"/>
            <w:bottom w:val="none" w:sz="0" w:space="0" w:color="auto"/>
            <w:right w:val="none" w:sz="0" w:space="0" w:color="auto"/>
          </w:divBdr>
          <w:divsChild>
            <w:div w:id="1380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1104">
      <w:bodyDiv w:val="1"/>
      <w:marLeft w:val="0"/>
      <w:marRight w:val="0"/>
      <w:marTop w:val="0"/>
      <w:marBottom w:val="0"/>
      <w:divBdr>
        <w:top w:val="none" w:sz="0" w:space="0" w:color="auto"/>
        <w:left w:val="none" w:sz="0" w:space="0" w:color="auto"/>
        <w:bottom w:val="none" w:sz="0" w:space="0" w:color="auto"/>
        <w:right w:val="none" w:sz="0" w:space="0" w:color="auto"/>
      </w:divBdr>
      <w:divsChild>
        <w:div w:id="1496915661">
          <w:marLeft w:val="480"/>
          <w:marRight w:val="0"/>
          <w:marTop w:val="0"/>
          <w:marBottom w:val="0"/>
          <w:divBdr>
            <w:top w:val="none" w:sz="0" w:space="0" w:color="auto"/>
            <w:left w:val="none" w:sz="0" w:space="0" w:color="auto"/>
            <w:bottom w:val="none" w:sz="0" w:space="0" w:color="auto"/>
            <w:right w:val="none" w:sz="0" w:space="0" w:color="auto"/>
          </w:divBdr>
          <w:divsChild>
            <w:div w:id="16492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3325">
      <w:bodyDiv w:val="1"/>
      <w:marLeft w:val="0"/>
      <w:marRight w:val="0"/>
      <w:marTop w:val="0"/>
      <w:marBottom w:val="0"/>
      <w:divBdr>
        <w:top w:val="none" w:sz="0" w:space="0" w:color="auto"/>
        <w:left w:val="none" w:sz="0" w:space="0" w:color="auto"/>
        <w:bottom w:val="none" w:sz="0" w:space="0" w:color="auto"/>
        <w:right w:val="none" w:sz="0" w:space="0" w:color="auto"/>
      </w:divBdr>
      <w:divsChild>
        <w:div w:id="104227508">
          <w:marLeft w:val="480"/>
          <w:marRight w:val="0"/>
          <w:marTop w:val="0"/>
          <w:marBottom w:val="0"/>
          <w:divBdr>
            <w:top w:val="none" w:sz="0" w:space="0" w:color="auto"/>
            <w:left w:val="none" w:sz="0" w:space="0" w:color="auto"/>
            <w:bottom w:val="none" w:sz="0" w:space="0" w:color="auto"/>
            <w:right w:val="none" w:sz="0" w:space="0" w:color="auto"/>
          </w:divBdr>
          <w:divsChild>
            <w:div w:id="11404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0654">
      <w:bodyDiv w:val="1"/>
      <w:marLeft w:val="0"/>
      <w:marRight w:val="0"/>
      <w:marTop w:val="0"/>
      <w:marBottom w:val="0"/>
      <w:divBdr>
        <w:top w:val="none" w:sz="0" w:space="0" w:color="auto"/>
        <w:left w:val="none" w:sz="0" w:space="0" w:color="auto"/>
        <w:bottom w:val="none" w:sz="0" w:space="0" w:color="auto"/>
        <w:right w:val="none" w:sz="0" w:space="0" w:color="auto"/>
      </w:divBdr>
      <w:divsChild>
        <w:div w:id="40906140">
          <w:marLeft w:val="480"/>
          <w:marRight w:val="0"/>
          <w:marTop w:val="0"/>
          <w:marBottom w:val="0"/>
          <w:divBdr>
            <w:top w:val="none" w:sz="0" w:space="0" w:color="auto"/>
            <w:left w:val="none" w:sz="0" w:space="0" w:color="auto"/>
            <w:bottom w:val="none" w:sz="0" w:space="0" w:color="auto"/>
            <w:right w:val="none" w:sz="0" w:space="0" w:color="auto"/>
          </w:divBdr>
          <w:divsChild>
            <w:div w:id="13081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3823">
      <w:bodyDiv w:val="1"/>
      <w:marLeft w:val="0"/>
      <w:marRight w:val="0"/>
      <w:marTop w:val="0"/>
      <w:marBottom w:val="0"/>
      <w:divBdr>
        <w:top w:val="none" w:sz="0" w:space="0" w:color="auto"/>
        <w:left w:val="none" w:sz="0" w:space="0" w:color="auto"/>
        <w:bottom w:val="none" w:sz="0" w:space="0" w:color="auto"/>
        <w:right w:val="none" w:sz="0" w:space="0" w:color="auto"/>
      </w:divBdr>
      <w:divsChild>
        <w:div w:id="2049064556">
          <w:marLeft w:val="480"/>
          <w:marRight w:val="0"/>
          <w:marTop w:val="0"/>
          <w:marBottom w:val="0"/>
          <w:divBdr>
            <w:top w:val="none" w:sz="0" w:space="0" w:color="auto"/>
            <w:left w:val="none" w:sz="0" w:space="0" w:color="auto"/>
            <w:bottom w:val="none" w:sz="0" w:space="0" w:color="auto"/>
            <w:right w:val="none" w:sz="0" w:space="0" w:color="auto"/>
          </w:divBdr>
          <w:divsChild>
            <w:div w:id="16416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7606">
      <w:bodyDiv w:val="1"/>
      <w:marLeft w:val="0"/>
      <w:marRight w:val="0"/>
      <w:marTop w:val="0"/>
      <w:marBottom w:val="0"/>
      <w:divBdr>
        <w:top w:val="none" w:sz="0" w:space="0" w:color="auto"/>
        <w:left w:val="none" w:sz="0" w:space="0" w:color="auto"/>
        <w:bottom w:val="none" w:sz="0" w:space="0" w:color="auto"/>
        <w:right w:val="none" w:sz="0" w:space="0" w:color="auto"/>
      </w:divBdr>
      <w:divsChild>
        <w:div w:id="1915318879">
          <w:marLeft w:val="480"/>
          <w:marRight w:val="0"/>
          <w:marTop w:val="0"/>
          <w:marBottom w:val="0"/>
          <w:divBdr>
            <w:top w:val="none" w:sz="0" w:space="0" w:color="auto"/>
            <w:left w:val="none" w:sz="0" w:space="0" w:color="auto"/>
            <w:bottom w:val="none" w:sz="0" w:space="0" w:color="auto"/>
            <w:right w:val="none" w:sz="0" w:space="0" w:color="auto"/>
          </w:divBdr>
          <w:divsChild>
            <w:div w:id="16035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1567">
      <w:bodyDiv w:val="1"/>
      <w:marLeft w:val="0"/>
      <w:marRight w:val="0"/>
      <w:marTop w:val="0"/>
      <w:marBottom w:val="0"/>
      <w:divBdr>
        <w:top w:val="none" w:sz="0" w:space="0" w:color="auto"/>
        <w:left w:val="none" w:sz="0" w:space="0" w:color="auto"/>
        <w:bottom w:val="none" w:sz="0" w:space="0" w:color="auto"/>
        <w:right w:val="none" w:sz="0" w:space="0" w:color="auto"/>
      </w:divBdr>
      <w:divsChild>
        <w:div w:id="1860777676">
          <w:marLeft w:val="480"/>
          <w:marRight w:val="0"/>
          <w:marTop w:val="0"/>
          <w:marBottom w:val="0"/>
          <w:divBdr>
            <w:top w:val="none" w:sz="0" w:space="0" w:color="auto"/>
            <w:left w:val="none" w:sz="0" w:space="0" w:color="auto"/>
            <w:bottom w:val="none" w:sz="0" w:space="0" w:color="auto"/>
            <w:right w:val="none" w:sz="0" w:space="0" w:color="auto"/>
          </w:divBdr>
          <w:divsChild>
            <w:div w:id="16300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2925">
      <w:bodyDiv w:val="1"/>
      <w:marLeft w:val="0"/>
      <w:marRight w:val="0"/>
      <w:marTop w:val="0"/>
      <w:marBottom w:val="0"/>
      <w:divBdr>
        <w:top w:val="none" w:sz="0" w:space="0" w:color="auto"/>
        <w:left w:val="none" w:sz="0" w:space="0" w:color="auto"/>
        <w:bottom w:val="none" w:sz="0" w:space="0" w:color="auto"/>
        <w:right w:val="none" w:sz="0" w:space="0" w:color="auto"/>
      </w:divBdr>
      <w:divsChild>
        <w:div w:id="1279533167">
          <w:marLeft w:val="480"/>
          <w:marRight w:val="0"/>
          <w:marTop w:val="0"/>
          <w:marBottom w:val="0"/>
          <w:divBdr>
            <w:top w:val="none" w:sz="0" w:space="0" w:color="auto"/>
            <w:left w:val="none" w:sz="0" w:space="0" w:color="auto"/>
            <w:bottom w:val="none" w:sz="0" w:space="0" w:color="auto"/>
            <w:right w:val="none" w:sz="0" w:space="0" w:color="auto"/>
          </w:divBdr>
          <w:divsChild>
            <w:div w:id="6597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9625">
      <w:bodyDiv w:val="1"/>
      <w:marLeft w:val="0"/>
      <w:marRight w:val="0"/>
      <w:marTop w:val="0"/>
      <w:marBottom w:val="0"/>
      <w:divBdr>
        <w:top w:val="none" w:sz="0" w:space="0" w:color="auto"/>
        <w:left w:val="none" w:sz="0" w:space="0" w:color="auto"/>
        <w:bottom w:val="none" w:sz="0" w:space="0" w:color="auto"/>
        <w:right w:val="none" w:sz="0" w:space="0" w:color="auto"/>
      </w:divBdr>
      <w:divsChild>
        <w:div w:id="1896155582">
          <w:marLeft w:val="480"/>
          <w:marRight w:val="0"/>
          <w:marTop w:val="0"/>
          <w:marBottom w:val="0"/>
          <w:divBdr>
            <w:top w:val="none" w:sz="0" w:space="0" w:color="auto"/>
            <w:left w:val="none" w:sz="0" w:space="0" w:color="auto"/>
            <w:bottom w:val="none" w:sz="0" w:space="0" w:color="auto"/>
            <w:right w:val="none" w:sz="0" w:space="0" w:color="auto"/>
          </w:divBdr>
          <w:divsChild>
            <w:div w:id="422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9898">
      <w:bodyDiv w:val="1"/>
      <w:marLeft w:val="0"/>
      <w:marRight w:val="0"/>
      <w:marTop w:val="0"/>
      <w:marBottom w:val="0"/>
      <w:divBdr>
        <w:top w:val="none" w:sz="0" w:space="0" w:color="auto"/>
        <w:left w:val="none" w:sz="0" w:space="0" w:color="auto"/>
        <w:bottom w:val="none" w:sz="0" w:space="0" w:color="auto"/>
        <w:right w:val="none" w:sz="0" w:space="0" w:color="auto"/>
      </w:divBdr>
      <w:divsChild>
        <w:div w:id="180973311">
          <w:marLeft w:val="480"/>
          <w:marRight w:val="0"/>
          <w:marTop w:val="0"/>
          <w:marBottom w:val="0"/>
          <w:divBdr>
            <w:top w:val="none" w:sz="0" w:space="0" w:color="auto"/>
            <w:left w:val="none" w:sz="0" w:space="0" w:color="auto"/>
            <w:bottom w:val="none" w:sz="0" w:space="0" w:color="auto"/>
            <w:right w:val="none" w:sz="0" w:space="0" w:color="auto"/>
          </w:divBdr>
          <w:divsChild>
            <w:div w:id="21205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3653">
      <w:bodyDiv w:val="1"/>
      <w:marLeft w:val="0"/>
      <w:marRight w:val="0"/>
      <w:marTop w:val="0"/>
      <w:marBottom w:val="0"/>
      <w:divBdr>
        <w:top w:val="none" w:sz="0" w:space="0" w:color="auto"/>
        <w:left w:val="none" w:sz="0" w:space="0" w:color="auto"/>
        <w:bottom w:val="none" w:sz="0" w:space="0" w:color="auto"/>
        <w:right w:val="none" w:sz="0" w:space="0" w:color="auto"/>
      </w:divBdr>
      <w:divsChild>
        <w:div w:id="1759790738">
          <w:marLeft w:val="480"/>
          <w:marRight w:val="0"/>
          <w:marTop w:val="0"/>
          <w:marBottom w:val="0"/>
          <w:divBdr>
            <w:top w:val="none" w:sz="0" w:space="0" w:color="auto"/>
            <w:left w:val="none" w:sz="0" w:space="0" w:color="auto"/>
            <w:bottom w:val="none" w:sz="0" w:space="0" w:color="auto"/>
            <w:right w:val="none" w:sz="0" w:space="0" w:color="auto"/>
          </w:divBdr>
          <w:divsChild>
            <w:div w:id="6095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1429">
      <w:bodyDiv w:val="1"/>
      <w:marLeft w:val="0"/>
      <w:marRight w:val="0"/>
      <w:marTop w:val="0"/>
      <w:marBottom w:val="0"/>
      <w:divBdr>
        <w:top w:val="none" w:sz="0" w:space="0" w:color="auto"/>
        <w:left w:val="none" w:sz="0" w:space="0" w:color="auto"/>
        <w:bottom w:val="none" w:sz="0" w:space="0" w:color="auto"/>
        <w:right w:val="none" w:sz="0" w:space="0" w:color="auto"/>
      </w:divBdr>
      <w:divsChild>
        <w:div w:id="836576711">
          <w:marLeft w:val="480"/>
          <w:marRight w:val="0"/>
          <w:marTop w:val="0"/>
          <w:marBottom w:val="0"/>
          <w:divBdr>
            <w:top w:val="none" w:sz="0" w:space="0" w:color="auto"/>
            <w:left w:val="none" w:sz="0" w:space="0" w:color="auto"/>
            <w:bottom w:val="none" w:sz="0" w:space="0" w:color="auto"/>
            <w:right w:val="none" w:sz="0" w:space="0" w:color="auto"/>
          </w:divBdr>
          <w:divsChild>
            <w:div w:id="7981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80172">
      <w:bodyDiv w:val="1"/>
      <w:marLeft w:val="0"/>
      <w:marRight w:val="0"/>
      <w:marTop w:val="0"/>
      <w:marBottom w:val="0"/>
      <w:divBdr>
        <w:top w:val="none" w:sz="0" w:space="0" w:color="auto"/>
        <w:left w:val="none" w:sz="0" w:space="0" w:color="auto"/>
        <w:bottom w:val="none" w:sz="0" w:space="0" w:color="auto"/>
        <w:right w:val="none" w:sz="0" w:space="0" w:color="auto"/>
      </w:divBdr>
      <w:divsChild>
        <w:div w:id="738744272">
          <w:marLeft w:val="480"/>
          <w:marRight w:val="0"/>
          <w:marTop w:val="0"/>
          <w:marBottom w:val="0"/>
          <w:divBdr>
            <w:top w:val="none" w:sz="0" w:space="0" w:color="auto"/>
            <w:left w:val="none" w:sz="0" w:space="0" w:color="auto"/>
            <w:bottom w:val="none" w:sz="0" w:space="0" w:color="auto"/>
            <w:right w:val="none" w:sz="0" w:space="0" w:color="auto"/>
          </w:divBdr>
          <w:divsChild>
            <w:div w:id="10312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5766">
      <w:bodyDiv w:val="1"/>
      <w:marLeft w:val="0"/>
      <w:marRight w:val="0"/>
      <w:marTop w:val="0"/>
      <w:marBottom w:val="0"/>
      <w:divBdr>
        <w:top w:val="none" w:sz="0" w:space="0" w:color="auto"/>
        <w:left w:val="none" w:sz="0" w:space="0" w:color="auto"/>
        <w:bottom w:val="none" w:sz="0" w:space="0" w:color="auto"/>
        <w:right w:val="none" w:sz="0" w:space="0" w:color="auto"/>
      </w:divBdr>
      <w:divsChild>
        <w:div w:id="1076324802">
          <w:marLeft w:val="480"/>
          <w:marRight w:val="0"/>
          <w:marTop w:val="0"/>
          <w:marBottom w:val="0"/>
          <w:divBdr>
            <w:top w:val="none" w:sz="0" w:space="0" w:color="auto"/>
            <w:left w:val="none" w:sz="0" w:space="0" w:color="auto"/>
            <w:bottom w:val="none" w:sz="0" w:space="0" w:color="auto"/>
            <w:right w:val="none" w:sz="0" w:space="0" w:color="auto"/>
          </w:divBdr>
          <w:divsChild>
            <w:div w:id="19876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9727">
      <w:bodyDiv w:val="1"/>
      <w:marLeft w:val="0"/>
      <w:marRight w:val="0"/>
      <w:marTop w:val="0"/>
      <w:marBottom w:val="0"/>
      <w:divBdr>
        <w:top w:val="none" w:sz="0" w:space="0" w:color="auto"/>
        <w:left w:val="none" w:sz="0" w:space="0" w:color="auto"/>
        <w:bottom w:val="none" w:sz="0" w:space="0" w:color="auto"/>
        <w:right w:val="none" w:sz="0" w:space="0" w:color="auto"/>
      </w:divBdr>
      <w:divsChild>
        <w:div w:id="938178324">
          <w:marLeft w:val="480"/>
          <w:marRight w:val="0"/>
          <w:marTop w:val="0"/>
          <w:marBottom w:val="0"/>
          <w:divBdr>
            <w:top w:val="none" w:sz="0" w:space="0" w:color="auto"/>
            <w:left w:val="none" w:sz="0" w:space="0" w:color="auto"/>
            <w:bottom w:val="none" w:sz="0" w:space="0" w:color="auto"/>
            <w:right w:val="none" w:sz="0" w:space="0" w:color="auto"/>
          </w:divBdr>
          <w:divsChild>
            <w:div w:id="76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93621">
      <w:bodyDiv w:val="1"/>
      <w:marLeft w:val="0"/>
      <w:marRight w:val="0"/>
      <w:marTop w:val="0"/>
      <w:marBottom w:val="0"/>
      <w:divBdr>
        <w:top w:val="none" w:sz="0" w:space="0" w:color="auto"/>
        <w:left w:val="none" w:sz="0" w:space="0" w:color="auto"/>
        <w:bottom w:val="none" w:sz="0" w:space="0" w:color="auto"/>
        <w:right w:val="none" w:sz="0" w:space="0" w:color="auto"/>
      </w:divBdr>
      <w:divsChild>
        <w:div w:id="1545025856">
          <w:marLeft w:val="480"/>
          <w:marRight w:val="0"/>
          <w:marTop w:val="0"/>
          <w:marBottom w:val="0"/>
          <w:divBdr>
            <w:top w:val="none" w:sz="0" w:space="0" w:color="auto"/>
            <w:left w:val="none" w:sz="0" w:space="0" w:color="auto"/>
            <w:bottom w:val="none" w:sz="0" w:space="0" w:color="auto"/>
            <w:right w:val="none" w:sz="0" w:space="0" w:color="auto"/>
          </w:divBdr>
          <w:divsChild>
            <w:div w:id="3028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0623">
      <w:bodyDiv w:val="1"/>
      <w:marLeft w:val="0"/>
      <w:marRight w:val="0"/>
      <w:marTop w:val="0"/>
      <w:marBottom w:val="0"/>
      <w:divBdr>
        <w:top w:val="none" w:sz="0" w:space="0" w:color="auto"/>
        <w:left w:val="none" w:sz="0" w:space="0" w:color="auto"/>
        <w:bottom w:val="none" w:sz="0" w:space="0" w:color="auto"/>
        <w:right w:val="none" w:sz="0" w:space="0" w:color="auto"/>
      </w:divBdr>
      <w:divsChild>
        <w:div w:id="1507211524">
          <w:marLeft w:val="480"/>
          <w:marRight w:val="0"/>
          <w:marTop w:val="0"/>
          <w:marBottom w:val="0"/>
          <w:divBdr>
            <w:top w:val="none" w:sz="0" w:space="0" w:color="auto"/>
            <w:left w:val="none" w:sz="0" w:space="0" w:color="auto"/>
            <w:bottom w:val="none" w:sz="0" w:space="0" w:color="auto"/>
            <w:right w:val="none" w:sz="0" w:space="0" w:color="auto"/>
          </w:divBdr>
          <w:divsChild>
            <w:div w:id="972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2198">
      <w:bodyDiv w:val="1"/>
      <w:marLeft w:val="0"/>
      <w:marRight w:val="0"/>
      <w:marTop w:val="0"/>
      <w:marBottom w:val="0"/>
      <w:divBdr>
        <w:top w:val="none" w:sz="0" w:space="0" w:color="auto"/>
        <w:left w:val="none" w:sz="0" w:space="0" w:color="auto"/>
        <w:bottom w:val="none" w:sz="0" w:space="0" w:color="auto"/>
        <w:right w:val="none" w:sz="0" w:space="0" w:color="auto"/>
      </w:divBdr>
      <w:divsChild>
        <w:div w:id="1978101931">
          <w:marLeft w:val="480"/>
          <w:marRight w:val="0"/>
          <w:marTop w:val="0"/>
          <w:marBottom w:val="0"/>
          <w:divBdr>
            <w:top w:val="none" w:sz="0" w:space="0" w:color="auto"/>
            <w:left w:val="none" w:sz="0" w:space="0" w:color="auto"/>
            <w:bottom w:val="none" w:sz="0" w:space="0" w:color="auto"/>
            <w:right w:val="none" w:sz="0" w:space="0" w:color="auto"/>
          </w:divBdr>
          <w:divsChild>
            <w:div w:id="18398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amnationcare.org/best-charities-to-donate-to-in-australia/"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fr4npo.org/"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nc.gov.au/char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s://donorbox.org/nonprofit-blog/homeless-charit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ovolunteer.com.au/" TargetMode="External"/><Relationship Id="rId14" Type="http://schemas.openxmlformats.org/officeDocument/2006/relationships/image" Target="media/image2.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jaccpubpol.2009.08.001" TargetMode="External"/><Relationship Id="rId13" Type="http://schemas.openxmlformats.org/officeDocument/2006/relationships/hyperlink" Target="https://doi.org/10.1007/s11266-013-9374-5" TargetMode="External"/><Relationship Id="rId18" Type="http://schemas.openxmlformats.org/officeDocument/2006/relationships/hyperlink" Target="https://jmalegal.com.au/the-role-and-responsibilities-of-a-trustee/" TargetMode="External"/><Relationship Id="rId3" Type="http://schemas.openxmlformats.org/officeDocument/2006/relationships/hyperlink" Target="https://www.routledge.com/The-Non-profit-Enterprise-in-Market-Economics/James-Rose-Ackerman/p/book/9780415866279" TargetMode="External"/><Relationship Id="rId7" Type="http://schemas.openxmlformats.org/officeDocument/2006/relationships/hyperlink" Target="https://doi.org/10.1177/08997640221138260" TargetMode="External"/><Relationship Id="rId12" Type="http://schemas.openxmlformats.org/officeDocument/2006/relationships/hyperlink" Target="https://www.acnc.gov.au/for-charities/manage-your-charity/national-standard-chart-accounts" TargetMode="External"/><Relationship Id="rId17" Type="http://schemas.openxmlformats.org/officeDocument/2006/relationships/hyperlink" Target="https://doi.org/10.1332/204080513X667792" TargetMode="External"/><Relationship Id="rId2" Type="http://schemas.openxmlformats.org/officeDocument/2006/relationships/hyperlink" Target="https://doi.org/10.1002/nvsm.1786" TargetMode="External"/><Relationship Id="rId16" Type="http://schemas.openxmlformats.org/officeDocument/2006/relationships/hyperlink" Target="https://eprints.qut.edu.au/199824/" TargetMode="External"/><Relationship Id="rId20" Type="http://schemas.openxmlformats.org/officeDocument/2006/relationships/hyperlink" Target="https://www.abrs.gov.au/director-identification-number" TargetMode="External"/><Relationship Id="rId1" Type="http://schemas.openxmlformats.org/officeDocument/2006/relationships/hyperlink" Target="https://doi.org/10.1002/nvsm.1791" TargetMode="External"/><Relationship Id="rId6" Type="http://schemas.openxmlformats.org/officeDocument/2006/relationships/hyperlink" Target="https://doi.org/10.1177/0899764014527175" TargetMode="External"/><Relationship Id="rId11" Type="http://schemas.openxmlformats.org/officeDocument/2006/relationships/hyperlink" Target="https://doi.org/10.1108/JPBAFM-25-01-2013-B004" TargetMode="External"/><Relationship Id="rId5" Type="http://schemas.openxmlformats.org/officeDocument/2006/relationships/hyperlink" Target="https://www.pc.gov.au/inquiries/completed/charity" TargetMode="External"/><Relationship Id="rId15" Type="http://schemas.openxmlformats.org/officeDocument/2006/relationships/hyperlink" Target="https://doi.org/10.1111/j.1467-8500.2005.00453.x" TargetMode="External"/><Relationship Id="rId10" Type="http://schemas.openxmlformats.org/officeDocument/2006/relationships/hyperlink" Target="http://eprints.qut.edu.au/4555/" TargetMode="External"/><Relationship Id="rId19" Type="http://schemas.openxmlformats.org/officeDocument/2006/relationships/hyperlink" Target="https://doi.org/10.1098/rstb.2020.0290" TargetMode="External"/><Relationship Id="rId4" Type="http://schemas.openxmlformats.org/officeDocument/2006/relationships/hyperlink" Target="file:///C:\Users\ted.flack\Desktop\tinyurl.com\2fg8hxwa" TargetMode="External"/><Relationship Id="rId9" Type="http://schemas.openxmlformats.org/officeDocument/2006/relationships/hyperlink" Target="https://doi.org/10.1016/j.jaccpubpol.2018.07.004" TargetMode="External"/><Relationship Id="rId14" Type="http://schemas.openxmlformats.org/officeDocument/2006/relationships/hyperlink" Target="https://doi.org/10.1177/08997640221138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6A89-92AC-4B8E-8566-F34C5190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Submission 19 - Edmund Flack - Philanthropy - Public inquiry</vt:lpstr>
    </vt:vector>
  </TitlesOfParts>
  <Company>Edmund Flack</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Edmund Flack - Philanthropy - Public inquiry</dc:title>
  <dc:subject/>
  <dc:creator>Edmund Flack</dc:creator>
  <cp:keywords/>
  <dc:description/>
  <cp:lastModifiedBy>Chris Alston</cp:lastModifiedBy>
  <cp:revision>5</cp:revision>
  <cp:lastPrinted>2023-04-12T03:01:00Z</cp:lastPrinted>
  <dcterms:created xsi:type="dcterms:W3CDTF">2023-04-05T23:29:00Z</dcterms:created>
  <dcterms:modified xsi:type="dcterms:W3CDTF">2023-04-12T03:01:00Z</dcterms:modified>
</cp:coreProperties>
</file>