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2C06" w14:textId="4510995E" w:rsidR="005F06F3" w:rsidRDefault="005F06F3" w:rsidP="004A6053">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To Whom It May Concern,</w:t>
      </w:r>
    </w:p>
    <w:p w14:paraId="7825B4F7" w14:textId="77777777" w:rsidR="005F06F3" w:rsidRDefault="005F06F3" w:rsidP="004A6053">
      <w:pPr>
        <w:spacing w:after="0" w:line="240" w:lineRule="auto"/>
        <w:rPr>
          <w:rFonts w:ascii="Arial" w:eastAsia="Times New Roman" w:hAnsi="Arial" w:cs="Arial"/>
          <w:color w:val="000000"/>
          <w:kern w:val="0"/>
          <w:lang w:eastAsia="en-GB"/>
          <w14:ligatures w14:val="none"/>
        </w:rPr>
      </w:pPr>
    </w:p>
    <w:p w14:paraId="78F05E2A" w14:textId="66E19BDF"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r w:rsidRPr="004A6053">
        <w:rPr>
          <w:rFonts w:ascii="Arial" w:eastAsia="Times New Roman" w:hAnsi="Arial" w:cs="Arial"/>
          <w:color w:val="000000"/>
          <w:kern w:val="0"/>
          <w:lang w:eastAsia="en-GB"/>
          <w14:ligatures w14:val="none"/>
        </w:rPr>
        <w:t xml:space="preserve">Communities built on philanthropy are bedrocks of social cohesion. Historically, institutions such as </w:t>
      </w:r>
      <w:proofErr w:type="spellStart"/>
      <w:r w:rsidRPr="004A6053">
        <w:rPr>
          <w:rFonts w:ascii="Arial" w:eastAsia="Times New Roman" w:hAnsi="Arial" w:cs="Arial"/>
          <w:color w:val="000000"/>
          <w:kern w:val="0"/>
          <w:lang w:eastAsia="en-GB"/>
          <w14:ligatures w14:val="none"/>
        </w:rPr>
        <w:t>RSLs</w:t>
      </w:r>
      <w:proofErr w:type="spellEnd"/>
      <w:r w:rsidRPr="004A6053">
        <w:rPr>
          <w:rFonts w:ascii="Arial" w:eastAsia="Times New Roman" w:hAnsi="Arial" w:cs="Arial"/>
          <w:color w:val="000000"/>
          <w:kern w:val="0"/>
          <w:lang w:eastAsia="en-GB"/>
          <w14:ligatures w14:val="none"/>
        </w:rPr>
        <w:t xml:space="preserve"> and Rotary Clubs were centres of community identity. They provided an outlet for generosity, a space for altruistic activity, and a place where people feel like they belonged. </w:t>
      </w:r>
    </w:p>
    <w:p w14:paraId="3859713C"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p>
    <w:p w14:paraId="5A59EDED"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r w:rsidRPr="004A6053">
        <w:rPr>
          <w:rFonts w:ascii="Arial" w:eastAsia="Times New Roman" w:hAnsi="Arial" w:cs="Arial"/>
          <w:color w:val="000000"/>
          <w:kern w:val="0"/>
          <w:lang w:eastAsia="en-GB"/>
          <w14:ligatures w14:val="none"/>
        </w:rPr>
        <w:t>Young Australia is much less engaged with these groups. Their place in our cultural identity has slipped significantly, and unless charity incentive structures are updated to align with what motivates younger Australians, we risk losing these kinds of institutions and the community value they create. </w:t>
      </w:r>
    </w:p>
    <w:p w14:paraId="470982DA"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p>
    <w:p w14:paraId="52EDB24C"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r w:rsidRPr="004A6053">
        <w:rPr>
          <w:rFonts w:ascii="Arial" w:eastAsia="Times New Roman" w:hAnsi="Arial" w:cs="Arial"/>
          <w:color w:val="000000"/>
          <w:kern w:val="0"/>
          <w:lang w:eastAsia="en-GB"/>
          <w14:ligatures w14:val="none"/>
        </w:rPr>
        <w:t>This is not to say that philanthropy no longer plays a role in modern Australia's community structure. It just comes in a different form.  A key example of these new networks are effective altruism groups, which are now at the helm of the philanthropic community amongst young Australians, with representation in major universities and cities. Effective altruism is not alone in being connected to these demographics, “One for the World” groups are similar. While tax-deductible donations can be made to Rotary, they can’t be made to their modern equivalents.</w:t>
      </w:r>
    </w:p>
    <w:p w14:paraId="03DDE3EE"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p>
    <w:p w14:paraId="727DDE86"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r w:rsidRPr="004A6053">
        <w:rPr>
          <w:rFonts w:ascii="Arial" w:eastAsia="Times New Roman" w:hAnsi="Arial" w:cs="Arial"/>
          <w:color w:val="000000"/>
          <w:kern w:val="0"/>
          <w:lang w:eastAsia="en-GB"/>
          <w14:ligatures w14:val="none"/>
        </w:rPr>
        <w:t>Crucial for understanding the changing shape of the altruistic community is their shifting causes of interest. Rather than an internal or local focus, these groups consider global impacts and are concerned with long-term and catastrophic risk prevention. They also challenge the restrictive moral circles which governed historic philanthropic communities, by focusing on causes like animal welfare, the environment, and preventing human extinction. </w:t>
      </w:r>
    </w:p>
    <w:p w14:paraId="61CEBC4E"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p>
    <w:p w14:paraId="531ADF77" w14:textId="77777777" w:rsidR="004A6053" w:rsidRPr="004A6053" w:rsidRDefault="004A6053" w:rsidP="004A6053">
      <w:pPr>
        <w:spacing w:after="0" w:line="240" w:lineRule="auto"/>
        <w:rPr>
          <w:rFonts w:ascii="Times New Roman" w:eastAsia="Times New Roman" w:hAnsi="Times New Roman" w:cs="Times New Roman"/>
          <w:kern w:val="0"/>
          <w:sz w:val="24"/>
          <w:szCs w:val="24"/>
          <w:lang w:eastAsia="en-GB"/>
          <w14:ligatures w14:val="none"/>
        </w:rPr>
      </w:pPr>
      <w:r w:rsidRPr="004A6053">
        <w:rPr>
          <w:rFonts w:ascii="Arial" w:eastAsia="Times New Roman" w:hAnsi="Arial" w:cs="Arial"/>
          <w:color w:val="000000"/>
          <w:kern w:val="0"/>
          <w:lang w:eastAsia="en-GB"/>
          <w14:ligatures w14:val="none"/>
        </w:rPr>
        <w:t>We need reforms that seize on these trends and make sure the effective altruism clubs of today can become the Rotary clubs of the future. Strengthening community in this way requires reforming philanthropy to align with the interests and values of younger Australians. Recognising these shifting priorities is the key to both increased charitable donations and increased social cohesion.</w:t>
      </w:r>
    </w:p>
    <w:p w14:paraId="483B881F" w14:textId="77777777" w:rsidR="00E12C3D" w:rsidRDefault="00E12C3D"/>
    <w:p w14:paraId="0EC5B9FB" w14:textId="34D6B3C9" w:rsidR="00286B32" w:rsidRPr="00286B32" w:rsidRDefault="00286B32" w:rsidP="00286B32">
      <w:pPr>
        <w:spacing w:after="0" w:line="240" w:lineRule="auto"/>
        <w:rPr>
          <w:rFonts w:ascii="Times New Roman" w:eastAsia="Times New Roman" w:hAnsi="Times New Roman" w:cs="Times New Roman"/>
          <w:kern w:val="0"/>
          <w:sz w:val="24"/>
          <w:szCs w:val="24"/>
          <w:lang w:eastAsia="en-GB"/>
          <w14:ligatures w14:val="none"/>
        </w:rPr>
      </w:pPr>
      <w:r w:rsidRPr="00286B32">
        <w:rPr>
          <w:rFonts w:ascii="Arial" w:eastAsia="Times New Roman" w:hAnsi="Arial" w:cs="Arial"/>
          <w:color w:val="000000"/>
          <w:kern w:val="0"/>
          <w:lang w:eastAsia="en-GB"/>
          <w14:ligatures w14:val="none"/>
        </w:rPr>
        <w:t>In this Submission I raise</w:t>
      </w:r>
      <w:r w:rsidR="008E7713">
        <w:rPr>
          <w:rFonts w:ascii="Arial" w:eastAsia="Times New Roman" w:hAnsi="Arial" w:cs="Arial"/>
          <w:color w:val="000000"/>
          <w:kern w:val="0"/>
          <w:lang w:eastAsia="en-GB"/>
          <w14:ligatures w14:val="none"/>
        </w:rPr>
        <w:t xml:space="preserve"> three</w:t>
      </w:r>
      <w:r w:rsidRPr="00286B32">
        <w:rPr>
          <w:rFonts w:ascii="Arial" w:eastAsia="Times New Roman" w:hAnsi="Arial" w:cs="Arial"/>
          <w:color w:val="000000"/>
          <w:kern w:val="0"/>
          <w:lang w:eastAsia="en-GB"/>
          <w14:ligatures w14:val="none"/>
        </w:rPr>
        <w:t xml:space="preserve"> issues:</w:t>
      </w:r>
      <w:r w:rsidRPr="00286B32">
        <w:rPr>
          <w:rFonts w:ascii="Times New Roman" w:eastAsia="Times New Roman" w:hAnsi="Times New Roman" w:cs="Times New Roman"/>
          <w:kern w:val="0"/>
          <w:sz w:val="24"/>
          <w:szCs w:val="24"/>
          <w:lang w:eastAsia="en-GB"/>
          <w14:ligatures w14:val="none"/>
        </w:rPr>
        <w:br/>
      </w:r>
    </w:p>
    <w:p w14:paraId="527C8A9B" w14:textId="77777777" w:rsidR="00286B32" w:rsidRPr="00286B32" w:rsidRDefault="00286B32" w:rsidP="00286B32">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286B32">
        <w:rPr>
          <w:rFonts w:ascii="Arial" w:eastAsia="Times New Roman" w:hAnsi="Arial" w:cs="Arial"/>
          <w:color w:val="000000"/>
          <w:kern w:val="0"/>
          <w:lang w:eastAsia="en-GB"/>
          <w14:ligatures w14:val="none"/>
        </w:rPr>
        <w:t xml:space="preserve">The availability of </w:t>
      </w:r>
      <w:proofErr w:type="spellStart"/>
      <w:r w:rsidRPr="00286B32">
        <w:rPr>
          <w:rFonts w:ascii="Arial" w:eastAsia="Times New Roman" w:hAnsi="Arial" w:cs="Arial"/>
          <w:color w:val="000000"/>
          <w:kern w:val="0"/>
          <w:lang w:eastAsia="en-GB"/>
          <w14:ligatures w14:val="none"/>
        </w:rPr>
        <w:t>DGR</w:t>
      </w:r>
      <w:proofErr w:type="spellEnd"/>
      <w:r w:rsidRPr="00286B32">
        <w:rPr>
          <w:rFonts w:ascii="Arial" w:eastAsia="Times New Roman" w:hAnsi="Arial" w:cs="Arial"/>
          <w:color w:val="000000"/>
          <w:kern w:val="0"/>
          <w:lang w:eastAsia="en-GB"/>
          <w14:ligatures w14:val="none"/>
        </w:rPr>
        <w:t xml:space="preserve"> status for high impact cause areas (Terms of reference </w:t>
      </w:r>
      <w:proofErr w:type="spellStart"/>
      <w:r w:rsidRPr="00286B32">
        <w:rPr>
          <w:rFonts w:ascii="Arial" w:eastAsia="Times New Roman" w:hAnsi="Arial" w:cs="Arial"/>
          <w:color w:val="000000"/>
          <w:kern w:val="0"/>
          <w:lang w:eastAsia="en-GB"/>
          <w14:ligatures w14:val="none"/>
        </w:rPr>
        <w:t>2.ii</w:t>
      </w:r>
      <w:proofErr w:type="spellEnd"/>
      <w:r w:rsidRPr="00286B32">
        <w:rPr>
          <w:rFonts w:ascii="Arial" w:eastAsia="Times New Roman" w:hAnsi="Arial" w:cs="Arial"/>
          <w:color w:val="000000"/>
          <w:kern w:val="0"/>
          <w:lang w:eastAsia="en-GB"/>
          <w14:ligatures w14:val="none"/>
        </w:rPr>
        <w:t xml:space="preserve">, </w:t>
      </w:r>
      <w:proofErr w:type="spellStart"/>
      <w:r w:rsidRPr="00286B32">
        <w:rPr>
          <w:rFonts w:ascii="Arial" w:eastAsia="Times New Roman" w:hAnsi="Arial" w:cs="Arial"/>
          <w:color w:val="000000"/>
          <w:kern w:val="0"/>
          <w:lang w:eastAsia="en-GB"/>
          <w14:ligatures w14:val="none"/>
        </w:rPr>
        <w:t>3.ii</w:t>
      </w:r>
      <w:proofErr w:type="spellEnd"/>
      <w:r w:rsidRPr="00286B32">
        <w:rPr>
          <w:rFonts w:ascii="Arial" w:eastAsia="Times New Roman" w:hAnsi="Arial" w:cs="Arial"/>
          <w:color w:val="000000"/>
          <w:kern w:val="0"/>
          <w:lang w:eastAsia="en-GB"/>
          <w14:ligatures w14:val="none"/>
        </w:rPr>
        <w:t>, 5, 6)</w:t>
      </w:r>
    </w:p>
    <w:p w14:paraId="0EDE2D89" w14:textId="77777777" w:rsidR="00286B32" w:rsidRPr="00286B32" w:rsidRDefault="00286B32" w:rsidP="00286B32">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286B32">
        <w:rPr>
          <w:rFonts w:ascii="Arial" w:eastAsia="Times New Roman" w:hAnsi="Arial" w:cs="Arial"/>
          <w:color w:val="000000"/>
          <w:kern w:val="0"/>
          <w:lang w:eastAsia="en-GB"/>
          <w14:ligatures w14:val="none"/>
        </w:rPr>
        <w:t>Removing arbitrary restrictions on Public Benevolent Institutions so they can better work across causes and support community groups (Terms of reference</w:t>
      </w:r>
      <w:r w:rsidRPr="00286B32">
        <w:rPr>
          <w:rFonts w:ascii="Arial" w:eastAsia="Times New Roman" w:hAnsi="Arial" w:cs="Arial"/>
          <w:i/>
          <w:iCs/>
          <w:color w:val="000000"/>
          <w:kern w:val="0"/>
          <w:lang w:eastAsia="en-GB"/>
          <w14:ligatures w14:val="none"/>
        </w:rPr>
        <w:t xml:space="preserve"> </w:t>
      </w:r>
      <w:proofErr w:type="spellStart"/>
      <w:r w:rsidRPr="00286B32">
        <w:rPr>
          <w:rFonts w:ascii="Arial" w:eastAsia="Times New Roman" w:hAnsi="Arial" w:cs="Arial"/>
          <w:color w:val="000000"/>
          <w:kern w:val="0"/>
          <w:lang w:eastAsia="en-GB"/>
          <w14:ligatures w14:val="none"/>
        </w:rPr>
        <w:t>2.iii</w:t>
      </w:r>
      <w:proofErr w:type="spellEnd"/>
      <w:r w:rsidRPr="00286B32">
        <w:rPr>
          <w:rFonts w:ascii="Arial" w:eastAsia="Times New Roman" w:hAnsi="Arial" w:cs="Arial"/>
          <w:color w:val="000000"/>
          <w:kern w:val="0"/>
          <w:lang w:eastAsia="en-GB"/>
          <w14:ligatures w14:val="none"/>
        </w:rPr>
        <w:t xml:space="preserve">, </w:t>
      </w:r>
      <w:proofErr w:type="spellStart"/>
      <w:r w:rsidRPr="00286B32">
        <w:rPr>
          <w:rFonts w:ascii="Arial" w:eastAsia="Times New Roman" w:hAnsi="Arial" w:cs="Arial"/>
          <w:color w:val="000000"/>
          <w:kern w:val="0"/>
          <w:lang w:eastAsia="en-GB"/>
          <w14:ligatures w14:val="none"/>
        </w:rPr>
        <w:t>3.i</w:t>
      </w:r>
      <w:proofErr w:type="spellEnd"/>
      <w:r w:rsidRPr="00286B32">
        <w:rPr>
          <w:rFonts w:ascii="Arial" w:eastAsia="Times New Roman" w:hAnsi="Arial" w:cs="Arial"/>
          <w:color w:val="000000"/>
          <w:kern w:val="0"/>
          <w:lang w:eastAsia="en-GB"/>
          <w14:ligatures w14:val="none"/>
        </w:rPr>
        <w:t>)</w:t>
      </w:r>
    </w:p>
    <w:p w14:paraId="1148BF28" w14:textId="6140EE13" w:rsidR="00286B32" w:rsidRDefault="00286B32" w:rsidP="00FD1230">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286B32">
        <w:rPr>
          <w:rFonts w:ascii="Arial" w:eastAsia="Times New Roman" w:hAnsi="Arial" w:cs="Arial"/>
          <w:color w:val="000000"/>
          <w:kern w:val="0"/>
          <w:lang w:eastAsia="en-GB"/>
          <w14:ligatures w14:val="none"/>
        </w:rPr>
        <w:t>The potential good that could be achieved by Australian based charity evaluation (Terms of reference</w:t>
      </w:r>
      <w:r w:rsidRPr="00286B32">
        <w:rPr>
          <w:rFonts w:ascii="Arial" w:eastAsia="Times New Roman" w:hAnsi="Arial" w:cs="Arial"/>
          <w:i/>
          <w:iCs/>
          <w:color w:val="000000"/>
          <w:kern w:val="0"/>
          <w:lang w:eastAsia="en-GB"/>
          <w14:ligatures w14:val="none"/>
        </w:rPr>
        <w:t xml:space="preserve"> </w:t>
      </w:r>
      <w:proofErr w:type="spellStart"/>
      <w:r w:rsidRPr="00286B32">
        <w:rPr>
          <w:rFonts w:ascii="Arial" w:eastAsia="Times New Roman" w:hAnsi="Arial" w:cs="Arial"/>
          <w:color w:val="000000"/>
          <w:kern w:val="0"/>
          <w:lang w:eastAsia="en-GB"/>
          <w14:ligatures w14:val="none"/>
        </w:rPr>
        <w:t>3.ii</w:t>
      </w:r>
      <w:proofErr w:type="spellEnd"/>
      <w:r w:rsidRPr="00286B32">
        <w:rPr>
          <w:rFonts w:ascii="Arial" w:eastAsia="Times New Roman" w:hAnsi="Arial" w:cs="Arial"/>
          <w:color w:val="000000"/>
          <w:kern w:val="0"/>
          <w:lang w:eastAsia="en-GB"/>
          <w14:ligatures w14:val="none"/>
        </w:rPr>
        <w:t xml:space="preserve">, </w:t>
      </w:r>
      <w:proofErr w:type="spellStart"/>
      <w:r w:rsidRPr="00286B32">
        <w:rPr>
          <w:rFonts w:ascii="Arial" w:eastAsia="Times New Roman" w:hAnsi="Arial" w:cs="Arial"/>
          <w:color w:val="000000"/>
          <w:kern w:val="0"/>
          <w:lang w:eastAsia="en-GB"/>
          <w14:ligatures w14:val="none"/>
        </w:rPr>
        <w:t>6.iii</w:t>
      </w:r>
      <w:proofErr w:type="spellEnd"/>
      <w:r w:rsidRPr="00286B32">
        <w:rPr>
          <w:rFonts w:ascii="Arial" w:eastAsia="Times New Roman" w:hAnsi="Arial" w:cs="Arial"/>
          <w:color w:val="000000"/>
          <w:kern w:val="0"/>
          <w:lang w:eastAsia="en-GB"/>
          <w14:ligatures w14:val="none"/>
        </w:rPr>
        <w:t>)</w:t>
      </w:r>
    </w:p>
    <w:p w14:paraId="262442B8" w14:textId="77777777" w:rsidR="00FD1230" w:rsidRPr="00FD1230" w:rsidRDefault="00FD1230" w:rsidP="00FD1230">
      <w:pPr>
        <w:spacing w:after="0" w:line="240" w:lineRule="auto"/>
        <w:textAlignment w:val="baseline"/>
        <w:rPr>
          <w:rFonts w:ascii="Arial" w:eastAsia="Times New Roman" w:hAnsi="Arial" w:cs="Arial"/>
          <w:color w:val="000000"/>
          <w:kern w:val="0"/>
          <w:lang w:eastAsia="en-GB"/>
          <w14:ligatures w14:val="none"/>
        </w:rPr>
      </w:pPr>
    </w:p>
    <w:p w14:paraId="3DCB5531" w14:textId="77777777" w:rsidR="005D1E56" w:rsidRDefault="005D1E56" w:rsidP="005D1E56">
      <w:pPr>
        <w:pStyle w:val="NormalWeb"/>
        <w:spacing w:before="0" w:beforeAutospacing="0" w:after="0" w:afterAutospacing="0"/>
      </w:pPr>
      <w:r>
        <w:rPr>
          <w:rFonts w:ascii="Arial" w:hAnsi="Arial" w:cs="Arial"/>
          <w:color w:val="000000"/>
          <w:sz w:val="22"/>
          <w:szCs w:val="22"/>
        </w:rPr>
        <w:t>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 </w:t>
      </w:r>
    </w:p>
    <w:p w14:paraId="6028D49B" w14:textId="77777777" w:rsidR="005D1E56" w:rsidRDefault="005D1E56"/>
    <w:p w14:paraId="258B9E52"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r w:rsidRPr="000548E1">
        <w:rPr>
          <w:rFonts w:ascii="Arial" w:eastAsia="Times New Roman" w:hAnsi="Arial" w:cs="Arial"/>
          <w:b/>
          <w:bCs/>
          <w:color w:val="000000"/>
          <w:kern w:val="0"/>
          <w:lang w:eastAsia="en-GB"/>
          <w14:ligatures w14:val="none"/>
        </w:rPr>
        <w:t xml:space="preserve">Animal welfare and global catastrophic risk reduction should be </w:t>
      </w:r>
      <w:proofErr w:type="spellStart"/>
      <w:r w:rsidRPr="000548E1">
        <w:rPr>
          <w:rFonts w:ascii="Arial" w:eastAsia="Times New Roman" w:hAnsi="Arial" w:cs="Arial"/>
          <w:b/>
          <w:bCs/>
          <w:color w:val="000000"/>
          <w:kern w:val="0"/>
          <w:lang w:eastAsia="en-GB"/>
          <w14:ligatures w14:val="none"/>
        </w:rPr>
        <w:t>DGR</w:t>
      </w:r>
      <w:proofErr w:type="spellEnd"/>
      <w:r w:rsidRPr="000548E1">
        <w:rPr>
          <w:rFonts w:ascii="Arial" w:eastAsia="Times New Roman" w:hAnsi="Arial" w:cs="Arial"/>
          <w:b/>
          <w:bCs/>
          <w:color w:val="000000"/>
          <w:kern w:val="0"/>
          <w:lang w:eastAsia="en-GB"/>
          <w14:ligatures w14:val="none"/>
        </w:rPr>
        <w:t xml:space="preserve"> classes (Information request 4)</w:t>
      </w:r>
    </w:p>
    <w:p w14:paraId="784566DC"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p>
    <w:p w14:paraId="1987F32C"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r w:rsidRPr="000548E1">
        <w:rPr>
          <w:rFonts w:ascii="Arial" w:eastAsia="Times New Roman" w:hAnsi="Arial" w:cs="Arial"/>
          <w:color w:val="000000"/>
          <w:kern w:val="0"/>
          <w:lang w:eastAsia="en-GB"/>
          <w14:ligatures w14:val="none"/>
        </w:rPr>
        <w:t xml:space="preserve">As I see it, the most important issue is that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needs to be broadened to include things that young people today care about – specifically reducing global catastrophic risks and supporting the well-being of animals. </w:t>
      </w:r>
    </w:p>
    <w:p w14:paraId="0F888C2B"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p>
    <w:p w14:paraId="04761568"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r w:rsidRPr="000548E1">
        <w:rPr>
          <w:rFonts w:ascii="Arial" w:eastAsia="Times New Roman" w:hAnsi="Arial" w:cs="Arial"/>
          <w:color w:val="000000"/>
          <w:kern w:val="0"/>
          <w:lang w:eastAsia="en-GB"/>
          <w14:ligatures w14:val="none"/>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w:t>
      </w:r>
      <w:proofErr w:type="spellStart"/>
      <w:r w:rsidRPr="000548E1">
        <w:rPr>
          <w:rFonts w:ascii="Arial" w:eastAsia="Times New Roman" w:hAnsi="Arial" w:cs="Arial"/>
          <w:color w:val="000000"/>
          <w:kern w:val="0"/>
          <w:lang w:eastAsia="en-GB"/>
          <w14:ligatures w14:val="none"/>
        </w:rPr>
        <w:t>the</w:t>
      </w:r>
      <w:proofErr w:type="spellEnd"/>
      <w:r w:rsidRPr="000548E1">
        <w:rPr>
          <w:rFonts w:ascii="Arial" w:eastAsia="Times New Roman" w:hAnsi="Arial" w:cs="Arial"/>
          <w:color w:val="000000"/>
          <w:kern w:val="0"/>
          <w:lang w:eastAsia="en-GB"/>
          <w14:ligatures w14:val="none"/>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regulation hasn’t kept up.</w:t>
      </w:r>
    </w:p>
    <w:p w14:paraId="411FEAB5"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p>
    <w:p w14:paraId="007BF6E0"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r w:rsidRPr="000548E1">
        <w:rPr>
          <w:rFonts w:ascii="Arial" w:eastAsia="Times New Roman" w:hAnsi="Arial" w:cs="Arial"/>
          <w:color w:val="000000"/>
          <w:kern w:val="0"/>
          <w:lang w:eastAsia="en-GB"/>
          <w14:ligatures w14:val="none"/>
        </w:rPr>
        <w:t xml:space="preserve">In the same way, my peers and I care deeply about the welfare of animals. While the animal charities I support can be “charities” under the </w:t>
      </w:r>
      <w:r w:rsidRPr="000548E1">
        <w:rPr>
          <w:rFonts w:ascii="Arial" w:eastAsia="Times New Roman" w:hAnsi="Arial" w:cs="Arial"/>
          <w:i/>
          <w:iCs/>
          <w:color w:val="000000"/>
          <w:kern w:val="0"/>
          <w:lang w:eastAsia="en-GB"/>
          <w14:ligatures w14:val="none"/>
        </w:rPr>
        <w:t>Charities Act</w:t>
      </w:r>
      <w:r w:rsidRPr="000548E1">
        <w:rPr>
          <w:rFonts w:ascii="Arial" w:eastAsia="Times New Roman" w:hAnsi="Arial" w:cs="Arial"/>
          <w:color w:val="000000"/>
          <w:kern w:val="0"/>
          <w:lang w:eastAsia="en-GB"/>
          <w14:ligatures w14:val="none"/>
        </w:rPr>
        <w:t xml:space="preserve">, they can’t get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under the </w:t>
      </w:r>
      <w:r w:rsidRPr="000548E1">
        <w:rPr>
          <w:rFonts w:ascii="Arial" w:eastAsia="Times New Roman" w:hAnsi="Arial" w:cs="Arial"/>
          <w:i/>
          <w:iCs/>
          <w:color w:val="000000"/>
          <w:kern w:val="0"/>
          <w:lang w:eastAsia="en-GB"/>
          <w14:ligatures w14:val="none"/>
        </w:rPr>
        <w:t>Tax Act</w:t>
      </w:r>
      <w:r w:rsidRPr="000548E1">
        <w:rPr>
          <w:rFonts w:ascii="Arial" w:eastAsia="Times New Roman" w:hAnsi="Arial" w:cs="Arial"/>
          <w:color w:val="000000"/>
          <w:kern w:val="0"/>
          <w:lang w:eastAsia="en-GB"/>
          <w14:ligatures w14:val="none"/>
        </w:rPr>
        <w:t xml:space="preserve">. I </w:t>
      </w:r>
      <w:r w:rsidRPr="000548E1">
        <w:rPr>
          <w:rFonts w:ascii="Arial" w:eastAsia="Times New Roman" w:hAnsi="Arial" w:cs="Arial"/>
          <w:color w:val="000000"/>
          <w:kern w:val="0"/>
          <w:lang w:eastAsia="en-GB"/>
          <w14:ligatures w14:val="none"/>
        </w:rPr>
        <w:lastRenderedPageBreak/>
        <w:t xml:space="preserve">understand that this is because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is limited to things like the short-term direct care and rehabilitation of lost or mistreated animals. While any animal suffering is a tragedy, it’s obvious to me that it would be far more effective to give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to charities that are seeking to prevent animals from needing this kind of direct care in the first place. Everyone knows prevention is better than cure, so why should the law incentivise treatment over prevention? </w:t>
      </w:r>
    </w:p>
    <w:p w14:paraId="2EBAB00A"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p>
    <w:p w14:paraId="4B00401B" w14:textId="77777777" w:rsidR="000548E1" w:rsidRPr="000548E1" w:rsidRDefault="000548E1" w:rsidP="000548E1">
      <w:pPr>
        <w:spacing w:after="0" w:line="240" w:lineRule="auto"/>
        <w:rPr>
          <w:rFonts w:ascii="Times New Roman" w:eastAsia="Times New Roman" w:hAnsi="Times New Roman" w:cs="Times New Roman"/>
          <w:kern w:val="0"/>
          <w:sz w:val="24"/>
          <w:szCs w:val="24"/>
          <w:lang w:eastAsia="en-GB"/>
          <w14:ligatures w14:val="none"/>
        </w:rPr>
      </w:pPr>
      <w:r w:rsidRPr="000548E1">
        <w:rPr>
          <w:rFonts w:ascii="Arial" w:eastAsia="Times New Roman" w:hAnsi="Arial" w:cs="Arial"/>
          <w:color w:val="000000"/>
          <w:kern w:val="0"/>
          <w:lang w:eastAsia="en-GB"/>
          <w14:ligatures w14:val="none"/>
        </w:rPr>
        <w:t xml:space="preserve">I really think the exclusion of these two cause areas from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hurts our ability to do good. These causes are recognised by sophisticated charity evaluators as being high-impact and allowed to accept tax-deductible donations internationally, but excluded here in Australia. If Government wants to increase donations to charities and increase the ability of charities to build social connections, it needs to give </w:t>
      </w:r>
      <w:proofErr w:type="spellStart"/>
      <w:r w:rsidRPr="000548E1">
        <w:rPr>
          <w:rFonts w:ascii="Arial" w:eastAsia="Times New Roman" w:hAnsi="Arial" w:cs="Arial"/>
          <w:color w:val="000000"/>
          <w:kern w:val="0"/>
          <w:lang w:eastAsia="en-GB"/>
          <w14:ligatures w14:val="none"/>
        </w:rPr>
        <w:t>DGR</w:t>
      </w:r>
      <w:proofErr w:type="spellEnd"/>
      <w:r w:rsidRPr="000548E1">
        <w:rPr>
          <w:rFonts w:ascii="Arial" w:eastAsia="Times New Roman" w:hAnsi="Arial" w:cs="Arial"/>
          <w:color w:val="000000"/>
          <w:kern w:val="0"/>
          <w:lang w:eastAsia="en-GB"/>
          <w14:ligatures w14:val="none"/>
        </w:rPr>
        <w:t xml:space="preserve"> status to these high-impact cause areas that today's Australians are so passionate about. </w:t>
      </w:r>
    </w:p>
    <w:p w14:paraId="35D14FB8" w14:textId="77777777" w:rsidR="007E0F23" w:rsidRDefault="007E0F23"/>
    <w:p w14:paraId="3C0DC886"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proofErr w:type="spellStart"/>
      <w:r w:rsidRPr="000636AF">
        <w:rPr>
          <w:rFonts w:ascii="Arial" w:eastAsia="Times New Roman" w:hAnsi="Arial" w:cs="Arial"/>
          <w:b/>
          <w:bCs/>
          <w:color w:val="000000"/>
          <w:kern w:val="0"/>
          <w:lang w:eastAsia="en-GB"/>
          <w14:ligatures w14:val="none"/>
        </w:rPr>
        <w:t>PBI</w:t>
      </w:r>
      <w:proofErr w:type="spellEnd"/>
      <w:r w:rsidRPr="000636AF">
        <w:rPr>
          <w:rFonts w:ascii="Arial" w:eastAsia="Times New Roman" w:hAnsi="Arial" w:cs="Arial"/>
          <w:b/>
          <w:bCs/>
          <w:color w:val="000000"/>
          <w:kern w:val="0"/>
          <w:lang w:eastAsia="en-GB"/>
          <w14:ligatures w14:val="none"/>
        </w:rPr>
        <w:t xml:space="preserve"> rules should not hamper community building (Information request 6)</w:t>
      </w:r>
    </w:p>
    <w:p w14:paraId="77D29970"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p>
    <w:p w14:paraId="655558F1"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r w:rsidRPr="000636AF">
        <w:rPr>
          <w:rFonts w:ascii="Arial" w:eastAsia="Times New Roman" w:hAnsi="Arial" w:cs="Arial"/>
          <w:color w:val="000000"/>
          <w:kern w:val="0"/>
          <w:lang w:eastAsia="en-GB"/>
          <w14:ligatures w14:val="none"/>
        </w:rPr>
        <w:t xml:space="preserve">I support Effective Altruism Australia and the work they’re doing to help effective altruism groups in universities and major cities. These EA groups are getting people excited about doing good, helping them think about impactful donations, running reading groups, and giving advice about impactful careers. But Effective Altruism Australia’s status as a “Public Benevolent Institution” limits the work of its community builders to align with </w:t>
      </w:r>
      <w:proofErr w:type="spellStart"/>
      <w:r w:rsidRPr="000636AF">
        <w:rPr>
          <w:rFonts w:ascii="Arial" w:eastAsia="Times New Roman" w:hAnsi="Arial" w:cs="Arial"/>
          <w:color w:val="000000"/>
          <w:kern w:val="0"/>
          <w:lang w:eastAsia="en-GB"/>
          <w14:ligatures w14:val="none"/>
        </w:rPr>
        <w:t>EAA’s</w:t>
      </w:r>
      <w:proofErr w:type="spellEnd"/>
      <w:r w:rsidRPr="000636AF">
        <w:rPr>
          <w:rFonts w:ascii="Arial" w:eastAsia="Times New Roman" w:hAnsi="Arial" w:cs="Arial"/>
          <w:color w:val="000000"/>
          <w:kern w:val="0"/>
          <w:lang w:eastAsia="en-GB"/>
          <w14:ligatures w14:val="none"/>
        </w:rPr>
        <w:t xml:space="preserve"> work on global health and poverty and “incidental” topics.</w:t>
      </w:r>
    </w:p>
    <w:p w14:paraId="16420E1D"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p>
    <w:p w14:paraId="7F242BF9"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r w:rsidRPr="000636AF">
        <w:rPr>
          <w:rFonts w:ascii="Arial" w:eastAsia="Times New Roman" w:hAnsi="Arial" w:cs="Arial"/>
          <w:color w:val="000000"/>
          <w:kern w:val="0"/>
          <w:lang w:eastAsia="en-GB"/>
          <w14:ligatures w14:val="none"/>
        </w:rPr>
        <w:t xml:space="preserve">For instance, </w:t>
      </w:r>
      <w:proofErr w:type="spellStart"/>
      <w:r w:rsidRPr="000636AF">
        <w:rPr>
          <w:rFonts w:ascii="Arial" w:eastAsia="Times New Roman" w:hAnsi="Arial" w:cs="Arial"/>
          <w:color w:val="000000"/>
          <w:kern w:val="0"/>
          <w:lang w:eastAsia="en-GB"/>
          <w14:ligatures w14:val="none"/>
        </w:rPr>
        <w:t>EAA</w:t>
      </w:r>
      <w:proofErr w:type="spellEnd"/>
      <w:r w:rsidRPr="000636AF">
        <w:rPr>
          <w:rFonts w:ascii="Arial" w:eastAsia="Times New Roman" w:hAnsi="Arial" w:cs="Arial"/>
          <w:color w:val="000000"/>
          <w:kern w:val="0"/>
          <w:lang w:eastAsia="en-GB"/>
          <w14:ligatures w14:val="none"/>
        </w:rPr>
        <w:t xml:space="preserve"> community builders probably can’t facilitate a reading group on animal wellbeing because the wellbeing of animals isn’t “incidental or ancillary” to global poverty. I find it hard to understand why the law would stop the peak body of effective altruism in Australia from properly supporting effective altruism clubs in universities. I understand that a charity shouldn’t just be able to do anything, because that would open up the system to abuse, but supporting university clubs and city groups with the same philosophy and philanthropic goals is well within the normal operation of philanthropy. Given the Terms of Reference are framed around building social connection, it would seem a simple change for a big improvement to recommend to Government to remove narrow, </w:t>
      </w:r>
      <w:proofErr w:type="spellStart"/>
      <w:r w:rsidRPr="000636AF">
        <w:rPr>
          <w:rFonts w:ascii="Arial" w:eastAsia="Times New Roman" w:hAnsi="Arial" w:cs="Arial"/>
          <w:color w:val="000000"/>
          <w:kern w:val="0"/>
          <w:lang w:eastAsia="en-GB"/>
          <w14:ligatures w14:val="none"/>
        </w:rPr>
        <w:t>PBI</w:t>
      </w:r>
      <w:proofErr w:type="spellEnd"/>
      <w:r w:rsidRPr="000636AF">
        <w:rPr>
          <w:rFonts w:ascii="Arial" w:eastAsia="Times New Roman" w:hAnsi="Arial" w:cs="Arial"/>
          <w:color w:val="000000"/>
          <w:kern w:val="0"/>
          <w:lang w:eastAsia="en-GB"/>
          <w14:ligatures w14:val="none"/>
        </w:rPr>
        <w:t xml:space="preserve">-specific rules around “dominant purpose” that prevent </w:t>
      </w:r>
      <w:proofErr w:type="spellStart"/>
      <w:r w:rsidRPr="000636AF">
        <w:rPr>
          <w:rFonts w:ascii="Arial" w:eastAsia="Times New Roman" w:hAnsi="Arial" w:cs="Arial"/>
          <w:color w:val="000000"/>
          <w:kern w:val="0"/>
          <w:lang w:eastAsia="en-GB"/>
          <w14:ligatures w14:val="none"/>
        </w:rPr>
        <w:t>PBIs</w:t>
      </w:r>
      <w:proofErr w:type="spellEnd"/>
      <w:r w:rsidRPr="000636AF">
        <w:rPr>
          <w:rFonts w:ascii="Arial" w:eastAsia="Times New Roman" w:hAnsi="Arial" w:cs="Arial"/>
          <w:color w:val="000000"/>
          <w:kern w:val="0"/>
          <w:lang w:eastAsia="en-GB"/>
          <w14:ligatures w14:val="none"/>
        </w:rPr>
        <w:t xml:space="preserve"> from doing work in their communities.</w:t>
      </w:r>
    </w:p>
    <w:p w14:paraId="29B7ED90"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p>
    <w:p w14:paraId="10217BC4" w14:textId="77777777" w:rsidR="000636AF" w:rsidRPr="000636AF" w:rsidRDefault="000636AF" w:rsidP="000636AF">
      <w:pPr>
        <w:spacing w:after="0" w:line="240" w:lineRule="auto"/>
        <w:rPr>
          <w:rFonts w:ascii="Times New Roman" w:eastAsia="Times New Roman" w:hAnsi="Times New Roman" w:cs="Times New Roman"/>
          <w:kern w:val="0"/>
          <w:sz w:val="24"/>
          <w:szCs w:val="24"/>
          <w:lang w:eastAsia="en-GB"/>
          <w14:ligatures w14:val="none"/>
        </w:rPr>
      </w:pPr>
      <w:r w:rsidRPr="000636AF">
        <w:rPr>
          <w:rFonts w:ascii="Arial" w:eastAsia="Times New Roman" w:hAnsi="Arial" w:cs="Arial"/>
          <w:color w:val="000000"/>
          <w:kern w:val="0"/>
          <w:lang w:eastAsia="en-GB"/>
          <w14:ligatures w14:val="none"/>
        </w:rPr>
        <w:t xml:space="preserve">A change to allow </w:t>
      </w:r>
      <w:proofErr w:type="spellStart"/>
      <w:r w:rsidRPr="000636AF">
        <w:rPr>
          <w:rFonts w:ascii="Arial" w:eastAsia="Times New Roman" w:hAnsi="Arial" w:cs="Arial"/>
          <w:color w:val="000000"/>
          <w:kern w:val="0"/>
          <w:lang w:eastAsia="en-GB"/>
          <w14:ligatures w14:val="none"/>
        </w:rPr>
        <w:t>PBIs</w:t>
      </w:r>
      <w:proofErr w:type="spellEnd"/>
      <w:r w:rsidRPr="000636AF">
        <w:rPr>
          <w:rFonts w:ascii="Arial" w:eastAsia="Times New Roman" w:hAnsi="Arial" w:cs="Arial"/>
          <w:color w:val="000000"/>
          <w:kern w:val="0"/>
          <w:lang w:eastAsia="en-GB"/>
          <w14:ligatures w14:val="none"/>
        </w:rPr>
        <w:t xml:space="preserve"> to also pursue other charitable purposes would help me and my group be more involved in our community and find more ways to do good. I think effective altruism clubs and similar groups, like One For The World, have the potential to be life-long sources of connection for younger Australians. But we need regulatory changes now so that we and these organisations can grow together. </w:t>
      </w:r>
    </w:p>
    <w:p w14:paraId="6E57989A" w14:textId="77777777" w:rsidR="000636AF" w:rsidRDefault="000636AF"/>
    <w:p w14:paraId="237B6322"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b/>
          <w:bCs/>
          <w:color w:val="000000"/>
          <w:kern w:val="0"/>
          <w:lang w:eastAsia="en-GB"/>
          <w14:ligatures w14:val="none"/>
        </w:rPr>
        <w:t>Australian charity evaluation would build confidence (Information request 7)</w:t>
      </w:r>
    </w:p>
    <w:p w14:paraId="4F96C633"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663E6ADE"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I’m excited by the terms of reference about charity evaluation. I think people can be cynical about 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0396A669"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457AC2DE"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I would encourage the Productivity Commission to review:</w:t>
      </w:r>
    </w:p>
    <w:p w14:paraId="11928562"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Times New Roman" w:eastAsia="Times New Roman" w:hAnsi="Times New Roman" w:cs="Times New Roman"/>
          <w:kern w:val="0"/>
          <w:sz w:val="24"/>
          <w:szCs w:val="24"/>
          <w:lang w:eastAsia="en-GB"/>
          <w14:ligatures w14:val="none"/>
        </w:rPr>
        <w:br/>
      </w:r>
    </w:p>
    <w:p w14:paraId="3D13C610" w14:textId="77777777" w:rsidR="007F5D99" w:rsidRPr="007F5D99" w:rsidRDefault="007F5D99" w:rsidP="007F5D99">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7F5D99">
        <w:rPr>
          <w:rFonts w:ascii="Arial" w:eastAsia="Times New Roman" w:hAnsi="Arial" w:cs="Arial"/>
          <w:i/>
          <w:iCs/>
          <w:color w:val="000000"/>
          <w:kern w:val="0"/>
          <w:lang w:eastAsia="en-GB"/>
          <w14:ligatures w14:val="none"/>
        </w:rPr>
        <w:t xml:space="preserve">Donors vastly underestimate differences in charities’ effectiveness </w:t>
      </w:r>
      <w:r w:rsidRPr="007F5D99">
        <w:rPr>
          <w:rFonts w:ascii="Arial" w:eastAsia="Times New Roman" w:hAnsi="Arial" w:cs="Arial"/>
          <w:color w:val="000000"/>
          <w:kern w:val="0"/>
          <w:lang w:eastAsia="en-GB"/>
          <w14:ligatures w14:val="none"/>
        </w:rPr>
        <w:t xml:space="preserve">by </w:t>
      </w:r>
      <w:proofErr w:type="spellStart"/>
      <w:r w:rsidRPr="007F5D99">
        <w:rPr>
          <w:rFonts w:ascii="Arial" w:eastAsia="Times New Roman" w:hAnsi="Arial" w:cs="Arial"/>
          <w:color w:val="000000"/>
          <w:kern w:val="0"/>
          <w:lang w:eastAsia="en-GB"/>
          <w14:ligatures w14:val="none"/>
        </w:rPr>
        <w:t>Caviola</w:t>
      </w:r>
      <w:proofErr w:type="spellEnd"/>
      <w:r w:rsidRPr="007F5D99">
        <w:rPr>
          <w:rFonts w:ascii="Arial" w:eastAsia="Times New Roman" w:hAnsi="Arial" w:cs="Arial"/>
          <w:color w:val="000000"/>
          <w:kern w:val="0"/>
          <w:lang w:eastAsia="en-GB"/>
          <w14:ligatures w14:val="none"/>
        </w:rPr>
        <w:t xml:space="preserve">, L; Schubert, S; </w:t>
      </w:r>
      <w:proofErr w:type="spellStart"/>
      <w:r w:rsidRPr="007F5D99">
        <w:rPr>
          <w:rFonts w:ascii="Arial" w:eastAsia="Times New Roman" w:hAnsi="Arial" w:cs="Arial"/>
          <w:color w:val="000000"/>
          <w:kern w:val="0"/>
          <w:lang w:eastAsia="en-GB"/>
          <w14:ligatures w14:val="none"/>
        </w:rPr>
        <w:t>Teperman</w:t>
      </w:r>
      <w:proofErr w:type="spellEnd"/>
      <w:r w:rsidRPr="007F5D99">
        <w:rPr>
          <w:rFonts w:ascii="Arial" w:eastAsia="Times New Roman" w:hAnsi="Arial" w:cs="Arial"/>
          <w:color w:val="000000"/>
          <w:kern w:val="0"/>
          <w:lang w:eastAsia="en-GB"/>
          <w14:ligatures w14:val="none"/>
        </w:rPr>
        <w:t xml:space="preserve">, E; et al. available online at  </w:t>
      </w:r>
      <w:hyperlink r:id="rId8" w:history="1">
        <w:r w:rsidRPr="007F5D99">
          <w:rPr>
            <w:rFonts w:ascii="Arial" w:eastAsia="Times New Roman" w:hAnsi="Arial" w:cs="Arial"/>
            <w:color w:val="1155CC"/>
            <w:kern w:val="0"/>
            <w:u w:val="single"/>
            <w:lang w:eastAsia="en-GB"/>
            <w14:ligatures w14:val="none"/>
          </w:rPr>
          <w:t>http://</w:t>
        </w:r>
        <w:proofErr w:type="spellStart"/>
        <w:r w:rsidRPr="007F5D99">
          <w:rPr>
            <w:rFonts w:ascii="Arial" w:eastAsia="Times New Roman" w:hAnsi="Arial" w:cs="Arial"/>
            <w:color w:val="1155CC"/>
            <w:kern w:val="0"/>
            <w:u w:val="single"/>
            <w:lang w:eastAsia="en-GB"/>
            <w14:ligatures w14:val="none"/>
          </w:rPr>
          <w:t>hdl.handle.net</w:t>
        </w:r>
        <w:proofErr w:type="spellEnd"/>
        <w:r w:rsidRPr="007F5D99">
          <w:rPr>
            <w:rFonts w:ascii="Arial" w:eastAsia="Times New Roman" w:hAnsi="Arial" w:cs="Arial"/>
            <w:color w:val="1155CC"/>
            <w:kern w:val="0"/>
            <w:u w:val="single"/>
            <w:lang w:eastAsia="en-GB"/>
            <w14:ligatures w14:val="none"/>
          </w:rPr>
          <w:t>/10871/122268</w:t>
        </w:r>
      </w:hyperlink>
      <w:r w:rsidRPr="007F5D99">
        <w:rPr>
          <w:rFonts w:ascii="Arial" w:eastAsia="Times New Roman" w:hAnsi="Arial" w:cs="Arial"/>
          <w:color w:val="000000"/>
          <w:kern w:val="0"/>
          <w:lang w:eastAsia="en-GB"/>
          <w14:ligatures w14:val="none"/>
        </w:rPr>
        <w:t>, and </w:t>
      </w:r>
    </w:p>
    <w:p w14:paraId="3AA215E6" w14:textId="77777777" w:rsidR="007F5D99" w:rsidRPr="007F5D99" w:rsidRDefault="007F5D99" w:rsidP="007F5D99">
      <w:pPr>
        <w:numPr>
          <w:ilvl w:val="0"/>
          <w:numId w:val="2"/>
        </w:numPr>
        <w:shd w:val="clear" w:color="auto" w:fill="FFFFFF"/>
        <w:spacing w:after="300" w:line="240" w:lineRule="auto"/>
        <w:textAlignment w:val="baseline"/>
        <w:outlineLvl w:val="0"/>
        <w:rPr>
          <w:rFonts w:ascii="Arial" w:eastAsia="Times New Roman" w:hAnsi="Arial" w:cs="Arial"/>
          <w:b/>
          <w:bCs/>
          <w:color w:val="000000"/>
          <w:kern w:val="36"/>
          <w:sz w:val="48"/>
          <w:szCs w:val="48"/>
          <w:lang w:eastAsia="en-GB"/>
          <w14:ligatures w14:val="none"/>
        </w:rPr>
      </w:pPr>
      <w:r w:rsidRPr="007F5D99">
        <w:rPr>
          <w:rFonts w:ascii="Arial" w:eastAsia="Times New Roman" w:hAnsi="Arial" w:cs="Arial"/>
          <w:i/>
          <w:iCs/>
          <w:color w:val="000000"/>
          <w:kern w:val="36"/>
          <w:lang w:eastAsia="en-GB"/>
          <w14:ligatures w14:val="none"/>
        </w:rPr>
        <w:t>Don’t Feed the Zombies</w:t>
      </w:r>
      <w:r w:rsidRPr="007F5D99">
        <w:rPr>
          <w:rFonts w:ascii="Arial" w:eastAsia="Times New Roman" w:hAnsi="Arial" w:cs="Arial"/>
          <w:color w:val="000000"/>
          <w:kern w:val="36"/>
          <w:lang w:eastAsia="en-GB"/>
          <w14:ligatures w14:val="none"/>
        </w:rPr>
        <w:t xml:space="preserve"> by Kevin Star in the Stanford Social Innovation Review, available online at </w:t>
      </w:r>
      <w:hyperlink r:id="rId9" w:history="1">
        <w:r w:rsidRPr="007F5D99">
          <w:rPr>
            <w:rFonts w:ascii="Arial" w:eastAsia="Times New Roman" w:hAnsi="Arial" w:cs="Arial"/>
            <w:color w:val="1155CC"/>
            <w:kern w:val="36"/>
            <w:u w:val="single"/>
            <w:lang w:eastAsia="en-GB"/>
            <w14:ligatures w14:val="none"/>
          </w:rPr>
          <w:t>https://</w:t>
        </w:r>
        <w:proofErr w:type="spellStart"/>
        <w:r w:rsidRPr="007F5D99">
          <w:rPr>
            <w:rFonts w:ascii="Arial" w:eastAsia="Times New Roman" w:hAnsi="Arial" w:cs="Arial"/>
            <w:color w:val="1155CC"/>
            <w:kern w:val="36"/>
            <w:u w:val="single"/>
            <w:lang w:eastAsia="en-GB"/>
            <w14:ligatures w14:val="none"/>
          </w:rPr>
          <w:t>ssir.org</w:t>
        </w:r>
        <w:proofErr w:type="spellEnd"/>
        <w:r w:rsidRPr="007F5D99">
          <w:rPr>
            <w:rFonts w:ascii="Arial" w:eastAsia="Times New Roman" w:hAnsi="Arial" w:cs="Arial"/>
            <w:color w:val="1155CC"/>
            <w:kern w:val="36"/>
            <w:u w:val="single"/>
            <w:lang w:eastAsia="en-GB"/>
            <w14:ligatures w14:val="none"/>
          </w:rPr>
          <w:t>/articles/entry/</w:t>
        </w:r>
        <w:proofErr w:type="spellStart"/>
        <w:r w:rsidRPr="007F5D99">
          <w:rPr>
            <w:rFonts w:ascii="Arial" w:eastAsia="Times New Roman" w:hAnsi="Arial" w:cs="Arial"/>
            <w:color w:val="1155CC"/>
            <w:kern w:val="36"/>
            <w:u w:val="single"/>
            <w:lang w:eastAsia="en-GB"/>
            <w14:ligatures w14:val="none"/>
          </w:rPr>
          <w:t>dont_feed_the_zombies</w:t>
        </w:r>
        <w:proofErr w:type="spellEnd"/>
      </w:hyperlink>
      <w:r w:rsidRPr="007F5D99">
        <w:rPr>
          <w:rFonts w:ascii="Arial" w:eastAsia="Times New Roman" w:hAnsi="Arial" w:cs="Arial"/>
          <w:color w:val="000000"/>
          <w:kern w:val="36"/>
          <w:lang w:eastAsia="en-GB"/>
          <w14:ligatures w14:val="none"/>
        </w:rPr>
        <w:t> </w:t>
      </w:r>
    </w:p>
    <w:p w14:paraId="772EFA55"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The research is usefully summarised in two illustrations that depict how different the view of the impact of charity is between lay people and experts:</w:t>
      </w:r>
    </w:p>
    <w:p w14:paraId="604690A7" w14:textId="24842906"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noProof/>
        </w:rPr>
        <w:lastRenderedPageBreak/>
        <w:drawing>
          <wp:inline distT="0" distB="0" distL="0" distR="0" wp14:anchorId="68DBF12A" wp14:editId="4EC98871">
            <wp:extent cx="5640705" cy="4144645"/>
            <wp:effectExtent l="0" t="0" r="0" b="8255"/>
            <wp:docPr id="2059744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p>
    <w:p w14:paraId="0E284797"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3A4F1511" w14:textId="4F17B00D"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noProof/>
        </w:rPr>
        <w:drawing>
          <wp:inline distT="0" distB="0" distL="0" distR="0" wp14:anchorId="58BFB518" wp14:editId="17CDD957">
            <wp:extent cx="5640705" cy="4144645"/>
            <wp:effectExtent l="0" t="0" r="0" b="8255"/>
            <wp:docPr id="274698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705" cy="4144645"/>
                    </a:xfrm>
                    <a:prstGeom prst="rect">
                      <a:avLst/>
                    </a:prstGeom>
                    <a:noFill/>
                    <a:ln>
                      <a:noFill/>
                    </a:ln>
                  </pic:spPr>
                </pic:pic>
              </a:graphicData>
            </a:graphic>
          </wp:inline>
        </w:drawing>
      </w:r>
      <w:r w:rsidRPr="007F5D99">
        <w:rPr>
          <w:rFonts w:ascii="Arial" w:eastAsia="Times New Roman" w:hAnsi="Arial" w:cs="Arial"/>
          <w:color w:val="000000"/>
          <w:kern w:val="0"/>
          <w:lang w:eastAsia="en-GB"/>
          <w14:ligatures w14:val="none"/>
        </w:rPr>
        <w:t> </w:t>
      </w:r>
    </w:p>
    <w:p w14:paraId="06E80346"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0DD23C98"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556B547B"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1194D48B"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lastRenderedPageBreak/>
        <w:t>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 </w:t>
      </w:r>
    </w:p>
    <w:p w14:paraId="15AA9484"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4C105263" w14:textId="07B26678"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noProof/>
        </w:rPr>
        <w:drawing>
          <wp:inline distT="0" distB="0" distL="0" distR="0" wp14:anchorId="4D933595" wp14:editId="11410D92">
            <wp:extent cx="5729605" cy="3698875"/>
            <wp:effectExtent l="0" t="0" r="4445" b="0"/>
            <wp:docPr id="23485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9605" cy="3698875"/>
                    </a:xfrm>
                    <a:prstGeom prst="rect">
                      <a:avLst/>
                    </a:prstGeom>
                    <a:noFill/>
                    <a:ln>
                      <a:noFill/>
                    </a:ln>
                  </pic:spPr>
                </pic:pic>
              </a:graphicData>
            </a:graphic>
          </wp:inline>
        </w:drawing>
      </w:r>
      <w:r w:rsidRPr="007F5D99">
        <w:rPr>
          <w:rFonts w:ascii="Arial" w:eastAsia="Times New Roman" w:hAnsi="Arial" w:cs="Arial"/>
          <w:color w:val="000000"/>
          <w:kern w:val="0"/>
          <w:lang w:eastAsia="en-GB"/>
          <w14:ligatures w14:val="none"/>
        </w:rPr>
        <w:t> </w:t>
      </w:r>
    </w:p>
    <w:p w14:paraId="29356FEA"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02133695"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3621AC0D"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p>
    <w:p w14:paraId="44D231DC" w14:textId="77777777" w:rsidR="007F5D99" w:rsidRPr="007F5D99" w:rsidRDefault="007F5D99" w:rsidP="007F5D99">
      <w:pPr>
        <w:spacing w:after="0" w:line="240" w:lineRule="auto"/>
        <w:rPr>
          <w:rFonts w:ascii="Times New Roman" w:eastAsia="Times New Roman" w:hAnsi="Times New Roman" w:cs="Times New Roman"/>
          <w:kern w:val="0"/>
          <w:sz w:val="24"/>
          <w:szCs w:val="24"/>
          <w:lang w:eastAsia="en-GB"/>
          <w14:ligatures w14:val="none"/>
        </w:rPr>
      </w:pPr>
      <w:r w:rsidRPr="007F5D99">
        <w:rPr>
          <w:rFonts w:ascii="Arial" w:eastAsia="Times New Roman" w:hAnsi="Arial" w:cs="Arial"/>
          <w:color w:val="000000"/>
          <w:kern w:val="0"/>
          <w:lang w:eastAsia="en-GB"/>
          <w14:ligatures w14:val="none"/>
        </w:rPr>
        <w:t>Australia funding and promoting charity evaluation has the potential to fix the market failure, help Australian charities do far more good, and potentially make us a world leader. </w:t>
      </w:r>
    </w:p>
    <w:p w14:paraId="00F2CC91" w14:textId="77777777" w:rsidR="007F5D99" w:rsidRDefault="007F5D99"/>
    <w:p w14:paraId="6CE7C114" w14:textId="77777777" w:rsidR="00FD1230" w:rsidRPr="00FD1230" w:rsidRDefault="00FD1230" w:rsidP="00FD1230">
      <w:pPr>
        <w:spacing w:after="0" w:line="240" w:lineRule="auto"/>
        <w:rPr>
          <w:rFonts w:ascii="Times New Roman" w:eastAsia="Times New Roman" w:hAnsi="Times New Roman" w:cs="Times New Roman"/>
          <w:kern w:val="0"/>
          <w:sz w:val="24"/>
          <w:szCs w:val="24"/>
          <w:lang w:eastAsia="en-GB"/>
          <w14:ligatures w14:val="none"/>
        </w:rPr>
      </w:pPr>
      <w:r w:rsidRPr="00FD1230">
        <w:rPr>
          <w:rFonts w:ascii="Arial" w:eastAsia="Times New Roman" w:hAnsi="Arial" w:cs="Arial"/>
          <w:b/>
          <w:bCs/>
          <w:color w:val="000000"/>
          <w:kern w:val="0"/>
          <w:lang w:eastAsia="en-GB"/>
          <w14:ligatures w14:val="none"/>
        </w:rPr>
        <w:t>Summary </w:t>
      </w:r>
    </w:p>
    <w:p w14:paraId="11E715F4" w14:textId="77777777" w:rsidR="00FD1230" w:rsidRPr="00FD1230" w:rsidRDefault="00FD1230" w:rsidP="00FD1230">
      <w:pPr>
        <w:spacing w:after="0" w:line="240" w:lineRule="auto"/>
        <w:rPr>
          <w:rFonts w:ascii="Times New Roman" w:eastAsia="Times New Roman" w:hAnsi="Times New Roman" w:cs="Times New Roman"/>
          <w:kern w:val="0"/>
          <w:sz w:val="24"/>
          <w:szCs w:val="24"/>
          <w:lang w:eastAsia="en-GB"/>
          <w14:ligatures w14:val="none"/>
        </w:rPr>
      </w:pPr>
    </w:p>
    <w:p w14:paraId="6941E484" w14:textId="77777777" w:rsidR="00FD1230" w:rsidRPr="00FD1230" w:rsidRDefault="00FD1230" w:rsidP="00FD1230">
      <w:pPr>
        <w:spacing w:after="0" w:line="240" w:lineRule="auto"/>
        <w:rPr>
          <w:rFonts w:ascii="Times New Roman" w:eastAsia="Times New Roman" w:hAnsi="Times New Roman" w:cs="Times New Roman"/>
          <w:kern w:val="0"/>
          <w:sz w:val="24"/>
          <w:szCs w:val="24"/>
          <w:lang w:eastAsia="en-GB"/>
          <w14:ligatures w14:val="none"/>
        </w:rPr>
      </w:pPr>
      <w:r w:rsidRPr="00FD1230">
        <w:rPr>
          <w:rFonts w:ascii="Arial" w:eastAsia="Times New Roman" w:hAnsi="Arial" w:cs="Arial"/>
          <w:color w:val="000000"/>
          <w:kern w:val="0"/>
          <w:lang w:eastAsia="en-GB"/>
          <w14:ligatures w14:val="none"/>
        </w:rPr>
        <w:t xml:space="preserve">Overall, Australian charity regulation has become outdated. Charities with </w:t>
      </w:r>
      <w:proofErr w:type="spellStart"/>
      <w:r w:rsidRPr="00FD1230">
        <w:rPr>
          <w:rFonts w:ascii="Arial" w:eastAsia="Times New Roman" w:hAnsi="Arial" w:cs="Arial"/>
          <w:color w:val="000000"/>
          <w:kern w:val="0"/>
          <w:lang w:eastAsia="en-GB"/>
          <w14:ligatures w14:val="none"/>
        </w:rPr>
        <w:t>DGR</w:t>
      </w:r>
      <w:proofErr w:type="spellEnd"/>
      <w:r w:rsidRPr="00FD1230">
        <w:rPr>
          <w:rFonts w:ascii="Arial" w:eastAsia="Times New Roman" w:hAnsi="Arial" w:cs="Arial"/>
          <w:color w:val="000000"/>
          <w:kern w:val="0"/>
          <w:lang w:eastAsia="en-GB"/>
          <w14:ligatures w14:val="none"/>
        </w:rPr>
        <w:t xml:space="preserve"> status are the lion’s share of the sector, but </w:t>
      </w:r>
      <w:proofErr w:type="spellStart"/>
      <w:r w:rsidRPr="00FD1230">
        <w:rPr>
          <w:rFonts w:ascii="Arial" w:eastAsia="Times New Roman" w:hAnsi="Arial" w:cs="Arial"/>
          <w:color w:val="000000"/>
          <w:kern w:val="0"/>
          <w:lang w:eastAsia="en-GB"/>
          <w14:ligatures w14:val="none"/>
        </w:rPr>
        <w:t>DGR</w:t>
      </w:r>
      <w:proofErr w:type="spellEnd"/>
      <w:r w:rsidRPr="00FD1230">
        <w:rPr>
          <w:rFonts w:ascii="Arial" w:eastAsia="Times New Roman" w:hAnsi="Arial" w:cs="Arial"/>
          <w:color w:val="000000"/>
          <w:kern w:val="0"/>
          <w:lang w:eastAsia="en-GB"/>
          <w14:ligatures w14:val="none"/>
        </w:rPr>
        <w:t xml:space="preserve"> status is not aligned with my values or the values of my peers. This means that charities aren’t focusing on many of the things I care about, and aren’t providing the community support and volunteering opportunities that are meaningful to me. </w:t>
      </w:r>
    </w:p>
    <w:p w14:paraId="1FE8829B" w14:textId="77777777" w:rsidR="00FD1230" w:rsidRPr="00FD1230" w:rsidRDefault="00FD1230" w:rsidP="00FD1230">
      <w:pPr>
        <w:spacing w:after="0" w:line="240" w:lineRule="auto"/>
        <w:rPr>
          <w:rFonts w:ascii="Times New Roman" w:eastAsia="Times New Roman" w:hAnsi="Times New Roman" w:cs="Times New Roman"/>
          <w:kern w:val="0"/>
          <w:sz w:val="24"/>
          <w:szCs w:val="24"/>
          <w:lang w:eastAsia="en-GB"/>
          <w14:ligatures w14:val="none"/>
        </w:rPr>
      </w:pPr>
    </w:p>
    <w:p w14:paraId="35E7484E" w14:textId="77777777" w:rsidR="00FD1230" w:rsidRPr="00FD1230" w:rsidRDefault="00FD1230" w:rsidP="00FD1230">
      <w:pPr>
        <w:spacing w:after="0" w:line="240" w:lineRule="auto"/>
        <w:rPr>
          <w:rFonts w:ascii="Times New Roman" w:eastAsia="Times New Roman" w:hAnsi="Times New Roman" w:cs="Times New Roman"/>
          <w:kern w:val="0"/>
          <w:sz w:val="24"/>
          <w:szCs w:val="24"/>
          <w:lang w:eastAsia="en-GB"/>
          <w14:ligatures w14:val="none"/>
        </w:rPr>
      </w:pPr>
      <w:r w:rsidRPr="00FD1230">
        <w:rPr>
          <w:rFonts w:ascii="Arial" w:eastAsia="Times New Roman" w:hAnsi="Arial" w:cs="Arial"/>
          <w:color w:val="000000"/>
          <w:kern w:val="0"/>
          <w:lang w:eastAsia="en-GB"/>
          <w14:ligatures w14:val="none"/>
        </w:rPr>
        <w:t xml:space="preserve">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 </w:t>
      </w:r>
    </w:p>
    <w:p w14:paraId="5160C885" w14:textId="77777777" w:rsidR="00FD1230" w:rsidRDefault="00FD1230"/>
    <w:sectPr w:rsidR="00FD1230" w:rsidSect="005E39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B632C"/>
    <w:multiLevelType w:val="multilevel"/>
    <w:tmpl w:val="CCB0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632C8"/>
    <w:multiLevelType w:val="multilevel"/>
    <w:tmpl w:val="9A04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447436">
    <w:abstractNumId w:val="1"/>
  </w:num>
  <w:num w:numId="2" w16cid:durableId="7243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3D"/>
    <w:rsid w:val="000548E1"/>
    <w:rsid w:val="000636AF"/>
    <w:rsid w:val="00286B32"/>
    <w:rsid w:val="004A6053"/>
    <w:rsid w:val="005D1E56"/>
    <w:rsid w:val="005E3940"/>
    <w:rsid w:val="005F06F3"/>
    <w:rsid w:val="007E0F23"/>
    <w:rsid w:val="007F5D99"/>
    <w:rsid w:val="008E7713"/>
    <w:rsid w:val="00B55F2F"/>
    <w:rsid w:val="00E12C3D"/>
    <w:rsid w:val="00FD1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DADD"/>
  <w15:chartTrackingRefBased/>
  <w15:docId w15:val="{5BED7CE0-7041-4426-B16C-740CA671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5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B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7F5D99"/>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7F5D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6002">
      <w:bodyDiv w:val="1"/>
      <w:marLeft w:val="0"/>
      <w:marRight w:val="0"/>
      <w:marTop w:val="0"/>
      <w:marBottom w:val="0"/>
      <w:divBdr>
        <w:top w:val="none" w:sz="0" w:space="0" w:color="auto"/>
        <w:left w:val="none" w:sz="0" w:space="0" w:color="auto"/>
        <w:bottom w:val="none" w:sz="0" w:space="0" w:color="auto"/>
        <w:right w:val="none" w:sz="0" w:space="0" w:color="auto"/>
      </w:divBdr>
    </w:div>
    <w:div w:id="582301349">
      <w:bodyDiv w:val="1"/>
      <w:marLeft w:val="0"/>
      <w:marRight w:val="0"/>
      <w:marTop w:val="0"/>
      <w:marBottom w:val="0"/>
      <w:divBdr>
        <w:top w:val="none" w:sz="0" w:space="0" w:color="auto"/>
        <w:left w:val="none" w:sz="0" w:space="0" w:color="auto"/>
        <w:bottom w:val="none" w:sz="0" w:space="0" w:color="auto"/>
        <w:right w:val="none" w:sz="0" w:space="0" w:color="auto"/>
      </w:divBdr>
    </w:div>
    <w:div w:id="642544998">
      <w:bodyDiv w:val="1"/>
      <w:marLeft w:val="0"/>
      <w:marRight w:val="0"/>
      <w:marTop w:val="0"/>
      <w:marBottom w:val="0"/>
      <w:divBdr>
        <w:top w:val="none" w:sz="0" w:space="0" w:color="auto"/>
        <w:left w:val="none" w:sz="0" w:space="0" w:color="auto"/>
        <w:bottom w:val="none" w:sz="0" w:space="0" w:color="auto"/>
        <w:right w:val="none" w:sz="0" w:space="0" w:color="auto"/>
      </w:divBdr>
    </w:div>
    <w:div w:id="1357464940">
      <w:bodyDiv w:val="1"/>
      <w:marLeft w:val="0"/>
      <w:marRight w:val="0"/>
      <w:marTop w:val="0"/>
      <w:marBottom w:val="0"/>
      <w:divBdr>
        <w:top w:val="none" w:sz="0" w:space="0" w:color="auto"/>
        <w:left w:val="none" w:sz="0" w:space="0" w:color="auto"/>
        <w:bottom w:val="none" w:sz="0" w:space="0" w:color="auto"/>
        <w:right w:val="none" w:sz="0" w:space="0" w:color="auto"/>
      </w:divBdr>
    </w:div>
    <w:div w:id="1373651477">
      <w:bodyDiv w:val="1"/>
      <w:marLeft w:val="0"/>
      <w:marRight w:val="0"/>
      <w:marTop w:val="0"/>
      <w:marBottom w:val="0"/>
      <w:divBdr>
        <w:top w:val="none" w:sz="0" w:space="0" w:color="auto"/>
        <w:left w:val="none" w:sz="0" w:space="0" w:color="auto"/>
        <w:bottom w:val="none" w:sz="0" w:space="0" w:color="auto"/>
        <w:right w:val="none" w:sz="0" w:space="0" w:color="auto"/>
      </w:divBdr>
    </w:div>
    <w:div w:id="1431119966">
      <w:bodyDiv w:val="1"/>
      <w:marLeft w:val="0"/>
      <w:marRight w:val="0"/>
      <w:marTop w:val="0"/>
      <w:marBottom w:val="0"/>
      <w:divBdr>
        <w:top w:val="none" w:sz="0" w:space="0" w:color="auto"/>
        <w:left w:val="none" w:sz="0" w:space="0" w:color="auto"/>
        <w:bottom w:val="none" w:sz="0" w:space="0" w:color="auto"/>
        <w:right w:val="none" w:sz="0" w:space="0" w:color="auto"/>
      </w:divBdr>
    </w:div>
    <w:div w:id="16951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871/12226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sir.org/articles/entry/dont_feed_the_zomb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3D276-75B4-4A00-B69C-BD53EEEA3D71}">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EC723D0F-63DA-4B9F-B9E8-3D675E556C81}">
  <ds:schemaRefs>
    <ds:schemaRef ds:uri="http://schemas.microsoft.com/sharepoint/v3/contenttype/forms"/>
  </ds:schemaRefs>
</ds:datastoreItem>
</file>

<file path=customXml/itemProps3.xml><?xml version="1.0" encoding="utf-8"?>
<ds:datastoreItem xmlns:ds="http://schemas.openxmlformats.org/officeDocument/2006/customXml" ds:itemID="{CA87EC00-02C5-4E71-BE36-C8E8ABD3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167 - Manisha Lishman - Philanthropy - Public inquiry</vt:lpstr>
    </vt:vector>
  </TitlesOfParts>
  <Company>Manisha Lishman</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167 - Manisha Lishman - Philanthropy - Public inquiry</dc:title>
  <dc:subject/>
  <dc:creator>Manisha Lishman</dc:creator>
  <cp:keywords/>
  <dc:description/>
  <cp:lastModifiedBy>Alexandra Dazey</cp:lastModifiedBy>
  <cp:revision>13</cp:revision>
  <dcterms:created xsi:type="dcterms:W3CDTF">2023-05-05T07:00:00Z</dcterms:created>
  <dcterms:modified xsi:type="dcterms:W3CDTF">2023-05-18T04:25:00Z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