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FCB8" w14:textId="15008277" w:rsidR="00732E0F" w:rsidRDefault="00BE3313" w:rsidP="00BE3313">
      <w:pPr>
        <w:jc w:val="right"/>
        <w:rPr>
          <w:rFonts w:cstheme="minorHAnsi"/>
        </w:rPr>
      </w:pPr>
      <w:r>
        <w:rPr>
          <w:noProof/>
        </w:rPr>
        <w:drawing>
          <wp:inline distT="0" distB="0" distL="0" distR="0" wp14:anchorId="4F99D92F" wp14:editId="5C2DC4A0">
            <wp:extent cx="1936115" cy="894080"/>
            <wp:effectExtent l="0" t="0" r="6985" b="1270"/>
            <wp:docPr id="1282993672" name="Picture 1282993672" descr="Welcome to The Cultural Au Pair Association of Australia (CAP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elcome to The Cultural Au Pair Association of Australia (CAPAA)"/>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6115" cy="894080"/>
                    </a:xfrm>
                    <a:prstGeom prst="rect">
                      <a:avLst/>
                    </a:prstGeom>
                    <a:noFill/>
                    <a:ln>
                      <a:noFill/>
                    </a:ln>
                  </pic:spPr>
                </pic:pic>
              </a:graphicData>
            </a:graphic>
          </wp:inline>
        </w:drawing>
      </w:r>
    </w:p>
    <w:p w14:paraId="5082798D" w14:textId="77777777" w:rsidR="00732E0F" w:rsidRDefault="00732E0F" w:rsidP="00732E0F">
      <w:pPr>
        <w:rPr>
          <w:rFonts w:cstheme="minorHAnsi"/>
        </w:rPr>
      </w:pPr>
    </w:p>
    <w:p w14:paraId="5BACEC6E" w14:textId="686FA7BF" w:rsidR="00735F94" w:rsidRPr="00732E0F" w:rsidRDefault="00BE3313" w:rsidP="00732E0F">
      <w:r>
        <w:rPr>
          <w:rFonts w:cstheme="minorHAnsi"/>
        </w:rPr>
        <w:t>11</w:t>
      </w:r>
      <w:r w:rsidRPr="00BE3313">
        <w:rPr>
          <w:rFonts w:cstheme="minorHAnsi"/>
          <w:vertAlign w:val="superscript"/>
        </w:rPr>
        <w:t>th</w:t>
      </w:r>
      <w:r>
        <w:rPr>
          <w:rFonts w:cstheme="minorHAnsi"/>
        </w:rPr>
        <w:t xml:space="preserve"> May 2023</w:t>
      </w:r>
    </w:p>
    <w:p w14:paraId="12831E35" w14:textId="4CAD2231" w:rsidR="00735F94" w:rsidRPr="00735F94" w:rsidRDefault="00237A34" w:rsidP="007C32B9">
      <w:pPr>
        <w:spacing w:line="240" w:lineRule="auto"/>
        <w:rPr>
          <w:rFonts w:cstheme="minorHAnsi"/>
          <w:color w:val="0563C1" w:themeColor="hyperlink"/>
          <w:u w:val="single"/>
        </w:rPr>
      </w:pPr>
      <w:r w:rsidRPr="00735F94">
        <w:rPr>
          <w:rFonts w:cstheme="minorHAnsi"/>
        </w:rPr>
        <w:t>To:</w:t>
      </w:r>
      <w:r w:rsidR="001D3847" w:rsidRPr="001D3847">
        <w:t xml:space="preserve"> </w:t>
      </w:r>
      <w:r w:rsidR="001D3847" w:rsidRPr="001D3847">
        <w:rPr>
          <w:rFonts w:cstheme="minorHAnsi"/>
        </w:rPr>
        <w:t>Yvette Goss</w:t>
      </w:r>
      <w:r w:rsidR="001D3847">
        <w:rPr>
          <w:rFonts w:cstheme="minorHAnsi"/>
        </w:rPr>
        <w:t xml:space="preserve"> -</w:t>
      </w:r>
      <w:r w:rsidRPr="00735F94">
        <w:rPr>
          <w:rFonts w:cstheme="minorHAnsi"/>
        </w:rPr>
        <w:t xml:space="preserve"> </w:t>
      </w:r>
      <w:hyperlink r:id="rId12" w:history="1">
        <w:r w:rsidR="001D3847" w:rsidRPr="002749A0">
          <w:rPr>
            <w:rStyle w:val="Hyperlink"/>
          </w:rPr>
          <w:t>childhood@pc.gov.au</w:t>
        </w:r>
      </w:hyperlink>
      <w:r w:rsidR="001D3847">
        <w:t xml:space="preserve"> </w:t>
      </w:r>
    </w:p>
    <w:p w14:paraId="7EC7892D" w14:textId="77777777" w:rsidR="00732E0F" w:rsidRDefault="00732E0F" w:rsidP="00732E0F">
      <w:pPr>
        <w:spacing w:line="240" w:lineRule="auto"/>
        <w:jc w:val="center"/>
        <w:rPr>
          <w:rFonts w:cstheme="minorHAnsi"/>
          <w:b/>
          <w:bCs/>
        </w:rPr>
      </w:pPr>
    </w:p>
    <w:p w14:paraId="5BEAC829" w14:textId="7F2BCD21" w:rsidR="00732E0F" w:rsidRPr="00735F94" w:rsidRDefault="00732E0F" w:rsidP="00732E0F">
      <w:pPr>
        <w:spacing w:line="240" w:lineRule="auto"/>
        <w:jc w:val="center"/>
        <w:rPr>
          <w:rFonts w:cstheme="minorHAnsi"/>
          <w:b/>
          <w:bCs/>
        </w:rPr>
      </w:pPr>
      <w:r w:rsidRPr="00735F94">
        <w:rPr>
          <w:rFonts w:cstheme="minorHAnsi"/>
          <w:b/>
          <w:bCs/>
        </w:rPr>
        <w:t xml:space="preserve">Ref: </w:t>
      </w:r>
      <w:r w:rsidR="00BE3313">
        <w:rPr>
          <w:rFonts w:cstheme="minorHAnsi"/>
          <w:b/>
          <w:bCs/>
        </w:rPr>
        <w:t>Cultural Au Pair Association of Australia (CAPAA)</w:t>
      </w:r>
      <w:r w:rsidRPr="00735F94">
        <w:rPr>
          <w:rFonts w:cstheme="minorHAnsi"/>
          <w:b/>
          <w:bCs/>
        </w:rPr>
        <w:t xml:space="preserve"> – submission re</w:t>
      </w:r>
      <w:r w:rsidRPr="00354B1A">
        <w:rPr>
          <w:rFonts w:cstheme="minorHAnsi"/>
          <w:b/>
          <w:bCs/>
        </w:rPr>
        <w:t xml:space="preserve"> </w:t>
      </w:r>
      <w:r w:rsidR="00BE3313">
        <w:rPr>
          <w:rFonts w:cstheme="minorHAnsi"/>
          <w:b/>
          <w:bCs/>
        </w:rPr>
        <w:t>Early Childhood Education and Care</w:t>
      </w:r>
    </w:p>
    <w:p w14:paraId="66976377" w14:textId="1ACEBEAC" w:rsidR="00237A34" w:rsidRPr="00735F94" w:rsidRDefault="00237A34" w:rsidP="007C32B9">
      <w:pPr>
        <w:spacing w:line="240" w:lineRule="auto"/>
        <w:rPr>
          <w:rFonts w:cstheme="minorHAnsi"/>
        </w:rPr>
      </w:pPr>
      <w:r w:rsidRPr="00735F94">
        <w:rPr>
          <w:rFonts w:cstheme="minorHAnsi"/>
        </w:rPr>
        <w:t>Dear Sir or Madam,</w:t>
      </w:r>
    </w:p>
    <w:p w14:paraId="419AC622" w14:textId="176B8F8C" w:rsidR="00BE3313" w:rsidRPr="00BE3313" w:rsidRDefault="0063643F" w:rsidP="00BE3313">
      <w:pPr>
        <w:spacing w:line="240" w:lineRule="auto"/>
        <w:jc w:val="both"/>
        <w:rPr>
          <w:rFonts w:cstheme="minorHAnsi"/>
        </w:rPr>
      </w:pPr>
      <w:r w:rsidRPr="00735F94">
        <w:rPr>
          <w:rFonts w:cstheme="minorHAnsi"/>
        </w:rPr>
        <w:t xml:space="preserve">I write </w:t>
      </w:r>
      <w:r w:rsidR="00F401E8" w:rsidRPr="00735F94">
        <w:rPr>
          <w:rFonts w:cstheme="minorHAnsi"/>
        </w:rPr>
        <w:t xml:space="preserve">to you </w:t>
      </w:r>
      <w:r w:rsidRPr="00735F94">
        <w:rPr>
          <w:rFonts w:cstheme="minorHAnsi"/>
        </w:rPr>
        <w:t xml:space="preserve">on behalf of </w:t>
      </w:r>
      <w:r w:rsidR="00F401E8" w:rsidRPr="00735F94">
        <w:rPr>
          <w:rFonts w:cstheme="minorHAnsi"/>
        </w:rPr>
        <w:t xml:space="preserve">the </w:t>
      </w:r>
      <w:r w:rsidR="00BE3313">
        <w:rPr>
          <w:rFonts w:cstheme="minorHAnsi"/>
        </w:rPr>
        <w:t>Cultural Au Pair Association of Australia (CAPAA) a</w:t>
      </w:r>
      <w:r w:rsidR="0017479B" w:rsidRPr="00735F94">
        <w:rPr>
          <w:rFonts w:cstheme="minorHAnsi"/>
        </w:rPr>
        <w:t xml:space="preserve">s the industry body representing the </w:t>
      </w:r>
      <w:r w:rsidR="00BE3313">
        <w:rPr>
          <w:rFonts w:cstheme="minorHAnsi"/>
        </w:rPr>
        <w:t>Au Pair industry in Australia. CAPAA</w:t>
      </w:r>
      <w:r w:rsidR="0017479B" w:rsidRPr="00735F94">
        <w:rPr>
          <w:rFonts w:cstheme="minorHAnsi"/>
        </w:rPr>
        <w:t xml:space="preserve"> advocates </w:t>
      </w:r>
      <w:r w:rsidR="00BE3313">
        <w:rPr>
          <w:rFonts w:cstheme="minorHAnsi"/>
        </w:rPr>
        <w:t xml:space="preserve">for </w:t>
      </w:r>
      <w:r w:rsidR="00BE3313">
        <w:t>Au Pairs and Australian host families. For Au Pairs, the experience of living with an Australian family is life changing. Exchanging culture and learning about each other’s way of life are at the very roots of cultural exchange. It is a mutually beneficial opportunity for both host family and Au Pair, and one that should be fostered.</w:t>
      </w:r>
    </w:p>
    <w:p w14:paraId="3DF2DAEB" w14:textId="77777777" w:rsidR="00FD4883" w:rsidRDefault="00FD4883" w:rsidP="00FD4883">
      <w:pPr>
        <w:spacing w:line="240" w:lineRule="auto"/>
        <w:jc w:val="both"/>
      </w:pPr>
      <w:r>
        <w:t>With youth tourism contributing $3.2bn to the national visitor economy and the average Working Holiday Maker (Au Pair) spending $26,800 during their time in Australia</w:t>
      </w:r>
      <w:r>
        <w:rPr>
          <w:rStyle w:val="FootnoteReference"/>
        </w:rPr>
        <w:footnoteReference w:id="1"/>
      </w:r>
      <w:r>
        <w:t xml:space="preserve">, we strongly believe Au Pairs are a valuable addition of the childcare landscape. </w:t>
      </w:r>
    </w:p>
    <w:p w14:paraId="75B414F1" w14:textId="7F2C3446" w:rsidR="00961642" w:rsidRDefault="00961642" w:rsidP="00BE3313">
      <w:pPr>
        <w:spacing w:line="240" w:lineRule="auto"/>
        <w:jc w:val="both"/>
      </w:pPr>
      <w:r>
        <w:t xml:space="preserve">As the inquiry rightly </w:t>
      </w:r>
      <w:r w:rsidR="004F4D15">
        <w:t>states,</w:t>
      </w:r>
      <w:r>
        <w:t xml:space="preserve"> quality Early Childhood Education and Care (ECEC) plays an important role in the developmental, social, and educational benefits of Australian children. It helps lay the foundation for children’s future well-being and success. Effective ECEC can be the difference for women returning to the workforce or being unable to do so. </w:t>
      </w:r>
    </w:p>
    <w:p w14:paraId="2533AF98" w14:textId="3EE135D8" w:rsidR="0028154A" w:rsidRPr="00735F94" w:rsidRDefault="00D546C4" w:rsidP="005F74D3">
      <w:pPr>
        <w:spacing w:line="240" w:lineRule="auto"/>
        <w:jc w:val="both"/>
        <w:rPr>
          <w:rFonts w:cstheme="minorHAnsi"/>
        </w:rPr>
      </w:pPr>
      <w:r w:rsidRPr="00735F94">
        <w:rPr>
          <w:rFonts w:cstheme="minorHAnsi"/>
        </w:rPr>
        <w:t xml:space="preserve">With </w:t>
      </w:r>
      <w:r w:rsidR="0017479B" w:rsidRPr="00735F94">
        <w:rPr>
          <w:rFonts w:cstheme="minorHAnsi"/>
        </w:rPr>
        <w:t xml:space="preserve">regards to </w:t>
      </w:r>
      <w:r w:rsidR="00BE3313">
        <w:rPr>
          <w:rFonts w:cstheme="minorHAnsi"/>
        </w:rPr>
        <w:t>Au Pairs and the Au Pair program</w:t>
      </w:r>
      <w:r w:rsidRPr="00735F94">
        <w:rPr>
          <w:rFonts w:cstheme="minorHAnsi"/>
        </w:rPr>
        <w:t xml:space="preserve"> we note the following</w:t>
      </w:r>
      <w:r w:rsidR="0062603F">
        <w:rPr>
          <w:rFonts w:cstheme="minorHAnsi"/>
        </w:rPr>
        <w:t xml:space="preserve"> </w:t>
      </w:r>
      <w:r w:rsidR="00A10F30">
        <w:rPr>
          <w:rFonts w:cstheme="minorHAnsi"/>
        </w:rPr>
        <w:t xml:space="preserve">relating to the </w:t>
      </w:r>
      <w:r w:rsidR="0017479B" w:rsidRPr="00735F94">
        <w:rPr>
          <w:rFonts w:cstheme="minorHAnsi"/>
        </w:rPr>
        <w:t xml:space="preserve">Terms of Reference </w:t>
      </w:r>
      <w:r w:rsidR="00CC3DA5">
        <w:rPr>
          <w:rFonts w:cstheme="minorHAnsi"/>
        </w:rPr>
        <w:t>of the inquiry:</w:t>
      </w:r>
    </w:p>
    <w:tbl>
      <w:tblPr>
        <w:tblStyle w:val="TableGrid"/>
        <w:tblW w:w="0" w:type="auto"/>
        <w:tblLook w:val="04A0" w:firstRow="1" w:lastRow="0" w:firstColumn="1" w:lastColumn="0" w:noHBand="0" w:noVBand="1"/>
      </w:tblPr>
      <w:tblGrid>
        <w:gridCol w:w="5098"/>
        <w:gridCol w:w="5358"/>
      </w:tblGrid>
      <w:tr w:rsidR="00C47ADC" w:rsidRPr="00735F94" w14:paraId="695148DF" w14:textId="77777777" w:rsidTr="00735F94">
        <w:tc>
          <w:tcPr>
            <w:tcW w:w="5098" w:type="dxa"/>
            <w:shd w:val="clear" w:color="auto" w:fill="E7E6E6" w:themeFill="background2"/>
          </w:tcPr>
          <w:p w14:paraId="6EC682F6" w14:textId="1BD3BC4B" w:rsidR="00C47ADC" w:rsidRPr="00735F94" w:rsidRDefault="00C47ADC" w:rsidP="0028154A">
            <w:pPr>
              <w:ind w:left="720"/>
              <w:rPr>
                <w:rFonts w:cstheme="minorHAnsi"/>
                <w:b/>
                <w:bCs/>
                <w:i/>
                <w:iCs/>
              </w:rPr>
            </w:pPr>
            <w:r w:rsidRPr="00735F94">
              <w:rPr>
                <w:rFonts w:cstheme="minorHAnsi"/>
                <w:b/>
                <w:bCs/>
                <w:i/>
                <w:iCs/>
              </w:rPr>
              <w:t xml:space="preserve">Terms of Reference </w:t>
            </w:r>
          </w:p>
        </w:tc>
        <w:tc>
          <w:tcPr>
            <w:tcW w:w="5358" w:type="dxa"/>
            <w:shd w:val="clear" w:color="auto" w:fill="E7E6E6" w:themeFill="background2"/>
          </w:tcPr>
          <w:p w14:paraId="509B1A6B" w14:textId="442341EB" w:rsidR="00C47ADC" w:rsidRPr="00735F94" w:rsidRDefault="00961642" w:rsidP="00100FD9">
            <w:pPr>
              <w:ind w:left="720"/>
              <w:jc w:val="center"/>
              <w:rPr>
                <w:rFonts w:cstheme="minorHAnsi"/>
                <w:b/>
                <w:bCs/>
              </w:rPr>
            </w:pPr>
            <w:r>
              <w:rPr>
                <w:rFonts w:cstheme="minorHAnsi"/>
                <w:b/>
                <w:bCs/>
              </w:rPr>
              <w:t>CAPAA</w:t>
            </w:r>
            <w:r w:rsidR="00C47ADC" w:rsidRPr="00735F94">
              <w:rPr>
                <w:rFonts w:cstheme="minorHAnsi"/>
                <w:b/>
                <w:bCs/>
              </w:rPr>
              <w:t xml:space="preserve"> position</w:t>
            </w:r>
          </w:p>
        </w:tc>
      </w:tr>
      <w:tr w:rsidR="00732E0F" w:rsidRPr="00735F94" w14:paraId="00F705A7" w14:textId="77777777" w:rsidTr="00735F94">
        <w:tc>
          <w:tcPr>
            <w:tcW w:w="5098" w:type="dxa"/>
          </w:tcPr>
          <w:p w14:paraId="51279B59" w14:textId="77777777" w:rsidR="00732E0F" w:rsidRDefault="00732E0F" w:rsidP="00732E0F">
            <w:pPr>
              <w:ind w:left="720"/>
            </w:pPr>
          </w:p>
          <w:p w14:paraId="1B84D3E2" w14:textId="3870E6FF" w:rsidR="00732E0F" w:rsidRPr="00BE3313" w:rsidRDefault="00BE3313" w:rsidP="00732E0F">
            <w:pPr>
              <w:ind w:left="720"/>
              <w:rPr>
                <w:rFonts w:cstheme="minorHAnsi"/>
              </w:rPr>
            </w:pPr>
            <w:r>
              <w:rPr>
                <w:rFonts w:cstheme="minorHAnsi"/>
              </w:rPr>
              <w:t>Affordability of, and access to, quality ECEC services that meet the needs of families and children</w:t>
            </w:r>
            <w:r w:rsidR="00961642">
              <w:rPr>
                <w:rFonts w:cstheme="minorHAnsi"/>
              </w:rPr>
              <w:t>.</w:t>
            </w:r>
          </w:p>
        </w:tc>
        <w:tc>
          <w:tcPr>
            <w:tcW w:w="5358" w:type="dxa"/>
          </w:tcPr>
          <w:p w14:paraId="062DE5FE" w14:textId="77777777" w:rsidR="00732E0F" w:rsidRPr="00735F94" w:rsidRDefault="00732E0F" w:rsidP="00732E0F">
            <w:pPr>
              <w:rPr>
                <w:rFonts w:cstheme="minorHAnsi"/>
              </w:rPr>
            </w:pPr>
          </w:p>
          <w:p w14:paraId="6789D598" w14:textId="77777777" w:rsidR="004F4D15" w:rsidRDefault="00961642" w:rsidP="00732E0F">
            <w:pPr>
              <w:pStyle w:val="ListParagraph"/>
              <w:numPr>
                <w:ilvl w:val="0"/>
                <w:numId w:val="9"/>
              </w:numPr>
              <w:rPr>
                <w:rFonts w:cstheme="minorHAnsi"/>
              </w:rPr>
            </w:pPr>
            <w:r>
              <w:rPr>
                <w:rFonts w:cstheme="minorHAnsi"/>
              </w:rPr>
              <w:t xml:space="preserve">Government to consider including the Au Pair model as a suitable alternative to </w:t>
            </w:r>
            <w:r w:rsidR="00126230">
              <w:rPr>
                <w:rFonts w:cstheme="minorHAnsi"/>
              </w:rPr>
              <w:t xml:space="preserve">traditional </w:t>
            </w:r>
            <w:r>
              <w:rPr>
                <w:rFonts w:cstheme="minorHAnsi"/>
              </w:rPr>
              <w:t>childcare</w:t>
            </w:r>
            <w:r w:rsidR="00126230">
              <w:rPr>
                <w:rFonts w:cstheme="minorHAnsi"/>
              </w:rPr>
              <w:t xml:space="preserve"> options</w:t>
            </w:r>
            <w:r>
              <w:rPr>
                <w:rFonts w:cstheme="minorHAnsi"/>
              </w:rPr>
              <w:t xml:space="preserve"> for all families in need of effective ECEC solutions.</w:t>
            </w:r>
            <w:r w:rsidR="004F4D15">
              <w:rPr>
                <w:rFonts w:cstheme="minorHAnsi"/>
              </w:rPr>
              <w:t xml:space="preserve"> </w:t>
            </w:r>
          </w:p>
          <w:p w14:paraId="29DCFFC4" w14:textId="2676F8EE" w:rsidR="00732E0F" w:rsidRDefault="004F4D15" w:rsidP="00732E0F">
            <w:pPr>
              <w:pStyle w:val="ListParagraph"/>
              <w:numPr>
                <w:ilvl w:val="0"/>
                <w:numId w:val="9"/>
              </w:numPr>
              <w:rPr>
                <w:rFonts w:cstheme="minorHAnsi"/>
              </w:rPr>
            </w:pPr>
            <w:r>
              <w:rPr>
                <w:rFonts w:cstheme="minorHAnsi"/>
              </w:rPr>
              <w:t xml:space="preserve">Government to consider the role au pairs can play in regional Australia who have limited access to traditional childcare, and to families needing childcare outside of traditional hours.  </w:t>
            </w:r>
          </w:p>
          <w:p w14:paraId="51C1556D" w14:textId="58DCBF46" w:rsidR="00732E0F" w:rsidRPr="00961642" w:rsidRDefault="00732E0F" w:rsidP="004F4D15">
            <w:pPr>
              <w:pStyle w:val="ListParagraph"/>
              <w:ind w:left="360"/>
              <w:rPr>
                <w:rFonts w:cstheme="minorHAnsi"/>
              </w:rPr>
            </w:pPr>
          </w:p>
        </w:tc>
      </w:tr>
      <w:tr w:rsidR="00E72E23" w:rsidRPr="00735F94" w14:paraId="3689E65F" w14:textId="77777777" w:rsidTr="00735F94">
        <w:tc>
          <w:tcPr>
            <w:tcW w:w="5098" w:type="dxa"/>
          </w:tcPr>
          <w:p w14:paraId="08E5B2B3" w14:textId="450971DB" w:rsidR="00E72E23" w:rsidRDefault="00614DE3" w:rsidP="00F33E58">
            <w:pPr>
              <w:ind w:left="720"/>
            </w:pPr>
            <w:r>
              <w:t>Economic growth, including</w:t>
            </w:r>
            <w:r w:rsidR="00954433">
              <w:t>,</w:t>
            </w:r>
            <w:r>
              <w:t xml:space="preserve"> through enabling workforce participation, particularly for women and contributing to productivity</w:t>
            </w:r>
          </w:p>
        </w:tc>
        <w:tc>
          <w:tcPr>
            <w:tcW w:w="5358" w:type="dxa"/>
          </w:tcPr>
          <w:p w14:paraId="600B550B" w14:textId="1DA6B39D" w:rsidR="005A286B" w:rsidRDefault="00961642" w:rsidP="00322FE1">
            <w:pPr>
              <w:pStyle w:val="Bullet"/>
              <w:rPr>
                <w:rFonts w:ascii="Calibri" w:hAnsi="Calibri" w:cs="Calibri"/>
              </w:rPr>
            </w:pPr>
            <w:r>
              <w:rPr>
                <w:rFonts w:ascii="Calibri" w:hAnsi="Calibri" w:cs="Calibri"/>
              </w:rPr>
              <w:t xml:space="preserve">By providing suitable alternatives to traditional childcare models, </w:t>
            </w:r>
            <w:r w:rsidR="004F4D15">
              <w:rPr>
                <w:rFonts w:ascii="Calibri" w:hAnsi="Calibri" w:cs="Calibri"/>
              </w:rPr>
              <w:t xml:space="preserve">Au Pairs </w:t>
            </w:r>
            <w:r>
              <w:rPr>
                <w:rFonts w:ascii="Calibri" w:hAnsi="Calibri" w:cs="Calibri"/>
              </w:rPr>
              <w:t>offer women</w:t>
            </w:r>
            <w:r w:rsidR="00D9726D">
              <w:rPr>
                <w:rFonts w:ascii="Calibri" w:hAnsi="Calibri" w:cs="Calibri"/>
              </w:rPr>
              <w:t xml:space="preserve"> the chance to </w:t>
            </w:r>
            <w:r>
              <w:rPr>
                <w:rFonts w:ascii="Calibri" w:hAnsi="Calibri" w:cs="Calibri"/>
              </w:rPr>
              <w:t>return to the workforc</w:t>
            </w:r>
            <w:r w:rsidR="00D9726D">
              <w:rPr>
                <w:rFonts w:ascii="Calibri" w:hAnsi="Calibri" w:cs="Calibri"/>
              </w:rPr>
              <w:t xml:space="preserve">e, thus </w:t>
            </w:r>
            <w:r w:rsidR="00954433">
              <w:rPr>
                <w:rFonts w:ascii="Calibri" w:hAnsi="Calibri" w:cs="Calibri"/>
              </w:rPr>
              <w:t>improving</w:t>
            </w:r>
            <w:r w:rsidR="00D9726D">
              <w:rPr>
                <w:rFonts w:ascii="Calibri" w:hAnsi="Calibri" w:cs="Calibri"/>
              </w:rPr>
              <w:t xml:space="preserve"> workforce participation.</w:t>
            </w:r>
            <w:r>
              <w:rPr>
                <w:rFonts w:ascii="Calibri" w:hAnsi="Calibri" w:cs="Calibri"/>
              </w:rPr>
              <w:t xml:space="preserve"> </w:t>
            </w:r>
          </w:p>
          <w:p w14:paraId="6F0539DE" w14:textId="7F802D95" w:rsidR="00E72E23" w:rsidRPr="00DE0AFC" w:rsidRDefault="00D9726D" w:rsidP="00DE0AFC">
            <w:pPr>
              <w:pStyle w:val="Bullet"/>
              <w:rPr>
                <w:rFonts w:ascii="Calibri" w:hAnsi="Calibri" w:cs="Calibri"/>
              </w:rPr>
            </w:pPr>
            <w:r w:rsidRPr="00D9726D">
              <w:rPr>
                <w:rFonts w:ascii="Calibri" w:hAnsi="Calibri" w:cs="Calibri"/>
              </w:rPr>
              <w:t xml:space="preserve">Au Pairs </w:t>
            </w:r>
            <w:r>
              <w:rPr>
                <w:rFonts w:ascii="Calibri" w:hAnsi="Calibri" w:cs="Calibri"/>
              </w:rPr>
              <w:t xml:space="preserve">can, and should, </w:t>
            </w:r>
            <w:r w:rsidRPr="00D9726D">
              <w:rPr>
                <w:rFonts w:ascii="Calibri" w:hAnsi="Calibri" w:cs="Calibri"/>
              </w:rPr>
              <w:t xml:space="preserve">play a critical role in the childcare landscape in Australia. For many families an Au Pair is the only option to allow parents to return to </w:t>
            </w:r>
            <w:r w:rsidRPr="00D9726D">
              <w:rPr>
                <w:rFonts w:ascii="Calibri" w:hAnsi="Calibri" w:cs="Calibri"/>
              </w:rPr>
              <w:lastRenderedPageBreak/>
              <w:t>the workforce. This is particularly the case in regional Australia where formal childcare is often non-existent, and for families who work outside of the standard 9-5 work hours.</w:t>
            </w:r>
          </w:p>
        </w:tc>
      </w:tr>
    </w:tbl>
    <w:p w14:paraId="00771E42" w14:textId="77777777" w:rsidR="00732E0F" w:rsidRDefault="00732E0F" w:rsidP="00C2638D">
      <w:pPr>
        <w:spacing w:line="240" w:lineRule="auto"/>
        <w:rPr>
          <w:rFonts w:cstheme="minorHAnsi"/>
        </w:rPr>
      </w:pPr>
    </w:p>
    <w:p w14:paraId="264527EC" w14:textId="681C4C9C" w:rsidR="00FD4883" w:rsidRPr="00FD4883" w:rsidRDefault="00FD4883" w:rsidP="00126230">
      <w:pPr>
        <w:spacing w:line="240" w:lineRule="auto"/>
        <w:jc w:val="both"/>
        <w:rPr>
          <w:rFonts w:cstheme="minorHAnsi"/>
        </w:rPr>
      </w:pPr>
      <w:r>
        <w:rPr>
          <w:rFonts w:cstheme="minorHAnsi"/>
        </w:rPr>
        <w:t xml:space="preserve">CAPAA is also aligned with the </w:t>
      </w:r>
      <w:r w:rsidRPr="00FD4883">
        <w:rPr>
          <w:rFonts w:cstheme="minorHAnsi"/>
        </w:rPr>
        <w:t>Australian Government</w:t>
      </w:r>
      <w:r>
        <w:rPr>
          <w:rFonts w:cstheme="minorHAnsi"/>
        </w:rPr>
        <w:t xml:space="preserve">’s development of the </w:t>
      </w:r>
      <w:r w:rsidRPr="00FD4883">
        <w:rPr>
          <w:rFonts w:cstheme="minorHAnsi"/>
        </w:rPr>
        <w:t>Early Years Strategy (the Strategy) to shape its vision for the future of Australia’s children and their families.</w:t>
      </w:r>
      <w:r w:rsidR="00126230">
        <w:rPr>
          <w:rFonts w:cstheme="minorHAnsi"/>
        </w:rPr>
        <w:t xml:space="preserve"> </w:t>
      </w:r>
      <w:hyperlink r:id="rId13" w:history="1">
        <w:r w:rsidR="00126230" w:rsidRPr="002749A0">
          <w:rPr>
            <w:rStyle w:val="Hyperlink"/>
            <w:rFonts w:cstheme="minorHAnsi"/>
          </w:rPr>
          <w:t>https://www.dss.gov.au/families-and-children-programs-services/early-years-strategy</w:t>
        </w:r>
      </w:hyperlink>
      <w:r w:rsidR="00126230">
        <w:rPr>
          <w:rFonts w:cstheme="minorHAnsi"/>
        </w:rPr>
        <w:t xml:space="preserve"> </w:t>
      </w:r>
    </w:p>
    <w:p w14:paraId="5449B135" w14:textId="1AE89985" w:rsidR="00FD4883" w:rsidRPr="00FD4883" w:rsidRDefault="00FD4883" w:rsidP="00126230">
      <w:pPr>
        <w:spacing w:line="240" w:lineRule="auto"/>
        <w:jc w:val="both"/>
        <w:rPr>
          <w:rFonts w:cstheme="minorHAnsi"/>
        </w:rPr>
      </w:pPr>
      <w:r>
        <w:rPr>
          <w:rFonts w:cstheme="minorHAnsi"/>
        </w:rPr>
        <w:t>The Government and CAPAA recognise</w:t>
      </w:r>
      <w:r w:rsidRPr="00FD4883">
        <w:rPr>
          <w:rFonts w:cstheme="minorHAnsi"/>
        </w:rPr>
        <w:t xml:space="preserve"> how critical the early years are for children’s development and continued success over their lifetime, </w:t>
      </w:r>
      <w:r w:rsidR="00126230">
        <w:rPr>
          <w:rFonts w:cstheme="minorHAnsi"/>
        </w:rPr>
        <w:t xml:space="preserve">and this </w:t>
      </w:r>
      <w:r w:rsidRPr="00FD4883">
        <w:rPr>
          <w:rFonts w:cstheme="minorHAnsi"/>
        </w:rPr>
        <w:t>Strategy will aim to deliver the best possible outcomes for Australian children.</w:t>
      </w:r>
    </w:p>
    <w:p w14:paraId="2C63013A" w14:textId="69B8A679" w:rsidR="00FD4883" w:rsidRPr="00FD4883" w:rsidRDefault="00126230" w:rsidP="00126230">
      <w:pPr>
        <w:spacing w:line="240" w:lineRule="auto"/>
        <w:jc w:val="both"/>
        <w:rPr>
          <w:rFonts w:cstheme="minorHAnsi"/>
        </w:rPr>
      </w:pPr>
      <w:r>
        <w:rPr>
          <w:rFonts w:cstheme="minorHAnsi"/>
        </w:rPr>
        <w:t xml:space="preserve">CAPAA appreciates that the </w:t>
      </w:r>
      <w:r w:rsidR="00FD4883" w:rsidRPr="00FD4883">
        <w:rPr>
          <w:rFonts w:cstheme="minorHAnsi"/>
        </w:rPr>
        <w:t>Strategy will help the Commonwealth create a more integrated, holistic approach to the early years and better support the education, wellbeing and development of Australia’s children. It will seek to support improved coordination between Commonwealth programs, funding and frameworks impacting early childhood development.</w:t>
      </w:r>
      <w:r>
        <w:rPr>
          <w:rFonts w:cstheme="minorHAnsi"/>
        </w:rPr>
        <w:t xml:space="preserve"> </w:t>
      </w:r>
    </w:p>
    <w:p w14:paraId="443C359E" w14:textId="687C9155" w:rsidR="00735F94" w:rsidRDefault="002770D1" w:rsidP="00126230">
      <w:pPr>
        <w:spacing w:line="240" w:lineRule="auto"/>
        <w:jc w:val="both"/>
        <w:rPr>
          <w:rFonts w:cstheme="minorHAnsi"/>
        </w:rPr>
      </w:pPr>
      <w:r w:rsidRPr="00735F94">
        <w:rPr>
          <w:rFonts w:cstheme="minorHAnsi"/>
        </w:rPr>
        <w:t xml:space="preserve">In summary, we request </w:t>
      </w:r>
      <w:r w:rsidR="00FE5E39" w:rsidRPr="00735F94">
        <w:rPr>
          <w:rFonts w:cstheme="minorHAnsi"/>
        </w:rPr>
        <w:t xml:space="preserve">that </w:t>
      </w:r>
      <w:r w:rsidR="00126230">
        <w:rPr>
          <w:rFonts w:cstheme="minorHAnsi"/>
        </w:rPr>
        <w:t>Au Pairs are a</w:t>
      </w:r>
      <w:r w:rsidR="00BF40B3" w:rsidRPr="00735F94">
        <w:rPr>
          <w:rFonts w:cstheme="minorHAnsi"/>
        </w:rPr>
        <w:t>fforded due consideration in the</w:t>
      </w:r>
      <w:r w:rsidR="00C10389" w:rsidRPr="00735F94">
        <w:rPr>
          <w:rFonts w:cstheme="minorHAnsi"/>
        </w:rPr>
        <w:t xml:space="preserve"> </w:t>
      </w:r>
      <w:r w:rsidR="00B66285">
        <w:rPr>
          <w:rFonts w:cstheme="minorHAnsi"/>
        </w:rPr>
        <w:t xml:space="preserve">recommendations </w:t>
      </w:r>
      <w:r w:rsidR="0047346D" w:rsidRPr="00735F94">
        <w:rPr>
          <w:rFonts w:cstheme="minorHAnsi"/>
        </w:rPr>
        <w:t>arising from</w:t>
      </w:r>
      <w:r w:rsidR="00FE336D">
        <w:rPr>
          <w:rFonts w:cstheme="minorHAnsi"/>
        </w:rPr>
        <w:t xml:space="preserve"> this inquiry</w:t>
      </w:r>
      <w:r w:rsidR="00BF40B3" w:rsidRPr="00735F94">
        <w:rPr>
          <w:rFonts w:cstheme="minorHAnsi"/>
        </w:rPr>
        <w:t xml:space="preserve">. </w:t>
      </w:r>
      <w:r w:rsidR="009E2F4D">
        <w:rPr>
          <w:rFonts w:cstheme="minorHAnsi"/>
        </w:rPr>
        <w:t xml:space="preserve"> </w:t>
      </w:r>
      <w:r w:rsidR="00732E0F">
        <w:rPr>
          <w:rFonts w:cstheme="minorHAnsi"/>
        </w:rPr>
        <w:t>I would</w:t>
      </w:r>
      <w:r w:rsidR="00301568" w:rsidRPr="00735F94">
        <w:rPr>
          <w:rFonts w:cstheme="minorHAnsi"/>
        </w:rPr>
        <w:t xml:space="preserve"> </w:t>
      </w:r>
      <w:r w:rsidR="0047346D" w:rsidRPr="00735F94">
        <w:rPr>
          <w:rFonts w:cstheme="minorHAnsi"/>
        </w:rPr>
        <w:t xml:space="preserve">also </w:t>
      </w:r>
      <w:r w:rsidR="00301568" w:rsidRPr="00735F94">
        <w:rPr>
          <w:rFonts w:cstheme="minorHAnsi"/>
        </w:rPr>
        <w:t>be happy t</w:t>
      </w:r>
      <w:r w:rsidR="00882D2C" w:rsidRPr="00735F94">
        <w:rPr>
          <w:rFonts w:cstheme="minorHAnsi"/>
        </w:rPr>
        <w:t>o elaborate further</w:t>
      </w:r>
      <w:r w:rsidR="00301568" w:rsidRPr="00735F94">
        <w:rPr>
          <w:rFonts w:cstheme="minorHAnsi"/>
        </w:rPr>
        <w:t xml:space="preserve"> </w:t>
      </w:r>
      <w:r w:rsidR="00E3740C" w:rsidRPr="00735F94">
        <w:rPr>
          <w:rFonts w:cstheme="minorHAnsi"/>
        </w:rPr>
        <w:t>on the issues</w:t>
      </w:r>
      <w:r w:rsidR="00FE336D">
        <w:rPr>
          <w:rFonts w:cstheme="minorHAnsi"/>
        </w:rPr>
        <w:t xml:space="preserve"> and to </w:t>
      </w:r>
      <w:r w:rsidR="00B66285">
        <w:rPr>
          <w:rFonts w:cstheme="minorHAnsi"/>
        </w:rPr>
        <w:t>give evidence at</w:t>
      </w:r>
      <w:r w:rsidR="00FE336D">
        <w:rPr>
          <w:rFonts w:cstheme="minorHAnsi"/>
        </w:rPr>
        <w:t xml:space="preserve"> public hearings</w:t>
      </w:r>
      <w:r w:rsidR="00B66285">
        <w:rPr>
          <w:rFonts w:cstheme="minorHAnsi"/>
        </w:rPr>
        <w:t xml:space="preserve"> (and arrange for </w:t>
      </w:r>
      <w:r w:rsidR="00126230">
        <w:rPr>
          <w:rFonts w:cstheme="minorHAnsi"/>
        </w:rPr>
        <w:t>host families and Au Pairs</w:t>
      </w:r>
      <w:r w:rsidR="00B66285">
        <w:rPr>
          <w:rFonts w:cstheme="minorHAnsi"/>
        </w:rPr>
        <w:t xml:space="preserve"> to do so</w:t>
      </w:r>
      <w:r w:rsidR="00DE0AFC">
        <w:rPr>
          <w:rFonts w:cstheme="minorHAnsi"/>
        </w:rPr>
        <w:t xml:space="preserve"> too</w:t>
      </w:r>
      <w:r w:rsidR="00B66285">
        <w:rPr>
          <w:rFonts w:cstheme="minorHAnsi"/>
        </w:rPr>
        <w:t xml:space="preserve"> if </w:t>
      </w:r>
      <w:r w:rsidR="00DE0AFC">
        <w:rPr>
          <w:rFonts w:cstheme="minorHAnsi"/>
        </w:rPr>
        <w:t>required</w:t>
      </w:r>
      <w:r w:rsidR="00B66285">
        <w:rPr>
          <w:rFonts w:cstheme="minorHAnsi"/>
        </w:rPr>
        <w:t>).</w:t>
      </w:r>
    </w:p>
    <w:p w14:paraId="32277E9D" w14:textId="3724C88A" w:rsidR="00794E9A" w:rsidRPr="00735F94" w:rsidRDefault="0063643F" w:rsidP="00C2638D">
      <w:pPr>
        <w:spacing w:line="240" w:lineRule="auto"/>
        <w:rPr>
          <w:rFonts w:cstheme="minorHAnsi"/>
        </w:rPr>
      </w:pPr>
      <w:r w:rsidRPr="00735F94">
        <w:rPr>
          <w:rFonts w:cstheme="minorHAnsi"/>
        </w:rPr>
        <w:t>Yours sincerely,</w:t>
      </w:r>
    </w:p>
    <w:p w14:paraId="69B88504" w14:textId="62F4D54C" w:rsidR="00794E9A" w:rsidRPr="00735F94" w:rsidRDefault="00794E9A" w:rsidP="00C2638D">
      <w:pPr>
        <w:spacing w:line="240" w:lineRule="auto"/>
        <w:rPr>
          <w:rFonts w:cstheme="minorHAnsi"/>
        </w:rPr>
      </w:pPr>
    </w:p>
    <w:p w14:paraId="513FD049" w14:textId="6FD34BF0" w:rsidR="00732E0F" w:rsidRDefault="00D9726D" w:rsidP="009E2F4D">
      <w:pPr>
        <w:spacing w:line="240" w:lineRule="auto"/>
        <w:rPr>
          <w:rFonts w:cstheme="minorHAnsi"/>
        </w:rPr>
      </w:pPr>
      <w:r>
        <w:rPr>
          <w:rFonts w:cstheme="minorHAnsi"/>
        </w:rPr>
        <w:t>Anna Prasad</w:t>
      </w:r>
    </w:p>
    <w:p w14:paraId="7B7AEBAD" w14:textId="10DBFFE6" w:rsidR="00F922CB" w:rsidRPr="00735F94" w:rsidRDefault="003434BD" w:rsidP="009E2F4D">
      <w:pPr>
        <w:spacing w:line="240" w:lineRule="auto"/>
        <w:rPr>
          <w:rFonts w:cstheme="minorHAnsi"/>
        </w:rPr>
      </w:pPr>
      <w:r w:rsidRPr="00735F94">
        <w:rPr>
          <w:rFonts w:cstheme="minorHAnsi"/>
          <w:b/>
          <w:bCs/>
        </w:rPr>
        <w:t xml:space="preserve">CHAIRPERSON, </w:t>
      </w:r>
      <w:r w:rsidR="00D9726D">
        <w:rPr>
          <w:rFonts w:cstheme="minorHAnsi"/>
          <w:b/>
          <w:bCs/>
        </w:rPr>
        <w:t>CAPAA</w:t>
      </w:r>
      <w:r w:rsidR="009E2F4D">
        <w:rPr>
          <w:rFonts w:cstheme="minorHAnsi"/>
        </w:rPr>
        <w:t xml:space="preserve">      </w:t>
      </w:r>
      <w:r w:rsidR="00735F94">
        <w:rPr>
          <w:rFonts w:cstheme="minorHAnsi"/>
        </w:rPr>
        <w:t xml:space="preserve"> </w:t>
      </w:r>
    </w:p>
    <w:sectPr w:rsidR="00F922CB" w:rsidRPr="00735F94" w:rsidSect="003434B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F466" w14:textId="77777777" w:rsidR="00DE2E8B" w:rsidRDefault="00DE2E8B" w:rsidP="00100FD9">
      <w:pPr>
        <w:spacing w:after="0" w:line="240" w:lineRule="auto"/>
      </w:pPr>
      <w:r>
        <w:separator/>
      </w:r>
    </w:p>
  </w:endnote>
  <w:endnote w:type="continuationSeparator" w:id="0">
    <w:p w14:paraId="2D010DF8" w14:textId="77777777" w:rsidR="00DE2E8B" w:rsidRDefault="00DE2E8B" w:rsidP="0010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BC02" w14:textId="228E82A8" w:rsidR="00732E0F" w:rsidRDefault="00961642" w:rsidP="00732E0F">
    <w:pPr>
      <w:spacing w:line="240" w:lineRule="auto"/>
      <w:jc w:val="center"/>
    </w:pPr>
    <w:r>
      <w:rPr>
        <w:rFonts w:cstheme="minorHAnsi"/>
        <w:b/>
        <w:bCs/>
        <w:sz w:val="16"/>
        <w:szCs w:val="16"/>
      </w:rPr>
      <w:t xml:space="preserve">Cultural Au Pair Association of Australia - </w:t>
    </w:r>
    <w:hyperlink r:id="rId1" w:history="1">
      <w:r w:rsidRPr="002749A0">
        <w:rPr>
          <w:rStyle w:val="Hyperlink"/>
          <w:rFonts w:cstheme="minorHAnsi"/>
          <w:b/>
          <w:bCs/>
          <w:sz w:val="16"/>
          <w:szCs w:val="16"/>
        </w:rPr>
        <w:t>https://capaa.org.au/</w:t>
      </w:r>
    </w:hyperlink>
    <w:r>
      <w:rPr>
        <w:rFonts w:cstheme="minorHAnsi"/>
        <w:b/>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4E92" w14:textId="77777777" w:rsidR="00DE2E8B" w:rsidRDefault="00DE2E8B" w:rsidP="00100FD9">
      <w:pPr>
        <w:spacing w:after="0" w:line="240" w:lineRule="auto"/>
      </w:pPr>
      <w:r>
        <w:separator/>
      </w:r>
    </w:p>
  </w:footnote>
  <w:footnote w:type="continuationSeparator" w:id="0">
    <w:p w14:paraId="2620DD17" w14:textId="77777777" w:rsidR="00DE2E8B" w:rsidRDefault="00DE2E8B" w:rsidP="00100FD9">
      <w:pPr>
        <w:spacing w:after="0" w:line="240" w:lineRule="auto"/>
      </w:pPr>
      <w:r>
        <w:continuationSeparator/>
      </w:r>
    </w:p>
  </w:footnote>
  <w:footnote w:id="1">
    <w:p w14:paraId="28C535BA" w14:textId="77777777" w:rsidR="00FD4883" w:rsidRDefault="00FD4883" w:rsidP="00FD4883">
      <w:pPr>
        <w:pStyle w:val="FootnoteText"/>
        <w:rPr>
          <w:rFonts w:ascii="Calibri" w:hAnsi="Calibri" w:cs="Calibri"/>
          <w:sz w:val="16"/>
          <w:szCs w:val="16"/>
        </w:rPr>
      </w:pPr>
      <w:r>
        <w:rPr>
          <w:rStyle w:val="FootnoteReference"/>
          <w:rFonts w:ascii="Calibri" w:hAnsi="Calibri" w:cs="Calibri"/>
          <w:sz w:val="16"/>
          <w:szCs w:val="16"/>
        </w:rPr>
        <w:footnoteRef/>
      </w:r>
      <w:r>
        <w:rPr>
          <w:rFonts w:ascii="Calibri" w:hAnsi="Calibri" w:cs="Calibri"/>
          <w:sz w:val="16"/>
          <w:szCs w:val="16"/>
        </w:rPr>
        <w:t xml:space="preserve"> 1 Flinders University, The Australian Experience: Perceptions of Australia’s WHM Program, July 2021</w:t>
      </w:r>
    </w:p>
    <w:p w14:paraId="30AAD792" w14:textId="77777777" w:rsidR="00FD4883" w:rsidRDefault="00FD4883" w:rsidP="00FD4883">
      <w:pPr>
        <w:pStyle w:val="FootnoteText"/>
        <w:rPr>
          <w:rFonts w:ascii="Calibri" w:hAnsi="Calibri"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0E9"/>
    <w:multiLevelType w:val="hybridMultilevel"/>
    <w:tmpl w:val="1B2830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0C217FC"/>
    <w:multiLevelType w:val="hybridMultilevel"/>
    <w:tmpl w:val="8AB6EE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7246E8"/>
    <w:multiLevelType w:val="hybridMultilevel"/>
    <w:tmpl w:val="0ECE6E18"/>
    <w:lvl w:ilvl="0" w:tplc="A078AC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B8A0458"/>
    <w:multiLevelType w:val="multilevel"/>
    <w:tmpl w:val="9C8C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E0094D"/>
    <w:multiLevelType w:val="hybridMultilevel"/>
    <w:tmpl w:val="0DF0064E"/>
    <w:lvl w:ilvl="0" w:tplc="FAAACE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23535FA"/>
    <w:multiLevelType w:val="hybridMultilevel"/>
    <w:tmpl w:val="CE94BD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D6B5224"/>
    <w:multiLevelType w:val="hybridMultilevel"/>
    <w:tmpl w:val="4582FDD8"/>
    <w:styleLink w:val="ChartandTableFootnoteAlphaList"/>
    <w:lvl w:ilvl="0" w:tplc="B5480DD6">
      <w:start w:val="1"/>
      <w:numFmt w:val="bullet"/>
      <w:pStyle w:val="Bullet"/>
      <w:lvlText w:val=""/>
      <w:lvlJc w:val="left"/>
      <w:pPr>
        <w:tabs>
          <w:tab w:val="num" w:pos="520"/>
        </w:tabs>
        <w:ind w:left="520" w:hanging="520"/>
      </w:pPr>
      <w:rPr>
        <w:rFonts w:ascii="Symbol" w:hAnsi="Symbol" w:hint="default"/>
        <w:color w:val="auto"/>
      </w:rPr>
    </w:lvl>
    <w:lvl w:ilvl="1" w:tplc="463A88F8">
      <w:start w:val="1"/>
      <w:numFmt w:val="bullet"/>
      <w:lvlText w:val="–"/>
      <w:lvlJc w:val="left"/>
      <w:pPr>
        <w:tabs>
          <w:tab w:val="num" w:pos="1040"/>
        </w:tabs>
        <w:ind w:left="1040" w:hanging="520"/>
      </w:pPr>
      <w:rPr>
        <w:rFonts w:ascii="Times New Roman" w:hAnsi="Times New Roman" w:hint="default"/>
      </w:rPr>
    </w:lvl>
    <w:lvl w:ilvl="2" w:tplc="3B5C8EFC">
      <w:start w:val="1"/>
      <w:numFmt w:val="bullet"/>
      <w:lvlText w:val=":"/>
      <w:lvlJc w:val="left"/>
      <w:pPr>
        <w:tabs>
          <w:tab w:val="num" w:pos="1560"/>
        </w:tabs>
        <w:ind w:left="1560" w:hanging="520"/>
      </w:pPr>
      <w:rPr>
        <w:rFonts w:ascii="Times New Roman" w:hAnsi="Times New Roman" w:hint="default"/>
      </w:rPr>
    </w:lvl>
    <w:lvl w:ilvl="3" w:tplc="F8069480">
      <w:start w:val="1"/>
      <w:numFmt w:val="decimal"/>
      <w:lvlText w:val="(%4)"/>
      <w:lvlJc w:val="left"/>
      <w:pPr>
        <w:ind w:left="1440" w:hanging="360"/>
      </w:pPr>
    </w:lvl>
    <w:lvl w:ilvl="4" w:tplc="8A7A0462">
      <w:start w:val="1"/>
      <w:numFmt w:val="lowerLetter"/>
      <w:lvlText w:val="(%5)"/>
      <w:lvlJc w:val="left"/>
      <w:pPr>
        <w:ind w:left="1800" w:hanging="360"/>
      </w:pPr>
    </w:lvl>
    <w:lvl w:ilvl="5" w:tplc="9A821042">
      <w:start w:val="1"/>
      <w:numFmt w:val="lowerRoman"/>
      <w:lvlText w:val="(%6)"/>
      <w:lvlJc w:val="left"/>
      <w:pPr>
        <w:ind w:left="2160" w:hanging="360"/>
      </w:pPr>
    </w:lvl>
    <w:lvl w:ilvl="6" w:tplc="12D6ED50">
      <w:start w:val="1"/>
      <w:numFmt w:val="decimal"/>
      <w:lvlText w:val="%7."/>
      <w:lvlJc w:val="left"/>
      <w:pPr>
        <w:ind w:left="2520" w:hanging="360"/>
      </w:pPr>
    </w:lvl>
    <w:lvl w:ilvl="7" w:tplc="B3E63584">
      <w:start w:val="1"/>
      <w:numFmt w:val="lowerLetter"/>
      <w:lvlText w:val="%8."/>
      <w:lvlJc w:val="left"/>
      <w:pPr>
        <w:ind w:left="2880" w:hanging="360"/>
      </w:pPr>
    </w:lvl>
    <w:lvl w:ilvl="8" w:tplc="6B143F00">
      <w:start w:val="1"/>
      <w:numFmt w:val="lowerRoman"/>
      <w:lvlText w:val="%9."/>
      <w:lvlJc w:val="left"/>
      <w:pPr>
        <w:ind w:left="3240" w:hanging="360"/>
      </w:pPr>
    </w:lvl>
  </w:abstractNum>
  <w:num w:numId="1" w16cid:durableId="706373489">
    <w:abstractNumId w:val="3"/>
  </w:num>
  <w:num w:numId="2" w16cid:durableId="350844317">
    <w:abstractNumId w:val="6"/>
  </w:num>
  <w:num w:numId="3" w16cid:durableId="821194712">
    <w:abstractNumId w:val="6"/>
    <w:lvlOverride w:ilvl="0">
      <w:lvl w:ilvl="0" w:tplc="B5480DD6">
        <w:start w:val="1"/>
        <w:numFmt w:val="bullet"/>
        <w:pStyle w:val="Bullet"/>
        <w:lvlText w:val=""/>
        <w:lvlJc w:val="left"/>
        <w:pPr>
          <w:tabs>
            <w:tab w:val="num" w:pos="520"/>
          </w:tabs>
          <w:ind w:left="520" w:hanging="520"/>
        </w:pPr>
        <w:rPr>
          <w:rFonts w:ascii="Symbol" w:hAnsi="Symbol" w:hint="default"/>
          <w:color w:val="auto"/>
          <w:sz w:val="20"/>
          <w:szCs w:val="18"/>
        </w:rPr>
      </w:lvl>
    </w:lvlOverride>
  </w:num>
  <w:num w:numId="4" w16cid:durableId="2107069071">
    <w:abstractNumId w:val="4"/>
  </w:num>
  <w:num w:numId="5" w16cid:durableId="777263258">
    <w:abstractNumId w:val="1"/>
  </w:num>
  <w:num w:numId="6" w16cid:durableId="754327475">
    <w:abstractNumId w:val="1"/>
  </w:num>
  <w:num w:numId="7" w16cid:durableId="281227398">
    <w:abstractNumId w:val="2"/>
  </w:num>
  <w:num w:numId="8" w16cid:durableId="1493450806">
    <w:abstractNumId w:val="0"/>
  </w:num>
  <w:num w:numId="9" w16cid:durableId="1183207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5F"/>
    <w:rsid w:val="00047EF9"/>
    <w:rsid w:val="00080AB3"/>
    <w:rsid w:val="000C7232"/>
    <w:rsid w:val="000E0691"/>
    <w:rsid w:val="000F6BEF"/>
    <w:rsid w:val="00100C88"/>
    <w:rsid w:val="00100FD9"/>
    <w:rsid w:val="00126230"/>
    <w:rsid w:val="00131B73"/>
    <w:rsid w:val="00144941"/>
    <w:rsid w:val="00151E57"/>
    <w:rsid w:val="001521E3"/>
    <w:rsid w:val="0017479B"/>
    <w:rsid w:val="001A2EC5"/>
    <w:rsid w:val="001B6210"/>
    <w:rsid w:val="001D3847"/>
    <w:rsid w:val="001E0F8C"/>
    <w:rsid w:val="002079DB"/>
    <w:rsid w:val="00233707"/>
    <w:rsid w:val="00237A34"/>
    <w:rsid w:val="00243614"/>
    <w:rsid w:val="00256C28"/>
    <w:rsid w:val="002770D1"/>
    <w:rsid w:val="0028154A"/>
    <w:rsid w:val="002820BC"/>
    <w:rsid w:val="002A6FC6"/>
    <w:rsid w:val="00301568"/>
    <w:rsid w:val="003174F9"/>
    <w:rsid w:val="00322FE1"/>
    <w:rsid w:val="003434BD"/>
    <w:rsid w:val="00354B1A"/>
    <w:rsid w:val="0036593A"/>
    <w:rsid w:val="003B4801"/>
    <w:rsid w:val="003C23E9"/>
    <w:rsid w:val="00404F9E"/>
    <w:rsid w:val="00416B8E"/>
    <w:rsid w:val="004216AE"/>
    <w:rsid w:val="00422A82"/>
    <w:rsid w:val="00423EFE"/>
    <w:rsid w:val="00430924"/>
    <w:rsid w:val="00440A54"/>
    <w:rsid w:val="0046436E"/>
    <w:rsid w:val="0046766A"/>
    <w:rsid w:val="00467F58"/>
    <w:rsid w:val="0047346D"/>
    <w:rsid w:val="00487985"/>
    <w:rsid w:val="004C0BA0"/>
    <w:rsid w:val="004D74C2"/>
    <w:rsid w:val="004F4D15"/>
    <w:rsid w:val="00500C67"/>
    <w:rsid w:val="00521419"/>
    <w:rsid w:val="00536D06"/>
    <w:rsid w:val="00542155"/>
    <w:rsid w:val="00594A5E"/>
    <w:rsid w:val="005A201B"/>
    <w:rsid w:val="005A286B"/>
    <w:rsid w:val="005A3342"/>
    <w:rsid w:val="005B0C3C"/>
    <w:rsid w:val="005C0323"/>
    <w:rsid w:val="005C4EF9"/>
    <w:rsid w:val="005D533E"/>
    <w:rsid w:val="005F73F2"/>
    <w:rsid w:val="005F74D3"/>
    <w:rsid w:val="0061025F"/>
    <w:rsid w:val="00614DE3"/>
    <w:rsid w:val="0062603F"/>
    <w:rsid w:val="00627CC0"/>
    <w:rsid w:val="0063643F"/>
    <w:rsid w:val="00642820"/>
    <w:rsid w:val="0066143A"/>
    <w:rsid w:val="0066452C"/>
    <w:rsid w:val="006653DD"/>
    <w:rsid w:val="006A765D"/>
    <w:rsid w:val="006F3F94"/>
    <w:rsid w:val="006F45A3"/>
    <w:rsid w:val="007010D3"/>
    <w:rsid w:val="00716999"/>
    <w:rsid w:val="007305B5"/>
    <w:rsid w:val="00732E0F"/>
    <w:rsid w:val="00735F94"/>
    <w:rsid w:val="0076104B"/>
    <w:rsid w:val="0078288C"/>
    <w:rsid w:val="00793C70"/>
    <w:rsid w:val="00794E9A"/>
    <w:rsid w:val="007A066A"/>
    <w:rsid w:val="007C32B9"/>
    <w:rsid w:val="007D223A"/>
    <w:rsid w:val="00832325"/>
    <w:rsid w:val="00882D2C"/>
    <w:rsid w:val="00883AC0"/>
    <w:rsid w:val="00885FFD"/>
    <w:rsid w:val="00890C9E"/>
    <w:rsid w:val="008A2012"/>
    <w:rsid w:val="008C0822"/>
    <w:rsid w:val="008C12F2"/>
    <w:rsid w:val="008E7433"/>
    <w:rsid w:val="00904FA0"/>
    <w:rsid w:val="00954433"/>
    <w:rsid w:val="00961642"/>
    <w:rsid w:val="00971D46"/>
    <w:rsid w:val="00987F0F"/>
    <w:rsid w:val="009A3034"/>
    <w:rsid w:val="009B3379"/>
    <w:rsid w:val="009D1DD9"/>
    <w:rsid w:val="009D5DF6"/>
    <w:rsid w:val="009E2F4D"/>
    <w:rsid w:val="009F2E4B"/>
    <w:rsid w:val="00A10F30"/>
    <w:rsid w:val="00A267EE"/>
    <w:rsid w:val="00A4118B"/>
    <w:rsid w:val="00A6347C"/>
    <w:rsid w:val="00A969F2"/>
    <w:rsid w:val="00AA6349"/>
    <w:rsid w:val="00AB187E"/>
    <w:rsid w:val="00AD31DD"/>
    <w:rsid w:val="00AE6B1B"/>
    <w:rsid w:val="00B13B88"/>
    <w:rsid w:val="00B272B7"/>
    <w:rsid w:val="00B314DF"/>
    <w:rsid w:val="00B44BD1"/>
    <w:rsid w:val="00B66285"/>
    <w:rsid w:val="00B75BB7"/>
    <w:rsid w:val="00BA55CF"/>
    <w:rsid w:val="00BB4A60"/>
    <w:rsid w:val="00BD3A4B"/>
    <w:rsid w:val="00BD3C2C"/>
    <w:rsid w:val="00BE31AA"/>
    <w:rsid w:val="00BE3313"/>
    <w:rsid w:val="00BF40B3"/>
    <w:rsid w:val="00C03FA4"/>
    <w:rsid w:val="00C04309"/>
    <w:rsid w:val="00C10389"/>
    <w:rsid w:val="00C1644B"/>
    <w:rsid w:val="00C2638D"/>
    <w:rsid w:val="00C26D48"/>
    <w:rsid w:val="00C47ADC"/>
    <w:rsid w:val="00C93647"/>
    <w:rsid w:val="00CB770A"/>
    <w:rsid w:val="00CC3DA5"/>
    <w:rsid w:val="00CF076B"/>
    <w:rsid w:val="00D238B2"/>
    <w:rsid w:val="00D302BC"/>
    <w:rsid w:val="00D4246C"/>
    <w:rsid w:val="00D50027"/>
    <w:rsid w:val="00D51ED1"/>
    <w:rsid w:val="00D546C4"/>
    <w:rsid w:val="00D573B3"/>
    <w:rsid w:val="00D60BBC"/>
    <w:rsid w:val="00D71207"/>
    <w:rsid w:val="00D9726D"/>
    <w:rsid w:val="00DA6E2A"/>
    <w:rsid w:val="00DC68DE"/>
    <w:rsid w:val="00DD00D8"/>
    <w:rsid w:val="00DE0AFC"/>
    <w:rsid w:val="00DE2E8B"/>
    <w:rsid w:val="00DE4C54"/>
    <w:rsid w:val="00DE7031"/>
    <w:rsid w:val="00E23DB2"/>
    <w:rsid w:val="00E25EF1"/>
    <w:rsid w:val="00E3401A"/>
    <w:rsid w:val="00E3740C"/>
    <w:rsid w:val="00E42D35"/>
    <w:rsid w:val="00E471FD"/>
    <w:rsid w:val="00E52F2B"/>
    <w:rsid w:val="00E72E23"/>
    <w:rsid w:val="00E860BE"/>
    <w:rsid w:val="00E8634B"/>
    <w:rsid w:val="00EA0068"/>
    <w:rsid w:val="00EA168E"/>
    <w:rsid w:val="00EF333D"/>
    <w:rsid w:val="00F25A35"/>
    <w:rsid w:val="00F273C2"/>
    <w:rsid w:val="00F33E58"/>
    <w:rsid w:val="00F401E8"/>
    <w:rsid w:val="00F922CB"/>
    <w:rsid w:val="00FA56AD"/>
    <w:rsid w:val="00FB2619"/>
    <w:rsid w:val="00FB4123"/>
    <w:rsid w:val="00FD4883"/>
    <w:rsid w:val="00FE336D"/>
    <w:rsid w:val="00FE5E39"/>
    <w:rsid w:val="00FF68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3E7A"/>
  <w15:docId w15:val="{0CCEB72B-80C8-44A5-81AA-22EB0CBB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644B"/>
    <w:rPr>
      <w:color w:val="0563C1" w:themeColor="hyperlink"/>
      <w:u w:val="single"/>
    </w:rPr>
  </w:style>
  <w:style w:type="character" w:styleId="UnresolvedMention">
    <w:name w:val="Unresolved Mention"/>
    <w:basedOn w:val="DefaultParagraphFont"/>
    <w:uiPriority w:val="99"/>
    <w:semiHidden/>
    <w:unhideWhenUsed/>
    <w:rsid w:val="00C1644B"/>
    <w:rPr>
      <w:color w:val="605E5C"/>
      <w:shd w:val="clear" w:color="auto" w:fill="E1DFDD"/>
    </w:rPr>
  </w:style>
  <w:style w:type="paragraph" w:customStyle="1" w:styleId="Bullet">
    <w:name w:val="Bullet"/>
    <w:basedOn w:val="Normal"/>
    <w:qFormat/>
    <w:rsid w:val="00D238B2"/>
    <w:pPr>
      <w:numPr>
        <w:numId w:val="2"/>
      </w:numPr>
      <w:tabs>
        <w:tab w:val="left" w:pos="720"/>
      </w:tabs>
      <w:spacing w:before="120" w:after="0" w:line="276" w:lineRule="auto"/>
      <w:ind w:left="284" w:hanging="284"/>
    </w:pPr>
    <w:rPr>
      <w:rFonts w:ascii="Calibri Light" w:eastAsia="Times New Roman" w:hAnsi="Calibri Light" w:cs="Times New Roman"/>
      <w:szCs w:val="20"/>
      <w:lang w:eastAsia="en-AU"/>
    </w:rPr>
  </w:style>
  <w:style w:type="numbering" w:customStyle="1" w:styleId="ChartandTableFootnoteAlphaList">
    <w:name w:val="ChartandTableFootnoteAlphaList"/>
    <w:uiPriority w:val="99"/>
    <w:rsid w:val="00D238B2"/>
    <w:pPr>
      <w:numPr>
        <w:numId w:val="2"/>
      </w:numPr>
    </w:pPr>
  </w:style>
  <w:style w:type="paragraph" w:customStyle="1" w:styleId="Boxbullet">
    <w:name w:val="Box bullet"/>
    <w:basedOn w:val="Bullet"/>
    <w:rsid w:val="00D238B2"/>
    <w:pPr>
      <w:spacing w:before="60"/>
      <w:ind w:left="170" w:hanging="170"/>
    </w:pPr>
    <w:rPr>
      <w:color w:val="0D0D0D" w:themeColor="text1" w:themeTint="F2"/>
    </w:rPr>
  </w:style>
  <w:style w:type="paragraph" w:styleId="ListParagraph">
    <w:name w:val="List Paragraph"/>
    <w:basedOn w:val="Normal"/>
    <w:uiPriority w:val="34"/>
    <w:qFormat/>
    <w:rsid w:val="00A969F2"/>
    <w:pPr>
      <w:ind w:left="720"/>
      <w:contextualSpacing/>
    </w:pPr>
  </w:style>
  <w:style w:type="character" w:styleId="FollowedHyperlink">
    <w:name w:val="FollowedHyperlink"/>
    <w:basedOn w:val="DefaultParagraphFont"/>
    <w:uiPriority w:val="99"/>
    <w:semiHidden/>
    <w:unhideWhenUsed/>
    <w:rsid w:val="00BB4A60"/>
    <w:rPr>
      <w:color w:val="954F72" w:themeColor="followedHyperlink"/>
      <w:u w:val="single"/>
    </w:rPr>
  </w:style>
  <w:style w:type="table" w:styleId="TableGrid">
    <w:name w:val="Table Grid"/>
    <w:basedOn w:val="TableNormal"/>
    <w:uiPriority w:val="39"/>
    <w:rsid w:val="00281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0F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FD9"/>
    <w:rPr>
      <w:sz w:val="20"/>
      <w:szCs w:val="20"/>
    </w:rPr>
  </w:style>
  <w:style w:type="character" w:styleId="FootnoteReference">
    <w:name w:val="footnote reference"/>
    <w:basedOn w:val="DefaultParagraphFont"/>
    <w:uiPriority w:val="99"/>
    <w:semiHidden/>
    <w:unhideWhenUsed/>
    <w:rsid w:val="00100FD9"/>
    <w:rPr>
      <w:vertAlign w:val="superscript"/>
    </w:rPr>
  </w:style>
  <w:style w:type="paragraph" w:styleId="Header">
    <w:name w:val="header"/>
    <w:basedOn w:val="Normal"/>
    <w:link w:val="HeaderChar"/>
    <w:uiPriority w:val="99"/>
    <w:unhideWhenUsed/>
    <w:rsid w:val="00732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E0F"/>
  </w:style>
  <w:style w:type="paragraph" w:styleId="Footer">
    <w:name w:val="footer"/>
    <w:basedOn w:val="Normal"/>
    <w:link w:val="FooterChar"/>
    <w:uiPriority w:val="99"/>
    <w:unhideWhenUsed/>
    <w:rsid w:val="00732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3576">
      <w:bodyDiv w:val="1"/>
      <w:marLeft w:val="0"/>
      <w:marRight w:val="0"/>
      <w:marTop w:val="0"/>
      <w:marBottom w:val="0"/>
      <w:divBdr>
        <w:top w:val="none" w:sz="0" w:space="0" w:color="auto"/>
        <w:left w:val="none" w:sz="0" w:space="0" w:color="auto"/>
        <w:bottom w:val="none" w:sz="0" w:space="0" w:color="auto"/>
        <w:right w:val="none" w:sz="0" w:space="0" w:color="auto"/>
      </w:divBdr>
    </w:div>
    <w:div w:id="919868390">
      <w:bodyDiv w:val="1"/>
      <w:marLeft w:val="0"/>
      <w:marRight w:val="0"/>
      <w:marTop w:val="0"/>
      <w:marBottom w:val="0"/>
      <w:divBdr>
        <w:top w:val="none" w:sz="0" w:space="0" w:color="auto"/>
        <w:left w:val="none" w:sz="0" w:space="0" w:color="auto"/>
        <w:bottom w:val="none" w:sz="0" w:space="0" w:color="auto"/>
        <w:right w:val="none" w:sz="0" w:space="0" w:color="auto"/>
      </w:divBdr>
      <w:divsChild>
        <w:div w:id="1079866651">
          <w:marLeft w:val="0"/>
          <w:marRight w:val="0"/>
          <w:marTop w:val="0"/>
          <w:marBottom w:val="0"/>
          <w:divBdr>
            <w:top w:val="none" w:sz="0" w:space="0" w:color="auto"/>
            <w:left w:val="none" w:sz="0" w:space="0" w:color="auto"/>
            <w:bottom w:val="none" w:sz="0" w:space="0" w:color="auto"/>
            <w:right w:val="none" w:sz="0" w:space="0" w:color="auto"/>
          </w:divBdr>
          <w:divsChild>
            <w:div w:id="1931544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442671">
                  <w:marLeft w:val="0"/>
                  <w:marRight w:val="0"/>
                  <w:marTop w:val="0"/>
                  <w:marBottom w:val="0"/>
                  <w:divBdr>
                    <w:top w:val="none" w:sz="0" w:space="0" w:color="auto"/>
                    <w:left w:val="none" w:sz="0" w:space="0" w:color="auto"/>
                    <w:bottom w:val="none" w:sz="0" w:space="0" w:color="auto"/>
                    <w:right w:val="none" w:sz="0" w:space="0" w:color="auto"/>
                  </w:divBdr>
                  <w:divsChild>
                    <w:div w:id="14710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857730">
      <w:bodyDiv w:val="1"/>
      <w:marLeft w:val="0"/>
      <w:marRight w:val="0"/>
      <w:marTop w:val="0"/>
      <w:marBottom w:val="0"/>
      <w:divBdr>
        <w:top w:val="none" w:sz="0" w:space="0" w:color="auto"/>
        <w:left w:val="none" w:sz="0" w:space="0" w:color="auto"/>
        <w:bottom w:val="none" w:sz="0" w:space="0" w:color="auto"/>
        <w:right w:val="none" w:sz="0" w:space="0" w:color="auto"/>
      </w:divBdr>
    </w:div>
    <w:div w:id="956789372">
      <w:bodyDiv w:val="1"/>
      <w:marLeft w:val="0"/>
      <w:marRight w:val="0"/>
      <w:marTop w:val="0"/>
      <w:marBottom w:val="0"/>
      <w:divBdr>
        <w:top w:val="none" w:sz="0" w:space="0" w:color="auto"/>
        <w:left w:val="none" w:sz="0" w:space="0" w:color="auto"/>
        <w:bottom w:val="none" w:sz="0" w:space="0" w:color="auto"/>
        <w:right w:val="none" w:sz="0" w:space="0" w:color="auto"/>
      </w:divBdr>
    </w:div>
    <w:div w:id="1600482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s.gov.au/families-and-children-programs-services/early-years-strateg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ldhood@pc.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apa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4d5f4d3d4f08a4335ec7d94920b33c33">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5439bbc23701da85e81d118f5952a258"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5FCFB-E093-47A5-8BAC-8E41028EF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366B4-3EAD-450C-B016-9D897C829C96}">
  <ds:schemaRefs>
    <ds:schemaRef ds:uri="http://schemas.openxmlformats.org/officeDocument/2006/bibliography"/>
  </ds:schemaRefs>
</ds:datastoreItem>
</file>

<file path=customXml/itemProps3.xml><?xml version="1.0" encoding="utf-8"?>
<ds:datastoreItem xmlns:ds="http://schemas.openxmlformats.org/officeDocument/2006/customXml" ds:itemID="{D743D929-5877-43A2-8977-09FF1922DD5D}">
  <ds:schemaRefs>
    <ds:schemaRef ds:uri="2bd5b147-e2fe-42ef-8982-611885f66b98"/>
    <ds:schemaRef ds:uri="ec91ab06-9460-473b-bf7c-09335e1bf025"/>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43C4761-BABB-4FBF-A1F2-4AEDBE8860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31 - Cultural Au Pair Association of Australia (CAPAA) - Early Childhood Education and Care - Public inquiry</vt:lpstr>
    </vt:vector>
  </TitlesOfParts>
  <Company>Cultural Au Pair Association of Australia (CAPAA)</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31 - Cultural Au Pair Association of Australia (CAPAA) - Early Childhood Education and Care - Public inquiry</dc:title>
  <dc:subject/>
  <dc:creator>Cultural Au Pair Association of Australia (CAPAA)</dc:creator>
  <cp:keywords/>
  <dc:description/>
  <cp:lastModifiedBy>Bianca Dobson</cp:lastModifiedBy>
  <cp:revision>3</cp:revision>
  <dcterms:created xsi:type="dcterms:W3CDTF">2023-05-18T02:05:00Z</dcterms:created>
  <dcterms:modified xsi:type="dcterms:W3CDTF">2023-05-19T03:00:00Z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