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3545" w14:textId="3B3E4A14" w:rsidR="00BB20CC" w:rsidRDefault="0089162C">
      <w:pPr>
        <w:rPr>
          <w:b/>
          <w:bCs/>
          <w:sz w:val="28"/>
          <w:szCs w:val="28"/>
          <w:lang w:val="en-CA"/>
        </w:rPr>
      </w:pPr>
      <w:r w:rsidRPr="00384EE5">
        <w:rPr>
          <w:b/>
          <w:bCs/>
          <w:sz w:val="28"/>
          <w:szCs w:val="28"/>
          <w:lang w:val="en-CA"/>
        </w:rPr>
        <w:t>Response to the Productivity Commission Draft Report</w:t>
      </w:r>
    </w:p>
    <w:p w14:paraId="11658DC1" w14:textId="77777777" w:rsidR="00384EE5" w:rsidRDefault="00384EE5" w:rsidP="00384EE5">
      <w:pPr>
        <w:rPr>
          <w:lang w:val="en-CA"/>
        </w:rPr>
      </w:pPr>
      <w:r>
        <w:rPr>
          <w:lang w:val="en-CA"/>
        </w:rPr>
        <w:t>Gordon Cleveland, Ph.D.,</w:t>
      </w:r>
    </w:p>
    <w:p w14:paraId="7FFBE3AD" w14:textId="77777777" w:rsidR="00384EE5" w:rsidRDefault="00384EE5" w:rsidP="00384EE5">
      <w:pPr>
        <w:rPr>
          <w:lang w:val="en-CA"/>
        </w:rPr>
      </w:pPr>
      <w:r>
        <w:rPr>
          <w:lang w:val="en-CA"/>
        </w:rPr>
        <w:t>Associate Professor of Economics Emeritus,</w:t>
      </w:r>
    </w:p>
    <w:p w14:paraId="7D5A5762" w14:textId="77777777" w:rsidR="00384EE5" w:rsidRDefault="00384EE5" w:rsidP="00384EE5">
      <w:pPr>
        <w:rPr>
          <w:lang w:val="en-CA"/>
        </w:rPr>
      </w:pPr>
      <w:r>
        <w:rPr>
          <w:lang w:val="en-CA"/>
        </w:rPr>
        <w:t>Department of Management,</w:t>
      </w:r>
    </w:p>
    <w:p w14:paraId="0DD74E67" w14:textId="77777777" w:rsidR="00384EE5" w:rsidRPr="00816210" w:rsidRDefault="00384EE5" w:rsidP="00384EE5">
      <w:pPr>
        <w:rPr>
          <w:lang w:val="en-CA"/>
        </w:rPr>
      </w:pPr>
      <w:r>
        <w:rPr>
          <w:lang w:val="en-CA"/>
        </w:rPr>
        <w:t>University of Toronto Scarborough</w:t>
      </w:r>
    </w:p>
    <w:p w14:paraId="4E1832E6" w14:textId="77777777" w:rsidR="00384EE5" w:rsidRDefault="00384EE5">
      <w:pPr>
        <w:rPr>
          <w:b/>
          <w:bCs/>
          <w:sz w:val="28"/>
          <w:szCs w:val="28"/>
          <w:lang w:val="en-CA"/>
        </w:rPr>
      </w:pPr>
    </w:p>
    <w:p w14:paraId="7EEEE044" w14:textId="120D9272" w:rsidR="00D4523B" w:rsidRPr="004E064A" w:rsidRDefault="00D4523B">
      <w:pPr>
        <w:rPr>
          <w:b/>
          <w:bCs/>
          <w:lang w:val="en-CA"/>
        </w:rPr>
      </w:pPr>
      <w:r w:rsidRPr="004E064A">
        <w:rPr>
          <w:b/>
          <w:bCs/>
          <w:lang w:val="en-CA"/>
        </w:rPr>
        <w:t>Main Messages</w:t>
      </w:r>
    </w:p>
    <w:p w14:paraId="562949C3" w14:textId="2D8B2316" w:rsidR="00D4523B" w:rsidRPr="00D4523B" w:rsidRDefault="00D4523B" w:rsidP="00D4523B">
      <w:pPr>
        <w:numPr>
          <w:ilvl w:val="0"/>
          <w:numId w:val="7"/>
        </w:numPr>
        <w:shd w:val="clear" w:color="auto" w:fill="FFFFFF"/>
        <w:rPr>
          <w:rFonts w:ascii="Calibri" w:eastAsia="Times New Roman" w:hAnsi="Calibri" w:cs="Calibri"/>
          <w:color w:val="242424"/>
          <w:kern w:val="0"/>
          <w:lang w:eastAsia="en-GB"/>
          <w14:ligatures w14:val="none"/>
        </w:rPr>
      </w:pPr>
      <w:r w:rsidRPr="004E064A">
        <w:rPr>
          <w:rFonts w:ascii="Calibri" w:eastAsia="Times New Roman" w:hAnsi="Calibri" w:cs="Calibri"/>
          <w:color w:val="242424"/>
          <w:kern w:val="0"/>
          <w:lang w:eastAsia="en-GB"/>
          <w14:ligatures w14:val="none"/>
        </w:rPr>
        <w:t xml:space="preserve">The final report of the Productivity Commission should lay out a </w:t>
      </w:r>
      <w:proofErr w:type="gramStart"/>
      <w:r w:rsidRPr="004E064A">
        <w:rPr>
          <w:rFonts w:ascii="Calibri" w:eastAsia="Times New Roman" w:hAnsi="Calibri" w:cs="Calibri"/>
          <w:color w:val="242424"/>
          <w:kern w:val="0"/>
          <w:lang w:eastAsia="en-GB"/>
          <w14:ligatures w14:val="none"/>
        </w:rPr>
        <w:t>10-20 year</w:t>
      </w:r>
      <w:proofErr w:type="gramEnd"/>
      <w:r w:rsidRPr="004E064A">
        <w:rPr>
          <w:rFonts w:ascii="Calibri" w:eastAsia="Times New Roman" w:hAnsi="Calibri" w:cs="Calibri"/>
          <w:color w:val="242424"/>
          <w:kern w:val="0"/>
          <w:lang w:eastAsia="en-GB"/>
          <w14:ligatures w14:val="none"/>
        </w:rPr>
        <w:t xml:space="preserve"> vision of recommended steps to achieve universal affordable, accessible, high quality child care.  The recommendations in the draft report </w:t>
      </w:r>
      <w:r w:rsidR="004E064A">
        <w:rPr>
          <w:rFonts w:ascii="Calibri" w:eastAsia="Times New Roman" w:hAnsi="Calibri" w:cs="Calibri"/>
          <w:color w:val="242424"/>
          <w:kern w:val="0"/>
          <w:lang w:eastAsia="en-GB"/>
          <w14:ligatures w14:val="none"/>
        </w:rPr>
        <w:t>go only</w:t>
      </w:r>
      <w:r w:rsidR="008C647A">
        <w:rPr>
          <w:rFonts w:ascii="Calibri" w:eastAsia="Times New Roman" w:hAnsi="Calibri" w:cs="Calibri"/>
          <w:color w:val="242424"/>
          <w:kern w:val="0"/>
          <w:lang w:eastAsia="en-GB"/>
          <w14:ligatures w14:val="none"/>
        </w:rPr>
        <w:t>\</w:t>
      </w:r>
      <w:r w:rsidRPr="004E064A">
        <w:rPr>
          <w:rFonts w:ascii="Calibri" w:eastAsia="Times New Roman" w:hAnsi="Calibri" w:cs="Calibri"/>
          <w:color w:val="242424"/>
          <w:kern w:val="0"/>
          <w:lang w:eastAsia="en-GB"/>
          <w14:ligatures w14:val="none"/>
        </w:rPr>
        <w:t xml:space="preserve"> part way to universal </w:t>
      </w:r>
      <w:proofErr w:type="gramStart"/>
      <w:r w:rsidRPr="004E064A">
        <w:rPr>
          <w:rFonts w:ascii="Calibri" w:eastAsia="Times New Roman" w:hAnsi="Calibri" w:cs="Calibri"/>
          <w:color w:val="242424"/>
          <w:kern w:val="0"/>
          <w:lang w:eastAsia="en-GB"/>
          <w14:ligatures w14:val="none"/>
        </w:rPr>
        <w:t>child care</w:t>
      </w:r>
      <w:proofErr w:type="gramEnd"/>
      <w:r w:rsidRPr="004E064A">
        <w:rPr>
          <w:rFonts w:ascii="Calibri" w:eastAsia="Times New Roman" w:hAnsi="Calibri" w:cs="Calibri"/>
          <w:color w:val="242424"/>
          <w:kern w:val="0"/>
          <w:lang w:eastAsia="en-GB"/>
          <w14:ligatures w14:val="none"/>
        </w:rPr>
        <w:t xml:space="preserve">.  The recommendations should include ways in which there can be guaranteed fee levels for parents, much greater financial accountability of operators, and </w:t>
      </w:r>
      <w:r w:rsidR="004E5BE1">
        <w:rPr>
          <w:rFonts w:ascii="Calibri" w:eastAsia="Times New Roman" w:hAnsi="Calibri" w:cs="Calibri"/>
          <w:color w:val="242424"/>
          <w:kern w:val="0"/>
          <w:lang w:eastAsia="en-GB"/>
          <w14:ligatures w14:val="none"/>
        </w:rPr>
        <w:t xml:space="preserve">substantial </w:t>
      </w:r>
      <w:r w:rsidRPr="004E064A">
        <w:rPr>
          <w:rFonts w:ascii="Calibri" w:eastAsia="Times New Roman" w:hAnsi="Calibri" w:cs="Calibri"/>
          <w:color w:val="242424"/>
          <w:kern w:val="0"/>
          <w:lang w:eastAsia="en-GB"/>
          <w14:ligatures w14:val="none"/>
        </w:rPr>
        <w:t xml:space="preserve">introduction of supply-side </w:t>
      </w:r>
      <w:proofErr w:type="gramStart"/>
      <w:r w:rsidRPr="004E064A">
        <w:rPr>
          <w:rFonts w:ascii="Calibri" w:eastAsia="Times New Roman" w:hAnsi="Calibri" w:cs="Calibri"/>
          <w:color w:val="242424"/>
          <w:kern w:val="0"/>
          <w:lang w:eastAsia="en-GB"/>
          <w14:ligatures w14:val="none"/>
        </w:rPr>
        <w:t>operational  funding</w:t>
      </w:r>
      <w:proofErr w:type="gramEnd"/>
      <w:r w:rsidRPr="004E064A">
        <w:rPr>
          <w:rFonts w:ascii="Calibri" w:eastAsia="Times New Roman" w:hAnsi="Calibri" w:cs="Calibri"/>
          <w:color w:val="242424"/>
          <w:kern w:val="0"/>
          <w:lang w:eastAsia="en-GB"/>
          <w14:ligatures w14:val="none"/>
        </w:rPr>
        <w:t>.</w:t>
      </w:r>
      <w:r w:rsidRPr="00D4523B">
        <w:rPr>
          <w:rFonts w:ascii="Calibri" w:eastAsia="Times New Roman" w:hAnsi="Calibri" w:cs="Calibri"/>
          <w:color w:val="242424"/>
          <w:kern w:val="0"/>
          <w:lang w:eastAsia="en-GB"/>
          <w14:ligatures w14:val="none"/>
        </w:rPr>
        <w:t> </w:t>
      </w:r>
    </w:p>
    <w:p w14:paraId="08FFA099" w14:textId="404A9951" w:rsidR="00D4523B" w:rsidRPr="004E064A" w:rsidRDefault="00D4523B" w:rsidP="00D4523B">
      <w:pPr>
        <w:numPr>
          <w:ilvl w:val="0"/>
          <w:numId w:val="7"/>
        </w:numPr>
        <w:shd w:val="clear" w:color="auto" w:fill="FFFFFF"/>
        <w:rPr>
          <w:rFonts w:ascii="Calibri" w:eastAsia="Times New Roman" w:hAnsi="Calibri" w:cs="Calibri"/>
          <w:color w:val="242424"/>
          <w:kern w:val="0"/>
          <w:lang w:eastAsia="en-GB"/>
          <w14:ligatures w14:val="none"/>
        </w:rPr>
      </w:pPr>
      <w:r w:rsidRPr="004E064A">
        <w:rPr>
          <w:rFonts w:ascii="Calibri" w:eastAsia="Times New Roman" w:hAnsi="Calibri" w:cs="Calibri"/>
          <w:color w:val="242424"/>
          <w:kern w:val="0"/>
          <w:lang w:eastAsia="en-GB"/>
          <w14:ligatures w14:val="none"/>
        </w:rPr>
        <w:t>There should be a much stronger gender equity lens by which recommendations are judged and through which recommendations are presented.  This would affect recommendation</w:t>
      </w:r>
      <w:r w:rsidR="00922450" w:rsidRPr="004E064A">
        <w:rPr>
          <w:rFonts w:ascii="Calibri" w:eastAsia="Times New Roman" w:hAnsi="Calibri" w:cs="Calibri"/>
          <w:color w:val="242424"/>
          <w:kern w:val="0"/>
          <w:lang w:eastAsia="en-GB"/>
          <w14:ligatures w14:val="none"/>
        </w:rPr>
        <w:t xml:space="preserve">s that imply that </w:t>
      </w:r>
      <w:r w:rsidRPr="004E064A">
        <w:rPr>
          <w:rFonts w:ascii="Calibri" w:eastAsia="Times New Roman" w:hAnsi="Calibri" w:cs="Calibri"/>
          <w:color w:val="242424"/>
          <w:kern w:val="0"/>
          <w:lang w:eastAsia="en-GB"/>
          <w14:ligatures w14:val="none"/>
        </w:rPr>
        <w:t xml:space="preserve">3 days a week </w:t>
      </w:r>
      <w:r w:rsidR="00922450" w:rsidRPr="004E064A">
        <w:rPr>
          <w:rFonts w:ascii="Calibri" w:eastAsia="Times New Roman" w:hAnsi="Calibri" w:cs="Calibri"/>
          <w:color w:val="242424"/>
          <w:kern w:val="0"/>
          <w:lang w:eastAsia="en-GB"/>
          <w14:ligatures w14:val="none"/>
        </w:rPr>
        <w:t>is</w:t>
      </w:r>
      <w:r w:rsidRPr="004E064A">
        <w:rPr>
          <w:rFonts w:ascii="Calibri" w:eastAsia="Times New Roman" w:hAnsi="Calibri" w:cs="Calibri"/>
          <w:color w:val="242424"/>
          <w:kern w:val="0"/>
          <w:lang w:eastAsia="en-GB"/>
          <w14:ligatures w14:val="none"/>
        </w:rPr>
        <w:t xml:space="preserve"> the norm for </w:t>
      </w:r>
      <w:proofErr w:type="gramStart"/>
      <w:r w:rsidRPr="004E064A">
        <w:rPr>
          <w:rFonts w:ascii="Calibri" w:eastAsia="Times New Roman" w:hAnsi="Calibri" w:cs="Calibri"/>
          <w:color w:val="242424"/>
          <w:kern w:val="0"/>
          <w:lang w:eastAsia="en-GB"/>
          <w14:ligatures w14:val="none"/>
        </w:rPr>
        <w:t>child care</w:t>
      </w:r>
      <w:proofErr w:type="gramEnd"/>
      <w:r w:rsidRPr="004E064A">
        <w:rPr>
          <w:rFonts w:ascii="Calibri" w:eastAsia="Times New Roman" w:hAnsi="Calibri" w:cs="Calibri"/>
          <w:color w:val="242424"/>
          <w:kern w:val="0"/>
          <w:lang w:eastAsia="en-GB"/>
          <w14:ligatures w14:val="none"/>
        </w:rPr>
        <w:t xml:space="preserve"> attendance and </w:t>
      </w:r>
      <w:r w:rsidR="00922450" w:rsidRPr="004E064A">
        <w:rPr>
          <w:rFonts w:ascii="Calibri" w:eastAsia="Times New Roman" w:hAnsi="Calibri" w:cs="Calibri"/>
          <w:color w:val="242424"/>
          <w:kern w:val="0"/>
          <w:lang w:eastAsia="en-GB"/>
          <w14:ligatures w14:val="none"/>
        </w:rPr>
        <w:t>mothers’ participation in the labour force.</w:t>
      </w:r>
    </w:p>
    <w:p w14:paraId="724DA035" w14:textId="70924ACD" w:rsidR="009845D6" w:rsidRPr="004E064A" w:rsidRDefault="00112644" w:rsidP="00D4523B">
      <w:pPr>
        <w:numPr>
          <w:ilvl w:val="0"/>
          <w:numId w:val="7"/>
        </w:numPr>
        <w:shd w:val="clear" w:color="auto" w:fill="FFFFFF"/>
        <w:rPr>
          <w:rFonts w:ascii="Calibri" w:eastAsia="Times New Roman" w:hAnsi="Calibri" w:cs="Calibri"/>
          <w:color w:val="242424"/>
          <w:kern w:val="0"/>
          <w:lang w:eastAsia="en-GB"/>
          <w14:ligatures w14:val="none"/>
        </w:rPr>
      </w:pPr>
      <w:r w:rsidRPr="004E064A">
        <w:rPr>
          <w:rFonts w:ascii="Calibri" w:eastAsia="Times New Roman" w:hAnsi="Calibri" w:cs="Calibri"/>
          <w:color w:val="242424"/>
          <w:kern w:val="0"/>
          <w:lang w:eastAsia="en-GB"/>
          <w14:ligatures w14:val="none"/>
        </w:rPr>
        <w:t>T</w:t>
      </w:r>
      <w:r w:rsidR="009845D6" w:rsidRPr="004E064A">
        <w:rPr>
          <w:rFonts w:ascii="Calibri" w:eastAsia="Times New Roman" w:hAnsi="Calibri" w:cs="Calibri"/>
          <w:color w:val="242424"/>
          <w:kern w:val="0"/>
          <w:lang w:eastAsia="en-GB"/>
          <w14:ligatures w14:val="none"/>
        </w:rPr>
        <w:t xml:space="preserve">he commercialization of </w:t>
      </w:r>
      <w:proofErr w:type="gramStart"/>
      <w:r w:rsidR="009845D6" w:rsidRPr="004E064A">
        <w:rPr>
          <w:rFonts w:ascii="Calibri" w:eastAsia="Times New Roman" w:hAnsi="Calibri" w:cs="Calibri"/>
          <w:color w:val="242424"/>
          <w:kern w:val="0"/>
          <w:lang w:eastAsia="en-GB"/>
          <w14:ligatures w14:val="none"/>
        </w:rPr>
        <w:t>child care</w:t>
      </w:r>
      <w:proofErr w:type="gramEnd"/>
      <w:r w:rsidR="009845D6" w:rsidRPr="004E064A">
        <w:rPr>
          <w:rFonts w:ascii="Calibri" w:eastAsia="Times New Roman" w:hAnsi="Calibri" w:cs="Calibri"/>
          <w:color w:val="242424"/>
          <w:kern w:val="0"/>
          <w:lang w:eastAsia="en-GB"/>
          <w14:ligatures w14:val="none"/>
        </w:rPr>
        <w:t xml:space="preserve"> provision</w:t>
      </w:r>
      <w:r w:rsidRPr="004E064A">
        <w:rPr>
          <w:rFonts w:ascii="Calibri" w:eastAsia="Times New Roman" w:hAnsi="Calibri" w:cs="Calibri"/>
          <w:color w:val="242424"/>
          <w:kern w:val="0"/>
          <w:lang w:eastAsia="en-GB"/>
          <w14:ligatures w14:val="none"/>
        </w:rPr>
        <w:t xml:space="preserve"> should be an issue of concern</w:t>
      </w:r>
      <w:r w:rsidR="009845D6" w:rsidRPr="004E064A">
        <w:rPr>
          <w:rFonts w:ascii="Calibri" w:eastAsia="Times New Roman" w:hAnsi="Calibri" w:cs="Calibri"/>
          <w:color w:val="242424"/>
          <w:kern w:val="0"/>
          <w:lang w:eastAsia="en-GB"/>
          <w14:ligatures w14:val="none"/>
        </w:rPr>
        <w:t xml:space="preserve">.  </w:t>
      </w:r>
      <w:proofErr w:type="gramStart"/>
      <w:r w:rsidRPr="004E064A">
        <w:rPr>
          <w:rFonts w:ascii="Calibri" w:eastAsia="Times New Roman" w:hAnsi="Calibri" w:cs="Calibri"/>
          <w:color w:val="242424"/>
          <w:kern w:val="0"/>
          <w:lang w:eastAsia="en-GB"/>
          <w14:ligatures w14:val="none"/>
        </w:rPr>
        <w:t>Child care</w:t>
      </w:r>
      <w:proofErr w:type="gramEnd"/>
      <w:r w:rsidRPr="004E064A">
        <w:rPr>
          <w:rFonts w:ascii="Calibri" w:eastAsia="Times New Roman" w:hAnsi="Calibri" w:cs="Calibri"/>
          <w:color w:val="242424"/>
          <w:kern w:val="0"/>
          <w:lang w:eastAsia="en-GB"/>
          <w14:ligatures w14:val="none"/>
        </w:rPr>
        <w:t xml:space="preserve"> growth has been very unbalanced</w:t>
      </w:r>
      <w:r w:rsidR="004E064A" w:rsidRPr="004E064A">
        <w:rPr>
          <w:rFonts w:ascii="Calibri" w:eastAsia="Times New Roman" w:hAnsi="Calibri" w:cs="Calibri"/>
          <w:color w:val="242424"/>
          <w:kern w:val="0"/>
          <w:lang w:eastAsia="en-GB"/>
          <w14:ligatures w14:val="none"/>
        </w:rPr>
        <w:t>; n</w:t>
      </w:r>
      <w:r w:rsidR="009845D6" w:rsidRPr="004E064A">
        <w:rPr>
          <w:rFonts w:ascii="Calibri" w:eastAsia="Times New Roman" w:hAnsi="Calibri" w:cs="Calibri"/>
          <w:color w:val="242424"/>
          <w:kern w:val="0"/>
          <w:lang w:eastAsia="en-GB"/>
          <w14:ligatures w14:val="none"/>
        </w:rPr>
        <w:t>early all new centre-based child care for at least 10 years, and probably 20 years, has been commercial</w:t>
      </w:r>
      <w:r w:rsidRPr="004E064A">
        <w:rPr>
          <w:rFonts w:ascii="Calibri" w:eastAsia="Times New Roman" w:hAnsi="Calibri" w:cs="Calibri"/>
          <w:color w:val="242424"/>
          <w:kern w:val="0"/>
          <w:lang w:eastAsia="en-GB"/>
          <w14:ligatures w14:val="none"/>
        </w:rPr>
        <w:t>.  There are not adequate supports needed for expansion of not-for-profit services.</w:t>
      </w:r>
    </w:p>
    <w:p w14:paraId="10133964" w14:textId="6F4E0E77" w:rsidR="004E064A" w:rsidRPr="00D4523B" w:rsidRDefault="004E064A" w:rsidP="00D4523B">
      <w:pPr>
        <w:numPr>
          <w:ilvl w:val="0"/>
          <w:numId w:val="7"/>
        </w:numPr>
        <w:shd w:val="clear" w:color="auto" w:fill="FFFFFF"/>
        <w:rPr>
          <w:rFonts w:ascii="Calibri" w:eastAsia="Times New Roman" w:hAnsi="Calibri" w:cs="Calibri"/>
          <w:color w:val="242424"/>
          <w:kern w:val="0"/>
          <w:lang w:eastAsia="en-GB"/>
          <w14:ligatures w14:val="none"/>
        </w:rPr>
      </w:pPr>
      <w:r w:rsidRPr="004E064A">
        <w:rPr>
          <w:rFonts w:ascii="Calibri" w:eastAsia="Times New Roman" w:hAnsi="Calibri" w:cs="Calibri"/>
          <w:color w:val="242424"/>
          <w:kern w:val="0"/>
          <w:lang w:eastAsia="en-GB"/>
          <w14:ligatures w14:val="none"/>
        </w:rPr>
        <w:t xml:space="preserve">In the draft report, the description and lessons learned from the experience of </w:t>
      </w:r>
      <w:proofErr w:type="gramStart"/>
      <w:r w:rsidRPr="004E064A">
        <w:rPr>
          <w:rFonts w:ascii="Calibri" w:eastAsia="Times New Roman" w:hAnsi="Calibri" w:cs="Calibri"/>
          <w:color w:val="242424"/>
          <w:kern w:val="0"/>
          <w:lang w:eastAsia="en-GB"/>
          <w14:ligatures w14:val="none"/>
        </w:rPr>
        <w:t>child care</w:t>
      </w:r>
      <w:proofErr w:type="gramEnd"/>
      <w:r w:rsidRPr="004E064A">
        <w:rPr>
          <w:rFonts w:ascii="Calibri" w:eastAsia="Times New Roman" w:hAnsi="Calibri" w:cs="Calibri"/>
          <w:color w:val="242424"/>
          <w:kern w:val="0"/>
          <w:lang w:eastAsia="en-GB"/>
          <w14:ligatures w14:val="none"/>
        </w:rPr>
        <w:t xml:space="preserve"> reforms in Quebec is one-sided.</w:t>
      </w:r>
    </w:p>
    <w:p w14:paraId="6D0B537A" w14:textId="77777777" w:rsidR="00D4523B" w:rsidRPr="00D4523B" w:rsidRDefault="00D4523B" w:rsidP="00D4523B">
      <w:pPr>
        <w:shd w:val="clear" w:color="auto" w:fill="FFFFFF"/>
        <w:textAlignment w:val="baseline"/>
        <w:rPr>
          <w:rFonts w:ascii="Calibri" w:eastAsia="Times New Roman" w:hAnsi="Calibri" w:cs="Calibri"/>
          <w:color w:val="242424"/>
          <w:kern w:val="0"/>
          <w:lang w:eastAsia="en-GB"/>
          <w14:ligatures w14:val="none"/>
        </w:rPr>
      </w:pPr>
      <w:r w:rsidRPr="00D4523B">
        <w:rPr>
          <w:rFonts w:ascii="Calibri" w:eastAsia="Times New Roman" w:hAnsi="Calibri" w:cs="Calibri"/>
          <w:color w:val="242424"/>
          <w:kern w:val="0"/>
          <w:lang w:eastAsia="en-GB"/>
          <w14:ligatures w14:val="none"/>
        </w:rPr>
        <w:t> </w:t>
      </w:r>
    </w:p>
    <w:p w14:paraId="212F8A90" w14:textId="77777777" w:rsidR="0089162C" w:rsidRDefault="0089162C">
      <w:pPr>
        <w:rPr>
          <w:b/>
          <w:bCs/>
          <w:lang w:val="en-CA"/>
        </w:rPr>
      </w:pPr>
    </w:p>
    <w:p w14:paraId="6625032B" w14:textId="171A48A0" w:rsidR="00830E50" w:rsidRDefault="0089162C">
      <w:pPr>
        <w:rPr>
          <w:lang w:val="en-CA"/>
        </w:rPr>
      </w:pPr>
      <w:r>
        <w:rPr>
          <w:lang w:val="en-CA"/>
        </w:rPr>
        <w:t xml:space="preserve">There are some good things about the </w:t>
      </w:r>
      <w:r w:rsidR="00856183">
        <w:rPr>
          <w:lang w:val="en-CA"/>
        </w:rPr>
        <w:t xml:space="preserve">lengthy and detailed </w:t>
      </w:r>
      <w:r>
        <w:rPr>
          <w:lang w:val="en-CA"/>
        </w:rPr>
        <w:t xml:space="preserve">Productivity Commission Draft Report.  </w:t>
      </w:r>
    </w:p>
    <w:p w14:paraId="11F095E3" w14:textId="77777777" w:rsidR="00830E50" w:rsidRDefault="00830E50">
      <w:pPr>
        <w:rPr>
          <w:lang w:val="en-CA"/>
        </w:rPr>
      </w:pPr>
    </w:p>
    <w:p w14:paraId="2A63FBCC" w14:textId="02C5B19F" w:rsidR="0089162C" w:rsidRDefault="0089162C">
      <w:pPr>
        <w:rPr>
          <w:lang w:val="en-CA"/>
        </w:rPr>
      </w:pPr>
      <w:r>
        <w:rPr>
          <w:lang w:val="en-CA"/>
        </w:rPr>
        <w:t xml:space="preserve">If there is not enough money to do everything right away, it is often sensible to prioritize providing </w:t>
      </w:r>
      <w:proofErr w:type="gramStart"/>
      <w:r w:rsidR="00FF16B8">
        <w:rPr>
          <w:lang w:val="en-CA"/>
        </w:rPr>
        <w:t>child care</w:t>
      </w:r>
      <w:proofErr w:type="gramEnd"/>
      <w:r w:rsidR="00FF16B8">
        <w:rPr>
          <w:lang w:val="en-CA"/>
        </w:rPr>
        <w:t xml:space="preserve"> </w:t>
      </w:r>
      <w:r>
        <w:rPr>
          <w:lang w:val="en-CA"/>
        </w:rPr>
        <w:t xml:space="preserve">services to children in lower-income families.  Moving to 100% subsidy and getting rid of the activity requirement for 3 days a week of </w:t>
      </w:r>
      <w:proofErr w:type="gramStart"/>
      <w:r>
        <w:rPr>
          <w:lang w:val="en-CA"/>
        </w:rPr>
        <w:t>child care</w:t>
      </w:r>
      <w:proofErr w:type="gramEnd"/>
      <w:r>
        <w:rPr>
          <w:lang w:val="en-CA"/>
        </w:rPr>
        <w:t xml:space="preserve"> services will address some </w:t>
      </w:r>
      <w:r w:rsidR="00007896">
        <w:rPr>
          <w:lang w:val="en-CA"/>
        </w:rPr>
        <w:t>important</w:t>
      </w:r>
      <w:r>
        <w:rPr>
          <w:lang w:val="en-CA"/>
        </w:rPr>
        <w:t xml:space="preserve"> barriers to participation by children in lower-income families</w:t>
      </w:r>
      <w:r w:rsidR="00E53641">
        <w:rPr>
          <w:lang w:val="en-CA"/>
        </w:rPr>
        <w:t xml:space="preserve"> while directing over half of the additional assistance to families in the lowest 20% of the income distribution</w:t>
      </w:r>
      <w:r>
        <w:rPr>
          <w:lang w:val="en-CA"/>
        </w:rPr>
        <w:t xml:space="preserve">.  Even here, there are </w:t>
      </w:r>
      <w:r w:rsidR="00B21BE3">
        <w:rPr>
          <w:lang w:val="en-CA"/>
        </w:rPr>
        <w:t>potential issues</w:t>
      </w:r>
      <w:r>
        <w:rPr>
          <w:lang w:val="en-CA"/>
        </w:rPr>
        <w:t xml:space="preserve"> with the proposals</w:t>
      </w:r>
      <w:r w:rsidR="00725A21">
        <w:rPr>
          <w:rStyle w:val="FootnoteReference"/>
          <w:lang w:val="en-CA"/>
        </w:rPr>
        <w:footnoteReference w:id="1"/>
      </w:r>
      <w:r w:rsidR="00725A21">
        <w:rPr>
          <w:lang w:val="en-CA"/>
        </w:rPr>
        <w:t>.</w:t>
      </w:r>
    </w:p>
    <w:p w14:paraId="3EA4ABAB" w14:textId="77777777" w:rsidR="00430BB4" w:rsidRDefault="00430BB4">
      <w:pPr>
        <w:rPr>
          <w:lang w:val="en-CA"/>
        </w:rPr>
      </w:pPr>
    </w:p>
    <w:p w14:paraId="0399D354" w14:textId="2FC24DC0" w:rsidR="00430BB4" w:rsidRDefault="00430BB4">
      <w:pPr>
        <w:rPr>
          <w:lang w:val="en-CA"/>
        </w:rPr>
      </w:pPr>
      <w:r>
        <w:rPr>
          <w:lang w:val="en-CA"/>
        </w:rPr>
        <w:lastRenderedPageBreak/>
        <w:t xml:space="preserve">Getting rid of the activity requirement for 3 days a week will also help some middle-income families where parents have irregular work activity and will tend to normalize regular </w:t>
      </w:r>
      <w:proofErr w:type="gramStart"/>
      <w:r>
        <w:rPr>
          <w:lang w:val="en-CA"/>
        </w:rPr>
        <w:t>child care</w:t>
      </w:r>
      <w:proofErr w:type="gramEnd"/>
      <w:r>
        <w:rPr>
          <w:lang w:val="en-CA"/>
        </w:rPr>
        <w:t xml:space="preserve"> attendance for children.</w:t>
      </w:r>
    </w:p>
    <w:p w14:paraId="0D0721BD" w14:textId="77777777" w:rsidR="00430BB4" w:rsidRDefault="00430BB4">
      <w:pPr>
        <w:rPr>
          <w:lang w:val="en-CA"/>
        </w:rPr>
      </w:pPr>
    </w:p>
    <w:p w14:paraId="2B017C57" w14:textId="103644D2" w:rsidR="00430BB4" w:rsidRDefault="00430BB4">
      <w:pPr>
        <w:rPr>
          <w:lang w:val="en-CA"/>
        </w:rPr>
      </w:pPr>
      <w:r>
        <w:rPr>
          <w:lang w:val="en-CA"/>
        </w:rPr>
        <w:t>And the Productivity Commission dips its toe in the water of supply-side funding in remote communities where the profit motive clearly does not adequately encourage needed supply.  This is an important start, even if a minor one.</w:t>
      </w:r>
    </w:p>
    <w:p w14:paraId="39D7A52E" w14:textId="77777777" w:rsidR="00122EAD" w:rsidRDefault="00122EAD">
      <w:pPr>
        <w:rPr>
          <w:lang w:val="en-CA"/>
        </w:rPr>
      </w:pPr>
    </w:p>
    <w:p w14:paraId="196CE85B" w14:textId="0E46C0A9" w:rsidR="00122EAD" w:rsidRDefault="00122EAD">
      <w:pPr>
        <w:rPr>
          <w:lang w:val="en-CA"/>
        </w:rPr>
      </w:pPr>
      <w:r>
        <w:rPr>
          <w:lang w:val="en-CA"/>
        </w:rPr>
        <w:t xml:space="preserve">However, </w:t>
      </w:r>
      <w:r w:rsidR="00573A78">
        <w:rPr>
          <w:lang w:val="en-CA"/>
        </w:rPr>
        <w:t xml:space="preserve">as a guide to the pathway to universal child care in </w:t>
      </w:r>
      <w:proofErr w:type="gramStart"/>
      <w:r w:rsidR="00573A78">
        <w:rPr>
          <w:lang w:val="en-CA"/>
        </w:rPr>
        <w:t xml:space="preserve">Australia,  </w:t>
      </w:r>
      <w:r w:rsidR="00430BB4">
        <w:rPr>
          <w:lang w:val="en-CA"/>
        </w:rPr>
        <w:t>the</w:t>
      </w:r>
      <w:proofErr w:type="gramEnd"/>
      <w:r w:rsidR="00430BB4">
        <w:rPr>
          <w:lang w:val="en-CA"/>
        </w:rPr>
        <w:t xml:space="preserve"> Productivity Commission’s draft report</w:t>
      </w:r>
      <w:r w:rsidR="00573A78">
        <w:rPr>
          <w:lang w:val="en-CA"/>
        </w:rPr>
        <w:t xml:space="preserve"> is disappointing.</w:t>
      </w:r>
    </w:p>
    <w:p w14:paraId="099E680A" w14:textId="77777777" w:rsidR="00122EAD" w:rsidRDefault="00122EAD">
      <w:pPr>
        <w:rPr>
          <w:lang w:val="en-CA"/>
        </w:rPr>
      </w:pPr>
    </w:p>
    <w:p w14:paraId="240166B0" w14:textId="3D57DC5C" w:rsidR="00122EAD" w:rsidRDefault="00122EAD" w:rsidP="00122EAD">
      <w:pPr>
        <w:pStyle w:val="ListParagraph"/>
        <w:numPr>
          <w:ilvl w:val="0"/>
          <w:numId w:val="1"/>
        </w:numPr>
        <w:rPr>
          <w:lang w:val="en-CA"/>
        </w:rPr>
      </w:pPr>
      <w:r>
        <w:rPr>
          <w:lang w:val="en-CA"/>
        </w:rPr>
        <w:t xml:space="preserve">The government asked for a plan to move towards universally accessible, affordable and high-quality </w:t>
      </w:r>
      <w:proofErr w:type="gramStart"/>
      <w:r>
        <w:rPr>
          <w:lang w:val="en-CA"/>
        </w:rPr>
        <w:t>child care</w:t>
      </w:r>
      <w:proofErr w:type="gramEnd"/>
      <w:r>
        <w:rPr>
          <w:lang w:val="en-CA"/>
        </w:rPr>
        <w:t xml:space="preserve">.  This draft report does not deliver this.  </w:t>
      </w:r>
      <w:proofErr w:type="gramStart"/>
      <w:r>
        <w:rPr>
          <w:lang w:val="en-CA"/>
        </w:rPr>
        <w:t>Instead</w:t>
      </w:r>
      <w:proofErr w:type="gramEnd"/>
      <w:r>
        <w:rPr>
          <w:lang w:val="en-CA"/>
        </w:rPr>
        <w:t xml:space="preserve"> it chooses to </w:t>
      </w:r>
      <w:r w:rsidR="00532AEE">
        <w:rPr>
          <w:lang w:val="en-CA"/>
        </w:rPr>
        <w:t xml:space="preserve">primarily </w:t>
      </w:r>
      <w:r>
        <w:rPr>
          <w:lang w:val="en-CA"/>
        </w:rPr>
        <w:t xml:space="preserve">fill one hole in the current state of accessibility – access by lower-income families.  Unless the Productivity Commission believes that all other families </w:t>
      </w:r>
      <w:r w:rsidR="00FC0CE4">
        <w:rPr>
          <w:lang w:val="en-CA"/>
        </w:rPr>
        <w:t xml:space="preserve">already </w:t>
      </w:r>
      <w:r>
        <w:rPr>
          <w:lang w:val="en-CA"/>
        </w:rPr>
        <w:t xml:space="preserve">had affordable access to </w:t>
      </w:r>
      <w:proofErr w:type="gramStart"/>
      <w:r>
        <w:rPr>
          <w:lang w:val="en-CA"/>
        </w:rPr>
        <w:t>child care</w:t>
      </w:r>
      <w:proofErr w:type="gramEnd"/>
      <w:r w:rsidR="00F239B9">
        <w:rPr>
          <w:lang w:val="en-CA"/>
        </w:rPr>
        <w:t xml:space="preserve"> (which is unlikely since the average out-of-pocket amount </w:t>
      </w:r>
      <w:r w:rsidR="00053E65">
        <w:rPr>
          <w:lang w:val="en-CA"/>
        </w:rPr>
        <w:t xml:space="preserve">that </w:t>
      </w:r>
      <w:r w:rsidR="00F239B9">
        <w:rPr>
          <w:lang w:val="en-CA"/>
        </w:rPr>
        <w:t>parents pay for centre-based child care is $4</w:t>
      </w:r>
      <w:r w:rsidR="00F53064">
        <w:rPr>
          <w:lang w:val="en-CA"/>
        </w:rPr>
        <w:t>4.42</w:t>
      </w:r>
      <w:r w:rsidR="00F239B9">
        <w:rPr>
          <w:lang w:val="en-CA"/>
        </w:rPr>
        <w:t xml:space="preserve"> a day</w:t>
      </w:r>
      <w:r w:rsidR="00F53064">
        <w:rPr>
          <w:lang w:val="en-CA"/>
        </w:rPr>
        <w:t xml:space="preserve"> per child</w:t>
      </w:r>
      <w:r w:rsidR="00F239B9">
        <w:rPr>
          <w:lang w:val="en-CA"/>
        </w:rPr>
        <w:t>)</w:t>
      </w:r>
      <w:r>
        <w:rPr>
          <w:lang w:val="en-CA"/>
        </w:rPr>
        <w:t xml:space="preserve">, remedying this </w:t>
      </w:r>
      <w:r w:rsidR="00B3653E">
        <w:rPr>
          <w:lang w:val="en-CA"/>
        </w:rPr>
        <w:t xml:space="preserve">one (important) </w:t>
      </w:r>
      <w:r>
        <w:rPr>
          <w:lang w:val="en-CA"/>
        </w:rPr>
        <w:t xml:space="preserve">problem will certainly not deliver universal child care. </w:t>
      </w:r>
      <w:r w:rsidR="00B3653E">
        <w:rPr>
          <w:lang w:val="en-CA"/>
        </w:rPr>
        <w:t>As long as there is no legislative or regulatory limitation on parent fees</w:t>
      </w:r>
      <w:r w:rsidR="006B1EAC">
        <w:rPr>
          <w:lang w:val="en-CA"/>
        </w:rPr>
        <w:t xml:space="preserve"> and no limitation on centres charging full fees for unused hours above 50 in a week</w:t>
      </w:r>
      <w:r w:rsidR="00B3653E">
        <w:rPr>
          <w:lang w:val="en-CA"/>
        </w:rPr>
        <w:t xml:space="preserve">, </w:t>
      </w:r>
      <w:proofErr w:type="gramStart"/>
      <w:r w:rsidR="00B3653E">
        <w:rPr>
          <w:lang w:val="en-CA"/>
        </w:rPr>
        <w:t>child care</w:t>
      </w:r>
      <w:proofErr w:type="gramEnd"/>
      <w:r w:rsidR="00B3653E">
        <w:rPr>
          <w:lang w:val="en-CA"/>
        </w:rPr>
        <w:t xml:space="preserve"> in Australia will be unaffordable and inaccessible for some families, perhaps many families</w:t>
      </w:r>
      <w:r w:rsidR="006B1EAC">
        <w:rPr>
          <w:lang w:val="en-CA"/>
        </w:rPr>
        <w:t>,</w:t>
      </w:r>
      <w:r w:rsidR="00B3653E">
        <w:rPr>
          <w:lang w:val="en-CA"/>
        </w:rPr>
        <w:t xml:space="preserve"> who have middle and higher incomes, as well as families with lower incomes.  </w:t>
      </w:r>
      <w:r>
        <w:rPr>
          <w:lang w:val="en-CA"/>
        </w:rPr>
        <w:t xml:space="preserve"> </w:t>
      </w:r>
      <w:proofErr w:type="gramStart"/>
      <w:r w:rsidR="00B3653E">
        <w:rPr>
          <w:lang w:val="en-CA"/>
        </w:rPr>
        <w:t>As long as</w:t>
      </w:r>
      <w:proofErr w:type="gramEnd"/>
      <w:r w:rsidR="00B3653E">
        <w:rPr>
          <w:lang w:val="en-CA"/>
        </w:rPr>
        <w:t xml:space="preserve"> there are either financial or supply barriers that prevent access, early childhood education and care is not universal.  </w:t>
      </w:r>
      <w:r>
        <w:rPr>
          <w:lang w:val="en-CA"/>
        </w:rPr>
        <w:t>Frankly,</w:t>
      </w:r>
      <w:r w:rsidR="006B1EAC">
        <w:rPr>
          <w:lang w:val="en-CA"/>
        </w:rPr>
        <w:t xml:space="preserve"> despite the Productivity Commission’s mandate to study how universal </w:t>
      </w:r>
      <w:proofErr w:type="gramStart"/>
      <w:r w:rsidR="006B1EAC">
        <w:rPr>
          <w:lang w:val="en-CA"/>
        </w:rPr>
        <w:t>child care</w:t>
      </w:r>
      <w:proofErr w:type="gramEnd"/>
      <w:r w:rsidR="006B1EAC">
        <w:rPr>
          <w:lang w:val="en-CA"/>
        </w:rPr>
        <w:t xml:space="preserve"> can be achieved,</w:t>
      </w:r>
      <w:r>
        <w:rPr>
          <w:lang w:val="en-CA"/>
        </w:rPr>
        <w:t xml:space="preserve"> there is evidence in the draft report of </w:t>
      </w:r>
      <w:r w:rsidR="00B3653E">
        <w:rPr>
          <w:lang w:val="en-CA"/>
        </w:rPr>
        <w:t xml:space="preserve">some </w:t>
      </w:r>
      <w:r>
        <w:rPr>
          <w:lang w:val="en-CA"/>
        </w:rPr>
        <w:t xml:space="preserve">bias against universal child care, reflected in the </w:t>
      </w:r>
      <w:r w:rsidR="00B3653E">
        <w:rPr>
          <w:lang w:val="en-CA"/>
        </w:rPr>
        <w:t xml:space="preserve">cautious nature of the </w:t>
      </w:r>
      <w:r>
        <w:rPr>
          <w:lang w:val="en-CA"/>
        </w:rPr>
        <w:t>recommendations and in the one-sided evaluation of Quebec’s system of universal early childhood services.</w:t>
      </w:r>
    </w:p>
    <w:p w14:paraId="0AF363A7" w14:textId="77777777" w:rsidR="000727E4" w:rsidRDefault="000727E4" w:rsidP="000727E4">
      <w:pPr>
        <w:pStyle w:val="ListParagraph"/>
        <w:rPr>
          <w:lang w:val="en-CA"/>
        </w:rPr>
      </w:pPr>
    </w:p>
    <w:p w14:paraId="126BFC82" w14:textId="77777777" w:rsidR="002B320A" w:rsidRDefault="000727E4" w:rsidP="00122EAD">
      <w:pPr>
        <w:pStyle w:val="ListParagraph"/>
        <w:numPr>
          <w:ilvl w:val="0"/>
          <w:numId w:val="1"/>
        </w:numPr>
        <w:rPr>
          <w:lang w:val="en-CA"/>
        </w:rPr>
      </w:pPr>
      <w:r>
        <w:rPr>
          <w:lang w:val="en-CA"/>
        </w:rPr>
        <w:t xml:space="preserve">The Productivity Commission’s draft report appears to reflect a view that </w:t>
      </w:r>
      <w:proofErr w:type="gramStart"/>
      <w:r>
        <w:rPr>
          <w:lang w:val="en-CA"/>
        </w:rPr>
        <w:t>child care</w:t>
      </w:r>
      <w:proofErr w:type="gramEnd"/>
      <w:r>
        <w:rPr>
          <w:lang w:val="en-CA"/>
        </w:rPr>
        <w:t xml:space="preserve"> markets work well in Australia, and that strong competitive pressures </w:t>
      </w:r>
      <w:r w:rsidR="00ED5AB8">
        <w:rPr>
          <w:lang w:val="en-CA"/>
        </w:rPr>
        <w:t xml:space="preserve">already </w:t>
      </w:r>
      <w:r>
        <w:rPr>
          <w:lang w:val="en-CA"/>
        </w:rPr>
        <w:t xml:space="preserve">compel commercial operators of early childhood services to keep costs low, expand to serve new needs and continually enhance quality.  In other words, the Productivity Commission believes that current funding and regulatory arrangements provide the appropriate incentives and controls to make </w:t>
      </w:r>
      <w:proofErr w:type="gramStart"/>
      <w:r>
        <w:rPr>
          <w:lang w:val="en-CA"/>
        </w:rPr>
        <w:t>child care</w:t>
      </w:r>
      <w:proofErr w:type="gramEnd"/>
      <w:r>
        <w:rPr>
          <w:lang w:val="en-CA"/>
        </w:rPr>
        <w:t xml:space="preserve"> providers serve the public interest.  </w:t>
      </w:r>
      <w:r w:rsidR="00AE7541">
        <w:rPr>
          <w:lang w:val="en-CA"/>
        </w:rPr>
        <w:t>Apparently, o</w:t>
      </w:r>
      <w:r>
        <w:rPr>
          <w:lang w:val="en-CA"/>
        </w:rPr>
        <w:t xml:space="preserve">nly a few tweaks are necessary to </w:t>
      </w:r>
      <w:r w:rsidR="007576D2">
        <w:rPr>
          <w:lang w:val="en-CA"/>
        </w:rPr>
        <w:t>make these services more accessible.</w:t>
      </w:r>
      <w:r w:rsidR="00BE1285">
        <w:rPr>
          <w:lang w:val="en-CA"/>
        </w:rPr>
        <w:br/>
      </w:r>
      <w:r w:rsidR="00BE1285">
        <w:rPr>
          <w:lang w:val="en-CA"/>
        </w:rPr>
        <w:br/>
        <w:t>This optimistic view is less true than the Productivity Commission believes; the problems are larger and the need for reform is greater.</w:t>
      </w:r>
      <w:r w:rsidR="009D21C9">
        <w:rPr>
          <w:lang w:val="en-CA"/>
        </w:rPr>
        <w:t xml:space="preserve">  First, we know that competition in </w:t>
      </w:r>
      <w:proofErr w:type="gramStart"/>
      <w:r w:rsidR="009D21C9">
        <w:rPr>
          <w:lang w:val="en-CA"/>
        </w:rPr>
        <w:t>child care</w:t>
      </w:r>
      <w:proofErr w:type="gramEnd"/>
      <w:r w:rsidR="009D21C9">
        <w:rPr>
          <w:lang w:val="en-CA"/>
        </w:rPr>
        <w:t xml:space="preserve"> markets is very localised, largely because few parents want to regularly transport their children more than a couple of kilometres to a child care service.  So, </w:t>
      </w:r>
      <w:r w:rsidR="006A5144">
        <w:rPr>
          <w:lang w:val="en-CA"/>
        </w:rPr>
        <w:t xml:space="preserve">each centre only really competes – on price, </w:t>
      </w:r>
      <w:proofErr w:type="gramStart"/>
      <w:r w:rsidR="006A5144">
        <w:rPr>
          <w:lang w:val="en-CA"/>
        </w:rPr>
        <w:t>services</w:t>
      </w:r>
      <w:proofErr w:type="gramEnd"/>
      <w:r w:rsidR="006A5144">
        <w:rPr>
          <w:lang w:val="en-CA"/>
        </w:rPr>
        <w:t xml:space="preserve"> and quality – with other centres close by.  Generally, that means that competitive pressures are not that strong.  </w:t>
      </w:r>
    </w:p>
    <w:p w14:paraId="53C2CE42" w14:textId="77777777" w:rsidR="002B320A" w:rsidRPr="002B320A" w:rsidRDefault="002B320A" w:rsidP="002B320A">
      <w:pPr>
        <w:pStyle w:val="ListParagraph"/>
        <w:rPr>
          <w:lang w:val="en-CA"/>
        </w:rPr>
      </w:pPr>
    </w:p>
    <w:p w14:paraId="1357B0ED" w14:textId="6C18074C" w:rsidR="002B320A" w:rsidRDefault="002B320A" w:rsidP="002B320A">
      <w:pPr>
        <w:pStyle w:val="ListParagraph"/>
        <w:rPr>
          <w:lang w:val="en-CA"/>
        </w:rPr>
      </w:pPr>
      <w:r>
        <w:rPr>
          <w:lang w:val="en-CA"/>
        </w:rPr>
        <w:lastRenderedPageBreak/>
        <w:t xml:space="preserve">Fees have not been kept down by competition; they have been continually rising for many years. </w:t>
      </w:r>
      <w:r w:rsidR="00F53064">
        <w:rPr>
          <w:lang w:val="en-CA"/>
        </w:rPr>
        <w:t xml:space="preserve">The current average daily fee for centre-based </w:t>
      </w:r>
      <w:proofErr w:type="gramStart"/>
      <w:r w:rsidR="00F53064">
        <w:rPr>
          <w:lang w:val="en-CA"/>
        </w:rPr>
        <w:t>child care</w:t>
      </w:r>
      <w:proofErr w:type="gramEnd"/>
      <w:r w:rsidR="00F53064">
        <w:rPr>
          <w:lang w:val="en-CA"/>
        </w:rPr>
        <w:t xml:space="preserve"> is $133.96 per child.</w:t>
      </w:r>
      <w:r>
        <w:rPr>
          <w:lang w:val="en-CA"/>
        </w:rPr>
        <w:t xml:space="preserve"> Over 20% of </w:t>
      </w:r>
      <w:proofErr w:type="gramStart"/>
      <w:r>
        <w:rPr>
          <w:lang w:val="en-CA"/>
        </w:rPr>
        <w:t>child care</w:t>
      </w:r>
      <w:proofErr w:type="gramEnd"/>
      <w:r>
        <w:rPr>
          <w:lang w:val="en-CA"/>
        </w:rPr>
        <w:t xml:space="preserve"> centres charge more than the hourly rate cap</w:t>
      </w:r>
      <w:r w:rsidR="0026643D">
        <w:rPr>
          <w:lang w:val="en-CA"/>
        </w:rPr>
        <w:t xml:space="preserve"> (currently $13.73 per hour for centre-based day care for children younger than school age)</w:t>
      </w:r>
      <w:r>
        <w:rPr>
          <w:lang w:val="en-CA"/>
        </w:rPr>
        <w:t>, particularly for-profit centres.  There is little evidence that costs and fees are controlled by strong competitive pressures.</w:t>
      </w:r>
    </w:p>
    <w:p w14:paraId="6503D23A" w14:textId="77777777" w:rsidR="002B320A" w:rsidRDefault="002B320A" w:rsidP="002B320A">
      <w:pPr>
        <w:pStyle w:val="ListParagraph"/>
        <w:rPr>
          <w:lang w:val="en-CA"/>
        </w:rPr>
      </w:pPr>
    </w:p>
    <w:p w14:paraId="75941449" w14:textId="11FB80BD" w:rsidR="002B320A" w:rsidRDefault="002B320A" w:rsidP="002B320A">
      <w:pPr>
        <w:pStyle w:val="ListParagraph"/>
        <w:rPr>
          <w:lang w:val="en-CA"/>
        </w:rPr>
      </w:pPr>
      <w:r>
        <w:rPr>
          <w:lang w:val="en-CA"/>
        </w:rPr>
        <w:t xml:space="preserve">One of the hallmarks of competitive markets is that prices charged are forced down close to actual costs. </w:t>
      </w:r>
      <w:r w:rsidR="00576473">
        <w:rPr>
          <w:lang w:val="en-CA"/>
        </w:rPr>
        <w:t xml:space="preserve">If the price of one product or service is much higher than its per-unit costs, we would expect profit-seeking producers in a competitive market to offer this product or service at a lower price and take </w:t>
      </w:r>
      <w:proofErr w:type="gramStart"/>
      <w:r w:rsidR="00576473">
        <w:rPr>
          <w:lang w:val="en-CA"/>
        </w:rPr>
        <w:t>a large number of</w:t>
      </w:r>
      <w:proofErr w:type="gramEnd"/>
      <w:r w:rsidR="00576473">
        <w:rPr>
          <w:lang w:val="en-CA"/>
        </w:rPr>
        <w:t xml:space="preserve"> customers away from existing providers. In centre-based </w:t>
      </w:r>
      <w:proofErr w:type="gramStart"/>
      <w:r w:rsidR="00576473">
        <w:rPr>
          <w:lang w:val="en-CA"/>
        </w:rPr>
        <w:t>child care</w:t>
      </w:r>
      <w:proofErr w:type="gramEnd"/>
      <w:r w:rsidR="00576473">
        <w:rPr>
          <w:lang w:val="en-CA"/>
        </w:rPr>
        <w:t>, g</w:t>
      </w:r>
      <w:r>
        <w:rPr>
          <w:lang w:val="en-CA"/>
        </w:rPr>
        <w:t xml:space="preserve">iven the required staff-child ratios, the labour costs for infant care must be close to 3 times the labour costs of child care for </w:t>
      </w:r>
      <w:r w:rsidR="00576473">
        <w:rPr>
          <w:lang w:val="en-CA"/>
        </w:rPr>
        <w:t>three-</w:t>
      </w:r>
      <w:r>
        <w:rPr>
          <w:lang w:val="en-CA"/>
        </w:rPr>
        <w:t xml:space="preserve"> and </w:t>
      </w:r>
      <w:r w:rsidR="00576473">
        <w:rPr>
          <w:lang w:val="en-CA"/>
        </w:rPr>
        <w:t>four-</w:t>
      </w:r>
      <w:r>
        <w:rPr>
          <w:lang w:val="en-CA"/>
        </w:rPr>
        <w:t>yea</w:t>
      </w:r>
      <w:r w:rsidR="00576473">
        <w:rPr>
          <w:lang w:val="en-CA"/>
        </w:rPr>
        <w:t>r-</w:t>
      </w:r>
      <w:r>
        <w:rPr>
          <w:lang w:val="en-CA"/>
        </w:rPr>
        <w:t xml:space="preserve">old children.  And labour costs are </w:t>
      </w:r>
      <w:proofErr w:type="gramStart"/>
      <w:r>
        <w:rPr>
          <w:lang w:val="en-CA"/>
        </w:rPr>
        <w:t>the large majority of</w:t>
      </w:r>
      <w:proofErr w:type="gramEnd"/>
      <w:r>
        <w:rPr>
          <w:lang w:val="en-CA"/>
        </w:rPr>
        <w:t xml:space="preserve"> total costs.  Yet, competition does not drive centres to charge </w:t>
      </w:r>
      <w:r w:rsidR="00576473">
        <w:rPr>
          <w:lang w:val="en-CA"/>
        </w:rPr>
        <w:t xml:space="preserve">much lower </w:t>
      </w:r>
      <w:r>
        <w:rPr>
          <w:lang w:val="en-CA"/>
        </w:rPr>
        <w:t xml:space="preserve">fees </w:t>
      </w:r>
      <w:r w:rsidR="00576473">
        <w:rPr>
          <w:lang w:val="en-CA"/>
        </w:rPr>
        <w:t>for older children than they do for infants</w:t>
      </w:r>
      <w:r>
        <w:rPr>
          <w:lang w:val="en-CA"/>
        </w:rPr>
        <w:t xml:space="preserve">. </w:t>
      </w:r>
      <w:r w:rsidR="00576473">
        <w:rPr>
          <w:lang w:val="en-CA"/>
        </w:rPr>
        <w:t xml:space="preserve">There is a large variation in per-child costs and there is virtually no difference in fees.  </w:t>
      </w:r>
      <w:r w:rsidR="00046BCE">
        <w:rPr>
          <w:lang w:val="en-CA"/>
        </w:rPr>
        <w:t xml:space="preserve">And there are long waiting lists for </w:t>
      </w:r>
      <w:proofErr w:type="gramStart"/>
      <w:r w:rsidR="00046BCE">
        <w:rPr>
          <w:lang w:val="en-CA"/>
        </w:rPr>
        <w:t>child care</w:t>
      </w:r>
      <w:proofErr w:type="gramEnd"/>
      <w:r w:rsidR="00046BCE">
        <w:rPr>
          <w:lang w:val="en-CA"/>
        </w:rPr>
        <w:t xml:space="preserve"> for children less than two years of age</w:t>
      </w:r>
      <w:r w:rsidR="00576473">
        <w:rPr>
          <w:lang w:val="en-CA"/>
        </w:rPr>
        <w:t>, mostly because infant care is less profitable</w:t>
      </w:r>
      <w:r w:rsidR="00046BCE">
        <w:rPr>
          <w:lang w:val="en-CA"/>
        </w:rPr>
        <w:t>.</w:t>
      </w:r>
      <w:r>
        <w:rPr>
          <w:lang w:val="en-CA"/>
        </w:rPr>
        <w:t xml:space="preserve"> </w:t>
      </w:r>
      <w:r w:rsidR="00576473">
        <w:rPr>
          <w:lang w:val="en-CA"/>
        </w:rPr>
        <w:t xml:space="preserve">These facts are a strong signal </w:t>
      </w:r>
      <w:r w:rsidR="00ED1EFB">
        <w:rPr>
          <w:lang w:val="en-CA"/>
        </w:rPr>
        <w:t>suggesting</w:t>
      </w:r>
      <w:r>
        <w:rPr>
          <w:lang w:val="en-CA"/>
        </w:rPr>
        <w:t xml:space="preserve"> </w:t>
      </w:r>
      <w:r w:rsidR="00576473">
        <w:rPr>
          <w:lang w:val="en-CA"/>
        </w:rPr>
        <w:t xml:space="preserve">that </w:t>
      </w:r>
      <w:proofErr w:type="gramStart"/>
      <w:r w:rsidR="00576473">
        <w:rPr>
          <w:lang w:val="en-CA"/>
        </w:rPr>
        <w:t>child care</w:t>
      </w:r>
      <w:proofErr w:type="gramEnd"/>
      <w:r w:rsidR="00576473">
        <w:rPr>
          <w:lang w:val="en-CA"/>
        </w:rPr>
        <w:t xml:space="preserve"> markets in Australia are only </w:t>
      </w:r>
      <w:r>
        <w:rPr>
          <w:lang w:val="en-CA"/>
        </w:rPr>
        <w:t xml:space="preserve">weakly competitive.  </w:t>
      </w:r>
    </w:p>
    <w:p w14:paraId="7699FA8F" w14:textId="77777777" w:rsidR="00BC4840" w:rsidRDefault="00BC4840" w:rsidP="002B320A">
      <w:pPr>
        <w:pStyle w:val="ListParagraph"/>
        <w:rPr>
          <w:lang w:val="en-CA"/>
        </w:rPr>
      </w:pPr>
    </w:p>
    <w:p w14:paraId="648573BE" w14:textId="13592D75" w:rsidR="00BC4840" w:rsidRDefault="00BC4840" w:rsidP="002B320A">
      <w:pPr>
        <w:pStyle w:val="ListParagraph"/>
        <w:rPr>
          <w:lang w:val="en-CA"/>
        </w:rPr>
      </w:pPr>
      <w:r>
        <w:rPr>
          <w:lang w:val="en-CA"/>
        </w:rPr>
        <w:t>Figure 4 of the interim ACCC report suggests that average occupancy rates of large providers of centre-based day care are about 75%.  We know that occupancy rates are a key driver of per-unit costs</w:t>
      </w:r>
      <w:r w:rsidR="005E369D">
        <w:rPr>
          <w:lang w:val="en-CA"/>
        </w:rPr>
        <w:t xml:space="preserve">.  In a competitive market, we would expect strong pressures on </w:t>
      </w:r>
      <w:r>
        <w:rPr>
          <w:lang w:val="en-CA"/>
        </w:rPr>
        <w:t xml:space="preserve">operators to cut fees </w:t>
      </w:r>
      <w:proofErr w:type="gramStart"/>
      <w:r>
        <w:rPr>
          <w:lang w:val="en-CA"/>
        </w:rPr>
        <w:t>in order to</w:t>
      </w:r>
      <w:proofErr w:type="gramEnd"/>
      <w:r>
        <w:rPr>
          <w:lang w:val="en-CA"/>
        </w:rPr>
        <w:t xml:space="preserve"> increase occupancy</w:t>
      </w:r>
      <w:r w:rsidR="005E369D">
        <w:rPr>
          <w:lang w:val="en-CA"/>
        </w:rPr>
        <w:t>, lower per-child costs and maintain quality.</w:t>
      </w:r>
      <w:r>
        <w:rPr>
          <w:lang w:val="en-CA"/>
        </w:rPr>
        <w:t xml:space="preserve">  </w:t>
      </w:r>
      <w:r w:rsidR="005E369D">
        <w:rPr>
          <w:lang w:val="en-CA"/>
        </w:rPr>
        <w:t xml:space="preserve">This does not appear to be widespread in </w:t>
      </w:r>
      <w:proofErr w:type="gramStart"/>
      <w:r w:rsidR="005E369D">
        <w:rPr>
          <w:lang w:val="en-CA"/>
        </w:rPr>
        <w:t>child care</w:t>
      </w:r>
      <w:proofErr w:type="gramEnd"/>
      <w:r w:rsidR="005E369D">
        <w:rPr>
          <w:lang w:val="en-CA"/>
        </w:rPr>
        <w:t xml:space="preserve"> markets.</w:t>
      </w:r>
    </w:p>
    <w:p w14:paraId="34ED8D26" w14:textId="57379C6B" w:rsidR="006C218E" w:rsidRPr="00BC4840" w:rsidRDefault="006C218E" w:rsidP="00BC4840">
      <w:pPr>
        <w:rPr>
          <w:lang w:val="en-CA"/>
        </w:rPr>
      </w:pPr>
    </w:p>
    <w:p w14:paraId="61CAA056" w14:textId="5E6B834B" w:rsidR="000727E4" w:rsidRDefault="00C965B4" w:rsidP="002B320A">
      <w:pPr>
        <w:pStyle w:val="ListParagraph"/>
        <w:rPr>
          <w:lang w:val="en-CA"/>
        </w:rPr>
      </w:pPr>
      <w:r>
        <w:rPr>
          <w:lang w:val="en-CA"/>
        </w:rPr>
        <w:t>In short, the main mechanism that makes the Productivity Commission so complacent – competitive pressure – cannot realistically be assumed to deliver publicly beneficial results on its own.</w:t>
      </w:r>
      <w:r w:rsidR="006D41BF">
        <w:rPr>
          <w:lang w:val="en-CA"/>
        </w:rPr>
        <w:t xml:space="preserve">  There is a need for more public management</w:t>
      </w:r>
      <w:r w:rsidR="009A6396">
        <w:rPr>
          <w:lang w:val="en-CA"/>
        </w:rPr>
        <w:t xml:space="preserve"> </w:t>
      </w:r>
      <w:r w:rsidR="00071378">
        <w:rPr>
          <w:lang w:val="en-CA"/>
        </w:rPr>
        <w:t xml:space="preserve">– active market stewardship - </w:t>
      </w:r>
      <w:r w:rsidR="009A6396">
        <w:rPr>
          <w:lang w:val="en-CA"/>
        </w:rPr>
        <w:t>and financial accountability</w:t>
      </w:r>
      <w:r w:rsidR="006D41BF">
        <w:rPr>
          <w:lang w:val="en-CA"/>
        </w:rPr>
        <w:t>.</w:t>
      </w:r>
    </w:p>
    <w:p w14:paraId="59F3C7C6" w14:textId="77777777" w:rsidR="00260E1C" w:rsidRDefault="00260E1C" w:rsidP="00260E1C">
      <w:pPr>
        <w:pStyle w:val="ListParagraph"/>
        <w:rPr>
          <w:lang w:val="en-CA"/>
        </w:rPr>
      </w:pPr>
    </w:p>
    <w:p w14:paraId="796473DD" w14:textId="60C97023" w:rsidR="00D25089" w:rsidRDefault="00260E1C" w:rsidP="003676A3">
      <w:pPr>
        <w:pStyle w:val="ListParagraph"/>
        <w:numPr>
          <w:ilvl w:val="0"/>
          <w:numId w:val="1"/>
        </w:numPr>
        <w:rPr>
          <w:lang w:val="en-CA"/>
        </w:rPr>
      </w:pPr>
      <w:r w:rsidRPr="00C27882">
        <w:rPr>
          <w:lang w:val="en-CA"/>
        </w:rPr>
        <w:t>There is no</w:t>
      </w:r>
      <w:r w:rsidR="00C27882" w:rsidRPr="00C27882">
        <w:rPr>
          <w:lang w:val="en-CA"/>
        </w:rPr>
        <w:t xml:space="preserve"> realistic</w:t>
      </w:r>
      <w:r w:rsidRPr="00C27882">
        <w:rPr>
          <w:lang w:val="en-CA"/>
        </w:rPr>
        <w:t xml:space="preserve"> plan to keep </w:t>
      </w:r>
      <w:proofErr w:type="gramStart"/>
      <w:r w:rsidRPr="00C27882">
        <w:rPr>
          <w:lang w:val="en-CA"/>
        </w:rPr>
        <w:t>child care</w:t>
      </w:r>
      <w:proofErr w:type="gramEnd"/>
      <w:r w:rsidRPr="00C27882">
        <w:rPr>
          <w:lang w:val="en-CA"/>
        </w:rPr>
        <w:t xml:space="preserve"> fees from rising faster than the CPI </w:t>
      </w:r>
      <w:r w:rsidR="00C27882">
        <w:rPr>
          <w:lang w:val="en-CA"/>
        </w:rPr>
        <w:t>(</w:t>
      </w:r>
      <w:r w:rsidRPr="00C27882">
        <w:rPr>
          <w:lang w:val="en-CA"/>
        </w:rPr>
        <w:t>which they have been doing for many years</w:t>
      </w:r>
      <w:r w:rsidR="00C27882">
        <w:rPr>
          <w:lang w:val="en-CA"/>
        </w:rPr>
        <w:t>)</w:t>
      </w:r>
      <w:r w:rsidR="004C1249">
        <w:rPr>
          <w:rStyle w:val="FootnoteReference"/>
          <w:lang w:val="en-CA"/>
        </w:rPr>
        <w:footnoteReference w:id="2"/>
      </w:r>
      <w:r w:rsidR="00C27882">
        <w:rPr>
          <w:lang w:val="en-CA"/>
        </w:rPr>
        <w:t xml:space="preserve">.  </w:t>
      </w:r>
      <w:r w:rsidR="00C27882" w:rsidRPr="00C27882">
        <w:rPr>
          <w:lang w:val="en-CA"/>
        </w:rPr>
        <w:t xml:space="preserve">Draft recommendation 6.2 suggests a new hourly rate cap </w:t>
      </w:r>
      <w:r w:rsidR="00C27882">
        <w:rPr>
          <w:lang w:val="en-CA"/>
        </w:rPr>
        <w:t xml:space="preserve">for </w:t>
      </w:r>
      <w:proofErr w:type="gramStart"/>
      <w:r w:rsidR="00C27882">
        <w:rPr>
          <w:lang w:val="en-CA"/>
        </w:rPr>
        <w:t>Child Care</w:t>
      </w:r>
      <w:proofErr w:type="gramEnd"/>
      <w:r w:rsidR="00C27882">
        <w:rPr>
          <w:lang w:val="en-CA"/>
        </w:rPr>
        <w:t xml:space="preserve"> Subsidy </w:t>
      </w:r>
      <w:r w:rsidR="00C27882" w:rsidRPr="00C27882">
        <w:rPr>
          <w:lang w:val="en-CA"/>
        </w:rPr>
        <w:t xml:space="preserve">based on the “average efficient costs of providing early childhood education and care services”.   </w:t>
      </w:r>
      <w:r w:rsidR="00E671AE">
        <w:rPr>
          <w:lang w:val="en-CA"/>
        </w:rPr>
        <w:t xml:space="preserve">Unfortunately, there is no unique average efficient cost.  </w:t>
      </w:r>
      <w:r w:rsidR="00E7749E">
        <w:rPr>
          <w:lang w:val="en-CA"/>
        </w:rPr>
        <w:t>As mentioned above, j</w:t>
      </w:r>
      <w:r w:rsidR="00E671AE">
        <w:rPr>
          <w:lang w:val="en-CA"/>
        </w:rPr>
        <w:t xml:space="preserve">ust think of infant care with required child-staff </w:t>
      </w:r>
      <w:r w:rsidR="00E671AE">
        <w:rPr>
          <w:lang w:val="en-CA"/>
        </w:rPr>
        <w:lastRenderedPageBreak/>
        <w:t>ratios of 4 to 1 vs. care for children over 36 months of age with required child-staff ratios of 11 to 1 in many states and territories.  How could there possibly be a unique average efficient cost per unit</w:t>
      </w:r>
      <w:r w:rsidR="00660D90">
        <w:rPr>
          <w:lang w:val="en-CA"/>
        </w:rPr>
        <w:t xml:space="preserve"> across these different age groups</w:t>
      </w:r>
      <w:r w:rsidR="00E671AE">
        <w:rPr>
          <w:lang w:val="en-CA"/>
        </w:rPr>
        <w:t xml:space="preserve">?  And look at </w:t>
      </w:r>
      <w:r w:rsidR="00B43036">
        <w:rPr>
          <w:lang w:val="en-CA"/>
        </w:rPr>
        <w:t xml:space="preserve">cost variations that are recognized in </w:t>
      </w:r>
      <w:r w:rsidR="00E671AE">
        <w:rPr>
          <w:lang w:val="en-CA"/>
        </w:rPr>
        <w:t>supply-side</w:t>
      </w:r>
      <w:r w:rsidR="004F0610">
        <w:rPr>
          <w:lang w:val="en-CA"/>
        </w:rPr>
        <w:t>-</w:t>
      </w:r>
      <w:r w:rsidR="00E671AE">
        <w:rPr>
          <w:lang w:val="en-CA"/>
        </w:rPr>
        <w:t>funded jurisdictions.  In Quebec and New Zealand</w:t>
      </w:r>
      <w:r w:rsidR="00F066D3">
        <w:rPr>
          <w:rStyle w:val="FootnoteReference"/>
          <w:lang w:val="en-CA"/>
        </w:rPr>
        <w:footnoteReference w:id="3"/>
      </w:r>
      <w:r w:rsidR="00E671AE">
        <w:rPr>
          <w:lang w:val="en-CA"/>
        </w:rPr>
        <w:t xml:space="preserve">, for instance, </w:t>
      </w:r>
      <w:proofErr w:type="gramStart"/>
      <w:r w:rsidR="00F066D3">
        <w:rPr>
          <w:lang w:val="en-CA"/>
        </w:rPr>
        <w:t>child care</w:t>
      </w:r>
      <w:proofErr w:type="gramEnd"/>
      <w:r w:rsidR="00F066D3">
        <w:rPr>
          <w:lang w:val="en-CA"/>
        </w:rPr>
        <w:t xml:space="preserve"> operating payments vary across a number of important factors that drive key cost variations</w:t>
      </w:r>
      <w:r w:rsidR="00B43036">
        <w:rPr>
          <w:lang w:val="en-CA"/>
        </w:rPr>
        <w:t xml:space="preserve"> – staff experience levels and qualifications and pay rates, legitimate variations in arms-length occupancy costs, higher per-unit costs in thinner markets, etc</w:t>
      </w:r>
      <w:r w:rsidR="00F066D3">
        <w:rPr>
          <w:lang w:val="en-CA"/>
        </w:rPr>
        <w:t>.</w:t>
      </w:r>
      <w:r w:rsidR="00660D90">
        <w:rPr>
          <w:lang w:val="en-CA"/>
        </w:rPr>
        <w:t xml:space="preserve">  Unless the Productivity Commission can propose a realistic set of rate caps tailored to different circumstances and a means of regularly updating them and enforcing them, this recommendation may not work.</w:t>
      </w:r>
    </w:p>
    <w:p w14:paraId="56DDD993" w14:textId="77777777" w:rsidR="00660D90" w:rsidRPr="00660D90" w:rsidRDefault="00660D90" w:rsidP="00660D90">
      <w:pPr>
        <w:pStyle w:val="ListParagraph"/>
        <w:rPr>
          <w:lang w:val="en-CA"/>
        </w:rPr>
      </w:pPr>
    </w:p>
    <w:p w14:paraId="45D1108D" w14:textId="01DC5B83" w:rsidR="004E16F2" w:rsidRPr="004E16F2" w:rsidRDefault="00D25089" w:rsidP="00DC175D">
      <w:pPr>
        <w:pStyle w:val="ListParagraph"/>
        <w:numPr>
          <w:ilvl w:val="0"/>
          <w:numId w:val="1"/>
        </w:numPr>
      </w:pPr>
      <w:r w:rsidRPr="004E16F2">
        <w:rPr>
          <w:lang w:val="en-CA"/>
        </w:rPr>
        <w:t xml:space="preserve">The recommendations in the report would establish 3 days a week as a norm for the number of days a mother should work.  This is negative for gender equity, which is already dramatically impacted by the almost universal assumption that women are primarily or solely responsible for the day-time care of children before school.  The draft </w:t>
      </w:r>
      <w:r w:rsidR="007F59A4">
        <w:rPr>
          <w:lang w:val="en-CA"/>
        </w:rPr>
        <w:t xml:space="preserve">Productivity Commission </w:t>
      </w:r>
      <w:r w:rsidRPr="004E16F2">
        <w:rPr>
          <w:lang w:val="en-CA"/>
        </w:rPr>
        <w:t xml:space="preserve">report shows that the </w:t>
      </w:r>
      <w:r w:rsidRPr="004E16F2">
        <w:rPr>
          <w:u w:val="single"/>
          <w:lang w:val="en-CA"/>
        </w:rPr>
        <w:t>average</w:t>
      </w:r>
      <w:r w:rsidRPr="004E16F2">
        <w:rPr>
          <w:lang w:val="en-CA"/>
        </w:rPr>
        <w:t xml:space="preserve"> size of the motherhood penalty in Australia – the amount of previous earnings that is lost when mothers bear children – is 55%</w:t>
      </w:r>
      <w:r w:rsidR="00C041D5">
        <w:rPr>
          <w:lang w:val="en-CA"/>
        </w:rPr>
        <w:t xml:space="preserve"> (!)</w:t>
      </w:r>
      <w:r w:rsidR="004F0610" w:rsidRPr="004E16F2">
        <w:rPr>
          <w:lang w:val="en-CA"/>
        </w:rPr>
        <w:t>, higher than in many other countries.</w:t>
      </w:r>
      <w:r w:rsidRPr="004E16F2">
        <w:rPr>
          <w:lang w:val="en-CA"/>
        </w:rPr>
        <w:t xml:space="preserve">  </w:t>
      </w:r>
      <w:r w:rsidR="00EA6EEA" w:rsidRPr="004E16F2">
        <w:rPr>
          <w:lang w:val="en-CA"/>
        </w:rPr>
        <w:t>The motherhood penalty is explained</w:t>
      </w:r>
      <w:r w:rsidR="0098376A" w:rsidRPr="004E16F2">
        <w:rPr>
          <w:lang w:val="en-CA"/>
        </w:rPr>
        <w:t xml:space="preserve"> by </w:t>
      </w:r>
      <w:r w:rsidR="00EA6EEA" w:rsidRPr="004E16F2">
        <w:rPr>
          <w:lang w:val="en-CA"/>
        </w:rPr>
        <w:t xml:space="preserve">lower rates of employment, lower hours per week of employment, and lower hourly pay of mothers. </w:t>
      </w:r>
      <w:r w:rsidR="004C2BCB" w:rsidRPr="004E16F2">
        <w:rPr>
          <w:lang w:val="en-CA"/>
        </w:rPr>
        <w:t xml:space="preserve">The Productivity Commission is doing a good thing by reducing the impact of the activity test on access to </w:t>
      </w:r>
      <w:proofErr w:type="gramStart"/>
      <w:r w:rsidR="004C2BCB" w:rsidRPr="004E16F2">
        <w:rPr>
          <w:lang w:val="en-CA"/>
        </w:rPr>
        <w:t>child care</w:t>
      </w:r>
      <w:proofErr w:type="gramEnd"/>
      <w:r w:rsidR="004C2BCB" w:rsidRPr="004E16F2">
        <w:rPr>
          <w:lang w:val="en-CA"/>
        </w:rPr>
        <w:t xml:space="preserve">. </w:t>
      </w:r>
      <w:r w:rsidR="007F59A4">
        <w:rPr>
          <w:lang w:val="en-CA"/>
        </w:rPr>
        <w:t xml:space="preserve"> That will lower barriers to employment for mothers.</w:t>
      </w:r>
      <w:r w:rsidR="004C2BCB" w:rsidRPr="004E16F2">
        <w:rPr>
          <w:lang w:val="en-CA"/>
        </w:rPr>
        <w:t xml:space="preserve"> However, they should recommend its elimination entirely</w:t>
      </w:r>
      <w:r w:rsidR="000F43FD" w:rsidRPr="004E16F2">
        <w:rPr>
          <w:lang w:val="en-CA"/>
        </w:rPr>
        <w:t xml:space="preserve"> for 5 days a week</w:t>
      </w:r>
      <w:r w:rsidR="004C2BCB" w:rsidRPr="004E16F2">
        <w:rPr>
          <w:lang w:val="en-CA"/>
        </w:rPr>
        <w:t xml:space="preserve">.  To me, the recommendation as it stands suggests that children only need </w:t>
      </w:r>
      <w:proofErr w:type="gramStart"/>
      <w:r w:rsidR="004C2BCB" w:rsidRPr="004E16F2">
        <w:rPr>
          <w:lang w:val="en-CA"/>
        </w:rPr>
        <w:t>child care</w:t>
      </w:r>
      <w:proofErr w:type="gramEnd"/>
      <w:r w:rsidR="004C2BCB" w:rsidRPr="004E16F2">
        <w:rPr>
          <w:lang w:val="en-CA"/>
        </w:rPr>
        <w:t xml:space="preserve"> for 3 days a week, and that child care for more than 3 days a week</w:t>
      </w:r>
      <w:r w:rsidR="00532AEE" w:rsidRPr="004E16F2">
        <w:rPr>
          <w:lang w:val="en-CA"/>
        </w:rPr>
        <w:t xml:space="preserve"> may be negative for children and</w:t>
      </w:r>
      <w:r w:rsidR="004C2BCB" w:rsidRPr="004E16F2">
        <w:rPr>
          <w:lang w:val="en-CA"/>
        </w:rPr>
        <w:t xml:space="preserve"> is done </w:t>
      </w:r>
      <w:r w:rsidR="00532AEE" w:rsidRPr="004E16F2">
        <w:rPr>
          <w:lang w:val="en-CA"/>
        </w:rPr>
        <w:t xml:space="preserve">only </w:t>
      </w:r>
      <w:r w:rsidR="004C2BCB" w:rsidRPr="004E16F2">
        <w:rPr>
          <w:lang w:val="en-CA"/>
        </w:rPr>
        <w:t xml:space="preserve">for the mothers who insist on working </w:t>
      </w:r>
      <w:r w:rsidR="00532AEE" w:rsidRPr="004E16F2">
        <w:rPr>
          <w:lang w:val="en-CA"/>
        </w:rPr>
        <w:t xml:space="preserve">too </w:t>
      </w:r>
      <w:r w:rsidR="004C2BCB" w:rsidRPr="004E16F2">
        <w:rPr>
          <w:lang w:val="en-CA"/>
        </w:rPr>
        <w:t xml:space="preserve">long </w:t>
      </w:r>
      <w:r w:rsidR="00532AEE" w:rsidRPr="004E16F2">
        <w:rPr>
          <w:lang w:val="en-CA"/>
        </w:rPr>
        <w:t xml:space="preserve">weekly </w:t>
      </w:r>
      <w:r w:rsidR="004C2BCB" w:rsidRPr="004E16F2">
        <w:rPr>
          <w:lang w:val="en-CA"/>
        </w:rPr>
        <w:t xml:space="preserve">hours (to whom the activity test is applied).   </w:t>
      </w:r>
      <w:r w:rsidR="00F85F8E" w:rsidRPr="004E16F2">
        <w:rPr>
          <w:lang w:val="en-CA"/>
        </w:rPr>
        <w:t>There is increasingly strong evidence</w:t>
      </w:r>
      <w:r w:rsidR="00F85F8E">
        <w:rPr>
          <w:rStyle w:val="FootnoteReference"/>
          <w:lang w:val="en-CA"/>
        </w:rPr>
        <w:footnoteReference w:id="4"/>
      </w:r>
      <w:r w:rsidR="00F85F8E" w:rsidRPr="004E16F2">
        <w:rPr>
          <w:lang w:val="en-CA"/>
        </w:rPr>
        <w:t xml:space="preserve"> that universal </w:t>
      </w:r>
      <w:proofErr w:type="gramStart"/>
      <w:r w:rsidR="00F85F8E" w:rsidRPr="004E16F2">
        <w:rPr>
          <w:lang w:val="en-CA"/>
        </w:rPr>
        <w:t>child care</w:t>
      </w:r>
      <w:proofErr w:type="gramEnd"/>
      <w:r w:rsidR="00F85F8E" w:rsidRPr="004E16F2">
        <w:rPr>
          <w:lang w:val="en-CA"/>
        </w:rPr>
        <w:t xml:space="preserve"> in Quebec and elsewhere has reduced motherhood penalties substantially.</w:t>
      </w:r>
    </w:p>
    <w:p w14:paraId="190F93F9" w14:textId="77777777" w:rsidR="004E16F2" w:rsidRPr="004E16F2" w:rsidRDefault="004E16F2" w:rsidP="004E16F2">
      <w:pPr>
        <w:pStyle w:val="ListParagraph"/>
      </w:pPr>
    </w:p>
    <w:p w14:paraId="652D044E" w14:textId="4552502F" w:rsidR="004E16F2" w:rsidRPr="004E16F2" w:rsidRDefault="004E7DB4" w:rsidP="00DC175D">
      <w:pPr>
        <w:pStyle w:val="ListParagraph"/>
        <w:numPr>
          <w:ilvl w:val="0"/>
          <w:numId w:val="1"/>
        </w:numPr>
      </w:pPr>
      <w:r w:rsidRPr="004E16F2">
        <w:rPr>
          <w:lang w:val="en-CA"/>
        </w:rPr>
        <w:t xml:space="preserve">The Productivity Commission appears to believe that the widespread use of only three days a week of </w:t>
      </w:r>
      <w:proofErr w:type="gramStart"/>
      <w:r w:rsidRPr="004E16F2">
        <w:rPr>
          <w:lang w:val="en-CA"/>
        </w:rPr>
        <w:t>child care</w:t>
      </w:r>
      <w:proofErr w:type="gramEnd"/>
      <w:r w:rsidRPr="004E16F2">
        <w:rPr>
          <w:lang w:val="en-CA"/>
        </w:rPr>
        <w:t xml:space="preserve"> is due to maternal preference rather than to the unaffordability of 5 day a week child care.  </w:t>
      </w:r>
      <w:r w:rsidR="00EA6345" w:rsidRPr="004E16F2">
        <w:rPr>
          <w:lang w:val="en-CA"/>
        </w:rPr>
        <w:t>They show self-reported numbers</w:t>
      </w:r>
      <w:r w:rsidRPr="004E16F2">
        <w:rPr>
          <w:lang w:val="en-CA"/>
        </w:rPr>
        <w:t xml:space="preserve"> that allegedly prove that very few mothers would work longer hours each week (and use 5 days of </w:t>
      </w:r>
      <w:proofErr w:type="gramStart"/>
      <w:r w:rsidRPr="004E16F2">
        <w:rPr>
          <w:lang w:val="en-CA"/>
        </w:rPr>
        <w:t>child care</w:t>
      </w:r>
      <w:proofErr w:type="gramEnd"/>
      <w:r w:rsidRPr="004E16F2">
        <w:rPr>
          <w:lang w:val="en-CA"/>
        </w:rPr>
        <w:t xml:space="preserve">) under any circumstances.  In other words, the motherhood penalty in Australia is the </w:t>
      </w:r>
      <w:r w:rsidRPr="00BE19DB">
        <w:rPr>
          <w:color w:val="000000" w:themeColor="text1"/>
          <w:lang w:val="en-CA"/>
        </w:rPr>
        <w:lastRenderedPageBreak/>
        <w:t xml:space="preserve">result of </w:t>
      </w:r>
      <w:proofErr w:type="gramStart"/>
      <w:r w:rsidRPr="00BE19DB">
        <w:rPr>
          <w:color w:val="000000" w:themeColor="text1"/>
          <w:lang w:val="en-CA"/>
        </w:rPr>
        <w:t>mothers’</w:t>
      </w:r>
      <w:proofErr w:type="gramEnd"/>
      <w:r w:rsidRPr="00BE19DB">
        <w:rPr>
          <w:color w:val="000000" w:themeColor="text1"/>
          <w:lang w:val="en-CA"/>
        </w:rPr>
        <w:t xml:space="preserve"> deliberate and free choices. </w:t>
      </w:r>
      <w:r w:rsidR="00F801A5" w:rsidRPr="00BE19DB">
        <w:rPr>
          <w:color w:val="000000" w:themeColor="text1"/>
          <w:lang w:val="en-CA"/>
        </w:rPr>
        <w:t xml:space="preserve"> I doubt it. </w:t>
      </w:r>
      <w:r w:rsidR="004E16F2" w:rsidRPr="00BE19DB">
        <w:rPr>
          <w:color w:val="000000" w:themeColor="text1"/>
          <w:lang w:val="en-CA"/>
        </w:rPr>
        <w:t xml:space="preserve"> In contrast, the ACCC believes that “</w:t>
      </w:r>
      <w:r w:rsidR="004E16F2" w:rsidRPr="00BE19DB">
        <w:rPr>
          <w:rFonts w:ascii="Roboto" w:hAnsi="Roboto"/>
          <w:color w:val="000000" w:themeColor="text1"/>
          <w:sz w:val="22"/>
          <w:szCs w:val="22"/>
        </w:rPr>
        <w:t>the price of childcare significantly impacts how much childcare households use.” (p. 22).</w:t>
      </w:r>
    </w:p>
    <w:p w14:paraId="775040A7" w14:textId="77777777" w:rsidR="004E16F2" w:rsidRDefault="004E16F2" w:rsidP="004E16F2">
      <w:pPr>
        <w:pStyle w:val="ListParagraph"/>
      </w:pPr>
    </w:p>
    <w:p w14:paraId="44E7E304" w14:textId="0B0B14A8" w:rsidR="004E7DB4" w:rsidRDefault="004E7DB4" w:rsidP="004E16F2">
      <w:pPr>
        <w:pStyle w:val="ListParagraph"/>
        <w:rPr>
          <w:lang w:val="en-CA"/>
        </w:rPr>
      </w:pPr>
      <w:r>
        <w:rPr>
          <w:lang w:val="en-CA"/>
        </w:rPr>
        <w:t xml:space="preserve"> It is true that lower labour force participation and part-time work for mothers are strong norms in Australia, compared to many other countries.  However, there are reasons to believe that if </w:t>
      </w:r>
      <w:proofErr w:type="gramStart"/>
      <w:r>
        <w:rPr>
          <w:lang w:val="en-CA"/>
        </w:rPr>
        <w:t>child care</w:t>
      </w:r>
      <w:proofErr w:type="gramEnd"/>
      <w:r>
        <w:rPr>
          <w:lang w:val="en-CA"/>
        </w:rPr>
        <w:t xml:space="preserve"> was universally affordable and accessible in Australia, those norms would change.</w:t>
      </w:r>
      <w:r w:rsidR="00725FF6">
        <w:rPr>
          <w:lang w:val="en-CA"/>
        </w:rPr>
        <w:t xml:space="preserve">  As evidence, look at the very substantial changes in labour force participation of mothers with children 0-4 </w:t>
      </w:r>
      <w:r w:rsidR="00CC1892">
        <w:rPr>
          <w:lang w:val="en-CA"/>
        </w:rPr>
        <w:t>in Australia</w:t>
      </w:r>
      <w:r w:rsidR="00725FF6">
        <w:rPr>
          <w:lang w:val="en-CA"/>
        </w:rPr>
        <w:t xml:space="preserve"> over the 12 years from 2009-2021.  </w:t>
      </w:r>
      <w:r w:rsidR="00CB0233">
        <w:rPr>
          <w:lang w:val="en-CA"/>
        </w:rPr>
        <w:t>In 2009, 48% of mothers with young children stayed outside the labour force.  By 2021, that number had fallen by one-third</w:t>
      </w:r>
      <w:r w:rsidR="0027412A">
        <w:rPr>
          <w:lang w:val="en-CA"/>
        </w:rPr>
        <w:t xml:space="preserve"> (16 percentage points</w:t>
      </w:r>
      <w:r w:rsidR="00CC1892">
        <w:rPr>
          <w:lang w:val="en-CA"/>
        </w:rPr>
        <w:t>!</w:t>
      </w:r>
      <w:r w:rsidR="0027412A">
        <w:rPr>
          <w:lang w:val="en-CA"/>
        </w:rPr>
        <w:t>)</w:t>
      </w:r>
      <w:r w:rsidR="00CB0233">
        <w:rPr>
          <w:lang w:val="en-CA"/>
        </w:rPr>
        <w:t xml:space="preserve"> to 32%.  </w:t>
      </w:r>
      <w:r w:rsidR="00725FF6">
        <w:rPr>
          <w:lang w:val="en-CA"/>
        </w:rPr>
        <w:t xml:space="preserve"> </w:t>
      </w:r>
      <w:r w:rsidR="00CB0233">
        <w:rPr>
          <w:lang w:val="en-CA"/>
        </w:rPr>
        <w:t>That would seem to indicate that mothers’ employment decisions may be quite sensitive to changes in policy, rather than fixed by historical norms.</w:t>
      </w:r>
      <w:r w:rsidR="00771A17">
        <w:rPr>
          <w:lang w:val="en-CA"/>
        </w:rPr>
        <w:t xml:space="preserve">  </w:t>
      </w:r>
      <w:r w:rsidR="000849C7">
        <w:rPr>
          <w:lang w:val="en-CA"/>
        </w:rPr>
        <w:t>This matters for the motherhood penalty, but it also</w:t>
      </w:r>
      <w:r w:rsidR="00771A17">
        <w:rPr>
          <w:lang w:val="en-CA"/>
        </w:rPr>
        <w:t xml:space="preserve"> matters a lot for the funding of </w:t>
      </w:r>
      <w:proofErr w:type="gramStart"/>
      <w:r w:rsidR="00771A17">
        <w:rPr>
          <w:lang w:val="en-CA"/>
        </w:rPr>
        <w:t>child care</w:t>
      </w:r>
      <w:proofErr w:type="gramEnd"/>
      <w:r w:rsidR="00771A17">
        <w:rPr>
          <w:lang w:val="en-CA"/>
        </w:rPr>
        <w:t xml:space="preserve"> programs; in Quebec, a large portion of the fiscal costs of child care programs is funded by increased incomes and taxes due to changed employment.</w:t>
      </w:r>
    </w:p>
    <w:p w14:paraId="6E2E2B42" w14:textId="77777777" w:rsidR="00771A17" w:rsidRPr="00771A17" w:rsidRDefault="00771A17" w:rsidP="00771A17">
      <w:pPr>
        <w:rPr>
          <w:lang w:val="en-CA"/>
        </w:rPr>
      </w:pPr>
    </w:p>
    <w:p w14:paraId="247D4930" w14:textId="77777777" w:rsidR="00F77DD0" w:rsidRPr="00F77DD0" w:rsidRDefault="00F77DD0" w:rsidP="00F77DD0">
      <w:pPr>
        <w:pStyle w:val="ListParagraph"/>
        <w:rPr>
          <w:lang w:val="en-CA"/>
        </w:rPr>
      </w:pPr>
    </w:p>
    <w:p w14:paraId="3D304E24" w14:textId="7EE7EF71" w:rsidR="001E23B5" w:rsidRPr="00903157" w:rsidRDefault="00F77DD0" w:rsidP="004F41D3">
      <w:pPr>
        <w:pStyle w:val="ListParagraph"/>
        <w:numPr>
          <w:ilvl w:val="0"/>
          <w:numId w:val="1"/>
        </w:numPr>
        <w:rPr>
          <w:lang w:val="en-CA"/>
        </w:rPr>
      </w:pPr>
      <w:r w:rsidRPr="00903157">
        <w:rPr>
          <w:lang w:val="en-CA"/>
        </w:rPr>
        <w:t xml:space="preserve">There is no plan for requiring financial accountability of providers for the vast sums of government money they receive.  The legal fiction is that parents who receive subsidies for the purchase of </w:t>
      </w:r>
      <w:proofErr w:type="gramStart"/>
      <w:r w:rsidRPr="00903157">
        <w:rPr>
          <w:lang w:val="en-CA"/>
        </w:rPr>
        <w:t>child care</w:t>
      </w:r>
      <w:proofErr w:type="gramEnd"/>
      <w:r w:rsidRPr="00903157">
        <w:rPr>
          <w:lang w:val="en-CA"/>
        </w:rPr>
        <w:t xml:space="preserve"> are effective watchdogs of how the money is spent.  This is so obviously not true that it needs little argument to reject it.  </w:t>
      </w:r>
      <w:proofErr w:type="gramStart"/>
      <w:r w:rsidRPr="00903157">
        <w:rPr>
          <w:lang w:val="en-CA"/>
        </w:rPr>
        <w:t>But,</w:t>
      </w:r>
      <w:proofErr w:type="gramEnd"/>
      <w:r w:rsidRPr="00903157">
        <w:rPr>
          <w:lang w:val="en-CA"/>
        </w:rPr>
        <w:t xml:space="preserve"> there is no </w:t>
      </w:r>
      <w:r w:rsidR="00573A78">
        <w:rPr>
          <w:lang w:val="en-CA"/>
        </w:rPr>
        <w:t>r</w:t>
      </w:r>
      <w:r w:rsidRPr="00903157">
        <w:rPr>
          <w:lang w:val="en-CA"/>
        </w:rPr>
        <w:t xml:space="preserve">equirement for providers to show that they have spent money wisely to achieve publicly desirable purposes.  </w:t>
      </w:r>
      <w:r w:rsidR="00DA0CC8" w:rsidRPr="00903157">
        <w:rPr>
          <w:lang w:val="en-CA"/>
        </w:rPr>
        <w:t xml:space="preserve">There are some serious red flags that the Productivity Commission does not really address.  They report that there are many hours of ECEC services that are paid for each day (by parents and the government) but are not used. This sounds like evidence of substantial inefficiency in current funding and attendance arrangements.  </w:t>
      </w:r>
      <w:r w:rsidRPr="00903157">
        <w:rPr>
          <w:lang w:val="en-CA"/>
        </w:rPr>
        <w:t xml:space="preserve">The </w:t>
      </w:r>
      <w:r w:rsidR="00C82E4D">
        <w:rPr>
          <w:lang w:val="en-CA"/>
        </w:rPr>
        <w:t>Australian Competition and Consumer Commission (</w:t>
      </w:r>
      <w:r w:rsidRPr="00903157">
        <w:rPr>
          <w:lang w:val="en-CA"/>
        </w:rPr>
        <w:t>ACCC</w:t>
      </w:r>
      <w:r w:rsidR="00C82E4D">
        <w:rPr>
          <w:lang w:val="en-CA"/>
        </w:rPr>
        <w:t>)</w:t>
      </w:r>
      <w:r w:rsidRPr="00903157">
        <w:rPr>
          <w:lang w:val="en-CA"/>
        </w:rPr>
        <w:t xml:space="preserve"> report concludes that for-profit </w:t>
      </w:r>
      <w:proofErr w:type="gramStart"/>
      <w:r w:rsidR="00DA0CC8" w:rsidRPr="00903157">
        <w:rPr>
          <w:lang w:val="en-CA"/>
        </w:rPr>
        <w:t>child care</w:t>
      </w:r>
      <w:proofErr w:type="gramEnd"/>
      <w:r w:rsidR="00DA0CC8" w:rsidRPr="00903157">
        <w:rPr>
          <w:lang w:val="en-CA"/>
        </w:rPr>
        <w:t xml:space="preserve"> providers </w:t>
      </w:r>
      <w:r w:rsidRPr="00903157">
        <w:rPr>
          <w:lang w:val="en-CA"/>
        </w:rPr>
        <w:t xml:space="preserve">pay more for occupancy costs </w:t>
      </w:r>
      <w:r w:rsidR="00DA0CC8" w:rsidRPr="00903157">
        <w:rPr>
          <w:lang w:val="en-CA"/>
        </w:rPr>
        <w:t xml:space="preserve">than not-for-profit providers </w:t>
      </w:r>
      <w:r w:rsidRPr="00903157">
        <w:rPr>
          <w:lang w:val="en-CA"/>
        </w:rPr>
        <w:t>(</w:t>
      </w:r>
      <w:r w:rsidR="00DA0CC8" w:rsidRPr="00903157">
        <w:rPr>
          <w:lang w:val="en-CA"/>
        </w:rPr>
        <w:t>and that part of this may be due to the use of facilities for which ownership is not</w:t>
      </w:r>
      <w:r w:rsidRPr="00903157">
        <w:rPr>
          <w:lang w:val="en-CA"/>
        </w:rPr>
        <w:t xml:space="preserve"> </w:t>
      </w:r>
      <w:r w:rsidR="00DA0CC8" w:rsidRPr="00903157">
        <w:rPr>
          <w:lang w:val="en-CA"/>
        </w:rPr>
        <w:t xml:space="preserve">at </w:t>
      </w:r>
      <w:r w:rsidRPr="00903157">
        <w:rPr>
          <w:lang w:val="en-CA"/>
        </w:rPr>
        <w:t>arms-length)</w:t>
      </w:r>
      <w:r w:rsidR="00F84DCF">
        <w:rPr>
          <w:rStyle w:val="FootnoteReference"/>
          <w:lang w:val="en-CA"/>
        </w:rPr>
        <w:footnoteReference w:id="5"/>
      </w:r>
      <w:r w:rsidRPr="00903157">
        <w:rPr>
          <w:lang w:val="en-CA"/>
        </w:rPr>
        <w:t>.</w:t>
      </w:r>
      <w:r w:rsidR="00B061E1" w:rsidRPr="00903157">
        <w:rPr>
          <w:lang w:val="en-CA"/>
        </w:rPr>
        <w:t xml:space="preserve">  </w:t>
      </w:r>
      <w:r w:rsidR="00F84DCF" w:rsidRPr="00903157">
        <w:rPr>
          <w:lang w:val="en-CA"/>
        </w:rPr>
        <w:t xml:space="preserve">  </w:t>
      </w:r>
      <w:r w:rsidR="00DA0CC8" w:rsidRPr="00903157">
        <w:rPr>
          <w:lang w:val="en-CA"/>
        </w:rPr>
        <w:t>Further,</w:t>
      </w:r>
      <w:r w:rsidR="00F84DCF" w:rsidRPr="00903157">
        <w:rPr>
          <w:lang w:val="en-CA"/>
        </w:rPr>
        <w:t xml:space="preserve"> for-profit services are found by the</w:t>
      </w:r>
      <w:r w:rsidR="0076736B">
        <w:rPr>
          <w:lang w:val="en-CA"/>
        </w:rPr>
        <w:t xml:space="preserve"> </w:t>
      </w:r>
      <w:r w:rsidR="00F84DCF" w:rsidRPr="00903157">
        <w:rPr>
          <w:lang w:val="en-CA"/>
        </w:rPr>
        <w:t xml:space="preserve">ACCC to be of worse </w:t>
      </w:r>
      <w:r w:rsidR="00DA0CC8" w:rsidRPr="00903157">
        <w:rPr>
          <w:lang w:val="en-CA"/>
        </w:rPr>
        <w:t xml:space="preserve">average </w:t>
      </w:r>
      <w:r w:rsidR="00F84DCF" w:rsidRPr="00903157">
        <w:rPr>
          <w:lang w:val="en-CA"/>
        </w:rPr>
        <w:t>quality</w:t>
      </w:r>
      <w:r w:rsidR="006A1044">
        <w:rPr>
          <w:rStyle w:val="FootnoteReference"/>
          <w:lang w:val="en-CA"/>
        </w:rPr>
        <w:footnoteReference w:id="6"/>
      </w:r>
      <w:r w:rsidR="00F84DCF" w:rsidRPr="00903157">
        <w:rPr>
          <w:lang w:val="en-CA"/>
        </w:rPr>
        <w:t xml:space="preserve"> than that provided by not-for-profit providers.</w:t>
      </w:r>
      <w:r w:rsidR="00B061E1" w:rsidRPr="00903157">
        <w:rPr>
          <w:lang w:val="en-CA"/>
        </w:rPr>
        <w:t xml:space="preserve">  The </w:t>
      </w:r>
      <w:r w:rsidR="00B061E1" w:rsidRPr="00903157">
        <w:rPr>
          <w:lang w:val="en-CA"/>
        </w:rPr>
        <w:lastRenderedPageBreak/>
        <w:t>Productivity Commission should be making recommendations about compulsory and regular financial accountability</w:t>
      </w:r>
      <w:r w:rsidR="00903157">
        <w:rPr>
          <w:lang w:val="en-CA"/>
        </w:rPr>
        <w:t>.</w:t>
      </w:r>
      <w:r w:rsidR="00AE4353">
        <w:rPr>
          <w:lang w:val="en-CA"/>
        </w:rPr>
        <w:t xml:space="preserve"> I believe that, in Australia as in Canada, </w:t>
      </w:r>
      <w:proofErr w:type="gramStart"/>
      <w:r w:rsidR="00AE4353">
        <w:rPr>
          <w:lang w:val="en-CA"/>
        </w:rPr>
        <w:t>child care</w:t>
      </w:r>
      <w:proofErr w:type="gramEnd"/>
      <w:r w:rsidR="00AE4353">
        <w:rPr>
          <w:lang w:val="en-CA"/>
        </w:rPr>
        <w:t xml:space="preserve"> is fundamentally a public service (with about 80% of costs paid by the public purse) </w:t>
      </w:r>
      <w:r w:rsidR="00864646">
        <w:rPr>
          <w:lang w:val="en-CA"/>
        </w:rPr>
        <w:t xml:space="preserve">but one </w:t>
      </w:r>
      <w:r w:rsidR="00AE4353">
        <w:rPr>
          <w:lang w:val="en-CA"/>
        </w:rPr>
        <w:t xml:space="preserve">that is delivered by private operators. Detailed and regular reporting on how public moneys </w:t>
      </w:r>
      <w:proofErr w:type="gramStart"/>
      <w:r w:rsidR="00AE4353">
        <w:rPr>
          <w:lang w:val="en-CA"/>
        </w:rPr>
        <w:t>are</w:t>
      </w:r>
      <w:proofErr w:type="gramEnd"/>
      <w:r w:rsidR="00AE4353">
        <w:rPr>
          <w:lang w:val="en-CA"/>
        </w:rPr>
        <w:t xml:space="preserve"> spent should be an obvious requirement.</w:t>
      </w:r>
      <w:r w:rsidR="00903157">
        <w:rPr>
          <w:lang w:val="en-CA"/>
        </w:rPr>
        <w:br/>
      </w:r>
    </w:p>
    <w:p w14:paraId="28897A94" w14:textId="366D2C3B" w:rsidR="001E23B5" w:rsidRDefault="001E23B5" w:rsidP="00242411">
      <w:pPr>
        <w:pStyle w:val="ListParagraph"/>
        <w:numPr>
          <w:ilvl w:val="0"/>
          <w:numId w:val="1"/>
        </w:numPr>
        <w:rPr>
          <w:lang w:val="en-CA"/>
        </w:rPr>
      </w:pPr>
      <w:r>
        <w:rPr>
          <w:lang w:val="en-CA"/>
        </w:rPr>
        <w:t>The final report of the Productivity Commission should lay out a 10</w:t>
      </w:r>
      <w:r w:rsidR="00A037A3">
        <w:rPr>
          <w:lang w:val="en-CA"/>
        </w:rPr>
        <w:t xml:space="preserve">- </w:t>
      </w:r>
      <w:r>
        <w:rPr>
          <w:lang w:val="en-CA"/>
        </w:rPr>
        <w:t>to 20</w:t>
      </w:r>
      <w:r w:rsidR="00A037A3">
        <w:rPr>
          <w:lang w:val="en-CA"/>
        </w:rPr>
        <w:t>-</w:t>
      </w:r>
      <w:r>
        <w:rPr>
          <w:lang w:val="en-CA"/>
        </w:rPr>
        <w:t xml:space="preserve">year vision for the establishment of universal </w:t>
      </w:r>
      <w:proofErr w:type="gramStart"/>
      <w:r>
        <w:rPr>
          <w:lang w:val="en-CA"/>
        </w:rPr>
        <w:t>child care</w:t>
      </w:r>
      <w:proofErr w:type="gramEnd"/>
      <w:r>
        <w:rPr>
          <w:lang w:val="en-CA"/>
        </w:rPr>
        <w:t xml:space="preserve"> services in Australia.  </w:t>
      </w:r>
      <w:r w:rsidR="00294AFA">
        <w:rPr>
          <w:lang w:val="en-CA"/>
        </w:rPr>
        <w:t xml:space="preserve">The recommended National Partnership Agreement would be a part of this plan.  Wrap-around </w:t>
      </w:r>
      <w:proofErr w:type="gramStart"/>
      <w:r w:rsidR="00294AFA">
        <w:rPr>
          <w:lang w:val="en-CA"/>
        </w:rPr>
        <w:t>child care</w:t>
      </w:r>
      <w:proofErr w:type="gramEnd"/>
      <w:r w:rsidR="00294AFA">
        <w:rPr>
          <w:lang w:val="en-CA"/>
        </w:rPr>
        <w:t xml:space="preserve"> for preschools would be a part of this plan.</w:t>
      </w:r>
      <w:r w:rsidR="00067532">
        <w:rPr>
          <w:lang w:val="en-CA"/>
        </w:rPr>
        <w:t xml:space="preserve">  The expansion of supply-side funding of services with fees controlled would be part of this plan.  </w:t>
      </w:r>
      <w:r w:rsidR="00972DDD">
        <w:rPr>
          <w:lang w:val="en-CA"/>
        </w:rPr>
        <w:t xml:space="preserve">The new independent ECEC Commission would monitor and report on progress towards universal access and make </w:t>
      </w:r>
      <w:r w:rsidR="0049011C">
        <w:rPr>
          <w:lang w:val="en-CA"/>
        </w:rPr>
        <w:t xml:space="preserve">ongoing </w:t>
      </w:r>
      <w:r w:rsidR="00972DDD">
        <w:rPr>
          <w:lang w:val="en-CA"/>
        </w:rPr>
        <w:t>recommendations to move towards it.</w:t>
      </w:r>
      <w:r w:rsidR="000108E3">
        <w:rPr>
          <w:lang w:val="en-CA"/>
        </w:rPr>
        <w:t xml:space="preserve">  The Productivity Commission hints at a long-term vision but is not explicit.  This allows the Productivity Commission to duck a lot of </w:t>
      </w:r>
      <w:r w:rsidR="00864646">
        <w:rPr>
          <w:lang w:val="en-CA"/>
        </w:rPr>
        <w:t xml:space="preserve">longer-term </w:t>
      </w:r>
      <w:r w:rsidR="000108E3">
        <w:rPr>
          <w:lang w:val="en-CA"/>
        </w:rPr>
        <w:t>questions about affordability, commercialization of the system, financial accountability, and generally the evolution towards serving public interests better.</w:t>
      </w:r>
    </w:p>
    <w:p w14:paraId="1CC0516B" w14:textId="77777777" w:rsidR="0049011C" w:rsidRPr="0049011C" w:rsidRDefault="0049011C" w:rsidP="0049011C">
      <w:pPr>
        <w:pStyle w:val="ListParagraph"/>
        <w:rPr>
          <w:lang w:val="en-CA"/>
        </w:rPr>
      </w:pPr>
    </w:p>
    <w:p w14:paraId="41B0EB25" w14:textId="165701DA" w:rsidR="008B623F" w:rsidRDefault="0049011C" w:rsidP="00242411">
      <w:pPr>
        <w:pStyle w:val="ListParagraph"/>
        <w:numPr>
          <w:ilvl w:val="0"/>
          <w:numId w:val="1"/>
        </w:numPr>
        <w:rPr>
          <w:lang w:val="en-CA"/>
        </w:rPr>
      </w:pPr>
      <w:r>
        <w:rPr>
          <w:lang w:val="en-CA"/>
        </w:rPr>
        <w:t xml:space="preserve">Australia has a long-established demand-side (voucher) funding system for </w:t>
      </w:r>
      <w:proofErr w:type="gramStart"/>
      <w:r>
        <w:rPr>
          <w:lang w:val="en-CA"/>
        </w:rPr>
        <w:t>child care</w:t>
      </w:r>
      <w:proofErr w:type="gramEnd"/>
      <w:r>
        <w:rPr>
          <w:lang w:val="en-CA"/>
        </w:rPr>
        <w:t xml:space="preserve">.  It allows providers to set their own fees, decide on staff compensation conditional on meeting the award levels set by the Fair Work Commission, choose the children and parents they will serve from those who apply and choose the hours of service to provide.  This </w:t>
      </w:r>
      <w:r w:rsidR="00945C9D">
        <w:rPr>
          <w:lang w:val="en-CA"/>
        </w:rPr>
        <w:t xml:space="preserve">is </w:t>
      </w:r>
      <w:r>
        <w:rPr>
          <w:lang w:val="en-CA"/>
        </w:rPr>
        <w:t>not</w:t>
      </w:r>
      <w:r w:rsidR="00945C9D">
        <w:rPr>
          <w:lang w:val="en-CA"/>
        </w:rPr>
        <w:t xml:space="preserve">, in my opinion, </w:t>
      </w:r>
      <w:r>
        <w:rPr>
          <w:lang w:val="en-CA"/>
        </w:rPr>
        <w:t>the best system going forward; I believe that a system of supply-sid</w:t>
      </w:r>
      <w:r w:rsidR="00C454BF">
        <w:rPr>
          <w:lang w:val="en-CA"/>
        </w:rPr>
        <w:t>e-</w:t>
      </w:r>
      <w:r>
        <w:rPr>
          <w:lang w:val="en-CA"/>
        </w:rPr>
        <w:t xml:space="preserve">funded services with a guaranteed set fee level (plus fees reduced </w:t>
      </w:r>
      <w:r w:rsidR="00945C9D">
        <w:rPr>
          <w:lang w:val="en-CA"/>
        </w:rPr>
        <w:t xml:space="preserve">below the set-fee level or </w:t>
      </w:r>
      <w:r>
        <w:rPr>
          <w:lang w:val="en-CA"/>
        </w:rPr>
        <w:t>to zero for some families)</w:t>
      </w:r>
      <w:r w:rsidR="00945C9D">
        <w:rPr>
          <w:lang w:val="en-CA"/>
        </w:rPr>
        <w:t xml:space="preserve"> would be better.  However, changing funding systems is not easy and there is often a lot of push-back</w:t>
      </w:r>
      <w:r w:rsidR="00072A6C">
        <w:rPr>
          <w:lang w:val="en-CA"/>
        </w:rPr>
        <w:t xml:space="preserve"> from those in the system</w:t>
      </w:r>
      <w:r w:rsidR="00945C9D">
        <w:rPr>
          <w:lang w:val="en-CA"/>
        </w:rPr>
        <w:t xml:space="preserve">.  </w:t>
      </w:r>
      <w:r w:rsidR="00573A78">
        <w:rPr>
          <w:lang w:val="en-CA"/>
        </w:rPr>
        <w:t xml:space="preserve">Why not think outside the box? </w:t>
      </w:r>
      <w:r w:rsidR="00945C9D">
        <w:rPr>
          <w:lang w:val="en-CA"/>
        </w:rPr>
        <w:t xml:space="preserve">Why not establish an alternative supply-side funding system </w:t>
      </w:r>
      <w:r w:rsidR="00F917B0">
        <w:rPr>
          <w:lang w:val="en-CA"/>
        </w:rPr>
        <w:t xml:space="preserve">that would exist in parallel with the existing demand-side funding system </w:t>
      </w:r>
      <w:r w:rsidR="00945C9D">
        <w:rPr>
          <w:lang w:val="en-CA"/>
        </w:rPr>
        <w:t xml:space="preserve">with incentives for centres to switch?  </w:t>
      </w:r>
    </w:p>
    <w:p w14:paraId="3B39C09C" w14:textId="77777777" w:rsidR="008B623F" w:rsidRPr="008B623F" w:rsidRDefault="008B623F" w:rsidP="008B623F">
      <w:pPr>
        <w:pStyle w:val="ListParagraph"/>
        <w:rPr>
          <w:lang w:val="en-CA"/>
        </w:rPr>
      </w:pPr>
    </w:p>
    <w:p w14:paraId="473A2593" w14:textId="7AAEB090" w:rsidR="0049011C" w:rsidRDefault="008B623F" w:rsidP="008B623F">
      <w:pPr>
        <w:pStyle w:val="ListParagraph"/>
        <w:rPr>
          <w:lang w:val="en-CA"/>
        </w:rPr>
      </w:pPr>
      <w:r>
        <w:rPr>
          <w:lang w:val="en-CA"/>
        </w:rPr>
        <w:t xml:space="preserve">Centres that were funded on the supply-side would have a fixed </w:t>
      </w:r>
      <w:proofErr w:type="gramStart"/>
      <w:r>
        <w:rPr>
          <w:lang w:val="en-CA"/>
        </w:rPr>
        <w:t>fee, and</w:t>
      </w:r>
      <w:proofErr w:type="gramEnd"/>
      <w:r>
        <w:rPr>
          <w:lang w:val="en-CA"/>
        </w:rPr>
        <w:t xml:space="preserve"> enhanced regulatory requirements.  In exchange, they would have guaranteed funding to cover costs above parent fees. S</w:t>
      </w:r>
      <w:r w:rsidR="00FC0CE4">
        <w:rPr>
          <w:lang w:val="en-CA"/>
        </w:rPr>
        <w:t>et-</w:t>
      </w:r>
      <w:r w:rsidR="00945C9D">
        <w:rPr>
          <w:lang w:val="en-CA"/>
        </w:rPr>
        <w:t xml:space="preserve">fees </w:t>
      </w:r>
      <w:r>
        <w:rPr>
          <w:lang w:val="en-CA"/>
        </w:rPr>
        <w:t xml:space="preserve">that are </w:t>
      </w:r>
      <w:r w:rsidR="00945C9D">
        <w:rPr>
          <w:lang w:val="en-CA"/>
        </w:rPr>
        <w:t>known and predictable</w:t>
      </w:r>
      <w:r>
        <w:rPr>
          <w:lang w:val="en-CA"/>
        </w:rPr>
        <w:t xml:space="preserve"> are very popular with parents at all income levels and, in Quebec, have encouraged high </w:t>
      </w:r>
      <w:proofErr w:type="gramStart"/>
      <w:r w:rsidR="007905D7">
        <w:rPr>
          <w:lang w:val="en-CA"/>
        </w:rPr>
        <w:t>child care</w:t>
      </w:r>
      <w:proofErr w:type="gramEnd"/>
      <w:r w:rsidR="007905D7">
        <w:rPr>
          <w:lang w:val="en-CA"/>
        </w:rPr>
        <w:t xml:space="preserve"> </w:t>
      </w:r>
      <w:r>
        <w:rPr>
          <w:lang w:val="en-CA"/>
        </w:rPr>
        <w:t>participation by children in lower-income families.  T</w:t>
      </w:r>
      <w:r w:rsidR="00945C9D">
        <w:rPr>
          <w:lang w:val="en-CA"/>
        </w:rPr>
        <w:t xml:space="preserve">here would be strong elements of financial accountability and reporting by centres, requirements to pay above-award wages, </w:t>
      </w:r>
      <w:r w:rsidR="00371A67">
        <w:rPr>
          <w:lang w:val="en-CA"/>
        </w:rPr>
        <w:t>reduced ability to rely on part-time and casual staff and other requirements related to quality of care</w:t>
      </w:r>
      <w:r>
        <w:rPr>
          <w:lang w:val="en-CA"/>
        </w:rPr>
        <w:t>, but some centres and some parents would prefer this.</w:t>
      </w:r>
      <w:r w:rsidR="00371A67">
        <w:rPr>
          <w:lang w:val="en-CA"/>
        </w:rPr>
        <w:t xml:space="preserve">  There would be obvious transition difficulties, but this kind of recommendation would boldly look towards transforming Australia’s system into a universal and affordable one.</w:t>
      </w:r>
    </w:p>
    <w:p w14:paraId="04AC88A6" w14:textId="77777777" w:rsidR="00DA0CC8" w:rsidRDefault="00DA0CC8" w:rsidP="00DA0CC8">
      <w:pPr>
        <w:pStyle w:val="ListParagraph"/>
        <w:rPr>
          <w:lang w:val="en-CA"/>
        </w:rPr>
      </w:pPr>
    </w:p>
    <w:p w14:paraId="56A59997" w14:textId="3F297206" w:rsidR="00903157" w:rsidRDefault="00903157" w:rsidP="00903157">
      <w:pPr>
        <w:pStyle w:val="ListParagraph"/>
        <w:numPr>
          <w:ilvl w:val="0"/>
          <w:numId w:val="1"/>
        </w:numPr>
        <w:rPr>
          <w:lang w:val="en-CA"/>
        </w:rPr>
      </w:pPr>
      <w:r>
        <w:rPr>
          <w:lang w:val="en-CA"/>
        </w:rPr>
        <w:lastRenderedPageBreak/>
        <w:t xml:space="preserve">The Productivity Commission does not address the increasing commercialization of </w:t>
      </w:r>
      <w:proofErr w:type="gramStart"/>
      <w:r>
        <w:rPr>
          <w:lang w:val="en-CA"/>
        </w:rPr>
        <w:t>child care</w:t>
      </w:r>
      <w:proofErr w:type="gramEnd"/>
      <w:r>
        <w:rPr>
          <w:lang w:val="en-CA"/>
        </w:rPr>
        <w:t xml:space="preserve"> services in Australia.  Virtually </w:t>
      </w:r>
      <w:r w:rsidRPr="00B061E1">
        <w:rPr>
          <w:lang w:val="en-CA"/>
        </w:rPr>
        <w:t xml:space="preserve">all of the expansion of centre-based </w:t>
      </w:r>
      <w:proofErr w:type="gramStart"/>
      <w:r w:rsidRPr="00B061E1">
        <w:rPr>
          <w:lang w:val="en-CA"/>
        </w:rPr>
        <w:t>child care</w:t>
      </w:r>
      <w:proofErr w:type="gramEnd"/>
      <w:r w:rsidRPr="00B061E1">
        <w:rPr>
          <w:lang w:val="en-CA"/>
        </w:rPr>
        <w:t xml:space="preserve"> services (not preschools) in the last decade </w:t>
      </w:r>
      <w:r>
        <w:rPr>
          <w:lang w:val="en-CA"/>
        </w:rPr>
        <w:t xml:space="preserve">– a 50% increase in the number of spaces available - </w:t>
      </w:r>
      <w:r w:rsidRPr="00B061E1">
        <w:rPr>
          <w:lang w:val="en-CA"/>
        </w:rPr>
        <w:t>has been in the for-profit sector.</w:t>
      </w:r>
      <w:r>
        <w:rPr>
          <w:lang w:val="en-CA"/>
        </w:rPr>
        <w:t xml:space="preserve"> </w:t>
      </w:r>
      <w:r w:rsidR="0081456A">
        <w:rPr>
          <w:lang w:val="en-CA"/>
        </w:rPr>
        <w:t xml:space="preserve"> </w:t>
      </w:r>
      <w:r w:rsidR="006C218E">
        <w:rPr>
          <w:lang w:val="en-CA"/>
        </w:rPr>
        <w:t>As the ACCC interim report notes: “t</w:t>
      </w:r>
      <w:r w:rsidR="006C218E" w:rsidRPr="00765B62">
        <w:rPr>
          <w:rFonts w:cstheme="minorHAnsi"/>
        </w:rPr>
        <w:t xml:space="preserve">he </w:t>
      </w:r>
      <w:proofErr w:type="gramStart"/>
      <w:r w:rsidR="006C218E">
        <w:rPr>
          <w:rFonts w:cstheme="minorHAnsi"/>
        </w:rPr>
        <w:t>child care</w:t>
      </w:r>
      <w:proofErr w:type="gramEnd"/>
      <w:r w:rsidR="006C218E" w:rsidRPr="00765B62">
        <w:rPr>
          <w:rFonts w:cstheme="minorHAnsi"/>
        </w:rPr>
        <w:t xml:space="preserve"> sector is widely viewed as a safe and strong investment with guaranteed returns, backed by a government safety net</w:t>
      </w:r>
      <w:r w:rsidR="006C218E">
        <w:rPr>
          <w:rFonts w:cstheme="minorHAnsi"/>
        </w:rPr>
        <w:t>.”</w:t>
      </w:r>
      <w:r w:rsidR="006C218E">
        <w:rPr>
          <w:lang w:val="en-CA"/>
        </w:rPr>
        <w:t xml:space="preserve"> </w:t>
      </w:r>
      <w:r w:rsidR="0081456A">
        <w:rPr>
          <w:lang w:val="en-CA"/>
        </w:rPr>
        <w:t>The Productivity Commission report does not even raise the question of whether this extremely unbalanced growth pattern is desirable.</w:t>
      </w:r>
      <w:r>
        <w:rPr>
          <w:lang w:val="en-CA"/>
        </w:rPr>
        <w:t xml:space="preserve"> </w:t>
      </w:r>
      <w:r w:rsidR="00495640">
        <w:rPr>
          <w:lang w:val="en-CA"/>
        </w:rPr>
        <w:t>Th</w:t>
      </w:r>
      <w:r w:rsidR="0081456A">
        <w:rPr>
          <w:lang w:val="en-CA"/>
        </w:rPr>
        <w:t>e</w:t>
      </w:r>
      <w:r w:rsidR="00495640">
        <w:rPr>
          <w:lang w:val="en-CA"/>
        </w:rPr>
        <w:t xml:space="preserve"> growth </w:t>
      </w:r>
      <w:r w:rsidR="0081456A">
        <w:rPr>
          <w:lang w:val="en-CA"/>
        </w:rPr>
        <w:t xml:space="preserve">in services that has occurred </w:t>
      </w:r>
      <w:r w:rsidR="00495640">
        <w:rPr>
          <w:lang w:val="en-CA"/>
        </w:rPr>
        <w:t>is disproportionately located where returns are higher, rather than where need is greater, as shown in Figure</w:t>
      </w:r>
      <w:r w:rsidR="00AC60D9">
        <w:rPr>
          <w:lang w:val="en-CA"/>
        </w:rPr>
        <w:t>s</w:t>
      </w:r>
      <w:r w:rsidR="00495640">
        <w:rPr>
          <w:lang w:val="en-CA"/>
        </w:rPr>
        <w:t xml:space="preserve"> 3</w:t>
      </w:r>
      <w:r w:rsidR="00AC60D9">
        <w:rPr>
          <w:lang w:val="en-CA"/>
        </w:rPr>
        <w:t xml:space="preserve"> and 7</w:t>
      </w:r>
      <w:r w:rsidR="00E258CF">
        <w:rPr>
          <w:lang w:val="en-CA"/>
        </w:rPr>
        <w:t xml:space="preserve"> of the draft report</w:t>
      </w:r>
      <w:r w:rsidR="00495640">
        <w:rPr>
          <w:lang w:val="en-CA"/>
        </w:rPr>
        <w:t xml:space="preserve">.  </w:t>
      </w:r>
      <w:r w:rsidR="007A05EE">
        <w:rPr>
          <w:lang w:val="en-CA"/>
        </w:rPr>
        <w:t xml:space="preserve">1% of providers now provide 35% of all centre-based </w:t>
      </w:r>
      <w:proofErr w:type="gramStart"/>
      <w:r w:rsidR="007A05EE">
        <w:rPr>
          <w:lang w:val="en-CA"/>
        </w:rPr>
        <w:t>child care</w:t>
      </w:r>
      <w:proofErr w:type="gramEnd"/>
      <w:r w:rsidR="007A05EE">
        <w:rPr>
          <w:lang w:val="en-CA"/>
        </w:rPr>
        <w:t xml:space="preserve"> services. </w:t>
      </w:r>
      <w:r>
        <w:rPr>
          <w:lang w:val="en-CA"/>
        </w:rPr>
        <w:t>The Productivity Commission should be making recommendations about means of encouraging growth in not-for-profit and public provision of services.</w:t>
      </w:r>
      <w:r w:rsidR="00663DE4">
        <w:rPr>
          <w:lang w:val="en-CA"/>
        </w:rPr>
        <w:t xml:space="preserve"> </w:t>
      </w:r>
      <w:r w:rsidR="000B64FE">
        <w:rPr>
          <w:lang w:val="en-CA"/>
        </w:rPr>
        <w:t xml:space="preserve"> These recommendations would call for planned development and dedicated loan guarantees or other capital funding targeted at not-for-profit providers.</w:t>
      </w:r>
      <w:r w:rsidR="00663DE4">
        <w:rPr>
          <w:lang w:val="en-CA"/>
        </w:rPr>
        <w:t xml:space="preserve">  </w:t>
      </w:r>
      <w:r w:rsidR="00203E91">
        <w:rPr>
          <w:lang w:val="en-CA"/>
        </w:rPr>
        <w:t xml:space="preserve">I believe that </w:t>
      </w:r>
      <w:r w:rsidR="00663DE4">
        <w:rPr>
          <w:lang w:val="en-CA"/>
        </w:rPr>
        <w:t>Australia</w:t>
      </w:r>
      <w:r w:rsidR="00203E91">
        <w:rPr>
          <w:lang w:val="en-CA"/>
        </w:rPr>
        <w:t xml:space="preserve">n children and families are unlikely to prefer </w:t>
      </w:r>
      <w:r w:rsidR="00663DE4">
        <w:rPr>
          <w:lang w:val="en-CA"/>
        </w:rPr>
        <w:t xml:space="preserve">a universal </w:t>
      </w:r>
      <w:proofErr w:type="gramStart"/>
      <w:r w:rsidR="00663DE4">
        <w:rPr>
          <w:lang w:val="en-CA"/>
        </w:rPr>
        <w:t>child care</w:t>
      </w:r>
      <w:proofErr w:type="gramEnd"/>
      <w:r w:rsidR="00663DE4">
        <w:rPr>
          <w:lang w:val="en-CA"/>
        </w:rPr>
        <w:t xml:space="preserve"> system</w:t>
      </w:r>
      <w:r w:rsidR="0075423F">
        <w:rPr>
          <w:lang w:val="en-CA"/>
        </w:rPr>
        <w:t xml:space="preserve"> with </w:t>
      </w:r>
      <w:r w:rsidR="00072A6C">
        <w:rPr>
          <w:lang w:val="en-CA"/>
        </w:rPr>
        <w:t xml:space="preserve">unplanned </w:t>
      </w:r>
      <w:r w:rsidR="0075423F">
        <w:rPr>
          <w:lang w:val="en-CA"/>
        </w:rPr>
        <w:t>expansion and</w:t>
      </w:r>
      <w:r w:rsidR="00663DE4">
        <w:rPr>
          <w:lang w:val="en-CA"/>
        </w:rPr>
        <w:t xml:space="preserve"> complete dominat</w:t>
      </w:r>
      <w:r w:rsidR="00072A6C">
        <w:rPr>
          <w:lang w:val="en-CA"/>
        </w:rPr>
        <w:t xml:space="preserve">ion of service provision </w:t>
      </w:r>
      <w:r w:rsidR="00663DE4">
        <w:rPr>
          <w:lang w:val="en-CA"/>
        </w:rPr>
        <w:t>by commercial incentives and ethics.</w:t>
      </w:r>
    </w:p>
    <w:p w14:paraId="662250F4" w14:textId="77777777" w:rsidR="0094655E" w:rsidRPr="0094655E" w:rsidRDefault="0094655E" w:rsidP="0094655E">
      <w:pPr>
        <w:pStyle w:val="ListParagraph"/>
        <w:rPr>
          <w:lang w:val="en-CA"/>
        </w:rPr>
      </w:pPr>
    </w:p>
    <w:p w14:paraId="5DAE7F65" w14:textId="2383F11F" w:rsidR="00BE0115" w:rsidRPr="00BE0115" w:rsidRDefault="0094655E" w:rsidP="00BE0115">
      <w:pPr>
        <w:pStyle w:val="ListParagraph"/>
        <w:numPr>
          <w:ilvl w:val="0"/>
          <w:numId w:val="1"/>
        </w:numPr>
        <w:rPr>
          <w:lang w:val="en-CA"/>
        </w:rPr>
      </w:pPr>
      <w:r w:rsidRPr="00BE0115">
        <w:rPr>
          <w:lang w:val="en-CA"/>
        </w:rPr>
        <w:t xml:space="preserve">The Productivity Commission draft report provides a </w:t>
      </w:r>
      <w:r w:rsidR="00F975F3" w:rsidRPr="00BE0115">
        <w:rPr>
          <w:lang w:val="en-CA"/>
        </w:rPr>
        <w:t>one-sided</w:t>
      </w:r>
      <w:r w:rsidRPr="00BE0115">
        <w:rPr>
          <w:lang w:val="en-CA"/>
        </w:rPr>
        <w:t xml:space="preserve"> summary of the experience and effects of Quebec’s universal </w:t>
      </w:r>
      <w:proofErr w:type="gramStart"/>
      <w:r w:rsidRPr="00BE0115">
        <w:rPr>
          <w:lang w:val="en-CA"/>
        </w:rPr>
        <w:t>child care</w:t>
      </w:r>
      <w:proofErr w:type="gramEnd"/>
      <w:r w:rsidRPr="00BE0115">
        <w:rPr>
          <w:lang w:val="en-CA"/>
        </w:rPr>
        <w:t xml:space="preserve"> system.  </w:t>
      </w:r>
      <w:r w:rsidR="00260760">
        <w:rPr>
          <w:lang w:val="en-CA"/>
        </w:rPr>
        <w:t xml:space="preserve">Although it is true that </w:t>
      </w:r>
      <w:r w:rsidR="002F48C1">
        <w:rPr>
          <w:lang w:val="en-CA"/>
        </w:rPr>
        <w:t xml:space="preserve">economic </w:t>
      </w:r>
      <w:r w:rsidR="00260760">
        <w:rPr>
          <w:lang w:val="en-CA"/>
        </w:rPr>
        <w:t xml:space="preserve">researchers found short-run negative effects on </w:t>
      </w:r>
      <w:r w:rsidR="00A62563">
        <w:rPr>
          <w:lang w:val="en-CA"/>
        </w:rPr>
        <w:t xml:space="preserve">some </w:t>
      </w:r>
      <w:r w:rsidR="00260760">
        <w:rPr>
          <w:lang w:val="en-CA"/>
        </w:rPr>
        <w:t>children</w:t>
      </w:r>
      <w:r w:rsidR="00C7748B">
        <w:rPr>
          <w:lang w:val="en-CA"/>
        </w:rPr>
        <w:t xml:space="preserve"> (effects </w:t>
      </w:r>
      <w:r w:rsidR="00CB7B7C">
        <w:rPr>
          <w:lang w:val="en-CA"/>
        </w:rPr>
        <w:t>were found to vary substantially across different child groups</w:t>
      </w:r>
      <w:r w:rsidR="00CB7B7C">
        <w:rPr>
          <w:rStyle w:val="FootnoteReference"/>
          <w:lang w:val="en-CA"/>
        </w:rPr>
        <w:footnoteReference w:id="7"/>
      </w:r>
      <w:r w:rsidR="00C7748B">
        <w:rPr>
          <w:lang w:val="en-CA"/>
        </w:rPr>
        <w:t>)</w:t>
      </w:r>
      <w:r w:rsidR="00260760">
        <w:rPr>
          <w:lang w:val="en-CA"/>
        </w:rPr>
        <w:t>, t</w:t>
      </w:r>
      <w:r w:rsidR="00F975F3" w:rsidRPr="00BE0115">
        <w:rPr>
          <w:lang w:val="en-CA"/>
        </w:rPr>
        <w:t xml:space="preserve">he most recent and comprehensive work on Quebec, using </w:t>
      </w:r>
      <w:r w:rsidR="00BE0115">
        <w:rPr>
          <w:lang w:val="en-CA"/>
        </w:rPr>
        <w:t>a triple-difference estimator</w:t>
      </w:r>
      <w:r w:rsidR="00F975F3" w:rsidRPr="00BE0115">
        <w:rPr>
          <w:lang w:val="en-CA"/>
        </w:rPr>
        <w:t xml:space="preserve"> </w:t>
      </w:r>
      <w:proofErr w:type="gramStart"/>
      <w:r w:rsidR="00F975F3" w:rsidRPr="00BE0115">
        <w:rPr>
          <w:lang w:val="en-CA"/>
        </w:rPr>
        <w:t>similar to</w:t>
      </w:r>
      <w:proofErr w:type="gramEnd"/>
      <w:r w:rsidR="00F975F3" w:rsidRPr="00BE0115">
        <w:rPr>
          <w:lang w:val="en-CA"/>
        </w:rPr>
        <w:t xml:space="preserve"> other studies (Montpetit et al., 202</w:t>
      </w:r>
      <w:r w:rsidR="00CB7B7C">
        <w:rPr>
          <w:lang w:val="en-CA"/>
        </w:rPr>
        <w:t>4</w:t>
      </w:r>
      <w:r w:rsidR="00FF6F13">
        <w:rPr>
          <w:rStyle w:val="FootnoteReference"/>
          <w:lang w:val="en-CA"/>
        </w:rPr>
        <w:footnoteReference w:id="8"/>
      </w:r>
      <w:r w:rsidR="00F975F3" w:rsidRPr="00BE0115">
        <w:rPr>
          <w:lang w:val="en-CA"/>
        </w:rPr>
        <w:t>)</w:t>
      </w:r>
      <w:r w:rsidR="00E95570" w:rsidRPr="00BE0115">
        <w:rPr>
          <w:lang w:val="en-CA"/>
        </w:rPr>
        <w:t xml:space="preserve"> does not find</w:t>
      </w:r>
      <w:r w:rsidR="00091F9B">
        <w:rPr>
          <w:lang w:val="en-CA"/>
        </w:rPr>
        <w:t xml:space="preserve"> any</w:t>
      </w:r>
      <w:r w:rsidR="00E95570" w:rsidRPr="00BE0115">
        <w:rPr>
          <w:lang w:val="en-CA"/>
        </w:rPr>
        <w:t xml:space="preserve"> long-run negative effects on children’s </w:t>
      </w:r>
      <w:r w:rsidR="002F48C1">
        <w:rPr>
          <w:lang w:val="en-CA"/>
        </w:rPr>
        <w:t xml:space="preserve">completed </w:t>
      </w:r>
      <w:r w:rsidR="00E95570" w:rsidRPr="00BE0115">
        <w:rPr>
          <w:lang w:val="en-CA"/>
        </w:rPr>
        <w:t xml:space="preserve">education.  Rather, they find that the long-run </w:t>
      </w:r>
      <w:r w:rsidR="00F975F3" w:rsidRPr="00BE0115">
        <w:rPr>
          <w:lang w:val="en-CA"/>
        </w:rPr>
        <w:t xml:space="preserve">education levels of Quebec children who had been eligible for $5 a day </w:t>
      </w:r>
      <w:proofErr w:type="gramStart"/>
      <w:r w:rsidR="00F975F3" w:rsidRPr="00BE0115">
        <w:rPr>
          <w:lang w:val="en-CA"/>
        </w:rPr>
        <w:t>child care</w:t>
      </w:r>
      <w:proofErr w:type="gramEnd"/>
      <w:r w:rsidR="00F975F3" w:rsidRPr="00BE0115">
        <w:rPr>
          <w:lang w:val="en-CA"/>
        </w:rPr>
        <w:t xml:space="preserve"> were no different than their peers in other parts of Canada. </w:t>
      </w:r>
      <w:r w:rsidR="00BE0115" w:rsidRPr="00BE0115">
        <w:rPr>
          <w:lang w:val="en-CA"/>
        </w:rPr>
        <w:t xml:space="preserve"> In particular they write: “We find no evidence of negative effects on educational attainment of eligible children in the </w:t>
      </w:r>
      <w:proofErr w:type="gramStart"/>
      <w:r w:rsidR="00BE0115" w:rsidRPr="00BE0115">
        <w:rPr>
          <w:lang w:val="en-CA"/>
        </w:rPr>
        <w:t>long-run</w:t>
      </w:r>
      <w:proofErr w:type="gramEnd"/>
      <w:r w:rsidR="00BE0115" w:rsidRPr="00BE0115">
        <w:rPr>
          <w:lang w:val="en-CA"/>
        </w:rPr>
        <w:t>. This pattern is true for each educational level, namely for university, high school, and college completion</w:t>
      </w:r>
      <w:r w:rsidR="00BE0115">
        <w:rPr>
          <w:lang w:val="en-CA"/>
        </w:rPr>
        <w:t>….</w:t>
      </w:r>
    </w:p>
    <w:p w14:paraId="3C32B32C" w14:textId="77777777" w:rsidR="0055608D" w:rsidRDefault="00BE0115" w:rsidP="0055608D">
      <w:pPr>
        <w:pStyle w:val="ListParagraph"/>
        <w:rPr>
          <w:lang w:val="en-CA"/>
        </w:rPr>
      </w:pPr>
      <w:r w:rsidRPr="00BE0115">
        <w:rPr>
          <w:lang w:val="en-CA"/>
        </w:rPr>
        <w:lastRenderedPageBreak/>
        <w:t>The results suggest a positive but statistically insignificant impact on completion of a university</w:t>
      </w:r>
      <w:r>
        <w:rPr>
          <w:lang w:val="en-CA"/>
        </w:rPr>
        <w:t xml:space="preserve"> </w:t>
      </w:r>
      <w:r w:rsidRPr="00BE0115">
        <w:rPr>
          <w:lang w:val="en-CA"/>
        </w:rPr>
        <w:t>degree, the most comparable outcome across provinces, and no impact at lower levels</w:t>
      </w:r>
      <w:proofErr w:type="gramStart"/>
      <w:r w:rsidRPr="00BE0115">
        <w:rPr>
          <w:lang w:val="en-CA"/>
        </w:rPr>
        <w:t>.</w:t>
      </w:r>
      <w:r>
        <w:rPr>
          <w:lang w:val="en-CA"/>
        </w:rPr>
        <w:t>”(</w:t>
      </w:r>
      <w:proofErr w:type="gramEnd"/>
      <w:r>
        <w:rPr>
          <w:lang w:val="en-CA"/>
        </w:rPr>
        <w:t>p. 21)</w:t>
      </w:r>
      <w:r w:rsidR="00D648A3">
        <w:rPr>
          <w:lang w:val="en-CA"/>
        </w:rPr>
        <w:t xml:space="preserve">.  </w:t>
      </w:r>
      <w:r w:rsidR="00F975F3">
        <w:rPr>
          <w:lang w:val="en-CA"/>
        </w:rPr>
        <w:t xml:space="preserve">Further, </w:t>
      </w:r>
      <w:r w:rsidR="00D648A3">
        <w:rPr>
          <w:lang w:val="en-CA"/>
        </w:rPr>
        <w:t>Montpetit’s</w:t>
      </w:r>
      <w:r w:rsidR="00F975F3">
        <w:rPr>
          <w:lang w:val="en-CA"/>
        </w:rPr>
        <w:t xml:space="preserve"> study calculates the social cost of increased “</w:t>
      </w:r>
      <w:r>
        <w:rPr>
          <w:lang w:val="en-CA"/>
        </w:rPr>
        <w:t>youth criminal activity</w:t>
      </w:r>
      <w:r w:rsidR="00F975F3">
        <w:rPr>
          <w:lang w:val="en-CA"/>
        </w:rPr>
        <w:t xml:space="preserve">” identified by Baker, </w:t>
      </w:r>
      <w:proofErr w:type="gramStart"/>
      <w:r w:rsidR="00F975F3">
        <w:rPr>
          <w:lang w:val="en-CA"/>
        </w:rPr>
        <w:t>Gruber</w:t>
      </w:r>
      <w:proofErr w:type="gramEnd"/>
      <w:r w:rsidR="00F975F3">
        <w:rPr>
          <w:lang w:val="en-CA"/>
        </w:rPr>
        <w:t xml:space="preserve"> and Milligan (2019</w:t>
      </w:r>
      <w:r w:rsidR="00FF6F13">
        <w:rPr>
          <w:rStyle w:val="FootnoteReference"/>
          <w:lang w:val="en-CA"/>
        </w:rPr>
        <w:footnoteReference w:id="9"/>
      </w:r>
      <w:r w:rsidR="00F975F3">
        <w:rPr>
          <w:lang w:val="en-CA"/>
        </w:rPr>
        <w:t xml:space="preserve">) and finds negligible social costs because the identified transgressions were minor.  </w:t>
      </w:r>
    </w:p>
    <w:p w14:paraId="114E9B78" w14:textId="77777777" w:rsidR="0055608D" w:rsidRDefault="0055608D" w:rsidP="0055608D">
      <w:pPr>
        <w:pStyle w:val="ListParagraph"/>
        <w:rPr>
          <w:lang w:val="en-CA"/>
        </w:rPr>
      </w:pPr>
    </w:p>
    <w:p w14:paraId="7D0A2DDB" w14:textId="05E77937" w:rsidR="0055608D" w:rsidRPr="00903D47" w:rsidRDefault="00D648A3" w:rsidP="0055608D">
      <w:pPr>
        <w:pStyle w:val="ListParagraph"/>
        <w:numPr>
          <w:ilvl w:val="0"/>
          <w:numId w:val="1"/>
        </w:numPr>
      </w:pPr>
      <w:r w:rsidRPr="0055608D">
        <w:rPr>
          <w:rFonts w:cstheme="minorHAnsi"/>
          <w:lang w:val="en-CA"/>
        </w:rPr>
        <w:t>The</w:t>
      </w:r>
      <w:r w:rsidR="00F975F3" w:rsidRPr="0055608D">
        <w:rPr>
          <w:rFonts w:cstheme="minorHAnsi"/>
          <w:lang w:val="en-CA"/>
        </w:rPr>
        <w:t xml:space="preserve"> Productivity Commission</w:t>
      </w:r>
      <w:r w:rsidRPr="0055608D">
        <w:rPr>
          <w:rFonts w:cstheme="minorHAnsi"/>
          <w:lang w:val="en-CA"/>
        </w:rPr>
        <w:t xml:space="preserve"> draft</w:t>
      </w:r>
      <w:r w:rsidR="00F975F3" w:rsidRPr="0055608D">
        <w:rPr>
          <w:rFonts w:cstheme="minorHAnsi"/>
          <w:lang w:val="en-CA"/>
        </w:rPr>
        <w:t xml:space="preserve"> report</w:t>
      </w:r>
      <w:r w:rsidRPr="0055608D">
        <w:rPr>
          <w:rFonts w:cstheme="minorHAnsi"/>
          <w:lang w:val="en-CA"/>
        </w:rPr>
        <w:t xml:space="preserve"> gives little sense th</w:t>
      </w:r>
      <w:r w:rsidR="00C15659" w:rsidRPr="0055608D">
        <w:rPr>
          <w:rFonts w:cstheme="minorHAnsi"/>
          <w:lang w:val="en-CA"/>
        </w:rPr>
        <w:t>at</w:t>
      </w:r>
      <w:r w:rsidR="00F975F3" w:rsidRPr="0055608D">
        <w:rPr>
          <w:rFonts w:cstheme="minorHAnsi"/>
          <w:lang w:val="en-CA"/>
        </w:rPr>
        <w:t xml:space="preserve"> this </w:t>
      </w:r>
      <w:r w:rsidR="007B6422" w:rsidRPr="0055608D">
        <w:rPr>
          <w:rFonts w:cstheme="minorHAnsi"/>
          <w:lang w:val="en-CA"/>
        </w:rPr>
        <w:t xml:space="preserve">fixed-parent-fee </w:t>
      </w:r>
      <w:proofErr w:type="gramStart"/>
      <w:r w:rsidR="007B6422" w:rsidRPr="0055608D">
        <w:rPr>
          <w:rFonts w:cstheme="minorHAnsi"/>
          <w:lang w:val="en-CA"/>
        </w:rPr>
        <w:t>child care</w:t>
      </w:r>
      <w:proofErr w:type="gramEnd"/>
      <w:r w:rsidR="007B6422" w:rsidRPr="0055608D">
        <w:rPr>
          <w:rFonts w:cstheme="minorHAnsi"/>
          <w:lang w:val="en-CA"/>
        </w:rPr>
        <w:t xml:space="preserve"> program </w:t>
      </w:r>
      <w:r w:rsidR="00F975F3" w:rsidRPr="0055608D">
        <w:rPr>
          <w:rFonts w:cstheme="minorHAnsi"/>
          <w:lang w:val="en-CA"/>
        </w:rPr>
        <w:t>is an incredibly popular social program with Quebec parents</w:t>
      </w:r>
      <w:r w:rsidR="0081456A" w:rsidRPr="0055608D">
        <w:rPr>
          <w:rFonts w:cstheme="minorHAnsi"/>
          <w:lang w:val="en-CA"/>
        </w:rPr>
        <w:t xml:space="preserve">.  </w:t>
      </w:r>
      <w:r w:rsidR="001977BD">
        <w:rPr>
          <w:rFonts w:cstheme="minorHAnsi"/>
          <w:lang w:val="en-CA"/>
        </w:rPr>
        <w:t xml:space="preserve">The reader will struggle to understand why the Canadian federal government decided in 2021 to spend $30 billion over 5 years to spread the Quebec </w:t>
      </w:r>
      <w:proofErr w:type="gramStart"/>
      <w:r w:rsidR="001977BD">
        <w:rPr>
          <w:rFonts w:cstheme="minorHAnsi"/>
          <w:lang w:val="en-CA"/>
        </w:rPr>
        <w:t>child care</w:t>
      </w:r>
      <w:proofErr w:type="gramEnd"/>
      <w:r w:rsidR="001977BD">
        <w:rPr>
          <w:rFonts w:cstheme="minorHAnsi"/>
          <w:lang w:val="en-CA"/>
        </w:rPr>
        <w:t xml:space="preserve"> model of a fixed-fee, supply-side-funded program across the country.  </w:t>
      </w:r>
      <w:r w:rsidR="0081456A" w:rsidRPr="0055608D">
        <w:rPr>
          <w:rFonts w:cstheme="minorHAnsi"/>
          <w:lang w:val="en-CA"/>
        </w:rPr>
        <w:t xml:space="preserve">The reader of the draft report will not be told that Quebec’s </w:t>
      </w:r>
      <w:proofErr w:type="gramStart"/>
      <w:r w:rsidR="0081456A" w:rsidRPr="0055608D">
        <w:rPr>
          <w:rFonts w:cstheme="minorHAnsi"/>
          <w:lang w:val="en-CA"/>
        </w:rPr>
        <w:t>child care</w:t>
      </w:r>
      <w:proofErr w:type="gramEnd"/>
      <w:r w:rsidR="0081456A" w:rsidRPr="0055608D">
        <w:rPr>
          <w:rFonts w:cstheme="minorHAnsi"/>
          <w:lang w:val="en-CA"/>
        </w:rPr>
        <w:t xml:space="preserve"> reforms</w:t>
      </w:r>
      <w:r w:rsidR="00F975F3" w:rsidRPr="0055608D">
        <w:rPr>
          <w:rFonts w:cstheme="minorHAnsi"/>
          <w:lang w:val="en-CA"/>
        </w:rPr>
        <w:t xml:space="preserve"> had sufficient impacts on mothers’ employment and economic growth to more than pay for the costs of the program</w:t>
      </w:r>
      <w:r w:rsidR="001977BD">
        <w:rPr>
          <w:rFonts w:cstheme="minorHAnsi"/>
          <w:lang w:val="en-CA"/>
        </w:rPr>
        <w:t xml:space="preserve"> according to the influential </w:t>
      </w:r>
      <w:r w:rsidR="00F975F3" w:rsidRPr="0055608D">
        <w:rPr>
          <w:rFonts w:cstheme="minorHAnsi"/>
          <w:lang w:val="en-CA"/>
        </w:rPr>
        <w:t>opinion of prominent Canadian economist</w:t>
      </w:r>
      <w:r w:rsidR="001F6BE4" w:rsidRPr="0055608D">
        <w:rPr>
          <w:rFonts w:cstheme="minorHAnsi"/>
          <w:lang w:val="en-CA"/>
        </w:rPr>
        <w:t xml:space="preserve">s </w:t>
      </w:r>
      <w:r w:rsidR="007B6422" w:rsidRPr="0055608D">
        <w:rPr>
          <w:rFonts w:cstheme="minorHAnsi"/>
          <w:lang w:val="en-CA"/>
        </w:rPr>
        <w:t>(Fortin</w:t>
      </w:r>
      <w:r w:rsidR="004C3C1E" w:rsidRPr="0055608D">
        <w:rPr>
          <w:rFonts w:cstheme="minorHAnsi"/>
          <w:lang w:val="en-CA"/>
        </w:rPr>
        <w:t xml:space="preserve">, Godbout, </w:t>
      </w:r>
      <w:r w:rsidR="0050740F">
        <w:rPr>
          <w:rFonts w:cstheme="minorHAnsi"/>
          <w:lang w:val="en-CA"/>
        </w:rPr>
        <w:t>S</w:t>
      </w:r>
      <w:r w:rsidR="004C3C1E" w:rsidRPr="0055608D">
        <w:rPr>
          <w:rFonts w:cstheme="minorHAnsi"/>
          <w:lang w:val="en-CA"/>
        </w:rPr>
        <w:t>t. Cerny</w:t>
      </w:r>
      <w:r w:rsidR="007B6422" w:rsidRPr="0055608D">
        <w:rPr>
          <w:rFonts w:cstheme="minorHAnsi"/>
          <w:lang w:val="en-CA"/>
        </w:rPr>
        <w:t>, 201</w:t>
      </w:r>
      <w:r w:rsidR="00CC50D7" w:rsidRPr="0055608D">
        <w:rPr>
          <w:rFonts w:cstheme="minorHAnsi"/>
          <w:lang w:val="en-CA"/>
        </w:rPr>
        <w:t>3</w:t>
      </w:r>
      <w:r w:rsidR="009A067F" w:rsidRPr="0055608D">
        <w:rPr>
          <w:rStyle w:val="FootnoteReference"/>
          <w:rFonts w:cstheme="minorHAnsi"/>
          <w:lang w:val="en-CA"/>
        </w:rPr>
        <w:footnoteReference w:id="10"/>
      </w:r>
      <w:r w:rsidR="007B6422" w:rsidRPr="0055608D">
        <w:rPr>
          <w:rFonts w:cstheme="minorHAnsi"/>
          <w:lang w:val="en-CA"/>
        </w:rPr>
        <w:t>)</w:t>
      </w:r>
      <w:r w:rsidR="00F975F3" w:rsidRPr="0055608D">
        <w:rPr>
          <w:rFonts w:cstheme="minorHAnsi"/>
          <w:lang w:val="en-CA"/>
        </w:rPr>
        <w:t xml:space="preserve">. </w:t>
      </w:r>
      <w:r w:rsidR="0055608D" w:rsidRPr="0055608D">
        <w:rPr>
          <w:rFonts w:cstheme="minorHAnsi"/>
          <w:lang w:val="en-CA"/>
        </w:rPr>
        <w:t xml:space="preserve"> Lefebvre and Merrigan (2008</w:t>
      </w:r>
      <w:r w:rsidR="0055608D">
        <w:rPr>
          <w:rStyle w:val="FootnoteReference"/>
          <w:rFonts w:cstheme="minorHAnsi"/>
          <w:lang w:val="en-CA"/>
        </w:rPr>
        <w:footnoteReference w:id="11"/>
      </w:r>
      <w:r w:rsidR="0055608D" w:rsidRPr="0055608D">
        <w:rPr>
          <w:rFonts w:cstheme="minorHAnsi"/>
          <w:lang w:val="en-CA"/>
        </w:rPr>
        <w:t>) find that Quebec’s policy reforms increased labour force participation of mothers with children 0-4 by 7</w:t>
      </w:r>
      <w:r w:rsidR="0055608D" w:rsidRPr="0055608D">
        <w:rPr>
          <w:rFonts w:cstheme="minorHAnsi"/>
        </w:rPr>
        <w:t>.6 percentage points from 61.4</w:t>
      </w:r>
      <w:proofErr w:type="gramStart"/>
      <w:r w:rsidR="0055608D" w:rsidRPr="0055608D">
        <w:rPr>
          <w:rFonts w:cstheme="minorHAnsi"/>
        </w:rPr>
        <w:t xml:space="preserve">% </w:t>
      </w:r>
      <w:r w:rsidR="00903D47">
        <w:rPr>
          <w:rFonts w:cstheme="minorHAnsi"/>
        </w:rPr>
        <w:t xml:space="preserve"> </w:t>
      </w:r>
      <w:r w:rsidR="0055608D" w:rsidRPr="0055608D">
        <w:rPr>
          <w:rFonts w:cstheme="minorHAnsi"/>
        </w:rPr>
        <w:t>before</w:t>
      </w:r>
      <w:proofErr w:type="gramEnd"/>
      <w:r w:rsidR="0055608D" w:rsidRPr="0055608D">
        <w:rPr>
          <w:rFonts w:cstheme="minorHAnsi"/>
        </w:rPr>
        <w:t xml:space="preserve"> the policy.  They estimate the labour force elasticity to </w:t>
      </w:r>
      <w:proofErr w:type="gramStart"/>
      <w:r w:rsidR="0055608D" w:rsidRPr="0055608D">
        <w:rPr>
          <w:rFonts w:cstheme="minorHAnsi"/>
        </w:rPr>
        <w:t>child care</w:t>
      </w:r>
      <w:proofErr w:type="gramEnd"/>
      <w:r w:rsidR="0055608D" w:rsidRPr="0055608D">
        <w:rPr>
          <w:rFonts w:cstheme="minorHAnsi"/>
        </w:rPr>
        <w:t xml:space="preserve"> price to be 0.25.  In </w:t>
      </w:r>
      <w:proofErr w:type="gramStart"/>
      <w:r w:rsidR="0055608D" w:rsidRPr="0055608D">
        <w:rPr>
          <w:rFonts w:cstheme="minorHAnsi"/>
        </w:rPr>
        <w:t>addition</w:t>
      </w:r>
      <w:proofErr w:type="gramEnd"/>
      <w:r w:rsidR="0055608D" w:rsidRPr="0055608D">
        <w:rPr>
          <w:rFonts w:cstheme="minorHAnsi"/>
        </w:rPr>
        <w:t xml:space="preserve"> the child care reforms increased the annual hours worked, weeks worked and earnings; these elasticities were 0.26, 0.28, and 0.34, respectively.</w:t>
      </w:r>
      <w:r w:rsidR="00DD1D2C">
        <w:rPr>
          <w:rFonts w:cstheme="minorHAnsi"/>
        </w:rPr>
        <w:t xml:space="preserve">  With these elasticities, a 10% decrease in the fee would increase annual hours worked by 2.6%, increase weeks worked by 2.8% or increase earnings by 3.4% on average. </w:t>
      </w:r>
    </w:p>
    <w:p w14:paraId="7DC8EBC7" w14:textId="77777777" w:rsidR="00903D47" w:rsidRPr="0055608D" w:rsidRDefault="00903D47" w:rsidP="00903D47"/>
    <w:p w14:paraId="04706012" w14:textId="2335E515" w:rsidR="0094655E" w:rsidRDefault="00903D47" w:rsidP="00BE0115">
      <w:pPr>
        <w:pStyle w:val="ListParagraph"/>
        <w:rPr>
          <w:lang w:val="en-CA"/>
        </w:rPr>
      </w:pPr>
      <w:r>
        <w:rPr>
          <w:lang w:val="en-CA"/>
        </w:rPr>
        <w:t>Lefebvre, Merrigan and Verstraete (20</w:t>
      </w:r>
      <w:r w:rsidR="004D3CD4">
        <w:rPr>
          <w:lang w:val="en-CA"/>
        </w:rPr>
        <w:t>09</w:t>
      </w:r>
      <w:r>
        <w:rPr>
          <w:rStyle w:val="FootnoteReference"/>
          <w:lang w:val="en-CA"/>
        </w:rPr>
        <w:footnoteReference w:id="12"/>
      </w:r>
      <w:r>
        <w:rPr>
          <w:lang w:val="en-CA"/>
        </w:rPr>
        <w:t xml:space="preserve">) found that the labour force impacts lasted beyond the preschool </w:t>
      </w:r>
      <w:proofErr w:type="gramStart"/>
      <w:r>
        <w:rPr>
          <w:lang w:val="en-CA"/>
        </w:rPr>
        <w:t>child care</w:t>
      </w:r>
      <w:proofErr w:type="gramEnd"/>
      <w:r>
        <w:rPr>
          <w:lang w:val="en-CA"/>
        </w:rPr>
        <w:t xml:space="preserve"> years when mothers no longer had any children 0-</w:t>
      </w:r>
      <w:r w:rsidR="007C1E8E">
        <w:rPr>
          <w:lang w:val="en-CA"/>
        </w:rPr>
        <w:t>5 years of age</w:t>
      </w:r>
      <w:r>
        <w:rPr>
          <w:lang w:val="en-CA"/>
        </w:rPr>
        <w:t>, and that the positive labour force impacts were particularly strong amongst mothers with lower levels of education. E</w:t>
      </w:r>
      <w:r w:rsidR="00E95570">
        <w:rPr>
          <w:lang w:val="en-CA"/>
        </w:rPr>
        <w:t>ven</w:t>
      </w:r>
      <w:r w:rsidR="0081456A">
        <w:rPr>
          <w:lang w:val="en-CA"/>
        </w:rPr>
        <w:t xml:space="preserve"> if long run labour force effects are ignored</w:t>
      </w:r>
      <w:r w:rsidR="00E95570">
        <w:rPr>
          <w:lang w:val="en-CA"/>
        </w:rPr>
        <w:t xml:space="preserve">, </w:t>
      </w:r>
      <w:r w:rsidR="00C15659">
        <w:rPr>
          <w:lang w:val="en-CA"/>
        </w:rPr>
        <w:t>the</w:t>
      </w:r>
      <w:r w:rsidR="0081456A">
        <w:rPr>
          <w:lang w:val="en-CA"/>
        </w:rPr>
        <w:t xml:space="preserve"> recent</w:t>
      </w:r>
      <w:r w:rsidR="00C15659">
        <w:rPr>
          <w:lang w:val="en-CA"/>
        </w:rPr>
        <w:t xml:space="preserve"> study by </w:t>
      </w:r>
      <w:r w:rsidR="00E95570">
        <w:rPr>
          <w:lang w:val="en-CA"/>
        </w:rPr>
        <w:t xml:space="preserve">Montpetit and colleagues </w:t>
      </w:r>
      <w:r w:rsidR="00F22836">
        <w:rPr>
          <w:lang w:val="en-CA"/>
        </w:rPr>
        <w:t xml:space="preserve">(2024) </w:t>
      </w:r>
      <w:r w:rsidR="00E95570">
        <w:rPr>
          <w:lang w:val="en-CA"/>
        </w:rPr>
        <w:t>finds that the overall benefits</w:t>
      </w:r>
      <w:r w:rsidR="001F6BE4">
        <w:rPr>
          <w:lang w:val="en-CA"/>
        </w:rPr>
        <w:t xml:space="preserve"> of </w:t>
      </w:r>
      <w:r w:rsidR="001F6BE4">
        <w:rPr>
          <w:lang w:val="en-CA"/>
        </w:rPr>
        <w:lastRenderedPageBreak/>
        <w:t xml:space="preserve">universal </w:t>
      </w:r>
      <w:proofErr w:type="gramStart"/>
      <w:r w:rsidR="001F6BE4">
        <w:rPr>
          <w:lang w:val="en-CA"/>
        </w:rPr>
        <w:t>child care</w:t>
      </w:r>
      <w:proofErr w:type="gramEnd"/>
      <w:r w:rsidR="00E95570">
        <w:rPr>
          <w:lang w:val="en-CA"/>
        </w:rPr>
        <w:t xml:space="preserve"> </w:t>
      </w:r>
      <w:r w:rsidR="0081456A">
        <w:rPr>
          <w:lang w:val="en-CA"/>
        </w:rPr>
        <w:t xml:space="preserve">in Quebec </w:t>
      </w:r>
      <w:r w:rsidR="00E95570">
        <w:rPr>
          <w:lang w:val="en-CA"/>
        </w:rPr>
        <w:t>are three and a half times the costs.</w:t>
      </w:r>
      <w:r w:rsidR="009629E7">
        <w:rPr>
          <w:lang w:val="en-CA"/>
        </w:rPr>
        <w:t xml:space="preserve">  This includes a careful evaluation of the value of the improvements in </w:t>
      </w:r>
      <w:r w:rsidR="00770A18">
        <w:rPr>
          <w:lang w:val="en-CA"/>
        </w:rPr>
        <w:t>the</w:t>
      </w:r>
      <w:r w:rsidR="009629E7">
        <w:rPr>
          <w:lang w:val="en-CA"/>
        </w:rPr>
        <w:t xml:space="preserve"> well-being </w:t>
      </w:r>
      <w:r w:rsidR="00770A18">
        <w:rPr>
          <w:lang w:val="en-CA"/>
        </w:rPr>
        <w:t xml:space="preserve">of Quebec mothers </w:t>
      </w:r>
      <w:r w:rsidR="009629E7">
        <w:rPr>
          <w:lang w:val="en-CA"/>
        </w:rPr>
        <w:t xml:space="preserve">from universal </w:t>
      </w:r>
      <w:proofErr w:type="gramStart"/>
      <w:r w:rsidR="009629E7">
        <w:rPr>
          <w:lang w:val="en-CA"/>
        </w:rPr>
        <w:t>child care</w:t>
      </w:r>
      <w:proofErr w:type="gramEnd"/>
      <w:r w:rsidR="009629E7">
        <w:rPr>
          <w:lang w:val="en-CA"/>
        </w:rPr>
        <w:t xml:space="preserve"> services.</w:t>
      </w:r>
    </w:p>
    <w:p w14:paraId="0C35E4D7" w14:textId="77777777" w:rsidR="009B0201" w:rsidRDefault="009B0201" w:rsidP="00BE0115">
      <w:pPr>
        <w:pStyle w:val="ListParagraph"/>
        <w:rPr>
          <w:lang w:val="en-CA"/>
        </w:rPr>
      </w:pPr>
    </w:p>
    <w:p w14:paraId="551F0BB2" w14:textId="5FC0F8F8" w:rsidR="007A76D6" w:rsidRDefault="009B0201" w:rsidP="00B85B2B">
      <w:pPr>
        <w:pStyle w:val="ListParagraph"/>
        <w:numPr>
          <w:ilvl w:val="0"/>
          <w:numId w:val="1"/>
        </w:numPr>
        <w:rPr>
          <w:lang w:val="en-CA"/>
        </w:rPr>
      </w:pPr>
      <w:r w:rsidRPr="002D1CEC">
        <w:rPr>
          <w:lang w:val="en-CA"/>
        </w:rPr>
        <w:t xml:space="preserve">The Quebec model of funding and management of </w:t>
      </w:r>
      <w:proofErr w:type="gramStart"/>
      <w:r w:rsidRPr="002D1CEC">
        <w:rPr>
          <w:lang w:val="en-CA"/>
        </w:rPr>
        <w:t>child care</w:t>
      </w:r>
      <w:proofErr w:type="gramEnd"/>
      <w:r w:rsidRPr="002D1CEC">
        <w:rPr>
          <w:lang w:val="en-CA"/>
        </w:rPr>
        <w:t xml:space="preserve"> services is not a perfect one.  Two factors made its birth particularly difficult.  First, when they initiated the $5 a day program, Quebec only had enough </w:t>
      </w:r>
      <w:proofErr w:type="gramStart"/>
      <w:r w:rsidRPr="002D1CEC">
        <w:rPr>
          <w:lang w:val="en-CA"/>
        </w:rPr>
        <w:t>child care</w:t>
      </w:r>
      <w:proofErr w:type="gramEnd"/>
      <w:r w:rsidRPr="002D1CEC">
        <w:rPr>
          <w:lang w:val="en-CA"/>
        </w:rPr>
        <w:t xml:space="preserve"> supply to provide services to 15% of the child population 0-4 years.  For 20 years, they scrambled to increase supply </w:t>
      </w:r>
      <w:r w:rsidR="00CA3C77">
        <w:rPr>
          <w:lang w:val="en-CA"/>
        </w:rPr>
        <w:t xml:space="preserve">and have </w:t>
      </w:r>
      <w:r w:rsidRPr="002D1CEC">
        <w:rPr>
          <w:lang w:val="en-CA"/>
        </w:rPr>
        <w:t xml:space="preserve">now </w:t>
      </w:r>
      <w:r w:rsidR="00CA3C77">
        <w:rPr>
          <w:lang w:val="en-CA"/>
        </w:rPr>
        <w:t>reached</w:t>
      </w:r>
      <w:r w:rsidRPr="002D1CEC">
        <w:rPr>
          <w:lang w:val="en-CA"/>
        </w:rPr>
        <w:t xml:space="preserve"> nearly 70%. </w:t>
      </w:r>
      <w:r w:rsidR="000356D0">
        <w:rPr>
          <w:lang w:val="en-CA"/>
        </w:rPr>
        <w:t xml:space="preserve">However, this scramble to increase supply meant relying too heavily on both family </w:t>
      </w:r>
      <w:proofErr w:type="gramStart"/>
      <w:r w:rsidR="000356D0">
        <w:rPr>
          <w:lang w:val="en-CA"/>
        </w:rPr>
        <w:t>child care</w:t>
      </w:r>
      <w:proofErr w:type="gramEnd"/>
      <w:r w:rsidRPr="002D1CEC">
        <w:rPr>
          <w:lang w:val="en-CA"/>
        </w:rPr>
        <w:t xml:space="preserve"> </w:t>
      </w:r>
      <w:r w:rsidR="000356D0">
        <w:rPr>
          <w:lang w:val="en-CA"/>
        </w:rPr>
        <w:t>and for-profit child care with weaker regulation.  These types of care have been the Achilles heel of quality</w:t>
      </w:r>
      <w:r w:rsidR="007B114F">
        <w:rPr>
          <w:rStyle w:val="FootnoteReference"/>
          <w:lang w:val="en-CA"/>
        </w:rPr>
        <w:footnoteReference w:id="13"/>
      </w:r>
      <w:r w:rsidR="000356D0">
        <w:rPr>
          <w:lang w:val="en-CA"/>
        </w:rPr>
        <w:t xml:space="preserve"> in the Quebec system, a problem that is now being addressed.  </w:t>
      </w:r>
      <w:r w:rsidRPr="002D1CEC">
        <w:rPr>
          <w:lang w:val="en-CA"/>
        </w:rPr>
        <w:t xml:space="preserve">Second, this was a program funded exclusively by the provincial government; at that time, the federal government was unwilling to provide any financial support.  The provincial governments in Canada have modest taxing powers, so services were not as generously funded as they should have been.  With the federal government coming to the table in 2021 with billions of dollars of additional funding, </w:t>
      </w:r>
      <w:proofErr w:type="gramStart"/>
      <w:r w:rsidRPr="002D1CEC">
        <w:rPr>
          <w:lang w:val="en-CA"/>
        </w:rPr>
        <w:t>child care</w:t>
      </w:r>
      <w:proofErr w:type="gramEnd"/>
      <w:r w:rsidRPr="002D1CEC">
        <w:rPr>
          <w:lang w:val="en-CA"/>
        </w:rPr>
        <w:t xml:space="preserve"> services in Quebec will now be funded more appropriately.  </w:t>
      </w:r>
      <w:r w:rsidR="007A76D6" w:rsidRPr="002D1CEC">
        <w:rPr>
          <w:lang w:val="en-CA"/>
        </w:rPr>
        <w:t xml:space="preserve">I have described the </w:t>
      </w:r>
      <w:r w:rsidR="002D1CEC">
        <w:rPr>
          <w:lang w:val="en-CA"/>
        </w:rPr>
        <w:t xml:space="preserve">problems of the </w:t>
      </w:r>
      <w:r w:rsidR="007A76D6" w:rsidRPr="002D1CEC">
        <w:rPr>
          <w:lang w:val="en-CA"/>
        </w:rPr>
        <w:t xml:space="preserve">Quebec model of </w:t>
      </w:r>
      <w:proofErr w:type="gramStart"/>
      <w:r w:rsidR="007A76D6" w:rsidRPr="002D1CEC">
        <w:rPr>
          <w:lang w:val="en-CA"/>
        </w:rPr>
        <w:t>child care</w:t>
      </w:r>
      <w:proofErr w:type="gramEnd"/>
      <w:r w:rsidR="007A76D6" w:rsidRPr="002D1CEC">
        <w:rPr>
          <w:lang w:val="en-CA"/>
        </w:rPr>
        <w:t xml:space="preserve"> </w:t>
      </w:r>
      <w:r w:rsidR="002D1CEC">
        <w:rPr>
          <w:lang w:val="en-CA"/>
        </w:rPr>
        <w:t>here</w:t>
      </w:r>
      <w:r w:rsidR="002D1CEC">
        <w:rPr>
          <w:rStyle w:val="FootnoteReference"/>
          <w:lang w:val="en-CA"/>
        </w:rPr>
        <w:footnoteReference w:id="14"/>
      </w:r>
      <w:r w:rsidR="007A76D6" w:rsidRPr="002D1CEC">
        <w:rPr>
          <w:lang w:val="en-CA"/>
        </w:rPr>
        <w:t>, warts and all</w:t>
      </w:r>
      <w:r w:rsidR="002D1CEC">
        <w:rPr>
          <w:lang w:val="en-CA"/>
        </w:rPr>
        <w:t xml:space="preserve">.  </w:t>
      </w:r>
      <w:r w:rsidR="007A76D6" w:rsidRPr="002D1CEC">
        <w:rPr>
          <w:lang w:val="en-CA"/>
        </w:rPr>
        <w:t xml:space="preserve"> </w:t>
      </w:r>
      <w:r w:rsidR="00EB15BD">
        <w:rPr>
          <w:lang w:val="en-CA"/>
        </w:rPr>
        <w:t xml:space="preserve">However, these problems are not inherent in a universal program; Australia already has a large </w:t>
      </w:r>
      <w:proofErr w:type="gramStart"/>
      <w:r w:rsidR="00EB15BD">
        <w:rPr>
          <w:lang w:val="en-CA"/>
        </w:rPr>
        <w:t>child care</w:t>
      </w:r>
      <w:proofErr w:type="gramEnd"/>
      <w:r w:rsidR="00EB15BD">
        <w:rPr>
          <w:lang w:val="en-CA"/>
        </w:rPr>
        <w:t xml:space="preserve"> supply and substantial financial resources available to support good quality programming. It can gain the </w:t>
      </w:r>
      <w:r w:rsidR="002E1274">
        <w:rPr>
          <w:lang w:val="en-CA"/>
        </w:rPr>
        <w:t xml:space="preserve">substantial </w:t>
      </w:r>
      <w:r w:rsidR="00EB15BD">
        <w:rPr>
          <w:lang w:val="en-CA"/>
        </w:rPr>
        <w:t xml:space="preserve">benefits of </w:t>
      </w:r>
      <w:r w:rsidR="002E1274">
        <w:rPr>
          <w:lang w:val="en-CA"/>
        </w:rPr>
        <w:t xml:space="preserve">Quebec’s </w:t>
      </w:r>
      <w:r w:rsidR="00EB15BD">
        <w:rPr>
          <w:lang w:val="en-CA"/>
        </w:rPr>
        <w:t xml:space="preserve">universal program without the </w:t>
      </w:r>
      <w:r w:rsidR="000356D0">
        <w:rPr>
          <w:lang w:val="en-CA"/>
        </w:rPr>
        <w:t>birth pangs</w:t>
      </w:r>
      <w:r w:rsidR="00EB15BD">
        <w:rPr>
          <w:lang w:val="en-CA"/>
        </w:rPr>
        <w:t xml:space="preserve"> that Quebec has faced.</w:t>
      </w:r>
    </w:p>
    <w:p w14:paraId="46B68283" w14:textId="77777777" w:rsidR="001D5C3E" w:rsidRPr="001D5C3E" w:rsidRDefault="001D5C3E" w:rsidP="001D5C3E">
      <w:pPr>
        <w:rPr>
          <w:lang w:val="en-CA"/>
        </w:rPr>
      </w:pPr>
    </w:p>
    <w:p w14:paraId="00E07ECE" w14:textId="534E9CFD" w:rsidR="007A76D6" w:rsidRDefault="001D5C3E" w:rsidP="00BE0115">
      <w:pPr>
        <w:pStyle w:val="ListParagraph"/>
        <w:rPr>
          <w:lang w:val="en-CA"/>
        </w:rPr>
      </w:pPr>
      <w:r>
        <w:rPr>
          <w:lang w:val="en-CA"/>
        </w:rPr>
        <w:t xml:space="preserve">Commentators have noted that low-income families in Quebec do not have as much access to good quality </w:t>
      </w:r>
      <w:proofErr w:type="gramStart"/>
      <w:r>
        <w:rPr>
          <w:lang w:val="en-CA"/>
        </w:rPr>
        <w:t>child care</w:t>
      </w:r>
      <w:proofErr w:type="gramEnd"/>
      <w:r>
        <w:rPr>
          <w:lang w:val="en-CA"/>
        </w:rPr>
        <w:t xml:space="preserve"> as do middle income families.  That is true</w:t>
      </w:r>
      <w:r w:rsidR="00D3691F">
        <w:rPr>
          <w:lang w:val="en-CA"/>
        </w:rPr>
        <w:t xml:space="preserve"> and is a problem</w:t>
      </w:r>
      <w:r>
        <w:rPr>
          <w:lang w:val="en-CA"/>
        </w:rPr>
        <w:t xml:space="preserve">. As far as I can tell, that is true </w:t>
      </w:r>
      <w:r w:rsidR="00D3691F">
        <w:rPr>
          <w:lang w:val="en-CA"/>
        </w:rPr>
        <w:t xml:space="preserve">and is a problem </w:t>
      </w:r>
      <w:r>
        <w:rPr>
          <w:lang w:val="en-CA"/>
        </w:rPr>
        <w:t xml:space="preserve">in most countries whether </w:t>
      </w:r>
      <w:proofErr w:type="gramStart"/>
      <w:r>
        <w:rPr>
          <w:lang w:val="en-CA"/>
        </w:rPr>
        <w:t>child care</w:t>
      </w:r>
      <w:proofErr w:type="gramEnd"/>
      <w:r>
        <w:rPr>
          <w:lang w:val="en-CA"/>
        </w:rPr>
        <w:t xml:space="preserve"> systems are universal or not</w:t>
      </w:r>
      <w:r w:rsidR="002B5C00">
        <w:rPr>
          <w:lang w:val="en-CA"/>
        </w:rPr>
        <w:t>; it is certainly true in Australia</w:t>
      </w:r>
      <w:r w:rsidR="002B5C00">
        <w:rPr>
          <w:rStyle w:val="FootnoteReference"/>
          <w:lang w:val="en-CA"/>
        </w:rPr>
        <w:footnoteReference w:id="15"/>
      </w:r>
      <w:r w:rsidR="002B5C00">
        <w:rPr>
          <w:lang w:val="en-CA"/>
        </w:rPr>
        <w:t>.</w:t>
      </w:r>
      <w:r>
        <w:rPr>
          <w:lang w:val="en-CA"/>
        </w:rPr>
        <w:t xml:space="preserve"> </w:t>
      </w:r>
      <w:proofErr w:type="gramStart"/>
      <w:r w:rsidR="001003CF">
        <w:rPr>
          <w:lang w:val="en-CA"/>
        </w:rPr>
        <w:t>However</w:t>
      </w:r>
      <w:proofErr w:type="gramEnd"/>
      <w:r w:rsidR="001003CF">
        <w:rPr>
          <w:lang w:val="en-CA"/>
        </w:rPr>
        <w:t xml:space="preserve"> under Quebec’s universal program it is also true that a much higher percentage of low-income families were able to access licensed child care than was the case with the targeted </w:t>
      </w:r>
      <w:r w:rsidR="001003CF">
        <w:rPr>
          <w:lang w:val="en-CA"/>
        </w:rPr>
        <w:lastRenderedPageBreak/>
        <w:t>funding that predominate</w:t>
      </w:r>
      <w:r w:rsidR="008C7956">
        <w:rPr>
          <w:lang w:val="en-CA"/>
        </w:rPr>
        <w:t>d</w:t>
      </w:r>
      <w:r w:rsidR="001003CF">
        <w:rPr>
          <w:lang w:val="en-CA"/>
        </w:rPr>
        <w:t xml:space="preserve"> in the rest of Canada</w:t>
      </w:r>
      <w:r w:rsidR="006B2ABA">
        <w:rPr>
          <w:rStyle w:val="FootnoteReference"/>
          <w:lang w:val="en-CA"/>
        </w:rPr>
        <w:footnoteReference w:id="16"/>
      </w:r>
      <w:r w:rsidR="001003CF">
        <w:rPr>
          <w:lang w:val="en-CA"/>
        </w:rPr>
        <w:t>.  Children from low-income families also were particularly likely to benefit from their access to early childhood programs</w:t>
      </w:r>
      <w:r w:rsidR="008B5244">
        <w:rPr>
          <w:rStyle w:val="FootnoteReference"/>
          <w:lang w:val="en-CA"/>
        </w:rPr>
        <w:footnoteReference w:id="17"/>
      </w:r>
      <w:r w:rsidR="001003CF">
        <w:rPr>
          <w:lang w:val="en-CA"/>
        </w:rPr>
        <w:t>.</w:t>
      </w:r>
    </w:p>
    <w:p w14:paraId="0211FAD7" w14:textId="77777777" w:rsidR="00D44D0C" w:rsidRDefault="00D44D0C" w:rsidP="00BE0115">
      <w:pPr>
        <w:pStyle w:val="ListParagraph"/>
        <w:rPr>
          <w:lang w:val="en-CA"/>
        </w:rPr>
      </w:pPr>
    </w:p>
    <w:p w14:paraId="5E17493B" w14:textId="5229B736" w:rsidR="00D44D0C" w:rsidRPr="00267D09" w:rsidRDefault="00F44F9C" w:rsidP="00267D09">
      <w:pPr>
        <w:pStyle w:val="NormalWeb"/>
        <w:numPr>
          <w:ilvl w:val="0"/>
          <w:numId w:val="1"/>
        </w:numPr>
        <w:ind w:left="714" w:hanging="357"/>
        <w:rPr>
          <w:rFonts w:asciiTheme="minorHAnsi" w:hAnsiTheme="minorHAnsi" w:cstheme="minorHAnsi"/>
          <w:lang w:val="en-CA"/>
        </w:rPr>
      </w:pPr>
      <w:r w:rsidRPr="00267D09">
        <w:rPr>
          <w:rFonts w:asciiTheme="minorHAnsi" w:hAnsiTheme="minorHAnsi" w:cstheme="minorHAnsi"/>
          <w:lang w:val="en-CA"/>
        </w:rPr>
        <w:t xml:space="preserve">The terms of reference of the Productivity Commission enquiry require that </w:t>
      </w:r>
      <w:proofErr w:type="gramStart"/>
      <w:r w:rsidRPr="00267D09">
        <w:rPr>
          <w:rFonts w:asciiTheme="minorHAnsi" w:hAnsiTheme="minorHAnsi" w:cstheme="minorHAnsi"/>
          <w:lang w:val="en-CA"/>
        </w:rPr>
        <w:t>it</w:t>
      </w:r>
      <w:proofErr w:type="gramEnd"/>
      <w:r w:rsidRPr="00267D09">
        <w:rPr>
          <w:rFonts w:asciiTheme="minorHAnsi" w:hAnsiTheme="minorHAnsi" w:cstheme="minorHAnsi"/>
          <w:lang w:val="en-CA"/>
        </w:rPr>
        <w:t xml:space="preserve"> study “</w:t>
      </w:r>
      <w:r w:rsidRPr="00267D09">
        <w:rPr>
          <w:rFonts w:asciiTheme="minorHAnsi" w:hAnsiTheme="minorHAnsi" w:cstheme="minorHAnsi"/>
        </w:rPr>
        <w:t xml:space="preserve">the operation and adequacy of the market, including types of care and the roles of for-profit and not-for-profit providers, and the appropriate role for government.” Further, these terms of reference </w:t>
      </w:r>
      <w:r w:rsidR="00267D09" w:rsidRPr="00267D09">
        <w:rPr>
          <w:rFonts w:asciiTheme="minorHAnsi" w:hAnsiTheme="minorHAnsi" w:cstheme="minorHAnsi"/>
        </w:rPr>
        <w:t>direct that “</w:t>
      </w:r>
      <w:r w:rsidRPr="00267D09">
        <w:rPr>
          <w:rFonts w:asciiTheme="minorHAnsi" w:hAnsiTheme="minorHAnsi" w:cstheme="minorHAnsi"/>
        </w:rPr>
        <w:t xml:space="preserve">The Commission should have regard to any findings from the Australian Competition and Consumer Commission’s Price Inquiry into </w:t>
      </w:r>
      <w:proofErr w:type="gramStart"/>
      <w:r w:rsidRPr="00267D09">
        <w:rPr>
          <w:rFonts w:asciiTheme="minorHAnsi" w:hAnsiTheme="minorHAnsi" w:cstheme="minorHAnsi"/>
        </w:rPr>
        <w:t>child care</w:t>
      </w:r>
      <w:proofErr w:type="gramEnd"/>
      <w:r w:rsidRPr="00267D09">
        <w:rPr>
          <w:rFonts w:asciiTheme="minorHAnsi" w:hAnsiTheme="minorHAnsi" w:cstheme="minorHAnsi"/>
        </w:rPr>
        <w:t xml:space="preserve"> prices</w:t>
      </w:r>
      <w:r w:rsidR="00267D09" w:rsidRPr="00267D09">
        <w:rPr>
          <w:rFonts w:asciiTheme="minorHAnsi" w:hAnsiTheme="minorHAnsi" w:cstheme="minorHAnsi"/>
        </w:rPr>
        <w:t>….”   However, the</w:t>
      </w:r>
      <w:r w:rsidR="00D44D0C" w:rsidRPr="00267D09">
        <w:rPr>
          <w:rFonts w:asciiTheme="minorHAnsi" w:hAnsiTheme="minorHAnsi" w:cstheme="minorHAnsi"/>
          <w:lang w:val="en-CA"/>
        </w:rPr>
        <w:t xml:space="preserve"> findings </w:t>
      </w:r>
      <w:r w:rsidR="0051339D" w:rsidRPr="00267D09">
        <w:rPr>
          <w:rFonts w:asciiTheme="minorHAnsi" w:hAnsiTheme="minorHAnsi" w:cstheme="minorHAnsi"/>
          <w:lang w:val="en-CA"/>
        </w:rPr>
        <w:t xml:space="preserve">in the ACCC draft report </w:t>
      </w:r>
      <w:r w:rsidR="00D44D0C" w:rsidRPr="00267D09">
        <w:rPr>
          <w:rFonts w:asciiTheme="minorHAnsi" w:hAnsiTheme="minorHAnsi" w:cstheme="minorHAnsi"/>
          <w:lang w:val="en-CA"/>
        </w:rPr>
        <w:t xml:space="preserve">about the </w:t>
      </w:r>
      <w:proofErr w:type="gramStart"/>
      <w:r w:rsidR="00D44D0C" w:rsidRPr="00267D09">
        <w:rPr>
          <w:rFonts w:asciiTheme="minorHAnsi" w:hAnsiTheme="minorHAnsi" w:cstheme="minorHAnsi"/>
          <w:lang w:val="en-CA"/>
        </w:rPr>
        <w:t>child care</w:t>
      </w:r>
      <w:proofErr w:type="gramEnd"/>
      <w:r w:rsidR="00D44D0C" w:rsidRPr="00267D09">
        <w:rPr>
          <w:rFonts w:asciiTheme="minorHAnsi" w:hAnsiTheme="minorHAnsi" w:cstheme="minorHAnsi"/>
          <w:lang w:val="en-CA"/>
        </w:rPr>
        <w:t xml:space="preserve"> industry</w:t>
      </w:r>
      <w:r w:rsidR="00C15659" w:rsidRPr="00267D09">
        <w:rPr>
          <w:rFonts w:asciiTheme="minorHAnsi" w:hAnsiTheme="minorHAnsi" w:cstheme="minorHAnsi"/>
          <w:lang w:val="en-CA"/>
        </w:rPr>
        <w:t xml:space="preserve"> scarcely get any mention, including </w:t>
      </w:r>
      <w:r w:rsidR="00D44D0C" w:rsidRPr="00267D09">
        <w:rPr>
          <w:rFonts w:asciiTheme="minorHAnsi" w:hAnsiTheme="minorHAnsi" w:cstheme="minorHAnsi"/>
          <w:lang w:val="en-CA"/>
        </w:rPr>
        <w:t>differences in costs and priorities of for-profit and not-for-profit providers</w:t>
      </w:r>
      <w:r w:rsidR="00C15659" w:rsidRPr="00267D09">
        <w:rPr>
          <w:rFonts w:asciiTheme="minorHAnsi" w:hAnsiTheme="minorHAnsi" w:cstheme="minorHAnsi"/>
          <w:lang w:val="en-CA"/>
        </w:rPr>
        <w:t>.  The ACCC report p</w:t>
      </w:r>
      <w:r w:rsidR="00D44D0C" w:rsidRPr="00267D09">
        <w:rPr>
          <w:rFonts w:asciiTheme="minorHAnsi" w:hAnsiTheme="minorHAnsi" w:cstheme="minorHAnsi"/>
          <w:lang w:val="en-CA"/>
        </w:rPr>
        <w:t>rovides</w:t>
      </w:r>
      <w:r w:rsidR="00C15659" w:rsidRPr="00267D09">
        <w:rPr>
          <w:rFonts w:asciiTheme="minorHAnsi" w:hAnsiTheme="minorHAnsi" w:cstheme="minorHAnsi"/>
          <w:lang w:val="en-CA"/>
        </w:rPr>
        <w:t xml:space="preserve"> important</w:t>
      </w:r>
      <w:r w:rsidR="00D44D0C" w:rsidRPr="00267D09">
        <w:rPr>
          <w:rFonts w:asciiTheme="minorHAnsi" w:hAnsiTheme="minorHAnsi" w:cstheme="minorHAnsi"/>
          <w:lang w:val="en-CA"/>
        </w:rPr>
        <w:t xml:space="preserve"> insights </w:t>
      </w:r>
      <w:r w:rsidR="00C15659" w:rsidRPr="00267D09">
        <w:rPr>
          <w:rFonts w:asciiTheme="minorHAnsi" w:hAnsiTheme="minorHAnsi" w:cstheme="minorHAnsi"/>
          <w:lang w:val="en-CA"/>
        </w:rPr>
        <w:t xml:space="preserve">about costs and performance </w:t>
      </w:r>
      <w:r w:rsidR="00D44D0C" w:rsidRPr="00267D09">
        <w:rPr>
          <w:rFonts w:asciiTheme="minorHAnsi" w:hAnsiTheme="minorHAnsi" w:cstheme="minorHAnsi"/>
          <w:lang w:val="en-CA"/>
        </w:rPr>
        <w:t>not available elsewhere.</w:t>
      </w:r>
    </w:p>
    <w:p w14:paraId="0AAF86C3" w14:textId="77777777" w:rsidR="00B40456" w:rsidRDefault="00B40456" w:rsidP="00B40456">
      <w:pPr>
        <w:pStyle w:val="ListParagraph"/>
        <w:rPr>
          <w:lang w:val="en-CA"/>
        </w:rPr>
      </w:pPr>
    </w:p>
    <w:p w14:paraId="066B3F15" w14:textId="2A0942AB" w:rsidR="00816210" w:rsidRPr="002D65DD" w:rsidRDefault="00B40456" w:rsidP="0080521D">
      <w:pPr>
        <w:pStyle w:val="ListParagraph"/>
        <w:numPr>
          <w:ilvl w:val="0"/>
          <w:numId w:val="1"/>
        </w:numPr>
        <w:rPr>
          <w:lang w:val="en-CA"/>
        </w:rPr>
      </w:pPr>
      <w:r w:rsidRPr="002D65DD">
        <w:rPr>
          <w:lang w:val="en-CA"/>
        </w:rPr>
        <w:t>I hope that many of these issues will be addressed directly in the final report of the Productivity Commission.</w:t>
      </w:r>
    </w:p>
    <w:p w14:paraId="001F87BF" w14:textId="77777777" w:rsidR="00816210" w:rsidRDefault="00816210" w:rsidP="00D44D0C">
      <w:pPr>
        <w:pStyle w:val="ListParagraph"/>
        <w:rPr>
          <w:lang w:val="en-CA"/>
        </w:rPr>
      </w:pPr>
    </w:p>
    <w:sectPr w:rsidR="00816210" w:rsidSect="000C57D2">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C6A" w14:textId="77777777" w:rsidR="000C57D2" w:rsidRDefault="000C57D2" w:rsidP="004C1249">
      <w:r>
        <w:separator/>
      </w:r>
    </w:p>
  </w:endnote>
  <w:endnote w:type="continuationSeparator" w:id="0">
    <w:p w14:paraId="5F388FF2" w14:textId="77777777" w:rsidR="000C57D2" w:rsidRDefault="000C57D2" w:rsidP="004C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dvTT5235d5a9">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1012918"/>
      <w:docPartObj>
        <w:docPartGallery w:val="Page Numbers (Bottom of Page)"/>
        <w:docPartUnique/>
      </w:docPartObj>
    </w:sdtPr>
    <w:sdtEndPr>
      <w:rPr>
        <w:rStyle w:val="PageNumber"/>
      </w:rPr>
    </w:sdtEndPr>
    <w:sdtContent>
      <w:p w14:paraId="40A57413" w14:textId="372B9BD6" w:rsidR="00E51D5D" w:rsidRDefault="00E51D5D" w:rsidP="004A3B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89B303" w14:textId="77777777" w:rsidR="00E51D5D" w:rsidRDefault="00E51D5D" w:rsidP="00E51D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796981"/>
      <w:docPartObj>
        <w:docPartGallery w:val="Page Numbers (Bottom of Page)"/>
        <w:docPartUnique/>
      </w:docPartObj>
    </w:sdtPr>
    <w:sdtEndPr>
      <w:rPr>
        <w:rStyle w:val="PageNumber"/>
      </w:rPr>
    </w:sdtEndPr>
    <w:sdtContent>
      <w:p w14:paraId="0AAB4A18" w14:textId="5FCEF6C6" w:rsidR="00E51D5D" w:rsidRDefault="00E51D5D" w:rsidP="004A3B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959CC0" w14:textId="77777777" w:rsidR="00E51D5D" w:rsidRDefault="00E51D5D" w:rsidP="00E51D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0031" w14:textId="77777777" w:rsidR="000C57D2" w:rsidRDefault="000C57D2" w:rsidP="004C1249">
      <w:r>
        <w:separator/>
      </w:r>
    </w:p>
  </w:footnote>
  <w:footnote w:type="continuationSeparator" w:id="0">
    <w:p w14:paraId="57F759BC" w14:textId="77777777" w:rsidR="000C57D2" w:rsidRDefault="000C57D2" w:rsidP="004C1249">
      <w:r>
        <w:continuationSeparator/>
      </w:r>
    </w:p>
  </w:footnote>
  <w:footnote w:id="1">
    <w:p w14:paraId="798CFDE7" w14:textId="4C8D4417" w:rsidR="00725A21" w:rsidRPr="00725A21" w:rsidRDefault="00725A21">
      <w:pPr>
        <w:pStyle w:val="FootnoteText"/>
        <w:rPr>
          <w:lang w:val="en-CA"/>
        </w:rPr>
      </w:pPr>
      <w:r>
        <w:rPr>
          <w:rStyle w:val="FootnoteReference"/>
        </w:rPr>
        <w:footnoteRef/>
      </w:r>
      <w:r>
        <w:t xml:space="preserve"> </w:t>
      </w:r>
      <w:r>
        <w:rPr>
          <w:lang w:val="en-CA"/>
        </w:rPr>
        <w:t xml:space="preserve">These policy changes -removing activity requirements for </w:t>
      </w:r>
      <w:proofErr w:type="gramStart"/>
      <w:r>
        <w:rPr>
          <w:lang w:val="en-CA"/>
        </w:rPr>
        <w:t>3 day</w:t>
      </w:r>
      <w:proofErr w:type="gramEnd"/>
      <w:r>
        <w:rPr>
          <w:lang w:val="en-CA"/>
        </w:rPr>
        <w:t xml:space="preserve"> attendance and 100% subsidy up to $80,000 -should mean many more lower-income families wanting access to child care.  Some operators prefer to serve a more exclusive clientele</w:t>
      </w:r>
      <w:r w:rsidR="00830E50">
        <w:rPr>
          <w:lang w:val="en-CA"/>
        </w:rPr>
        <w:t>; this is known as creaming.</w:t>
      </w:r>
      <w:r>
        <w:rPr>
          <w:lang w:val="en-CA"/>
        </w:rPr>
        <w:t xml:space="preserve">  Under current rules, centres that charge a fee that is above the maximum hourly-fee limit are likely to </w:t>
      </w:r>
      <w:r w:rsidR="00830E50">
        <w:rPr>
          <w:lang w:val="en-CA"/>
        </w:rPr>
        <w:t xml:space="preserve">effectively </w:t>
      </w:r>
      <w:r>
        <w:rPr>
          <w:lang w:val="en-CA"/>
        </w:rPr>
        <w:t xml:space="preserve">exclude most of these children.  Perhaps the Productivity Commission should require that centres be compelled to </w:t>
      </w:r>
      <w:r w:rsidR="00867DFA">
        <w:rPr>
          <w:lang w:val="en-CA"/>
        </w:rPr>
        <w:t>serve these children at the maximum hourly fee if parents apply to attend.</w:t>
      </w:r>
    </w:p>
  </w:footnote>
  <w:footnote w:id="2">
    <w:p w14:paraId="4FDD126D" w14:textId="721FA321" w:rsidR="004C1249" w:rsidRPr="004C1249" w:rsidRDefault="004C1249" w:rsidP="00F85F8E">
      <w:pPr>
        <w:shd w:val="clear" w:color="auto" w:fill="FFFFFF"/>
        <w:spacing w:before="100" w:beforeAutospacing="1" w:after="100" w:afterAutospacing="1"/>
        <w:rPr>
          <w:lang w:val="en-CA"/>
        </w:rPr>
      </w:pPr>
      <w:r w:rsidRPr="004C1249">
        <w:rPr>
          <w:rStyle w:val="FootnoteReference"/>
          <w:rFonts w:cstheme="minorHAnsi"/>
          <w:sz w:val="20"/>
          <w:szCs w:val="20"/>
        </w:rPr>
        <w:footnoteRef/>
      </w:r>
      <w:r w:rsidRPr="004C1249">
        <w:rPr>
          <w:rFonts w:cstheme="minorHAnsi"/>
          <w:sz w:val="20"/>
          <w:szCs w:val="20"/>
        </w:rPr>
        <w:t xml:space="preserve"> </w:t>
      </w:r>
      <w:r w:rsidRPr="004C1249">
        <w:rPr>
          <w:rFonts w:eastAsia="Times New Roman" w:cstheme="minorHAnsi"/>
          <w:color w:val="251F47"/>
          <w:kern w:val="0"/>
          <w:sz w:val="20"/>
          <w:szCs w:val="20"/>
          <w:lang w:eastAsia="en-GB"/>
          <w14:ligatures w14:val="none"/>
        </w:rPr>
        <w:t xml:space="preserve">The cost of </w:t>
      </w:r>
      <w:proofErr w:type="gramStart"/>
      <w:r w:rsidRPr="004C1249">
        <w:rPr>
          <w:rFonts w:eastAsia="Times New Roman" w:cstheme="minorHAnsi"/>
          <w:color w:val="251F47"/>
          <w:kern w:val="0"/>
          <w:sz w:val="20"/>
          <w:szCs w:val="20"/>
          <w:lang w:eastAsia="en-GB"/>
          <w14:ligatures w14:val="none"/>
        </w:rPr>
        <w:t>child care</w:t>
      </w:r>
      <w:proofErr w:type="gramEnd"/>
      <w:r w:rsidRPr="004C1249">
        <w:rPr>
          <w:rFonts w:eastAsia="Times New Roman" w:cstheme="minorHAnsi"/>
          <w:color w:val="251F47"/>
          <w:kern w:val="0"/>
          <w:sz w:val="20"/>
          <w:szCs w:val="20"/>
          <w:lang w:eastAsia="en-GB"/>
          <w14:ligatures w14:val="none"/>
        </w:rPr>
        <w:t xml:space="preserve"> in Australia is pretty high.  Centre-based </w:t>
      </w:r>
      <w:proofErr w:type="gramStart"/>
      <w:r w:rsidRPr="004C1249">
        <w:rPr>
          <w:rFonts w:eastAsia="Times New Roman" w:cstheme="minorHAnsi"/>
          <w:color w:val="251F47"/>
          <w:kern w:val="0"/>
          <w:sz w:val="20"/>
          <w:szCs w:val="20"/>
          <w:lang w:eastAsia="en-GB"/>
          <w14:ligatures w14:val="none"/>
        </w:rPr>
        <w:t>child care</w:t>
      </w:r>
      <w:proofErr w:type="gramEnd"/>
      <w:r w:rsidRPr="004C1249">
        <w:rPr>
          <w:rFonts w:eastAsia="Times New Roman" w:cstheme="minorHAnsi"/>
          <w:color w:val="251F47"/>
          <w:kern w:val="0"/>
          <w:sz w:val="20"/>
          <w:szCs w:val="20"/>
          <w:lang w:eastAsia="en-GB"/>
          <w14:ligatures w14:val="none"/>
        </w:rPr>
        <w:t xml:space="preserve"> fees per hour (averaged across ages 0-5) were $11.72 in 2022</w:t>
      </w:r>
      <w:r w:rsidR="00F239B9">
        <w:rPr>
          <w:rFonts w:eastAsia="Times New Roman" w:cstheme="minorHAnsi"/>
          <w:color w:val="251F47"/>
          <w:kern w:val="0"/>
          <w:sz w:val="20"/>
          <w:szCs w:val="20"/>
          <w:lang w:eastAsia="en-GB"/>
          <w14:ligatures w14:val="none"/>
        </w:rPr>
        <w:t>.  The Productivity Commission reports that the average daily fee is $124 per day</w:t>
      </w:r>
      <w:r w:rsidRPr="004C1249">
        <w:rPr>
          <w:rFonts w:eastAsia="Times New Roman" w:cstheme="minorHAnsi"/>
          <w:color w:val="251F47"/>
          <w:kern w:val="0"/>
          <w:sz w:val="20"/>
          <w:szCs w:val="20"/>
          <w:lang w:eastAsia="en-GB"/>
          <w14:ligatures w14:val="none"/>
        </w:rPr>
        <w:t>.   From 2018 to 2022, gross fees in Australia increased by 20.6% in comparison to the OECD average of 9.5%.  The OECD ranks Australia as 26</w:t>
      </w:r>
      <w:r w:rsidRPr="004C1249">
        <w:rPr>
          <w:rFonts w:eastAsia="Times New Roman" w:cstheme="minorHAnsi"/>
          <w:color w:val="251F47"/>
          <w:kern w:val="0"/>
          <w:sz w:val="20"/>
          <w:szCs w:val="20"/>
          <w:vertAlign w:val="superscript"/>
          <w:lang w:eastAsia="en-GB"/>
          <w14:ligatures w14:val="none"/>
        </w:rPr>
        <w:t>th</w:t>
      </w:r>
      <w:r w:rsidRPr="004C1249">
        <w:rPr>
          <w:rFonts w:eastAsia="Times New Roman" w:cstheme="minorHAnsi"/>
          <w:color w:val="251F47"/>
          <w:kern w:val="0"/>
          <w:sz w:val="20"/>
          <w:szCs w:val="20"/>
          <w:lang w:eastAsia="en-GB"/>
          <w14:ligatures w14:val="none"/>
        </w:rPr>
        <w:t xml:space="preserve"> out of 32 countries on affordability of </w:t>
      </w:r>
      <w:proofErr w:type="gramStart"/>
      <w:r w:rsidRPr="004C1249">
        <w:rPr>
          <w:rFonts w:eastAsia="Times New Roman" w:cstheme="minorHAnsi"/>
          <w:color w:val="251F47"/>
          <w:kern w:val="0"/>
          <w:sz w:val="20"/>
          <w:szCs w:val="20"/>
          <w:lang w:eastAsia="en-GB"/>
          <w14:ligatures w14:val="none"/>
        </w:rPr>
        <w:t>child care</w:t>
      </w:r>
      <w:proofErr w:type="gramEnd"/>
      <w:r w:rsidRPr="004C1249">
        <w:rPr>
          <w:rFonts w:eastAsia="Times New Roman" w:cstheme="minorHAnsi"/>
          <w:color w:val="251F47"/>
          <w:kern w:val="0"/>
          <w:sz w:val="20"/>
          <w:szCs w:val="20"/>
          <w:lang w:eastAsia="en-GB"/>
          <w14:ligatures w14:val="none"/>
        </w:rPr>
        <w:t xml:space="preserve"> for a typical couple family with two children.  </w:t>
      </w:r>
      <w:r w:rsidRPr="004C1249">
        <w:rPr>
          <w:rFonts w:cstheme="minorHAnsi"/>
          <w:color w:val="251F47"/>
          <w:sz w:val="20"/>
          <w:szCs w:val="20"/>
          <w:shd w:val="clear" w:color="auto" w:fill="FFFFFF"/>
        </w:rPr>
        <w:t>This is despite the Australian Government contribution to fees being significantly higher than most other OECD countries – 16% in Australia compared to the OECD average of 7%.</w:t>
      </w:r>
    </w:p>
  </w:footnote>
  <w:footnote w:id="3">
    <w:p w14:paraId="2F186E35" w14:textId="58AD1F0A" w:rsidR="00F066D3" w:rsidRPr="00F066D3" w:rsidRDefault="00F066D3">
      <w:pPr>
        <w:pStyle w:val="FootnoteText"/>
        <w:rPr>
          <w:lang w:val="en-CA"/>
        </w:rPr>
      </w:pPr>
      <w:r>
        <w:rPr>
          <w:rStyle w:val="FootnoteReference"/>
        </w:rPr>
        <w:footnoteRef/>
      </w:r>
      <w:r>
        <w:t xml:space="preserve"> See </w:t>
      </w:r>
      <w:hyperlink r:id="rId1" w:history="1">
        <w:r w:rsidRPr="002345D0">
          <w:rPr>
            <w:rStyle w:val="Hyperlink"/>
          </w:rPr>
          <w:t>https://childcarepolicy.net/cost-controls-and-supply-side-funding-what-does-quebec-do/</w:t>
        </w:r>
      </w:hyperlink>
      <w:r>
        <w:t xml:space="preserve"> for a discussion of details of child care funding in Quebec and see </w:t>
      </w:r>
      <w:hyperlink r:id="rId2" w:history="1">
        <w:r w:rsidRPr="002345D0">
          <w:rPr>
            <w:rStyle w:val="Hyperlink"/>
          </w:rPr>
          <w:t>https://childcarepolicy.net/new-zealands-funding-system-for-early-childhood-education-and-care-services/</w:t>
        </w:r>
      </w:hyperlink>
      <w:r>
        <w:t xml:space="preserve"> for a discussion of details of child care funding in New Zealand. </w:t>
      </w:r>
    </w:p>
  </w:footnote>
  <w:footnote w:id="4">
    <w:p w14:paraId="0C13393D" w14:textId="6499729E" w:rsidR="00F85F8E" w:rsidRPr="00F60D51" w:rsidRDefault="00F85F8E" w:rsidP="00F60D51">
      <w:pPr>
        <w:pStyle w:val="NormalWeb"/>
        <w:rPr>
          <w:rFonts w:asciiTheme="minorHAnsi" w:hAnsiTheme="minorHAnsi" w:cstheme="minorHAnsi"/>
        </w:rPr>
      </w:pPr>
      <w:r>
        <w:rPr>
          <w:rStyle w:val="FootnoteReference"/>
        </w:rPr>
        <w:footnoteRef/>
      </w:r>
      <w:r>
        <w:t xml:space="preserve"> </w:t>
      </w:r>
      <w:r w:rsidRPr="00F85F8E">
        <w:rPr>
          <w:rFonts w:asciiTheme="minorHAnsi" w:hAnsiTheme="minorHAnsi" w:cstheme="minorHAnsi"/>
          <w:sz w:val="20"/>
          <w:szCs w:val="20"/>
        </w:rPr>
        <w:t xml:space="preserve">See </w:t>
      </w:r>
      <w:r w:rsidRPr="00F85F8E">
        <w:rPr>
          <w:rFonts w:asciiTheme="minorHAnsi" w:hAnsiTheme="minorHAnsi" w:cstheme="minorHAnsi"/>
          <w:color w:val="000000"/>
          <w:sz w:val="20"/>
          <w:szCs w:val="20"/>
        </w:rPr>
        <w:t xml:space="preserve">Connolly, M., Mélanie-Fontaine, M. &amp; Haeck, C. (2023). Child Penalties in Canada.   </w:t>
      </w:r>
      <w:r w:rsidRPr="00F85F8E">
        <w:rPr>
          <w:rFonts w:asciiTheme="minorHAnsi" w:hAnsiTheme="minorHAnsi" w:cstheme="minorHAnsi"/>
          <w:i/>
          <w:iCs/>
          <w:color w:val="000000"/>
          <w:sz w:val="20"/>
          <w:szCs w:val="20"/>
        </w:rPr>
        <w:t xml:space="preserve">Canadian Public Policy </w:t>
      </w:r>
      <w:r w:rsidRPr="00F85F8E">
        <w:rPr>
          <w:rFonts w:asciiTheme="minorHAnsi" w:hAnsiTheme="minorHAnsi" w:cstheme="minorHAnsi"/>
          <w:sz w:val="20"/>
          <w:szCs w:val="20"/>
        </w:rPr>
        <w:t xml:space="preserve">doi:10.3138/cpp.2023-015.  See also Karademir, S., J.-W. Laliberté, and S. </w:t>
      </w:r>
      <w:proofErr w:type="spellStart"/>
      <w:r w:rsidRPr="00F85F8E">
        <w:rPr>
          <w:rFonts w:asciiTheme="minorHAnsi" w:hAnsiTheme="minorHAnsi" w:cstheme="minorHAnsi"/>
          <w:sz w:val="20"/>
          <w:szCs w:val="20"/>
        </w:rPr>
        <w:t>Staubli</w:t>
      </w:r>
      <w:proofErr w:type="spellEnd"/>
      <w:r w:rsidRPr="00F85F8E">
        <w:rPr>
          <w:rFonts w:asciiTheme="minorHAnsi" w:hAnsiTheme="minorHAnsi" w:cstheme="minorHAnsi"/>
          <w:sz w:val="20"/>
          <w:szCs w:val="20"/>
        </w:rPr>
        <w:t xml:space="preserve">. (2023). “The Multigenerational Impact of Children and Childcare Policies.” IZA Discussion Papers No. 15894, Institute of Labor Economics (IZA), </w:t>
      </w:r>
      <w:r w:rsidRPr="00F60D51">
        <w:rPr>
          <w:rFonts w:asciiTheme="minorHAnsi" w:hAnsiTheme="minorHAnsi" w:cstheme="minorHAnsi"/>
          <w:sz w:val="20"/>
          <w:szCs w:val="20"/>
        </w:rPr>
        <w:t>Bonn, Germany.</w:t>
      </w:r>
      <w:r w:rsidR="00F60D51" w:rsidRPr="00F60D51">
        <w:rPr>
          <w:rFonts w:asciiTheme="minorHAnsi" w:hAnsiTheme="minorHAnsi" w:cstheme="minorHAnsi"/>
          <w:sz w:val="20"/>
          <w:szCs w:val="20"/>
        </w:rPr>
        <w:t xml:space="preserve">  As Karademir et al </w:t>
      </w:r>
      <w:r w:rsidR="000C7508">
        <w:rPr>
          <w:rFonts w:asciiTheme="minorHAnsi" w:hAnsiTheme="minorHAnsi" w:cstheme="minorHAnsi"/>
          <w:sz w:val="20"/>
          <w:szCs w:val="20"/>
        </w:rPr>
        <w:t>indicate</w:t>
      </w:r>
      <w:r w:rsidR="00F60D51" w:rsidRPr="00F60D51">
        <w:rPr>
          <w:rFonts w:asciiTheme="minorHAnsi" w:hAnsiTheme="minorHAnsi" w:cstheme="minorHAnsi"/>
          <w:sz w:val="20"/>
          <w:szCs w:val="20"/>
        </w:rPr>
        <w:t xml:space="preserve"> “The disproportionate impact of children on women’s earnings constitutes the primary factor contributing to persistent gender inequality in many countries.”</w:t>
      </w:r>
    </w:p>
  </w:footnote>
  <w:footnote w:id="5">
    <w:p w14:paraId="038DE6C2" w14:textId="2534E8F5" w:rsidR="00F84DCF" w:rsidRPr="00F84DCF" w:rsidRDefault="00F84DCF">
      <w:pPr>
        <w:pStyle w:val="FootnoteText"/>
        <w:rPr>
          <w:rFonts w:cstheme="minorHAnsi"/>
          <w:lang w:val="en-CA"/>
        </w:rPr>
      </w:pPr>
      <w:r w:rsidRPr="00F84DCF">
        <w:rPr>
          <w:rStyle w:val="FootnoteReference"/>
          <w:rFonts w:cstheme="minorHAnsi"/>
        </w:rPr>
        <w:footnoteRef/>
      </w:r>
      <w:r w:rsidRPr="00F84DCF">
        <w:rPr>
          <w:rFonts w:cstheme="minorHAnsi"/>
        </w:rPr>
        <w:t xml:space="preserve"> </w:t>
      </w:r>
      <w:r w:rsidRPr="00F84DCF">
        <w:rPr>
          <w:rFonts w:cstheme="minorHAnsi"/>
          <w:color w:val="251F47"/>
          <w:shd w:val="clear" w:color="auto" w:fill="FFFFFF"/>
        </w:rPr>
        <w:t xml:space="preserve">Land and occupancy costs are about 18% of the total of all costs for large for-profit providers compared to about 10% for large not-for-profit providers. This is not due to what the Aussies call “peppercorn rents” (i.e., below-market rents provided on a goodwill basis).  The average profit margin for large </w:t>
      </w:r>
      <w:proofErr w:type="gramStart"/>
      <w:r w:rsidRPr="00F84DCF">
        <w:rPr>
          <w:rFonts w:cstheme="minorHAnsi"/>
          <w:color w:val="251F47"/>
          <w:shd w:val="clear" w:color="auto" w:fill="FFFFFF"/>
        </w:rPr>
        <w:t>centre based</w:t>
      </w:r>
      <w:proofErr w:type="gramEnd"/>
      <w:r w:rsidRPr="00F84DCF">
        <w:rPr>
          <w:rFonts w:cstheme="minorHAnsi"/>
          <w:color w:val="251F47"/>
          <w:shd w:val="clear" w:color="auto" w:fill="FFFFFF"/>
        </w:rPr>
        <w:t xml:space="preserve"> day care providers was about 9% for for-profit providers and about 6% for not-for- profit providers in 2022.</w:t>
      </w:r>
      <w:r w:rsidR="00124A57">
        <w:rPr>
          <w:rFonts w:cstheme="minorHAnsi"/>
          <w:color w:val="251F47"/>
          <w:shd w:val="clear" w:color="auto" w:fill="FFFFFF"/>
        </w:rPr>
        <w:t xml:space="preserve">  </w:t>
      </w:r>
    </w:p>
  </w:footnote>
  <w:footnote w:id="6">
    <w:p w14:paraId="7BD8BCCC" w14:textId="24ED3F98" w:rsidR="006A1044" w:rsidRPr="006A1044" w:rsidRDefault="006A1044" w:rsidP="006A1044">
      <w:pPr>
        <w:shd w:val="clear" w:color="auto" w:fill="FFFFFF"/>
        <w:spacing w:before="100" w:beforeAutospacing="1" w:after="100" w:afterAutospacing="1"/>
        <w:rPr>
          <w:rFonts w:eastAsia="Times New Roman" w:cstheme="minorHAnsi"/>
          <w:color w:val="251F47"/>
          <w:kern w:val="0"/>
          <w:sz w:val="20"/>
          <w:szCs w:val="20"/>
          <w:lang w:eastAsia="en-GB"/>
          <w14:ligatures w14:val="none"/>
        </w:rPr>
      </w:pPr>
      <w:r w:rsidRPr="006A1044">
        <w:rPr>
          <w:rStyle w:val="FootnoteReference"/>
          <w:rFonts w:cstheme="minorHAnsi"/>
          <w:sz w:val="20"/>
          <w:szCs w:val="20"/>
        </w:rPr>
        <w:footnoteRef/>
      </w:r>
      <w:r w:rsidRPr="006A1044">
        <w:rPr>
          <w:rFonts w:cstheme="minorHAnsi"/>
          <w:sz w:val="20"/>
          <w:szCs w:val="20"/>
        </w:rPr>
        <w:t xml:space="preserve"> </w:t>
      </w:r>
      <w:r w:rsidRPr="006A1044">
        <w:rPr>
          <w:rFonts w:eastAsia="Times New Roman" w:cstheme="minorHAnsi"/>
          <w:color w:val="251F47"/>
          <w:kern w:val="0"/>
          <w:sz w:val="20"/>
          <w:szCs w:val="20"/>
          <w:lang w:eastAsia="en-GB"/>
          <w14:ligatures w14:val="none"/>
        </w:rPr>
        <w:t xml:space="preserve">About 95% of the staff in not-for-profit centres are paid “above-award” compared to 64% in for-profit centres.  </w:t>
      </w:r>
      <w:r>
        <w:rPr>
          <w:rFonts w:eastAsia="Times New Roman" w:cstheme="minorHAnsi"/>
          <w:color w:val="251F47"/>
          <w:kern w:val="0"/>
          <w:sz w:val="20"/>
          <w:szCs w:val="20"/>
          <w:lang w:eastAsia="en-GB"/>
          <w14:ligatures w14:val="none"/>
        </w:rPr>
        <w:t>N</w:t>
      </w:r>
      <w:r w:rsidRPr="006A1044">
        <w:rPr>
          <w:rFonts w:eastAsia="Times New Roman" w:cstheme="minorHAnsi"/>
          <w:color w:val="251F47"/>
          <w:kern w:val="0"/>
          <w:sz w:val="20"/>
          <w:szCs w:val="20"/>
          <w:lang w:eastAsia="en-GB"/>
          <w14:ligatures w14:val="none"/>
        </w:rPr>
        <w:t xml:space="preserve">ot-for-profit providers are much more likely to hire their staff on a full-time basis, whereas for-profit providers primarily rely on part-time staff.  As the </w:t>
      </w:r>
      <w:r>
        <w:rPr>
          <w:rFonts w:eastAsia="Times New Roman" w:cstheme="minorHAnsi"/>
          <w:color w:val="251F47"/>
          <w:kern w:val="0"/>
          <w:sz w:val="20"/>
          <w:szCs w:val="20"/>
          <w:lang w:eastAsia="en-GB"/>
          <w14:ligatures w14:val="none"/>
        </w:rPr>
        <w:t xml:space="preserve">ACCC </w:t>
      </w:r>
      <w:r w:rsidRPr="006A1044">
        <w:rPr>
          <w:rFonts w:eastAsia="Times New Roman" w:cstheme="minorHAnsi"/>
          <w:color w:val="251F47"/>
          <w:kern w:val="0"/>
          <w:sz w:val="20"/>
          <w:szCs w:val="20"/>
          <w:lang w:eastAsia="en-GB"/>
          <w14:ligatures w14:val="none"/>
        </w:rPr>
        <w:t>report suggests: “large not-for-profit centre-based day care providers invest savings from lower land costs into labour costs, to improve the quality of their services and their ability to compete in their relevant markets.”  The ACCC finds that centre-based day care services with a higher proportion of staff paid above award and with lower staff turnover have a higher quality rating under the National Quality Standard. </w:t>
      </w:r>
    </w:p>
    <w:p w14:paraId="77C358BD" w14:textId="44CFC762" w:rsidR="006A1044" w:rsidRPr="006A1044" w:rsidRDefault="006A1044">
      <w:pPr>
        <w:pStyle w:val="FootnoteText"/>
        <w:rPr>
          <w:lang w:val="en-CA"/>
        </w:rPr>
      </w:pPr>
    </w:p>
  </w:footnote>
  <w:footnote w:id="7">
    <w:p w14:paraId="742B9421" w14:textId="206AE51B" w:rsidR="00CB7B7C" w:rsidRPr="00CB7B7C" w:rsidRDefault="00CB7B7C" w:rsidP="0097595B">
      <w:pPr>
        <w:pStyle w:val="NormalWeb"/>
        <w:rPr>
          <w:lang w:val="en-CA"/>
        </w:rPr>
      </w:pPr>
      <w:r w:rsidRPr="0097595B">
        <w:rPr>
          <w:rStyle w:val="FootnoteReference"/>
          <w:rFonts w:asciiTheme="minorHAnsi" w:hAnsiTheme="minorHAnsi" w:cstheme="minorHAnsi"/>
          <w:sz w:val="20"/>
          <w:szCs w:val="20"/>
        </w:rPr>
        <w:footnoteRef/>
      </w:r>
      <w:r w:rsidRPr="0097595B">
        <w:rPr>
          <w:rFonts w:asciiTheme="minorHAnsi" w:hAnsiTheme="minorHAnsi" w:cstheme="minorHAnsi"/>
          <w:sz w:val="20"/>
          <w:szCs w:val="20"/>
        </w:rPr>
        <w:t xml:space="preserve"> </w:t>
      </w:r>
      <w:proofErr w:type="spellStart"/>
      <w:r w:rsidR="0097595B" w:rsidRPr="00D64782">
        <w:rPr>
          <w:rFonts w:asciiTheme="minorHAnsi" w:hAnsiTheme="minorHAnsi" w:cstheme="minorHAnsi"/>
          <w:sz w:val="20"/>
          <w:szCs w:val="20"/>
        </w:rPr>
        <w:t>Kottelenberg</w:t>
      </w:r>
      <w:proofErr w:type="spellEnd"/>
      <w:r w:rsidR="0097595B" w:rsidRPr="00D64782">
        <w:rPr>
          <w:rFonts w:asciiTheme="minorHAnsi" w:hAnsiTheme="minorHAnsi" w:cstheme="minorHAnsi"/>
          <w:sz w:val="20"/>
          <w:szCs w:val="20"/>
        </w:rPr>
        <w:t xml:space="preserve"> and Lehrer provide evidence of substantial heterogeneity in the impacts of the Quebec </w:t>
      </w:r>
      <w:proofErr w:type="gramStart"/>
      <w:r w:rsidR="0097595B" w:rsidRPr="00D64782">
        <w:rPr>
          <w:rFonts w:asciiTheme="minorHAnsi" w:hAnsiTheme="minorHAnsi" w:cstheme="minorHAnsi"/>
          <w:sz w:val="20"/>
          <w:szCs w:val="20"/>
        </w:rPr>
        <w:t>child care</w:t>
      </w:r>
      <w:proofErr w:type="gramEnd"/>
      <w:r w:rsidR="0097595B" w:rsidRPr="00D64782">
        <w:rPr>
          <w:rFonts w:asciiTheme="minorHAnsi" w:hAnsiTheme="minorHAnsi" w:cstheme="minorHAnsi"/>
          <w:sz w:val="20"/>
          <w:szCs w:val="20"/>
        </w:rPr>
        <w:t xml:space="preserve"> reforms by the age of the child, the child’s gender and by initial abilities in a series of studies published in 2013, 2014, 2017 and 2018. </w:t>
      </w:r>
      <w:r w:rsidR="00D64782" w:rsidRPr="00D64782">
        <w:rPr>
          <w:rFonts w:asciiTheme="minorHAnsi" w:hAnsiTheme="minorHAnsi" w:cstheme="minorHAnsi"/>
          <w:sz w:val="20"/>
          <w:szCs w:val="20"/>
        </w:rPr>
        <w:t xml:space="preserve"> </w:t>
      </w:r>
      <w:proofErr w:type="spellStart"/>
      <w:r w:rsidR="00D64782" w:rsidRPr="00D64782">
        <w:rPr>
          <w:rFonts w:asciiTheme="minorHAnsi" w:hAnsiTheme="minorHAnsi" w:cstheme="minorHAnsi"/>
          <w:sz w:val="20"/>
          <w:szCs w:val="20"/>
        </w:rPr>
        <w:t>Kottelenberg</w:t>
      </w:r>
      <w:proofErr w:type="spellEnd"/>
      <w:r w:rsidR="00D64782" w:rsidRPr="00D64782">
        <w:rPr>
          <w:rFonts w:asciiTheme="minorHAnsi" w:hAnsiTheme="minorHAnsi" w:cstheme="minorHAnsi"/>
          <w:sz w:val="20"/>
          <w:szCs w:val="20"/>
        </w:rPr>
        <w:t xml:space="preserve">, M. J. and Lehrer, S. F. (2013). New evidence on the impacts of access to and attending universal child-care in </w:t>
      </w:r>
      <w:r w:rsidR="00E46780">
        <w:rPr>
          <w:rFonts w:asciiTheme="minorHAnsi" w:hAnsiTheme="minorHAnsi" w:cstheme="minorHAnsi"/>
          <w:sz w:val="20"/>
          <w:szCs w:val="20"/>
        </w:rPr>
        <w:t>C</w:t>
      </w:r>
      <w:r w:rsidR="00D64782" w:rsidRPr="00D64782">
        <w:rPr>
          <w:rFonts w:asciiTheme="minorHAnsi" w:hAnsiTheme="minorHAnsi" w:cstheme="minorHAnsi"/>
          <w:sz w:val="20"/>
          <w:szCs w:val="20"/>
        </w:rPr>
        <w:t xml:space="preserve">anada. </w:t>
      </w:r>
      <w:r w:rsidR="00D64782" w:rsidRPr="00B77AD1">
        <w:rPr>
          <w:rFonts w:asciiTheme="minorHAnsi" w:hAnsiTheme="minorHAnsi" w:cstheme="minorHAnsi"/>
          <w:i/>
          <w:iCs/>
          <w:sz w:val="20"/>
          <w:szCs w:val="20"/>
        </w:rPr>
        <w:t>Canadian Public Policy</w:t>
      </w:r>
      <w:r w:rsidR="00D64782" w:rsidRPr="00D64782">
        <w:rPr>
          <w:rFonts w:asciiTheme="minorHAnsi" w:hAnsiTheme="minorHAnsi" w:cstheme="minorHAnsi"/>
          <w:sz w:val="20"/>
          <w:szCs w:val="20"/>
        </w:rPr>
        <w:t xml:space="preserve">, 39(2):263–286. </w:t>
      </w:r>
      <w:proofErr w:type="spellStart"/>
      <w:r w:rsidR="00D64782" w:rsidRPr="00D64782">
        <w:rPr>
          <w:rFonts w:asciiTheme="minorHAnsi" w:hAnsiTheme="minorHAnsi" w:cstheme="minorHAnsi"/>
          <w:sz w:val="20"/>
          <w:szCs w:val="20"/>
        </w:rPr>
        <w:t>Kottelenberg</w:t>
      </w:r>
      <w:proofErr w:type="spellEnd"/>
      <w:r w:rsidR="00D64782" w:rsidRPr="00D64782">
        <w:rPr>
          <w:rFonts w:asciiTheme="minorHAnsi" w:hAnsiTheme="minorHAnsi" w:cstheme="minorHAnsi"/>
          <w:sz w:val="20"/>
          <w:szCs w:val="20"/>
        </w:rPr>
        <w:t xml:space="preserve">, M. J. and Lehrer, S. F. (2014). Do the perils of universal childcare depend on the child’s age? </w:t>
      </w:r>
      <w:proofErr w:type="spellStart"/>
      <w:r w:rsidR="00D64782" w:rsidRPr="00B77AD1">
        <w:rPr>
          <w:rFonts w:asciiTheme="minorHAnsi" w:hAnsiTheme="minorHAnsi" w:cstheme="minorHAnsi"/>
          <w:i/>
          <w:iCs/>
          <w:sz w:val="20"/>
          <w:szCs w:val="20"/>
        </w:rPr>
        <w:t>CESifo</w:t>
      </w:r>
      <w:proofErr w:type="spellEnd"/>
      <w:r w:rsidR="00D64782" w:rsidRPr="00B77AD1">
        <w:rPr>
          <w:rFonts w:asciiTheme="minorHAnsi" w:hAnsiTheme="minorHAnsi" w:cstheme="minorHAnsi"/>
          <w:i/>
          <w:iCs/>
          <w:sz w:val="20"/>
          <w:szCs w:val="20"/>
        </w:rPr>
        <w:t xml:space="preserve"> Economic Studies,</w:t>
      </w:r>
      <w:r w:rsidR="00D64782" w:rsidRPr="00D64782">
        <w:rPr>
          <w:rFonts w:asciiTheme="minorHAnsi" w:hAnsiTheme="minorHAnsi" w:cstheme="minorHAnsi"/>
          <w:sz w:val="20"/>
          <w:szCs w:val="20"/>
        </w:rPr>
        <w:t xml:space="preserve"> 60(2):338–365. </w:t>
      </w:r>
      <w:proofErr w:type="spellStart"/>
      <w:r w:rsidR="00D64782" w:rsidRPr="00D64782">
        <w:rPr>
          <w:rFonts w:asciiTheme="minorHAnsi" w:hAnsiTheme="minorHAnsi" w:cstheme="minorHAnsi"/>
          <w:sz w:val="20"/>
          <w:szCs w:val="20"/>
        </w:rPr>
        <w:t>Kottelenberg</w:t>
      </w:r>
      <w:proofErr w:type="spellEnd"/>
      <w:r w:rsidR="00D64782" w:rsidRPr="00D64782">
        <w:rPr>
          <w:rFonts w:asciiTheme="minorHAnsi" w:hAnsiTheme="minorHAnsi" w:cstheme="minorHAnsi"/>
          <w:sz w:val="20"/>
          <w:szCs w:val="20"/>
        </w:rPr>
        <w:t xml:space="preserve">, M. J. and Lehrer, S. F. (2017). Targeted or universal coverage? assessing heterogeneity in the effects of universal </w:t>
      </w:r>
      <w:proofErr w:type="gramStart"/>
      <w:r w:rsidR="00D64782" w:rsidRPr="00D64782">
        <w:rPr>
          <w:rFonts w:asciiTheme="minorHAnsi" w:hAnsiTheme="minorHAnsi" w:cstheme="minorHAnsi"/>
          <w:sz w:val="20"/>
          <w:szCs w:val="20"/>
        </w:rPr>
        <w:t>child care</w:t>
      </w:r>
      <w:proofErr w:type="gramEnd"/>
      <w:r w:rsidR="00D64782" w:rsidRPr="00D64782">
        <w:rPr>
          <w:rFonts w:asciiTheme="minorHAnsi" w:hAnsiTheme="minorHAnsi" w:cstheme="minorHAnsi"/>
          <w:sz w:val="20"/>
          <w:szCs w:val="20"/>
        </w:rPr>
        <w:t xml:space="preserve">. </w:t>
      </w:r>
      <w:r w:rsidR="00D64782" w:rsidRPr="00B77AD1">
        <w:rPr>
          <w:rFonts w:asciiTheme="minorHAnsi" w:hAnsiTheme="minorHAnsi" w:cstheme="minorHAnsi"/>
          <w:i/>
          <w:iCs/>
          <w:sz w:val="20"/>
          <w:szCs w:val="20"/>
        </w:rPr>
        <w:t>Journal of Labor Economics</w:t>
      </w:r>
      <w:r w:rsidR="00D64782" w:rsidRPr="00D64782">
        <w:rPr>
          <w:rFonts w:asciiTheme="minorHAnsi" w:hAnsiTheme="minorHAnsi" w:cstheme="minorHAnsi"/>
          <w:sz w:val="20"/>
          <w:szCs w:val="20"/>
        </w:rPr>
        <w:t xml:space="preserve">, 35(3):609–653. </w:t>
      </w:r>
      <w:proofErr w:type="spellStart"/>
      <w:r w:rsidR="00D64782" w:rsidRPr="00D64782">
        <w:rPr>
          <w:rFonts w:asciiTheme="minorHAnsi" w:hAnsiTheme="minorHAnsi" w:cstheme="minorHAnsi"/>
          <w:sz w:val="20"/>
          <w:szCs w:val="20"/>
        </w:rPr>
        <w:t>Kottelenberg</w:t>
      </w:r>
      <w:proofErr w:type="spellEnd"/>
      <w:r w:rsidR="00D64782" w:rsidRPr="00D64782">
        <w:rPr>
          <w:rFonts w:asciiTheme="minorHAnsi" w:hAnsiTheme="minorHAnsi" w:cstheme="minorHAnsi"/>
          <w:sz w:val="20"/>
          <w:szCs w:val="20"/>
        </w:rPr>
        <w:t xml:space="preserve">, M. J. and Lehrer, S. F. (2018). Does </w:t>
      </w:r>
      <w:r w:rsidR="0027526B">
        <w:rPr>
          <w:rFonts w:asciiTheme="minorHAnsi" w:hAnsiTheme="minorHAnsi" w:cstheme="minorHAnsi"/>
          <w:sz w:val="20"/>
          <w:szCs w:val="20"/>
        </w:rPr>
        <w:t>Q</w:t>
      </w:r>
      <w:r w:rsidR="00D64782" w:rsidRPr="00D64782">
        <w:rPr>
          <w:rFonts w:asciiTheme="minorHAnsi" w:hAnsiTheme="minorHAnsi" w:cstheme="minorHAnsi"/>
          <w:sz w:val="20"/>
          <w:szCs w:val="20"/>
        </w:rPr>
        <w:t xml:space="preserve">uebec’s subsidized </w:t>
      </w:r>
      <w:proofErr w:type="gramStart"/>
      <w:r w:rsidR="00D64782" w:rsidRPr="00D64782">
        <w:rPr>
          <w:rFonts w:asciiTheme="minorHAnsi" w:hAnsiTheme="minorHAnsi" w:cstheme="minorHAnsi"/>
          <w:sz w:val="20"/>
          <w:szCs w:val="20"/>
        </w:rPr>
        <w:t>child care</w:t>
      </w:r>
      <w:proofErr w:type="gramEnd"/>
      <w:r w:rsidR="00D64782" w:rsidRPr="00D64782">
        <w:rPr>
          <w:rFonts w:asciiTheme="minorHAnsi" w:hAnsiTheme="minorHAnsi" w:cstheme="minorHAnsi"/>
          <w:sz w:val="20"/>
          <w:szCs w:val="20"/>
        </w:rPr>
        <w:t xml:space="preserve"> policy give boys and girls an equal start? </w:t>
      </w:r>
      <w:r w:rsidR="00D64782" w:rsidRPr="00B77AD1">
        <w:rPr>
          <w:rFonts w:asciiTheme="minorHAnsi" w:hAnsiTheme="minorHAnsi" w:cstheme="minorHAnsi"/>
          <w:i/>
          <w:iCs/>
          <w:sz w:val="20"/>
          <w:szCs w:val="20"/>
        </w:rPr>
        <w:t xml:space="preserve">Canadian Journal of Economics/Revue </w:t>
      </w:r>
      <w:proofErr w:type="spellStart"/>
      <w:r w:rsidR="00D64782" w:rsidRPr="00B77AD1">
        <w:rPr>
          <w:rFonts w:asciiTheme="minorHAnsi" w:hAnsiTheme="minorHAnsi" w:cstheme="minorHAnsi"/>
          <w:i/>
          <w:iCs/>
          <w:sz w:val="20"/>
          <w:szCs w:val="20"/>
        </w:rPr>
        <w:t>canadienne</w:t>
      </w:r>
      <w:proofErr w:type="spellEnd"/>
      <w:r w:rsidR="00D64782" w:rsidRPr="00B77AD1">
        <w:rPr>
          <w:rFonts w:asciiTheme="minorHAnsi" w:hAnsiTheme="minorHAnsi" w:cstheme="minorHAnsi"/>
          <w:i/>
          <w:iCs/>
          <w:sz w:val="20"/>
          <w:szCs w:val="20"/>
        </w:rPr>
        <w:t xml:space="preserve"> d’ ́</w:t>
      </w:r>
      <w:proofErr w:type="spellStart"/>
      <w:r w:rsidR="00D64782" w:rsidRPr="00B77AD1">
        <w:rPr>
          <w:rFonts w:asciiTheme="minorHAnsi" w:hAnsiTheme="minorHAnsi" w:cstheme="minorHAnsi"/>
          <w:i/>
          <w:iCs/>
          <w:sz w:val="20"/>
          <w:szCs w:val="20"/>
        </w:rPr>
        <w:t>economique</w:t>
      </w:r>
      <w:proofErr w:type="spellEnd"/>
      <w:r w:rsidR="00D64782" w:rsidRPr="00B77AD1">
        <w:rPr>
          <w:rFonts w:asciiTheme="minorHAnsi" w:hAnsiTheme="minorHAnsi" w:cstheme="minorHAnsi"/>
          <w:i/>
          <w:iCs/>
          <w:sz w:val="20"/>
          <w:szCs w:val="20"/>
        </w:rPr>
        <w:t>,</w:t>
      </w:r>
      <w:r w:rsidR="00D64782" w:rsidRPr="00D64782">
        <w:rPr>
          <w:rFonts w:asciiTheme="minorHAnsi" w:hAnsiTheme="minorHAnsi" w:cstheme="minorHAnsi"/>
          <w:sz w:val="20"/>
          <w:szCs w:val="20"/>
        </w:rPr>
        <w:t xml:space="preserve"> 51(2</w:t>
      </w:r>
      <w:r w:rsidR="00D64782" w:rsidRPr="001E50E8">
        <w:rPr>
          <w:rFonts w:asciiTheme="minorHAnsi" w:hAnsiTheme="minorHAnsi" w:cstheme="minorHAnsi"/>
          <w:sz w:val="20"/>
          <w:szCs w:val="20"/>
        </w:rPr>
        <w:t xml:space="preserve">):627–659. </w:t>
      </w:r>
      <w:proofErr w:type="spellStart"/>
      <w:r w:rsidR="001E50E8" w:rsidRPr="001E50E8">
        <w:rPr>
          <w:rFonts w:asciiTheme="minorHAnsi" w:hAnsiTheme="minorHAnsi" w:cstheme="minorHAnsi"/>
          <w:sz w:val="20"/>
          <w:szCs w:val="20"/>
        </w:rPr>
        <w:t>Kottelenberg</w:t>
      </w:r>
      <w:proofErr w:type="spellEnd"/>
      <w:r w:rsidR="001E50E8" w:rsidRPr="001E50E8">
        <w:rPr>
          <w:rFonts w:asciiTheme="minorHAnsi" w:hAnsiTheme="minorHAnsi" w:cstheme="minorHAnsi"/>
          <w:sz w:val="20"/>
          <w:szCs w:val="20"/>
        </w:rPr>
        <w:t xml:space="preserve"> and Lehrer (2017) finds that levels and changes in home learning environments </w:t>
      </w:r>
      <w:r w:rsidR="00CB64CD">
        <w:rPr>
          <w:rFonts w:asciiTheme="minorHAnsi" w:hAnsiTheme="minorHAnsi" w:cstheme="minorHAnsi"/>
          <w:sz w:val="20"/>
          <w:szCs w:val="20"/>
        </w:rPr>
        <w:t xml:space="preserve">by some parents </w:t>
      </w:r>
      <w:r w:rsidR="001E50E8" w:rsidRPr="001E50E8">
        <w:rPr>
          <w:rFonts w:asciiTheme="minorHAnsi" w:hAnsiTheme="minorHAnsi" w:cstheme="minorHAnsi"/>
          <w:sz w:val="20"/>
          <w:szCs w:val="20"/>
        </w:rPr>
        <w:t>in response to the Quebec reforms were an important explanatory factor of differential effects on children.</w:t>
      </w:r>
    </w:p>
  </w:footnote>
  <w:footnote w:id="8">
    <w:p w14:paraId="295F3281" w14:textId="10F6EFC6" w:rsidR="00FF6F13" w:rsidRPr="00807630" w:rsidRDefault="00FF6F13" w:rsidP="00807630">
      <w:pPr>
        <w:mirrorIndents/>
        <w:rPr>
          <w:rFonts w:cstheme="minorHAnsi"/>
          <w:i/>
          <w:iCs/>
          <w:color w:val="000000"/>
          <w:sz w:val="20"/>
          <w:szCs w:val="20"/>
          <w:shd w:val="clear" w:color="auto" w:fill="FFFFFF"/>
        </w:rPr>
      </w:pPr>
      <w:r w:rsidRPr="00FF6F13">
        <w:rPr>
          <w:rStyle w:val="FootnoteReference"/>
          <w:sz w:val="20"/>
          <w:szCs w:val="20"/>
        </w:rPr>
        <w:footnoteRef/>
      </w:r>
      <w:r w:rsidRPr="00FF6F13">
        <w:rPr>
          <w:sz w:val="20"/>
          <w:szCs w:val="20"/>
        </w:rPr>
        <w:t xml:space="preserve"> </w:t>
      </w:r>
      <w:r w:rsidRPr="00FF6F13">
        <w:rPr>
          <w:rFonts w:cstheme="minorHAnsi"/>
          <w:color w:val="000000"/>
          <w:sz w:val="20"/>
          <w:szCs w:val="20"/>
          <w:shd w:val="clear" w:color="auto" w:fill="FFFFFF"/>
        </w:rPr>
        <w:t>Montpetit, S., Beauregard, P., &amp; Carrer, L. (202</w:t>
      </w:r>
      <w:r w:rsidR="00CB7B7C">
        <w:rPr>
          <w:rFonts w:cstheme="minorHAnsi"/>
          <w:color w:val="000000"/>
          <w:sz w:val="20"/>
          <w:szCs w:val="20"/>
          <w:shd w:val="clear" w:color="auto" w:fill="FFFFFF"/>
        </w:rPr>
        <w:t>4</w:t>
      </w:r>
      <w:r w:rsidRPr="00FF6F13">
        <w:rPr>
          <w:rFonts w:cstheme="minorHAnsi"/>
          <w:color w:val="000000"/>
          <w:sz w:val="20"/>
          <w:szCs w:val="20"/>
          <w:shd w:val="clear" w:color="auto" w:fill="FFFFFF"/>
        </w:rPr>
        <w:t>). </w:t>
      </w:r>
      <w:r w:rsidRPr="00B77AD1">
        <w:rPr>
          <w:rFonts w:cstheme="minorHAnsi"/>
          <w:color w:val="000000"/>
          <w:sz w:val="20"/>
          <w:szCs w:val="20"/>
          <w:shd w:val="clear" w:color="auto" w:fill="FFFFFF"/>
        </w:rPr>
        <w:t xml:space="preserve">A Welfare Analysis of Universal Childcare: Lessons </w:t>
      </w:r>
      <w:proofErr w:type="gramStart"/>
      <w:r w:rsidRPr="00B77AD1">
        <w:rPr>
          <w:rFonts w:cstheme="minorHAnsi"/>
          <w:color w:val="000000"/>
          <w:sz w:val="20"/>
          <w:szCs w:val="20"/>
          <w:shd w:val="clear" w:color="auto" w:fill="FFFFFF"/>
        </w:rPr>
        <w:t>From</w:t>
      </w:r>
      <w:proofErr w:type="gramEnd"/>
      <w:r w:rsidRPr="00B77AD1">
        <w:rPr>
          <w:rFonts w:cstheme="minorHAnsi"/>
          <w:color w:val="000000"/>
          <w:sz w:val="20"/>
          <w:szCs w:val="20"/>
          <w:shd w:val="clear" w:color="auto" w:fill="FFFFFF"/>
        </w:rPr>
        <w:t xml:space="preserve"> a Canadian Reform</w:t>
      </w:r>
      <w:r>
        <w:rPr>
          <w:rFonts w:cstheme="minorHAnsi"/>
          <w:i/>
          <w:iCs/>
          <w:color w:val="000000"/>
          <w:sz w:val="20"/>
          <w:szCs w:val="20"/>
          <w:shd w:val="clear" w:color="auto" w:fill="FFFFFF"/>
        </w:rPr>
        <w:t xml:space="preserve"> </w:t>
      </w:r>
      <w:hyperlink r:id="rId3" w:history="1">
        <w:r w:rsidR="00F3534F" w:rsidRPr="002345D0">
          <w:rPr>
            <w:rStyle w:val="Hyperlink"/>
            <w:rFonts w:cstheme="minorHAnsi"/>
            <w:i/>
            <w:iCs/>
            <w:sz w:val="20"/>
            <w:szCs w:val="20"/>
            <w:shd w:val="clear" w:color="auto" w:fill="FFFFFF"/>
          </w:rPr>
          <w:t>https://drive.google.com/file/d/1dDWvj2e08YodXAWd5zdmBKP3j-kxt1Uj/view</w:t>
        </w:r>
      </w:hyperlink>
      <w:r w:rsidR="00B77AD1">
        <w:rPr>
          <w:rStyle w:val="Hyperlink"/>
          <w:rFonts w:cstheme="minorHAnsi"/>
          <w:i/>
          <w:iCs/>
          <w:sz w:val="20"/>
          <w:szCs w:val="20"/>
          <w:shd w:val="clear" w:color="auto" w:fill="FFFFFF"/>
        </w:rPr>
        <w:br/>
      </w:r>
    </w:p>
  </w:footnote>
  <w:footnote w:id="9">
    <w:p w14:paraId="50DD9E40" w14:textId="59366D8E" w:rsidR="00FF6F13" w:rsidRPr="00FF6F13" w:rsidRDefault="00FF6F13" w:rsidP="00877CEF">
      <w:pPr>
        <w:shd w:val="clear" w:color="auto" w:fill="FFFFFF"/>
        <w:spacing w:after="173"/>
        <w:mirrorIndents/>
        <w:rPr>
          <w:lang w:val="en-CA"/>
        </w:rPr>
      </w:pPr>
      <w:r>
        <w:rPr>
          <w:rStyle w:val="FootnoteReference"/>
        </w:rPr>
        <w:footnoteRef/>
      </w:r>
      <w:r>
        <w:t xml:space="preserve"> </w:t>
      </w:r>
      <w:r w:rsidRPr="007F7A8B">
        <w:rPr>
          <w:rFonts w:cstheme="minorHAnsi"/>
          <w:color w:val="000000"/>
          <w:sz w:val="20"/>
          <w:szCs w:val="20"/>
        </w:rPr>
        <w:t>Baker M</w:t>
      </w:r>
      <w:r w:rsidR="007541B8">
        <w:rPr>
          <w:rFonts w:cstheme="minorHAnsi"/>
          <w:color w:val="000000"/>
          <w:sz w:val="20"/>
          <w:szCs w:val="20"/>
        </w:rPr>
        <w:t>.</w:t>
      </w:r>
      <w:r w:rsidRPr="007F7A8B">
        <w:rPr>
          <w:rFonts w:cstheme="minorHAnsi"/>
          <w:color w:val="000000"/>
          <w:sz w:val="20"/>
          <w:szCs w:val="20"/>
        </w:rPr>
        <w:t>, Gruber J</w:t>
      </w:r>
      <w:r w:rsidR="007541B8">
        <w:rPr>
          <w:rFonts w:cstheme="minorHAnsi"/>
          <w:color w:val="000000"/>
          <w:sz w:val="20"/>
          <w:szCs w:val="20"/>
        </w:rPr>
        <w:t>.</w:t>
      </w:r>
      <w:r w:rsidRPr="007F7A8B">
        <w:rPr>
          <w:rFonts w:cstheme="minorHAnsi"/>
          <w:color w:val="000000"/>
          <w:sz w:val="20"/>
          <w:szCs w:val="20"/>
        </w:rPr>
        <w:t>, &amp; Milligan K. (2019). </w:t>
      </w:r>
      <w:r w:rsidRPr="006A0EEA">
        <w:rPr>
          <w:rFonts w:cstheme="minorHAnsi"/>
          <w:color w:val="000000"/>
          <w:sz w:val="20"/>
          <w:szCs w:val="20"/>
        </w:rPr>
        <w:t xml:space="preserve">The Long-Run Impacts of a Universal </w:t>
      </w:r>
      <w:proofErr w:type="gramStart"/>
      <w:r w:rsidRPr="006A0EEA">
        <w:rPr>
          <w:rFonts w:cstheme="minorHAnsi"/>
          <w:color w:val="000000"/>
          <w:sz w:val="20"/>
          <w:szCs w:val="20"/>
        </w:rPr>
        <w:t>Child Care</w:t>
      </w:r>
      <w:proofErr w:type="gramEnd"/>
      <w:r w:rsidRPr="006A0EEA">
        <w:rPr>
          <w:rFonts w:cstheme="minorHAnsi"/>
          <w:color w:val="000000"/>
          <w:sz w:val="20"/>
          <w:szCs w:val="20"/>
        </w:rPr>
        <w:t xml:space="preserve"> Program</w:t>
      </w:r>
      <w:r w:rsidR="007F7A8B" w:rsidRPr="006A0EEA">
        <w:rPr>
          <w:rFonts w:cstheme="minorHAnsi"/>
          <w:color w:val="000000"/>
          <w:sz w:val="20"/>
          <w:szCs w:val="20"/>
        </w:rPr>
        <w:t xml:space="preserve"> </w:t>
      </w:r>
      <w:r w:rsidR="007F7A8B" w:rsidRPr="006A0EEA">
        <w:rPr>
          <w:rFonts w:cstheme="minorHAnsi"/>
          <w:i/>
          <w:iCs/>
          <w:color w:val="272727"/>
          <w:sz w:val="20"/>
          <w:szCs w:val="20"/>
          <w:shd w:val="clear" w:color="auto" w:fill="FFFFFF"/>
        </w:rPr>
        <w:t xml:space="preserve">American </w:t>
      </w:r>
      <w:r w:rsidR="00807630" w:rsidRPr="006A0EEA">
        <w:rPr>
          <w:rFonts w:cstheme="minorHAnsi"/>
          <w:i/>
          <w:iCs/>
          <w:color w:val="272727"/>
          <w:sz w:val="20"/>
          <w:szCs w:val="20"/>
          <w:shd w:val="clear" w:color="auto" w:fill="FFFFFF"/>
        </w:rPr>
        <w:t>E</w:t>
      </w:r>
      <w:r w:rsidR="007F7A8B" w:rsidRPr="006A0EEA">
        <w:rPr>
          <w:rFonts w:cstheme="minorHAnsi"/>
          <w:i/>
          <w:iCs/>
          <w:color w:val="272727"/>
          <w:sz w:val="20"/>
          <w:szCs w:val="20"/>
          <w:shd w:val="clear" w:color="auto" w:fill="FFFFFF"/>
        </w:rPr>
        <w:t xml:space="preserve">conomic </w:t>
      </w:r>
      <w:r w:rsidR="00807630" w:rsidRPr="006A0EEA">
        <w:rPr>
          <w:rFonts w:cstheme="minorHAnsi"/>
          <w:i/>
          <w:iCs/>
          <w:color w:val="272727"/>
          <w:sz w:val="20"/>
          <w:szCs w:val="20"/>
          <w:shd w:val="clear" w:color="auto" w:fill="FFFFFF"/>
        </w:rPr>
        <w:t>J</w:t>
      </w:r>
      <w:r w:rsidR="007F7A8B" w:rsidRPr="006A0EEA">
        <w:rPr>
          <w:rFonts w:cstheme="minorHAnsi"/>
          <w:i/>
          <w:iCs/>
          <w:color w:val="272727"/>
          <w:sz w:val="20"/>
          <w:szCs w:val="20"/>
          <w:shd w:val="clear" w:color="auto" w:fill="FFFFFF"/>
        </w:rPr>
        <w:t xml:space="preserve">ournal. Economic </w:t>
      </w:r>
      <w:r w:rsidR="00807630" w:rsidRPr="006A0EEA">
        <w:rPr>
          <w:rFonts w:cstheme="minorHAnsi"/>
          <w:i/>
          <w:iCs/>
          <w:color w:val="272727"/>
          <w:sz w:val="20"/>
          <w:szCs w:val="20"/>
          <w:shd w:val="clear" w:color="auto" w:fill="FFFFFF"/>
        </w:rPr>
        <w:t>P</w:t>
      </w:r>
      <w:r w:rsidR="007F7A8B" w:rsidRPr="006A0EEA">
        <w:rPr>
          <w:rFonts w:cstheme="minorHAnsi"/>
          <w:i/>
          <w:iCs/>
          <w:color w:val="272727"/>
          <w:sz w:val="20"/>
          <w:szCs w:val="20"/>
          <w:shd w:val="clear" w:color="auto" w:fill="FFFFFF"/>
        </w:rPr>
        <w:t>olicy</w:t>
      </w:r>
      <w:r w:rsidR="007F7A8B" w:rsidRPr="007F7A8B">
        <w:rPr>
          <w:rFonts w:cstheme="minorHAnsi"/>
          <w:color w:val="272727"/>
          <w:sz w:val="20"/>
          <w:szCs w:val="20"/>
          <w:shd w:val="clear" w:color="auto" w:fill="FFFFFF"/>
        </w:rPr>
        <w:t>, Vol.11 (3), p.1-26</w:t>
      </w:r>
      <w:r w:rsidR="007F7A8B" w:rsidRPr="007F7A8B">
        <w:rPr>
          <w:rStyle w:val="media-delimiter"/>
          <w:rFonts w:cstheme="minorHAnsi"/>
          <w:color w:val="272727"/>
          <w:sz w:val="20"/>
          <w:szCs w:val="20"/>
          <w:shd w:val="clear" w:color="auto" w:fill="FFFFFF"/>
        </w:rPr>
        <w:t>; </w:t>
      </w:r>
      <w:r w:rsidR="007F7A8B" w:rsidRPr="007F7A8B">
        <w:rPr>
          <w:rFonts w:cstheme="minorHAnsi"/>
          <w:color w:val="272727"/>
          <w:sz w:val="20"/>
          <w:szCs w:val="20"/>
          <w:shd w:val="clear" w:color="auto" w:fill="FFFFFF"/>
        </w:rPr>
        <w:t>American Economic Association</w:t>
      </w:r>
      <w:r w:rsidR="00807630">
        <w:rPr>
          <w:rFonts w:cstheme="minorHAnsi"/>
          <w:color w:val="272727"/>
          <w:sz w:val="20"/>
          <w:szCs w:val="20"/>
          <w:shd w:val="clear" w:color="auto" w:fill="FFFFFF"/>
        </w:rPr>
        <w:t>.</w:t>
      </w:r>
    </w:p>
  </w:footnote>
  <w:footnote w:id="10">
    <w:p w14:paraId="26CB5488" w14:textId="08F1B602" w:rsidR="009A067F" w:rsidRPr="009157D7" w:rsidRDefault="009A067F" w:rsidP="0055608D">
      <w:pPr>
        <w:pStyle w:val="NormalWeb"/>
        <w:rPr>
          <w:rFonts w:asciiTheme="minorHAnsi" w:hAnsiTheme="minorHAnsi" w:cstheme="minorHAnsi"/>
          <w:sz w:val="20"/>
          <w:szCs w:val="20"/>
        </w:rPr>
      </w:pPr>
      <w:r w:rsidRPr="00CC50D7">
        <w:rPr>
          <w:rStyle w:val="FootnoteReference"/>
          <w:rFonts w:asciiTheme="minorHAnsi" w:hAnsiTheme="minorHAnsi" w:cstheme="minorHAnsi"/>
          <w:sz w:val="20"/>
          <w:szCs w:val="20"/>
        </w:rPr>
        <w:footnoteRef/>
      </w:r>
      <w:r w:rsidRPr="00CC50D7">
        <w:rPr>
          <w:rFonts w:asciiTheme="minorHAnsi" w:hAnsiTheme="minorHAnsi" w:cstheme="minorHAnsi"/>
          <w:sz w:val="20"/>
          <w:szCs w:val="20"/>
        </w:rPr>
        <w:t xml:space="preserve"> Fortin, P</w:t>
      </w:r>
      <w:r w:rsidR="00877CEF" w:rsidRPr="00CC50D7">
        <w:rPr>
          <w:rFonts w:asciiTheme="minorHAnsi" w:hAnsiTheme="minorHAnsi" w:cstheme="minorHAnsi"/>
          <w:sz w:val="20"/>
          <w:szCs w:val="20"/>
        </w:rPr>
        <w:t>., Godbout</w:t>
      </w:r>
      <w:r w:rsidR="007541B8">
        <w:rPr>
          <w:rFonts w:asciiTheme="minorHAnsi" w:hAnsiTheme="minorHAnsi" w:cstheme="minorHAnsi"/>
          <w:sz w:val="20"/>
          <w:szCs w:val="20"/>
        </w:rPr>
        <w:t>, L.</w:t>
      </w:r>
      <w:r w:rsidR="00877CEF" w:rsidRPr="00CC50D7">
        <w:rPr>
          <w:rFonts w:asciiTheme="minorHAnsi" w:hAnsiTheme="minorHAnsi" w:cstheme="minorHAnsi"/>
          <w:sz w:val="20"/>
          <w:szCs w:val="20"/>
        </w:rPr>
        <w:t xml:space="preserve"> and </w:t>
      </w:r>
      <w:proofErr w:type="spellStart"/>
      <w:proofErr w:type="gramStart"/>
      <w:r w:rsidR="00877CEF" w:rsidRPr="00CC50D7">
        <w:rPr>
          <w:rFonts w:asciiTheme="minorHAnsi" w:hAnsiTheme="minorHAnsi" w:cstheme="minorHAnsi"/>
          <w:sz w:val="20"/>
          <w:szCs w:val="20"/>
        </w:rPr>
        <w:t>St.Cerny</w:t>
      </w:r>
      <w:proofErr w:type="spellEnd"/>
      <w:proofErr w:type="gramEnd"/>
      <w:r w:rsidR="00877CEF" w:rsidRPr="00CC50D7">
        <w:rPr>
          <w:rFonts w:asciiTheme="minorHAnsi" w:hAnsiTheme="minorHAnsi" w:cstheme="minorHAnsi"/>
          <w:sz w:val="20"/>
          <w:szCs w:val="20"/>
        </w:rPr>
        <w:t>, S.</w:t>
      </w:r>
      <w:r w:rsidRPr="00CC50D7">
        <w:rPr>
          <w:rFonts w:asciiTheme="minorHAnsi" w:hAnsiTheme="minorHAnsi" w:cstheme="minorHAnsi"/>
          <w:sz w:val="20"/>
          <w:szCs w:val="20"/>
        </w:rPr>
        <w:t>. (201</w:t>
      </w:r>
      <w:r w:rsidR="00CC50D7" w:rsidRPr="00CC50D7">
        <w:rPr>
          <w:rFonts w:asciiTheme="minorHAnsi" w:hAnsiTheme="minorHAnsi" w:cstheme="minorHAnsi"/>
          <w:sz w:val="20"/>
          <w:szCs w:val="20"/>
        </w:rPr>
        <w:t>3</w:t>
      </w:r>
      <w:r w:rsidRPr="00CC50D7">
        <w:rPr>
          <w:rFonts w:asciiTheme="minorHAnsi" w:hAnsiTheme="minorHAnsi" w:cstheme="minorHAnsi"/>
          <w:sz w:val="20"/>
          <w:szCs w:val="20"/>
        </w:rPr>
        <w:t xml:space="preserve">). “Impacts of Quebec’s Universal Low-fee Childcare Program on Female Labour Force Participation, Domestic Income and Government Budgets. University of Toronto. Toronto, ON.  Translated from French </w:t>
      </w:r>
      <w:hyperlink r:id="rId4" w:history="1">
        <w:r w:rsidR="009157D7" w:rsidRPr="002345D0">
          <w:rPr>
            <w:rStyle w:val="Hyperlink"/>
            <w:rFonts w:asciiTheme="minorHAnsi" w:hAnsiTheme="minorHAnsi" w:cstheme="minorHAnsi"/>
            <w:sz w:val="20"/>
            <w:szCs w:val="20"/>
          </w:rPr>
          <w:t>https://www.oise.utoronto.ca/home/sites/default/files/2024-02/impact-of-quebec-s-universal-low-fee-childcare-program-on-female-labour-force-participation.pdf</w:t>
        </w:r>
      </w:hyperlink>
      <w:r w:rsidR="009157D7">
        <w:rPr>
          <w:rFonts w:asciiTheme="minorHAnsi" w:hAnsiTheme="minorHAnsi" w:cstheme="minorHAnsi"/>
          <w:sz w:val="20"/>
          <w:szCs w:val="20"/>
        </w:rPr>
        <w:t xml:space="preserve">  </w:t>
      </w:r>
      <w:r w:rsidR="00CC50D7" w:rsidRPr="00CC50D7">
        <w:rPr>
          <w:rFonts w:asciiTheme="minorHAnsi" w:hAnsiTheme="minorHAnsi" w:cstheme="minorHAnsi"/>
          <w:sz w:val="20"/>
          <w:szCs w:val="20"/>
        </w:rPr>
        <w:t xml:space="preserve">Original reference is Fortin, P., Godbout, L., and St-Cerny, S. (2013). </w:t>
      </w:r>
      <w:proofErr w:type="spellStart"/>
      <w:r w:rsidR="00CC50D7" w:rsidRPr="00CC50D7">
        <w:rPr>
          <w:rFonts w:asciiTheme="minorHAnsi" w:hAnsiTheme="minorHAnsi" w:cstheme="minorHAnsi"/>
          <w:sz w:val="20"/>
          <w:szCs w:val="20"/>
        </w:rPr>
        <w:t>L’impact</w:t>
      </w:r>
      <w:proofErr w:type="spellEnd"/>
      <w:r w:rsidR="00CC50D7" w:rsidRPr="00CC50D7">
        <w:rPr>
          <w:rFonts w:asciiTheme="minorHAnsi" w:hAnsiTheme="minorHAnsi" w:cstheme="minorHAnsi"/>
          <w:sz w:val="20"/>
          <w:szCs w:val="20"/>
        </w:rPr>
        <w:t xml:space="preserve"> des services de </w:t>
      </w:r>
      <w:proofErr w:type="spellStart"/>
      <w:r w:rsidR="00CC50D7" w:rsidRPr="00CC50D7">
        <w:rPr>
          <w:rFonts w:asciiTheme="minorHAnsi" w:hAnsiTheme="minorHAnsi" w:cstheme="minorHAnsi"/>
          <w:sz w:val="20"/>
          <w:szCs w:val="20"/>
        </w:rPr>
        <w:t>garde</w:t>
      </w:r>
      <w:proofErr w:type="spellEnd"/>
      <w:r w:rsidR="00CC50D7" w:rsidRPr="00CC50D7">
        <w:rPr>
          <w:rFonts w:asciiTheme="minorHAnsi" w:hAnsiTheme="minorHAnsi" w:cstheme="minorHAnsi"/>
          <w:sz w:val="20"/>
          <w:szCs w:val="20"/>
        </w:rPr>
        <w:t xml:space="preserve"> </w:t>
      </w:r>
      <w:r w:rsidR="006A0EEA">
        <w:rPr>
          <w:rFonts w:asciiTheme="minorHAnsi" w:hAnsiTheme="minorHAnsi" w:cstheme="minorHAnsi"/>
          <w:sz w:val="20"/>
          <w:szCs w:val="20"/>
        </w:rPr>
        <w:t>a</w:t>
      </w:r>
      <w:r w:rsidR="00CC50D7" w:rsidRPr="00CC50D7">
        <w:rPr>
          <w:rFonts w:asciiTheme="minorHAnsi" w:hAnsiTheme="minorHAnsi" w:cstheme="minorHAnsi"/>
          <w:sz w:val="20"/>
          <w:szCs w:val="20"/>
        </w:rPr>
        <w:t xml:space="preserve"> contribution </w:t>
      </w:r>
      <w:proofErr w:type="spellStart"/>
      <w:r w:rsidR="00CC50D7" w:rsidRPr="00CC50D7">
        <w:rPr>
          <w:rFonts w:asciiTheme="minorHAnsi" w:hAnsiTheme="minorHAnsi" w:cstheme="minorHAnsi"/>
          <w:sz w:val="20"/>
          <w:szCs w:val="20"/>
        </w:rPr>
        <w:t>r</w:t>
      </w:r>
      <w:r w:rsidR="006A0EEA">
        <w:rPr>
          <w:rFonts w:asciiTheme="minorHAnsi" w:hAnsiTheme="minorHAnsi" w:cstheme="minorHAnsi"/>
          <w:sz w:val="20"/>
          <w:szCs w:val="20"/>
        </w:rPr>
        <w:t>e</w:t>
      </w:r>
      <w:r w:rsidR="00CC50D7" w:rsidRPr="00CC50D7">
        <w:rPr>
          <w:rFonts w:asciiTheme="minorHAnsi" w:hAnsiTheme="minorHAnsi" w:cstheme="minorHAnsi"/>
          <w:sz w:val="20"/>
          <w:szCs w:val="20"/>
        </w:rPr>
        <w:t>duite</w:t>
      </w:r>
      <w:proofErr w:type="spellEnd"/>
      <w:r w:rsidR="00CC50D7" w:rsidRPr="00CC50D7">
        <w:rPr>
          <w:rFonts w:asciiTheme="minorHAnsi" w:hAnsiTheme="minorHAnsi" w:cstheme="minorHAnsi"/>
          <w:sz w:val="20"/>
          <w:szCs w:val="20"/>
        </w:rPr>
        <w:t xml:space="preserve"> du </w:t>
      </w:r>
      <w:proofErr w:type="spellStart"/>
      <w:r w:rsidR="00CC50D7" w:rsidRPr="00CC50D7">
        <w:rPr>
          <w:rFonts w:asciiTheme="minorHAnsi" w:hAnsiTheme="minorHAnsi" w:cstheme="minorHAnsi"/>
          <w:sz w:val="20"/>
          <w:szCs w:val="20"/>
        </w:rPr>
        <w:t>qu</w:t>
      </w:r>
      <w:r w:rsidR="007F3128">
        <w:rPr>
          <w:rFonts w:asciiTheme="minorHAnsi" w:hAnsiTheme="minorHAnsi" w:cstheme="minorHAnsi"/>
          <w:sz w:val="20"/>
          <w:szCs w:val="20"/>
        </w:rPr>
        <w:t>e</w:t>
      </w:r>
      <w:r w:rsidR="00CC50D7" w:rsidRPr="00CC50D7">
        <w:rPr>
          <w:rFonts w:asciiTheme="minorHAnsi" w:hAnsiTheme="minorHAnsi" w:cstheme="minorHAnsi"/>
          <w:sz w:val="20"/>
          <w:szCs w:val="20"/>
        </w:rPr>
        <w:t>bec</w:t>
      </w:r>
      <w:proofErr w:type="spellEnd"/>
      <w:r w:rsidR="00CC50D7" w:rsidRPr="00CC50D7">
        <w:rPr>
          <w:rFonts w:asciiTheme="minorHAnsi" w:hAnsiTheme="minorHAnsi" w:cstheme="minorHAnsi"/>
          <w:sz w:val="20"/>
          <w:szCs w:val="20"/>
        </w:rPr>
        <w:t xml:space="preserve"> sur le </w:t>
      </w:r>
      <w:proofErr w:type="spellStart"/>
      <w:r w:rsidR="00CC50D7" w:rsidRPr="00CC50D7">
        <w:rPr>
          <w:rFonts w:asciiTheme="minorHAnsi" w:hAnsiTheme="minorHAnsi" w:cstheme="minorHAnsi"/>
          <w:sz w:val="20"/>
          <w:szCs w:val="20"/>
        </w:rPr>
        <w:t>taux</w:t>
      </w:r>
      <w:proofErr w:type="spellEnd"/>
      <w:r w:rsidR="00CC50D7" w:rsidRPr="00CC50D7">
        <w:rPr>
          <w:rFonts w:asciiTheme="minorHAnsi" w:hAnsiTheme="minorHAnsi" w:cstheme="minorHAnsi"/>
          <w:sz w:val="20"/>
          <w:szCs w:val="20"/>
        </w:rPr>
        <w:t xml:space="preserve"> </w:t>
      </w:r>
      <w:proofErr w:type="spellStart"/>
      <w:r w:rsidR="00CC50D7" w:rsidRPr="00CC50D7">
        <w:rPr>
          <w:rFonts w:asciiTheme="minorHAnsi" w:hAnsiTheme="minorHAnsi" w:cstheme="minorHAnsi"/>
          <w:sz w:val="20"/>
          <w:szCs w:val="20"/>
        </w:rPr>
        <w:t>d’activit</w:t>
      </w:r>
      <w:r w:rsidR="006A0EEA">
        <w:rPr>
          <w:rFonts w:asciiTheme="minorHAnsi" w:hAnsiTheme="minorHAnsi" w:cstheme="minorHAnsi"/>
          <w:sz w:val="20"/>
          <w:szCs w:val="20"/>
        </w:rPr>
        <w:t>e</w:t>
      </w:r>
      <w:proofErr w:type="spellEnd"/>
      <w:r w:rsidR="00CC50D7" w:rsidRPr="00CC50D7">
        <w:rPr>
          <w:rFonts w:asciiTheme="minorHAnsi" w:hAnsiTheme="minorHAnsi" w:cstheme="minorHAnsi"/>
          <w:sz w:val="20"/>
          <w:szCs w:val="20"/>
        </w:rPr>
        <w:t xml:space="preserve"> </w:t>
      </w:r>
      <w:proofErr w:type="spellStart"/>
      <w:r w:rsidR="00CC50D7" w:rsidRPr="00CC50D7">
        <w:rPr>
          <w:rFonts w:asciiTheme="minorHAnsi" w:hAnsiTheme="minorHAnsi" w:cstheme="minorHAnsi"/>
          <w:sz w:val="20"/>
          <w:szCs w:val="20"/>
        </w:rPr>
        <w:t>feminin</w:t>
      </w:r>
      <w:proofErr w:type="spellEnd"/>
      <w:r w:rsidR="00CC50D7" w:rsidRPr="00CC50D7">
        <w:rPr>
          <w:rFonts w:asciiTheme="minorHAnsi" w:hAnsiTheme="minorHAnsi" w:cstheme="minorHAnsi"/>
          <w:sz w:val="20"/>
          <w:szCs w:val="20"/>
        </w:rPr>
        <w:t xml:space="preserve">, le </w:t>
      </w:r>
      <w:proofErr w:type="spellStart"/>
      <w:r w:rsidR="00CC50D7" w:rsidRPr="00CC50D7">
        <w:rPr>
          <w:rFonts w:asciiTheme="minorHAnsi" w:hAnsiTheme="minorHAnsi" w:cstheme="minorHAnsi"/>
          <w:sz w:val="20"/>
          <w:szCs w:val="20"/>
        </w:rPr>
        <w:t>revenu</w:t>
      </w:r>
      <w:proofErr w:type="spellEnd"/>
      <w:r w:rsidR="00CC50D7" w:rsidRPr="00CC50D7">
        <w:rPr>
          <w:rFonts w:asciiTheme="minorHAnsi" w:hAnsiTheme="minorHAnsi" w:cstheme="minorHAnsi"/>
          <w:sz w:val="20"/>
          <w:szCs w:val="20"/>
        </w:rPr>
        <w:t xml:space="preserve"> int</w:t>
      </w:r>
      <w:r w:rsidR="007F3128">
        <w:rPr>
          <w:rFonts w:asciiTheme="minorHAnsi" w:hAnsiTheme="minorHAnsi" w:cstheme="minorHAnsi"/>
          <w:sz w:val="20"/>
          <w:szCs w:val="20"/>
        </w:rPr>
        <w:t>e</w:t>
      </w:r>
      <w:r w:rsidR="00CC50D7" w:rsidRPr="00CC50D7">
        <w:rPr>
          <w:rFonts w:asciiTheme="minorHAnsi" w:hAnsiTheme="minorHAnsi" w:cstheme="minorHAnsi"/>
          <w:sz w:val="20"/>
          <w:szCs w:val="20"/>
        </w:rPr>
        <w:t xml:space="preserve">rieur et les budgets </w:t>
      </w:r>
      <w:proofErr w:type="spellStart"/>
      <w:r w:rsidR="00CC50D7" w:rsidRPr="00CC50D7">
        <w:rPr>
          <w:rFonts w:asciiTheme="minorHAnsi" w:hAnsiTheme="minorHAnsi" w:cstheme="minorHAnsi"/>
          <w:sz w:val="20"/>
          <w:szCs w:val="20"/>
        </w:rPr>
        <w:t>gouvernementaux</w:t>
      </w:r>
      <w:proofErr w:type="spellEnd"/>
      <w:r w:rsidR="00CC50D7" w:rsidRPr="00CC50D7">
        <w:rPr>
          <w:rFonts w:asciiTheme="minorHAnsi" w:hAnsiTheme="minorHAnsi" w:cstheme="minorHAnsi"/>
          <w:sz w:val="20"/>
          <w:szCs w:val="20"/>
        </w:rPr>
        <w:t xml:space="preserve">. </w:t>
      </w:r>
      <w:r w:rsidR="00CC50D7" w:rsidRPr="007F3128">
        <w:rPr>
          <w:rFonts w:asciiTheme="minorHAnsi" w:hAnsiTheme="minorHAnsi" w:cstheme="minorHAnsi"/>
          <w:i/>
          <w:iCs/>
          <w:sz w:val="20"/>
          <w:szCs w:val="20"/>
        </w:rPr>
        <w:t xml:space="preserve">Revue Interventions </w:t>
      </w:r>
      <w:proofErr w:type="spellStart"/>
      <w:r w:rsidR="007F3128">
        <w:rPr>
          <w:rFonts w:asciiTheme="minorHAnsi" w:hAnsiTheme="minorHAnsi" w:cstheme="minorHAnsi"/>
          <w:i/>
          <w:iCs/>
          <w:sz w:val="20"/>
          <w:szCs w:val="20"/>
        </w:rPr>
        <w:t>e</w:t>
      </w:r>
      <w:r w:rsidR="00CC50D7" w:rsidRPr="007F3128">
        <w:rPr>
          <w:rFonts w:asciiTheme="minorHAnsi" w:hAnsiTheme="minorHAnsi" w:cstheme="minorHAnsi"/>
          <w:i/>
          <w:iCs/>
          <w:sz w:val="20"/>
          <w:szCs w:val="20"/>
        </w:rPr>
        <w:t>conomiques</w:t>
      </w:r>
      <w:proofErr w:type="spellEnd"/>
      <w:r w:rsidR="00CC50D7" w:rsidRPr="007F3128">
        <w:rPr>
          <w:rFonts w:asciiTheme="minorHAnsi" w:hAnsiTheme="minorHAnsi" w:cstheme="minorHAnsi"/>
          <w:i/>
          <w:iCs/>
          <w:sz w:val="20"/>
          <w:szCs w:val="20"/>
        </w:rPr>
        <w:t>. Papers in Political Economy</w:t>
      </w:r>
      <w:r w:rsidR="00CC50D7" w:rsidRPr="00CC50D7">
        <w:rPr>
          <w:rFonts w:asciiTheme="minorHAnsi" w:hAnsiTheme="minorHAnsi" w:cstheme="minorHAnsi"/>
          <w:sz w:val="20"/>
          <w:szCs w:val="20"/>
        </w:rPr>
        <w:t>, 47.</w:t>
      </w:r>
    </w:p>
  </w:footnote>
  <w:footnote w:id="11">
    <w:p w14:paraId="4C0A6E7F" w14:textId="70338EB9" w:rsidR="0055608D" w:rsidRPr="0055608D" w:rsidRDefault="0055608D" w:rsidP="00903D47">
      <w:pPr>
        <w:pStyle w:val="NormalWeb"/>
        <w:rPr>
          <w:lang w:val="en-CA"/>
        </w:rPr>
      </w:pPr>
      <w:r>
        <w:rPr>
          <w:rStyle w:val="FootnoteReference"/>
        </w:rPr>
        <w:footnoteRef/>
      </w:r>
      <w:r>
        <w:t xml:space="preserve"> </w:t>
      </w:r>
      <w:r w:rsidRPr="0055608D">
        <w:rPr>
          <w:rFonts w:asciiTheme="minorHAnsi" w:hAnsiTheme="minorHAnsi" w:cstheme="minorHAnsi"/>
          <w:color w:val="211E1E"/>
          <w:sz w:val="20"/>
          <w:szCs w:val="20"/>
        </w:rPr>
        <w:t xml:space="preserve">Lefebvre, P., Merrigan, P. </w:t>
      </w:r>
      <w:r>
        <w:rPr>
          <w:rFonts w:asciiTheme="minorHAnsi" w:hAnsiTheme="minorHAnsi" w:cstheme="minorHAnsi"/>
          <w:color w:val="211E1E"/>
          <w:sz w:val="20"/>
          <w:szCs w:val="20"/>
        </w:rPr>
        <w:t>(</w:t>
      </w:r>
      <w:r w:rsidRPr="0055608D">
        <w:rPr>
          <w:rFonts w:asciiTheme="minorHAnsi" w:hAnsiTheme="minorHAnsi" w:cstheme="minorHAnsi"/>
          <w:color w:val="211E1E"/>
          <w:sz w:val="20"/>
          <w:szCs w:val="20"/>
        </w:rPr>
        <w:t>2008</w:t>
      </w:r>
      <w:r>
        <w:rPr>
          <w:rFonts w:asciiTheme="minorHAnsi" w:hAnsiTheme="minorHAnsi" w:cstheme="minorHAnsi"/>
          <w:color w:val="211E1E"/>
          <w:sz w:val="20"/>
          <w:szCs w:val="20"/>
        </w:rPr>
        <w:t>)</w:t>
      </w:r>
      <w:r w:rsidRPr="0055608D">
        <w:rPr>
          <w:rFonts w:asciiTheme="minorHAnsi" w:hAnsiTheme="minorHAnsi" w:cstheme="minorHAnsi"/>
          <w:color w:val="211E1E"/>
          <w:sz w:val="20"/>
          <w:szCs w:val="20"/>
        </w:rPr>
        <w:t xml:space="preserve">. Childcare policy and the </w:t>
      </w:r>
      <w:proofErr w:type="spellStart"/>
      <w:r w:rsidRPr="0055608D">
        <w:rPr>
          <w:rFonts w:asciiTheme="minorHAnsi" w:hAnsiTheme="minorHAnsi" w:cstheme="minorHAnsi"/>
          <w:color w:val="211E1E"/>
          <w:sz w:val="20"/>
          <w:szCs w:val="20"/>
        </w:rPr>
        <w:t>labor</w:t>
      </w:r>
      <w:proofErr w:type="spellEnd"/>
      <w:r w:rsidRPr="0055608D">
        <w:rPr>
          <w:rFonts w:asciiTheme="minorHAnsi" w:hAnsiTheme="minorHAnsi" w:cstheme="minorHAnsi"/>
          <w:color w:val="211E1E"/>
          <w:sz w:val="20"/>
          <w:szCs w:val="20"/>
        </w:rPr>
        <w:t xml:space="preserve"> supply of mothers with young children: a natural experiment from Canada. </w:t>
      </w:r>
      <w:r w:rsidRPr="0055608D">
        <w:rPr>
          <w:rFonts w:asciiTheme="minorHAnsi" w:hAnsiTheme="minorHAnsi" w:cstheme="minorHAnsi"/>
          <w:i/>
          <w:iCs/>
          <w:color w:val="211E1E"/>
          <w:sz w:val="20"/>
          <w:szCs w:val="20"/>
        </w:rPr>
        <w:t>Journal of Labor Economics</w:t>
      </w:r>
      <w:r w:rsidRPr="0055608D">
        <w:rPr>
          <w:rFonts w:asciiTheme="minorHAnsi" w:hAnsiTheme="minorHAnsi" w:cstheme="minorHAnsi"/>
          <w:color w:val="211E1E"/>
          <w:sz w:val="20"/>
          <w:szCs w:val="20"/>
        </w:rPr>
        <w:t xml:space="preserve"> 23, 519–548.</w:t>
      </w:r>
    </w:p>
  </w:footnote>
  <w:footnote w:id="12">
    <w:p w14:paraId="0CB24F90" w14:textId="4655C43C" w:rsidR="00903D47" w:rsidRPr="00903D47" w:rsidRDefault="00903D47" w:rsidP="00332A40">
      <w:pPr>
        <w:pStyle w:val="NormalWeb"/>
        <w:rPr>
          <w:lang w:val="en-CA"/>
        </w:rPr>
      </w:pPr>
      <w:r>
        <w:rPr>
          <w:rStyle w:val="FootnoteReference"/>
        </w:rPr>
        <w:footnoteRef/>
      </w:r>
      <w:r>
        <w:t xml:space="preserve"> </w:t>
      </w:r>
      <w:r w:rsidRPr="00903D47">
        <w:rPr>
          <w:rFonts w:asciiTheme="minorHAnsi" w:hAnsiTheme="minorHAnsi" w:cstheme="minorHAnsi"/>
          <w:color w:val="211E1E"/>
          <w:sz w:val="20"/>
          <w:szCs w:val="20"/>
        </w:rPr>
        <w:t>Lefebvre, P., Merrigan, P., Verstraete, M.</w:t>
      </w:r>
      <w:r w:rsidR="004D3CD4">
        <w:rPr>
          <w:rFonts w:asciiTheme="minorHAnsi" w:hAnsiTheme="minorHAnsi" w:cstheme="minorHAnsi"/>
          <w:color w:val="211E1E"/>
          <w:sz w:val="20"/>
          <w:szCs w:val="20"/>
        </w:rPr>
        <w:t xml:space="preserve"> (2009) </w:t>
      </w:r>
      <w:r w:rsidRPr="00903D47">
        <w:rPr>
          <w:rFonts w:asciiTheme="minorHAnsi" w:hAnsiTheme="minorHAnsi" w:cstheme="minorHAnsi"/>
          <w:color w:val="211E1E"/>
          <w:sz w:val="20"/>
          <w:szCs w:val="20"/>
        </w:rPr>
        <w:t xml:space="preserve">Dynamic Labour Supply Effects of Childcare Subsidies: Evidence from a Canadian Natural Experiment on Low-fee Universal </w:t>
      </w:r>
      <w:proofErr w:type="gramStart"/>
      <w:r w:rsidRPr="00903D47">
        <w:rPr>
          <w:rFonts w:asciiTheme="minorHAnsi" w:hAnsiTheme="minorHAnsi" w:cstheme="minorHAnsi"/>
          <w:color w:val="211E1E"/>
          <w:sz w:val="20"/>
          <w:szCs w:val="20"/>
        </w:rPr>
        <w:t>Child Care</w:t>
      </w:r>
      <w:proofErr w:type="gramEnd"/>
      <w:r w:rsidRPr="00903D47">
        <w:rPr>
          <w:rFonts w:asciiTheme="minorHAnsi" w:hAnsiTheme="minorHAnsi" w:cstheme="minorHAnsi"/>
          <w:color w:val="211E1E"/>
          <w:sz w:val="20"/>
          <w:szCs w:val="20"/>
        </w:rPr>
        <w:t>.</w:t>
      </w:r>
      <w:r>
        <w:rPr>
          <w:rFonts w:ascii="AdvTT5235d5a9" w:hAnsi="AdvTT5235d5a9"/>
          <w:color w:val="211E1E"/>
          <w:sz w:val="12"/>
          <w:szCs w:val="12"/>
        </w:rPr>
        <w:t xml:space="preserve"> </w:t>
      </w:r>
      <w:r w:rsidR="004D3CD4">
        <w:rPr>
          <w:rFonts w:ascii="AdvTT5235d5a9" w:hAnsi="AdvTT5235d5a9"/>
          <w:color w:val="211E1E"/>
          <w:sz w:val="12"/>
          <w:szCs w:val="12"/>
        </w:rPr>
        <w:t xml:space="preserve"> </w:t>
      </w:r>
      <w:r w:rsidR="004D3CD4">
        <w:rPr>
          <w:rFonts w:asciiTheme="minorHAnsi" w:hAnsiTheme="minorHAnsi" w:cstheme="minorHAnsi"/>
          <w:i/>
          <w:iCs/>
          <w:color w:val="211E1E"/>
          <w:sz w:val="20"/>
          <w:szCs w:val="20"/>
        </w:rPr>
        <w:t>Labour Economics</w:t>
      </w:r>
      <w:r w:rsidR="004D3CD4">
        <w:rPr>
          <w:rFonts w:asciiTheme="minorHAnsi" w:hAnsiTheme="minorHAnsi" w:cstheme="minorHAnsi"/>
          <w:color w:val="211E1E"/>
          <w:sz w:val="20"/>
          <w:szCs w:val="20"/>
        </w:rPr>
        <w:t xml:space="preserve"> 16: 490-502.</w:t>
      </w:r>
    </w:p>
  </w:footnote>
  <w:footnote w:id="13">
    <w:p w14:paraId="091C3423" w14:textId="6DBFFD53" w:rsidR="007B114F" w:rsidRPr="007B114F" w:rsidRDefault="007B114F" w:rsidP="008C647A">
      <w:pPr>
        <w:pStyle w:val="NormalWeb"/>
        <w:rPr>
          <w:lang w:val="en-CA"/>
        </w:rPr>
      </w:pPr>
      <w:r w:rsidRPr="007B114F">
        <w:rPr>
          <w:rStyle w:val="FootnoteReference"/>
          <w:rFonts w:asciiTheme="minorHAnsi" w:hAnsiTheme="minorHAnsi" w:cstheme="minorHAnsi"/>
          <w:color w:val="000000" w:themeColor="text1"/>
          <w:sz w:val="20"/>
          <w:szCs w:val="20"/>
        </w:rPr>
        <w:footnoteRef/>
      </w:r>
      <w:r w:rsidRPr="007B114F">
        <w:rPr>
          <w:rFonts w:asciiTheme="minorHAnsi" w:hAnsiTheme="minorHAnsi" w:cstheme="minorHAnsi"/>
          <w:color w:val="000000" w:themeColor="text1"/>
          <w:sz w:val="20"/>
          <w:szCs w:val="20"/>
        </w:rPr>
        <w:t xml:space="preserve"> </w:t>
      </w:r>
      <w:r w:rsidRPr="007B114F">
        <w:rPr>
          <w:rFonts w:asciiTheme="minorHAnsi" w:hAnsiTheme="minorHAnsi" w:cstheme="minorHAnsi"/>
          <w:color w:val="000000" w:themeColor="text1"/>
          <w:sz w:val="20"/>
          <w:szCs w:val="20"/>
          <w:lang w:val="en-CA"/>
        </w:rPr>
        <w:t xml:space="preserve">Couillard, K. (2018) </w:t>
      </w:r>
      <w:r w:rsidRPr="00D434DD">
        <w:rPr>
          <w:rFonts w:asciiTheme="minorHAnsi" w:hAnsiTheme="minorHAnsi" w:cstheme="minorHAnsi"/>
          <w:i/>
          <w:iCs/>
          <w:color w:val="000000" w:themeColor="text1"/>
          <w:sz w:val="20"/>
          <w:szCs w:val="20"/>
        </w:rPr>
        <w:t xml:space="preserve">Early </w:t>
      </w:r>
      <w:r w:rsidR="00D434DD" w:rsidRPr="00D434DD">
        <w:rPr>
          <w:rFonts w:asciiTheme="minorHAnsi" w:hAnsiTheme="minorHAnsi" w:cstheme="minorHAnsi"/>
          <w:i/>
          <w:iCs/>
          <w:color w:val="000000" w:themeColor="text1"/>
          <w:sz w:val="20"/>
          <w:szCs w:val="20"/>
        </w:rPr>
        <w:t xml:space="preserve">Childhood: </w:t>
      </w:r>
      <w:r w:rsidRPr="00D434DD">
        <w:rPr>
          <w:rFonts w:asciiTheme="minorHAnsi" w:hAnsiTheme="minorHAnsi" w:cstheme="minorHAnsi"/>
          <w:i/>
          <w:iCs/>
          <w:color w:val="000000" w:themeColor="text1"/>
          <w:sz w:val="20"/>
          <w:szCs w:val="20"/>
        </w:rPr>
        <w:t xml:space="preserve">The </w:t>
      </w:r>
      <w:r w:rsidR="00D434DD" w:rsidRPr="00D434DD">
        <w:rPr>
          <w:rFonts w:asciiTheme="minorHAnsi" w:hAnsiTheme="minorHAnsi" w:cstheme="minorHAnsi"/>
          <w:i/>
          <w:iCs/>
          <w:color w:val="000000" w:themeColor="text1"/>
          <w:sz w:val="20"/>
          <w:szCs w:val="20"/>
        </w:rPr>
        <w:t xml:space="preserve">Quality </w:t>
      </w:r>
      <w:r w:rsidR="00D434DD">
        <w:rPr>
          <w:rFonts w:asciiTheme="minorHAnsi" w:hAnsiTheme="minorHAnsi" w:cstheme="minorHAnsi"/>
          <w:i/>
          <w:iCs/>
          <w:color w:val="000000" w:themeColor="text1"/>
          <w:sz w:val="20"/>
          <w:szCs w:val="20"/>
        </w:rPr>
        <w:t>o</w:t>
      </w:r>
      <w:r w:rsidR="00D434DD" w:rsidRPr="00D434DD">
        <w:rPr>
          <w:rFonts w:asciiTheme="minorHAnsi" w:hAnsiTheme="minorHAnsi" w:cstheme="minorHAnsi"/>
          <w:i/>
          <w:iCs/>
          <w:color w:val="000000" w:themeColor="text1"/>
          <w:sz w:val="20"/>
          <w:szCs w:val="20"/>
        </w:rPr>
        <w:t xml:space="preserve">f Educational Childcare Services </w:t>
      </w:r>
      <w:r w:rsidR="00D434DD">
        <w:rPr>
          <w:rFonts w:asciiTheme="minorHAnsi" w:hAnsiTheme="minorHAnsi" w:cstheme="minorHAnsi"/>
          <w:i/>
          <w:iCs/>
          <w:color w:val="000000" w:themeColor="text1"/>
          <w:sz w:val="20"/>
          <w:szCs w:val="20"/>
        </w:rPr>
        <w:t>i</w:t>
      </w:r>
      <w:r w:rsidR="00D434DD" w:rsidRPr="00D434DD">
        <w:rPr>
          <w:rFonts w:asciiTheme="minorHAnsi" w:hAnsiTheme="minorHAnsi" w:cstheme="minorHAnsi"/>
          <w:i/>
          <w:iCs/>
          <w:color w:val="000000" w:themeColor="text1"/>
          <w:sz w:val="20"/>
          <w:szCs w:val="20"/>
        </w:rPr>
        <w:t xml:space="preserve">n </w:t>
      </w:r>
      <w:r w:rsidRPr="00D434DD">
        <w:rPr>
          <w:rFonts w:asciiTheme="minorHAnsi" w:hAnsiTheme="minorHAnsi" w:cstheme="minorHAnsi"/>
          <w:i/>
          <w:iCs/>
          <w:color w:val="000000" w:themeColor="text1"/>
          <w:sz w:val="20"/>
          <w:szCs w:val="20"/>
        </w:rPr>
        <w:t>Quebec</w:t>
      </w:r>
      <w:r w:rsidRPr="007B114F">
        <w:rPr>
          <w:rFonts w:asciiTheme="minorHAnsi" w:hAnsiTheme="minorHAnsi" w:cstheme="minorHAnsi"/>
          <w:color w:val="000000" w:themeColor="text1"/>
          <w:sz w:val="20"/>
          <w:szCs w:val="20"/>
        </w:rPr>
        <w:t xml:space="preserve">. </w:t>
      </w:r>
      <w:proofErr w:type="spellStart"/>
      <w:r w:rsidRPr="007B114F">
        <w:rPr>
          <w:rFonts w:asciiTheme="minorHAnsi" w:hAnsiTheme="minorHAnsi" w:cstheme="minorHAnsi"/>
          <w:color w:val="000000" w:themeColor="text1"/>
          <w:sz w:val="20"/>
          <w:szCs w:val="20"/>
        </w:rPr>
        <w:t>Observatoire</w:t>
      </w:r>
      <w:proofErr w:type="spellEnd"/>
      <w:r w:rsidRPr="007B114F">
        <w:rPr>
          <w:rFonts w:asciiTheme="minorHAnsi" w:hAnsiTheme="minorHAnsi" w:cstheme="minorHAnsi"/>
          <w:color w:val="000000" w:themeColor="text1"/>
          <w:sz w:val="20"/>
          <w:szCs w:val="20"/>
        </w:rPr>
        <w:t xml:space="preserve"> des tout-petits. Montreal, Quebec, </w:t>
      </w:r>
      <w:proofErr w:type="spellStart"/>
      <w:r w:rsidRPr="007B114F">
        <w:rPr>
          <w:rFonts w:asciiTheme="minorHAnsi" w:hAnsiTheme="minorHAnsi" w:cstheme="minorHAnsi"/>
          <w:color w:val="000000" w:themeColor="text1"/>
          <w:sz w:val="20"/>
          <w:szCs w:val="20"/>
        </w:rPr>
        <w:t>Fondation</w:t>
      </w:r>
      <w:proofErr w:type="spellEnd"/>
      <w:r w:rsidRPr="007B114F">
        <w:rPr>
          <w:rFonts w:asciiTheme="minorHAnsi" w:hAnsiTheme="minorHAnsi" w:cstheme="minorHAnsi"/>
          <w:color w:val="000000" w:themeColor="text1"/>
          <w:sz w:val="20"/>
          <w:szCs w:val="20"/>
        </w:rPr>
        <w:t xml:space="preserve"> Lucie et André Chagno</w:t>
      </w:r>
      <w:r>
        <w:rPr>
          <w:rFonts w:asciiTheme="minorHAnsi" w:hAnsiTheme="minorHAnsi" w:cstheme="minorHAnsi"/>
          <w:color w:val="000000" w:themeColor="text1"/>
          <w:sz w:val="20"/>
          <w:szCs w:val="20"/>
        </w:rPr>
        <w:t>n.  Page 25 of this document charts the measured quality differences between CPEs (not-for-profit centres) and the for-profit non-subsidized daycares.</w:t>
      </w:r>
      <w:r w:rsidR="00955E28">
        <w:rPr>
          <w:rFonts w:asciiTheme="minorHAnsi" w:hAnsiTheme="minorHAnsi" w:cstheme="minorHAnsi"/>
          <w:color w:val="000000" w:themeColor="text1"/>
          <w:sz w:val="20"/>
          <w:szCs w:val="20"/>
        </w:rPr>
        <w:t xml:space="preserve">  In the CPEs that are the heart of the supply-side funded system, in two age categories, 4% or fewer of centre rooms are of poor quality.  In the for-profit </w:t>
      </w:r>
      <w:proofErr w:type="gramStart"/>
      <w:r w:rsidR="00955E28">
        <w:rPr>
          <w:rFonts w:asciiTheme="minorHAnsi" w:hAnsiTheme="minorHAnsi" w:cstheme="minorHAnsi"/>
          <w:color w:val="000000" w:themeColor="text1"/>
          <w:sz w:val="20"/>
          <w:szCs w:val="20"/>
        </w:rPr>
        <w:t>child care</w:t>
      </w:r>
      <w:proofErr w:type="gramEnd"/>
      <w:r w:rsidR="00955E28">
        <w:rPr>
          <w:rFonts w:asciiTheme="minorHAnsi" w:hAnsiTheme="minorHAnsi" w:cstheme="minorHAnsi"/>
          <w:color w:val="000000" w:themeColor="text1"/>
          <w:sz w:val="20"/>
          <w:szCs w:val="20"/>
        </w:rPr>
        <w:t xml:space="preserve"> centres funded by demand-side tax credits to quickly boost supply, 36%-41% are of poor quality.</w:t>
      </w:r>
    </w:p>
  </w:footnote>
  <w:footnote w:id="14">
    <w:p w14:paraId="2587D15C" w14:textId="0F2C7CE2" w:rsidR="002D1CEC" w:rsidRPr="002D1CEC" w:rsidRDefault="002D1CEC">
      <w:pPr>
        <w:pStyle w:val="FootnoteText"/>
        <w:rPr>
          <w:lang w:val="en-CA"/>
        </w:rPr>
      </w:pPr>
      <w:r>
        <w:rPr>
          <w:rStyle w:val="FootnoteReference"/>
        </w:rPr>
        <w:footnoteRef/>
      </w:r>
      <w:r>
        <w:t xml:space="preserve"> </w:t>
      </w:r>
      <w:r w:rsidR="004C7284">
        <w:t xml:space="preserve">Cleveland, G., Mathieu, S., and </w:t>
      </w:r>
      <w:proofErr w:type="spellStart"/>
      <w:r w:rsidR="004C7284">
        <w:t>Japel</w:t>
      </w:r>
      <w:proofErr w:type="spellEnd"/>
      <w:r w:rsidR="004C7284">
        <w:t xml:space="preserve">, C. (2021) What is “the Quebec Model” of Early Learning and </w:t>
      </w:r>
      <w:proofErr w:type="gramStart"/>
      <w:r w:rsidR="004C7284">
        <w:t>Child Care</w:t>
      </w:r>
      <w:proofErr w:type="gramEnd"/>
      <w:r w:rsidR="004C7284">
        <w:t xml:space="preserve">? </w:t>
      </w:r>
      <w:r w:rsidR="004C7284">
        <w:rPr>
          <w:i/>
          <w:iCs/>
        </w:rPr>
        <w:t>Policy Options</w:t>
      </w:r>
      <w:r w:rsidR="004C7284">
        <w:t xml:space="preserve">, Institute for Research on Public Policy, Montreal QC. </w:t>
      </w:r>
      <w:hyperlink r:id="rId5" w:anchor=":~:text=The%20plan%20in%20Quebec%20was,educational%20child%20care%20after%20that" w:history="1">
        <w:r w:rsidR="004C7284" w:rsidRPr="002345D0">
          <w:rPr>
            <w:rStyle w:val="Hyperlink"/>
            <w:lang w:val="en-CA"/>
          </w:rPr>
          <w:t>https://policyoptions.irpp.org/magazines/february-2021/what-is-the-quebec-model-of-early-learning-and-child-care/#:~:text=The%20plan%20in%20Quebec%20was,educational%20child%20care%20after%20that</w:t>
        </w:r>
      </w:hyperlink>
      <w:r w:rsidRPr="002D1CEC">
        <w:rPr>
          <w:lang w:val="en-CA"/>
        </w:rPr>
        <w:t>.</w:t>
      </w:r>
      <w:r w:rsidR="00F83AFF">
        <w:rPr>
          <w:lang w:val="en-CA"/>
        </w:rPr>
        <w:br/>
      </w:r>
    </w:p>
  </w:footnote>
  <w:footnote w:id="15">
    <w:p w14:paraId="20B16B15" w14:textId="50905BC8" w:rsidR="002B5C00" w:rsidRPr="008C647A" w:rsidRDefault="002B5C00" w:rsidP="002B5C00">
      <w:pPr>
        <w:shd w:val="clear" w:color="auto" w:fill="FFFFFF"/>
        <w:rPr>
          <w:sz w:val="20"/>
          <w:szCs w:val="20"/>
          <w:lang w:val="en-CA"/>
        </w:rPr>
      </w:pPr>
      <w:r w:rsidRPr="008C647A">
        <w:rPr>
          <w:rStyle w:val="FootnoteReference"/>
          <w:sz w:val="20"/>
          <w:szCs w:val="20"/>
        </w:rPr>
        <w:footnoteRef/>
      </w:r>
      <w:r w:rsidR="008C647A" w:rsidRPr="008C647A">
        <w:rPr>
          <w:sz w:val="20"/>
          <w:szCs w:val="20"/>
        </w:rPr>
        <w:t xml:space="preserve"> See</w:t>
      </w:r>
      <w:r w:rsidRPr="008C647A">
        <w:rPr>
          <w:sz w:val="20"/>
          <w:szCs w:val="20"/>
        </w:rPr>
        <w:t xml:space="preserve"> </w:t>
      </w:r>
      <w:r w:rsidRPr="008C647A">
        <w:rPr>
          <w:rFonts w:cstheme="minorHAnsi"/>
          <w:color w:val="000000" w:themeColor="text1"/>
          <w:sz w:val="20"/>
          <w:szCs w:val="20"/>
        </w:rPr>
        <w:t xml:space="preserve">Cloney, </w:t>
      </w:r>
      <w:r w:rsidR="00392EAF" w:rsidRPr="008C647A">
        <w:rPr>
          <w:rFonts w:cstheme="minorHAnsi"/>
          <w:color w:val="000000" w:themeColor="text1"/>
          <w:sz w:val="20"/>
          <w:szCs w:val="20"/>
        </w:rPr>
        <w:t>D.,</w:t>
      </w:r>
      <w:r w:rsidRPr="008C647A">
        <w:rPr>
          <w:rFonts w:cstheme="minorHAnsi"/>
          <w:color w:val="000000" w:themeColor="text1"/>
          <w:sz w:val="20"/>
          <w:szCs w:val="20"/>
        </w:rPr>
        <w:t xml:space="preserve"> Cleveland, </w:t>
      </w:r>
      <w:r w:rsidR="00392EAF" w:rsidRPr="008C647A">
        <w:rPr>
          <w:rFonts w:cstheme="minorHAnsi"/>
          <w:color w:val="000000" w:themeColor="text1"/>
          <w:sz w:val="20"/>
          <w:szCs w:val="20"/>
        </w:rPr>
        <w:t xml:space="preserve">G., </w:t>
      </w:r>
      <w:r w:rsidRPr="008C647A">
        <w:rPr>
          <w:rFonts w:cstheme="minorHAnsi"/>
          <w:color w:val="000000" w:themeColor="text1"/>
          <w:sz w:val="20"/>
          <w:szCs w:val="20"/>
        </w:rPr>
        <w:t xml:space="preserve">Hattie, </w:t>
      </w:r>
      <w:r w:rsidR="00392EAF" w:rsidRPr="008C647A">
        <w:rPr>
          <w:rFonts w:cstheme="minorHAnsi"/>
          <w:color w:val="000000" w:themeColor="text1"/>
          <w:sz w:val="20"/>
          <w:szCs w:val="20"/>
        </w:rPr>
        <w:t xml:space="preserve">J., and </w:t>
      </w:r>
      <w:r w:rsidRPr="008C647A">
        <w:rPr>
          <w:rFonts w:cstheme="minorHAnsi"/>
          <w:color w:val="000000" w:themeColor="text1"/>
          <w:sz w:val="20"/>
          <w:szCs w:val="20"/>
        </w:rPr>
        <w:t>Tayler</w:t>
      </w:r>
      <w:r w:rsidR="00392EAF" w:rsidRPr="008C647A">
        <w:rPr>
          <w:rFonts w:cstheme="minorHAnsi"/>
          <w:color w:val="000000" w:themeColor="text1"/>
          <w:sz w:val="20"/>
          <w:szCs w:val="20"/>
        </w:rPr>
        <w:t>, C.</w:t>
      </w:r>
      <w:r w:rsidRPr="008C647A">
        <w:rPr>
          <w:rFonts w:cstheme="minorHAnsi"/>
          <w:color w:val="000000" w:themeColor="text1"/>
          <w:sz w:val="20"/>
          <w:szCs w:val="20"/>
        </w:rPr>
        <w:t xml:space="preserve"> (2016) </w:t>
      </w:r>
      <w:r w:rsidRPr="008C647A">
        <w:rPr>
          <w:rFonts w:eastAsia="Times New Roman" w:cstheme="minorHAnsi"/>
          <w:color w:val="000000" w:themeColor="text1"/>
          <w:kern w:val="0"/>
          <w:sz w:val="20"/>
          <w:szCs w:val="20"/>
          <w:lang w:eastAsia="en-GB"/>
          <w14:ligatures w14:val="none"/>
        </w:rPr>
        <w:t xml:space="preserve">Variations in the Availability and Quality of Early Childhood Education and Care by Socioeconomic Status of </w:t>
      </w:r>
      <w:proofErr w:type="spellStart"/>
      <w:r w:rsidRPr="008C647A">
        <w:rPr>
          <w:rFonts w:eastAsia="Times New Roman" w:cstheme="minorHAnsi"/>
          <w:color w:val="000000" w:themeColor="text1"/>
          <w:kern w:val="0"/>
          <w:sz w:val="20"/>
          <w:szCs w:val="20"/>
          <w:lang w:eastAsia="en-GB"/>
          <w14:ligatures w14:val="none"/>
        </w:rPr>
        <w:t>Neighborhoods</w:t>
      </w:r>
      <w:proofErr w:type="spellEnd"/>
      <w:r w:rsidRPr="008C647A">
        <w:rPr>
          <w:rFonts w:eastAsia="Times New Roman" w:cstheme="minorHAnsi"/>
          <w:color w:val="000000" w:themeColor="text1"/>
          <w:kern w:val="0"/>
          <w:sz w:val="20"/>
          <w:szCs w:val="20"/>
          <w:lang w:eastAsia="en-GB"/>
          <w14:ligatures w14:val="none"/>
        </w:rPr>
        <w:t xml:space="preserve"> </w:t>
      </w:r>
      <w:r w:rsidRPr="008C647A">
        <w:rPr>
          <w:rFonts w:eastAsia="Times New Roman" w:cstheme="minorHAnsi"/>
          <w:i/>
          <w:iCs/>
          <w:color w:val="000000" w:themeColor="text1"/>
          <w:kern w:val="0"/>
          <w:sz w:val="20"/>
          <w:szCs w:val="20"/>
          <w:shd w:val="clear" w:color="auto" w:fill="FFFFFF"/>
          <w:lang w:eastAsia="en-GB"/>
          <w14:ligatures w14:val="none"/>
        </w:rPr>
        <w:t xml:space="preserve">Early Education and Development </w:t>
      </w:r>
      <w:r w:rsidRPr="008C647A">
        <w:rPr>
          <w:rFonts w:cstheme="minorHAnsi"/>
          <w:color w:val="000000" w:themeColor="text1"/>
          <w:sz w:val="20"/>
          <w:szCs w:val="20"/>
          <w:shd w:val="clear" w:color="auto" w:fill="FFFFFF"/>
        </w:rPr>
        <w:t>Vol. 27(</w:t>
      </w:r>
      <w:proofErr w:type="gramStart"/>
      <w:r w:rsidRPr="008C647A">
        <w:rPr>
          <w:rFonts w:cstheme="minorHAnsi"/>
          <w:color w:val="000000" w:themeColor="text1"/>
          <w:sz w:val="20"/>
          <w:szCs w:val="20"/>
          <w:shd w:val="clear" w:color="auto" w:fill="FFFFFF"/>
        </w:rPr>
        <w:t>3 )</w:t>
      </w:r>
      <w:proofErr w:type="gramEnd"/>
      <w:r w:rsidRPr="008C647A">
        <w:rPr>
          <w:rFonts w:cstheme="minorHAnsi"/>
          <w:color w:val="000000" w:themeColor="text1"/>
          <w:sz w:val="20"/>
          <w:szCs w:val="20"/>
          <w:shd w:val="clear" w:color="auto" w:fill="FFFFFF"/>
        </w:rPr>
        <w:t xml:space="preserve">:384 </w:t>
      </w:r>
      <w:r w:rsidR="008C647A" w:rsidRPr="008C647A">
        <w:rPr>
          <w:rFonts w:cstheme="minorHAnsi"/>
          <w:color w:val="000000" w:themeColor="text1"/>
          <w:sz w:val="20"/>
          <w:szCs w:val="20"/>
          <w:shd w:val="clear" w:color="auto" w:fill="FFFFFF"/>
        </w:rPr>
        <w:t>–</w:t>
      </w:r>
      <w:r w:rsidRPr="008C647A">
        <w:rPr>
          <w:rFonts w:cstheme="minorHAnsi"/>
          <w:color w:val="000000" w:themeColor="text1"/>
          <w:sz w:val="20"/>
          <w:szCs w:val="20"/>
          <w:shd w:val="clear" w:color="auto" w:fill="FFFFFF"/>
        </w:rPr>
        <w:t xml:space="preserve"> 401</w:t>
      </w:r>
      <w:r w:rsidR="008C647A" w:rsidRPr="008C647A">
        <w:rPr>
          <w:rFonts w:cstheme="minorHAnsi"/>
          <w:color w:val="000000" w:themeColor="text1"/>
          <w:sz w:val="20"/>
          <w:szCs w:val="20"/>
          <w:shd w:val="clear" w:color="auto" w:fill="FFFFFF"/>
        </w:rPr>
        <w:t xml:space="preserve">, and also see </w:t>
      </w:r>
      <w:r w:rsidR="008C647A" w:rsidRPr="008C647A">
        <w:rPr>
          <w:sz w:val="20"/>
          <w:szCs w:val="20"/>
        </w:rPr>
        <w:t>: Australian Children’s Education and Care Quality Authority (ACECQA) (2020) Quality ratings by socio-economic status of areas, ACECQA, Sydney</w:t>
      </w:r>
    </w:p>
  </w:footnote>
  <w:footnote w:id="16">
    <w:p w14:paraId="47AB1C88" w14:textId="5B98532A" w:rsidR="006B2ABA" w:rsidRPr="006B2ABA" w:rsidRDefault="006B2ABA" w:rsidP="006B2ABA">
      <w:pPr>
        <w:widowControl w:val="0"/>
        <w:autoSpaceDE w:val="0"/>
        <w:autoSpaceDN w:val="0"/>
        <w:adjustRightInd w:val="0"/>
        <w:rPr>
          <w:lang w:val="en-CA"/>
        </w:rPr>
      </w:pPr>
      <w:r>
        <w:rPr>
          <w:rStyle w:val="FootnoteReference"/>
        </w:rPr>
        <w:footnoteRef/>
      </w:r>
      <w:r>
        <w:t xml:space="preserve"> </w:t>
      </w:r>
      <w:r w:rsidRPr="006B2ABA">
        <w:rPr>
          <w:sz w:val="20"/>
          <w:szCs w:val="20"/>
        </w:rPr>
        <w:t>Cleveland</w:t>
      </w:r>
      <w:r w:rsidR="00392EAF">
        <w:rPr>
          <w:sz w:val="20"/>
          <w:szCs w:val="20"/>
        </w:rPr>
        <w:t>, G.</w:t>
      </w:r>
      <w:r w:rsidRPr="006B2ABA">
        <w:rPr>
          <w:sz w:val="20"/>
          <w:szCs w:val="20"/>
        </w:rPr>
        <w:t xml:space="preserve"> (2017) “What is the Role of Early Childhood Education and Care in an Equality Agenda?” pp. 75-98 in Robert J. </w:t>
      </w:r>
      <w:proofErr w:type="spellStart"/>
      <w:r w:rsidRPr="006B2ABA">
        <w:rPr>
          <w:sz w:val="20"/>
          <w:szCs w:val="20"/>
        </w:rPr>
        <w:t>Brym</w:t>
      </w:r>
      <w:proofErr w:type="spellEnd"/>
      <w:r w:rsidRPr="006B2ABA">
        <w:rPr>
          <w:sz w:val="20"/>
          <w:szCs w:val="20"/>
        </w:rPr>
        <w:t xml:space="preserve"> ed. </w:t>
      </w:r>
      <w:r w:rsidRPr="006B2ABA">
        <w:rPr>
          <w:i/>
          <w:iCs/>
          <w:sz w:val="20"/>
          <w:szCs w:val="20"/>
        </w:rPr>
        <w:t>Income Inequality and the Future of Canadian Society</w:t>
      </w:r>
      <w:r w:rsidRPr="006B2ABA">
        <w:rPr>
          <w:sz w:val="20"/>
          <w:szCs w:val="20"/>
        </w:rPr>
        <w:t xml:space="preserve"> ISBN-13:978-1-77244-044-7 Oakville, ON: Rock’s Mills Press. Proceedings of the inaugural </w:t>
      </w:r>
      <w:proofErr w:type="spellStart"/>
      <w:r w:rsidRPr="006B2ABA">
        <w:rPr>
          <w:sz w:val="20"/>
          <w:szCs w:val="20"/>
        </w:rPr>
        <w:t>S.</w:t>
      </w:r>
      <w:proofErr w:type="gramStart"/>
      <w:r w:rsidRPr="006B2ABA">
        <w:rPr>
          <w:sz w:val="20"/>
          <w:szCs w:val="20"/>
        </w:rPr>
        <w:t>D.Clark</w:t>
      </w:r>
      <w:proofErr w:type="spellEnd"/>
      <w:proofErr w:type="gramEnd"/>
      <w:r w:rsidRPr="006B2ABA">
        <w:rPr>
          <w:sz w:val="20"/>
          <w:szCs w:val="20"/>
        </w:rPr>
        <w:t xml:space="preserve"> memorial symposium. </w:t>
      </w:r>
    </w:p>
  </w:footnote>
  <w:footnote w:id="17">
    <w:p w14:paraId="02EB803A" w14:textId="01941368" w:rsidR="008B5244" w:rsidRPr="008B5244" w:rsidRDefault="008B5244">
      <w:pPr>
        <w:pStyle w:val="FootnoteText"/>
        <w:rPr>
          <w:lang w:val="en-CA"/>
        </w:rPr>
      </w:pPr>
      <w:r>
        <w:rPr>
          <w:rStyle w:val="FootnoteReference"/>
        </w:rPr>
        <w:footnoteRef/>
      </w:r>
      <w:r>
        <w:t xml:space="preserve"> </w:t>
      </w:r>
      <w:proofErr w:type="spellStart"/>
      <w:r>
        <w:rPr>
          <w:lang w:val="en-CA"/>
        </w:rPr>
        <w:t>Kottelenberg</w:t>
      </w:r>
      <w:proofErr w:type="spellEnd"/>
      <w:r>
        <w:rPr>
          <w:lang w:val="en-CA"/>
        </w:rPr>
        <w:t xml:space="preserve"> and Lehrer (2017) op.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D6A00"/>
    <w:multiLevelType w:val="hybridMultilevel"/>
    <w:tmpl w:val="4894A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B1CE6"/>
    <w:multiLevelType w:val="multilevel"/>
    <w:tmpl w:val="BB44C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02B66"/>
    <w:multiLevelType w:val="multilevel"/>
    <w:tmpl w:val="395E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1E1C88"/>
    <w:multiLevelType w:val="multilevel"/>
    <w:tmpl w:val="87C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C847D3"/>
    <w:multiLevelType w:val="multilevel"/>
    <w:tmpl w:val="724E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5E1E35"/>
    <w:multiLevelType w:val="multilevel"/>
    <w:tmpl w:val="014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DE55FC"/>
    <w:multiLevelType w:val="multilevel"/>
    <w:tmpl w:val="FA2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8569553">
    <w:abstractNumId w:val="0"/>
  </w:num>
  <w:num w:numId="2" w16cid:durableId="1099527520">
    <w:abstractNumId w:val="2"/>
  </w:num>
  <w:num w:numId="3" w16cid:durableId="515198524">
    <w:abstractNumId w:val="6"/>
  </w:num>
  <w:num w:numId="4" w16cid:durableId="1529875831">
    <w:abstractNumId w:val="4"/>
  </w:num>
  <w:num w:numId="5" w16cid:durableId="548155773">
    <w:abstractNumId w:val="3"/>
  </w:num>
  <w:num w:numId="6" w16cid:durableId="37894726">
    <w:abstractNumId w:val="1"/>
  </w:num>
  <w:num w:numId="7" w16cid:durableId="1227030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2C"/>
    <w:rsid w:val="00007896"/>
    <w:rsid w:val="000108E3"/>
    <w:rsid w:val="000356D0"/>
    <w:rsid w:val="00046BCE"/>
    <w:rsid w:val="00053E65"/>
    <w:rsid w:val="00067532"/>
    <w:rsid w:val="00071378"/>
    <w:rsid w:val="000727E4"/>
    <w:rsid w:val="00072A6C"/>
    <w:rsid w:val="000849C7"/>
    <w:rsid w:val="00091F9B"/>
    <w:rsid w:val="000B64FE"/>
    <w:rsid w:val="000C57D2"/>
    <w:rsid w:val="000C7508"/>
    <w:rsid w:val="000F1BFE"/>
    <w:rsid w:val="000F43FD"/>
    <w:rsid w:val="001003CF"/>
    <w:rsid w:val="00101D78"/>
    <w:rsid w:val="00112644"/>
    <w:rsid w:val="00122EAD"/>
    <w:rsid w:val="00124A57"/>
    <w:rsid w:val="00151E1A"/>
    <w:rsid w:val="0017538E"/>
    <w:rsid w:val="00191F76"/>
    <w:rsid w:val="001977BD"/>
    <w:rsid w:val="001B405F"/>
    <w:rsid w:val="001D4692"/>
    <w:rsid w:val="001D5C3E"/>
    <w:rsid w:val="001E23B5"/>
    <w:rsid w:val="001E50E8"/>
    <w:rsid w:val="001F6BE4"/>
    <w:rsid w:val="00203E91"/>
    <w:rsid w:val="00260760"/>
    <w:rsid w:val="00260E1C"/>
    <w:rsid w:val="0026643D"/>
    <w:rsid w:val="00266C8B"/>
    <w:rsid w:val="00267D09"/>
    <w:rsid w:val="0027412A"/>
    <w:rsid w:val="0027526B"/>
    <w:rsid w:val="00294AFA"/>
    <w:rsid w:val="002B2E21"/>
    <w:rsid w:val="002B320A"/>
    <w:rsid w:val="002B5C00"/>
    <w:rsid w:val="002D1CEC"/>
    <w:rsid w:val="002D65DD"/>
    <w:rsid w:val="002E1274"/>
    <w:rsid w:val="002F48C1"/>
    <w:rsid w:val="00332A40"/>
    <w:rsid w:val="00340DA6"/>
    <w:rsid w:val="00371A67"/>
    <w:rsid w:val="00384EE5"/>
    <w:rsid w:val="00392EAF"/>
    <w:rsid w:val="003B2A08"/>
    <w:rsid w:val="003C598F"/>
    <w:rsid w:val="003F0A88"/>
    <w:rsid w:val="00403D52"/>
    <w:rsid w:val="00430BB4"/>
    <w:rsid w:val="00466DA5"/>
    <w:rsid w:val="00475310"/>
    <w:rsid w:val="0049011C"/>
    <w:rsid w:val="00495640"/>
    <w:rsid w:val="004C1249"/>
    <w:rsid w:val="004C2BCB"/>
    <w:rsid w:val="004C3C1E"/>
    <w:rsid w:val="004C7284"/>
    <w:rsid w:val="004D3CD4"/>
    <w:rsid w:val="004E064A"/>
    <w:rsid w:val="004E16F2"/>
    <w:rsid w:val="004E5BE1"/>
    <w:rsid w:val="004E7DB4"/>
    <w:rsid w:val="004F0610"/>
    <w:rsid w:val="0050740F"/>
    <w:rsid w:val="0051339D"/>
    <w:rsid w:val="00532AEE"/>
    <w:rsid w:val="0055608D"/>
    <w:rsid w:val="00556A0E"/>
    <w:rsid w:val="00573A78"/>
    <w:rsid w:val="00576473"/>
    <w:rsid w:val="00597C28"/>
    <w:rsid w:val="005B3EDD"/>
    <w:rsid w:val="005C6B71"/>
    <w:rsid w:val="005D6317"/>
    <w:rsid w:val="005E369D"/>
    <w:rsid w:val="005F3D65"/>
    <w:rsid w:val="006108F4"/>
    <w:rsid w:val="00660D90"/>
    <w:rsid w:val="00663DE4"/>
    <w:rsid w:val="006A0EEA"/>
    <w:rsid w:val="006A1044"/>
    <w:rsid w:val="006A5144"/>
    <w:rsid w:val="006B1EAC"/>
    <w:rsid w:val="006B2ABA"/>
    <w:rsid w:val="006C218E"/>
    <w:rsid w:val="006C43C6"/>
    <w:rsid w:val="006D41BF"/>
    <w:rsid w:val="00713345"/>
    <w:rsid w:val="00725A21"/>
    <w:rsid w:val="00725FF6"/>
    <w:rsid w:val="007541B8"/>
    <w:rsid w:val="0075423F"/>
    <w:rsid w:val="007576D2"/>
    <w:rsid w:val="00760F2F"/>
    <w:rsid w:val="0076736B"/>
    <w:rsid w:val="00770A18"/>
    <w:rsid w:val="00771A17"/>
    <w:rsid w:val="00773AD1"/>
    <w:rsid w:val="007905D7"/>
    <w:rsid w:val="007A05EE"/>
    <w:rsid w:val="007A76D6"/>
    <w:rsid w:val="007B114F"/>
    <w:rsid w:val="007B6422"/>
    <w:rsid w:val="007C1E8E"/>
    <w:rsid w:val="007C45D2"/>
    <w:rsid w:val="007F3128"/>
    <w:rsid w:val="007F59A4"/>
    <w:rsid w:val="007F7A8B"/>
    <w:rsid w:val="00807630"/>
    <w:rsid w:val="0081456A"/>
    <w:rsid w:val="00816210"/>
    <w:rsid w:val="00830E50"/>
    <w:rsid w:val="00856183"/>
    <w:rsid w:val="00864646"/>
    <w:rsid w:val="00867DFA"/>
    <w:rsid w:val="00877CEF"/>
    <w:rsid w:val="008836BD"/>
    <w:rsid w:val="0089162C"/>
    <w:rsid w:val="008A4377"/>
    <w:rsid w:val="008B5244"/>
    <w:rsid w:val="008B623F"/>
    <w:rsid w:val="008C647A"/>
    <w:rsid w:val="008C7956"/>
    <w:rsid w:val="00903157"/>
    <w:rsid w:val="00903D47"/>
    <w:rsid w:val="00912D50"/>
    <w:rsid w:val="009157D7"/>
    <w:rsid w:val="00922450"/>
    <w:rsid w:val="00945C9D"/>
    <w:rsid w:val="0094655E"/>
    <w:rsid w:val="009512BC"/>
    <w:rsid w:val="00955E28"/>
    <w:rsid w:val="009629E7"/>
    <w:rsid w:val="00972DDD"/>
    <w:rsid w:val="0097595B"/>
    <w:rsid w:val="0098376A"/>
    <w:rsid w:val="009845D6"/>
    <w:rsid w:val="009A067F"/>
    <w:rsid w:val="009A231A"/>
    <w:rsid w:val="009A6396"/>
    <w:rsid w:val="009B0201"/>
    <w:rsid w:val="009D21C9"/>
    <w:rsid w:val="009D3473"/>
    <w:rsid w:val="00A037A3"/>
    <w:rsid w:val="00A40B89"/>
    <w:rsid w:val="00A62563"/>
    <w:rsid w:val="00A65413"/>
    <w:rsid w:val="00AC60D9"/>
    <w:rsid w:val="00AE434D"/>
    <w:rsid w:val="00AE4353"/>
    <w:rsid w:val="00AE7541"/>
    <w:rsid w:val="00B061E1"/>
    <w:rsid w:val="00B21BE3"/>
    <w:rsid w:val="00B3653E"/>
    <w:rsid w:val="00B40456"/>
    <w:rsid w:val="00B43036"/>
    <w:rsid w:val="00B77AD1"/>
    <w:rsid w:val="00B8713E"/>
    <w:rsid w:val="00BB20CC"/>
    <w:rsid w:val="00BB3BBA"/>
    <w:rsid w:val="00BC4840"/>
    <w:rsid w:val="00BD1CFD"/>
    <w:rsid w:val="00BE0115"/>
    <w:rsid w:val="00BE1285"/>
    <w:rsid w:val="00BE19DB"/>
    <w:rsid w:val="00C041D5"/>
    <w:rsid w:val="00C15659"/>
    <w:rsid w:val="00C22720"/>
    <w:rsid w:val="00C27882"/>
    <w:rsid w:val="00C454BF"/>
    <w:rsid w:val="00C66AE0"/>
    <w:rsid w:val="00C7748B"/>
    <w:rsid w:val="00C82E4D"/>
    <w:rsid w:val="00C965B4"/>
    <w:rsid w:val="00CA3C77"/>
    <w:rsid w:val="00CB0233"/>
    <w:rsid w:val="00CB64CD"/>
    <w:rsid w:val="00CB7B7C"/>
    <w:rsid w:val="00CC1892"/>
    <w:rsid w:val="00CC50D7"/>
    <w:rsid w:val="00D0572D"/>
    <w:rsid w:val="00D25089"/>
    <w:rsid w:val="00D3691F"/>
    <w:rsid w:val="00D4215D"/>
    <w:rsid w:val="00D434DD"/>
    <w:rsid w:val="00D44D0C"/>
    <w:rsid w:val="00D4523B"/>
    <w:rsid w:val="00D64782"/>
    <w:rsid w:val="00D648A3"/>
    <w:rsid w:val="00D94022"/>
    <w:rsid w:val="00DA0CC8"/>
    <w:rsid w:val="00DD1D2C"/>
    <w:rsid w:val="00E05C4A"/>
    <w:rsid w:val="00E258CF"/>
    <w:rsid w:val="00E40805"/>
    <w:rsid w:val="00E46780"/>
    <w:rsid w:val="00E51D5D"/>
    <w:rsid w:val="00E53641"/>
    <w:rsid w:val="00E671AE"/>
    <w:rsid w:val="00E7749E"/>
    <w:rsid w:val="00E95570"/>
    <w:rsid w:val="00EA56DE"/>
    <w:rsid w:val="00EA6345"/>
    <w:rsid w:val="00EA6EEA"/>
    <w:rsid w:val="00EB15BD"/>
    <w:rsid w:val="00ED1EFB"/>
    <w:rsid w:val="00ED5AB8"/>
    <w:rsid w:val="00F066D3"/>
    <w:rsid w:val="00F1720B"/>
    <w:rsid w:val="00F22836"/>
    <w:rsid w:val="00F239B9"/>
    <w:rsid w:val="00F3534F"/>
    <w:rsid w:val="00F44F9C"/>
    <w:rsid w:val="00F53064"/>
    <w:rsid w:val="00F60D51"/>
    <w:rsid w:val="00F75BF8"/>
    <w:rsid w:val="00F77DD0"/>
    <w:rsid w:val="00F801A5"/>
    <w:rsid w:val="00F83AFF"/>
    <w:rsid w:val="00F84DCF"/>
    <w:rsid w:val="00F85F8E"/>
    <w:rsid w:val="00F917B0"/>
    <w:rsid w:val="00F93659"/>
    <w:rsid w:val="00F975F3"/>
    <w:rsid w:val="00FB5B39"/>
    <w:rsid w:val="00FC0CE4"/>
    <w:rsid w:val="00FD644D"/>
    <w:rsid w:val="00FE77BD"/>
    <w:rsid w:val="00FF16B8"/>
    <w:rsid w:val="00FF6F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E5BE"/>
  <w15:chartTrackingRefBased/>
  <w15:docId w15:val="{22228724-46B1-3840-B6F4-90E7776D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EAD"/>
    <w:pPr>
      <w:ind w:left="720"/>
      <w:contextualSpacing/>
    </w:pPr>
  </w:style>
  <w:style w:type="paragraph" w:styleId="FootnoteText">
    <w:name w:val="footnote text"/>
    <w:basedOn w:val="Normal"/>
    <w:link w:val="FootnoteTextChar"/>
    <w:uiPriority w:val="99"/>
    <w:semiHidden/>
    <w:unhideWhenUsed/>
    <w:rsid w:val="004C1249"/>
    <w:rPr>
      <w:sz w:val="20"/>
      <w:szCs w:val="20"/>
    </w:rPr>
  </w:style>
  <w:style w:type="character" w:customStyle="1" w:styleId="FootnoteTextChar">
    <w:name w:val="Footnote Text Char"/>
    <w:basedOn w:val="DefaultParagraphFont"/>
    <w:link w:val="FootnoteText"/>
    <w:uiPriority w:val="99"/>
    <w:semiHidden/>
    <w:rsid w:val="004C1249"/>
    <w:rPr>
      <w:sz w:val="20"/>
      <w:szCs w:val="20"/>
    </w:rPr>
  </w:style>
  <w:style w:type="character" w:styleId="FootnoteReference">
    <w:name w:val="footnote reference"/>
    <w:basedOn w:val="DefaultParagraphFont"/>
    <w:uiPriority w:val="99"/>
    <w:semiHidden/>
    <w:unhideWhenUsed/>
    <w:rsid w:val="004C1249"/>
    <w:rPr>
      <w:vertAlign w:val="superscript"/>
    </w:rPr>
  </w:style>
  <w:style w:type="character" w:styleId="Hyperlink">
    <w:name w:val="Hyperlink"/>
    <w:basedOn w:val="DefaultParagraphFont"/>
    <w:uiPriority w:val="99"/>
    <w:unhideWhenUsed/>
    <w:rsid w:val="00FF6F13"/>
    <w:rPr>
      <w:color w:val="0563C1" w:themeColor="hyperlink"/>
      <w:u w:val="single"/>
    </w:rPr>
  </w:style>
  <w:style w:type="character" w:styleId="UnresolvedMention">
    <w:name w:val="Unresolved Mention"/>
    <w:basedOn w:val="DefaultParagraphFont"/>
    <w:uiPriority w:val="99"/>
    <w:semiHidden/>
    <w:unhideWhenUsed/>
    <w:rsid w:val="00FF6F13"/>
    <w:rPr>
      <w:color w:val="605E5C"/>
      <w:shd w:val="clear" w:color="auto" w:fill="E1DFDD"/>
    </w:rPr>
  </w:style>
  <w:style w:type="character" w:styleId="FollowedHyperlink">
    <w:name w:val="FollowedHyperlink"/>
    <w:basedOn w:val="DefaultParagraphFont"/>
    <w:uiPriority w:val="99"/>
    <w:semiHidden/>
    <w:unhideWhenUsed/>
    <w:rsid w:val="00FF6F13"/>
    <w:rPr>
      <w:color w:val="954F72" w:themeColor="followedHyperlink"/>
      <w:u w:val="single"/>
    </w:rPr>
  </w:style>
  <w:style w:type="character" w:customStyle="1" w:styleId="media-delimiter">
    <w:name w:val="media-delimiter"/>
    <w:basedOn w:val="DefaultParagraphFont"/>
    <w:rsid w:val="007F7A8B"/>
  </w:style>
  <w:style w:type="paragraph" w:styleId="Footer">
    <w:name w:val="footer"/>
    <w:basedOn w:val="Normal"/>
    <w:link w:val="FooterChar"/>
    <w:uiPriority w:val="99"/>
    <w:unhideWhenUsed/>
    <w:rsid w:val="00E51D5D"/>
    <w:pPr>
      <w:tabs>
        <w:tab w:val="center" w:pos="4513"/>
        <w:tab w:val="right" w:pos="9026"/>
      </w:tabs>
    </w:pPr>
  </w:style>
  <w:style w:type="character" w:customStyle="1" w:styleId="FooterChar">
    <w:name w:val="Footer Char"/>
    <w:basedOn w:val="DefaultParagraphFont"/>
    <w:link w:val="Footer"/>
    <w:uiPriority w:val="99"/>
    <w:rsid w:val="00E51D5D"/>
  </w:style>
  <w:style w:type="character" w:styleId="PageNumber">
    <w:name w:val="page number"/>
    <w:basedOn w:val="DefaultParagraphFont"/>
    <w:uiPriority w:val="99"/>
    <w:semiHidden/>
    <w:unhideWhenUsed/>
    <w:rsid w:val="00E51D5D"/>
  </w:style>
  <w:style w:type="paragraph" w:styleId="NormalWeb">
    <w:name w:val="Normal (Web)"/>
    <w:basedOn w:val="Normal"/>
    <w:uiPriority w:val="99"/>
    <w:unhideWhenUsed/>
    <w:rsid w:val="00F85F8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ource">
    <w:name w:val="source"/>
    <w:basedOn w:val="DefaultParagraphFont"/>
    <w:rsid w:val="002B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2950">
      <w:bodyDiv w:val="1"/>
      <w:marLeft w:val="0"/>
      <w:marRight w:val="0"/>
      <w:marTop w:val="0"/>
      <w:marBottom w:val="0"/>
      <w:divBdr>
        <w:top w:val="none" w:sz="0" w:space="0" w:color="auto"/>
        <w:left w:val="none" w:sz="0" w:space="0" w:color="auto"/>
        <w:bottom w:val="none" w:sz="0" w:space="0" w:color="auto"/>
        <w:right w:val="none" w:sz="0" w:space="0" w:color="auto"/>
      </w:divBdr>
      <w:divsChild>
        <w:div w:id="1438714424">
          <w:marLeft w:val="0"/>
          <w:marRight w:val="0"/>
          <w:marTop w:val="0"/>
          <w:marBottom w:val="0"/>
          <w:divBdr>
            <w:top w:val="none" w:sz="0" w:space="0" w:color="auto"/>
            <w:left w:val="none" w:sz="0" w:space="0" w:color="auto"/>
            <w:bottom w:val="none" w:sz="0" w:space="0" w:color="auto"/>
            <w:right w:val="none" w:sz="0" w:space="0" w:color="auto"/>
          </w:divBdr>
          <w:divsChild>
            <w:div w:id="1616407165">
              <w:marLeft w:val="0"/>
              <w:marRight w:val="0"/>
              <w:marTop w:val="0"/>
              <w:marBottom w:val="0"/>
              <w:divBdr>
                <w:top w:val="none" w:sz="0" w:space="0" w:color="auto"/>
                <w:left w:val="none" w:sz="0" w:space="0" w:color="auto"/>
                <w:bottom w:val="none" w:sz="0" w:space="0" w:color="auto"/>
                <w:right w:val="none" w:sz="0" w:space="0" w:color="auto"/>
              </w:divBdr>
              <w:divsChild>
                <w:div w:id="2495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8717">
      <w:bodyDiv w:val="1"/>
      <w:marLeft w:val="0"/>
      <w:marRight w:val="0"/>
      <w:marTop w:val="0"/>
      <w:marBottom w:val="0"/>
      <w:divBdr>
        <w:top w:val="none" w:sz="0" w:space="0" w:color="auto"/>
        <w:left w:val="none" w:sz="0" w:space="0" w:color="auto"/>
        <w:bottom w:val="none" w:sz="0" w:space="0" w:color="auto"/>
        <w:right w:val="none" w:sz="0" w:space="0" w:color="auto"/>
      </w:divBdr>
    </w:div>
    <w:div w:id="615790479">
      <w:bodyDiv w:val="1"/>
      <w:marLeft w:val="0"/>
      <w:marRight w:val="0"/>
      <w:marTop w:val="0"/>
      <w:marBottom w:val="0"/>
      <w:divBdr>
        <w:top w:val="none" w:sz="0" w:space="0" w:color="auto"/>
        <w:left w:val="none" w:sz="0" w:space="0" w:color="auto"/>
        <w:bottom w:val="none" w:sz="0" w:space="0" w:color="auto"/>
        <w:right w:val="none" w:sz="0" w:space="0" w:color="auto"/>
      </w:divBdr>
      <w:divsChild>
        <w:div w:id="941062664">
          <w:marLeft w:val="0"/>
          <w:marRight w:val="0"/>
          <w:marTop w:val="0"/>
          <w:marBottom w:val="0"/>
          <w:divBdr>
            <w:top w:val="none" w:sz="0" w:space="0" w:color="auto"/>
            <w:left w:val="none" w:sz="0" w:space="0" w:color="auto"/>
            <w:bottom w:val="none" w:sz="0" w:space="0" w:color="auto"/>
            <w:right w:val="none" w:sz="0" w:space="0" w:color="auto"/>
          </w:divBdr>
          <w:divsChild>
            <w:div w:id="765731090">
              <w:marLeft w:val="0"/>
              <w:marRight w:val="0"/>
              <w:marTop w:val="0"/>
              <w:marBottom w:val="0"/>
              <w:divBdr>
                <w:top w:val="none" w:sz="0" w:space="0" w:color="auto"/>
                <w:left w:val="none" w:sz="0" w:space="0" w:color="auto"/>
                <w:bottom w:val="none" w:sz="0" w:space="0" w:color="auto"/>
                <w:right w:val="none" w:sz="0" w:space="0" w:color="auto"/>
              </w:divBdr>
              <w:divsChild>
                <w:div w:id="9132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2980">
      <w:bodyDiv w:val="1"/>
      <w:marLeft w:val="0"/>
      <w:marRight w:val="0"/>
      <w:marTop w:val="0"/>
      <w:marBottom w:val="0"/>
      <w:divBdr>
        <w:top w:val="none" w:sz="0" w:space="0" w:color="auto"/>
        <w:left w:val="none" w:sz="0" w:space="0" w:color="auto"/>
        <w:bottom w:val="none" w:sz="0" w:space="0" w:color="auto"/>
        <w:right w:val="none" w:sz="0" w:space="0" w:color="auto"/>
      </w:divBdr>
      <w:divsChild>
        <w:div w:id="2104954996">
          <w:marLeft w:val="0"/>
          <w:marRight w:val="0"/>
          <w:marTop w:val="0"/>
          <w:marBottom w:val="0"/>
          <w:divBdr>
            <w:top w:val="none" w:sz="0" w:space="0" w:color="auto"/>
            <w:left w:val="none" w:sz="0" w:space="0" w:color="auto"/>
            <w:bottom w:val="none" w:sz="0" w:space="0" w:color="auto"/>
            <w:right w:val="none" w:sz="0" w:space="0" w:color="auto"/>
          </w:divBdr>
          <w:divsChild>
            <w:div w:id="180361374">
              <w:marLeft w:val="0"/>
              <w:marRight w:val="0"/>
              <w:marTop w:val="0"/>
              <w:marBottom w:val="0"/>
              <w:divBdr>
                <w:top w:val="none" w:sz="0" w:space="0" w:color="auto"/>
                <w:left w:val="none" w:sz="0" w:space="0" w:color="auto"/>
                <w:bottom w:val="none" w:sz="0" w:space="0" w:color="auto"/>
                <w:right w:val="none" w:sz="0" w:space="0" w:color="auto"/>
              </w:divBdr>
              <w:divsChild>
                <w:div w:id="1520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2762">
      <w:bodyDiv w:val="1"/>
      <w:marLeft w:val="0"/>
      <w:marRight w:val="0"/>
      <w:marTop w:val="0"/>
      <w:marBottom w:val="0"/>
      <w:divBdr>
        <w:top w:val="none" w:sz="0" w:space="0" w:color="auto"/>
        <w:left w:val="none" w:sz="0" w:space="0" w:color="auto"/>
        <w:bottom w:val="none" w:sz="0" w:space="0" w:color="auto"/>
        <w:right w:val="none" w:sz="0" w:space="0" w:color="auto"/>
      </w:divBdr>
    </w:div>
    <w:div w:id="861473098">
      <w:bodyDiv w:val="1"/>
      <w:marLeft w:val="0"/>
      <w:marRight w:val="0"/>
      <w:marTop w:val="0"/>
      <w:marBottom w:val="0"/>
      <w:divBdr>
        <w:top w:val="none" w:sz="0" w:space="0" w:color="auto"/>
        <w:left w:val="none" w:sz="0" w:space="0" w:color="auto"/>
        <w:bottom w:val="none" w:sz="0" w:space="0" w:color="auto"/>
        <w:right w:val="none" w:sz="0" w:space="0" w:color="auto"/>
      </w:divBdr>
      <w:divsChild>
        <w:div w:id="1593389101">
          <w:marLeft w:val="0"/>
          <w:marRight w:val="0"/>
          <w:marTop w:val="0"/>
          <w:marBottom w:val="0"/>
          <w:divBdr>
            <w:top w:val="none" w:sz="0" w:space="0" w:color="auto"/>
            <w:left w:val="none" w:sz="0" w:space="0" w:color="auto"/>
            <w:bottom w:val="none" w:sz="0" w:space="0" w:color="auto"/>
            <w:right w:val="none" w:sz="0" w:space="0" w:color="auto"/>
          </w:divBdr>
          <w:divsChild>
            <w:div w:id="2003308541">
              <w:marLeft w:val="0"/>
              <w:marRight w:val="0"/>
              <w:marTop w:val="0"/>
              <w:marBottom w:val="0"/>
              <w:divBdr>
                <w:top w:val="none" w:sz="0" w:space="0" w:color="auto"/>
                <w:left w:val="none" w:sz="0" w:space="0" w:color="auto"/>
                <w:bottom w:val="none" w:sz="0" w:space="0" w:color="auto"/>
                <w:right w:val="none" w:sz="0" w:space="0" w:color="auto"/>
              </w:divBdr>
              <w:divsChild>
                <w:div w:id="8549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5945">
      <w:bodyDiv w:val="1"/>
      <w:marLeft w:val="0"/>
      <w:marRight w:val="0"/>
      <w:marTop w:val="0"/>
      <w:marBottom w:val="0"/>
      <w:divBdr>
        <w:top w:val="none" w:sz="0" w:space="0" w:color="auto"/>
        <w:left w:val="none" w:sz="0" w:space="0" w:color="auto"/>
        <w:bottom w:val="none" w:sz="0" w:space="0" w:color="auto"/>
        <w:right w:val="none" w:sz="0" w:space="0" w:color="auto"/>
      </w:divBdr>
      <w:divsChild>
        <w:div w:id="1987542790">
          <w:marLeft w:val="0"/>
          <w:marRight w:val="0"/>
          <w:marTop w:val="0"/>
          <w:marBottom w:val="0"/>
          <w:divBdr>
            <w:top w:val="none" w:sz="0" w:space="0" w:color="auto"/>
            <w:left w:val="none" w:sz="0" w:space="0" w:color="auto"/>
            <w:bottom w:val="none" w:sz="0" w:space="0" w:color="auto"/>
            <w:right w:val="none" w:sz="0" w:space="0" w:color="auto"/>
          </w:divBdr>
          <w:divsChild>
            <w:div w:id="1013268257">
              <w:marLeft w:val="0"/>
              <w:marRight w:val="0"/>
              <w:marTop w:val="0"/>
              <w:marBottom w:val="0"/>
              <w:divBdr>
                <w:top w:val="none" w:sz="0" w:space="0" w:color="auto"/>
                <w:left w:val="none" w:sz="0" w:space="0" w:color="auto"/>
                <w:bottom w:val="none" w:sz="0" w:space="0" w:color="auto"/>
                <w:right w:val="none" w:sz="0" w:space="0" w:color="auto"/>
              </w:divBdr>
              <w:divsChild>
                <w:div w:id="704449785">
                  <w:marLeft w:val="0"/>
                  <w:marRight w:val="0"/>
                  <w:marTop w:val="0"/>
                  <w:marBottom w:val="0"/>
                  <w:divBdr>
                    <w:top w:val="none" w:sz="0" w:space="0" w:color="auto"/>
                    <w:left w:val="none" w:sz="0" w:space="0" w:color="auto"/>
                    <w:bottom w:val="none" w:sz="0" w:space="0" w:color="auto"/>
                    <w:right w:val="none" w:sz="0" w:space="0" w:color="auto"/>
                  </w:divBdr>
                  <w:divsChild>
                    <w:div w:id="12915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17135">
      <w:bodyDiv w:val="1"/>
      <w:marLeft w:val="0"/>
      <w:marRight w:val="0"/>
      <w:marTop w:val="0"/>
      <w:marBottom w:val="0"/>
      <w:divBdr>
        <w:top w:val="none" w:sz="0" w:space="0" w:color="auto"/>
        <w:left w:val="none" w:sz="0" w:space="0" w:color="auto"/>
        <w:bottom w:val="none" w:sz="0" w:space="0" w:color="auto"/>
        <w:right w:val="none" w:sz="0" w:space="0" w:color="auto"/>
      </w:divBdr>
    </w:div>
    <w:div w:id="1114638639">
      <w:bodyDiv w:val="1"/>
      <w:marLeft w:val="0"/>
      <w:marRight w:val="0"/>
      <w:marTop w:val="0"/>
      <w:marBottom w:val="0"/>
      <w:divBdr>
        <w:top w:val="none" w:sz="0" w:space="0" w:color="auto"/>
        <w:left w:val="none" w:sz="0" w:space="0" w:color="auto"/>
        <w:bottom w:val="none" w:sz="0" w:space="0" w:color="auto"/>
        <w:right w:val="none" w:sz="0" w:space="0" w:color="auto"/>
      </w:divBdr>
      <w:divsChild>
        <w:div w:id="1477378817">
          <w:marLeft w:val="0"/>
          <w:marRight w:val="0"/>
          <w:marTop w:val="0"/>
          <w:marBottom w:val="0"/>
          <w:divBdr>
            <w:top w:val="none" w:sz="0" w:space="0" w:color="auto"/>
            <w:left w:val="none" w:sz="0" w:space="0" w:color="auto"/>
            <w:bottom w:val="none" w:sz="0" w:space="0" w:color="auto"/>
            <w:right w:val="none" w:sz="0" w:space="0" w:color="auto"/>
          </w:divBdr>
          <w:divsChild>
            <w:div w:id="533660181">
              <w:marLeft w:val="0"/>
              <w:marRight w:val="0"/>
              <w:marTop w:val="0"/>
              <w:marBottom w:val="0"/>
              <w:divBdr>
                <w:top w:val="none" w:sz="0" w:space="0" w:color="auto"/>
                <w:left w:val="none" w:sz="0" w:space="0" w:color="auto"/>
                <w:bottom w:val="none" w:sz="0" w:space="0" w:color="auto"/>
                <w:right w:val="none" w:sz="0" w:space="0" w:color="auto"/>
              </w:divBdr>
              <w:divsChild>
                <w:div w:id="4718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0236">
      <w:bodyDiv w:val="1"/>
      <w:marLeft w:val="0"/>
      <w:marRight w:val="0"/>
      <w:marTop w:val="0"/>
      <w:marBottom w:val="0"/>
      <w:divBdr>
        <w:top w:val="none" w:sz="0" w:space="0" w:color="auto"/>
        <w:left w:val="none" w:sz="0" w:space="0" w:color="auto"/>
        <w:bottom w:val="none" w:sz="0" w:space="0" w:color="auto"/>
        <w:right w:val="none" w:sz="0" w:space="0" w:color="auto"/>
      </w:divBdr>
      <w:divsChild>
        <w:div w:id="111438290">
          <w:marLeft w:val="0"/>
          <w:marRight w:val="0"/>
          <w:marTop w:val="0"/>
          <w:marBottom w:val="0"/>
          <w:divBdr>
            <w:top w:val="none" w:sz="0" w:space="0" w:color="auto"/>
            <w:left w:val="none" w:sz="0" w:space="0" w:color="auto"/>
            <w:bottom w:val="none" w:sz="0" w:space="0" w:color="auto"/>
            <w:right w:val="none" w:sz="0" w:space="0" w:color="auto"/>
          </w:divBdr>
          <w:divsChild>
            <w:div w:id="333267045">
              <w:marLeft w:val="0"/>
              <w:marRight w:val="0"/>
              <w:marTop w:val="0"/>
              <w:marBottom w:val="0"/>
              <w:divBdr>
                <w:top w:val="none" w:sz="0" w:space="0" w:color="auto"/>
                <w:left w:val="none" w:sz="0" w:space="0" w:color="auto"/>
                <w:bottom w:val="none" w:sz="0" w:space="0" w:color="auto"/>
                <w:right w:val="none" w:sz="0" w:space="0" w:color="auto"/>
              </w:divBdr>
              <w:divsChild>
                <w:div w:id="5042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0191">
      <w:bodyDiv w:val="1"/>
      <w:marLeft w:val="0"/>
      <w:marRight w:val="0"/>
      <w:marTop w:val="0"/>
      <w:marBottom w:val="0"/>
      <w:divBdr>
        <w:top w:val="none" w:sz="0" w:space="0" w:color="auto"/>
        <w:left w:val="none" w:sz="0" w:space="0" w:color="auto"/>
        <w:bottom w:val="none" w:sz="0" w:space="0" w:color="auto"/>
        <w:right w:val="none" w:sz="0" w:space="0" w:color="auto"/>
      </w:divBdr>
      <w:divsChild>
        <w:div w:id="1046418486">
          <w:marLeft w:val="0"/>
          <w:marRight w:val="0"/>
          <w:marTop w:val="0"/>
          <w:marBottom w:val="0"/>
          <w:divBdr>
            <w:top w:val="none" w:sz="0" w:space="0" w:color="auto"/>
            <w:left w:val="none" w:sz="0" w:space="0" w:color="auto"/>
            <w:bottom w:val="none" w:sz="0" w:space="0" w:color="auto"/>
            <w:right w:val="none" w:sz="0" w:space="0" w:color="auto"/>
          </w:divBdr>
          <w:divsChild>
            <w:div w:id="393242396">
              <w:marLeft w:val="0"/>
              <w:marRight w:val="0"/>
              <w:marTop w:val="0"/>
              <w:marBottom w:val="0"/>
              <w:divBdr>
                <w:top w:val="none" w:sz="0" w:space="0" w:color="auto"/>
                <w:left w:val="none" w:sz="0" w:space="0" w:color="auto"/>
                <w:bottom w:val="none" w:sz="0" w:space="0" w:color="auto"/>
                <w:right w:val="none" w:sz="0" w:space="0" w:color="auto"/>
              </w:divBdr>
              <w:divsChild>
                <w:div w:id="17092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31">
      <w:bodyDiv w:val="1"/>
      <w:marLeft w:val="0"/>
      <w:marRight w:val="0"/>
      <w:marTop w:val="0"/>
      <w:marBottom w:val="0"/>
      <w:divBdr>
        <w:top w:val="none" w:sz="0" w:space="0" w:color="auto"/>
        <w:left w:val="none" w:sz="0" w:space="0" w:color="auto"/>
        <w:bottom w:val="none" w:sz="0" w:space="0" w:color="auto"/>
        <w:right w:val="none" w:sz="0" w:space="0" w:color="auto"/>
      </w:divBdr>
      <w:divsChild>
        <w:div w:id="1308050535">
          <w:marLeft w:val="0"/>
          <w:marRight w:val="0"/>
          <w:marTop w:val="0"/>
          <w:marBottom w:val="0"/>
          <w:divBdr>
            <w:top w:val="none" w:sz="0" w:space="0" w:color="auto"/>
            <w:left w:val="none" w:sz="0" w:space="0" w:color="auto"/>
            <w:bottom w:val="none" w:sz="0" w:space="0" w:color="auto"/>
            <w:right w:val="none" w:sz="0" w:space="0" w:color="auto"/>
          </w:divBdr>
          <w:divsChild>
            <w:div w:id="167213760">
              <w:marLeft w:val="0"/>
              <w:marRight w:val="0"/>
              <w:marTop w:val="0"/>
              <w:marBottom w:val="0"/>
              <w:divBdr>
                <w:top w:val="none" w:sz="0" w:space="0" w:color="auto"/>
                <w:left w:val="none" w:sz="0" w:space="0" w:color="auto"/>
                <w:bottom w:val="none" w:sz="0" w:space="0" w:color="auto"/>
                <w:right w:val="none" w:sz="0" w:space="0" w:color="auto"/>
              </w:divBdr>
              <w:divsChild>
                <w:div w:id="16103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14630">
          <w:marLeft w:val="0"/>
          <w:marRight w:val="0"/>
          <w:marTop w:val="0"/>
          <w:marBottom w:val="0"/>
          <w:divBdr>
            <w:top w:val="none" w:sz="0" w:space="0" w:color="auto"/>
            <w:left w:val="none" w:sz="0" w:space="0" w:color="auto"/>
            <w:bottom w:val="none" w:sz="0" w:space="0" w:color="auto"/>
            <w:right w:val="none" w:sz="0" w:space="0" w:color="auto"/>
          </w:divBdr>
          <w:divsChild>
            <w:div w:id="1501384061">
              <w:marLeft w:val="0"/>
              <w:marRight w:val="0"/>
              <w:marTop w:val="0"/>
              <w:marBottom w:val="0"/>
              <w:divBdr>
                <w:top w:val="none" w:sz="0" w:space="0" w:color="auto"/>
                <w:left w:val="none" w:sz="0" w:space="0" w:color="auto"/>
                <w:bottom w:val="none" w:sz="0" w:space="0" w:color="auto"/>
                <w:right w:val="none" w:sz="0" w:space="0" w:color="auto"/>
              </w:divBdr>
              <w:divsChild>
                <w:div w:id="9091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18147">
      <w:bodyDiv w:val="1"/>
      <w:marLeft w:val="0"/>
      <w:marRight w:val="0"/>
      <w:marTop w:val="0"/>
      <w:marBottom w:val="0"/>
      <w:divBdr>
        <w:top w:val="none" w:sz="0" w:space="0" w:color="auto"/>
        <w:left w:val="none" w:sz="0" w:space="0" w:color="auto"/>
        <w:bottom w:val="none" w:sz="0" w:space="0" w:color="auto"/>
        <w:right w:val="none" w:sz="0" w:space="0" w:color="auto"/>
      </w:divBdr>
      <w:divsChild>
        <w:div w:id="1074665278">
          <w:marLeft w:val="0"/>
          <w:marRight w:val="0"/>
          <w:marTop w:val="0"/>
          <w:marBottom w:val="0"/>
          <w:divBdr>
            <w:top w:val="none" w:sz="0" w:space="0" w:color="auto"/>
            <w:left w:val="none" w:sz="0" w:space="0" w:color="auto"/>
            <w:bottom w:val="none" w:sz="0" w:space="0" w:color="auto"/>
            <w:right w:val="none" w:sz="0" w:space="0" w:color="auto"/>
          </w:divBdr>
        </w:div>
        <w:div w:id="677461759">
          <w:marLeft w:val="0"/>
          <w:marRight w:val="0"/>
          <w:marTop w:val="0"/>
          <w:marBottom w:val="0"/>
          <w:divBdr>
            <w:top w:val="none" w:sz="0" w:space="0" w:color="auto"/>
            <w:left w:val="none" w:sz="0" w:space="0" w:color="auto"/>
            <w:bottom w:val="none" w:sz="0" w:space="0" w:color="auto"/>
            <w:right w:val="none" w:sz="0" w:space="0" w:color="auto"/>
          </w:divBdr>
        </w:div>
      </w:divsChild>
    </w:div>
    <w:div w:id="1904441376">
      <w:bodyDiv w:val="1"/>
      <w:marLeft w:val="0"/>
      <w:marRight w:val="0"/>
      <w:marTop w:val="0"/>
      <w:marBottom w:val="0"/>
      <w:divBdr>
        <w:top w:val="none" w:sz="0" w:space="0" w:color="auto"/>
        <w:left w:val="none" w:sz="0" w:space="0" w:color="auto"/>
        <w:bottom w:val="none" w:sz="0" w:space="0" w:color="auto"/>
        <w:right w:val="none" w:sz="0" w:space="0" w:color="auto"/>
      </w:divBdr>
      <w:divsChild>
        <w:div w:id="941763927">
          <w:marLeft w:val="0"/>
          <w:marRight w:val="0"/>
          <w:marTop w:val="0"/>
          <w:marBottom w:val="0"/>
          <w:divBdr>
            <w:top w:val="none" w:sz="0" w:space="0" w:color="auto"/>
            <w:left w:val="none" w:sz="0" w:space="0" w:color="auto"/>
            <w:bottom w:val="none" w:sz="0" w:space="0" w:color="auto"/>
            <w:right w:val="none" w:sz="0" w:space="0" w:color="auto"/>
          </w:divBdr>
          <w:divsChild>
            <w:div w:id="1563786240">
              <w:marLeft w:val="0"/>
              <w:marRight w:val="0"/>
              <w:marTop w:val="0"/>
              <w:marBottom w:val="0"/>
              <w:divBdr>
                <w:top w:val="none" w:sz="0" w:space="0" w:color="auto"/>
                <w:left w:val="none" w:sz="0" w:space="0" w:color="auto"/>
                <w:bottom w:val="none" w:sz="0" w:space="0" w:color="auto"/>
                <w:right w:val="none" w:sz="0" w:space="0" w:color="auto"/>
              </w:divBdr>
              <w:divsChild>
                <w:div w:id="14221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4091">
      <w:bodyDiv w:val="1"/>
      <w:marLeft w:val="0"/>
      <w:marRight w:val="0"/>
      <w:marTop w:val="0"/>
      <w:marBottom w:val="0"/>
      <w:divBdr>
        <w:top w:val="none" w:sz="0" w:space="0" w:color="auto"/>
        <w:left w:val="none" w:sz="0" w:space="0" w:color="auto"/>
        <w:bottom w:val="none" w:sz="0" w:space="0" w:color="auto"/>
        <w:right w:val="none" w:sz="0" w:space="0" w:color="auto"/>
      </w:divBdr>
      <w:divsChild>
        <w:div w:id="639116307">
          <w:marLeft w:val="0"/>
          <w:marRight w:val="0"/>
          <w:marTop w:val="0"/>
          <w:marBottom w:val="0"/>
          <w:divBdr>
            <w:top w:val="none" w:sz="0" w:space="0" w:color="auto"/>
            <w:left w:val="none" w:sz="0" w:space="0" w:color="auto"/>
            <w:bottom w:val="none" w:sz="0" w:space="0" w:color="auto"/>
            <w:right w:val="none" w:sz="0" w:space="0" w:color="auto"/>
          </w:divBdr>
        </w:div>
      </w:divsChild>
    </w:div>
    <w:div w:id="2083067336">
      <w:bodyDiv w:val="1"/>
      <w:marLeft w:val="0"/>
      <w:marRight w:val="0"/>
      <w:marTop w:val="0"/>
      <w:marBottom w:val="0"/>
      <w:divBdr>
        <w:top w:val="none" w:sz="0" w:space="0" w:color="auto"/>
        <w:left w:val="none" w:sz="0" w:space="0" w:color="auto"/>
        <w:bottom w:val="none" w:sz="0" w:space="0" w:color="auto"/>
        <w:right w:val="none" w:sz="0" w:space="0" w:color="auto"/>
      </w:divBdr>
      <w:divsChild>
        <w:div w:id="337006744">
          <w:marLeft w:val="0"/>
          <w:marRight w:val="0"/>
          <w:marTop w:val="0"/>
          <w:marBottom w:val="0"/>
          <w:divBdr>
            <w:top w:val="none" w:sz="0" w:space="0" w:color="auto"/>
            <w:left w:val="none" w:sz="0" w:space="0" w:color="auto"/>
            <w:bottom w:val="none" w:sz="0" w:space="0" w:color="auto"/>
            <w:right w:val="none" w:sz="0" w:space="0" w:color="auto"/>
          </w:divBdr>
          <w:divsChild>
            <w:div w:id="885682725">
              <w:marLeft w:val="0"/>
              <w:marRight w:val="0"/>
              <w:marTop w:val="0"/>
              <w:marBottom w:val="0"/>
              <w:divBdr>
                <w:top w:val="none" w:sz="0" w:space="0" w:color="auto"/>
                <w:left w:val="none" w:sz="0" w:space="0" w:color="auto"/>
                <w:bottom w:val="none" w:sz="0" w:space="0" w:color="auto"/>
                <w:right w:val="none" w:sz="0" w:space="0" w:color="auto"/>
              </w:divBdr>
              <w:divsChild>
                <w:div w:id="19696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5922">
      <w:bodyDiv w:val="1"/>
      <w:marLeft w:val="0"/>
      <w:marRight w:val="0"/>
      <w:marTop w:val="0"/>
      <w:marBottom w:val="0"/>
      <w:divBdr>
        <w:top w:val="none" w:sz="0" w:space="0" w:color="auto"/>
        <w:left w:val="none" w:sz="0" w:space="0" w:color="auto"/>
        <w:bottom w:val="none" w:sz="0" w:space="0" w:color="auto"/>
        <w:right w:val="none" w:sz="0" w:space="0" w:color="auto"/>
      </w:divBdr>
      <w:divsChild>
        <w:div w:id="1158570324">
          <w:marLeft w:val="0"/>
          <w:marRight w:val="0"/>
          <w:marTop w:val="0"/>
          <w:marBottom w:val="0"/>
          <w:divBdr>
            <w:top w:val="none" w:sz="0" w:space="0" w:color="auto"/>
            <w:left w:val="none" w:sz="0" w:space="0" w:color="auto"/>
            <w:bottom w:val="none" w:sz="0" w:space="0" w:color="auto"/>
            <w:right w:val="none" w:sz="0" w:space="0" w:color="auto"/>
          </w:divBdr>
          <w:divsChild>
            <w:div w:id="406147149">
              <w:marLeft w:val="0"/>
              <w:marRight w:val="0"/>
              <w:marTop w:val="0"/>
              <w:marBottom w:val="0"/>
              <w:divBdr>
                <w:top w:val="none" w:sz="0" w:space="0" w:color="auto"/>
                <w:left w:val="none" w:sz="0" w:space="0" w:color="auto"/>
                <w:bottom w:val="none" w:sz="0" w:space="0" w:color="auto"/>
                <w:right w:val="none" w:sz="0" w:space="0" w:color="auto"/>
              </w:divBdr>
              <w:divsChild>
                <w:div w:id="1086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dDWvj2e08YodXAWd5zdmBKP3j-kxt1Uj/view" TargetMode="External"/><Relationship Id="rId2" Type="http://schemas.openxmlformats.org/officeDocument/2006/relationships/hyperlink" Target="https://childcarepolicy.net/new-zealands-funding-system-for-early-childhood-education-and-care-services/" TargetMode="External"/><Relationship Id="rId1" Type="http://schemas.openxmlformats.org/officeDocument/2006/relationships/hyperlink" Target="https://childcarepolicy.net/cost-controls-and-supply-side-funding-what-does-quebec-do/" TargetMode="External"/><Relationship Id="rId5" Type="http://schemas.openxmlformats.org/officeDocument/2006/relationships/hyperlink" Target="https://policyoptions.irpp.org/magazines/february-2021/what-is-the-quebec-model-of-early-learning-and-child-care/" TargetMode="External"/><Relationship Id="rId4" Type="http://schemas.openxmlformats.org/officeDocument/2006/relationships/hyperlink" Target="https://www.oise.utoronto.ca/home/sites/default/files/2024-02/impact-of-quebec-s-universal-low-fee-childcare-program-on-female-labour-force-particip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MPWT-2140667901-60267</_dlc_DocId>
    <_dlc_DocIdUrl xmlns="20393cdf-440a-4521-8f19-00ba43423d00">
      <Url>https://pcgov.sharepoint.com/sites/sceteam/_layouts/15/DocIdRedir.aspx?ID=MPWT-2140667901-60267</Url>
      <Description>MPWT-2140667901-60267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8C3FE-ACD3-44EF-BF25-3D5A592D7946}">
  <ds:schemaRefs>
    <ds:schemaRef ds:uri="http://schemas.microsoft.com/sharepoint/events"/>
  </ds:schemaRefs>
</ds:datastoreItem>
</file>

<file path=customXml/itemProps2.xml><?xml version="1.0" encoding="utf-8"?>
<ds:datastoreItem xmlns:ds="http://schemas.openxmlformats.org/officeDocument/2006/customXml" ds:itemID="{4E6F10D1-4E9A-4510-A16A-47885936F4DF}">
  <ds:schemaRefs>
    <ds:schemaRef ds:uri="20393cdf-440a-4521-8f19-00ba43423d00"/>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3d385984-9344-419b-a80b-49c06a2bdab8"/>
    <ds:schemaRef ds:uri="http://www.w3.org/XML/1998/namespace"/>
  </ds:schemaRefs>
</ds:datastoreItem>
</file>

<file path=customXml/itemProps3.xml><?xml version="1.0" encoding="utf-8"?>
<ds:datastoreItem xmlns:ds="http://schemas.openxmlformats.org/officeDocument/2006/customXml" ds:itemID="{4D78AB34-4011-400D-AD40-565970E0E469}">
  <ds:schemaRefs>
    <ds:schemaRef ds:uri="http://schemas.microsoft.com/sharepoint/v3/contenttype/forms"/>
  </ds:schemaRefs>
</ds:datastoreItem>
</file>

<file path=customXml/itemProps4.xml><?xml version="1.0" encoding="utf-8"?>
<ds:datastoreItem xmlns:ds="http://schemas.openxmlformats.org/officeDocument/2006/customXml" ds:itemID="{5B42CE69-FE76-477F-99C1-E47AD666C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Submission 278 - Gordon Cleveland - Early Childhood Education and Care - Public inquiry</vt:lpstr>
    </vt:vector>
  </TitlesOfParts>
  <Company>Gordon Cleveland</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278 - Gordon Cleveland - Early Childhood Education and Care - Public inquiry</dc:title>
  <dc:subject/>
  <dc:creator>Gordon Cleveland</dc:creator>
  <cp:keywords/>
  <dc:description/>
  <cp:lastModifiedBy>Chris Alston</cp:lastModifiedBy>
  <cp:revision>3</cp:revision>
  <dcterms:created xsi:type="dcterms:W3CDTF">2024-02-22T03:16:00Z</dcterms:created>
  <dcterms:modified xsi:type="dcterms:W3CDTF">2024-02-22T04:43:00Z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beeb2aa9-2331-4251-9213-d828bf4f2693</vt:lpwstr>
  </property>
</Properties>
</file>