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4421D" w14:textId="30E61831" w:rsidR="001F5326" w:rsidRDefault="001F5326" w:rsidP="009578CB"/>
    <w:p w14:paraId="063ACB99" w14:textId="18A15E1D" w:rsidR="00215C75" w:rsidRDefault="00215C75" w:rsidP="009578CB"/>
    <w:p w14:paraId="01A4347D" w14:textId="54397C1F" w:rsidR="00215C75" w:rsidRDefault="00215C75" w:rsidP="009578CB"/>
    <w:p w14:paraId="3C5B925F" w14:textId="77777777" w:rsidR="00215C75" w:rsidRDefault="00215C75" w:rsidP="009578CB"/>
    <w:p w14:paraId="6B48334D" w14:textId="77777777" w:rsidR="00215C75" w:rsidRDefault="00215C75" w:rsidP="00215C75">
      <w:pPr>
        <w:pStyle w:val="ISACoverPageLine"/>
        <w:pBdr>
          <w:top w:val="single" w:sz="6" w:space="1" w:color="FFFEFF"/>
        </w:pBdr>
        <w:ind w:right="-588"/>
      </w:pPr>
    </w:p>
    <w:p w14:paraId="4BE51393" w14:textId="68014B61" w:rsidR="00215C75" w:rsidRPr="00EF0F09" w:rsidRDefault="00992BC9" w:rsidP="00215C75">
      <w:pPr>
        <w:pStyle w:val="DocTitle"/>
        <w:spacing w:before="0"/>
        <w:jc w:val="left"/>
      </w:pPr>
      <w:r>
        <w:rPr>
          <w:bCs/>
        </w:rPr>
        <w:t xml:space="preserve">The </w:t>
      </w:r>
      <w:r w:rsidR="009A59EA" w:rsidRPr="009A59EA">
        <w:rPr>
          <w:bCs/>
        </w:rPr>
        <w:t>Productivity Commission</w:t>
      </w:r>
      <w:r w:rsidR="00551902">
        <w:rPr>
          <w:bCs/>
        </w:rPr>
        <w:t xml:space="preserve"> </w:t>
      </w:r>
      <w:r w:rsidR="009A59EA" w:rsidRPr="009A59EA">
        <w:rPr>
          <w:bCs/>
        </w:rPr>
        <w:t xml:space="preserve">draft report into Philanthropy – </w:t>
      </w:r>
      <w:r w:rsidR="009A59EA" w:rsidRPr="009A59EA">
        <w:rPr>
          <w:bCs/>
          <w:i/>
          <w:iCs/>
        </w:rPr>
        <w:t>Future Foundations for Giving</w:t>
      </w:r>
    </w:p>
    <w:p w14:paraId="08495ABE" w14:textId="3908777F" w:rsidR="00CA6CB1" w:rsidRDefault="00CA6CB1" w:rsidP="00CA6CB1">
      <w:pPr>
        <w:pStyle w:val="DocTitleDetail"/>
      </w:pPr>
      <w:r>
        <w:t xml:space="preserve">independent schools </w:t>
      </w:r>
      <w:r w:rsidR="00824972">
        <w:t>Australia</w:t>
      </w:r>
      <w:r>
        <w:t xml:space="preserve"> submission</w:t>
      </w:r>
    </w:p>
    <w:p w14:paraId="62F929DB" w14:textId="4B678D97" w:rsidR="00215C75" w:rsidRDefault="005F21B2" w:rsidP="00215C75">
      <w:pPr>
        <w:pStyle w:val="DocTitleDetailDate"/>
      </w:pPr>
      <w:r>
        <w:t>9 February</w:t>
      </w:r>
      <w:r w:rsidR="00CA6CB1">
        <w:t xml:space="preserve"> 2024</w:t>
      </w:r>
    </w:p>
    <w:p w14:paraId="0BC7AB73" w14:textId="77777777" w:rsidR="00215C75" w:rsidRDefault="00215C75" w:rsidP="00215C75"/>
    <w:p w14:paraId="06091C0B" w14:textId="77777777" w:rsidR="00215C75" w:rsidRDefault="00215C75" w:rsidP="00215C75"/>
    <w:p w14:paraId="13C849F6" w14:textId="77777777" w:rsidR="001F5326" w:rsidRDefault="001F5326" w:rsidP="009578CB"/>
    <w:p w14:paraId="3FB96105" w14:textId="1E79B9F8" w:rsidR="000E1A71" w:rsidRDefault="000E1A71" w:rsidP="009578CB"/>
    <w:p w14:paraId="3B495FF6" w14:textId="77777777" w:rsidR="000E1A71" w:rsidRDefault="000E1A71" w:rsidP="009578CB"/>
    <w:p w14:paraId="6621D07F" w14:textId="37F48970" w:rsidR="000E1A71" w:rsidRDefault="000E1A71" w:rsidP="009578CB">
      <w:pPr>
        <w:sectPr w:rsidR="000E1A71" w:rsidSect="00BA297D">
          <w:headerReference w:type="even" r:id="rId12"/>
          <w:headerReference w:type="default" r:id="rId13"/>
          <w:footerReference w:type="even" r:id="rId14"/>
          <w:footerReference w:type="default" r:id="rId15"/>
          <w:headerReference w:type="first" r:id="rId16"/>
          <w:footerReference w:type="first" r:id="rId17"/>
          <w:pgSz w:w="11907" w:h="16839" w:code="9"/>
          <w:pgMar w:top="1596" w:right="6867" w:bottom="1894" w:left="960" w:header="1440" w:footer="1281" w:gutter="0"/>
          <w:cols w:space="454"/>
          <w:docGrid w:linePitch="360"/>
        </w:sectPr>
      </w:pPr>
    </w:p>
    <w:p w14:paraId="1705929E" w14:textId="19316585" w:rsidR="004C31F7" w:rsidRDefault="004C31F7" w:rsidP="004C31F7">
      <w:r>
        <w:rPr>
          <w:noProof/>
        </w:rPr>
        <w:lastRenderedPageBreak/>
        <mc:AlternateContent>
          <mc:Choice Requires="wps">
            <w:drawing>
              <wp:anchor distT="45720" distB="45720" distL="114300" distR="114300" simplePos="0" relativeHeight="251658241" behindDoc="1" locked="0" layoutInCell="1" allowOverlap="1" wp14:anchorId="41D6C91D" wp14:editId="79A3232A">
                <wp:simplePos x="0" y="0"/>
                <wp:positionH relativeFrom="column">
                  <wp:posOffset>3321050</wp:posOffset>
                </wp:positionH>
                <wp:positionV relativeFrom="paragraph">
                  <wp:posOffset>-481965</wp:posOffset>
                </wp:positionV>
                <wp:extent cx="2694572" cy="1404620"/>
                <wp:effectExtent l="0" t="0" r="10795" b="22225"/>
                <wp:wrapNone/>
                <wp:docPr id="730898999" name="Text Box 730898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572" cy="1404620"/>
                        </a:xfrm>
                        <a:prstGeom prst="rect">
                          <a:avLst/>
                        </a:prstGeom>
                        <a:solidFill>
                          <a:srgbClr val="FFFFFF"/>
                        </a:solidFill>
                        <a:ln w="3175">
                          <a:solidFill>
                            <a:schemeClr val="bg1">
                              <a:lumMod val="50000"/>
                            </a:schemeClr>
                          </a:solidFill>
                          <a:miter lim="800000"/>
                          <a:headEnd/>
                          <a:tailEnd/>
                        </a:ln>
                      </wps:spPr>
                      <wps:txbx>
                        <w:txbxContent>
                          <w:p w14:paraId="37FE66E9" w14:textId="77777777" w:rsidR="004C31F7" w:rsidRPr="00E02CFB" w:rsidRDefault="004C31F7" w:rsidP="004C31F7">
                            <w:pPr>
                              <w:rPr>
                                <w:sz w:val="19"/>
                                <w:szCs w:val="19"/>
                              </w:rPr>
                            </w:pPr>
                            <w:r w:rsidRPr="00E02CFB">
                              <w:rPr>
                                <w:sz w:val="19"/>
                                <w:szCs w:val="19"/>
                              </w:rPr>
                              <w:t xml:space="preserve">Independent Schools Australia is the </w:t>
                            </w:r>
                            <w:r>
                              <w:rPr>
                                <w:sz w:val="19"/>
                                <w:szCs w:val="19"/>
                              </w:rPr>
                              <w:t xml:space="preserve">national </w:t>
                            </w:r>
                            <w:r w:rsidRPr="00E02CFB">
                              <w:rPr>
                                <w:sz w:val="19"/>
                                <w:szCs w:val="19"/>
                              </w:rPr>
                              <w:t>peak body and the voice for the Independent school sector. Our membership and board are comprised of the state and territory Associations of Independent Schools. We work closely with our members to promote choice, diversity and partnership in education, and advocate for ongoing and sustainable levels of Australian Government support through effective policy and fair funding.</w:t>
                            </w:r>
                          </w:p>
                          <w:p w14:paraId="35BEBB2F" w14:textId="77777777" w:rsidR="004C31F7" w:rsidRPr="00E02CFB" w:rsidRDefault="004C31F7" w:rsidP="004C31F7">
                            <w:pPr>
                              <w:rPr>
                                <w:sz w:val="19"/>
                                <w:szCs w:val="19"/>
                              </w:rPr>
                            </w:pPr>
                            <w:r w:rsidRPr="00E02CFB">
                              <w:rPr>
                                <w:sz w:val="19"/>
                                <w:szCs w:val="19"/>
                              </w:rPr>
                              <w:t>Through these Associations, ISA represents more than 1,209 schools and 688,638 students, accounting for 17 per cent of Australian school enrolments and a workforce of 115,090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D6C91D" id="_x0000_t202" coordsize="21600,21600" o:spt="202" path="m,l,21600r21600,l21600,xe">
                <v:stroke joinstyle="miter"/>
                <v:path gradientshapeok="t" o:connecttype="rect"/>
              </v:shapetype>
              <v:shape id="Text Box 730898999" o:spid="_x0000_s1026" type="#_x0000_t202" style="position:absolute;margin-left:261.5pt;margin-top:-37.95pt;width:212.15pt;height:110.6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" strokecolor="#7f7f7f [1612]" strokeweight=".25pt">
                <v:textbox style="mso-fit-shape-to-text:t">
                  <w:txbxContent>
                    <w:p w14:paraId="37FE66E9" w14:textId="77777777" w:rsidR="004C31F7" w:rsidRPr="00E02CFB" w:rsidRDefault="004C31F7" w:rsidP="004C31F7">
                      <w:pPr>
                        <w:rPr>
                          <w:sz w:val="19"/>
                          <w:szCs w:val="19"/>
                        </w:rPr>
                      </w:pPr>
                      <w:r w:rsidRPr="00E02CFB">
                        <w:rPr>
                          <w:sz w:val="19"/>
                          <w:szCs w:val="19"/>
                        </w:rPr>
                        <w:t xml:space="preserve">Independent Schools Australia is the </w:t>
                      </w:r>
                      <w:r>
                        <w:rPr>
                          <w:sz w:val="19"/>
                          <w:szCs w:val="19"/>
                        </w:rPr>
                        <w:t xml:space="preserve">national </w:t>
                      </w:r>
                      <w:r w:rsidRPr="00E02CFB">
                        <w:rPr>
                          <w:sz w:val="19"/>
                          <w:szCs w:val="19"/>
                        </w:rPr>
                        <w:t>peak body and the voice for the Independent school sector. Our membership and board are comprised of the state and territory Associations of Independent Schools. We work closely with our members to promote choice, diversity and partnership in education, and advocate for ongoing and sustainable levels of Australian Government support through effective policy and fair funding.</w:t>
                      </w:r>
                    </w:p>
                    <w:p w14:paraId="35BEBB2F" w14:textId="77777777" w:rsidR="004C31F7" w:rsidRPr="00E02CFB" w:rsidRDefault="004C31F7" w:rsidP="004C31F7">
                      <w:pPr>
                        <w:rPr>
                          <w:sz w:val="19"/>
                          <w:szCs w:val="19"/>
                        </w:rPr>
                      </w:pPr>
                      <w:r w:rsidRPr="00E02CFB">
                        <w:rPr>
                          <w:sz w:val="19"/>
                          <w:szCs w:val="19"/>
                        </w:rPr>
                        <w:t>Through these Associations, ISA represents more than 1,209 schools and 688,638 students, accounting for 17 per cent of Australian school enrolments and a workforce of 115,090 people.</w:t>
                      </w:r>
                    </w:p>
                  </w:txbxContent>
                </v:textbox>
              </v:shape>
            </w:pict>
          </mc:Fallback>
        </mc:AlternateContent>
      </w:r>
    </w:p>
    <w:p w14:paraId="29D47BF0" w14:textId="4EF7F2FB" w:rsidR="004C31F7" w:rsidRDefault="004C31F7" w:rsidP="004C31F7"/>
    <w:p w14:paraId="4BEEDD9C" w14:textId="77777777" w:rsidR="004C31F7" w:rsidRDefault="004C31F7" w:rsidP="004C31F7"/>
    <w:p w14:paraId="78C98343" w14:textId="77777777" w:rsidR="004C31F7" w:rsidRDefault="004C31F7" w:rsidP="004C31F7"/>
    <w:p w14:paraId="3DFF3C05" w14:textId="77777777" w:rsidR="004C31F7" w:rsidRDefault="004C31F7" w:rsidP="004C31F7"/>
    <w:p w14:paraId="74436D6E" w14:textId="77777777" w:rsidR="004C31F7" w:rsidRDefault="004C31F7" w:rsidP="004C31F7"/>
    <w:p w14:paraId="2D3DAED6" w14:textId="77777777" w:rsidR="004C31F7" w:rsidRDefault="004C31F7" w:rsidP="004C31F7"/>
    <w:p w14:paraId="58DBFB9F" w14:textId="77777777" w:rsidR="004C31F7" w:rsidRDefault="004C31F7" w:rsidP="004C31F7"/>
    <w:p w14:paraId="64162DDC" w14:textId="77777777" w:rsidR="004C31F7" w:rsidRDefault="004C31F7" w:rsidP="004C31F7"/>
    <w:p w14:paraId="56FA65FF" w14:textId="77777777" w:rsidR="004C31F7" w:rsidRDefault="004C31F7" w:rsidP="004C31F7"/>
    <w:p w14:paraId="35A3F573" w14:textId="77777777" w:rsidR="004C31F7" w:rsidRDefault="004C31F7" w:rsidP="004C31F7"/>
    <w:p w14:paraId="76437059" w14:textId="77777777" w:rsidR="004C31F7" w:rsidRDefault="004C31F7" w:rsidP="004C31F7"/>
    <w:p w14:paraId="4C93AAC9" w14:textId="77777777" w:rsidR="004C31F7" w:rsidRDefault="004C31F7" w:rsidP="004C31F7"/>
    <w:p w14:paraId="6771FDB0" w14:textId="77777777" w:rsidR="004C31F7" w:rsidRDefault="004C31F7" w:rsidP="004C31F7"/>
    <w:p w14:paraId="6A7B574A" w14:textId="77777777" w:rsidR="004C31F7" w:rsidRDefault="004C31F7" w:rsidP="004C31F7"/>
    <w:p w14:paraId="639C0824" w14:textId="77777777" w:rsidR="004C31F7" w:rsidRDefault="004C31F7" w:rsidP="004C31F7"/>
    <w:p w14:paraId="0BDDB04F" w14:textId="77777777" w:rsidR="004C31F7" w:rsidRDefault="004C31F7" w:rsidP="004C31F7"/>
    <w:p w14:paraId="5E3FA780" w14:textId="77777777" w:rsidR="004C31F7" w:rsidRDefault="004C31F7" w:rsidP="004C31F7"/>
    <w:p w14:paraId="2F399820" w14:textId="77777777" w:rsidR="004C31F7" w:rsidRDefault="004C31F7" w:rsidP="004C31F7"/>
    <w:p w14:paraId="0EB2A436" w14:textId="77777777" w:rsidR="004C31F7" w:rsidRDefault="004C31F7" w:rsidP="004C31F7"/>
    <w:p w14:paraId="4A37CCEA" w14:textId="77777777" w:rsidR="004C31F7" w:rsidRDefault="004C31F7" w:rsidP="004C31F7"/>
    <w:p w14:paraId="2012409B" w14:textId="77777777" w:rsidR="004C31F7" w:rsidRDefault="004C31F7" w:rsidP="004C31F7"/>
    <w:p w14:paraId="13D3A923" w14:textId="77777777" w:rsidR="004C31F7" w:rsidRDefault="004C31F7" w:rsidP="004C31F7"/>
    <w:p w14:paraId="6260F09E" w14:textId="77777777" w:rsidR="004C31F7" w:rsidRDefault="004C31F7" w:rsidP="004C31F7"/>
    <w:p w14:paraId="084A8FCB" w14:textId="77777777" w:rsidR="004C31F7" w:rsidRDefault="004C31F7" w:rsidP="004C31F7"/>
    <w:p w14:paraId="369EE8F5" w14:textId="77777777" w:rsidR="004C31F7" w:rsidRDefault="004C31F7" w:rsidP="004C31F7"/>
    <w:p w14:paraId="3EF71535" w14:textId="77777777" w:rsidR="004C31F7" w:rsidRDefault="004C31F7" w:rsidP="004C31F7"/>
    <w:p w14:paraId="3C0B8922" w14:textId="77777777" w:rsidR="004C31F7" w:rsidRDefault="004C31F7" w:rsidP="004C31F7"/>
    <w:p w14:paraId="3CD44F02" w14:textId="77777777" w:rsidR="004C31F7" w:rsidRDefault="004C31F7" w:rsidP="004C31F7"/>
    <w:p w14:paraId="7F90694E" w14:textId="77777777" w:rsidR="004C31F7" w:rsidRDefault="004C31F7" w:rsidP="004C31F7"/>
    <w:p w14:paraId="0F41E444" w14:textId="77777777" w:rsidR="004C31F7" w:rsidRDefault="004C31F7" w:rsidP="004C31F7"/>
    <w:p w14:paraId="76CADEEF" w14:textId="77777777" w:rsidR="004C31F7" w:rsidRDefault="004C31F7" w:rsidP="004C31F7"/>
    <w:p w14:paraId="43BF9061" w14:textId="77777777" w:rsidR="004C31F7" w:rsidRDefault="004C31F7" w:rsidP="004C31F7">
      <w:pPr>
        <w:pStyle w:val="ListBullet"/>
        <w:numPr>
          <w:ilvl w:val="0"/>
          <w:numId w:val="0"/>
        </w:numPr>
        <w:rPr>
          <w:sz w:val="18"/>
          <w:szCs w:val="18"/>
        </w:rPr>
      </w:pPr>
      <w:r w:rsidRPr="003E6B34">
        <w:rPr>
          <w:sz w:val="18"/>
          <w:szCs w:val="18"/>
        </w:rPr>
        <w:t>Independent Schools Australia acknowledges the traditional custodians of country throughout Australia and recognises the continuing connection to land, waters and community. We pay respect to Elders past and present, and commit to the ongoing journey of reconciliation.</w:t>
      </w:r>
    </w:p>
    <w:p w14:paraId="3D547243" w14:textId="77777777" w:rsidR="004C31F7" w:rsidRDefault="004C31F7" w:rsidP="004C31F7">
      <w:pPr>
        <w:spacing w:before="0" w:after="160" w:line="259" w:lineRule="auto"/>
        <w:rPr>
          <w:caps/>
        </w:rPr>
      </w:pPr>
      <w:r>
        <w:rPr>
          <w:caps/>
          <w:noProof/>
        </w:rPr>
        <w:drawing>
          <wp:inline distT="0" distB="0" distL="0" distR="0" wp14:anchorId="6BB053A5" wp14:editId="6685E2F1">
            <wp:extent cx="1227411" cy="429442"/>
            <wp:effectExtent l="0" t="0" r="0" b="8890"/>
            <wp:docPr id="2005567223" name="Picture 2005567223" descr="A grey and black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7223" name="Picture 1" descr="A grey and black sign with a person in a circ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Pr>
          <w:caps/>
        </w:rPr>
        <w:t xml:space="preserve">  © </w:t>
      </w:r>
      <w:r w:rsidRPr="003E6B34">
        <w:rPr>
          <w:sz w:val="18"/>
          <w:szCs w:val="18"/>
        </w:rPr>
        <w:t xml:space="preserve">2023. This work is licensed under Creative Commons by </w:t>
      </w:r>
      <w:hyperlink r:id="rId19" w:history="1">
        <w:r w:rsidRPr="003E6B34">
          <w:rPr>
            <w:rStyle w:val="Hyperlink"/>
            <w:sz w:val="18"/>
            <w:szCs w:val="18"/>
          </w:rPr>
          <w:t>CC4.0 licence</w:t>
        </w:r>
      </w:hyperlink>
      <w:r w:rsidRPr="005C0368">
        <w:t>.</w:t>
      </w:r>
    </w:p>
    <w:p w14:paraId="2A4573EF" w14:textId="77777777" w:rsidR="004C31F7" w:rsidRDefault="004C31F7" w:rsidP="004C31F7"/>
    <w:p w14:paraId="31F4FA1C" w14:textId="3D9B553E" w:rsidR="004C31F7" w:rsidRDefault="004C31F7" w:rsidP="004C31F7">
      <w:pPr>
        <w:sectPr w:rsidR="004C31F7" w:rsidSect="00BA297D">
          <w:headerReference w:type="first" r:id="rId20"/>
          <w:pgSz w:w="11907" w:h="16839" w:code="9"/>
          <w:pgMar w:top="1593" w:right="1440" w:bottom="1894" w:left="1440" w:header="1440" w:footer="1281" w:gutter="0"/>
          <w:cols w:space="454"/>
          <w:titlePg/>
          <w:docGrid w:linePitch="360"/>
        </w:sectPr>
      </w:pPr>
      <w:r>
        <w:rPr>
          <w:noProof/>
        </w:rPr>
        <mc:AlternateContent>
          <mc:Choice Requires="wps">
            <w:drawing>
              <wp:anchor distT="45720" distB="45720" distL="114300" distR="114300" simplePos="0" relativeHeight="251658240" behindDoc="0" locked="0" layoutInCell="1" allowOverlap="1" wp14:anchorId="1E2BCA3B" wp14:editId="0FA07DC8">
                <wp:simplePos x="0" y="0"/>
                <wp:positionH relativeFrom="column">
                  <wp:posOffset>558800</wp:posOffset>
                </wp:positionH>
                <wp:positionV relativeFrom="page">
                  <wp:posOffset>9664700</wp:posOffset>
                </wp:positionV>
                <wp:extent cx="4241800" cy="603250"/>
                <wp:effectExtent l="0" t="0" r="6350" b="63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603250"/>
                        </a:xfrm>
                        <a:prstGeom prst="rect">
                          <a:avLst/>
                        </a:prstGeom>
                        <a:solidFill>
                          <a:srgbClr val="FFFFFF"/>
                        </a:solidFill>
                        <a:ln w="9525">
                          <a:noFill/>
                          <a:miter lim="800000"/>
                          <a:headEnd/>
                          <a:tailEnd/>
                        </a:ln>
                      </wps:spPr>
                      <wps:txbx>
                        <w:txbxContent>
                          <w:p w14:paraId="3AFA0949" w14:textId="77777777" w:rsidR="004C31F7" w:rsidRPr="003E6B34" w:rsidRDefault="004C31F7" w:rsidP="004C31F7">
                            <w:pPr>
                              <w:contextualSpacing/>
                              <w:rPr>
                                <w:sz w:val="18"/>
                                <w:szCs w:val="18"/>
                              </w:rPr>
                            </w:pPr>
                            <w:r w:rsidRPr="003E6B34">
                              <w:rPr>
                                <w:sz w:val="18"/>
                                <w:szCs w:val="18"/>
                              </w:rPr>
                              <w:t>Independent Schools Australia  |  ABN 83 005 118 927</w:t>
                            </w:r>
                          </w:p>
                          <w:p w14:paraId="2543111F" w14:textId="77777777" w:rsidR="004C31F7" w:rsidRPr="003E6B34" w:rsidRDefault="004C31F7" w:rsidP="004C31F7">
                            <w:pPr>
                              <w:contextualSpacing/>
                              <w:rPr>
                                <w:sz w:val="18"/>
                                <w:szCs w:val="18"/>
                              </w:rPr>
                            </w:pPr>
                            <w:r w:rsidRPr="003E6B34">
                              <w:rPr>
                                <w:sz w:val="18"/>
                                <w:szCs w:val="18"/>
                              </w:rPr>
                              <w:t>12 Thesiger Court Deakin ACT 2600  |  PO Box 324 Deakin West ACT 2600</w:t>
                            </w:r>
                          </w:p>
                          <w:p w14:paraId="18F49B18" w14:textId="77777777" w:rsidR="004C31F7" w:rsidRPr="003E6B34" w:rsidRDefault="004C31F7" w:rsidP="004C31F7">
                            <w:pPr>
                              <w:contextualSpacing/>
                              <w:rPr>
                                <w:sz w:val="18"/>
                                <w:szCs w:val="18"/>
                              </w:rPr>
                            </w:pPr>
                            <w:r w:rsidRPr="003E6B34">
                              <w:rPr>
                                <w:sz w:val="18"/>
                                <w:szCs w:val="18"/>
                              </w:rPr>
                              <w:t>T: 02 6282 3488  |  F: 02 6285 2926  |  W: www.isa.edu.au |  E: isa@isa.edu.au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BCA3B" id="Text Box 217" o:spid="_x0000_s1027" type="#_x0000_t202" style="position:absolute;margin-left:44pt;margin-top:761pt;width:334pt;height:47.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" stroked="f">
                <v:textbox style="mso-fit-shape-to-text:t">
                  <w:txbxContent>
                    <w:p w14:paraId="3AFA0949" w14:textId="77777777" w:rsidR="004C31F7" w:rsidRPr="003E6B34" w:rsidRDefault="004C31F7" w:rsidP="004C31F7">
                      <w:pPr>
                        <w:contextualSpacing/>
                        <w:rPr>
                          <w:sz w:val="18"/>
                          <w:szCs w:val="18"/>
                        </w:rPr>
                      </w:pPr>
                      <w:r w:rsidRPr="003E6B34">
                        <w:rPr>
                          <w:sz w:val="18"/>
                          <w:szCs w:val="18"/>
                        </w:rPr>
                        <w:t>Independent Schools Australia  |  ABN 83 005 118 927</w:t>
                      </w:r>
                    </w:p>
                    <w:p w14:paraId="2543111F" w14:textId="77777777" w:rsidR="004C31F7" w:rsidRPr="003E6B34" w:rsidRDefault="004C31F7" w:rsidP="004C31F7">
                      <w:pPr>
                        <w:contextualSpacing/>
                        <w:rPr>
                          <w:sz w:val="18"/>
                          <w:szCs w:val="18"/>
                        </w:rPr>
                      </w:pPr>
                      <w:r w:rsidRPr="003E6B34">
                        <w:rPr>
                          <w:sz w:val="18"/>
                          <w:szCs w:val="18"/>
                        </w:rPr>
                        <w:t>12 Thesiger Court Deakin ACT 2600  |  PO Box 324 Deakin West ACT 2600</w:t>
                      </w:r>
                    </w:p>
                    <w:p w14:paraId="18F49B18" w14:textId="77777777" w:rsidR="004C31F7" w:rsidRPr="003E6B34" w:rsidRDefault="004C31F7" w:rsidP="004C31F7">
                      <w:pPr>
                        <w:contextualSpacing/>
                        <w:rPr>
                          <w:sz w:val="18"/>
                          <w:szCs w:val="18"/>
                        </w:rPr>
                      </w:pPr>
                      <w:r w:rsidRPr="003E6B34">
                        <w:rPr>
                          <w:sz w:val="18"/>
                          <w:szCs w:val="18"/>
                        </w:rPr>
                        <w:t>T: 02 6282 3488  |  F: 02 6285 2926  |  W: www.isa.edu.au |  E: isa@isa.edu.au</w:t>
                      </w:r>
                    </w:p>
                  </w:txbxContent>
                </v:textbox>
                <w10:wrap anchory="page"/>
              </v:shape>
            </w:pict>
          </mc:Fallback>
        </mc:AlternateContent>
      </w:r>
    </w:p>
    <w:p w14:paraId="4C5A5B05" w14:textId="77777777" w:rsidR="004C31F7" w:rsidRDefault="004C31F7" w:rsidP="004C31F7"/>
    <w:p w14:paraId="65330837" w14:textId="73D4BC1C" w:rsidR="001D37E4" w:rsidRPr="00051419" w:rsidRDefault="001D37E4" w:rsidP="001D37E4">
      <w:pPr>
        <w:pStyle w:val="Heading2"/>
      </w:pPr>
      <w:bookmarkStart w:id="8" w:name="_Toc157069477"/>
      <w:bookmarkStart w:id="9" w:name="_Toc157759558"/>
      <w:bookmarkStart w:id="10" w:name="_Toc157775473"/>
      <w:bookmarkStart w:id="11" w:name="_Toc157776420"/>
      <w:bookmarkStart w:id="12" w:name="_Toc157776550"/>
      <w:bookmarkStart w:id="13" w:name="_Toc157787506"/>
      <w:bookmarkStart w:id="14" w:name="_Toc158236343"/>
      <w:r>
        <w:t>CONTENTS</w:t>
      </w:r>
      <w:bookmarkEnd w:id="8"/>
      <w:bookmarkEnd w:id="9"/>
      <w:bookmarkEnd w:id="10"/>
      <w:bookmarkEnd w:id="11"/>
      <w:bookmarkEnd w:id="12"/>
      <w:bookmarkEnd w:id="13"/>
      <w:bookmarkEnd w:id="14"/>
    </w:p>
    <w:p w14:paraId="79A56313" w14:textId="06BF4ECF" w:rsidR="00921B6F" w:rsidRDefault="00310148">
      <w:pPr>
        <w:pStyle w:val="TOC2"/>
        <w:rPr>
          <w:rFonts w:asciiTheme="minorHAnsi" w:eastAsiaTheme="minorEastAsia" w:hAnsiTheme="minorHAnsi" w:cstheme="minorBidi"/>
          <w:bCs w:val="0"/>
          <w:caps w:val="0"/>
          <w:color w:val="auto"/>
          <w:kern w:val="2"/>
          <w:sz w:val="22"/>
          <w:lang w:eastAsia="en-AU"/>
          <w14:ligatures w14:val="standardContextual"/>
        </w:rPr>
      </w:pPr>
      <w:r>
        <w:rPr>
          <w:caps w:val="0"/>
        </w:rPr>
        <w:fldChar w:fldCharType="begin"/>
      </w:r>
      <w:r>
        <w:rPr>
          <w:caps w:val="0"/>
        </w:rPr>
        <w:instrText xml:space="preserve"> TOC \o "1-3" \h \z </w:instrText>
      </w:r>
      <w:r>
        <w:rPr>
          <w:caps w:val="0"/>
        </w:rPr>
        <w:fldChar w:fldCharType="separate"/>
      </w:r>
    </w:p>
    <w:p w14:paraId="58D6DB6B" w14:textId="117FEF60" w:rsidR="00921B6F" w:rsidRDefault="00000000">
      <w:pPr>
        <w:pStyle w:val="TOC2"/>
        <w:rPr>
          <w:rFonts w:asciiTheme="minorHAnsi" w:eastAsiaTheme="minorEastAsia" w:hAnsiTheme="minorHAnsi" w:cstheme="minorBidi"/>
          <w:bCs w:val="0"/>
          <w:caps w:val="0"/>
          <w:color w:val="auto"/>
          <w:kern w:val="2"/>
          <w:sz w:val="22"/>
          <w:lang w:eastAsia="en-AU"/>
          <w14:ligatures w14:val="standardContextual"/>
        </w:rPr>
      </w:pPr>
      <w:hyperlink w:anchor="_Toc158236344" w:history="1">
        <w:r w:rsidR="00921B6F" w:rsidRPr="00425729">
          <w:rPr>
            <w:rStyle w:val="Hyperlink"/>
          </w:rPr>
          <w:t>1.</w:t>
        </w:r>
        <w:r w:rsidR="00921B6F">
          <w:rPr>
            <w:rFonts w:asciiTheme="minorHAnsi" w:eastAsiaTheme="minorEastAsia" w:hAnsiTheme="minorHAnsi" w:cstheme="minorBidi"/>
            <w:bCs w:val="0"/>
            <w:caps w:val="0"/>
            <w:color w:val="auto"/>
            <w:kern w:val="2"/>
            <w:sz w:val="22"/>
            <w:lang w:eastAsia="en-AU"/>
            <w14:ligatures w14:val="standardContextual"/>
          </w:rPr>
          <w:tab/>
        </w:r>
        <w:r w:rsidR="00921B6F" w:rsidRPr="00425729">
          <w:rPr>
            <w:rStyle w:val="Hyperlink"/>
          </w:rPr>
          <w:t>About Independent Schools Australia</w:t>
        </w:r>
        <w:r w:rsidR="00921B6F">
          <w:rPr>
            <w:webHidden/>
          </w:rPr>
          <w:tab/>
        </w:r>
        <w:r w:rsidR="00921B6F">
          <w:rPr>
            <w:webHidden/>
          </w:rPr>
          <w:fldChar w:fldCharType="begin"/>
        </w:r>
        <w:r w:rsidR="00921B6F">
          <w:rPr>
            <w:webHidden/>
          </w:rPr>
          <w:instrText xml:space="preserve"> PAGEREF _Toc158236344 \h </w:instrText>
        </w:r>
        <w:r w:rsidR="00921B6F">
          <w:rPr>
            <w:webHidden/>
          </w:rPr>
        </w:r>
        <w:r w:rsidR="00921B6F">
          <w:rPr>
            <w:webHidden/>
          </w:rPr>
          <w:fldChar w:fldCharType="separate"/>
        </w:r>
        <w:r w:rsidR="00D96D4E">
          <w:rPr>
            <w:webHidden/>
          </w:rPr>
          <w:t>4</w:t>
        </w:r>
        <w:r w:rsidR="00921B6F">
          <w:rPr>
            <w:webHidden/>
          </w:rPr>
          <w:fldChar w:fldCharType="end"/>
        </w:r>
      </w:hyperlink>
    </w:p>
    <w:p w14:paraId="45AC7A1A" w14:textId="690341D7" w:rsidR="00921B6F" w:rsidRDefault="00000000">
      <w:pPr>
        <w:pStyle w:val="TOC2"/>
        <w:rPr>
          <w:rFonts w:asciiTheme="minorHAnsi" w:eastAsiaTheme="minorEastAsia" w:hAnsiTheme="minorHAnsi" w:cstheme="minorBidi"/>
          <w:bCs w:val="0"/>
          <w:caps w:val="0"/>
          <w:color w:val="auto"/>
          <w:kern w:val="2"/>
          <w:sz w:val="22"/>
          <w:lang w:eastAsia="en-AU"/>
          <w14:ligatures w14:val="standardContextual"/>
        </w:rPr>
      </w:pPr>
      <w:hyperlink w:anchor="_Toc158236345" w:history="1">
        <w:r w:rsidR="00921B6F" w:rsidRPr="00425729">
          <w:rPr>
            <w:rStyle w:val="Hyperlink"/>
          </w:rPr>
          <w:t xml:space="preserve">2.  </w:t>
        </w:r>
        <w:r w:rsidR="00921B6F">
          <w:rPr>
            <w:rFonts w:asciiTheme="minorHAnsi" w:eastAsiaTheme="minorEastAsia" w:hAnsiTheme="minorHAnsi" w:cstheme="minorBidi"/>
            <w:bCs w:val="0"/>
            <w:caps w:val="0"/>
            <w:color w:val="auto"/>
            <w:kern w:val="2"/>
            <w:sz w:val="22"/>
            <w:lang w:eastAsia="en-AU"/>
            <w14:ligatures w14:val="standardContextual"/>
          </w:rPr>
          <w:tab/>
        </w:r>
        <w:r w:rsidR="00921B6F" w:rsidRPr="00425729">
          <w:rPr>
            <w:rStyle w:val="Hyperlink"/>
          </w:rPr>
          <w:t>introduction</w:t>
        </w:r>
        <w:r w:rsidR="00921B6F">
          <w:rPr>
            <w:webHidden/>
          </w:rPr>
          <w:tab/>
        </w:r>
        <w:r w:rsidR="00921B6F">
          <w:rPr>
            <w:webHidden/>
          </w:rPr>
          <w:fldChar w:fldCharType="begin"/>
        </w:r>
        <w:r w:rsidR="00921B6F">
          <w:rPr>
            <w:webHidden/>
          </w:rPr>
          <w:instrText xml:space="preserve"> PAGEREF _Toc158236345 \h </w:instrText>
        </w:r>
        <w:r w:rsidR="00921B6F">
          <w:rPr>
            <w:webHidden/>
          </w:rPr>
        </w:r>
        <w:r w:rsidR="00921B6F">
          <w:rPr>
            <w:webHidden/>
          </w:rPr>
          <w:fldChar w:fldCharType="separate"/>
        </w:r>
        <w:r w:rsidR="00D96D4E">
          <w:rPr>
            <w:webHidden/>
          </w:rPr>
          <w:t>4</w:t>
        </w:r>
        <w:r w:rsidR="00921B6F">
          <w:rPr>
            <w:webHidden/>
          </w:rPr>
          <w:fldChar w:fldCharType="end"/>
        </w:r>
      </w:hyperlink>
    </w:p>
    <w:p w14:paraId="04D5164F" w14:textId="059B6057" w:rsidR="00921B6F" w:rsidRDefault="00000000">
      <w:pPr>
        <w:pStyle w:val="TOC2"/>
        <w:rPr>
          <w:rFonts w:asciiTheme="minorHAnsi" w:eastAsiaTheme="minorEastAsia" w:hAnsiTheme="minorHAnsi" w:cstheme="minorBidi"/>
          <w:bCs w:val="0"/>
          <w:caps w:val="0"/>
          <w:color w:val="auto"/>
          <w:kern w:val="2"/>
          <w:sz w:val="22"/>
          <w:lang w:eastAsia="en-AU"/>
          <w14:ligatures w14:val="standardContextual"/>
        </w:rPr>
      </w:pPr>
      <w:hyperlink w:anchor="_Toc158236346" w:history="1">
        <w:r w:rsidR="00921B6F" w:rsidRPr="00425729">
          <w:rPr>
            <w:rStyle w:val="Hyperlink"/>
          </w:rPr>
          <w:t>3.</w:t>
        </w:r>
        <w:r w:rsidR="00921B6F">
          <w:rPr>
            <w:rFonts w:asciiTheme="minorHAnsi" w:eastAsiaTheme="minorEastAsia" w:hAnsiTheme="minorHAnsi" w:cstheme="minorBidi"/>
            <w:bCs w:val="0"/>
            <w:caps w:val="0"/>
            <w:color w:val="auto"/>
            <w:kern w:val="2"/>
            <w:sz w:val="22"/>
            <w:lang w:eastAsia="en-AU"/>
            <w14:ligatures w14:val="standardContextual"/>
          </w:rPr>
          <w:tab/>
        </w:r>
        <w:r w:rsidR="00921B6F" w:rsidRPr="00425729">
          <w:rPr>
            <w:rStyle w:val="Hyperlink"/>
          </w:rPr>
          <w:t>Key Points</w:t>
        </w:r>
        <w:r w:rsidR="00921B6F">
          <w:rPr>
            <w:webHidden/>
          </w:rPr>
          <w:tab/>
        </w:r>
        <w:r w:rsidR="00921B6F">
          <w:rPr>
            <w:webHidden/>
          </w:rPr>
          <w:fldChar w:fldCharType="begin"/>
        </w:r>
        <w:r w:rsidR="00921B6F">
          <w:rPr>
            <w:webHidden/>
          </w:rPr>
          <w:instrText xml:space="preserve"> PAGEREF _Toc158236346 \h </w:instrText>
        </w:r>
        <w:r w:rsidR="00921B6F">
          <w:rPr>
            <w:webHidden/>
          </w:rPr>
        </w:r>
        <w:r w:rsidR="00921B6F">
          <w:rPr>
            <w:webHidden/>
          </w:rPr>
          <w:fldChar w:fldCharType="separate"/>
        </w:r>
        <w:r w:rsidR="00D96D4E">
          <w:rPr>
            <w:webHidden/>
          </w:rPr>
          <w:t>5</w:t>
        </w:r>
        <w:r w:rsidR="00921B6F">
          <w:rPr>
            <w:webHidden/>
          </w:rPr>
          <w:fldChar w:fldCharType="end"/>
        </w:r>
      </w:hyperlink>
    </w:p>
    <w:p w14:paraId="7DC58686" w14:textId="0047F7F9" w:rsidR="00921B6F" w:rsidRDefault="00000000">
      <w:pPr>
        <w:pStyle w:val="TOC2"/>
        <w:rPr>
          <w:rFonts w:asciiTheme="minorHAnsi" w:eastAsiaTheme="minorEastAsia" w:hAnsiTheme="minorHAnsi" w:cstheme="minorBidi"/>
          <w:bCs w:val="0"/>
          <w:caps w:val="0"/>
          <w:color w:val="auto"/>
          <w:kern w:val="2"/>
          <w:sz w:val="22"/>
          <w:lang w:eastAsia="en-AU"/>
          <w14:ligatures w14:val="standardContextual"/>
        </w:rPr>
      </w:pPr>
      <w:hyperlink w:anchor="_Toc158236347" w:history="1">
        <w:r w:rsidR="00921B6F" w:rsidRPr="00425729">
          <w:rPr>
            <w:rStyle w:val="Hyperlink"/>
          </w:rPr>
          <w:t xml:space="preserve">4. </w:t>
        </w:r>
        <w:r w:rsidR="00921B6F">
          <w:rPr>
            <w:rFonts w:asciiTheme="minorHAnsi" w:eastAsiaTheme="minorEastAsia" w:hAnsiTheme="minorHAnsi" w:cstheme="minorBidi"/>
            <w:bCs w:val="0"/>
            <w:caps w:val="0"/>
            <w:color w:val="auto"/>
            <w:kern w:val="2"/>
            <w:sz w:val="22"/>
            <w:lang w:eastAsia="en-AU"/>
            <w14:ligatures w14:val="standardContextual"/>
          </w:rPr>
          <w:tab/>
        </w:r>
        <w:r w:rsidR="00921B6F" w:rsidRPr="00425729">
          <w:rPr>
            <w:rStyle w:val="Hyperlink"/>
          </w:rPr>
          <w:t>Diversity in Independent Schools</w:t>
        </w:r>
        <w:r w:rsidR="00921B6F">
          <w:rPr>
            <w:webHidden/>
          </w:rPr>
          <w:tab/>
        </w:r>
        <w:r w:rsidR="00921B6F">
          <w:rPr>
            <w:webHidden/>
          </w:rPr>
          <w:fldChar w:fldCharType="begin"/>
        </w:r>
        <w:r w:rsidR="00921B6F">
          <w:rPr>
            <w:webHidden/>
          </w:rPr>
          <w:instrText xml:space="preserve"> PAGEREF _Toc158236347 \h </w:instrText>
        </w:r>
        <w:r w:rsidR="00921B6F">
          <w:rPr>
            <w:webHidden/>
          </w:rPr>
        </w:r>
        <w:r w:rsidR="00921B6F">
          <w:rPr>
            <w:webHidden/>
          </w:rPr>
          <w:fldChar w:fldCharType="separate"/>
        </w:r>
        <w:r w:rsidR="00D96D4E">
          <w:rPr>
            <w:webHidden/>
          </w:rPr>
          <w:t>5</w:t>
        </w:r>
        <w:r w:rsidR="00921B6F">
          <w:rPr>
            <w:webHidden/>
          </w:rPr>
          <w:fldChar w:fldCharType="end"/>
        </w:r>
      </w:hyperlink>
    </w:p>
    <w:p w14:paraId="1DC6BADE" w14:textId="09A15FE9" w:rsidR="00921B6F" w:rsidRDefault="00000000">
      <w:pPr>
        <w:pStyle w:val="TOC2"/>
        <w:rPr>
          <w:rFonts w:asciiTheme="minorHAnsi" w:eastAsiaTheme="minorEastAsia" w:hAnsiTheme="minorHAnsi" w:cstheme="minorBidi"/>
          <w:bCs w:val="0"/>
          <w:caps w:val="0"/>
          <w:color w:val="auto"/>
          <w:kern w:val="2"/>
          <w:sz w:val="22"/>
          <w:lang w:eastAsia="en-AU"/>
          <w14:ligatures w14:val="standardContextual"/>
        </w:rPr>
      </w:pPr>
      <w:hyperlink w:anchor="_Toc158236348" w:history="1">
        <w:r w:rsidR="00921B6F" w:rsidRPr="00425729">
          <w:rPr>
            <w:rStyle w:val="Hyperlink"/>
          </w:rPr>
          <w:t xml:space="preserve">5. </w:t>
        </w:r>
        <w:r w:rsidR="00921B6F">
          <w:rPr>
            <w:rFonts w:asciiTheme="minorHAnsi" w:eastAsiaTheme="minorEastAsia" w:hAnsiTheme="minorHAnsi" w:cstheme="minorBidi"/>
            <w:bCs w:val="0"/>
            <w:caps w:val="0"/>
            <w:color w:val="auto"/>
            <w:kern w:val="2"/>
            <w:sz w:val="22"/>
            <w:lang w:eastAsia="en-AU"/>
            <w14:ligatures w14:val="standardContextual"/>
          </w:rPr>
          <w:tab/>
        </w:r>
        <w:r w:rsidR="00921B6F" w:rsidRPr="00425729">
          <w:rPr>
            <w:rStyle w:val="Hyperlink"/>
          </w:rPr>
          <w:t>Schools as not-for-profit entities</w:t>
        </w:r>
        <w:r w:rsidR="00921B6F">
          <w:rPr>
            <w:webHidden/>
          </w:rPr>
          <w:tab/>
        </w:r>
        <w:r w:rsidR="00921B6F">
          <w:rPr>
            <w:webHidden/>
          </w:rPr>
          <w:fldChar w:fldCharType="begin"/>
        </w:r>
        <w:r w:rsidR="00921B6F">
          <w:rPr>
            <w:webHidden/>
          </w:rPr>
          <w:instrText xml:space="preserve"> PAGEREF _Toc158236348 \h </w:instrText>
        </w:r>
        <w:r w:rsidR="00921B6F">
          <w:rPr>
            <w:webHidden/>
          </w:rPr>
        </w:r>
        <w:r w:rsidR="00921B6F">
          <w:rPr>
            <w:webHidden/>
          </w:rPr>
          <w:fldChar w:fldCharType="separate"/>
        </w:r>
        <w:r w:rsidR="00D96D4E">
          <w:rPr>
            <w:webHidden/>
          </w:rPr>
          <w:t>6</w:t>
        </w:r>
        <w:r w:rsidR="00921B6F">
          <w:rPr>
            <w:webHidden/>
          </w:rPr>
          <w:fldChar w:fldCharType="end"/>
        </w:r>
      </w:hyperlink>
    </w:p>
    <w:p w14:paraId="6BFB979C" w14:textId="1F8BE0BD" w:rsidR="00921B6F" w:rsidRDefault="00000000">
      <w:pPr>
        <w:pStyle w:val="TOC2"/>
        <w:rPr>
          <w:rFonts w:asciiTheme="minorHAnsi" w:eastAsiaTheme="minorEastAsia" w:hAnsiTheme="minorHAnsi" w:cstheme="minorBidi"/>
          <w:bCs w:val="0"/>
          <w:caps w:val="0"/>
          <w:color w:val="auto"/>
          <w:kern w:val="2"/>
          <w:sz w:val="22"/>
          <w:lang w:eastAsia="en-AU"/>
          <w14:ligatures w14:val="standardContextual"/>
        </w:rPr>
      </w:pPr>
      <w:hyperlink w:anchor="_Toc158236349" w:history="1">
        <w:r w:rsidR="00921B6F" w:rsidRPr="00425729">
          <w:rPr>
            <w:rStyle w:val="Hyperlink"/>
          </w:rPr>
          <w:t>6.</w:t>
        </w:r>
        <w:r w:rsidR="00921B6F">
          <w:rPr>
            <w:rFonts w:asciiTheme="minorHAnsi" w:eastAsiaTheme="minorEastAsia" w:hAnsiTheme="minorHAnsi" w:cstheme="minorBidi"/>
            <w:bCs w:val="0"/>
            <w:caps w:val="0"/>
            <w:color w:val="auto"/>
            <w:kern w:val="2"/>
            <w:sz w:val="22"/>
            <w:lang w:eastAsia="en-AU"/>
            <w14:ligatures w14:val="standardContextual"/>
          </w:rPr>
          <w:tab/>
        </w:r>
        <w:r w:rsidR="00921B6F" w:rsidRPr="00425729">
          <w:rPr>
            <w:rStyle w:val="Hyperlink"/>
          </w:rPr>
          <w:t>reforming the DGR system</w:t>
        </w:r>
        <w:r w:rsidR="00921B6F">
          <w:rPr>
            <w:webHidden/>
          </w:rPr>
          <w:tab/>
        </w:r>
        <w:r w:rsidR="00921B6F">
          <w:rPr>
            <w:webHidden/>
          </w:rPr>
          <w:fldChar w:fldCharType="begin"/>
        </w:r>
        <w:r w:rsidR="00921B6F">
          <w:rPr>
            <w:webHidden/>
          </w:rPr>
          <w:instrText xml:space="preserve"> PAGEREF _Toc158236349 \h </w:instrText>
        </w:r>
        <w:r w:rsidR="00921B6F">
          <w:rPr>
            <w:webHidden/>
          </w:rPr>
        </w:r>
        <w:r w:rsidR="00921B6F">
          <w:rPr>
            <w:webHidden/>
          </w:rPr>
          <w:fldChar w:fldCharType="separate"/>
        </w:r>
        <w:r w:rsidR="00D96D4E">
          <w:rPr>
            <w:webHidden/>
          </w:rPr>
          <w:t>6</w:t>
        </w:r>
        <w:r w:rsidR="00921B6F">
          <w:rPr>
            <w:webHidden/>
          </w:rPr>
          <w:fldChar w:fldCharType="end"/>
        </w:r>
      </w:hyperlink>
    </w:p>
    <w:p w14:paraId="2DF42805" w14:textId="3CA51522" w:rsidR="00921B6F" w:rsidRDefault="00000000">
      <w:pPr>
        <w:pStyle w:val="TOC2"/>
        <w:rPr>
          <w:rFonts w:asciiTheme="minorHAnsi" w:eastAsiaTheme="minorEastAsia" w:hAnsiTheme="minorHAnsi" w:cstheme="minorBidi"/>
          <w:bCs w:val="0"/>
          <w:caps w:val="0"/>
          <w:color w:val="auto"/>
          <w:kern w:val="2"/>
          <w:sz w:val="22"/>
          <w:lang w:eastAsia="en-AU"/>
          <w14:ligatures w14:val="standardContextual"/>
        </w:rPr>
      </w:pPr>
      <w:hyperlink w:anchor="_Toc158236350" w:history="1">
        <w:r w:rsidR="00921B6F" w:rsidRPr="00425729">
          <w:rPr>
            <w:rStyle w:val="Hyperlink"/>
          </w:rPr>
          <w:t>7.</w:t>
        </w:r>
        <w:r w:rsidR="00921B6F">
          <w:rPr>
            <w:rFonts w:asciiTheme="minorHAnsi" w:eastAsiaTheme="minorEastAsia" w:hAnsiTheme="minorHAnsi" w:cstheme="minorBidi"/>
            <w:bCs w:val="0"/>
            <w:caps w:val="0"/>
            <w:color w:val="auto"/>
            <w:kern w:val="2"/>
            <w:sz w:val="22"/>
            <w:lang w:eastAsia="en-AU"/>
            <w14:ligatures w14:val="standardContextual"/>
          </w:rPr>
          <w:tab/>
        </w:r>
        <w:r w:rsidR="00921B6F" w:rsidRPr="00425729">
          <w:rPr>
            <w:rStyle w:val="Hyperlink"/>
          </w:rPr>
          <w:t>Government Funding OF Independent schools</w:t>
        </w:r>
        <w:r w:rsidR="00921B6F">
          <w:rPr>
            <w:webHidden/>
          </w:rPr>
          <w:tab/>
        </w:r>
        <w:r w:rsidR="00921B6F">
          <w:rPr>
            <w:webHidden/>
          </w:rPr>
          <w:fldChar w:fldCharType="begin"/>
        </w:r>
        <w:r w:rsidR="00921B6F">
          <w:rPr>
            <w:webHidden/>
          </w:rPr>
          <w:instrText xml:space="preserve"> PAGEREF _Toc158236350 \h </w:instrText>
        </w:r>
        <w:r w:rsidR="00921B6F">
          <w:rPr>
            <w:webHidden/>
          </w:rPr>
        </w:r>
        <w:r w:rsidR="00921B6F">
          <w:rPr>
            <w:webHidden/>
          </w:rPr>
          <w:fldChar w:fldCharType="separate"/>
        </w:r>
        <w:r w:rsidR="00D96D4E">
          <w:rPr>
            <w:webHidden/>
          </w:rPr>
          <w:t>7</w:t>
        </w:r>
        <w:r w:rsidR="00921B6F">
          <w:rPr>
            <w:webHidden/>
          </w:rPr>
          <w:fldChar w:fldCharType="end"/>
        </w:r>
      </w:hyperlink>
    </w:p>
    <w:p w14:paraId="0AB01479" w14:textId="420882F7" w:rsidR="00921B6F" w:rsidRDefault="00000000" w:rsidP="009B5F2E">
      <w:pPr>
        <w:pStyle w:val="TOC3"/>
        <w:rPr>
          <w:rFonts w:asciiTheme="minorHAnsi" w:eastAsiaTheme="minorEastAsia" w:hAnsiTheme="minorHAnsi" w:cstheme="minorBidi"/>
          <w:color w:val="auto"/>
          <w:kern w:val="2"/>
          <w:sz w:val="22"/>
          <w:lang w:eastAsia="en-AU"/>
          <w14:ligatures w14:val="standardContextual"/>
        </w:rPr>
      </w:pPr>
      <w:hyperlink w:anchor="_Toc158236351" w:history="1">
        <w:r w:rsidR="00921B6F" w:rsidRPr="00425729">
          <w:rPr>
            <w:rStyle w:val="Hyperlink"/>
          </w:rPr>
          <w:t>7.1</w:t>
        </w:r>
        <w:r w:rsidR="00921B6F">
          <w:rPr>
            <w:rFonts w:asciiTheme="minorHAnsi" w:eastAsiaTheme="minorEastAsia" w:hAnsiTheme="minorHAnsi" w:cstheme="minorBidi"/>
            <w:color w:val="auto"/>
            <w:kern w:val="2"/>
            <w:sz w:val="22"/>
            <w:lang w:eastAsia="en-AU"/>
            <w14:ligatures w14:val="standardContextual"/>
          </w:rPr>
          <w:tab/>
        </w:r>
        <w:r w:rsidR="00921B6F" w:rsidRPr="00425729">
          <w:rPr>
            <w:rStyle w:val="Hyperlink"/>
          </w:rPr>
          <w:t>Recurrent funding</w:t>
        </w:r>
        <w:r w:rsidR="00921B6F">
          <w:rPr>
            <w:webHidden/>
          </w:rPr>
          <w:tab/>
        </w:r>
        <w:r w:rsidR="00921B6F">
          <w:rPr>
            <w:webHidden/>
          </w:rPr>
          <w:fldChar w:fldCharType="begin"/>
        </w:r>
        <w:r w:rsidR="00921B6F">
          <w:rPr>
            <w:webHidden/>
          </w:rPr>
          <w:instrText xml:space="preserve"> PAGEREF _Toc158236351 \h </w:instrText>
        </w:r>
        <w:r w:rsidR="00921B6F">
          <w:rPr>
            <w:webHidden/>
          </w:rPr>
        </w:r>
        <w:r w:rsidR="00921B6F">
          <w:rPr>
            <w:webHidden/>
          </w:rPr>
          <w:fldChar w:fldCharType="separate"/>
        </w:r>
        <w:r w:rsidR="00D96D4E">
          <w:rPr>
            <w:webHidden/>
          </w:rPr>
          <w:t>7</w:t>
        </w:r>
        <w:r w:rsidR="00921B6F">
          <w:rPr>
            <w:webHidden/>
          </w:rPr>
          <w:fldChar w:fldCharType="end"/>
        </w:r>
      </w:hyperlink>
    </w:p>
    <w:p w14:paraId="200E1277" w14:textId="03B89691" w:rsidR="00921B6F" w:rsidRDefault="00000000" w:rsidP="009B5F2E">
      <w:pPr>
        <w:pStyle w:val="TOC3"/>
        <w:rPr>
          <w:rFonts w:asciiTheme="minorHAnsi" w:eastAsiaTheme="minorEastAsia" w:hAnsiTheme="minorHAnsi" w:cstheme="minorBidi"/>
          <w:color w:val="auto"/>
          <w:kern w:val="2"/>
          <w:sz w:val="22"/>
          <w:lang w:eastAsia="en-AU"/>
          <w14:ligatures w14:val="standardContextual"/>
        </w:rPr>
      </w:pPr>
      <w:hyperlink w:anchor="_Toc158236352" w:history="1">
        <w:r w:rsidR="00921B6F" w:rsidRPr="00425729">
          <w:rPr>
            <w:rStyle w:val="Hyperlink"/>
          </w:rPr>
          <w:t>7.2</w:t>
        </w:r>
        <w:r w:rsidR="00921B6F">
          <w:rPr>
            <w:rFonts w:asciiTheme="minorHAnsi" w:eastAsiaTheme="minorEastAsia" w:hAnsiTheme="minorHAnsi" w:cstheme="minorBidi"/>
            <w:color w:val="auto"/>
            <w:kern w:val="2"/>
            <w:sz w:val="22"/>
            <w:lang w:eastAsia="en-AU"/>
            <w14:ligatures w14:val="standardContextual"/>
          </w:rPr>
          <w:tab/>
        </w:r>
        <w:r w:rsidR="00921B6F" w:rsidRPr="00425729">
          <w:rPr>
            <w:rStyle w:val="Hyperlink"/>
          </w:rPr>
          <w:t>Parental Contribution</w:t>
        </w:r>
        <w:r w:rsidR="00921B6F">
          <w:rPr>
            <w:webHidden/>
          </w:rPr>
          <w:tab/>
        </w:r>
        <w:r w:rsidR="00921B6F">
          <w:rPr>
            <w:webHidden/>
          </w:rPr>
          <w:fldChar w:fldCharType="begin"/>
        </w:r>
        <w:r w:rsidR="00921B6F">
          <w:rPr>
            <w:webHidden/>
          </w:rPr>
          <w:instrText xml:space="preserve"> PAGEREF _Toc158236352 \h </w:instrText>
        </w:r>
        <w:r w:rsidR="00921B6F">
          <w:rPr>
            <w:webHidden/>
          </w:rPr>
        </w:r>
        <w:r w:rsidR="00921B6F">
          <w:rPr>
            <w:webHidden/>
          </w:rPr>
          <w:fldChar w:fldCharType="separate"/>
        </w:r>
        <w:r w:rsidR="00D96D4E">
          <w:rPr>
            <w:webHidden/>
          </w:rPr>
          <w:t>8</w:t>
        </w:r>
        <w:r w:rsidR="00921B6F">
          <w:rPr>
            <w:webHidden/>
          </w:rPr>
          <w:fldChar w:fldCharType="end"/>
        </w:r>
      </w:hyperlink>
    </w:p>
    <w:p w14:paraId="56E73506" w14:textId="2E32D5C0" w:rsidR="00921B6F" w:rsidRDefault="00000000" w:rsidP="009B5F2E">
      <w:pPr>
        <w:pStyle w:val="TOC3"/>
        <w:rPr>
          <w:rFonts w:asciiTheme="minorHAnsi" w:eastAsiaTheme="minorEastAsia" w:hAnsiTheme="minorHAnsi" w:cstheme="minorBidi"/>
          <w:color w:val="auto"/>
          <w:kern w:val="2"/>
          <w:sz w:val="22"/>
          <w:lang w:eastAsia="en-AU"/>
          <w14:ligatures w14:val="standardContextual"/>
        </w:rPr>
      </w:pPr>
      <w:hyperlink w:anchor="_Toc158236353" w:history="1">
        <w:r w:rsidR="00921B6F" w:rsidRPr="00425729">
          <w:rPr>
            <w:rStyle w:val="Hyperlink"/>
          </w:rPr>
          <w:t>7.3</w:t>
        </w:r>
        <w:r w:rsidR="00921B6F">
          <w:rPr>
            <w:rFonts w:asciiTheme="minorHAnsi" w:eastAsiaTheme="minorEastAsia" w:hAnsiTheme="minorHAnsi" w:cstheme="minorBidi"/>
            <w:color w:val="auto"/>
            <w:kern w:val="2"/>
            <w:sz w:val="22"/>
            <w:lang w:eastAsia="en-AU"/>
            <w14:ligatures w14:val="standardContextual"/>
          </w:rPr>
          <w:tab/>
        </w:r>
        <w:r w:rsidR="00921B6F" w:rsidRPr="00425729">
          <w:rPr>
            <w:rStyle w:val="Hyperlink"/>
          </w:rPr>
          <w:t>Capital funding</w:t>
        </w:r>
        <w:r w:rsidR="00921B6F">
          <w:rPr>
            <w:webHidden/>
          </w:rPr>
          <w:tab/>
        </w:r>
        <w:r w:rsidR="00921B6F">
          <w:rPr>
            <w:webHidden/>
          </w:rPr>
          <w:fldChar w:fldCharType="begin"/>
        </w:r>
        <w:r w:rsidR="00921B6F">
          <w:rPr>
            <w:webHidden/>
          </w:rPr>
          <w:instrText xml:space="preserve"> PAGEREF _Toc158236353 \h </w:instrText>
        </w:r>
        <w:r w:rsidR="00921B6F">
          <w:rPr>
            <w:webHidden/>
          </w:rPr>
        </w:r>
        <w:r w:rsidR="00921B6F">
          <w:rPr>
            <w:webHidden/>
          </w:rPr>
          <w:fldChar w:fldCharType="separate"/>
        </w:r>
        <w:r w:rsidR="00D96D4E">
          <w:rPr>
            <w:webHidden/>
          </w:rPr>
          <w:t>8</w:t>
        </w:r>
        <w:r w:rsidR="00921B6F">
          <w:rPr>
            <w:webHidden/>
          </w:rPr>
          <w:fldChar w:fldCharType="end"/>
        </w:r>
      </w:hyperlink>
    </w:p>
    <w:p w14:paraId="7EEA0031" w14:textId="5A6EC76C" w:rsidR="00921B6F" w:rsidRDefault="00000000" w:rsidP="009B5F2E">
      <w:pPr>
        <w:pStyle w:val="TOC3"/>
        <w:rPr>
          <w:rFonts w:asciiTheme="minorHAnsi" w:eastAsiaTheme="minorEastAsia" w:hAnsiTheme="minorHAnsi" w:cstheme="minorBidi"/>
          <w:color w:val="auto"/>
          <w:kern w:val="2"/>
          <w:sz w:val="22"/>
          <w:lang w:eastAsia="en-AU"/>
          <w14:ligatures w14:val="standardContextual"/>
        </w:rPr>
      </w:pPr>
      <w:hyperlink w:anchor="_Toc158236354" w:history="1">
        <w:r w:rsidR="00921B6F" w:rsidRPr="00425729">
          <w:rPr>
            <w:rStyle w:val="Hyperlink"/>
          </w:rPr>
          <w:t>7.4</w:t>
        </w:r>
        <w:r w:rsidR="00921B6F">
          <w:rPr>
            <w:rFonts w:asciiTheme="minorHAnsi" w:eastAsiaTheme="minorEastAsia" w:hAnsiTheme="minorHAnsi" w:cstheme="minorBidi"/>
            <w:color w:val="auto"/>
            <w:kern w:val="2"/>
            <w:sz w:val="22"/>
            <w:lang w:eastAsia="en-AU"/>
            <w14:ligatures w14:val="standardContextual"/>
          </w:rPr>
          <w:tab/>
        </w:r>
        <w:r w:rsidR="00921B6F" w:rsidRPr="00425729">
          <w:rPr>
            <w:rStyle w:val="Hyperlink"/>
          </w:rPr>
          <w:t>Australian Government Capital Grants Program</w:t>
        </w:r>
        <w:r w:rsidR="00921B6F">
          <w:rPr>
            <w:webHidden/>
          </w:rPr>
          <w:tab/>
        </w:r>
        <w:r w:rsidR="00921B6F">
          <w:rPr>
            <w:webHidden/>
          </w:rPr>
          <w:fldChar w:fldCharType="begin"/>
        </w:r>
        <w:r w:rsidR="00921B6F">
          <w:rPr>
            <w:webHidden/>
          </w:rPr>
          <w:instrText xml:space="preserve"> PAGEREF _Toc158236354 \h </w:instrText>
        </w:r>
        <w:r w:rsidR="00921B6F">
          <w:rPr>
            <w:webHidden/>
          </w:rPr>
        </w:r>
        <w:r w:rsidR="00921B6F">
          <w:rPr>
            <w:webHidden/>
          </w:rPr>
          <w:fldChar w:fldCharType="separate"/>
        </w:r>
        <w:r w:rsidR="00D96D4E">
          <w:rPr>
            <w:webHidden/>
          </w:rPr>
          <w:t>8</w:t>
        </w:r>
        <w:r w:rsidR="00921B6F">
          <w:rPr>
            <w:webHidden/>
          </w:rPr>
          <w:fldChar w:fldCharType="end"/>
        </w:r>
      </w:hyperlink>
    </w:p>
    <w:p w14:paraId="72164FE8" w14:textId="0669F37E" w:rsidR="00921B6F" w:rsidRDefault="00000000">
      <w:pPr>
        <w:pStyle w:val="TOC2"/>
        <w:rPr>
          <w:rFonts w:asciiTheme="minorHAnsi" w:eastAsiaTheme="minorEastAsia" w:hAnsiTheme="minorHAnsi" w:cstheme="minorBidi"/>
          <w:bCs w:val="0"/>
          <w:caps w:val="0"/>
          <w:color w:val="auto"/>
          <w:kern w:val="2"/>
          <w:sz w:val="22"/>
          <w:lang w:eastAsia="en-AU"/>
          <w14:ligatures w14:val="standardContextual"/>
        </w:rPr>
      </w:pPr>
      <w:hyperlink w:anchor="_Toc158236355" w:history="1">
        <w:r w:rsidR="00921B6F" w:rsidRPr="00425729">
          <w:rPr>
            <w:rStyle w:val="Hyperlink"/>
          </w:rPr>
          <w:t>8.</w:t>
        </w:r>
        <w:r w:rsidR="00921B6F">
          <w:rPr>
            <w:rFonts w:asciiTheme="minorHAnsi" w:eastAsiaTheme="minorEastAsia" w:hAnsiTheme="minorHAnsi" w:cstheme="minorBidi"/>
            <w:bCs w:val="0"/>
            <w:caps w:val="0"/>
            <w:color w:val="auto"/>
            <w:kern w:val="2"/>
            <w:sz w:val="22"/>
            <w:lang w:eastAsia="en-AU"/>
            <w14:ligatures w14:val="standardContextual"/>
          </w:rPr>
          <w:tab/>
        </w:r>
        <w:r w:rsidR="00921B6F" w:rsidRPr="00425729">
          <w:rPr>
            <w:rStyle w:val="Hyperlink"/>
          </w:rPr>
          <w:t>School building funds</w:t>
        </w:r>
        <w:r w:rsidR="00921B6F">
          <w:rPr>
            <w:webHidden/>
          </w:rPr>
          <w:tab/>
        </w:r>
        <w:r w:rsidR="00921B6F">
          <w:rPr>
            <w:webHidden/>
          </w:rPr>
          <w:fldChar w:fldCharType="begin"/>
        </w:r>
        <w:r w:rsidR="00921B6F">
          <w:rPr>
            <w:webHidden/>
          </w:rPr>
          <w:instrText xml:space="preserve"> PAGEREF _Toc158236355 \h </w:instrText>
        </w:r>
        <w:r w:rsidR="00921B6F">
          <w:rPr>
            <w:webHidden/>
          </w:rPr>
        </w:r>
        <w:r w:rsidR="00921B6F">
          <w:rPr>
            <w:webHidden/>
          </w:rPr>
          <w:fldChar w:fldCharType="separate"/>
        </w:r>
        <w:r w:rsidR="00D96D4E">
          <w:rPr>
            <w:webHidden/>
          </w:rPr>
          <w:t>9</w:t>
        </w:r>
        <w:r w:rsidR="00921B6F">
          <w:rPr>
            <w:webHidden/>
          </w:rPr>
          <w:fldChar w:fldCharType="end"/>
        </w:r>
      </w:hyperlink>
    </w:p>
    <w:p w14:paraId="5D047E13" w14:textId="34ABD044" w:rsidR="00921B6F" w:rsidRDefault="00000000" w:rsidP="009B5F2E">
      <w:pPr>
        <w:pStyle w:val="TOC3"/>
        <w:rPr>
          <w:rFonts w:asciiTheme="minorHAnsi" w:eastAsiaTheme="minorEastAsia" w:hAnsiTheme="minorHAnsi" w:cstheme="minorBidi"/>
          <w:color w:val="auto"/>
          <w:kern w:val="2"/>
          <w:sz w:val="22"/>
          <w:lang w:eastAsia="en-AU"/>
          <w14:ligatures w14:val="standardContextual"/>
        </w:rPr>
      </w:pPr>
      <w:hyperlink w:anchor="_Toc158236356" w:history="1">
        <w:r w:rsidR="00921B6F" w:rsidRPr="00425729">
          <w:rPr>
            <w:rStyle w:val="Hyperlink"/>
          </w:rPr>
          <w:t>8.1</w:t>
        </w:r>
        <w:r w:rsidR="00921B6F">
          <w:rPr>
            <w:rFonts w:asciiTheme="minorHAnsi" w:eastAsiaTheme="minorEastAsia" w:hAnsiTheme="minorHAnsi" w:cstheme="minorBidi"/>
            <w:color w:val="auto"/>
            <w:kern w:val="2"/>
            <w:sz w:val="22"/>
            <w:lang w:eastAsia="en-AU"/>
            <w14:ligatures w14:val="standardContextual"/>
          </w:rPr>
          <w:tab/>
        </w:r>
        <w:r w:rsidR="00921B6F" w:rsidRPr="00425729">
          <w:rPr>
            <w:rStyle w:val="Hyperlink"/>
          </w:rPr>
          <w:t>Private Benefit</w:t>
        </w:r>
        <w:r w:rsidR="00921B6F">
          <w:rPr>
            <w:webHidden/>
          </w:rPr>
          <w:tab/>
        </w:r>
        <w:r w:rsidR="00921B6F">
          <w:rPr>
            <w:webHidden/>
          </w:rPr>
          <w:fldChar w:fldCharType="begin"/>
        </w:r>
        <w:r w:rsidR="00921B6F">
          <w:rPr>
            <w:webHidden/>
          </w:rPr>
          <w:instrText xml:space="preserve"> PAGEREF _Toc158236356 \h </w:instrText>
        </w:r>
        <w:r w:rsidR="00921B6F">
          <w:rPr>
            <w:webHidden/>
          </w:rPr>
        </w:r>
        <w:r w:rsidR="00921B6F">
          <w:rPr>
            <w:webHidden/>
          </w:rPr>
          <w:fldChar w:fldCharType="separate"/>
        </w:r>
        <w:r w:rsidR="00D96D4E">
          <w:rPr>
            <w:webHidden/>
          </w:rPr>
          <w:t>10</w:t>
        </w:r>
        <w:r w:rsidR="00921B6F">
          <w:rPr>
            <w:webHidden/>
          </w:rPr>
          <w:fldChar w:fldCharType="end"/>
        </w:r>
      </w:hyperlink>
    </w:p>
    <w:p w14:paraId="1065966B" w14:textId="4224D026" w:rsidR="00921B6F" w:rsidRDefault="00000000" w:rsidP="009B5F2E">
      <w:pPr>
        <w:pStyle w:val="TOC3"/>
        <w:rPr>
          <w:rFonts w:asciiTheme="minorHAnsi" w:eastAsiaTheme="minorEastAsia" w:hAnsiTheme="minorHAnsi" w:cstheme="minorBidi"/>
          <w:color w:val="auto"/>
          <w:kern w:val="2"/>
          <w:sz w:val="22"/>
          <w:lang w:eastAsia="en-AU"/>
          <w14:ligatures w14:val="standardContextual"/>
        </w:rPr>
      </w:pPr>
      <w:hyperlink w:anchor="_Toc158236357" w:history="1">
        <w:r w:rsidR="00921B6F" w:rsidRPr="00425729">
          <w:rPr>
            <w:rStyle w:val="Hyperlink"/>
          </w:rPr>
          <w:t xml:space="preserve">8.2 </w:t>
        </w:r>
        <w:r w:rsidR="00921B6F">
          <w:rPr>
            <w:rFonts w:asciiTheme="minorHAnsi" w:eastAsiaTheme="minorEastAsia" w:hAnsiTheme="minorHAnsi" w:cstheme="minorBidi"/>
            <w:color w:val="auto"/>
            <w:kern w:val="2"/>
            <w:sz w:val="22"/>
            <w:lang w:eastAsia="en-AU"/>
            <w14:ligatures w14:val="standardContextual"/>
          </w:rPr>
          <w:tab/>
        </w:r>
        <w:r w:rsidR="00921B6F" w:rsidRPr="00425729">
          <w:rPr>
            <w:rStyle w:val="Hyperlink"/>
          </w:rPr>
          <w:t>Impact of the removal of DGR status for school building funds</w:t>
        </w:r>
        <w:r w:rsidR="00921B6F">
          <w:rPr>
            <w:webHidden/>
          </w:rPr>
          <w:tab/>
        </w:r>
        <w:r w:rsidR="00921B6F">
          <w:rPr>
            <w:webHidden/>
          </w:rPr>
          <w:fldChar w:fldCharType="begin"/>
        </w:r>
        <w:r w:rsidR="00921B6F">
          <w:rPr>
            <w:webHidden/>
          </w:rPr>
          <w:instrText xml:space="preserve"> PAGEREF _Toc158236357 \h </w:instrText>
        </w:r>
        <w:r w:rsidR="00921B6F">
          <w:rPr>
            <w:webHidden/>
          </w:rPr>
        </w:r>
        <w:r w:rsidR="00921B6F">
          <w:rPr>
            <w:webHidden/>
          </w:rPr>
          <w:fldChar w:fldCharType="separate"/>
        </w:r>
        <w:r w:rsidR="00D96D4E">
          <w:rPr>
            <w:webHidden/>
          </w:rPr>
          <w:t>12</w:t>
        </w:r>
        <w:r w:rsidR="00921B6F">
          <w:rPr>
            <w:webHidden/>
          </w:rPr>
          <w:fldChar w:fldCharType="end"/>
        </w:r>
      </w:hyperlink>
    </w:p>
    <w:p w14:paraId="24482F7C" w14:textId="7FDE44E2" w:rsidR="00921B6F" w:rsidRDefault="00000000">
      <w:pPr>
        <w:pStyle w:val="TOC2"/>
        <w:rPr>
          <w:rFonts w:asciiTheme="minorHAnsi" w:eastAsiaTheme="minorEastAsia" w:hAnsiTheme="minorHAnsi" w:cstheme="minorBidi"/>
          <w:bCs w:val="0"/>
          <w:caps w:val="0"/>
          <w:color w:val="auto"/>
          <w:kern w:val="2"/>
          <w:sz w:val="22"/>
          <w:lang w:eastAsia="en-AU"/>
          <w14:ligatures w14:val="standardContextual"/>
        </w:rPr>
      </w:pPr>
      <w:hyperlink w:anchor="_Toc158236358" w:history="1">
        <w:r w:rsidR="00921B6F" w:rsidRPr="00425729">
          <w:rPr>
            <w:rStyle w:val="Hyperlink"/>
          </w:rPr>
          <w:t xml:space="preserve">9. </w:t>
        </w:r>
        <w:r w:rsidR="00921B6F">
          <w:rPr>
            <w:rFonts w:asciiTheme="minorHAnsi" w:eastAsiaTheme="minorEastAsia" w:hAnsiTheme="minorHAnsi" w:cstheme="minorBidi"/>
            <w:bCs w:val="0"/>
            <w:caps w:val="0"/>
            <w:color w:val="auto"/>
            <w:kern w:val="2"/>
            <w:sz w:val="22"/>
            <w:lang w:eastAsia="en-AU"/>
            <w14:ligatures w14:val="standardContextual"/>
          </w:rPr>
          <w:tab/>
        </w:r>
        <w:r w:rsidR="00921B6F" w:rsidRPr="00425729">
          <w:rPr>
            <w:rStyle w:val="Hyperlink"/>
          </w:rPr>
          <w:t>Scholarships</w:t>
        </w:r>
        <w:r w:rsidR="00921B6F">
          <w:rPr>
            <w:webHidden/>
          </w:rPr>
          <w:tab/>
        </w:r>
        <w:r w:rsidR="00921B6F">
          <w:rPr>
            <w:webHidden/>
          </w:rPr>
          <w:fldChar w:fldCharType="begin"/>
        </w:r>
        <w:r w:rsidR="00921B6F">
          <w:rPr>
            <w:webHidden/>
          </w:rPr>
          <w:instrText xml:space="preserve"> PAGEREF _Toc158236358 \h </w:instrText>
        </w:r>
        <w:r w:rsidR="00921B6F">
          <w:rPr>
            <w:webHidden/>
          </w:rPr>
        </w:r>
        <w:r w:rsidR="00921B6F">
          <w:rPr>
            <w:webHidden/>
          </w:rPr>
          <w:fldChar w:fldCharType="separate"/>
        </w:r>
        <w:r w:rsidR="00D96D4E">
          <w:rPr>
            <w:webHidden/>
          </w:rPr>
          <w:t>12</w:t>
        </w:r>
        <w:r w:rsidR="00921B6F">
          <w:rPr>
            <w:webHidden/>
          </w:rPr>
          <w:fldChar w:fldCharType="end"/>
        </w:r>
      </w:hyperlink>
    </w:p>
    <w:p w14:paraId="00526CC3" w14:textId="29744FF7" w:rsidR="00921B6F" w:rsidRDefault="00000000">
      <w:pPr>
        <w:pStyle w:val="TOC2"/>
        <w:rPr>
          <w:rFonts w:asciiTheme="minorHAnsi" w:eastAsiaTheme="minorEastAsia" w:hAnsiTheme="minorHAnsi" w:cstheme="minorBidi"/>
          <w:bCs w:val="0"/>
          <w:caps w:val="0"/>
          <w:color w:val="auto"/>
          <w:kern w:val="2"/>
          <w:sz w:val="22"/>
          <w:lang w:eastAsia="en-AU"/>
          <w14:ligatures w14:val="standardContextual"/>
        </w:rPr>
      </w:pPr>
      <w:hyperlink w:anchor="_Toc158236359" w:history="1">
        <w:r w:rsidR="00921B6F" w:rsidRPr="00425729">
          <w:rPr>
            <w:rStyle w:val="Hyperlink"/>
          </w:rPr>
          <w:t xml:space="preserve">10. </w:t>
        </w:r>
        <w:r w:rsidR="00921B6F">
          <w:rPr>
            <w:rFonts w:asciiTheme="minorHAnsi" w:eastAsiaTheme="minorEastAsia" w:hAnsiTheme="minorHAnsi" w:cstheme="minorBidi"/>
            <w:bCs w:val="0"/>
            <w:caps w:val="0"/>
            <w:color w:val="auto"/>
            <w:kern w:val="2"/>
            <w:sz w:val="22"/>
            <w:lang w:eastAsia="en-AU"/>
            <w14:ligatures w14:val="standardContextual"/>
          </w:rPr>
          <w:tab/>
        </w:r>
        <w:r w:rsidR="00921B6F" w:rsidRPr="00425729">
          <w:rPr>
            <w:rStyle w:val="Hyperlink"/>
          </w:rPr>
          <w:t>Opportunities to grow Philanthropic giving in schools</w:t>
        </w:r>
        <w:r w:rsidR="00921B6F">
          <w:rPr>
            <w:webHidden/>
          </w:rPr>
          <w:tab/>
        </w:r>
        <w:r w:rsidR="00921B6F">
          <w:rPr>
            <w:webHidden/>
          </w:rPr>
          <w:fldChar w:fldCharType="begin"/>
        </w:r>
        <w:r w:rsidR="00921B6F">
          <w:rPr>
            <w:webHidden/>
          </w:rPr>
          <w:instrText xml:space="preserve"> PAGEREF _Toc158236359 \h </w:instrText>
        </w:r>
        <w:r w:rsidR="00921B6F">
          <w:rPr>
            <w:webHidden/>
          </w:rPr>
        </w:r>
        <w:r w:rsidR="00921B6F">
          <w:rPr>
            <w:webHidden/>
          </w:rPr>
          <w:fldChar w:fldCharType="separate"/>
        </w:r>
        <w:r w:rsidR="00D96D4E">
          <w:rPr>
            <w:webHidden/>
          </w:rPr>
          <w:t>12</w:t>
        </w:r>
        <w:r w:rsidR="00921B6F">
          <w:rPr>
            <w:webHidden/>
          </w:rPr>
          <w:fldChar w:fldCharType="end"/>
        </w:r>
      </w:hyperlink>
    </w:p>
    <w:p w14:paraId="7523179B" w14:textId="3B350AEF" w:rsidR="00921B6F" w:rsidRDefault="00000000">
      <w:pPr>
        <w:pStyle w:val="TOC2"/>
        <w:rPr>
          <w:rFonts w:asciiTheme="minorHAnsi" w:eastAsiaTheme="minorEastAsia" w:hAnsiTheme="minorHAnsi" w:cstheme="minorBidi"/>
          <w:bCs w:val="0"/>
          <w:caps w:val="0"/>
          <w:color w:val="auto"/>
          <w:kern w:val="2"/>
          <w:sz w:val="22"/>
          <w:lang w:eastAsia="en-AU"/>
          <w14:ligatures w14:val="standardContextual"/>
        </w:rPr>
      </w:pPr>
      <w:hyperlink w:anchor="_Toc158236360" w:history="1">
        <w:r w:rsidR="00921B6F" w:rsidRPr="00425729">
          <w:rPr>
            <w:rStyle w:val="Hyperlink"/>
          </w:rPr>
          <w:t xml:space="preserve">10. </w:t>
        </w:r>
        <w:r w:rsidR="00921B6F">
          <w:rPr>
            <w:rFonts w:asciiTheme="minorHAnsi" w:eastAsiaTheme="minorEastAsia" w:hAnsiTheme="minorHAnsi" w:cstheme="minorBidi"/>
            <w:bCs w:val="0"/>
            <w:caps w:val="0"/>
            <w:color w:val="auto"/>
            <w:kern w:val="2"/>
            <w:sz w:val="22"/>
            <w:lang w:eastAsia="en-AU"/>
            <w14:ligatures w14:val="standardContextual"/>
          </w:rPr>
          <w:tab/>
        </w:r>
        <w:r w:rsidR="00921B6F" w:rsidRPr="00425729">
          <w:rPr>
            <w:rStyle w:val="Hyperlink"/>
          </w:rPr>
          <w:t>CONCLUSION</w:t>
        </w:r>
        <w:r w:rsidR="00921B6F">
          <w:rPr>
            <w:webHidden/>
          </w:rPr>
          <w:tab/>
        </w:r>
        <w:r w:rsidR="00921B6F">
          <w:rPr>
            <w:webHidden/>
          </w:rPr>
          <w:fldChar w:fldCharType="begin"/>
        </w:r>
        <w:r w:rsidR="00921B6F">
          <w:rPr>
            <w:webHidden/>
          </w:rPr>
          <w:instrText xml:space="preserve"> PAGEREF _Toc158236360 \h </w:instrText>
        </w:r>
        <w:r w:rsidR="00921B6F">
          <w:rPr>
            <w:webHidden/>
          </w:rPr>
        </w:r>
        <w:r w:rsidR="00921B6F">
          <w:rPr>
            <w:webHidden/>
          </w:rPr>
          <w:fldChar w:fldCharType="separate"/>
        </w:r>
        <w:r w:rsidR="00D96D4E">
          <w:rPr>
            <w:webHidden/>
          </w:rPr>
          <w:t>13</w:t>
        </w:r>
        <w:r w:rsidR="00921B6F">
          <w:rPr>
            <w:webHidden/>
          </w:rPr>
          <w:fldChar w:fldCharType="end"/>
        </w:r>
      </w:hyperlink>
    </w:p>
    <w:p w14:paraId="3328636D" w14:textId="5E4D79F0" w:rsidR="009578CB" w:rsidRDefault="00310148" w:rsidP="009578CB">
      <w:r>
        <w:rPr>
          <w:rFonts w:ascii="Nunito ExtraLight" w:hAnsi="Nunito ExtraLight"/>
          <w:caps/>
          <w:noProof/>
          <w:color w:val="000000" w:themeColor="text1"/>
          <w:sz w:val="24"/>
        </w:rPr>
        <w:fldChar w:fldCharType="end"/>
      </w:r>
    </w:p>
    <w:p w14:paraId="385568B4" w14:textId="5B64A191" w:rsidR="00310148" w:rsidRDefault="00310148" w:rsidP="009578CB"/>
    <w:p w14:paraId="0181A034" w14:textId="77777777" w:rsidR="00E972D4" w:rsidRDefault="00E972D4" w:rsidP="00E972D4"/>
    <w:p w14:paraId="1476A6EF" w14:textId="53C7282A" w:rsidR="009578CB" w:rsidRDefault="009578CB" w:rsidP="00E972D4">
      <w:pPr>
        <w:pStyle w:val="TableofFigures"/>
      </w:pPr>
    </w:p>
    <w:p w14:paraId="49B7A2DB" w14:textId="77777777" w:rsidR="009578CB" w:rsidRDefault="009578CB" w:rsidP="009578CB"/>
    <w:p w14:paraId="7BD8360F" w14:textId="77777777" w:rsidR="00B57262" w:rsidRDefault="00B57262" w:rsidP="006407AF">
      <w:pPr>
        <w:pStyle w:val="ISATopOfPage"/>
        <w:sectPr w:rsidR="00B57262" w:rsidSect="00BA297D">
          <w:headerReference w:type="even" r:id="rId21"/>
          <w:headerReference w:type="default" r:id="rId22"/>
          <w:footerReference w:type="even" r:id="rId23"/>
          <w:footerReference w:type="default" r:id="rId24"/>
          <w:headerReference w:type="first" r:id="rId25"/>
          <w:footerReference w:type="first" r:id="rId26"/>
          <w:pgSz w:w="11907" w:h="16839" w:code="9"/>
          <w:pgMar w:top="1894" w:right="1440" w:bottom="1894" w:left="1440" w:header="850" w:footer="850" w:gutter="0"/>
          <w:pgNumType w:start="3"/>
          <w:cols w:space="454"/>
          <w:docGrid w:linePitch="360"/>
        </w:sectPr>
      </w:pPr>
    </w:p>
    <w:p w14:paraId="6B77F02C" w14:textId="05FD1579" w:rsidR="006407AF" w:rsidRPr="004E1837" w:rsidRDefault="004E405D" w:rsidP="004E1837">
      <w:pPr>
        <w:pStyle w:val="Heading2"/>
      </w:pPr>
      <w:bookmarkStart w:id="15" w:name="_Toc158236344"/>
      <w:r>
        <w:lastRenderedPageBreak/>
        <w:t>1.</w:t>
      </w:r>
      <w:r>
        <w:tab/>
      </w:r>
      <w:r w:rsidR="001031B7">
        <w:t>About</w:t>
      </w:r>
      <w:r w:rsidR="00FF37C3">
        <w:t xml:space="preserve"> Independent </w:t>
      </w:r>
      <w:r w:rsidR="00824972">
        <w:t>Schools</w:t>
      </w:r>
      <w:r w:rsidR="00FF37C3">
        <w:t xml:space="preserve"> Australia</w:t>
      </w:r>
      <w:bookmarkEnd w:id="15"/>
    </w:p>
    <w:p w14:paraId="26A1A277" w14:textId="265118A0" w:rsidR="00051419" w:rsidRDefault="00051419" w:rsidP="00171459">
      <w:r>
        <w:t xml:space="preserve">Independent Schools Australia (ISA) is the national peak body representing the Independent school sector. Working with the eight state and territory Associations of Independent Schools (AISs), ISA’s major role is to represent the sector on national issues and bring the unique needs of Independent schools to the attention of the Australian </w:t>
      </w:r>
      <w:r w:rsidR="001031B7">
        <w:t>Government</w:t>
      </w:r>
      <w:r>
        <w:t xml:space="preserve"> and community.</w:t>
      </w:r>
    </w:p>
    <w:p w14:paraId="21E26D33" w14:textId="2D1D451F" w:rsidR="00051419" w:rsidRDefault="00071108" w:rsidP="00051419">
      <w:r>
        <w:t xml:space="preserve">Nationally, </w:t>
      </w:r>
      <w:r w:rsidR="00051419">
        <w:t>688,638 students attend 1</w:t>
      </w:r>
      <w:r w:rsidR="00992BC9">
        <w:t>,</w:t>
      </w:r>
      <w:r w:rsidR="00051419">
        <w:t xml:space="preserve">209 Independent schools, and the latest available data shows that one in six Australian school students attends an Independent school and over one in five secondary students </w:t>
      </w:r>
      <w:r w:rsidR="0090152C">
        <w:t>attends</w:t>
      </w:r>
      <w:r w:rsidR="00051419">
        <w:t xml:space="preserve"> an Independent school. These schools employ around 115,000 people. </w:t>
      </w:r>
    </w:p>
    <w:p w14:paraId="0683F953" w14:textId="79A308F7" w:rsidR="00051419" w:rsidRDefault="00896F40" w:rsidP="00051419">
      <w:r>
        <w:t xml:space="preserve">Independent </w:t>
      </w:r>
      <w:r w:rsidR="00051419">
        <w:t xml:space="preserve">schools are a diverse group and serve a wide range of communities. The median fee for an Independent school in 2021 was around $5,300, and the majority of Independent </w:t>
      </w:r>
      <w:r w:rsidR="004050EF">
        <w:t>s</w:t>
      </w:r>
      <w:r w:rsidR="00051419">
        <w:t xml:space="preserve">chools charge fees in the range of $3,000 – $5,500. </w:t>
      </w:r>
    </w:p>
    <w:p w14:paraId="100096AF" w14:textId="2EEBA038" w:rsidR="00051419" w:rsidRDefault="00051419" w:rsidP="00051419">
      <w:r>
        <w:t xml:space="preserve">Most families with children enrolled in non-government schools are middle-to-low-income earners, increasingly from </w:t>
      </w:r>
      <w:r w:rsidR="002174DD">
        <w:t>culturally diverse</w:t>
      </w:r>
      <w:r>
        <w:t xml:space="preserve"> backgrounds, and residing in outer-suburban and inner-suburban communities. Many of these families are currently facing economic stress and are making substantial sacrifices for their children’s education. </w:t>
      </w:r>
    </w:p>
    <w:p w14:paraId="01A16D87" w14:textId="2E7BDD6F" w:rsidR="00051419" w:rsidRDefault="00051419" w:rsidP="00051419">
      <w:r>
        <w:t>Independent schools are long-established partners in Australia’s education system, alongside government and Catholic schools. They make a valuable contribution to society and the learning and wellbeing of Australian children</w:t>
      </w:r>
      <w:r w:rsidR="004E1837">
        <w:t>.</w:t>
      </w:r>
    </w:p>
    <w:p w14:paraId="29F48FF9" w14:textId="4CAA2147" w:rsidR="004E1837" w:rsidRDefault="004E1837" w:rsidP="004E1837">
      <w:r>
        <w:t xml:space="preserve">Many Independent schools provide a religious or values-based education. Others promote a specific educational philosophy or interpretation of mainstream education. </w:t>
      </w:r>
      <w:r w:rsidR="0090152C">
        <w:t>Many</w:t>
      </w:r>
      <w:r>
        <w:t xml:space="preserve"> Independent schools have been established by community groups seeking to meet particular needs or to reflect the religious values of a community. Independent Catholic schools are a significant part of the sector, accounting for eight per cent of the Independent sector’s enrolments.</w:t>
      </w:r>
    </w:p>
    <w:p w14:paraId="74DC78DB" w14:textId="7B83B800" w:rsidR="004E1837" w:rsidRDefault="004E1837" w:rsidP="004E1837">
      <w:r>
        <w:t>Most Independent schools are set up and governed independently on an individual school basis. However, some Independent schools with common aims and educational philosophies are governed and administered as systems, for example</w:t>
      </w:r>
      <w:r w:rsidR="00534027">
        <w:t>,</w:t>
      </w:r>
      <w:r>
        <w:t xml:space="preserve"> Lutheran schools. Systemic schools account for 20 per cent of schools in the Independent sector. Four out of five schools in the sector are autonomous non-systemic schools. </w:t>
      </w:r>
    </w:p>
    <w:p w14:paraId="39798A9F" w14:textId="585530A8" w:rsidR="004E1837" w:rsidRPr="004E1837" w:rsidRDefault="004E405D" w:rsidP="004E1837">
      <w:pPr>
        <w:pStyle w:val="Heading2"/>
      </w:pPr>
      <w:bookmarkStart w:id="16" w:name="_Toc157759560"/>
      <w:bookmarkStart w:id="17" w:name="_Toc158236345"/>
      <w:r>
        <w:t xml:space="preserve">2.  </w:t>
      </w:r>
      <w:r>
        <w:tab/>
      </w:r>
      <w:r w:rsidR="0057321A">
        <w:t>introduction</w:t>
      </w:r>
      <w:bookmarkEnd w:id="16"/>
      <w:bookmarkEnd w:id="17"/>
    </w:p>
    <w:p w14:paraId="0D283375" w14:textId="2531609B" w:rsidR="004E1837" w:rsidRDefault="004E1837" w:rsidP="004E1837">
      <w:r>
        <w:t xml:space="preserve">In February 2023, the Productivity Commission was asked to undertake an Inquiry </w:t>
      </w:r>
      <w:r w:rsidR="00534027">
        <w:t>into</w:t>
      </w:r>
      <w:r>
        <w:t xml:space="preserve"> Philanthropic Giving. The Terms of Reference for the Inquiry note the importance of p</w:t>
      </w:r>
      <w:r w:rsidRPr="004E1837">
        <w:t>hilanthrop</w:t>
      </w:r>
      <w:r>
        <w:t>y</w:t>
      </w:r>
      <w:r w:rsidRPr="004E1837">
        <w:t xml:space="preserve"> </w:t>
      </w:r>
      <w:r>
        <w:t>as it “</w:t>
      </w:r>
      <w:r w:rsidRPr="004E1837">
        <w:t>underpins the crucial efforts of charities, not-for-profit organisations and community groups to support vulnerable Australians and build social capital and connectedness in Australian communities</w:t>
      </w:r>
      <w:r>
        <w:t>”</w:t>
      </w:r>
      <w:r>
        <w:rPr>
          <w:rStyle w:val="FootnoteReference"/>
        </w:rPr>
        <w:footnoteReference w:id="2"/>
      </w:r>
      <w:r>
        <w:t xml:space="preserve">. The Terms of Reference also clearly state the </w:t>
      </w:r>
      <w:r w:rsidRPr="004E1837">
        <w:t xml:space="preserve">purpose of the </w:t>
      </w:r>
      <w:r>
        <w:t>I</w:t>
      </w:r>
      <w:r w:rsidRPr="004E1837">
        <w:t xml:space="preserve">nquiry </w:t>
      </w:r>
      <w:r>
        <w:t>which is to better understand p</w:t>
      </w:r>
      <w:r w:rsidRPr="004E1837">
        <w:t xml:space="preserve">hilanthropic giving and to identify opportunities and obstacles to increasing </w:t>
      </w:r>
      <w:r>
        <w:t xml:space="preserve">philanthropy in Australia. </w:t>
      </w:r>
    </w:p>
    <w:p w14:paraId="784AB2E2" w14:textId="5615D8DD" w:rsidR="009A28CA" w:rsidRDefault="00D9317A" w:rsidP="004E1837">
      <w:r w:rsidRPr="004E1837">
        <w:t xml:space="preserve">The Productivity Commission’s draft </w:t>
      </w:r>
      <w:r w:rsidR="00D13822" w:rsidRPr="004E1837">
        <w:t>report</w:t>
      </w:r>
      <w:r w:rsidR="00D13822">
        <w:t xml:space="preserve"> </w:t>
      </w:r>
      <w:r w:rsidR="00D13822" w:rsidRPr="004E1837">
        <w:t>–</w:t>
      </w:r>
      <w:r w:rsidRPr="004E1837">
        <w:t xml:space="preserve"> </w:t>
      </w:r>
      <w:r w:rsidRPr="004E1837">
        <w:rPr>
          <w:i/>
          <w:iCs/>
        </w:rPr>
        <w:t>Future Foundations for Giving</w:t>
      </w:r>
      <w:r w:rsidRPr="004E1837">
        <w:t xml:space="preserve"> – has provided a range of recommendations </w:t>
      </w:r>
      <w:r w:rsidR="00534027">
        <w:t>about</w:t>
      </w:r>
      <w:r w:rsidRPr="004E1837">
        <w:t xml:space="preserve"> philanthropic giving in Australia</w:t>
      </w:r>
      <w:r>
        <w:t>. I</w:t>
      </w:r>
      <w:r w:rsidR="009A28CA">
        <w:t xml:space="preserve">ndependent </w:t>
      </w:r>
      <w:r>
        <w:t>S</w:t>
      </w:r>
      <w:r w:rsidR="009A28CA">
        <w:t xml:space="preserve">chools </w:t>
      </w:r>
      <w:r>
        <w:t>A</w:t>
      </w:r>
      <w:r w:rsidR="009A28CA">
        <w:t>ustralia (ISA)</w:t>
      </w:r>
      <w:r>
        <w:t xml:space="preserve"> welcomes this opportunity to provide feedback </w:t>
      </w:r>
      <w:r w:rsidR="0061562D">
        <w:t>on</w:t>
      </w:r>
      <w:r>
        <w:t xml:space="preserve"> the draft report.</w:t>
      </w:r>
      <w:r w:rsidR="00140FBF">
        <w:t xml:space="preserve"> The eight state and territory Associations of Independent Schools have been consulted in the development of this submission</w:t>
      </w:r>
      <w:r w:rsidR="00E01B5E">
        <w:t xml:space="preserve">, and through them </w:t>
      </w:r>
      <w:r w:rsidR="00E20A90">
        <w:t>over 1200</w:t>
      </w:r>
      <w:r w:rsidR="00E01B5E">
        <w:t xml:space="preserve"> Independent school</w:t>
      </w:r>
      <w:r w:rsidR="005F6E53">
        <w:t xml:space="preserve">s and </w:t>
      </w:r>
      <w:r w:rsidR="00644ABD">
        <w:t>their communities</w:t>
      </w:r>
      <w:r w:rsidR="00140FBF">
        <w:t>.</w:t>
      </w:r>
    </w:p>
    <w:p w14:paraId="7C209265" w14:textId="0D51018D" w:rsidR="004E1837" w:rsidRDefault="009A28CA" w:rsidP="004E1837">
      <w:r>
        <w:t>I</w:t>
      </w:r>
      <w:r w:rsidR="00B73193">
        <w:t>SA</w:t>
      </w:r>
      <w:r>
        <w:t>’s initial</w:t>
      </w:r>
      <w:r w:rsidR="004E1837">
        <w:t xml:space="preserve"> submission to the Inquiry outlin</w:t>
      </w:r>
      <w:r>
        <w:t>ed</w:t>
      </w:r>
      <w:r w:rsidR="004E1837">
        <w:t xml:space="preserve"> the role of Independent schools in fostering a culture of giving in students and their broader school communities. The submission also noted the charitable status of schools and the</w:t>
      </w:r>
      <w:r w:rsidR="00C2163C">
        <w:t xml:space="preserve"> important but</w:t>
      </w:r>
      <w:r w:rsidR="004E1837">
        <w:t xml:space="preserve"> limited access to </w:t>
      </w:r>
      <w:r w:rsidR="004E1837" w:rsidRPr="004E1837">
        <w:t>Deductible Gift Recipient (DGR)</w:t>
      </w:r>
      <w:r w:rsidR="004E1837">
        <w:t xml:space="preserve"> status to support specific activities in schools </w:t>
      </w:r>
      <w:r w:rsidR="00402367">
        <w:t xml:space="preserve">i.e., </w:t>
      </w:r>
      <w:r w:rsidR="004E1837">
        <w:t>school building funds, scholarship funds and libraries.</w:t>
      </w:r>
    </w:p>
    <w:p w14:paraId="1EDA4103" w14:textId="4AF7785A" w:rsidR="00705699" w:rsidRDefault="00705699" w:rsidP="004E1837">
      <w:r>
        <w:t>The draft report includes a range of recommendations</w:t>
      </w:r>
      <w:r w:rsidRPr="004E1837">
        <w:t xml:space="preserve"> including a recommendation </w:t>
      </w:r>
      <w:r w:rsidR="00977573">
        <w:t xml:space="preserve">in </w:t>
      </w:r>
      <w:r w:rsidR="00977573" w:rsidRPr="00541E5A">
        <w:rPr>
          <w:i/>
          <w:iCs/>
        </w:rPr>
        <w:t>Part 6 – Refor</w:t>
      </w:r>
      <w:r w:rsidR="00541E5A" w:rsidRPr="00541E5A">
        <w:rPr>
          <w:i/>
          <w:iCs/>
        </w:rPr>
        <w:t>m</w:t>
      </w:r>
      <w:r w:rsidR="00977573" w:rsidRPr="00541E5A">
        <w:rPr>
          <w:i/>
          <w:iCs/>
        </w:rPr>
        <w:t xml:space="preserve">ing the Deductible </w:t>
      </w:r>
      <w:r w:rsidR="00541E5A" w:rsidRPr="00541E5A">
        <w:rPr>
          <w:i/>
          <w:iCs/>
        </w:rPr>
        <w:t xml:space="preserve">Gift </w:t>
      </w:r>
      <w:r w:rsidR="00977573" w:rsidRPr="00541E5A">
        <w:rPr>
          <w:i/>
          <w:iCs/>
        </w:rPr>
        <w:t xml:space="preserve">Recipient </w:t>
      </w:r>
      <w:r w:rsidR="00541E5A" w:rsidRPr="00541E5A">
        <w:rPr>
          <w:i/>
          <w:iCs/>
        </w:rPr>
        <w:t>System</w:t>
      </w:r>
      <w:r w:rsidR="00541E5A">
        <w:t xml:space="preserve"> </w:t>
      </w:r>
      <w:r w:rsidRPr="004E1837">
        <w:t xml:space="preserve">to remove DGR status for school building funds on </w:t>
      </w:r>
      <w:r w:rsidRPr="004E1837">
        <w:lastRenderedPageBreak/>
        <w:t>the basis that there is “the potential for a donor to be able to convert a tax-deductible donation into a private benefit.”</w:t>
      </w:r>
    </w:p>
    <w:p w14:paraId="14A879D3" w14:textId="0CCA9B26" w:rsidR="002A38F1" w:rsidRDefault="002A38F1" w:rsidP="004E1837">
      <w:r w:rsidRPr="004E1837">
        <w:t xml:space="preserve">Independent schools fund the majority of their capital costs (building and equipment) </w:t>
      </w:r>
      <w:r w:rsidR="004959DB">
        <w:t xml:space="preserve">from private sources including parental fees, </w:t>
      </w:r>
      <w:r w:rsidRPr="004E1837">
        <w:t>external (borrowed) finance</w:t>
      </w:r>
      <w:r w:rsidR="00954558">
        <w:t xml:space="preserve"> and </w:t>
      </w:r>
      <w:r w:rsidRPr="004E1837">
        <w:t xml:space="preserve">DGR </w:t>
      </w:r>
      <w:r w:rsidR="009466D0">
        <w:t>donations</w:t>
      </w:r>
      <w:r w:rsidR="00954558">
        <w:t xml:space="preserve">. </w:t>
      </w:r>
      <w:r w:rsidRPr="004E1837">
        <w:t>While there is access to small amounts of capital funding assistance provided by the Commonwealth and state/territory governments</w:t>
      </w:r>
      <w:r w:rsidR="00954558">
        <w:t xml:space="preserve">, </w:t>
      </w:r>
      <w:r w:rsidRPr="004E1837">
        <w:t>the majority of the capital funding burden</w:t>
      </w:r>
      <w:r w:rsidR="002A1B7B">
        <w:t xml:space="preserve"> </w:t>
      </w:r>
      <w:r w:rsidR="00EB2F22">
        <w:t>–</w:t>
      </w:r>
      <w:r w:rsidR="002A1B7B">
        <w:t xml:space="preserve"> </w:t>
      </w:r>
      <w:r w:rsidR="00E27F5A">
        <w:t>close to 90</w:t>
      </w:r>
      <w:r w:rsidR="00F2646B">
        <w:t xml:space="preserve"> per cent</w:t>
      </w:r>
      <w:r w:rsidR="002A1B7B">
        <w:t xml:space="preserve"> -</w:t>
      </w:r>
      <w:r w:rsidRPr="004E1837">
        <w:t xml:space="preserve"> falls directly upon the school to source. </w:t>
      </w:r>
    </w:p>
    <w:p w14:paraId="4FEDEFFC" w14:textId="6CF1B9F3" w:rsidR="00035011" w:rsidRDefault="004E1837" w:rsidP="004E1837">
      <w:r w:rsidRPr="004E1837">
        <w:t>I</w:t>
      </w:r>
      <w:r w:rsidR="00A135EE">
        <w:t xml:space="preserve">ndependent schools, families and school communities </w:t>
      </w:r>
      <w:r w:rsidR="00657C81">
        <w:t>around Australia have expressed concern and anger a</w:t>
      </w:r>
      <w:r w:rsidR="0061562D">
        <w:t>bout</w:t>
      </w:r>
      <w:r>
        <w:t xml:space="preserve"> the inclusion of this recommendation </w:t>
      </w:r>
      <w:r w:rsidR="00035011">
        <w:t>in the draft report</w:t>
      </w:r>
      <w:r w:rsidR="001D6EC1">
        <w:t xml:space="preserve">. Removing </w:t>
      </w:r>
      <w:r w:rsidR="00035011">
        <w:t>DGR status for school building funds</w:t>
      </w:r>
      <w:r w:rsidRPr="004E1837">
        <w:t xml:space="preserve"> w</w:t>
      </w:r>
      <w:r w:rsidR="00D91571">
        <w:t>ould</w:t>
      </w:r>
      <w:r w:rsidRPr="004E1837">
        <w:t xml:space="preserve"> have a significant negative impact on </w:t>
      </w:r>
      <w:r>
        <w:t>school</w:t>
      </w:r>
      <w:r w:rsidR="001D6EC1">
        <w:t>s</w:t>
      </w:r>
      <w:r w:rsidR="00657C81">
        <w:t xml:space="preserve">, families </w:t>
      </w:r>
      <w:r w:rsidR="00926E68">
        <w:t xml:space="preserve">and wider </w:t>
      </w:r>
      <w:r w:rsidRPr="004E1837">
        <w:t>communit</w:t>
      </w:r>
      <w:r>
        <w:t>ies</w:t>
      </w:r>
      <w:r w:rsidRPr="004E1837">
        <w:t xml:space="preserve"> around Australia</w:t>
      </w:r>
      <w:r w:rsidR="00657C81">
        <w:t xml:space="preserve"> and ISA urges the commission </w:t>
      </w:r>
      <w:r w:rsidR="00015795">
        <w:t>not to include t</w:t>
      </w:r>
      <w:r w:rsidR="00657C81">
        <w:t xml:space="preserve">his </w:t>
      </w:r>
      <w:r w:rsidR="00E20A90">
        <w:t>recommendation</w:t>
      </w:r>
      <w:r w:rsidR="00015795">
        <w:t xml:space="preserve"> in its final report</w:t>
      </w:r>
      <w:r>
        <w:t xml:space="preserve">. </w:t>
      </w:r>
    </w:p>
    <w:p w14:paraId="37E68195" w14:textId="7402D0CC" w:rsidR="004E1837" w:rsidRPr="004E1837" w:rsidRDefault="00015795" w:rsidP="004E1837">
      <w:r>
        <w:t xml:space="preserve">As a </w:t>
      </w:r>
      <w:r w:rsidR="00987F4F">
        <w:t xml:space="preserve">general </w:t>
      </w:r>
      <w:r w:rsidR="004E1837" w:rsidRPr="004E1837">
        <w:t xml:space="preserve">principle, </w:t>
      </w:r>
      <w:r w:rsidR="009C5180">
        <w:t xml:space="preserve">all </w:t>
      </w:r>
      <w:r w:rsidR="004E1837" w:rsidRPr="004E1837">
        <w:t xml:space="preserve">schools should </w:t>
      </w:r>
      <w:r w:rsidR="0057321A">
        <w:t xml:space="preserve">continue to </w:t>
      </w:r>
      <w:r w:rsidR="004E1837" w:rsidRPr="004E1837">
        <w:t>be able to access DGR status</w:t>
      </w:r>
      <w:r w:rsidR="009C5180">
        <w:t>,</w:t>
      </w:r>
      <w:r w:rsidR="004E1837" w:rsidRPr="004E1837">
        <w:t xml:space="preserve"> and therefore tax deductibility</w:t>
      </w:r>
      <w:r w:rsidR="009C5180">
        <w:t>,</w:t>
      </w:r>
      <w:r w:rsidR="004E1837" w:rsidRPr="004E1837">
        <w:t xml:space="preserve"> for voluntary donations t</w:t>
      </w:r>
      <w:r w:rsidR="00987F4F">
        <w:t xml:space="preserve">hat </w:t>
      </w:r>
      <w:r w:rsidR="004E1837" w:rsidRPr="004E1837">
        <w:t>support specific activities in a school setting</w:t>
      </w:r>
      <w:r w:rsidR="004E1837">
        <w:t>, including school building funds</w:t>
      </w:r>
      <w:r w:rsidR="004E1837" w:rsidRPr="004E1837">
        <w:t xml:space="preserve">. The ability to offer tax deductibility for donations </w:t>
      </w:r>
      <w:r w:rsidR="00363F00">
        <w:t>is critical for</w:t>
      </w:r>
      <w:r w:rsidR="004E1837" w:rsidRPr="004E1837">
        <w:t xml:space="preserve"> schools in sourcing support that may not be otherwise available and enhances their capacity to offer </w:t>
      </w:r>
      <w:r w:rsidR="00154646">
        <w:t>quality</w:t>
      </w:r>
      <w:r w:rsidR="004E1837" w:rsidRPr="004E1837">
        <w:t xml:space="preserve"> educational resources</w:t>
      </w:r>
      <w:r w:rsidR="00154646">
        <w:t xml:space="preserve"> to all students.</w:t>
      </w:r>
    </w:p>
    <w:p w14:paraId="7AC12F72" w14:textId="26886847" w:rsidR="004E1837" w:rsidRDefault="004E405D" w:rsidP="004E1837">
      <w:pPr>
        <w:pStyle w:val="Heading2"/>
      </w:pPr>
      <w:bookmarkStart w:id="18" w:name="_Toc157759561"/>
      <w:bookmarkStart w:id="19" w:name="_Toc158236346"/>
      <w:r>
        <w:t>3.</w:t>
      </w:r>
      <w:r>
        <w:tab/>
      </w:r>
      <w:r w:rsidR="004E1837">
        <w:t xml:space="preserve">Key </w:t>
      </w:r>
      <w:bookmarkEnd w:id="18"/>
      <w:r w:rsidR="00180878">
        <w:t>Points</w:t>
      </w:r>
      <w:bookmarkEnd w:id="19"/>
    </w:p>
    <w:p w14:paraId="2CF587F7" w14:textId="2F879955" w:rsidR="00A670AD" w:rsidRDefault="00A670AD" w:rsidP="005814C7">
      <w:pPr>
        <w:pStyle w:val="ListBullet"/>
      </w:pPr>
      <w:r>
        <w:t xml:space="preserve">On </w:t>
      </w:r>
      <w:r w:rsidR="006D0B80" w:rsidRPr="006D0B80">
        <w:t>behalf of over 1200 schools and almost 690,000 stude</w:t>
      </w:r>
      <w:r>
        <w:t xml:space="preserve">nts </w:t>
      </w:r>
      <w:r w:rsidR="006D0B80" w:rsidRPr="006D0B80">
        <w:t xml:space="preserve">and their families, </w:t>
      </w:r>
      <w:r>
        <w:t xml:space="preserve">ISA </w:t>
      </w:r>
      <w:r w:rsidR="006D0B80" w:rsidRPr="006D0B80">
        <w:t xml:space="preserve">strongly opposes any proposal to revoke the Deductible Gift Recipient (DGR) status for education activities, and we urge the Commission to remove this recommendation from the final report on its Inquiry into Philanthropic Giving. </w:t>
      </w:r>
    </w:p>
    <w:p w14:paraId="0EFE1D30" w14:textId="70A60AB4" w:rsidR="00891742" w:rsidRDefault="00891742" w:rsidP="005814C7">
      <w:pPr>
        <w:pStyle w:val="ListBullet"/>
      </w:pPr>
      <w:r w:rsidRPr="00891742">
        <w:t>Independent schools foster and encourage strong community links and encourage volunteering and contributing to society in both their students and the broader school community.</w:t>
      </w:r>
    </w:p>
    <w:p w14:paraId="0BDCA29F" w14:textId="24283FBD" w:rsidR="00924171" w:rsidRDefault="00924171" w:rsidP="00924171">
      <w:pPr>
        <w:pStyle w:val="ListBullet"/>
      </w:pPr>
      <w:r>
        <w:t xml:space="preserve">The current DGR status available to schools </w:t>
      </w:r>
      <w:r w:rsidR="00496A0A">
        <w:t xml:space="preserve">is </w:t>
      </w:r>
      <w:r>
        <w:t>vital to the ability of Independent schools to fund and provide a range of services and programs including bursaries and scholarships and to fund capital works in schools.</w:t>
      </w:r>
    </w:p>
    <w:p w14:paraId="07FC694F" w14:textId="5E2391C5" w:rsidR="0005094E" w:rsidRPr="00891742" w:rsidRDefault="0005094E" w:rsidP="005814C7">
      <w:pPr>
        <w:pStyle w:val="ListBullet"/>
      </w:pPr>
      <w:r>
        <w:t xml:space="preserve">It is ISA’s view that the argument that </w:t>
      </w:r>
      <w:r w:rsidRPr="0005094E">
        <w:t>“the potential for a donor to be able to convert a tax-deductible donation into a private benefit”</w:t>
      </w:r>
      <w:r>
        <w:t xml:space="preserve"> </w:t>
      </w:r>
      <w:r w:rsidR="00926E68">
        <w:t>i</w:t>
      </w:r>
      <w:r>
        <w:t>s significantly flawed and has not been demonstrated</w:t>
      </w:r>
      <w:r w:rsidR="00EB2F22">
        <w:t>.</w:t>
      </w:r>
    </w:p>
    <w:p w14:paraId="48213D5D" w14:textId="77777777" w:rsidR="00891742" w:rsidRPr="00891742" w:rsidRDefault="00891742" w:rsidP="005814C7">
      <w:pPr>
        <w:pStyle w:val="ListBullet"/>
      </w:pPr>
      <w:r w:rsidRPr="00891742">
        <w:t xml:space="preserve">Removing DGR status for non-government school building funds will shift more financial burden onto families, who already make significant sacrifices to support their children’s education and are doing their best to manage the ever-increasing cost of living pressures. </w:t>
      </w:r>
    </w:p>
    <w:p w14:paraId="3E3BF2C6" w14:textId="06B6CD99" w:rsidR="00891742" w:rsidRPr="00891742" w:rsidRDefault="00891742" w:rsidP="005814C7">
      <w:pPr>
        <w:pStyle w:val="ListBullet"/>
      </w:pPr>
      <w:r w:rsidRPr="00891742">
        <w:t>The removal of DGR status for school building funds will also directly impact the capacity of the school to provide the best possible learning environment for students.</w:t>
      </w:r>
    </w:p>
    <w:p w14:paraId="1CDD758A" w14:textId="517ED99B" w:rsidR="00891742" w:rsidRDefault="00AA56EE" w:rsidP="005814C7">
      <w:pPr>
        <w:pStyle w:val="ListBullet"/>
      </w:pPr>
      <w:r>
        <w:t>L</w:t>
      </w:r>
      <w:r w:rsidR="00891742" w:rsidRPr="00891742">
        <w:t xml:space="preserve">imiting DGR status for scholarships reduces educational </w:t>
      </w:r>
      <w:r w:rsidR="00E66E0C">
        <w:t>opportunities</w:t>
      </w:r>
      <w:r w:rsidR="00891742" w:rsidRPr="00891742">
        <w:t xml:space="preserve"> for students and families. </w:t>
      </w:r>
    </w:p>
    <w:p w14:paraId="4919F73F" w14:textId="0CBF8792" w:rsidR="009312F1" w:rsidRDefault="009312F1" w:rsidP="009312F1">
      <w:pPr>
        <w:pStyle w:val="ListBullet"/>
      </w:pPr>
      <w:r>
        <w:t>ISA does supports moves to make DGR status more streamlined and consistent.</w:t>
      </w:r>
    </w:p>
    <w:p w14:paraId="30145CB4" w14:textId="0C11F13A" w:rsidR="004E1837" w:rsidRDefault="005814C7" w:rsidP="005814C7">
      <w:pPr>
        <w:pStyle w:val="ListBullet"/>
      </w:pPr>
      <w:r>
        <w:t>C</w:t>
      </w:r>
      <w:r w:rsidR="00891742" w:rsidRPr="00891742">
        <w:t xml:space="preserve">onsideration </w:t>
      </w:r>
      <w:r>
        <w:t xml:space="preserve">should instead </w:t>
      </w:r>
      <w:r w:rsidR="00891742" w:rsidRPr="00891742">
        <w:t>be given to ways that the DGR framework could be expanded to enable other forms of philanthropy in the school sector. For example, consideration could be given to making the DGR requirements for scholarships more open and accessible to a wider range of students.</w:t>
      </w:r>
    </w:p>
    <w:p w14:paraId="3EF7E46B" w14:textId="5A89809C" w:rsidR="004E1837" w:rsidRPr="004E1837" w:rsidRDefault="004E405D" w:rsidP="004E1837">
      <w:pPr>
        <w:pStyle w:val="Heading2"/>
      </w:pPr>
      <w:bookmarkStart w:id="20" w:name="_Toc157759562"/>
      <w:bookmarkStart w:id="21" w:name="_Toc158236347"/>
      <w:r>
        <w:t xml:space="preserve">4. </w:t>
      </w:r>
      <w:r>
        <w:tab/>
      </w:r>
      <w:bookmarkEnd w:id="20"/>
      <w:r w:rsidR="00414F94">
        <w:t xml:space="preserve">Diversity in </w:t>
      </w:r>
      <w:r w:rsidR="002C150C">
        <w:t xml:space="preserve">Independent </w:t>
      </w:r>
      <w:r w:rsidR="00414F94">
        <w:t>Schools</w:t>
      </w:r>
      <w:bookmarkEnd w:id="21"/>
    </w:p>
    <w:p w14:paraId="640CC6AF" w14:textId="745DC221" w:rsidR="004E1837" w:rsidRDefault="004E1837" w:rsidP="004E1837">
      <w:r>
        <w:t>The Independent sector encompasses considerable diversity in size, location, student cohorts and fees charged. With a greater percentage charging less than $1,000 per year than those charging over $20,000, it is clear that Independent schools cater to the full spectrum of Australian society. The median annual fee charged per student is just under $</w:t>
      </w:r>
      <w:r w:rsidR="0061562D">
        <w:t xml:space="preserve"> 5,300 per</w:t>
      </w:r>
      <w:r>
        <w:t xml:space="preserve"> year (excluding full fee-paying international students), with more than 50</w:t>
      </w:r>
      <w:r w:rsidR="00F2646B">
        <w:t xml:space="preserve"> per cent</w:t>
      </w:r>
      <w:r>
        <w:t xml:space="preserve"> of recurrent income being derived from families and school communities.</w:t>
      </w:r>
    </w:p>
    <w:p w14:paraId="592F1E7C" w14:textId="708F48A6" w:rsidR="004E1837" w:rsidRDefault="004E1837" w:rsidP="004E1837">
      <w:r>
        <w:lastRenderedPageBreak/>
        <w:t xml:space="preserve">Independent schools cater to specific groups of disadvantaged students including </w:t>
      </w:r>
      <w:r w:rsidR="0061562D">
        <w:t>high-needs</w:t>
      </w:r>
      <w:r>
        <w:t xml:space="preserve"> students with disability attending special schools; </w:t>
      </w:r>
      <w:r w:rsidR="005F52A9">
        <w:t>Aboriginal and Torres Strait Islander</w:t>
      </w:r>
      <w:r>
        <w:t xml:space="preserve"> students attending remote 100 per cent Indigenous schools in Western Australia and the Northern Territory; and highly disadvantaged urban youth who have been excluded from both government and non</w:t>
      </w:r>
      <w:r w:rsidR="00926E68">
        <w:t>-</w:t>
      </w:r>
      <w:r>
        <w:t>government schools attending Independent special assistance schools.</w:t>
      </w:r>
    </w:p>
    <w:p w14:paraId="7FB15EFF" w14:textId="77777777" w:rsidR="004E1837" w:rsidRDefault="004E1837" w:rsidP="004E1837">
      <w:r>
        <w:t>The numbers of disadvantaged students in Independent schools, including students with disability, Indigenous students and students with a language background other than English, have been increasing at a higher rate than overall sector enrolments for many years.</w:t>
      </w:r>
    </w:p>
    <w:p w14:paraId="2DAE04CE" w14:textId="19FE4C0A" w:rsidR="004E1837" w:rsidRPr="004E1837" w:rsidRDefault="004E1837" w:rsidP="00F8308C">
      <w:pPr>
        <w:pStyle w:val="ListBullet"/>
      </w:pPr>
      <w:r w:rsidRPr="004E1837">
        <w:t xml:space="preserve">140,000 students with a disability attend an Independent school. </w:t>
      </w:r>
    </w:p>
    <w:p w14:paraId="07FB14DA" w14:textId="2E763AE9" w:rsidR="004E1837" w:rsidRPr="004E1837" w:rsidRDefault="004E1837" w:rsidP="00F8308C">
      <w:pPr>
        <w:pStyle w:val="ListBullet"/>
      </w:pPr>
      <w:r w:rsidRPr="004E1837">
        <w:t xml:space="preserve">143 Independent Special and Special Assistance Schools play a crucial role in educating 16,571 students unable to access mainstream schools due to complex barriers and </w:t>
      </w:r>
      <w:r w:rsidR="0061562D">
        <w:t>facilitating</w:t>
      </w:r>
      <w:r w:rsidRPr="004E1837">
        <w:t xml:space="preserve"> their pathways to employment or further education outcomes. </w:t>
      </w:r>
    </w:p>
    <w:p w14:paraId="465BA3A5" w14:textId="26DA0C0B" w:rsidR="004E1837" w:rsidRPr="004E1837" w:rsidRDefault="004E1837" w:rsidP="00F8308C">
      <w:pPr>
        <w:pStyle w:val="ListBullet"/>
      </w:pPr>
      <w:r w:rsidRPr="004E1837">
        <w:t>17,752 Aboriginal and Torres Strait Islander students are enrolled across 983 Independent schools. 47 of these are Majority Aboriginal or Torres Strait Islander schools, and many are leading the way in developing and delivering highly innovative educational programs</w:t>
      </w:r>
      <w:r w:rsidR="007968AE" w:rsidRPr="004E1837">
        <w:t xml:space="preserve">. </w:t>
      </w:r>
    </w:p>
    <w:p w14:paraId="44A1D07A" w14:textId="07EC45C7" w:rsidR="004E1837" w:rsidRPr="004E1837" w:rsidRDefault="004E1837" w:rsidP="00F8308C">
      <w:pPr>
        <w:pStyle w:val="ListBullet"/>
      </w:pPr>
      <w:r w:rsidRPr="004E1837">
        <w:t xml:space="preserve">138,000 students attend 416 Independent schools across regional, rural and remote Australia. For many </w:t>
      </w:r>
      <w:r w:rsidR="00F8308C">
        <w:t>st</w:t>
      </w:r>
      <w:r w:rsidRPr="004E1837">
        <w:t>udents in remote communities</w:t>
      </w:r>
      <w:r w:rsidR="0061562D">
        <w:t>,</w:t>
      </w:r>
      <w:r w:rsidRPr="004E1837">
        <w:t xml:space="preserve"> an Independent school is the only available option.</w:t>
      </w:r>
    </w:p>
    <w:p w14:paraId="0226E306" w14:textId="6436A228" w:rsidR="004E1837" w:rsidRDefault="004E1837" w:rsidP="00F8308C">
      <w:pPr>
        <w:pStyle w:val="ListBullet"/>
      </w:pPr>
      <w:r w:rsidRPr="004E1837">
        <w:t>Independent schools are the largest provider of boarding places with 14,577 students, twice the enrolments of the government and (systemic) Catholic sectors combined.</w:t>
      </w:r>
    </w:p>
    <w:p w14:paraId="743A3F3B" w14:textId="29F21C8B" w:rsidR="00197B6D" w:rsidRDefault="00197B6D" w:rsidP="004E1837">
      <w:r>
        <w:t xml:space="preserve">Independent schools are </w:t>
      </w:r>
      <w:r w:rsidR="003E334A">
        <w:t xml:space="preserve">active members of </w:t>
      </w:r>
      <w:r w:rsidR="00926E68">
        <w:t xml:space="preserve">and contributors to </w:t>
      </w:r>
      <w:r w:rsidR="003E334A">
        <w:t xml:space="preserve">their local </w:t>
      </w:r>
      <w:r w:rsidR="00B82595">
        <w:t xml:space="preserve">and wider </w:t>
      </w:r>
      <w:r w:rsidR="003E334A">
        <w:t xml:space="preserve">communities </w:t>
      </w:r>
      <w:r w:rsidR="00B82595">
        <w:t xml:space="preserve">and </w:t>
      </w:r>
      <w:r w:rsidR="008146F3">
        <w:t>regularly</w:t>
      </w:r>
      <w:r w:rsidR="00B82595">
        <w:t xml:space="preserve"> engage with a wide range of community and other </w:t>
      </w:r>
      <w:r w:rsidR="0023092D">
        <w:t>organisations</w:t>
      </w:r>
      <w:r w:rsidR="00B82595">
        <w:t xml:space="preserve"> such as </w:t>
      </w:r>
      <w:r w:rsidR="0023092D">
        <w:t xml:space="preserve">sporting clubs and associations, performing arts groups, </w:t>
      </w:r>
      <w:r w:rsidR="004C7470">
        <w:t xml:space="preserve">doctors and </w:t>
      </w:r>
      <w:r w:rsidR="0023092D">
        <w:t>mental health professionals and community groups</w:t>
      </w:r>
      <w:r w:rsidR="008146F3">
        <w:t>.</w:t>
      </w:r>
    </w:p>
    <w:p w14:paraId="0E78DA8F" w14:textId="75789E6F" w:rsidR="00236D30" w:rsidRDefault="004E405D" w:rsidP="00236D30">
      <w:pPr>
        <w:pStyle w:val="Heading2"/>
      </w:pPr>
      <w:bookmarkStart w:id="22" w:name="_Toc158236348"/>
      <w:r>
        <w:t xml:space="preserve">5. </w:t>
      </w:r>
      <w:r>
        <w:tab/>
      </w:r>
      <w:r w:rsidR="00236D30">
        <w:t>Schools as not-for-profit entities</w:t>
      </w:r>
      <w:bookmarkEnd w:id="22"/>
    </w:p>
    <w:p w14:paraId="1CC610CD" w14:textId="557E58F6" w:rsidR="00236D30" w:rsidRDefault="00236D30" w:rsidP="00236D30">
      <w:r w:rsidRPr="004E1837">
        <w:t>The vast majority of non-government schools in Australia are not-for-profit entities, registered with the Australian Charities and Not-for-Profits Commission (ACNC) with the charitable purpose of ‘advancing education’. This recognition of the importance and public benefit of the work of schools in educating Australia’s young people underpins the DGR status of school building fund</w:t>
      </w:r>
      <w:r w:rsidR="00CD7825">
        <w:t>s</w:t>
      </w:r>
      <w:r w:rsidRPr="004E1837">
        <w:t xml:space="preserve"> </w:t>
      </w:r>
      <w:r w:rsidR="00CD7825">
        <w:t>in schools</w:t>
      </w:r>
      <w:r w:rsidRPr="004E1837">
        <w:t xml:space="preserve"> around Australia.</w:t>
      </w:r>
    </w:p>
    <w:p w14:paraId="757F5246" w14:textId="77777777" w:rsidR="00236D30" w:rsidRDefault="00236D30" w:rsidP="00236D30">
      <w:r>
        <w:t xml:space="preserve">All Independent schools that are eligible to receive Commonwealth funding are individual not-for-profit (NFP) institutions that are established and governed independently. All Independent schools are registered by the relevant state or territory education authority. Not-for-profit Independent schools are entitled to charitable status under the </w:t>
      </w:r>
      <w:r w:rsidRPr="0054303F">
        <w:rPr>
          <w:i/>
          <w:iCs/>
        </w:rPr>
        <w:t>Charities Act, 2013</w:t>
      </w:r>
      <w:r>
        <w:t xml:space="preserve">. </w:t>
      </w:r>
    </w:p>
    <w:p w14:paraId="13866066" w14:textId="3BA57E9B" w:rsidR="00236D30" w:rsidRDefault="00236D30" w:rsidP="004E1837">
      <w:r>
        <w:t>Key decisions around education provision, school development and staffing are usually made by governing boards. Unlike other educational sectors, the majority of Independent schools operate autonomously, without reliance upon central bureaucracies which enable redistribution of funding and</w:t>
      </w:r>
      <w:r w:rsidR="00140FBF">
        <w:t xml:space="preserve"> </w:t>
      </w:r>
      <w:r>
        <w:t>economies of scale. All are accountable to their parent and school communities.</w:t>
      </w:r>
    </w:p>
    <w:p w14:paraId="1E6B0825" w14:textId="4268B4E4" w:rsidR="00A63AAB" w:rsidRDefault="00A63AAB" w:rsidP="004E1837">
      <w:r w:rsidRPr="004E1837">
        <w:t>It has been noted by Independent schools that there is a genuine desire within school communities to give to schools, usually from parents and other relatives of existing or past students or from alumni. However, donations are not limited only to the direct school community. Independent schools serving disadvantaged communities may also seek out additional sources of support and income to support particular programs or offerings. The importance of having a framework in place that encourages philanthropy towards key national endeavours, such as education, cannot be overstated.</w:t>
      </w:r>
    </w:p>
    <w:p w14:paraId="27CAD0EC" w14:textId="30EFB278" w:rsidR="00F75045" w:rsidRDefault="00140FBF" w:rsidP="00F75045">
      <w:pPr>
        <w:pStyle w:val="Heading2"/>
      </w:pPr>
      <w:bookmarkStart w:id="23" w:name="_Toc158236349"/>
      <w:r>
        <w:t>6.</w:t>
      </w:r>
      <w:r>
        <w:tab/>
      </w:r>
      <w:r w:rsidR="00962478">
        <w:t>reforming</w:t>
      </w:r>
      <w:r w:rsidR="00F75045">
        <w:t xml:space="preserve"> </w:t>
      </w:r>
      <w:r w:rsidR="008C5980">
        <w:t xml:space="preserve">the </w:t>
      </w:r>
      <w:r w:rsidR="00F75045">
        <w:t>DGR</w:t>
      </w:r>
      <w:r w:rsidR="00962478">
        <w:t xml:space="preserve"> </w:t>
      </w:r>
      <w:r w:rsidR="008C5980">
        <w:t>system</w:t>
      </w:r>
      <w:bookmarkEnd w:id="23"/>
    </w:p>
    <w:p w14:paraId="2ABDB6F1" w14:textId="6A393C8B" w:rsidR="00F75045" w:rsidRDefault="00F75045" w:rsidP="00F75045">
      <w:r>
        <w:t>In the draft Report, t</w:t>
      </w:r>
      <w:r w:rsidRPr="00ED579F">
        <w:t>he</w:t>
      </w:r>
      <w:r>
        <w:t xml:space="preserve"> Productivity</w:t>
      </w:r>
      <w:r w:rsidRPr="00ED579F">
        <w:t xml:space="preserve"> Commission </w:t>
      </w:r>
      <w:r>
        <w:t xml:space="preserve">has </w:t>
      </w:r>
      <w:r w:rsidR="00402367" w:rsidRPr="00ED579F">
        <w:t xml:space="preserve">proposed </w:t>
      </w:r>
      <w:r w:rsidR="00926E68">
        <w:t>“</w:t>
      </w:r>
      <w:r w:rsidR="00402367" w:rsidRPr="00ED579F">
        <w:t>a</w:t>
      </w:r>
      <w:r w:rsidRPr="00ED579F">
        <w:t xml:space="preserve"> comprehensive overhaul of the DGR system applying a </w:t>
      </w:r>
      <w:r w:rsidR="00DF7126">
        <w:t>principles-based</w:t>
      </w:r>
      <w:r w:rsidRPr="00ED579F">
        <w:t xml:space="preserve"> framework to assess and improve the DGR system.</w:t>
      </w:r>
      <w:r w:rsidR="003C328D">
        <w:t>”</w:t>
      </w:r>
      <w:r>
        <w:rPr>
          <w:rStyle w:val="FootnoteReference"/>
        </w:rPr>
        <w:footnoteReference w:id="3"/>
      </w:r>
      <w:r w:rsidR="003C328D" w:rsidRPr="003C328D">
        <w:t xml:space="preserve"> </w:t>
      </w:r>
      <w:r w:rsidR="00DF7126">
        <w:t xml:space="preserve">These </w:t>
      </w:r>
      <w:r w:rsidR="00DF7126">
        <w:lastRenderedPageBreak/>
        <w:t>changes intend</w:t>
      </w:r>
      <w:r w:rsidR="003C328D">
        <w:t xml:space="preserve"> to </w:t>
      </w:r>
      <w:r w:rsidR="003C328D" w:rsidRPr="00ED579F">
        <w:t xml:space="preserve">simplify the current system, </w:t>
      </w:r>
      <w:r w:rsidR="005F0994">
        <w:t xml:space="preserve">to try and ensure that there is the same treatment of </w:t>
      </w:r>
      <w:r w:rsidR="003C328D" w:rsidRPr="00ED579F">
        <w:t xml:space="preserve">activities that offer similar outcomes, and </w:t>
      </w:r>
      <w:r w:rsidR="005F0994">
        <w:t xml:space="preserve">to </w:t>
      </w:r>
      <w:r w:rsidR="003C328D" w:rsidRPr="00ED579F">
        <w:t xml:space="preserve">provide guidance </w:t>
      </w:r>
      <w:r w:rsidR="00EF3406">
        <w:t>for future changes to the DGR systems.</w:t>
      </w:r>
    </w:p>
    <w:p w14:paraId="33E2B9A3" w14:textId="20A21E7D" w:rsidR="00EF3406" w:rsidRPr="00372E66" w:rsidRDefault="00AD6259" w:rsidP="00F75045">
      <w:r>
        <w:t xml:space="preserve">Underpinning this new approach, the Commission </w:t>
      </w:r>
      <w:r w:rsidR="00B1101B">
        <w:t>proposes</w:t>
      </w:r>
      <w:r>
        <w:t xml:space="preserve"> three tests </w:t>
      </w:r>
      <w:r w:rsidR="00B1101B" w:rsidRPr="00B1101B">
        <w:t>to determine whether a class of charitable activity should be within the scope of the DGR system.</w:t>
      </w:r>
    </w:p>
    <w:p w14:paraId="3835DCA5" w14:textId="6983B854" w:rsidR="00A45D03" w:rsidRPr="00A45D03" w:rsidRDefault="00A45D03" w:rsidP="00A45D03">
      <w:pPr>
        <w:pStyle w:val="ListBullet"/>
      </w:pPr>
      <w:r>
        <w:t>I</w:t>
      </w:r>
      <w:r w:rsidRPr="00A45D03">
        <w:t xml:space="preserve">s </w:t>
      </w:r>
      <w:r>
        <w:t xml:space="preserve">there </w:t>
      </w:r>
      <w:r w:rsidRPr="00A45D03">
        <w:t xml:space="preserve">a rationale for taxpayer support because the activity is expected to generate net </w:t>
      </w:r>
      <w:r w:rsidR="00A83CF0">
        <w:t>community-wide</w:t>
      </w:r>
      <w:r w:rsidRPr="00A45D03">
        <w:t xml:space="preserve"> benefits and would otherwise likely be undersupplied by the market</w:t>
      </w:r>
      <w:r>
        <w:t>?</w:t>
      </w:r>
    </w:p>
    <w:p w14:paraId="055E6B54" w14:textId="6B7CAFD7" w:rsidR="00A45D03" w:rsidRPr="00A45D03" w:rsidRDefault="00A45D03" w:rsidP="00A45D03">
      <w:pPr>
        <w:pStyle w:val="ListBullet"/>
      </w:pPr>
      <w:r>
        <w:t xml:space="preserve">Are </w:t>
      </w:r>
      <w:r w:rsidRPr="00A45D03">
        <w:t>there net benefits from providing government support for the activity through subsidising philanthropy using a tax deduction for giving</w:t>
      </w:r>
      <w:r w:rsidR="00962478">
        <w:t>?</w:t>
      </w:r>
    </w:p>
    <w:p w14:paraId="124830A3" w14:textId="0F18D32C" w:rsidR="00A45D03" w:rsidRPr="00A45D03" w:rsidRDefault="00A45D03" w:rsidP="00A45D03">
      <w:pPr>
        <w:pStyle w:val="ListBullet"/>
      </w:pPr>
      <w:r>
        <w:t>Is the</w:t>
      </w:r>
      <w:r w:rsidR="008921CD">
        <w:t xml:space="preserve"> </w:t>
      </w:r>
      <w:r w:rsidRPr="00A45D03">
        <w:t xml:space="preserve">activity unlikely to be a material risk of converting </w:t>
      </w:r>
      <w:r w:rsidR="00A83CF0">
        <w:t>tax-deductible</w:t>
      </w:r>
      <w:r w:rsidRPr="00A45D03">
        <w:t xml:space="preserve"> donations to private benefits for donors</w:t>
      </w:r>
      <w:r>
        <w:t>?</w:t>
      </w:r>
    </w:p>
    <w:p w14:paraId="6F272F7D" w14:textId="06F70363" w:rsidR="00F75045" w:rsidRDefault="00AE5B90" w:rsidP="004E1837">
      <w:r>
        <w:t xml:space="preserve">As set out in </w:t>
      </w:r>
      <w:r w:rsidR="00A83CF0">
        <w:t xml:space="preserve">the </w:t>
      </w:r>
      <w:r>
        <w:t xml:space="preserve">draft Report, the Productivity </w:t>
      </w:r>
      <w:r w:rsidRPr="00AE5B90">
        <w:t>Commission</w:t>
      </w:r>
      <w:r>
        <w:t xml:space="preserve"> </w:t>
      </w:r>
      <w:r w:rsidR="008114D2">
        <w:t>has put forward a view that “</w:t>
      </w:r>
      <w:r w:rsidRPr="00AE5B90">
        <w:t xml:space="preserve">converting a </w:t>
      </w:r>
      <w:r w:rsidR="00A83CF0">
        <w:t>tax-deductible</w:t>
      </w:r>
      <w:r w:rsidRPr="00AE5B90">
        <w:t xml:space="preserve"> donation into a private benefit is, in principle, a substantial risk for primary and secondary education, religious education, and other forms of informal education, including school building funds</w:t>
      </w:r>
      <w:r w:rsidR="008114D2">
        <w:t>”</w:t>
      </w:r>
      <w:r w:rsidRPr="00AE5B90">
        <w:t>.</w:t>
      </w:r>
      <w:r w:rsidR="008114D2">
        <w:rPr>
          <w:rStyle w:val="FootnoteReference"/>
        </w:rPr>
        <w:footnoteReference w:id="4"/>
      </w:r>
    </w:p>
    <w:p w14:paraId="7379ED73" w14:textId="11C4387C" w:rsidR="008921CD" w:rsidRDefault="00AC5715" w:rsidP="004E1837">
      <w:r>
        <w:t xml:space="preserve">While </w:t>
      </w:r>
      <w:r w:rsidR="008921CD">
        <w:t xml:space="preserve">ISA sees value in </w:t>
      </w:r>
      <w:r w:rsidR="00A83CF0">
        <w:t>efforts</w:t>
      </w:r>
      <w:r w:rsidR="008921CD">
        <w:t xml:space="preserve"> to streamline and reform DGR stat</w:t>
      </w:r>
      <w:r w:rsidR="00340995">
        <w:t>us to simplify and enhance the consistency of the current system</w:t>
      </w:r>
      <w:r>
        <w:t xml:space="preserve">, </w:t>
      </w:r>
      <w:r w:rsidR="00340995">
        <w:t>it is ISA’s view, and the view of the Independent sector more broadly</w:t>
      </w:r>
      <w:r w:rsidR="00AE7420">
        <w:t>,</w:t>
      </w:r>
      <w:r w:rsidR="00340995">
        <w:t xml:space="preserve"> that the Productivity Commission has </w:t>
      </w:r>
      <w:r w:rsidR="00A83CF0">
        <w:t xml:space="preserve">erred in its assessment of school education </w:t>
      </w:r>
      <w:r w:rsidR="00C50B57">
        <w:t>with</w:t>
      </w:r>
      <w:r w:rsidR="00A83CF0">
        <w:t xml:space="preserve"> its proposed tests</w:t>
      </w:r>
      <w:r w:rsidR="0015640B">
        <w:t xml:space="preserve">, </w:t>
      </w:r>
      <w:r w:rsidR="008D13F9">
        <w:t>particularly</w:t>
      </w:r>
      <w:r w:rsidR="0015640B">
        <w:t xml:space="preserve"> in relation to </w:t>
      </w:r>
      <w:r w:rsidR="004961CF">
        <w:t>the</w:t>
      </w:r>
      <w:r w:rsidR="0015640B">
        <w:t xml:space="preserve"> </w:t>
      </w:r>
      <w:r w:rsidR="00375EED">
        <w:t xml:space="preserve">risk of </w:t>
      </w:r>
      <w:r w:rsidR="00F53FF3">
        <w:t xml:space="preserve">converting donations to </w:t>
      </w:r>
      <w:r w:rsidR="0015640B">
        <w:t>private benefit</w:t>
      </w:r>
      <w:r w:rsidR="00A83CF0">
        <w:t>.</w:t>
      </w:r>
      <w:r w:rsidR="00AE7420">
        <w:t xml:space="preserve"> It is also unclear why</w:t>
      </w:r>
      <w:r w:rsidR="009077EE">
        <w:t>,</w:t>
      </w:r>
      <w:r w:rsidR="00AE7420">
        <w:t xml:space="preserve"> in an Inquiry with the stated aim of increasing </w:t>
      </w:r>
      <w:bookmarkStart w:id="25" w:name="_Hlk158361294"/>
      <w:r w:rsidR="00AE7420">
        <w:t>philanthropic giving</w:t>
      </w:r>
      <w:bookmarkEnd w:id="25"/>
      <w:r w:rsidR="00AE7420">
        <w:t xml:space="preserve">, the Commission is calling for </w:t>
      </w:r>
      <w:r w:rsidR="00983E58">
        <w:t xml:space="preserve">a reduction </w:t>
      </w:r>
      <w:r w:rsidR="00C3589D">
        <w:t xml:space="preserve">of </w:t>
      </w:r>
      <w:r w:rsidR="00C3589D" w:rsidRPr="00C3589D">
        <w:t xml:space="preserve">philanthropic giving </w:t>
      </w:r>
      <w:r w:rsidR="00AE7420">
        <w:t>in</w:t>
      </w:r>
      <w:r w:rsidR="00983E58">
        <w:t xml:space="preserve"> </w:t>
      </w:r>
      <w:r w:rsidR="00CF7FF6">
        <w:t xml:space="preserve">a </w:t>
      </w:r>
      <w:r w:rsidR="00983E58">
        <w:t>few specific areas.</w:t>
      </w:r>
    </w:p>
    <w:p w14:paraId="1AA69FA7" w14:textId="32124227" w:rsidR="00140FBF" w:rsidRDefault="00140FBF" w:rsidP="00140FBF">
      <w:pPr>
        <w:pStyle w:val="Heading2"/>
      </w:pPr>
      <w:bookmarkStart w:id="26" w:name="_Toc158236350"/>
      <w:r>
        <w:t>7.</w:t>
      </w:r>
      <w:r>
        <w:tab/>
      </w:r>
      <w:r w:rsidRPr="002C150C">
        <w:t>Government Funding OF Independent schools</w:t>
      </w:r>
      <w:bookmarkEnd w:id="26"/>
    </w:p>
    <w:p w14:paraId="1240E86B" w14:textId="1EFA8406" w:rsidR="00140FBF" w:rsidRDefault="00140FBF" w:rsidP="00140FBF">
      <w:r>
        <w:t>Part of the rationale for removing DGR status for the activities of primary and secondary education, religious education and some other types of informal education in the draft report appears to be based on the argument that government support for non-government schools has significantly expanded since 1954, when DGR status for school building funds was first introduced.</w:t>
      </w:r>
      <w:r>
        <w:rPr>
          <w:rStyle w:val="FootnoteReference"/>
        </w:rPr>
        <w:footnoteReference w:id="5"/>
      </w:r>
      <w:r>
        <w:t xml:space="preserve"> However, there appears to be a conflation of recurrent funding, which has increased</w:t>
      </w:r>
      <w:r w:rsidR="007832C8">
        <w:t xml:space="preserve"> with successive school funding models and enrolment change</w:t>
      </w:r>
      <w:r>
        <w:t>, and capital funding which remains minimal.</w:t>
      </w:r>
    </w:p>
    <w:p w14:paraId="05478B62" w14:textId="5E6E156F" w:rsidR="00140FBF" w:rsidRDefault="00140FBF" w:rsidP="00140FBF">
      <w:r w:rsidRPr="002C150C">
        <w:t>Independent schools are funded by a combination of parental contribution (usually in the form of fees) and Australian Government and state and territory government funding. Of the two broad categories of government funding to schools, recurrent and capital, it is recurrent funding that supports the ongoing operating expenses of schools and is by far the most significant.</w:t>
      </w:r>
    </w:p>
    <w:p w14:paraId="24BAED8B" w14:textId="1A677820" w:rsidR="00140FBF" w:rsidRDefault="00140FBF" w:rsidP="00140FBF">
      <w:pPr>
        <w:pStyle w:val="Heading3"/>
      </w:pPr>
      <w:bookmarkStart w:id="27" w:name="_Toc158236351"/>
      <w:r>
        <w:t>7.1</w:t>
      </w:r>
      <w:r>
        <w:tab/>
        <w:t>Recurrent funding</w:t>
      </w:r>
      <w:bookmarkEnd w:id="27"/>
    </w:p>
    <w:p w14:paraId="3237B727" w14:textId="7E18F9F4" w:rsidR="00140FBF" w:rsidRPr="00F56CDF" w:rsidRDefault="00140FBF" w:rsidP="00140FBF">
      <w:r w:rsidRPr="00F56CDF">
        <w:t xml:space="preserve">The </w:t>
      </w:r>
      <w:r w:rsidR="00E92F4A" w:rsidRPr="00F56CDF">
        <w:t>Australian</w:t>
      </w:r>
      <w:r w:rsidRPr="00F56CDF">
        <w:t xml:space="preserve"> Government has the primary role in providing government funding for non-government schools. This recurrent funding supports the ongoing operating expenses of all schools. State and territory governments are the primary source of support for government schools.</w:t>
      </w:r>
    </w:p>
    <w:p w14:paraId="1E7A1BDA" w14:textId="60CA82F3" w:rsidR="00140FBF" w:rsidRPr="00F56CDF" w:rsidRDefault="00140FBF" w:rsidP="00140FBF">
      <w:r w:rsidRPr="00F56CDF">
        <w:t xml:space="preserve">In </w:t>
      </w:r>
      <w:r w:rsidR="00967A49" w:rsidRPr="00F56CDF">
        <w:t>2021-22</w:t>
      </w:r>
      <w:r w:rsidRPr="00F56CDF">
        <w:t>, Commonwealth and state and territory governments spent a total of $</w:t>
      </w:r>
      <w:r w:rsidR="000C2AE7" w:rsidRPr="00F56CDF">
        <w:t>78.7</w:t>
      </w:r>
      <w:r w:rsidRPr="00F56CDF">
        <w:t xml:space="preserve"> billion on school education - $</w:t>
      </w:r>
      <w:r w:rsidR="000C2AE7" w:rsidRPr="00F56CDF">
        <w:t>58.7</w:t>
      </w:r>
      <w:r w:rsidRPr="00F56CDF">
        <w:t xml:space="preserve"> billion of this public investment went to government schools and $</w:t>
      </w:r>
      <w:r w:rsidR="00CE791B" w:rsidRPr="00F56CDF">
        <w:t>19.9</w:t>
      </w:r>
      <w:r w:rsidRPr="00F56CDF">
        <w:t xml:space="preserve"> billion went to non-government schools.</w:t>
      </w:r>
    </w:p>
    <w:p w14:paraId="4D8B3503" w14:textId="25CEA4BF" w:rsidR="00140FBF" w:rsidRPr="00F56CDF" w:rsidRDefault="00140FBF" w:rsidP="00140FBF">
      <w:r w:rsidRPr="00F56CDF">
        <w:t xml:space="preserve">In </w:t>
      </w:r>
      <w:r w:rsidR="00CE791B" w:rsidRPr="00F56CDF">
        <w:t>2021-22</w:t>
      </w:r>
      <w:r w:rsidRPr="00F56CDF">
        <w:t xml:space="preserve">, some </w:t>
      </w:r>
      <w:r w:rsidR="00745A68" w:rsidRPr="00F56CDF">
        <w:t>64</w:t>
      </w:r>
      <w:r w:rsidRPr="00F56CDF">
        <w:t xml:space="preserve"> per cent of school enrolments were in government schools, which received </w:t>
      </w:r>
      <w:r w:rsidR="00083794" w:rsidRPr="00F56CDF">
        <w:t>75</w:t>
      </w:r>
      <w:r w:rsidRPr="00F56CDF">
        <w:t xml:space="preserve"> per cent of total government expenditure on schooling. In comparison, non-government schools accounted for </w:t>
      </w:r>
      <w:r w:rsidR="00FC336B" w:rsidRPr="00F56CDF">
        <w:t>36</w:t>
      </w:r>
      <w:r w:rsidRPr="00F56CDF">
        <w:t xml:space="preserve"> per cent of enrolments and </w:t>
      </w:r>
      <w:r w:rsidR="000B4CEF" w:rsidRPr="00F56CDF">
        <w:t>25</w:t>
      </w:r>
      <w:r w:rsidRPr="00F56CDF">
        <w:t xml:space="preserve"> per cent of total government expenditure.</w:t>
      </w:r>
    </w:p>
    <w:p w14:paraId="707DA47B" w14:textId="2F1A8D24" w:rsidR="00140FBF" w:rsidRDefault="00140FBF" w:rsidP="00140FBF">
      <w:r w:rsidRPr="00F56CDF">
        <w:t xml:space="preserve">On a per student basis, in </w:t>
      </w:r>
      <w:r w:rsidR="000B4CEF" w:rsidRPr="00F56CDF">
        <w:t>2021-22</w:t>
      </w:r>
      <w:r w:rsidRPr="00F56CDF">
        <w:t xml:space="preserve"> total government spending on students in government schools averaged $</w:t>
      </w:r>
      <w:r w:rsidR="00064ACE" w:rsidRPr="00F56CDF">
        <w:t>22,5</w:t>
      </w:r>
      <w:r w:rsidR="00072B7C" w:rsidRPr="00F56CDF">
        <w:t>11</w:t>
      </w:r>
      <w:r w:rsidRPr="00F56CDF">
        <w:t>, while in non-government schools (both Catholic systemic and Independent schools) this was $</w:t>
      </w:r>
      <w:r w:rsidR="00072B7C" w:rsidRPr="00F56CDF">
        <w:t>14,032</w:t>
      </w:r>
      <w:r w:rsidRPr="00F56CDF">
        <w:t xml:space="preserve"> per student. Average government expenditure on students in Independent </w:t>
      </w:r>
      <w:r w:rsidRPr="00F56CDF">
        <w:lastRenderedPageBreak/>
        <w:t xml:space="preserve">schools is estimated to be about $12,260 per student, or </w:t>
      </w:r>
      <w:r w:rsidR="00B35576" w:rsidRPr="00F56CDF">
        <w:t>54</w:t>
      </w:r>
      <w:r w:rsidRPr="00F56CDF">
        <w:t xml:space="preserve"> per cent of the average spending per</w:t>
      </w:r>
      <w:r>
        <w:t xml:space="preserve"> student in government schools. Independent school students receive considerably less government funding than their counterparts in government schools.</w:t>
      </w:r>
      <w:r w:rsidR="00CF4CE9">
        <w:rPr>
          <w:rStyle w:val="FootnoteReference"/>
        </w:rPr>
        <w:footnoteReference w:id="6"/>
      </w:r>
    </w:p>
    <w:p w14:paraId="5472EA89" w14:textId="5D63B00A" w:rsidR="00FF26B6" w:rsidRDefault="00140FBF" w:rsidP="00140FBF">
      <w:r w:rsidRPr="002C150C">
        <w:t>The proportion of government funding for individual Independent schools varies greatly from school to school. Some Independent schools receive as little as 10 per cent of their funds from governments, while others, where the parents and school community have extremely limited capacity to contribute, are almost fully funded by government</w:t>
      </w:r>
      <w:r w:rsidR="008167CF">
        <w:t>s.</w:t>
      </w:r>
    </w:p>
    <w:p w14:paraId="1F1BEE35" w14:textId="25B979A2" w:rsidR="00140FBF" w:rsidRDefault="00FF26B6" w:rsidP="00FF26B6">
      <w:r>
        <w:t xml:space="preserve">Except for </w:t>
      </w:r>
      <w:r w:rsidR="008167CF">
        <w:t>a</w:t>
      </w:r>
      <w:r>
        <w:t xml:space="preserve"> </w:t>
      </w:r>
      <w:r w:rsidR="008167CF">
        <w:t xml:space="preserve">very </w:t>
      </w:r>
      <w:r>
        <w:t xml:space="preserve">small number of schools serving the most highly disadvantaged </w:t>
      </w:r>
      <w:r w:rsidR="008167CF">
        <w:t>students in Australia, n</w:t>
      </w:r>
      <w:r w:rsidR="006E50B9">
        <w:t xml:space="preserve">on-government schools are not </w:t>
      </w:r>
      <w:r w:rsidR="00C16D50">
        <w:t>allowed to use</w:t>
      </w:r>
      <w:r w:rsidR="00ED14DD">
        <w:t xml:space="preserve"> government</w:t>
      </w:r>
      <w:r w:rsidR="00C16D50">
        <w:t xml:space="preserve"> recurrent funding for capital purposes.</w:t>
      </w:r>
    </w:p>
    <w:p w14:paraId="0D8E33E9" w14:textId="5A7142BB" w:rsidR="00140FBF" w:rsidRDefault="00140FBF" w:rsidP="00140FBF">
      <w:pPr>
        <w:pStyle w:val="Heading3"/>
      </w:pPr>
      <w:bookmarkStart w:id="28" w:name="_Toc158236352"/>
      <w:r>
        <w:t>7.2</w:t>
      </w:r>
      <w:r>
        <w:tab/>
        <w:t>Parental Contribution</w:t>
      </w:r>
      <w:bookmarkEnd w:id="28"/>
    </w:p>
    <w:p w14:paraId="236A1E27" w14:textId="60ABEE51" w:rsidR="00140FBF" w:rsidRDefault="00140FBF" w:rsidP="00140FBF">
      <w:r w:rsidRPr="00F56CDF">
        <w:t xml:space="preserve">Most of the income from private sources comes to Independent schools through fees charged to parents. In </w:t>
      </w:r>
      <w:r w:rsidR="00A93C12" w:rsidRPr="00F56CDF">
        <w:t>2022</w:t>
      </w:r>
      <w:r w:rsidRPr="00F56CDF">
        <w:t xml:space="preserve"> this accounted for </w:t>
      </w:r>
      <w:r w:rsidR="00F652FC" w:rsidRPr="00F56CDF">
        <w:t>91</w:t>
      </w:r>
      <w:r w:rsidRPr="00F56CDF">
        <w:t xml:space="preserve"> per cent of their private source income. Income from donations, fundraising, sponsorship and investments made up the remaining </w:t>
      </w:r>
      <w:r w:rsidR="00F652FC" w:rsidRPr="00F56CDF">
        <w:t>9</w:t>
      </w:r>
      <w:r w:rsidRPr="00F56CDF">
        <w:t xml:space="preserve"> per cent of their income.</w:t>
      </w:r>
      <w:r w:rsidR="001560D3" w:rsidRPr="00F56CDF">
        <w:rPr>
          <w:rStyle w:val="FootnoteReference"/>
        </w:rPr>
        <w:footnoteReference w:id="7"/>
      </w:r>
    </w:p>
    <w:p w14:paraId="391393F6" w14:textId="77777777" w:rsidR="00140FBF" w:rsidRDefault="00140FBF" w:rsidP="00140FBF">
      <w:r>
        <w:t>Independent school fees vary widely and are influenced by the community the school serves, the level of schooling, the types of education programs offered, and the level of government funding provided to the school.</w:t>
      </w:r>
    </w:p>
    <w:p w14:paraId="3F201D62" w14:textId="77777777" w:rsidR="00140FBF" w:rsidRDefault="00140FBF" w:rsidP="00140FBF">
      <w:r w:rsidRPr="002C150C">
        <w:t>The amount of government funding per Independent school student, from both state and territory governments and the Australian Government, is considerably lower than the level of funding for Catholic systemic and government school students however families make up the difference in total per student funding in the Independent sector through school fees, donations and fundraising.</w:t>
      </w:r>
    </w:p>
    <w:p w14:paraId="4E140A59" w14:textId="7C7FBE00" w:rsidR="00140FBF" w:rsidRDefault="00140FBF" w:rsidP="00140FBF">
      <w:pPr>
        <w:pStyle w:val="Heading3"/>
      </w:pPr>
      <w:bookmarkStart w:id="29" w:name="_Toc158236353"/>
      <w:r>
        <w:t>7.3</w:t>
      </w:r>
      <w:r>
        <w:tab/>
        <w:t>Capital funding</w:t>
      </w:r>
      <w:bookmarkEnd w:id="29"/>
    </w:p>
    <w:p w14:paraId="71DDD8B0" w14:textId="77777777" w:rsidR="00140FBF" w:rsidRDefault="00140FBF" w:rsidP="00140FBF">
      <w:r w:rsidRPr="00140FBF">
        <w:t>Most of the capital development (land, buildings, equipment) in Independent schools is funded from private sources. Governments provide only a small fraction of the capital investment made by Independent schools. Parents contribute the vast majority of capital investment through fees, fundraising and voluntary contributions.</w:t>
      </w:r>
    </w:p>
    <w:p w14:paraId="66CEC867" w14:textId="71812769" w:rsidR="00140FBF" w:rsidRPr="00140FBF" w:rsidRDefault="00140FBF" w:rsidP="00140FBF">
      <w:r w:rsidRPr="00140FBF">
        <w:t xml:space="preserve">In 2021, </w:t>
      </w:r>
      <w:r w:rsidR="003A6D80">
        <w:t>parent</w:t>
      </w:r>
      <w:r w:rsidRPr="00140FBF">
        <w:t xml:space="preserve"> </w:t>
      </w:r>
      <w:r w:rsidR="003A6D80">
        <w:t xml:space="preserve">and </w:t>
      </w:r>
      <w:r w:rsidRPr="00140FBF">
        <w:t xml:space="preserve">community contributions provided about 86 per cent of capital funding in the sector equalling over $1.14 billion being spent on capital development. Parents and school communities make their contribution through school fees, donations to school building funds and fundraising activities. </w:t>
      </w:r>
      <w:r w:rsidR="00A34E05">
        <w:t xml:space="preserve">According to available data, ISA estimates donations </w:t>
      </w:r>
      <w:r w:rsidR="003A6D80">
        <w:t xml:space="preserve">in the Independent sector </w:t>
      </w:r>
      <w:r w:rsidR="00A34E05">
        <w:t>to total approximately $1</w:t>
      </w:r>
      <w:r w:rsidR="003A6D80">
        <w:t>20 million although it is not possible to quantify the DGR component.</w:t>
      </w:r>
    </w:p>
    <w:p w14:paraId="25EB09FC" w14:textId="77777777" w:rsidR="00140FBF" w:rsidRPr="00140FBF" w:rsidRDefault="00140FBF" w:rsidP="00140FBF">
      <w:r w:rsidRPr="00140FBF">
        <w:t>The remaining 14 per cent of capital funding for non-government schools comes from governments through capital grants programs, state or territory government interest subsidies or loan schemes.</w:t>
      </w:r>
    </w:p>
    <w:p w14:paraId="44EAD7F9" w14:textId="0EBA1920" w:rsidR="00140FBF" w:rsidRPr="00140FBF" w:rsidRDefault="00140FBF" w:rsidP="00140FBF">
      <w:r w:rsidRPr="00140FBF">
        <w:t xml:space="preserve">The Australian Government grants contribute an estimated 6 per cent of total capital funding. The remaining 8 per cent comes from state and territory governments. Access to these grants varies considerably across Australia. </w:t>
      </w:r>
    </w:p>
    <w:p w14:paraId="006C339E" w14:textId="77777777" w:rsidR="00140FBF" w:rsidRPr="00140FBF" w:rsidRDefault="00140FBF" w:rsidP="00140FBF">
      <w:r w:rsidRPr="00140FBF">
        <w:t>The sector also uses borrowings for capital as well as for some recurrent purposes. In 2021, the net total borrowings of the sector was $4.2 billion which equates to $6,320 per student. This borrowing has increased steadily over the last decade. In 2021, debt servicing – which is built into school fees – accounts for about 0.9 per cent of recurrent expenditure in the Independent school sector.</w:t>
      </w:r>
    </w:p>
    <w:p w14:paraId="5204E4CD" w14:textId="190370D1" w:rsidR="00140FBF" w:rsidRDefault="00140FBF" w:rsidP="00140FBF">
      <w:pPr>
        <w:pStyle w:val="Heading3"/>
      </w:pPr>
      <w:bookmarkStart w:id="30" w:name="_Toc158236354"/>
      <w:r>
        <w:t>7.4</w:t>
      </w:r>
      <w:r>
        <w:tab/>
        <w:t>Australian Government Capital Grants Program</w:t>
      </w:r>
      <w:bookmarkEnd w:id="30"/>
    </w:p>
    <w:p w14:paraId="20CA735A" w14:textId="77777777" w:rsidR="00140FBF" w:rsidRDefault="00140FBF" w:rsidP="00140FBF">
      <w:r>
        <w:t xml:space="preserve">Australian Government capital funding to non-government schools is delivered mainly through the Capital Grants Program which aims to improve infrastructure such as school facilities, particularly for the most disadvantaged students. Block Grant Authorities in each state and territory administer </w:t>
      </w:r>
      <w:r>
        <w:lastRenderedPageBreak/>
        <w:t>Australian Government capital grants for Independent and Catholic schools. In 2022, capital grants for the Independent sector totalled approximately $79 million.</w:t>
      </w:r>
    </w:p>
    <w:p w14:paraId="2635642C" w14:textId="2085C2D2" w:rsidR="00140FBF" w:rsidRDefault="00140FBF" w:rsidP="004E1837">
      <w:r>
        <w:t>These grants are based on need, with priority given to disadvantaged school communities with the least capacity to raise funds. Most Independent schools receive no capital grants from governments. The extent and quality of their facilities reflect the contributions from families, former students and other donors.</w:t>
      </w:r>
    </w:p>
    <w:p w14:paraId="311948BB" w14:textId="0049C3C1" w:rsidR="00140FBF" w:rsidRDefault="00140FBF" w:rsidP="004E1837">
      <w:r>
        <w:t>The argument put forward in the draft report that “</w:t>
      </w:r>
      <w:r w:rsidRPr="00140FBF">
        <w:t>schools servicing communities with greater socio-economic disadvantage are less likely to benefit from DGR endorsement for school building funds</w:t>
      </w:r>
      <w:r>
        <w:t>”</w:t>
      </w:r>
      <w:r>
        <w:rPr>
          <w:rStyle w:val="FootnoteReference"/>
        </w:rPr>
        <w:footnoteReference w:id="8"/>
      </w:r>
      <w:r>
        <w:t xml:space="preserve"> as a rationale for removing DGR status for school building funds </w:t>
      </w:r>
      <w:r w:rsidR="00F81BCB">
        <w:t xml:space="preserve">is flawed. It </w:t>
      </w:r>
      <w:r>
        <w:t xml:space="preserve">ignores the fact that most Independent schools have limited </w:t>
      </w:r>
      <w:r w:rsidR="006E50B9">
        <w:t xml:space="preserve">available </w:t>
      </w:r>
      <w:r>
        <w:t>sources of capital funding given the</w:t>
      </w:r>
      <w:r w:rsidR="006E50B9">
        <w:t xml:space="preserve"> relatively</w:t>
      </w:r>
      <w:r>
        <w:t xml:space="preserve"> small amount of capital funding available fro</w:t>
      </w:r>
      <w:r w:rsidR="003B0866">
        <w:t>m</w:t>
      </w:r>
      <w:r>
        <w:t xml:space="preserve"> governments</w:t>
      </w:r>
      <w:r w:rsidR="00B83CF5">
        <w:t>,</w:t>
      </w:r>
      <w:r>
        <w:t xml:space="preserve"> and the loss of DGR status would have a significant impact on schools’ ability to raise funds through donations.</w:t>
      </w:r>
    </w:p>
    <w:p w14:paraId="6FD1ABA5" w14:textId="77777777" w:rsidR="00CE30D9" w:rsidRPr="00642007" w:rsidRDefault="006E1608" w:rsidP="00D15454">
      <w:r w:rsidRPr="00642007">
        <w:t xml:space="preserve">Many </w:t>
      </w:r>
      <w:r w:rsidR="002A1FF9" w:rsidRPr="00642007">
        <w:t>low and medium fee</w:t>
      </w:r>
      <w:r w:rsidRPr="00642007">
        <w:t xml:space="preserve"> Independent schools that </w:t>
      </w:r>
      <w:r w:rsidR="00CE7E2D" w:rsidRPr="00642007">
        <w:t>apply to the</w:t>
      </w:r>
      <w:r w:rsidRPr="00642007">
        <w:t xml:space="preserve"> Capital Grants Program </w:t>
      </w:r>
      <w:r w:rsidR="00CE7E2D" w:rsidRPr="00642007">
        <w:t xml:space="preserve">are unsuccessful due to the large </w:t>
      </w:r>
      <w:r w:rsidR="000623F8" w:rsidRPr="00642007">
        <w:t>v</w:t>
      </w:r>
      <w:r w:rsidR="00CE7E2D" w:rsidRPr="00642007">
        <w:t xml:space="preserve">olume of schools applying for a small pool of funding. </w:t>
      </w:r>
      <w:r w:rsidR="00146B23" w:rsidRPr="00642007">
        <w:t>The lack of government funding and the need for schools to accommodate students and provide the necessary infrastructure for lea</w:t>
      </w:r>
      <w:r w:rsidR="00CE30D9" w:rsidRPr="00642007">
        <w:t>r</w:t>
      </w:r>
      <w:r w:rsidR="00146B23" w:rsidRPr="00642007">
        <w:t xml:space="preserve">ning means that it is essential for schools to have access to school building funds for capital. </w:t>
      </w:r>
    </w:p>
    <w:p w14:paraId="454F4E37" w14:textId="73046730" w:rsidR="006E1608" w:rsidRPr="00642007" w:rsidRDefault="005F050B" w:rsidP="00D15454">
      <w:r w:rsidRPr="00F70BE0">
        <w:t>S</w:t>
      </w:r>
      <w:r w:rsidR="00D47ED0" w:rsidRPr="00F70BE0">
        <w:t xml:space="preserve">chools rely on </w:t>
      </w:r>
      <w:r w:rsidR="006E1608" w:rsidRPr="00F70BE0">
        <w:t xml:space="preserve">DGR donations to build and refurbish both existing and much needed additional school infrastructure, such as </w:t>
      </w:r>
      <w:r w:rsidR="00D47ED0" w:rsidRPr="00F70BE0">
        <w:t>school furniture, classrooms</w:t>
      </w:r>
      <w:r w:rsidR="00455285" w:rsidRPr="00F70BE0">
        <w:t xml:space="preserve">, libraries, </w:t>
      </w:r>
      <w:r w:rsidR="00FA5306" w:rsidRPr="00F70BE0">
        <w:t>specialis</w:t>
      </w:r>
      <w:r w:rsidR="00F70BE0" w:rsidRPr="00F70BE0">
        <w:t>t</w:t>
      </w:r>
      <w:r w:rsidR="00FA5306" w:rsidRPr="00F70BE0">
        <w:t xml:space="preserve"> equipment for science labs</w:t>
      </w:r>
      <w:r w:rsidR="00455285" w:rsidRPr="00F70BE0">
        <w:t xml:space="preserve"> and specialis</w:t>
      </w:r>
      <w:r w:rsidR="00E059FE" w:rsidRPr="00F70BE0">
        <w:t>ed</w:t>
      </w:r>
      <w:r w:rsidR="00455285" w:rsidRPr="00F70BE0">
        <w:t xml:space="preserve"> </w:t>
      </w:r>
      <w:r w:rsidR="00E059FE" w:rsidRPr="00F70BE0">
        <w:t>learning areas</w:t>
      </w:r>
      <w:r w:rsidR="00146B23" w:rsidRPr="00F70BE0">
        <w:t xml:space="preserve"> within schools. </w:t>
      </w:r>
      <w:r w:rsidR="009B6311" w:rsidRPr="00F70BE0">
        <w:t>For example:</w:t>
      </w:r>
      <w:r w:rsidR="009B6311" w:rsidRPr="00642007">
        <w:t xml:space="preserve"> </w:t>
      </w:r>
    </w:p>
    <w:p w14:paraId="08F7E9CE" w14:textId="756CE70A" w:rsidR="00D15454" w:rsidRPr="00642007" w:rsidRDefault="006E1608" w:rsidP="00D15454">
      <w:pPr>
        <w:pStyle w:val="ListBullet"/>
      </w:pPr>
      <w:r w:rsidRPr="00642007">
        <w:t>Austin Grove Baptist College</w:t>
      </w:r>
      <w:r w:rsidR="00822B79" w:rsidRPr="00642007">
        <w:t xml:space="preserve"> (</w:t>
      </w:r>
      <w:r w:rsidRPr="00642007">
        <w:t>WA</w:t>
      </w:r>
      <w:r w:rsidR="00822B79" w:rsidRPr="00642007">
        <w:t>)</w:t>
      </w:r>
      <w:r w:rsidRPr="00642007">
        <w:t xml:space="preserve"> used $144,000 in DGR donations towards the development of much needed infrastructure, including a new classroom in 2023.</w:t>
      </w:r>
      <w:r w:rsidR="003A27F1" w:rsidRPr="00642007">
        <w:rPr>
          <w:rStyle w:val="FootnoteReference"/>
        </w:rPr>
        <w:footnoteReference w:id="9"/>
      </w:r>
    </w:p>
    <w:p w14:paraId="3167F4E4" w14:textId="723732D6" w:rsidR="006E1608" w:rsidRPr="00642007" w:rsidRDefault="006E1608" w:rsidP="00D15454">
      <w:pPr>
        <w:pStyle w:val="ListBullet"/>
      </w:pPr>
      <w:r w:rsidRPr="00642007">
        <w:t>Geelong Baptist College</w:t>
      </w:r>
      <w:r w:rsidR="00822B79" w:rsidRPr="00642007">
        <w:t xml:space="preserve"> (</w:t>
      </w:r>
      <w:r w:rsidRPr="00642007">
        <w:t>Vic</w:t>
      </w:r>
      <w:r w:rsidR="00822B79" w:rsidRPr="00642007">
        <w:t>)</w:t>
      </w:r>
      <w:r w:rsidRPr="00642007">
        <w:t xml:space="preserve"> used $65,000 in DGR donations over 2021 – 2023 to develop school infrastructure and restore classrooms.</w:t>
      </w:r>
      <w:r w:rsidR="00DB4AE0" w:rsidRPr="00642007">
        <w:rPr>
          <w:rStyle w:val="FootnoteReference"/>
        </w:rPr>
        <w:footnoteReference w:id="10"/>
      </w:r>
    </w:p>
    <w:p w14:paraId="4C9287A2" w14:textId="7C590F68" w:rsidR="00D3160A" w:rsidRPr="00642007" w:rsidRDefault="00C93198" w:rsidP="00D15454">
      <w:pPr>
        <w:pStyle w:val="ListBullet"/>
      </w:pPr>
      <w:r w:rsidRPr="00642007">
        <w:t>Emmanuel College</w:t>
      </w:r>
      <w:r w:rsidR="00822B79" w:rsidRPr="00642007">
        <w:t xml:space="preserve"> (</w:t>
      </w:r>
      <w:r w:rsidR="005D5BAB" w:rsidRPr="00642007">
        <w:t>QLD</w:t>
      </w:r>
      <w:r w:rsidR="00822B79" w:rsidRPr="00642007">
        <w:t>)</w:t>
      </w:r>
      <w:r w:rsidR="005D5BAB" w:rsidRPr="00642007">
        <w:t xml:space="preserve"> used </w:t>
      </w:r>
      <w:r w:rsidRPr="00642007">
        <w:t>$250,000</w:t>
      </w:r>
      <w:r w:rsidR="005D5BAB" w:rsidRPr="00642007">
        <w:t xml:space="preserve"> in DGR Donations in 2023</w:t>
      </w:r>
      <w:r w:rsidRPr="00642007">
        <w:t xml:space="preserve"> towards a new building for Josiah College (an Emmanuel College subsidiary school) a special school educating students with autism spectrum disorder.</w:t>
      </w:r>
      <w:r w:rsidR="006670E1" w:rsidRPr="00642007">
        <w:rPr>
          <w:rStyle w:val="FootnoteReference"/>
        </w:rPr>
        <w:footnoteReference w:id="11"/>
      </w:r>
    </w:p>
    <w:p w14:paraId="6C597B34" w14:textId="3E2D9F0C" w:rsidR="004E1837" w:rsidRPr="004E1837" w:rsidRDefault="00140FBF" w:rsidP="004E1837">
      <w:pPr>
        <w:pStyle w:val="Heading2"/>
      </w:pPr>
      <w:bookmarkStart w:id="31" w:name="_Toc157759565"/>
      <w:bookmarkStart w:id="32" w:name="_Toc158236355"/>
      <w:r>
        <w:t>8.</w:t>
      </w:r>
      <w:r>
        <w:tab/>
      </w:r>
      <w:r w:rsidR="00935A67">
        <w:t>School</w:t>
      </w:r>
      <w:r w:rsidR="004E1837" w:rsidRPr="004E1837">
        <w:t xml:space="preserve"> building funds</w:t>
      </w:r>
      <w:bookmarkEnd w:id="31"/>
      <w:bookmarkEnd w:id="32"/>
    </w:p>
    <w:p w14:paraId="6F1B791A" w14:textId="1B5EBC89" w:rsidR="004E1837" w:rsidRPr="004E1837" w:rsidRDefault="00AF4FB9" w:rsidP="004E1837">
      <w:r>
        <w:t xml:space="preserve">As noted above, </w:t>
      </w:r>
      <w:r w:rsidR="004E1837" w:rsidRPr="004E1837">
        <w:t xml:space="preserve">Independent schools are a diverse group </w:t>
      </w:r>
      <w:r>
        <w:t xml:space="preserve">of schools </w:t>
      </w:r>
      <w:r w:rsidR="004E1837" w:rsidRPr="004E1837">
        <w:t>and serve a wide range of communities. Across Australia, Independent school families, alumni and communities collectively contribute 86 per cent of school capital income nationally. Two-thirds of Independent schools receive no government funding for capital expenditure. In many schools, capital funding is 100 per cent sourced from parents and school communities.</w:t>
      </w:r>
    </w:p>
    <w:p w14:paraId="2B4BDF8A" w14:textId="77777777" w:rsidR="00225D3A" w:rsidRDefault="004E1837" w:rsidP="00535962">
      <w:r w:rsidRPr="004E1837">
        <w:t>In 2021, the value of this contribution from Independent school families, alumni and communities was around $1.14 billion for school building and capital works. These same families contribute around $5.7 billion annually to the ongoing costs of educating their children, with their after-tax dollars.</w:t>
      </w:r>
    </w:p>
    <w:p w14:paraId="41292A45" w14:textId="3FDBEEA8" w:rsidR="00535962" w:rsidRDefault="0052385D" w:rsidP="00535962">
      <w:r>
        <w:t xml:space="preserve">The loss of DGR status for school building funds would </w:t>
      </w:r>
      <w:r w:rsidR="009C4CAA">
        <w:t xml:space="preserve">make it more difficult for all schools to meet the challenge of </w:t>
      </w:r>
      <w:r w:rsidR="00D66CD8">
        <w:t>building n</w:t>
      </w:r>
      <w:r w:rsidR="00E561A5" w:rsidRPr="00E561A5">
        <w:t>ew classroom</w:t>
      </w:r>
      <w:r w:rsidR="001C2B9B">
        <w:t>s and facilities</w:t>
      </w:r>
      <w:r w:rsidR="00E561A5" w:rsidRPr="00E561A5">
        <w:t xml:space="preserve"> to meet </w:t>
      </w:r>
      <w:r w:rsidR="001C2B9B">
        <w:t xml:space="preserve">the projected </w:t>
      </w:r>
      <w:r w:rsidR="007E5B85">
        <w:t>demand</w:t>
      </w:r>
      <w:r w:rsidR="00F01C3E">
        <w:t xml:space="preserve"> for schooling</w:t>
      </w:r>
      <w:r w:rsidR="007E5B85">
        <w:t xml:space="preserve"> </w:t>
      </w:r>
      <w:r w:rsidR="009A6ADD">
        <w:t>in all sectors</w:t>
      </w:r>
      <w:r w:rsidR="007E5B85">
        <w:t xml:space="preserve">. This </w:t>
      </w:r>
      <w:r w:rsidR="00F01C3E">
        <w:t>would</w:t>
      </w:r>
      <w:r w:rsidR="007E5B85">
        <w:t xml:space="preserve"> shift </w:t>
      </w:r>
      <w:r w:rsidR="00F93C00">
        <w:t xml:space="preserve">the burden of meeting those costs on to </w:t>
      </w:r>
      <w:r w:rsidR="00B2474E">
        <w:t>governments and</w:t>
      </w:r>
      <w:r w:rsidR="000A71EB">
        <w:t xml:space="preserve"> </w:t>
      </w:r>
      <w:r w:rsidR="00F01C3E">
        <w:t xml:space="preserve">would </w:t>
      </w:r>
      <w:r w:rsidR="000A71EB">
        <w:t xml:space="preserve">impose a greater cost on Australian </w:t>
      </w:r>
      <w:r w:rsidR="00B2474E">
        <w:t>taxpayers</w:t>
      </w:r>
      <w:r w:rsidR="005E6C61">
        <w:t xml:space="preserve"> than would be the case through the continuation of </w:t>
      </w:r>
      <w:r w:rsidR="00123BDD">
        <w:t xml:space="preserve">the existing </w:t>
      </w:r>
      <w:r w:rsidR="005E6C61">
        <w:t xml:space="preserve">DGR status for </w:t>
      </w:r>
      <w:r w:rsidR="00123BDD">
        <w:t>schools.</w:t>
      </w:r>
    </w:p>
    <w:p w14:paraId="0C01C2C0" w14:textId="2684FBA4" w:rsidR="004E1837" w:rsidRDefault="00535962" w:rsidP="004E1837">
      <w:r w:rsidRPr="004E1837">
        <w:t xml:space="preserve">Building works in schools are for the use of future, as well as current, students and </w:t>
      </w:r>
      <w:r>
        <w:t xml:space="preserve">are </w:t>
      </w:r>
      <w:r w:rsidRPr="004E1837">
        <w:t>also often utilised by the broader community.</w:t>
      </w:r>
    </w:p>
    <w:p w14:paraId="17D1D417" w14:textId="3B37508D" w:rsidR="004E1837" w:rsidRPr="004E1837" w:rsidRDefault="00140FBF" w:rsidP="00935A67">
      <w:pPr>
        <w:pStyle w:val="Heading3"/>
      </w:pPr>
      <w:bookmarkStart w:id="33" w:name="_Toc157759566"/>
      <w:bookmarkStart w:id="34" w:name="_Toc158236356"/>
      <w:r>
        <w:lastRenderedPageBreak/>
        <w:t>8.1</w:t>
      </w:r>
      <w:r w:rsidR="004E405D">
        <w:tab/>
      </w:r>
      <w:r w:rsidR="004E1837" w:rsidRPr="004E1837">
        <w:t>Private Benefit</w:t>
      </w:r>
      <w:bookmarkEnd w:id="33"/>
      <w:bookmarkEnd w:id="34"/>
    </w:p>
    <w:p w14:paraId="67C24028" w14:textId="4A35B156" w:rsidR="004E1837" w:rsidRDefault="004E1837" w:rsidP="004E1837">
      <w:r w:rsidRPr="004E1837">
        <w:t>The Productivity Commission has argued in its report that in the case of school building funds, there is “the potential for a donor to be able to convert a tax-deductible donation into a private benefit is especially apparent for primary and secondary education, particularly where students are charged fees.”</w:t>
      </w:r>
      <w:r w:rsidR="004F1B2D">
        <w:t>.</w:t>
      </w:r>
    </w:p>
    <w:p w14:paraId="03A022A3" w14:textId="0C99A5EE" w:rsidR="00866549" w:rsidRDefault="005F7F4C" w:rsidP="006E3623">
      <w:pPr>
        <w:rPr>
          <w:color w:val="auto"/>
        </w:rPr>
      </w:pPr>
      <w:r w:rsidRPr="002E2D86">
        <w:rPr>
          <w:color w:val="auto"/>
        </w:rPr>
        <w:t>However, the Productivity Commission has shown no real evidence to support its argument that there is a material risk of tax-deductible donations to school building funds being converted into a private benefit</w:t>
      </w:r>
      <w:r w:rsidR="00194367">
        <w:rPr>
          <w:color w:val="auto"/>
        </w:rPr>
        <w:t xml:space="preserve"> or quantified the degree of risk involved</w:t>
      </w:r>
      <w:r w:rsidRPr="002E2D86">
        <w:rPr>
          <w:color w:val="auto"/>
        </w:rPr>
        <w:t xml:space="preserve">. </w:t>
      </w:r>
    </w:p>
    <w:p w14:paraId="717345DE" w14:textId="7209C40E" w:rsidR="00D27642" w:rsidRDefault="00D27642" w:rsidP="006E3623">
      <w:pPr>
        <w:rPr>
          <w:szCs w:val="20"/>
        </w:rPr>
      </w:pPr>
      <w:r>
        <w:rPr>
          <w:color w:val="auto"/>
        </w:rPr>
        <w:t>The Commission notes that</w:t>
      </w:r>
      <w:r w:rsidR="00462865">
        <w:rPr>
          <w:color w:val="auto"/>
        </w:rPr>
        <w:t xml:space="preserve"> “</w:t>
      </w:r>
      <w:r>
        <w:rPr>
          <w:szCs w:val="20"/>
        </w:rPr>
        <w:t>some activities that remain in scope for DGR status may still have a material risk of substitution between donations and fees or generally enable donors to convert donations to a private benefit. For example, for cultural activities such as performing arts, audience members may be motivated to make donations, which could over time make ticket prices lower for all audience members. Similarly, some health charities (including not-for-profit private hospitals) charge fees to patients and raising revenue through donations could offset some of the need to charge fees.</w:t>
      </w:r>
      <w:r w:rsidR="00443DFA">
        <w:rPr>
          <w:szCs w:val="20"/>
        </w:rPr>
        <w:t>”</w:t>
      </w:r>
      <w:r w:rsidR="00443DFA">
        <w:rPr>
          <w:rStyle w:val="FootnoteReference"/>
          <w:szCs w:val="20"/>
        </w:rPr>
        <w:footnoteReference w:id="12"/>
      </w:r>
    </w:p>
    <w:p w14:paraId="0F675416" w14:textId="0255C5DE" w:rsidR="00462865" w:rsidRDefault="00443DFA" w:rsidP="006E3623">
      <w:pPr>
        <w:rPr>
          <w:color w:val="auto"/>
        </w:rPr>
      </w:pPr>
      <w:r>
        <w:rPr>
          <w:color w:val="auto"/>
        </w:rPr>
        <w:t>It is not clear why on this basis,</w:t>
      </w:r>
      <w:r w:rsidR="00000E9D">
        <w:rPr>
          <w:color w:val="auto"/>
        </w:rPr>
        <w:t xml:space="preserve"> </w:t>
      </w:r>
      <w:r>
        <w:rPr>
          <w:color w:val="auto"/>
        </w:rPr>
        <w:t xml:space="preserve">a delineation has been made between </w:t>
      </w:r>
      <w:r w:rsidR="009B6311">
        <w:rPr>
          <w:color w:val="auto"/>
        </w:rPr>
        <w:t>edu</w:t>
      </w:r>
      <w:r w:rsidR="006C52F8">
        <w:rPr>
          <w:color w:val="auto"/>
        </w:rPr>
        <w:t>c</w:t>
      </w:r>
      <w:r w:rsidR="009B6311">
        <w:rPr>
          <w:color w:val="auto"/>
        </w:rPr>
        <w:t xml:space="preserve">ational </w:t>
      </w:r>
      <w:r>
        <w:rPr>
          <w:color w:val="auto"/>
        </w:rPr>
        <w:t>activities and the performing arts that both have a degree of perceived risk</w:t>
      </w:r>
      <w:r w:rsidR="001F5D8B">
        <w:rPr>
          <w:color w:val="auto"/>
        </w:rPr>
        <w:t xml:space="preserve">. </w:t>
      </w:r>
      <w:r w:rsidR="00462865">
        <w:rPr>
          <w:color w:val="auto"/>
        </w:rPr>
        <w:t>It is also not clear why, if there is a perceived risk, the Report recommends removing DGR status for schools rather than relying on the existing governance and compliance requirements associated with DGR activities.</w:t>
      </w:r>
    </w:p>
    <w:p w14:paraId="030C09FA" w14:textId="72B21E58" w:rsidR="003C28EE" w:rsidRDefault="00F104E8" w:rsidP="006E3623">
      <w:pPr>
        <w:rPr>
          <w:color w:val="auto"/>
        </w:rPr>
      </w:pPr>
      <w:r>
        <w:rPr>
          <w:color w:val="auto"/>
        </w:rPr>
        <w:t>Further, the</w:t>
      </w:r>
      <w:r w:rsidR="003C28EE">
        <w:rPr>
          <w:color w:val="auto"/>
        </w:rPr>
        <w:t xml:space="preserve"> Report recommends </w:t>
      </w:r>
      <w:r w:rsidR="00687418">
        <w:rPr>
          <w:color w:val="auto"/>
        </w:rPr>
        <w:t>the removal of DGR status for school</w:t>
      </w:r>
      <w:r w:rsidR="0033066F">
        <w:rPr>
          <w:color w:val="auto"/>
        </w:rPr>
        <w:t>s</w:t>
      </w:r>
      <w:r w:rsidR="00687418">
        <w:rPr>
          <w:color w:val="auto"/>
        </w:rPr>
        <w:t xml:space="preserve"> but for the retention of </w:t>
      </w:r>
      <w:r w:rsidR="003C28EE">
        <w:rPr>
          <w:color w:val="auto"/>
        </w:rPr>
        <w:t xml:space="preserve">DGR status </w:t>
      </w:r>
      <w:r w:rsidR="00687418">
        <w:rPr>
          <w:color w:val="auto"/>
        </w:rPr>
        <w:t>for</w:t>
      </w:r>
      <w:r w:rsidR="003C28EE">
        <w:rPr>
          <w:color w:val="auto"/>
        </w:rPr>
        <w:t xml:space="preserve"> Higher Education</w:t>
      </w:r>
      <w:r w:rsidR="00506804">
        <w:rPr>
          <w:color w:val="auto"/>
        </w:rPr>
        <w:t>,</w:t>
      </w:r>
      <w:r w:rsidR="00687418">
        <w:rPr>
          <w:color w:val="auto"/>
        </w:rPr>
        <w:t xml:space="preserve"> such as universities and </w:t>
      </w:r>
      <w:r w:rsidR="00506804">
        <w:rPr>
          <w:color w:val="auto"/>
        </w:rPr>
        <w:t xml:space="preserve">TAFEs, while acknowledging that </w:t>
      </w:r>
      <w:r w:rsidR="007E7F6E">
        <w:rPr>
          <w:color w:val="auto"/>
        </w:rPr>
        <w:t>these institutions also charge fees.</w:t>
      </w:r>
    </w:p>
    <w:p w14:paraId="5490BE33" w14:textId="57150E2D" w:rsidR="008D320A" w:rsidRPr="00CB48CF" w:rsidRDefault="007E7F6E" w:rsidP="00CB48CF">
      <w:pPr>
        <w:rPr>
          <w:color w:val="auto"/>
        </w:rPr>
      </w:pPr>
      <w:r>
        <w:rPr>
          <w:color w:val="auto"/>
        </w:rPr>
        <w:t xml:space="preserve">It appears that there has been a misapplication of the level of risk associated with schools </w:t>
      </w:r>
      <w:r w:rsidR="00924306" w:rsidRPr="002E2D86">
        <w:rPr>
          <w:color w:val="auto"/>
        </w:rPr>
        <w:t xml:space="preserve">based </w:t>
      </w:r>
      <w:r w:rsidR="00B2474E" w:rsidRPr="002E2D86">
        <w:rPr>
          <w:color w:val="auto"/>
        </w:rPr>
        <w:t>on key</w:t>
      </w:r>
      <w:r w:rsidR="00924306" w:rsidRPr="002E2D86">
        <w:rPr>
          <w:color w:val="auto"/>
        </w:rPr>
        <w:t xml:space="preserve"> </w:t>
      </w:r>
      <w:r w:rsidR="00B2474E" w:rsidRPr="002E2D86">
        <w:rPr>
          <w:color w:val="auto"/>
        </w:rPr>
        <w:t>assumptions</w:t>
      </w:r>
      <w:r w:rsidR="00B2474E">
        <w:rPr>
          <w:color w:val="auto"/>
        </w:rPr>
        <w:t xml:space="preserve">, </w:t>
      </w:r>
      <w:r w:rsidR="00B2474E" w:rsidRPr="002E2D86">
        <w:rPr>
          <w:color w:val="auto"/>
        </w:rPr>
        <w:t>and</w:t>
      </w:r>
      <w:r w:rsidR="00C72FC6">
        <w:rPr>
          <w:color w:val="auto"/>
        </w:rPr>
        <w:t xml:space="preserve"> those assumptions </w:t>
      </w:r>
      <w:r w:rsidR="003E4D05">
        <w:rPr>
          <w:color w:val="auto"/>
        </w:rPr>
        <w:t xml:space="preserve">represent a </w:t>
      </w:r>
      <w:r w:rsidR="006E3623" w:rsidRPr="002E2D86">
        <w:rPr>
          <w:color w:val="auto"/>
        </w:rPr>
        <w:t xml:space="preserve">misunderstanding of </w:t>
      </w:r>
      <w:r w:rsidR="00A52233">
        <w:rPr>
          <w:color w:val="auto"/>
        </w:rPr>
        <w:t xml:space="preserve">the Independent school </w:t>
      </w:r>
      <w:r w:rsidR="002E2D86">
        <w:rPr>
          <w:color w:val="auto"/>
        </w:rPr>
        <w:t>sector</w:t>
      </w:r>
      <w:r w:rsidR="006E3623" w:rsidRPr="002E2D86">
        <w:rPr>
          <w:color w:val="auto"/>
        </w:rPr>
        <w:t xml:space="preserve"> and the benef</w:t>
      </w:r>
      <w:r w:rsidR="00CD65B3">
        <w:rPr>
          <w:color w:val="auto"/>
        </w:rPr>
        <w:t>iciaries</w:t>
      </w:r>
      <w:r w:rsidR="006E3623" w:rsidRPr="002E2D86">
        <w:rPr>
          <w:color w:val="auto"/>
        </w:rPr>
        <w:t xml:space="preserve"> of capital works funded through school building funds.</w:t>
      </w:r>
    </w:p>
    <w:p w14:paraId="5A2C38C2" w14:textId="682CE420" w:rsidR="00CF7F53" w:rsidRPr="00CF7F53" w:rsidRDefault="00295BE5" w:rsidP="00295BE5">
      <w:pPr>
        <w:pStyle w:val="Heading4"/>
      </w:pPr>
      <w:r>
        <w:t>Who contributes to school building funds?</w:t>
      </w:r>
    </w:p>
    <w:p w14:paraId="7590A2E6" w14:textId="60E4C6BB" w:rsidR="008D320A" w:rsidRDefault="00C6045C" w:rsidP="00C6045C">
      <w:pPr>
        <w:pStyle w:val="ListBullet"/>
        <w:numPr>
          <w:ilvl w:val="0"/>
          <w:numId w:val="0"/>
        </w:numPr>
      </w:pPr>
      <w:r>
        <w:t>It</w:t>
      </w:r>
      <w:r w:rsidRPr="004E1837">
        <w:t xml:space="preserve"> is not only the families of current students that contribute to school building funds, but alumni, community groups, and others through a range of fundraising activities.</w:t>
      </w:r>
      <w:r>
        <w:t xml:space="preserve"> As noted above, many schools also seek out </w:t>
      </w:r>
      <w:r w:rsidRPr="0019260E">
        <w:t>additional sources of support and income to support particular programs or offerings.</w:t>
      </w:r>
      <w:r>
        <w:t xml:space="preserve"> </w:t>
      </w:r>
    </w:p>
    <w:p w14:paraId="00EC91ED" w14:textId="60F50DB2" w:rsidR="0023569A" w:rsidRDefault="0024506C" w:rsidP="0023569A">
      <w:pPr>
        <w:pStyle w:val="ListBullet"/>
        <w:numPr>
          <w:ilvl w:val="0"/>
          <w:numId w:val="0"/>
        </w:numPr>
        <w:pBdr>
          <w:top w:val="single" w:sz="4" w:space="1" w:color="auto"/>
          <w:left w:val="single" w:sz="4" w:space="4" w:color="auto"/>
          <w:bottom w:val="single" w:sz="4" w:space="1" w:color="auto"/>
          <w:right w:val="single" w:sz="4" w:space="4" w:color="auto"/>
        </w:pBdr>
      </w:pPr>
      <w:r w:rsidRPr="0024506C">
        <w:t xml:space="preserve">Scotch College in Adelaide, through a community partnership with YMCA, has built a multi-use wellbeing facility, the Purruna Centre, which is </w:t>
      </w:r>
      <w:r w:rsidR="001D4924">
        <w:t xml:space="preserve">used by the </w:t>
      </w:r>
      <w:r w:rsidRPr="0024506C">
        <w:t xml:space="preserve">broader public on a daily basis. </w:t>
      </w:r>
    </w:p>
    <w:p w14:paraId="3AB6C971" w14:textId="34057714" w:rsidR="0023569A" w:rsidRDefault="0024506C" w:rsidP="0023569A">
      <w:pPr>
        <w:pStyle w:val="ListBullet"/>
        <w:numPr>
          <w:ilvl w:val="0"/>
          <w:numId w:val="0"/>
        </w:numPr>
        <w:pBdr>
          <w:top w:val="single" w:sz="4" w:space="1" w:color="auto"/>
          <w:left w:val="single" w:sz="4" w:space="4" w:color="auto"/>
          <w:bottom w:val="single" w:sz="4" w:space="1" w:color="auto"/>
          <w:right w:val="single" w:sz="4" w:space="4" w:color="auto"/>
        </w:pBdr>
      </w:pPr>
      <w:r w:rsidRPr="0024506C">
        <w:t xml:space="preserve">The building of the centre was underpinned by philanthropy and a significant proportion of donors were not parents of current or future students. They were motivated by the vision of a multidisciplinary space that sought to become a lighthouse for mental health and wellbeing interventions in a genuinely charitable way. </w:t>
      </w:r>
    </w:p>
    <w:p w14:paraId="336F8717" w14:textId="3166042F" w:rsidR="0024506C" w:rsidRPr="0024506C" w:rsidRDefault="003A387C" w:rsidP="0024506C">
      <w:pPr>
        <w:pStyle w:val="ListBullet"/>
        <w:numPr>
          <w:ilvl w:val="0"/>
          <w:numId w:val="0"/>
        </w:numPr>
        <w:pBdr>
          <w:top w:val="single" w:sz="4" w:space="1" w:color="auto"/>
          <w:left w:val="single" w:sz="4" w:space="4" w:color="auto"/>
          <w:bottom w:val="single" w:sz="4" w:space="1" w:color="auto"/>
          <w:right w:val="single" w:sz="4" w:space="4" w:color="auto"/>
        </w:pBdr>
      </w:pPr>
      <w:r w:rsidRPr="0024506C">
        <w:t>A range of external allied health professionals use the treatment and consulting rooms in the building, providing mental health, paediatric developmental and physiotherapy services to the local community</w:t>
      </w:r>
      <w:r w:rsidR="0023569A">
        <w:t xml:space="preserve">. </w:t>
      </w:r>
      <w:r w:rsidR="0024506C" w:rsidRPr="0024506C">
        <w:t>It was DGR status that made the building possible.</w:t>
      </w:r>
    </w:p>
    <w:p w14:paraId="459EB77E" w14:textId="2DF1D2D3" w:rsidR="00295BE5" w:rsidRDefault="00295BE5" w:rsidP="0024506C">
      <w:pPr>
        <w:pStyle w:val="Heading4"/>
        <w:numPr>
          <w:ilvl w:val="0"/>
          <w:numId w:val="0"/>
        </w:numPr>
      </w:pPr>
      <w:r>
        <w:t xml:space="preserve">Who benefits from </w:t>
      </w:r>
      <w:bookmarkStart w:id="35" w:name="_Hlk157770583"/>
      <w:r w:rsidR="000C28C0">
        <w:t xml:space="preserve">and utilises </w:t>
      </w:r>
      <w:r>
        <w:t>capital works funded by school building funds?</w:t>
      </w:r>
      <w:bookmarkEnd w:id="35"/>
    </w:p>
    <w:p w14:paraId="4B9885E3" w14:textId="53AEBAF6" w:rsidR="00295BE5" w:rsidRDefault="00295BE5" w:rsidP="00295BE5">
      <w:pPr>
        <w:pStyle w:val="ListBullet"/>
        <w:numPr>
          <w:ilvl w:val="0"/>
          <w:numId w:val="0"/>
        </w:numPr>
      </w:pPr>
      <w:r w:rsidRPr="004E1837">
        <w:t>School Building Funds support capital works programs and develop assets with a life that extends far beyond the 1</w:t>
      </w:r>
      <w:r w:rsidR="00000E9D">
        <w:t>3</w:t>
      </w:r>
      <w:r w:rsidRPr="004E1837">
        <w:t xml:space="preserve"> years a child spends at school. It is extremely unlikely that a member of the community, or a school alumnus – who may have left the school many years ago – could benefit directly from these donations. </w:t>
      </w:r>
      <w:r w:rsidR="00EA34E0">
        <w:t xml:space="preserve">The lifespan of school buildings means that </w:t>
      </w:r>
      <w:r w:rsidR="00BE6D18">
        <w:t>any philanthropic donation will have a substantial impact on future cohorts</w:t>
      </w:r>
      <w:r w:rsidR="00750D3A">
        <w:t xml:space="preserve"> in years to come.</w:t>
      </w:r>
    </w:p>
    <w:p w14:paraId="5582303F" w14:textId="61FCDDAB" w:rsidR="00736854" w:rsidRPr="00341114" w:rsidRDefault="00A41AFD" w:rsidP="00C6045C">
      <w:pPr>
        <w:pStyle w:val="ListBullet"/>
        <w:numPr>
          <w:ilvl w:val="0"/>
          <w:numId w:val="0"/>
        </w:numPr>
        <w:rPr>
          <w:color w:val="auto"/>
        </w:rPr>
      </w:pPr>
      <w:r>
        <w:rPr>
          <w:color w:val="auto"/>
        </w:rPr>
        <w:t xml:space="preserve">Further, </w:t>
      </w:r>
      <w:r w:rsidR="00111179" w:rsidRPr="00341114">
        <w:rPr>
          <w:color w:val="auto"/>
        </w:rPr>
        <w:t>I</w:t>
      </w:r>
      <w:r w:rsidR="0028165C" w:rsidRPr="00341114">
        <w:rPr>
          <w:color w:val="auto"/>
        </w:rPr>
        <w:t xml:space="preserve">ndependent schools are situated within a broader community </w:t>
      </w:r>
      <w:r w:rsidR="00402367" w:rsidRPr="00341114">
        <w:rPr>
          <w:color w:val="auto"/>
        </w:rPr>
        <w:t>context,</w:t>
      </w:r>
      <w:r w:rsidR="0028165C" w:rsidRPr="00341114">
        <w:rPr>
          <w:color w:val="auto"/>
        </w:rPr>
        <w:t xml:space="preserve"> and </w:t>
      </w:r>
      <w:r w:rsidR="001F0C22" w:rsidRPr="00341114">
        <w:rPr>
          <w:color w:val="auto"/>
        </w:rPr>
        <w:t xml:space="preserve">it is </w:t>
      </w:r>
      <w:r w:rsidR="00B44CAF" w:rsidRPr="00341114">
        <w:rPr>
          <w:color w:val="auto"/>
        </w:rPr>
        <w:t>generally</w:t>
      </w:r>
      <w:r w:rsidR="001F0C22" w:rsidRPr="00341114">
        <w:rPr>
          <w:color w:val="auto"/>
        </w:rPr>
        <w:t xml:space="preserve"> the case that schools make their facilities available for community use. </w:t>
      </w:r>
      <w:r w:rsidR="0019093F">
        <w:rPr>
          <w:color w:val="auto"/>
        </w:rPr>
        <w:t xml:space="preserve">This may be even more pronounced </w:t>
      </w:r>
      <w:r w:rsidR="0019093F">
        <w:rPr>
          <w:color w:val="auto"/>
        </w:rPr>
        <w:lastRenderedPageBreak/>
        <w:t xml:space="preserve">in regional and remote areas where there are limited local facilities available. Across all geographic areas, Independent </w:t>
      </w:r>
      <w:r w:rsidR="00C50B57">
        <w:rPr>
          <w:color w:val="auto"/>
        </w:rPr>
        <w:t>schools</w:t>
      </w:r>
      <w:r w:rsidR="0019093F">
        <w:rPr>
          <w:color w:val="auto"/>
        </w:rPr>
        <w:t xml:space="preserve"> </w:t>
      </w:r>
      <w:r w:rsidR="00000E9D">
        <w:rPr>
          <w:color w:val="auto"/>
        </w:rPr>
        <w:t>are</w:t>
      </w:r>
      <w:r w:rsidR="0019093F">
        <w:rPr>
          <w:color w:val="auto"/>
        </w:rPr>
        <w:t xml:space="preserve"> </w:t>
      </w:r>
      <w:r w:rsidR="002E2D86">
        <w:rPr>
          <w:color w:val="auto"/>
        </w:rPr>
        <w:t xml:space="preserve">an integral part of the communities they serve and in which they are situated. </w:t>
      </w:r>
      <w:r w:rsidR="001F0C22" w:rsidRPr="00341114">
        <w:rPr>
          <w:color w:val="auto"/>
        </w:rPr>
        <w:t>Examples of this include</w:t>
      </w:r>
      <w:r w:rsidR="00000E9D">
        <w:rPr>
          <w:color w:val="auto"/>
        </w:rPr>
        <w:t>:</w:t>
      </w:r>
    </w:p>
    <w:p w14:paraId="2E14132D" w14:textId="779FE759" w:rsidR="00562BE9" w:rsidRPr="00341114" w:rsidRDefault="00341114">
      <w:pPr>
        <w:pStyle w:val="ListBullet"/>
      </w:pPr>
      <w:r>
        <w:t>S</w:t>
      </w:r>
      <w:r w:rsidR="00562BE9" w:rsidRPr="00341114">
        <w:t>chools</w:t>
      </w:r>
      <w:r w:rsidR="0019093F">
        <w:t xml:space="preserve"> </w:t>
      </w:r>
      <w:r w:rsidR="00562BE9" w:rsidRPr="00341114">
        <w:t>have partnerships with community groups enabling access to and use of school facilities</w:t>
      </w:r>
      <w:r w:rsidR="00000E9D">
        <w:t xml:space="preserve">, such </w:t>
      </w:r>
      <w:r w:rsidR="002C150C">
        <w:t>as local</w:t>
      </w:r>
      <w:r w:rsidR="002C150C" w:rsidRPr="00341114">
        <w:t xml:space="preserve"> </w:t>
      </w:r>
      <w:r w:rsidR="00562BE9" w:rsidRPr="00341114">
        <w:t>sporting clubs and associations</w:t>
      </w:r>
      <w:r w:rsidR="002C150C">
        <w:t>.</w:t>
      </w:r>
    </w:p>
    <w:p w14:paraId="3117A729" w14:textId="20D0A0D7" w:rsidR="00CC4A5E" w:rsidRPr="00341114" w:rsidRDefault="0019093F">
      <w:pPr>
        <w:pStyle w:val="ListBullet"/>
      </w:pPr>
      <w:r>
        <w:t>S</w:t>
      </w:r>
      <w:r w:rsidR="00CC4A5E" w:rsidRPr="00341114">
        <w:t>chools make sporting</w:t>
      </w:r>
      <w:r w:rsidR="00000E9D">
        <w:t>, meeting, performing arts</w:t>
      </w:r>
      <w:r w:rsidR="00CC4A5E" w:rsidRPr="00341114">
        <w:t xml:space="preserve"> </w:t>
      </w:r>
      <w:r w:rsidR="00000E9D">
        <w:t xml:space="preserve">and other </w:t>
      </w:r>
      <w:r w:rsidR="00CC4A5E" w:rsidRPr="00341114">
        <w:t>facilities available to the public</w:t>
      </w:r>
      <w:r w:rsidR="00000E9D">
        <w:t xml:space="preserve"> and other </w:t>
      </w:r>
      <w:r w:rsidR="002C150C">
        <w:t>third-party</w:t>
      </w:r>
      <w:r w:rsidR="00000E9D">
        <w:t xml:space="preserve"> providers including e</w:t>
      </w:r>
      <w:r w:rsidR="00C85706" w:rsidRPr="00341114">
        <w:t>xternal and allied health professionals</w:t>
      </w:r>
      <w:r w:rsidR="002C150C">
        <w:t>.</w:t>
      </w:r>
    </w:p>
    <w:p w14:paraId="12E9AFF7" w14:textId="25DF7BFF" w:rsidR="008D320A" w:rsidRDefault="00C85706" w:rsidP="006716FA">
      <w:pPr>
        <w:pStyle w:val="ListBullet"/>
      </w:pPr>
      <w:r w:rsidRPr="00341114">
        <w:t>Schools enable the use of school facilities to host local events</w:t>
      </w:r>
      <w:r w:rsidR="00341114" w:rsidRPr="00341114">
        <w:t xml:space="preserve"> and educational conferences</w:t>
      </w:r>
      <w:r w:rsidR="002C150C">
        <w:t>.</w:t>
      </w:r>
    </w:p>
    <w:p w14:paraId="65408617" w14:textId="152A236C" w:rsidR="00305B7D" w:rsidRDefault="00305B7D" w:rsidP="002A1798">
      <w:pPr>
        <w:pStyle w:val="ListBullet"/>
        <w:numPr>
          <w:ilvl w:val="0"/>
          <w:numId w:val="0"/>
        </w:numPr>
        <w:pBdr>
          <w:top w:val="single" w:sz="4" w:space="1" w:color="auto"/>
          <w:left w:val="single" w:sz="4" w:space="4" w:color="auto"/>
          <w:bottom w:val="single" w:sz="4" w:space="1" w:color="auto"/>
          <w:right w:val="single" w:sz="4" w:space="4" w:color="auto"/>
        </w:pBdr>
      </w:pPr>
      <w:r w:rsidRPr="00305B7D">
        <w:t xml:space="preserve">Firbank Grammar School, Vic receives no government funding for infrastructure development. As a result, the school's growth and development has been achieved through the generous support of its community, including current and past parents, alumni, and staff. </w:t>
      </w:r>
    </w:p>
    <w:p w14:paraId="7B702111" w14:textId="42DFC7A9" w:rsidR="00305B7D" w:rsidRDefault="00305B7D" w:rsidP="002A1798">
      <w:pPr>
        <w:pStyle w:val="ListBullet"/>
        <w:numPr>
          <w:ilvl w:val="0"/>
          <w:numId w:val="0"/>
        </w:numPr>
        <w:pBdr>
          <w:top w:val="single" w:sz="4" w:space="1" w:color="auto"/>
          <w:left w:val="single" w:sz="4" w:space="4" w:color="auto"/>
          <w:bottom w:val="single" w:sz="4" w:space="1" w:color="auto"/>
          <w:right w:val="single" w:sz="4" w:space="4" w:color="auto"/>
        </w:pBdr>
      </w:pPr>
      <w:r w:rsidRPr="00305B7D">
        <w:t xml:space="preserve">An example of this community support is </w:t>
      </w:r>
      <w:r w:rsidR="002A1798">
        <w:t xml:space="preserve">the school’s </w:t>
      </w:r>
      <w:r w:rsidRPr="00305B7D">
        <w:t xml:space="preserve">dedicated Arts Precinct, which opened in 2022. Designed to promote student participation in the Arts, the </w:t>
      </w:r>
      <w:r w:rsidR="001D24E4">
        <w:t xml:space="preserve">Arts </w:t>
      </w:r>
      <w:r w:rsidR="007914DC">
        <w:t>P</w:t>
      </w:r>
      <w:r w:rsidRPr="00305B7D">
        <w:t>recinct includes spaces for performance and dance, as well as specialised learning spaces for digital and studio arts. Community donations contributed 15</w:t>
      </w:r>
      <w:r w:rsidR="00F2646B">
        <w:t xml:space="preserve"> per cent</w:t>
      </w:r>
      <w:r w:rsidRPr="00305B7D">
        <w:t xml:space="preserve"> of the total project</w:t>
      </w:r>
      <w:r w:rsidR="00216D8B">
        <w:t xml:space="preserve"> cost.</w:t>
      </w:r>
    </w:p>
    <w:p w14:paraId="3938BBF1" w14:textId="6FBE4743" w:rsidR="009B7BF5" w:rsidRPr="00341114" w:rsidRDefault="00305B7D" w:rsidP="003A387C">
      <w:pPr>
        <w:pStyle w:val="ListBullet"/>
        <w:numPr>
          <w:ilvl w:val="0"/>
          <w:numId w:val="0"/>
        </w:numPr>
        <w:pBdr>
          <w:top w:val="single" w:sz="4" w:space="1" w:color="auto"/>
          <w:left w:val="single" w:sz="4" w:space="4" w:color="auto"/>
          <w:bottom w:val="single" w:sz="4" w:space="1" w:color="auto"/>
          <w:right w:val="single" w:sz="4" w:space="4" w:color="auto"/>
        </w:pBdr>
      </w:pPr>
      <w:r w:rsidRPr="00305B7D">
        <w:t>These teaching and learning and performance spaces are widely used by the local community outside of school hours. This use ranges from classrooms for external language providers through to rehearsal and performance spaces for acting schools. Many local primary schools also use the performance spaces for their school productions and presentation nights.</w:t>
      </w:r>
      <w:r>
        <w:rPr>
          <w:rStyle w:val="FootnoteReference"/>
        </w:rPr>
        <w:footnoteReference w:id="13"/>
      </w:r>
    </w:p>
    <w:p w14:paraId="078F863D" w14:textId="494F9AF1" w:rsidR="00736854" w:rsidRPr="0019093F" w:rsidRDefault="00736854" w:rsidP="00CB48CF">
      <w:pPr>
        <w:pStyle w:val="Heading4"/>
        <w:numPr>
          <w:ilvl w:val="0"/>
          <w:numId w:val="0"/>
        </w:numPr>
      </w:pPr>
      <w:r w:rsidRPr="0019093F">
        <w:t>Do school building funds subsidise school fees?</w:t>
      </w:r>
    </w:p>
    <w:p w14:paraId="6EDD6902" w14:textId="7B12DDFD" w:rsidR="00736854" w:rsidRDefault="0006551F" w:rsidP="00736854">
      <w:r>
        <w:t>W</w:t>
      </w:r>
      <w:r w:rsidR="00736854" w:rsidRPr="004E1837">
        <w:t>hile the draft report raise</w:t>
      </w:r>
      <w:r>
        <w:t>s</w:t>
      </w:r>
      <w:r w:rsidR="00736854" w:rsidRPr="004E1837">
        <w:t xml:space="preserve"> the possibility of there being a link between donations and fees charged for education services, this is not the case in schools. Capital works are funded separately to the recurrent operating costs that are recouped through fees, and deductible donations to a School Building Fund therefore do not reduce the fees payable by parents. </w:t>
      </w:r>
    </w:p>
    <w:p w14:paraId="2EAD16CC" w14:textId="475C9E80" w:rsidR="00C302F8" w:rsidRDefault="00C302F8" w:rsidP="00736854">
      <w:r>
        <w:t xml:space="preserve">Further, </w:t>
      </w:r>
      <w:r w:rsidR="00127211">
        <w:t>many schools in the Independent sector serve</w:t>
      </w:r>
      <w:r>
        <w:t xml:space="preserve"> communities that are either unable to or have limited capacity to pay fees. </w:t>
      </w:r>
      <w:r w:rsidR="00127211">
        <w:t xml:space="preserve">There are Independent schools serving remote Aboriginal and Torres Strait Islander communities </w:t>
      </w:r>
      <w:r w:rsidR="002E4B65">
        <w:t>both</w:t>
      </w:r>
      <w:r w:rsidR="00127211">
        <w:t xml:space="preserve"> on</w:t>
      </w:r>
      <w:r w:rsidR="00C90F69">
        <w:t>-</w:t>
      </w:r>
      <w:r w:rsidR="00127211">
        <w:t>country or through the provision of boarding</w:t>
      </w:r>
      <w:r w:rsidR="008C2EFA">
        <w:t xml:space="preserve">. </w:t>
      </w:r>
      <w:r w:rsidR="002E4B65">
        <w:t>There</w:t>
      </w:r>
      <w:r w:rsidR="008C2EFA">
        <w:t xml:space="preserve"> are Independent schools </w:t>
      </w:r>
      <w:r w:rsidR="00C90F69">
        <w:t>serving</w:t>
      </w:r>
      <w:r w:rsidR="009C105C">
        <w:t xml:space="preserve"> </w:t>
      </w:r>
      <w:r w:rsidR="008C2EFA">
        <w:t>student</w:t>
      </w:r>
      <w:r w:rsidR="002E4B65">
        <w:t>s</w:t>
      </w:r>
      <w:r w:rsidR="008C2EFA">
        <w:t xml:space="preserve"> </w:t>
      </w:r>
      <w:r w:rsidR="002E4B65">
        <w:t>from h</w:t>
      </w:r>
      <w:r w:rsidR="00AF4331">
        <w:t xml:space="preserve">ighly disadvantaged </w:t>
      </w:r>
      <w:r w:rsidR="002E4B65">
        <w:t xml:space="preserve">backgrounds </w:t>
      </w:r>
      <w:r w:rsidR="00AF4331">
        <w:t xml:space="preserve">and </w:t>
      </w:r>
      <w:r w:rsidR="009C105C">
        <w:t xml:space="preserve">who are disengaged from education. </w:t>
      </w:r>
      <w:r w:rsidR="00417724">
        <w:t xml:space="preserve">These families and students are not paying </w:t>
      </w:r>
      <w:r w:rsidR="0092047C">
        <w:t>for a benefit from these schools.</w:t>
      </w:r>
    </w:p>
    <w:p w14:paraId="57A45BDF" w14:textId="397BEA23" w:rsidR="0092047C" w:rsidRPr="004E1837" w:rsidRDefault="008B7826" w:rsidP="00736854">
      <w:r>
        <w:t xml:space="preserve">Recent ISA research showed that </w:t>
      </w:r>
      <w:r w:rsidRPr="008B7826">
        <w:t>Independent schools also provide important financial support for students and families in need through the provision of scholarships and bursaries. More than four in five Independent schools (85</w:t>
      </w:r>
      <w:r w:rsidR="00F2646B">
        <w:t xml:space="preserve"> per cent</w:t>
      </w:r>
      <w:r w:rsidRPr="008B7826">
        <w:t xml:space="preserve">) who participated in the recent School Insights Survey, provide scholarships or bursaries to students in need. This financial support is generally directed towards Aboriginal and Torres Strait Islander students, students from </w:t>
      </w:r>
      <w:r w:rsidR="00C90F69">
        <w:t>low socioeconomic</w:t>
      </w:r>
      <w:r w:rsidRPr="008B7826">
        <w:t xml:space="preserve"> backgrounds and families facing financial hardship.</w:t>
      </w:r>
      <w:r>
        <w:rPr>
          <w:rStyle w:val="FootnoteReference"/>
        </w:rPr>
        <w:footnoteReference w:id="14"/>
      </w:r>
    </w:p>
    <w:p w14:paraId="51DB9300" w14:textId="558E17C4" w:rsidR="00736854" w:rsidRPr="00A059E5" w:rsidRDefault="00A059E5" w:rsidP="00A059E5">
      <w:pPr>
        <w:pStyle w:val="Heading4"/>
      </w:pPr>
      <w:r w:rsidRPr="00A059E5">
        <w:t>Do capital works in Independent schools provide a public benefit?</w:t>
      </w:r>
    </w:p>
    <w:p w14:paraId="691F3441" w14:textId="0566FC7D" w:rsidR="00DF2CAF" w:rsidRDefault="00C50B57" w:rsidP="00DF2CAF">
      <w:r>
        <w:t>As</w:t>
      </w:r>
      <w:r w:rsidR="00E50C05">
        <w:t xml:space="preserve"> </w:t>
      </w:r>
      <w:r w:rsidR="00984D1C">
        <w:t>articulated</w:t>
      </w:r>
      <w:r w:rsidR="00E50C05">
        <w:t xml:space="preserve"> in ISA’s recent report on the Social Contribution of </w:t>
      </w:r>
      <w:r w:rsidR="005A3AF0">
        <w:t>Independent Schools in Australia, “e</w:t>
      </w:r>
      <w:r w:rsidR="000F7128" w:rsidRPr="000F7128">
        <w:t>ducation in all its forms is a central part of building a flourishing, prosperous and sustainable society.</w:t>
      </w:r>
      <w:r w:rsidR="00000E9D">
        <w:t xml:space="preserve"> </w:t>
      </w:r>
      <w:r w:rsidR="000F7128" w:rsidRPr="000F7128">
        <w:t>Schools, teachers, education leaders, policy makers, parents and community members across all sectors are invested in making meaningful social contributions through education</w:t>
      </w:r>
      <w:r w:rsidR="00D26F93">
        <w:t>”</w:t>
      </w:r>
      <w:r w:rsidR="000F7128" w:rsidRPr="000F7128">
        <w:t>.</w:t>
      </w:r>
      <w:r w:rsidR="00984D1C">
        <w:rPr>
          <w:rStyle w:val="FootnoteReference"/>
        </w:rPr>
        <w:footnoteReference w:id="15"/>
      </w:r>
    </w:p>
    <w:p w14:paraId="04709B02" w14:textId="779F9447" w:rsidR="00A20F8F" w:rsidRPr="00DF2CAF" w:rsidRDefault="00A20F8F" w:rsidP="00DF2CAF">
      <w:r>
        <w:lastRenderedPageBreak/>
        <w:t xml:space="preserve">The benefits of school education to the broader Australian community are many. As noted in the Productivity Commission’s </w:t>
      </w:r>
      <w:r w:rsidRPr="005C4AC7">
        <w:rPr>
          <w:i/>
          <w:iCs/>
        </w:rPr>
        <w:t>5-year Productivity Inquiry</w:t>
      </w:r>
      <w:r>
        <w:rPr>
          <w:i/>
          <w:iCs/>
        </w:rPr>
        <w:t>:</w:t>
      </w:r>
      <w:r w:rsidRPr="005C4AC7">
        <w:rPr>
          <w:i/>
          <w:iCs/>
        </w:rPr>
        <w:t xml:space="preserve"> From Learning to Growth</w:t>
      </w:r>
      <w:r>
        <w:t>,</w:t>
      </w:r>
      <w:r w:rsidRPr="00E16389">
        <w:t xml:space="preserve"> </w:t>
      </w:r>
      <w:r>
        <w:t>“A quality education benefits both individuals and society. Evidence shows a significant earnings premium for those with extra years of schooling or post-school qualifications. In addition, rising skill levels have accounted for about one-fifth of Australia’s labour productivity growth in recent decades, and will become increasingly important in maintaining future growth. The benefits extend beyond improved productivity — education can provide fulfillment, improve health outcomes, reduce crime, and increase social and economic mobility</w:t>
      </w:r>
      <w:r w:rsidRPr="00E16389">
        <w:t>.</w:t>
      </w:r>
      <w:r>
        <w:t>”</w:t>
      </w:r>
      <w:r>
        <w:rPr>
          <w:rStyle w:val="FootnoteReference"/>
        </w:rPr>
        <w:footnoteReference w:id="16"/>
      </w:r>
    </w:p>
    <w:p w14:paraId="2B398660" w14:textId="0C2CF40F" w:rsidR="008C56D3" w:rsidRDefault="00293F96" w:rsidP="004E1837">
      <w:r w:rsidRPr="00293F96">
        <w:t>Independent schools recognise the importance of participating in and contributing to the broader education sector</w:t>
      </w:r>
      <w:r w:rsidR="00555136">
        <w:t xml:space="preserve"> and are invested in improving the educational landscape in Australia through </w:t>
      </w:r>
      <w:r w:rsidR="00202840">
        <w:t xml:space="preserve">supporting educational </w:t>
      </w:r>
      <w:r w:rsidR="00C90F69">
        <w:t>innovation</w:t>
      </w:r>
      <w:r w:rsidR="00202840">
        <w:t xml:space="preserve"> and best </w:t>
      </w:r>
      <w:r w:rsidR="00C90F69">
        <w:t>practice</w:t>
      </w:r>
      <w:r w:rsidR="00202840">
        <w:t>.</w:t>
      </w:r>
      <w:r w:rsidR="005A3AF0">
        <w:t>”</w:t>
      </w:r>
      <w:r w:rsidR="00CF3ABC">
        <w:rPr>
          <w:rStyle w:val="FootnoteReference"/>
        </w:rPr>
        <w:footnoteReference w:id="17"/>
      </w:r>
    </w:p>
    <w:p w14:paraId="7497D770" w14:textId="292BB1D8" w:rsidR="00D25283" w:rsidRDefault="00857E80" w:rsidP="004E1837">
      <w:r>
        <w:t>Enabling philanthropic giving to school</w:t>
      </w:r>
      <w:r w:rsidR="0047040D">
        <w:t>s</w:t>
      </w:r>
      <w:r>
        <w:t xml:space="preserve"> through DGR Funds </w:t>
      </w:r>
      <w:r w:rsidR="0047040D">
        <w:t>is an enabler of developing and promoting education excellence in Australia.</w:t>
      </w:r>
    </w:p>
    <w:p w14:paraId="4907DC8E" w14:textId="220F89A9" w:rsidR="004E1837" w:rsidRPr="004E1837" w:rsidRDefault="00140FBF" w:rsidP="00935A67">
      <w:pPr>
        <w:pStyle w:val="Heading3"/>
      </w:pPr>
      <w:bookmarkStart w:id="37" w:name="_Toc157759567"/>
      <w:bookmarkStart w:id="38" w:name="_Toc158236357"/>
      <w:r>
        <w:t>8</w:t>
      </w:r>
      <w:r w:rsidR="004E405D">
        <w:t xml:space="preserve">.2 </w:t>
      </w:r>
      <w:r w:rsidR="004E405D">
        <w:tab/>
      </w:r>
      <w:r w:rsidR="004E1837" w:rsidRPr="004E1837">
        <w:t>Impact of the removal of DGR status for school building funds</w:t>
      </w:r>
      <w:bookmarkEnd w:id="37"/>
      <w:bookmarkEnd w:id="38"/>
    </w:p>
    <w:p w14:paraId="54E9BDC5" w14:textId="55A6D461" w:rsidR="008B756E" w:rsidRDefault="00072934" w:rsidP="004E1837">
      <w:r>
        <w:t xml:space="preserve">There is no basis for assuming that schools will be able to maintain current levels of philanthropic giving if DGR status for </w:t>
      </w:r>
      <w:r w:rsidR="00CF4173">
        <w:t xml:space="preserve">school building funds is removed. </w:t>
      </w:r>
      <w:r w:rsidR="00C50B57">
        <w:t>Removing</w:t>
      </w:r>
      <w:r w:rsidR="004E1837" w:rsidRPr="004E1837">
        <w:t xml:space="preserve"> DGR status for non-government school building funds will shift more financial burden onto families, who already make significant sacrifices to support their children’s education and are doing their best to manage the ever-increasing cost of living pressures. </w:t>
      </w:r>
    </w:p>
    <w:p w14:paraId="2B115608" w14:textId="4DA21511" w:rsidR="006936B9" w:rsidRDefault="00C75C20" w:rsidP="004E1837">
      <w:r>
        <w:t>It is also highly likely that there would be calls to increase the capital fu</w:t>
      </w:r>
      <w:r w:rsidR="00000719">
        <w:t>nd</w:t>
      </w:r>
      <w:r>
        <w:t>ing available from governments</w:t>
      </w:r>
      <w:r w:rsidR="00000719">
        <w:t>. Currently</w:t>
      </w:r>
      <w:r w:rsidR="006017C2">
        <w:t>,</w:t>
      </w:r>
      <w:r w:rsidR="00000719">
        <w:t xml:space="preserve"> there are only limited funds available through the Australian Government Capital Grants Program and that funding is directed at the schools with the least </w:t>
      </w:r>
      <w:r w:rsidR="003A76CD">
        <w:t>capacity</w:t>
      </w:r>
      <w:r w:rsidR="00000719">
        <w:t xml:space="preserve"> to raise funds for capital projects. </w:t>
      </w:r>
    </w:p>
    <w:p w14:paraId="4D96DC13" w14:textId="6DC6F4F5" w:rsidR="004E1837" w:rsidRPr="004E1837" w:rsidRDefault="00000719" w:rsidP="004E1837">
      <w:r>
        <w:t xml:space="preserve">Removing DGR status </w:t>
      </w:r>
      <w:r w:rsidR="00615414">
        <w:t>for school building funds without</w:t>
      </w:r>
      <w:r>
        <w:t xml:space="preserve"> </w:t>
      </w:r>
      <w:r w:rsidR="00615414">
        <w:t>a commensurate increase in direct capital funding for schools will only</w:t>
      </w:r>
      <w:r w:rsidR="00392D79">
        <w:t xml:space="preserve"> serve</w:t>
      </w:r>
      <w:r w:rsidR="00615414">
        <w:t xml:space="preserve"> </w:t>
      </w:r>
      <w:r w:rsidR="00000E9D">
        <w:t xml:space="preserve">to </w:t>
      </w:r>
      <w:r>
        <w:t xml:space="preserve">increase the number of schools competing for a </w:t>
      </w:r>
      <w:r w:rsidR="00615414">
        <w:t>relatively small funding pool</w:t>
      </w:r>
      <w:r w:rsidR="00392D79">
        <w:t>. It</w:t>
      </w:r>
      <w:r w:rsidR="004E1837" w:rsidRPr="004E1837">
        <w:t xml:space="preserve"> will also directly impact the capacity of</w:t>
      </w:r>
      <w:r w:rsidR="006017C2">
        <w:t xml:space="preserve"> </w:t>
      </w:r>
      <w:r w:rsidR="004E1837" w:rsidRPr="004E1837">
        <w:t>school</w:t>
      </w:r>
      <w:r w:rsidR="00000E9D">
        <w:t>s</w:t>
      </w:r>
      <w:r w:rsidR="004E1837" w:rsidRPr="004E1837">
        <w:t xml:space="preserve"> to </w:t>
      </w:r>
      <w:r w:rsidR="002755F9">
        <w:t xml:space="preserve">accommodate </w:t>
      </w:r>
      <w:r w:rsidR="00291BCC">
        <w:t xml:space="preserve">projected increases in enrolments across all school sectors and to </w:t>
      </w:r>
      <w:r w:rsidR="004E1837" w:rsidRPr="004E1837">
        <w:t xml:space="preserve">provide the </w:t>
      </w:r>
      <w:r w:rsidR="00B2474E">
        <w:t>high-quality</w:t>
      </w:r>
      <w:r w:rsidR="004E1837" w:rsidRPr="004E1837">
        <w:t xml:space="preserve"> learning environment</w:t>
      </w:r>
      <w:r w:rsidR="00000E9D">
        <w:t>s</w:t>
      </w:r>
      <w:r w:rsidR="004E1837" w:rsidRPr="004E1837">
        <w:t xml:space="preserve"> for students.</w:t>
      </w:r>
      <w:r w:rsidR="00F07E00">
        <w:t xml:space="preserve"> School</w:t>
      </w:r>
      <w:r w:rsidR="004B3B7D">
        <w:t>s</w:t>
      </w:r>
      <w:r w:rsidR="00F07E00">
        <w:t xml:space="preserve"> will be forced to </w:t>
      </w:r>
      <w:r w:rsidR="004B3B7D">
        <w:t xml:space="preserve">reconsider or </w:t>
      </w:r>
      <w:r w:rsidR="00F07E00">
        <w:t xml:space="preserve">abandon </w:t>
      </w:r>
      <w:r w:rsidR="004B3B7D">
        <w:t xml:space="preserve">future projects that could have significant </w:t>
      </w:r>
      <w:r w:rsidR="00C50B57">
        <w:t>long-term</w:t>
      </w:r>
      <w:r w:rsidR="004B3B7D">
        <w:t xml:space="preserve"> </w:t>
      </w:r>
      <w:r w:rsidR="00236A6B">
        <w:t>benefits</w:t>
      </w:r>
      <w:r w:rsidR="004B3B7D">
        <w:t>.</w:t>
      </w:r>
      <w:r w:rsidR="00236A6B">
        <w:t xml:space="preserve"> Longer term this will impact the provision of quality education nationally.</w:t>
      </w:r>
    </w:p>
    <w:p w14:paraId="21FA5822" w14:textId="097882B4" w:rsidR="004E1837" w:rsidRDefault="00140FBF" w:rsidP="00935A67">
      <w:pPr>
        <w:pStyle w:val="Heading2"/>
      </w:pPr>
      <w:bookmarkStart w:id="39" w:name="_Toc158236358"/>
      <w:r>
        <w:t>9</w:t>
      </w:r>
      <w:r w:rsidR="004E405D">
        <w:t xml:space="preserve">. </w:t>
      </w:r>
      <w:r w:rsidR="004E405D">
        <w:tab/>
      </w:r>
      <w:r w:rsidR="00935A67">
        <w:t>Scholarships</w:t>
      </w:r>
      <w:bookmarkEnd w:id="39"/>
    </w:p>
    <w:p w14:paraId="6F64FBE6" w14:textId="77777777" w:rsidR="00DA11EA" w:rsidRDefault="00BB3560" w:rsidP="00E66E0C">
      <w:r>
        <w:t xml:space="preserve">In the draft Report, the </w:t>
      </w:r>
      <w:r w:rsidRPr="00BB3560">
        <w:t>Commission also propos</w:t>
      </w:r>
      <w:r>
        <w:t>es</w:t>
      </w:r>
      <w:r w:rsidRPr="00BB3560">
        <w:t xml:space="preserve"> that education charities </w:t>
      </w:r>
      <w:r w:rsidR="001E4F48">
        <w:t xml:space="preserve">would </w:t>
      </w:r>
      <w:r w:rsidRPr="00BB3560">
        <w:t>be able to obtain DGR status for specific activities that have an equity objective, without the need to be registered as a P</w:t>
      </w:r>
      <w:r w:rsidR="00BE0108">
        <w:t xml:space="preserve">ublic </w:t>
      </w:r>
      <w:r w:rsidRPr="00BB3560">
        <w:t>B</w:t>
      </w:r>
      <w:r w:rsidR="00BE0108">
        <w:t xml:space="preserve">enevolent </w:t>
      </w:r>
      <w:r w:rsidRPr="00BB3560">
        <w:t>I</w:t>
      </w:r>
      <w:r w:rsidR="00BE0108">
        <w:t>nstitution</w:t>
      </w:r>
      <w:r w:rsidRPr="00BB3560">
        <w:t xml:space="preserve">. </w:t>
      </w:r>
      <w:r w:rsidR="001E4F48">
        <w:t>The inference of this wording is that scholarships based on merit would no longer have DGR status</w:t>
      </w:r>
      <w:r w:rsidR="00BE0108">
        <w:t xml:space="preserve">. </w:t>
      </w:r>
    </w:p>
    <w:p w14:paraId="290AF293" w14:textId="2F4B8BDB" w:rsidR="00E66E0C" w:rsidRPr="005E763A" w:rsidRDefault="001D4924" w:rsidP="00E66E0C">
      <w:r>
        <w:t>L</w:t>
      </w:r>
      <w:r w:rsidR="005E763A" w:rsidRPr="005E763A">
        <w:t xml:space="preserve">imiting DGR status for scholarships </w:t>
      </w:r>
      <w:r>
        <w:t xml:space="preserve">would </w:t>
      </w:r>
      <w:r w:rsidR="005E763A" w:rsidRPr="005E763A">
        <w:t xml:space="preserve">reduce educational </w:t>
      </w:r>
      <w:r w:rsidR="00E66E0C">
        <w:t xml:space="preserve">opportunities </w:t>
      </w:r>
      <w:r w:rsidR="005E763A" w:rsidRPr="005E763A">
        <w:t xml:space="preserve">for </w:t>
      </w:r>
      <w:r w:rsidR="00E144C3">
        <w:t xml:space="preserve">disadvantaged </w:t>
      </w:r>
      <w:r w:rsidR="005E763A" w:rsidRPr="005E763A">
        <w:t xml:space="preserve">students and families. </w:t>
      </w:r>
      <w:r w:rsidR="00D64AB4">
        <w:t>Merit-based</w:t>
      </w:r>
      <w:r w:rsidR="00E66E0C">
        <w:t xml:space="preserve"> scholarships also provide alternative education pathways for students who may otherwise not be</w:t>
      </w:r>
      <w:r w:rsidR="00D64AB4">
        <w:t xml:space="preserve"> able to access </w:t>
      </w:r>
      <w:r w:rsidR="00E73ACB">
        <w:t xml:space="preserve">those </w:t>
      </w:r>
      <w:r w:rsidR="00D64AB4">
        <w:t>educational opportunit</w:t>
      </w:r>
      <w:r w:rsidR="00E73ACB">
        <w:t>ies</w:t>
      </w:r>
      <w:r w:rsidR="00D64AB4">
        <w:t>.</w:t>
      </w:r>
    </w:p>
    <w:p w14:paraId="38F98732" w14:textId="4FEB4348" w:rsidR="00935A67" w:rsidRDefault="00140FBF" w:rsidP="00935A67">
      <w:pPr>
        <w:pStyle w:val="Heading2"/>
      </w:pPr>
      <w:bookmarkStart w:id="40" w:name="_Toc158236359"/>
      <w:r>
        <w:t>10</w:t>
      </w:r>
      <w:r w:rsidR="004E405D">
        <w:t xml:space="preserve">. </w:t>
      </w:r>
      <w:r w:rsidR="004E405D">
        <w:tab/>
      </w:r>
      <w:r w:rsidR="00935A67">
        <w:t xml:space="preserve">Opportunities to grow </w:t>
      </w:r>
      <w:r w:rsidR="0017081C">
        <w:t xml:space="preserve">Philanthropic </w:t>
      </w:r>
      <w:r w:rsidR="00935A67">
        <w:t>giving in schools</w:t>
      </w:r>
      <w:bookmarkEnd w:id="40"/>
    </w:p>
    <w:p w14:paraId="5C61E663" w14:textId="77777777" w:rsidR="000F26E0" w:rsidRPr="000F26E0" w:rsidRDefault="000F26E0" w:rsidP="000F26E0">
      <w:bookmarkStart w:id="41" w:name="_Hlk157758995"/>
      <w:r w:rsidRPr="000F26E0">
        <w:t>As a broad principle, Independent schools should be able to access DGR status and therefore tax deductibility for voluntary donations to support specific activities in a school setting. The ability to offer tax deductibility for donations greatly assists schools in sourcing support that may not be otherwise available and enhances their capacity to offer additional educational resources.</w:t>
      </w:r>
    </w:p>
    <w:bookmarkEnd w:id="41"/>
    <w:p w14:paraId="15ED494E" w14:textId="4E147C6F" w:rsidR="000F26E0" w:rsidRDefault="000F26E0" w:rsidP="000F26E0">
      <w:r w:rsidRPr="000F26E0">
        <w:lastRenderedPageBreak/>
        <w:t xml:space="preserve">It has been noted that in addition to broadening the DGR categories for schools, schools would greatly benefit from more flexibility within the application of existing DGR categories that are applicable for schools. For example, the current requirements for scholarships include that they </w:t>
      </w:r>
      <w:r w:rsidR="00180878">
        <w:t>are</w:t>
      </w:r>
      <w:r w:rsidRPr="000F26E0">
        <w:t xml:space="preserve"> “open to individuals or groups of individuals throughout a region of at least 200,000 people, or at least an entire state or territory” which precludes targeting scholarships to particular cohorts of need.</w:t>
      </w:r>
    </w:p>
    <w:p w14:paraId="6F065A6D" w14:textId="6AB573F9" w:rsidR="00935A67" w:rsidRPr="00935A67" w:rsidRDefault="00953E91" w:rsidP="00935A67">
      <w:r>
        <w:t xml:space="preserve">Another area of interest to schools is pastoral care and student wellbeing. </w:t>
      </w:r>
      <w:r w:rsidR="00935A67" w:rsidRPr="00935A67">
        <w:t xml:space="preserve">In 2022, it was announced that a new deductible gift recipient (DGR) category would be added to the </w:t>
      </w:r>
      <w:r w:rsidR="00935A67" w:rsidRPr="006716FA">
        <w:rPr>
          <w:i/>
          <w:iCs/>
        </w:rPr>
        <w:t>Income Tax Assessment Act 1997</w:t>
      </w:r>
      <w:r w:rsidR="00935A67" w:rsidRPr="00935A67">
        <w:t xml:space="preserve">, allowing the establishment of a fund to collect </w:t>
      </w:r>
      <w:r w:rsidR="00180878">
        <w:t>tax-deductible</w:t>
      </w:r>
      <w:r w:rsidR="00935A67" w:rsidRPr="00935A67">
        <w:t xml:space="preserve"> donations, for use in the provision of pastoral care services in Australian schools.</w:t>
      </w:r>
    </w:p>
    <w:p w14:paraId="61C7F78A" w14:textId="62D6C3E2" w:rsidR="00935A67" w:rsidRPr="00935A67" w:rsidRDefault="00935A67" w:rsidP="00935A67">
      <w:r w:rsidRPr="00935A67">
        <w:t xml:space="preserve">This proposal was broadly supported by the Independent school sector as a way to enhance the provision of services to students </w:t>
      </w:r>
      <w:r w:rsidR="001A384A">
        <w:t>and improve student wellbeing</w:t>
      </w:r>
      <w:r w:rsidRPr="00935A67">
        <w:t>. However, in the October 2022 Federal Budget, it was noted that this change would not go ahead.</w:t>
      </w:r>
    </w:p>
    <w:p w14:paraId="745FCB38" w14:textId="43F30112" w:rsidR="005F4240" w:rsidRDefault="009943DE" w:rsidP="00935A67">
      <w:r>
        <w:t xml:space="preserve">The </w:t>
      </w:r>
      <w:r w:rsidR="00590E86" w:rsidRPr="005F4240">
        <w:rPr>
          <w:i/>
          <w:iCs/>
        </w:rPr>
        <w:t>Review of Funding for Schooling</w:t>
      </w:r>
      <w:r w:rsidR="00590E86">
        <w:t xml:space="preserve"> Final Report (the ‘Gonski </w:t>
      </w:r>
      <w:r w:rsidR="006B69DD">
        <w:t>R</w:t>
      </w:r>
      <w:r w:rsidR="00590E86">
        <w:t>eport</w:t>
      </w:r>
      <w:r w:rsidR="006B69DD">
        <w:t>’</w:t>
      </w:r>
      <w:r w:rsidR="00590E86">
        <w:t xml:space="preserve">) </w:t>
      </w:r>
      <w:r w:rsidR="005F4240">
        <w:t>devoted a chapter to the topic of philanthropic giving in schoolin</w:t>
      </w:r>
      <w:r w:rsidR="006B69DD">
        <w:t>g</w:t>
      </w:r>
      <w:r w:rsidR="00C65BCF">
        <w:t>,</w:t>
      </w:r>
      <w:r w:rsidR="006B69DD">
        <w:t xml:space="preserve"> stating the following.</w:t>
      </w:r>
    </w:p>
    <w:p w14:paraId="1F7DCC37" w14:textId="5063D655" w:rsidR="008D4B58" w:rsidRPr="006C7598" w:rsidRDefault="008D4B58" w:rsidP="006C7598">
      <w:pPr>
        <w:ind w:left="720"/>
        <w:rPr>
          <w:i/>
          <w:iCs/>
        </w:rPr>
      </w:pPr>
      <w:r w:rsidRPr="006C7598">
        <w:rPr>
          <w:i/>
          <w:iCs/>
        </w:rPr>
        <w:t>“</w:t>
      </w:r>
      <w:r w:rsidR="005F4240" w:rsidRPr="006C7598">
        <w:rPr>
          <w:i/>
          <w:iCs/>
        </w:rPr>
        <w:t>Philanthropy can and should be used to create partnerships with those schools that have the greatest need to improve student outcomes. There is growing recognition that, at the local community level, many schools cannot overcome their particular schooling challenges alone and that collective action through school and community partnerships can help to strengthen efforts by governments to address educational disadvantage (Black 2009)</w:t>
      </w:r>
      <w:r w:rsidR="00FD1A22">
        <w:rPr>
          <w:rStyle w:val="FootnoteReference"/>
          <w:i/>
          <w:iCs/>
        </w:rPr>
        <w:footnoteReference w:id="18"/>
      </w:r>
    </w:p>
    <w:p w14:paraId="706682B7" w14:textId="58D5188F" w:rsidR="002945EA" w:rsidRDefault="002945EA" w:rsidP="00935A67">
      <w:r>
        <w:t>The Gonski Report goes on to note that</w:t>
      </w:r>
      <w:r w:rsidR="0049310A">
        <w:t>,</w:t>
      </w:r>
      <w:r>
        <w:t xml:space="preserve"> rather than discourage philanthropic giving</w:t>
      </w:r>
      <w:r w:rsidR="0049310A">
        <w:t xml:space="preserve"> in schooling</w:t>
      </w:r>
      <w:r>
        <w:t xml:space="preserve">, </w:t>
      </w:r>
      <w:r w:rsidR="0049310A">
        <w:t xml:space="preserve">more should be done to encourage </w:t>
      </w:r>
      <w:r w:rsidR="006B69DD">
        <w:t>activity in this area</w:t>
      </w:r>
      <w:r w:rsidR="00B21873">
        <w:t xml:space="preserve"> including </w:t>
      </w:r>
      <w:r w:rsidR="005C506E">
        <w:t>examining “a</w:t>
      </w:r>
      <w:r w:rsidR="00B21873" w:rsidRPr="00B21873">
        <w:t>pproaches to encourage philanthropy in schools should increase their capacity to form philanthropic relationships, reduce barriers to private investment, and provide national leadership and direction in focusing philanthropic activity to all disadvantaged school communities</w:t>
      </w:r>
      <w:r w:rsidR="005C506E">
        <w:t>.”</w:t>
      </w:r>
      <w:r w:rsidR="00C65BCF">
        <w:rPr>
          <w:rStyle w:val="FootnoteReference"/>
        </w:rPr>
        <w:footnoteReference w:id="19"/>
      </w:r>
    </w:p>
    <w:p w14:paraId="09AAFF7A" w14:textId="2FE1D046" w:rsidR="002945EA" w:rsidRDefault="00C65BCF" w:rsidP="00696831">
      <w:r>
        <w:t>The</w:t>
      </w:r>
      <w:r w:rsidR="005C506E">
        <w:t xml:space="preserve"> report </w:t>
      </w:r>
      <w:r>
        <w:t>further</w:t>
      </w:r>
      <w:r w:rsidR="00E95C97">
        <w:t xml:space="preserve"> suggests</w:t>
      </w:r>
      <w:r w:rsidR="005C506E">
        <w:t xml:space="preserve"> </w:t>
      </w:r>
      <w:r w:rsidRPr="00C65BCF">
        <w:t xml:space="preserve">that there is scope for the Australian Government, in consultation with the school sectors, to develop a philanthropic fund with </w:t>
      </w:r>
      <w:r w:rsidR="00E95C97">
        <w:t>DGR</w:t>
      </w:r>
      <w:r w:rsidRPr="00C65BCF">
        <w:t xml:space="preserve"> status</w:t>
      </w:r>
      <w:r w:rsidR="00E95C97">
        <w:t xml:space="preserve"> which would focus on </w:t>
      </w:r>
      <w:r w:rsidRPr="00C65BCF">
        <w:t>assisting schools to develop philanthropic partnerships.</w:t>
      </w:r>
      <w:r w:rsidR="00696831">
        <w:t xml:space="preserve"> Amongst other activities, the proposed fund would provide information on how individuals and </w:t>
      </w:r>
      <w:r w:rsidR="00540EE8">
        <w:t>others</w:t>
      </w:r>
      <w:r w:rsidR="00696831">
        <w:t xml:space="preserve"> could donate to schools and facilitate connections between donors and education providers.</w:t>
      </w:r>
    </w:p>
    <w:p w14:paraId="4F70515C" w14:textId="4333DE42" w:rsidR="00935A67" w:rsidRPr="00935A67" w:rsidRDefault="00540EE8" w:rsidP="00935A67">
      <w:r>
        <w:t xml:space="preserve">The Gonski Report provides an alternative perspective on philanthropic giving in schools to the one proposed in the draft report. </w:t>
      </w:r>
      <w:r w:rsidR="00F7645F">
        <w:t>It highlights an approach of maximising support</w:t>
      </w:r>
      <w:r w:rsidR="006017C2">
        <w:t xml:space="preserve"> for education, rather than taking support away. </w:t>
      </w:r>
      <w:r w:rsidR="00E7610F">
        <w:t>Rather than reducing the capacity of schools to raise</w:t>
      </w:r>
      <w:r w:rsidR="00AC2470">
        <w:t xml:space="preserve"> funds</w:t>
      </w:r>
      <w:r w:rsidR="00E7610F">
        <w:t xml:space="preserve"> through philanthropic giving, t</w:t>
      </w:r>
      <w:r w:rsidR="00935A67" w:rsidRPr="00935A67">
        <w:t xml:space="preserve">he Independent sector would support </w:t>
      </w:r>
      <w:r w:rsidR="00180878">
        <w:t xml:space="preserve">the </w:t>
      </w:r>
      <w:r w:rsidR="00935A67" w:rsidRPr="00935A67">
        <w:t xml:space="preserve">exploration of </w:t>
      </w:r>
      <w:r w:rsidR="00847EF0">
        <w:t xml:space="preserve">additional </w:t>
      </w:r>
      <w:r w:rsidR="00935A67" w:rsidRPr="00935A67">
        <w:t xml:space="preserve">ways in which schools could </w:t>
      </w:r>
      <w:r w:rsidR="006017C2">
        <w:t xml:space="preserve">utilise </w:t>
      </w:r>
      <w:r w:rsidR="00935A67" w:rsidRPr="00935A67">
        <w:t>DGR stat</w:t>
      </w:r>
      <w:r w:rsidR="006017C2">
        <w:t>us</w:t>
      </w:r>
      <w:r w:rsidR="00935A67" w:rsidRPr="00935A67">
        <w:t xml:space="preserve"> to supplement, not replace, existing funding for a range of </w:t>
      </w:r>
      <w:r w:rsidR="00847EF0">
        <w:t xml:space="preserve">critical </w:t>
      </w:r>
      <w:r w:rsidR="00935A67" w:rsidRPr="00935A67">
        <w:t>areas within schools’ activities</w:t>
      </w:r>
      <w:r w:rsidR="00847EF0">
        <w:t xml:space="preserve"> to provide the best possible educational experience </w:t>
      </w:r>
      <w:r w:rsidR="006017C2">
        <w:t xml:space="preserve">and outcomes </w:t>
      </w:r>
      <w:r w:rsidR="00847EF0">
        <w:t>for all students.</w:t>
      </w:r>
    </w:p>
    <w:p w14:paraId="63D08A6B" w14:textId="148868FD" w:rsidR="004E1837" w:rsidRPr="004E1837" w:rsidRDefault="004E405D" w:rsidP="004E1837">
      <w:pPr>
        <w:pStyle w:val="Heading2"/>
      </w:pPr>
      <w:bookmarkStart w:id="43" w:name="_Toc157759568"/>
      <w:bookmarkStart w:id="44" w:name="_Toc158236360"/>
      <w:r>
        <w:t xml:space="preserve">10. </w:t>
      </w:r>
      <w:r>
        <w:tab/>
      </w:r>
      <w:r w:rsidR="004E1837" w:rsidRPr="004E1837">
        <w:t>CONCLUSION</w:t>
      </w:r>
      <w:bookmarkEnd w:id="43"/>
      <w:bookmarkEnd w:id="44"/>
    </w:p>
    <w:p w14:paraId="13DDD184" w14:textId="0D2D2D82" w:rsidR="00C219B0" w:rsidRDefault="00BE6B63" w:rsidP="00BE6B63">
      <w:r w:rsidRPr="00BE6B63">
        <w:t>Independent Schools A</w:t>
      </w:r>
      <w:r>
        <w:t>ustralia</w:t>
      </w:r>
      <w:r w:rsidRPr="00BE6B63">
        <w:t xml:space="preserve"> (ISA)</w:t>
      </w:r>
      <w:r w:rsidR="00672322">
        <w:t xml:space="preserve">, on behalf of </w:t>
      </w:r>
      <w:r w:rsidR="00E714B4">
        <w:t xml:space="preserve">over 1200 schools and almost 690,000 </w:t>
      </w:r>
      <w:r w:rsidR="002D3CA6">
        <w:t>students and</w:t>
      </w:r>
      <w:r w:rsidR="00E714B4">
        <w:t xml:space="preserve"> th</w:t>
      </w:r>
      <w:r w:rsidR="00C219B0">
        <w:t xml:space="preserve">eir </w:t>
      </w:r>
      <w:r w:rsidR="00E714B4">
        <w:t>families, st</w:t>
      </w:r>
      <w:r w:rsidR="00C219B0">
        <w:t>r</w:t>
      </w:r>
      <w:r w:rsidR="00E714B4">
        <w:t xml:space="preserve">ongly </w:t>
      </w:r>
      <w:r w:rsidRPr="00BE6B63">
        <w:t xml:space="preserve">opposes any proposal to revoke the Deductible Gift Recipient (DGR) status for </w:t>
      </w:r>
      <w:r w:rsidR="00E714B4">
        <w:t xml:space="preserve">education </w:t>
      </w:r>
      <w:r w:rsidRPr="00BE6B63">
        <w:t>activities</w:t>
      </w:r>
      <w:r w:rsidR="00C219B0">
        <w:t xml:space="preserve">, and we urge the Commission to remove this recommendation </w:t>
      </w:r>
      <w:r w:rsidR="00A540AA">
        <w:t xml:space="preserve">from the final report on its </w:t>
      </w:r>
      <w:r w:rsidR="00A540AA" w:rsidRPr="00A540AA">
        <w:t xml:space="preserve">Inquiry into Philanthropic Giving. </w:t>
      </w:r>
    </w:p>
    <w:p w14:paraId="205D686D" w14:textId="74F4120A" w:rsidR="00BE6B63" w:rsidRPr="00BE6B63" w:rsidRDefault="00C219B0" w:rsidP="00BE6B63">
      <w:r>
        <w:t xml:space="preserve">This DGR </w:t>
      </w:r>
      <w:r w:rsidR="00BE6B63" w:rsidRPr="00BE6B63">
        <w:t xml:space="preserve">status </w:t>
      </w:r>
      <w:r>
        <w:t xml:space="preserve">has and continues to </w:t>
      </w:r>
      <w:r w:rsidR="00BE6B63" w:rsidRPr="00BE6B63">
        <w:t xml:space="preserve">play a crucial role in enabling independent schools to fund essential services, programs, bursaries, scholarships, and capital works. By maintaining DGR status, schools can continue their mission of providing quality education while fostering strong community ties and encouraging volunteerism </w:t>
      </w:r>
      <w:r w:rsidR="00FD789E">
        <w:t xml:space="preserve">and a culture of giving </w:t>
      </w:r>
      <w:r w:rsidR="00BE6B63" w:rsidRPr="00BE6B63">
        <w:t>among students</w:t>
      </w:r>
      <w:r w:rsidR="00FD789E">
        <w:t xml:space="preserve">, families </w:t>
      </w:r>
      <w:r w:rsidR="00BE6B63" w:rsidRPr="00BE6B63">
        <w:t>and the broader school community.</w:t>
      </w:r>
    </w:p>
    <w:p w14:paraId="4DCDC097" w14:textId="215A3E6A" w:rsidR="008334E9" w:rsidRDefault="00BE6B63" w:rsidP="00F00C9B">
      <w:r w:rsidRPr="00BE6B63">
        <w:lastRenderedPageBreak/>
        <w:t xml:space="preserve">ISA challenges the argument that </w:t>
      </w:r>
      <w:r w:rsidR="000B2310">
        <w:t xml:space="preserve">the </w:t>
      </w:r>
      <w:r w:rsidR="00107EFC">
        <w:t>D</w:t>
      </w:r>
      <w:r w:rsidR="000B2310">
        <w:t xml:space="preserve">GR status of school building funds </w:t>
      </w:r>
      <w:r w:rsidR="000B2310" w:rsidRPr="00BE6B63">
        <w:t xml:space="preserve">poses a significant risk </w:t>
      </w:r>
      <w:r w:rsidR="000B2310">
        <w:t xml:space="preserve">that </w:t>
      </w:r>
      <w:r w:rsidRPr="00BE6B63">
        <w:t xml:space="preserve">tax-deductible donations </w:t>
      </w:r>
      <w:r w:rsidR="007D09B5">
        <w:t xml:space="preserve">can </w:t>
      </w:r>
      <w:r w:rsidRPr="00BE6B63">
        <w:t xml:space="preserve">be converted into private benefits. </w:t>
      </w:r>
      <w:r w:rsidR="008334E9">
        <w:t xml:space="preserve">We can see no </w:t>
      </w:r>
      <w:r w:rsidRPr="00BE6B63">
        <w:t>empirical evidence</w:t>
      </w:r>
      <w:r w:rsidR="008334E9">
        <w:t xml:space="preserve"> that this occurs in practice</w:t>
      </w:r>
      <w:r w:rsidR="007D09B5">
        <w:t xml:space="preserve">, and no evidence that this theoretical risk </w:t>
      </w:r>
      <w:r w:rsidR="00764909">
        <w:t>outweighs</w:t>
      </w:r>
      <w:r w:rsidR="007D09B5">
        <w:t xml:space="preserve"> the enormous public </w:t>
      </w:r>
      <w:r w:rsidR="00EC0B5F">
        <w:t xml:space="preserve">benefit that current </w:t>
      </w:r>
      <w:r w:rsidR="00764909">
        <w:t>arrangements</w:t>
      </w:r>
      <w:r w:rsidR="00EC0B5F">
        <w:t xml:space="preserve"> deliver</w:t>
      </w:r>
      <w:r w:rsidR="00F954C8">
        <w:t>.</w:t>
      </w:r>
    </w:p>
    <w:p w14:paraId="171D7DE5" w14:textId="554829CE" w:rsidR="00F00C9B" w:rsidRDefault="00BE6B63" w:rsidP="00F00C9B">
      <w:r w:rsidRPr="00BE6B63">
        <w:t xml:space="preserve">Furthermore, removing DGR status for non-government school building funds would disproportionately burden </w:t>
      </w:r>
      <w:r w:rsidR="008334E9">
        <w:t xml:space="preserve">thousands of </w:t>
      </w:r>
      <w:r w:rsidRPr="00BE6B63">
        <w:t xml:space="preserve">families who already make significant sacrifices to support their children’s education amidst rising living costs. Such a move would directly impact the school’s ability to create optimal learning environments for students. </w:t>
      </w:r>
    </w:p>
    <w:p w14:paraId="70D02803" w14:textId="79C30A74" w:rsidR="00EC0B5F" w:rsidRDefault="00BE6B63">
      <w:r w:rsidRPr="00BE6B63">
        <w:t xml:space="preserve">ISA </w:t>
      </w:r>
      <w:r w:rsidR="00F00C9B">
        <w:t xml:space="preserve">also </w:t>
      </w:r>
      <w:r w:rsidR="00CE43DD">
        <w:t>strongly</w:t>
      </w:r>
      <w:r w:rsidR="008334E9">
        <w:t xml:space="preserve"> advises against </w:t>
      </w:r>
      <w:r w:rsidRPr="00BE6B63">
        <w:t>limiting DGR status for scholarships, as it would curtail educational opportunities for both students and families. Instead, ISA supports streamlining and ensuring consistency in the DGR framework</w:t>
      </w:r>
      <w:r w:rsidR="00F00C9B">
        <w:t xml:space="preserve"> while maintaining current DGR</w:t>
      </w:r>
      <w:r w:rsidR="00054946">
        <w:t xml:space="preserve"> funds</w:t>
      </w:r>
      <w:r w:rsidRPr="00BE6B63">
        <w:t xml:space="preserve">. </w:t>
      </w:r>
    </w:p>
    <w:p w14:paraId="017DA017" w14:textId="21F4072B" w:rsidR="00A9575E" w:rsidRPr="0017036B" w:rsidRDefault="00BE6B63">
      <w:r w:rsidRPr="00BE6B63">
        <w:t>ISA recommends exploring ways to expand the framework to facilitate other forms of philanthropy within the school sector, such as making scholarship requirements more accessible to a wider range of students.</w:t>
      </w:r>
    </w:p>
    <w:sectPr w:rsidR="00A9575E" w:rsidRPr="0017036B" w:rsidSect="00BA297D">
      <w:headerReference w:type="even" r:id="rId27"/>
      <w:headerReference w:type="default" r:id="rId28"/>
      <w:footerReference w:type="even" r:id="rId29"/>
      <w:footerReference w:type="default" r:id="rId30"/>
      <w:headerReference w:type="first" r:id="rId31"/>
      <w:footerReference w:type="first" r:id="rId32"/>
      <w:pgSz w:w="11907" w:h="16839" w:code="9"/>
      <w:pgMar w:top="1418" w:right="1440" w:bottom="1894" w:left="1440" w:header="850" w:footer="85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1D2BA" w14:textId="77777777" w:rsidR="00BA297D" w:rsidRDefault="00BA297D" w:rsidP="004021C0">
      <w:r>
        <w:separator/>
      </w:r>
    </w:p>
    <w:p w14:paraId="16AE073C" w14:textId="77777777" w:rsidR="00BA297D" w:rsidRDefault="00BA297D"/>
    <w:p w14:paraId="2D583E39" w14:textId="77777777" w:rsidR="00BA297D" w:rsidRDefault="00BA297D"/>
    <w:p w14:paraId="2D57D7BE" w14:textId="77777777" w:rsidR="00BA297D" w:rsidRDefault="00BA297D"/>
  </w:endnote>
  <w:endnote w:type="continuationSeparator" w:id="0">
    <w:p w14:paraId="736F3E3D" w14:textId="77777777" w:rsidR="00BA297D" w:rsidRDefault="00BA297D" w:rsidP="004021C0">
      <w:r>
        <w:continuationSeparator/>
      </w:r>
    </w:p>
    <w:p w14:paraId="0DB38D72" w14:textId="77777777" w:rsidR="00BA297D" w:rsidRDefault="00BA297D"/>
    <w:p w14:paraId="3C45F574" w14:textId="77777777" w:rsidR="00BA297D" w:rsidRDefault="00BA297D"/>
    <w:p w14:paraId="62E62EF7" w14:textId="77777777" w:rsidR="00BA297D" w:rsidRDefault="00BA297D"/>
  </w:endnote>
  <w:endnote w:type="continuationNotice" w:id="1">
    <w:p w14:paraId="50756365" w14:textId="77777777" w:rsidR="00BA297D" w:rsidRDefault="00BA297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unito Light">
    <w:altName w:val="Cambria"/>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w:altName w:val="Cambria"/>
    <w:charset w:val="00"/>
    <w:family w:val="auto"/>
    <w:pitch w:val="variable"/>
    <w:sig w:usb0="A00002FF" w:usb1="5000204B" w:usb2="00000000" w:usb3="00000000" w:csb0="00000197" w:csb1="00000000"/>
  </w:font>
  <w:font w:name="Nunito SemiBold">
    <w:altName w:val="Calibri"/>
    <w:charset w:val="00"/>
    <w:family w:val="auto"/>
    <w:pitch w:val="variable"/>
    <w:sig w:usb0="A00002FF" w:usb1="5000204B" w:usb2="00000000" w:usb3="00000000" w:csb0="00000197" w:csb1="00000000"/>
  </w:font>
  <w:font w:name="Nunito ExtraLight">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857E" w14:textId="77777777" w:rsidR="000E1A71" w:rsidRDefault="000E1A71" w:rsidP="000E1A71">
    <w:pPr>
      <w:pStyle w:val="Footer"/>
    </w:pPr>
    <w:bookmarkStart w:id="2" w:name="_Hlk88386704"/>
    <w:bookmarkStart w:id="3" w:name="_Hlk88386705"/>
    <w:bookmarkEnd w:id="2"/>
    <w:bookmarkEnd w:id="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2B17" w14:textId="77777777" w:rsidR="00CF593D" w:rsidRDefault="00CF59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2E67" w14:textId="77777777" w:rsidR="000E1A71" w:rsidRDefault="000E1A71" w:rsidP="000E1A71">
    <w:pPr>
      <w:pStyle w:val="Footer"/>
    </w:pPr>
    <w:bookmarkStart w:id="6" w:name="_Hlk88386702"/>
    <w:bookmarkStart w:id="7" w:name="_Hlk88386703"/>
    <w:bookmarkEnd w:id="6"/>
    <w:bookmarkEnd w:id="7"/>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88E1D" w14:textId="77777777" w:rsidR="00B57262" w:rsidRDefault="00B57262" w:rsidP="00B572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ISAPlainTable"/>
      <w:tblW w:w="9036" w:type="dxa"/>
      <w:tblBorders>
        <w:bottom w:val="none" w:sz="0" w:space="0" w:color="auto"/>
        <w:insideH w:val="none" w:sz="0" w:space="0" w:color="auto"/>
      </w:tblBorders>
      <w:tblLayout w:type="fixed"/>
      <w:tblCellMar>
        <w:right w:w="0" w:type="dxa"/>
      </w:tblCellMar>
      <w:tblLook w:val="04A0" w:firstRow="1" w:lastRow="0" w:firstColumn="1" w:lastColumn="0" w:noHBand="0" w:noVBand="1"/>
    </w:tblPr>
    <w:tblGrid>
      <w:gridCol w:w="7992"/>
      <w:gridCol w:w="1044"/>
    </w:tblGrid>
    <w:tr w:rsidR="00B57262" w14:paraId="67A93B6F" w14:textId="77777777">
      <w:trPr>
        <w:cnfStyle w:val="100000000000" w:firstRow="1" w:lastRow="0" w:firstColumn="0" w:lastColumn="0" w:oddVBand="0" w:evenVBand="0" w:oddHBand="0" w:evenHBand="0" w:firstRowFirstColumn="0" w:firstRowLastColumn="0" w:lastRowFirstColumn="0" w:lastRowLastColumn="0"/>
      </w:trPr>
      <w:tc>
        <w:tcPr>
          <w:tcW w:w="7992" w:type="dxa"/>
          <w:shd w:val="clear" w:color="auto" w:fill="auto"/>
          <w:tcMar>
            <w:top w:w="24" w:type="dxa"/>
          </w:tcMar>
        </w:tcPr>
        <w:p w14:paraId="4D1378CF" w14:textId="6D678295" w:rsidR="00B57262" w:rsidRPr="00D61EA7" w:rsidRDefault="00000000" w:rsidP="00B57262">
          <w:pPr>
            <w:pStyle w:val="Footer"/>
          </w:pPr>
          <w:r>
            <w:fldChar w:fldCharType="begin"/>
          </w:r>
          <w:r>
            <w:instrText xml:space="preserve"> STYLEREF  "Doc Title"  \* MERGEFORMAT </w:instrText>
          </w:r>
          <w:r>
            <w:fldChar w:fldCharType="separate"/>
          </w:r>
          <w:r w:rsidR="0009597F">
            <w:rPr>
              <w:noProof/>
            </w:rPr>
            <w:t>The Productivity Commission draft report into Philanthropy – Future Foundations for Giving</w:t>
          </w:r>
          <w:r>
            <w:rPr>
              <w:noProof/>
            </w:rPr>
            <w:fldChar w:fldCharType="end"/>
          </w:r>
          <w:r w:rsidR="00F255A9">
            <w:t xml:space="preserve"> </w:t>
          </w:r>
          <w:r w:rsidR="00F255A9" w:rsidRPr="00D61EA7">
            <w:t>—</w:t>
          </w:r>
          <w:r w:rsidR="00F255A9">
            <w:t xml:space="preserve"> </w:t>
          </w:r>
          <w:r>
            <w:fldChar w:fldCharType="begin"/>
          </w:r>
          <w:r>
            <w:instrText xml:space="preserve"> STYLEREF  "Doc Title Detail"  \* MERGEFORMAT </w:instrText>
          </w:r>
          <w:r>
            <w:fldChar w:fldCharType="separate"/>
          </w:r>
          <w:r w:rsidR="0009597F">
            <w:rPr>
              <w:noProof/>
            </w:rPr>
            <w:t>independent schools Australia submission</w:t>
          </w:r>
          <w:r>
            <w:rPr>
              <w:noProof/>
            </w:rPr>
            <w:fldChar w:fldCharType="end"/>
          </w:r>
          <w:r w:rsidR="00B57262">
            <w:fldChar w:fldCharType="begin"/>
          </w:r>
          <w:r w:rsidR="00B57262">
            <w:instrText xml:space="preserve"> SUBJECT   \* MERGEFORMAT </w:instrText>
          </w:r>
          <w:r w:rsidR="00B57262">
            <w:fldChar w:fldCharType="end"/>
          </w:r>
          <w:r w:rsidR="00B57262">
            <w:fldChar w:fldCharType="begin"/>
          </w:r>
          <w:r w:rsidR="00B57262">
            <w:instrText xml:space="preserve"> DOCPROPERTY  Category  \* MERGEFORMAT </w:instrText>
          </w:r>
          <w:r w:rsidR="00B57262">
            <w:fldChar w:fldCharType="end"/>
          </w:r>
        </w:p>
      </w:tc>
      <w:tc>
        <w:tcPr>
          <w:tcW w:w="1044" w:type="dxa"/>
          <w:shd w:val="clear" w:color="auto" w:fill="auto"/>
        </w:tcPr>
        <w:p w14:paraId="7F0E6E45" w14:textId="00C9511E" w:rsidR="00B57262" w:rsidRDefault="00000000" w:rsidP="00B57262">
          <w:pPr>
            <w:pStyle w:val="FooterDate"/>
          </w:pPr>
          <w:r>
            <w:fldChar w:fldCharType="begin"/>
          </w:r>
          <w:r>
            <w:instrText xml:space="preserve"> STYLEREF  "Doc Title Detail (Date)"  \* MERGEFORMAT </w:instrText>
          </w:r>
          <w:r>
            <w:fldChar w:fldCharType="separate"/>
          </w:r>
          <w:r w:rsidR="0009597F">
            <w:rPr>
              <w:noProof/>
            </w:rPr>
            <w:t>9 February 2024</w:t>
          </w:r>
          <w:r>
            <w:rPr>
              <w:noProof/>
            </w:rPr>
            <w:fldChar w:fldCharType="end"/>
          </w:r>
          <w:r w:rsidR="00B57262">
            <w:fldChar w:fldCharType="begin"/>
          </w:r>
          <w:r w:rsidR="00B57262">
            <w:instrText xml:space="preserve"> DOCPROPERTY  Keywords  \* MERGEFORMAT </w:instrText>
          </w:r>
          <w:r w:rsidR="00B57262">
            <w:fldChar w:fldCharType="end"/>
          </w:r>
        </w:p>
      </w:tc>
    </w:tr>
  </w:tbl>
  <w:p w14:paraId="625A0097" w14:textId="77777777" w:rsidR="00B57262" w:rsidRDefault="00B57262" w:rsidP="00B5726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CD84" w14:textId="77777777" w:rsidR="00B57262" w:rsidRDefault="00B57262" w:rsidP="00B5726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33CF" w14:textId="77777777" w:rsidR="003C6BC2" w:rsidRDefault="003C6BC2" w:rsidP="000E1A7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ISAPlainTable"/>
      <w:tblW w:w="9036" w:type="dxa"/>
      <w:tblBorders>
        <w:bottom w:val="none" w:sz="0" w:space="0" w:color="auto"/>
        <w:insideH w:val="none" w:sz="0" w:space="0" w:color="auto"/>
      </w:tblBorders>
      <w:tblLayout w:type="fixed"/>
      <w:tblCellMar>
        <w:right w:w="0" w:type="dxa"/>
      </w:tblCellMar>
      <w:tblLook w:val="04A0" w:firstRow="1" w:lastRow="0" w:firstColumn="1" w:lastColumn="0" w:noHBand="0" w:noVBand="1"/>
    </w:tblPr>
    <w:tblGrid>
      <w:gridCol w:w="7992"/>
      <w:gridCol w:w="1044"/>
    </w:tblGrid>
    <w:tr w:rsidR="003C6BC2" w14:paraId="3E0CB4EA" w14:textId="77777777">
      <w:trPr>
        <w:cnfStyle w:val="100000000000" w:firstRow="1" w:lastRow="0" w:firstColumn="0" w:lastColumn="0" w:oddVBand="0" w:evenVBand="0" w:oddHBand="0" w:evenHBand="0" w:firstRowFirstColumn="0" w:firstRowLastColumn="0" w:lastRowFirstColumn="0" w:lastRowLastColumn="0"/>
      </w:trPr>
      <w:tc>
        <w:tcPr>
          <w:tcW w:w="7992" w:type="dxa"/>
          <w:shd w:val="clear" w:color="auto" w:fill="auto"/>
          <w:tcMar>
            <w:top w:w="24" w:type="dxa"/>
          </w:tcMar>
        </w:tcPr>
        <w:p w14:paraId="6C154EB7" w14:textId="1F5BEC05" w:rsidR="003C6BC2" w:rsidRPr="00D61EA7" w:rsidRDefault="00842D38" w:rsidP="000E1A71">
          <w:pPr>
            <w:pStyle w:val="Footer"/>
          </w:pPr>
          <w:r>
            <w:t>2024 – 2025 BUDGET SUBMISSION</w:t>
          </w:r>
          <w:r w:rsidR="003C6BC2" w:rsidRPr="00D61EA7">
            <w:t>—</w:t>
          </w:r>
          <w:r w:rsidR="003C6BC2">
            <w:t xml:space="preserve"> </w:t>
          </w:r>
          <w:r w:rsidR="00000000">
            <w:fldChar w:fldCharType="begin"/>
          </w:r>
          <w:r w:rsidR="00000000">
            <w:instrText xml:space="preserve"> STYLEREF  "Doc Title Detail"  \* MERGEFORMAT </w:instrText>
          </w:r>
          <w:r w:rsidR="00000000">
            <w:fldChar w:fldCharType="separate"/>
          </w:r>
          <w:r w:rsidR="0009597F">
            <w:rPr>
              <w:noProof/>
            </w:rPr>
            <w:t>independent schools Australia submission</w:t>
          </w:r>
          <w:r w:rsidR="00000000">
            <w:rPr>
              <w:noProof/>
            </w:rPr>
            <w:fldChar w:fldCharType="end"/>
          </w:r>
        </w:p>
      </w:tc>
      <w:tc>
        <w:tcPr>
          <w:tcW w:w="1044" w:type="dxa"/>
          <w:shd w:val="clear" w:color="auto" w:fill="auto"/>
        </w:tcPr>
        <w:p w14:paraId="0879A71D" w14:textId="0299D233" w:rsidR="003C6BC2" w:rsidRDefault="00000000" w:rsidP="000E1A71">
          <w:pPr>
            <w:pStyle w:val="FooterDate"/>
          </w:pPr>
          <w:r>
            <w:fldChar w:fldCharType="begin"/>
          </w:r>
          <w:r>
            <w:instrText xml:space="preserve"> STYLEREF  "Doc Title Detail (Date)"  \* MERGEFORMAT </w:instrText>
          </w:r>
          <w:r>
            <w:fldChar w:fldCharType="separate"/>
          </w:r>
          <w:r w:rsidR="0009597F">
            <w:rPr>
              <w:noProof/>
            </w:rPr>
            <w:t>9 February 2024</w:t>
          </w:r>
          <w:r>
            <w:rPr>
              <w:noProof/>
            </w:rPr>
            <w:fldChar w:fldCharType="end"/>
          </w:r>
        </w:p>
      </w:tc>
    </w:tr>
  </w:tbl>
  <w:p w14:paraId="08854363" w14:textId="77777777" w:rsidR="003C6BC2" w:rsidRDefault="003C6BC2" w:rsidP="000E1A7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05ED0" w14:textId="77777777" w:rsidR="003C6BC2" w:rsidRDefault="003C6BC2" w:rsidP="000E1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48022" w14:textId="77777777" w:rsidR="00BA297D" w:rsidRDefault="00BA297D" w:rsidP="009349D3">
      <w:pPr>
        <w:spacing w:before="0" w:after="40" w:line="240" w:lineRule="auto"/>
      </w:pPr>
      <w:r>
        <w:separator/>
      </w:r>
    </w:p>
    <w:p w14:paraId="26B47B69" w14:textId="77777777" w:rsidR="00BA297D" w:rsidRDefault="00BA297D"/>
  </w:footnote>
  <w:footnote w:type="continuationSeparator" w:id="0">
    <w:p w14:paraId="153A02A4" w14:textId="77777777" w:rsidR="00BA297D" w:rsidRDefault="00BA297D" w:rsidP="004021C0">
      <w:r>
        <w:continuationSeparator/>
      </w:r>
    </w:p>
    <w:p w14:paraId="6D841B6D" w14:textId="77777777" w:rsidR="00BA297D" w:rsidRDefault="00BA297D"/>
    <w:p w14:paraId="001D1A3D" w14:textId="77777777" w:rsidR="00BA297D" w:rsidRDefault="00BA297D"/>
    <w:p w14:paraId="77845087" w14:textId="77777777" w:rsidR="00BA297D" w:rsidRDefault="00BA297D"/>
  </w:footnote>
  <w:footnote w:type="continuationNotice" w:id="1">
    <w:p w14:paraId="17FAD12F" w14:textId="77777777" w:rsidR="00BA297D" w:rsidRDefault="00BA297D">
      <w:pPr>
        <w:spacing w:before="0" w:after="0" w:line="240" w:lineRule="auto"/>
      </w:pPr>
    </w:p>
  </w:footnote>
  <w:footnote w:id="2">
    <w:p w14:paraId="607E2A7E" w14:textId="44EF759E" w:rsidR="004E1837" w:rsidRDefault="004E1837">
      <w:pPr>
        <w:pStyle w:val="FootnoteText"/>
      </w:pPr>
      <w:r>
        <w:rPr>
          <w:rStyle w:val="FootnoteReference"/>
        </w:rPr>
        <w:footnoteRef/>
      </w:r>
      <w:r>
        <w:t xml:space="preserve"> </w:t>
      </w:r>
      <w:hyperlink r:id="rId1" w:history="1">
        <w:r w:rsidRPr="00127D1D">
          <w:rPr>
            <w:rStyle w:val="Hyperlink"/>
          </w:rPr>
          <w:t>https://www.pc.gov.au/inquiries/current/philanthropy/terms-of-reference</w:t>
        </w:r>
      </w:hyperlink>
      <w:r>
        <w:t>,</w:t>
      </w:r>
    </w:p>
  </w:footnote>
  <w:footnote w:id="3">
    <w:p w14:paraId="3E5890D3" w14:textId="386D6517" w:rsidR="00F75045" w:rsidRDefault="00F75045">
      <w:pPr>
        <w:pStyle w:val="FootnoteText"/>
      </w:pPr>
      <w:r>
        <w:rPr>
          <w:rStyle w:val="FootnoteReference"/>
        </w:rPr>
        <w:footnoteRef/>
      </w:r>
      <w:r>
        <w:t xml:space="preserve"> </w:t>
      </w:r>
      <w:r w:rsidR="00C55786" w:rsidRPr="00C55786">
        <w:t>Future foundations for giving</w:t>
      </w:r>
      <w:r w:rsidR="00C55786">
        <w:t xml:space="preserve"> </w:t>
      </w:r>
      <w:r w:rsidR="00C55786" w:rsidRPr="00C55786">
        <w:t>Draft report</w:t>
      </w:r>
      <w:r w:rsidR="00C55786">
        <w:t>,</w:t>
      </w:r>
      <w:r w:rsidR="00AA7CA3">
        <w:t xml:space="preserve"> Productivity Commission</w:t>
      </w:r>
      <w:r w:rsidR="000C3011">
        <w:t>,</w:t>
      </w:r>
      <w:r w:rsidR="00C55786">
        <w:t xml:space="preserve"> p</w:t>
      </w:r>
      <w:r w:rsidR="001C3C6A">
        <w:t>.</w:t>
      </w:r>
      <w:r w:rsidR="00AA7CA3">
        <w:t>16</w:t>
      </w:r>
    </w:p>
  </w:footnote>
  <w:footnote w:id="4">
    <w:p w14:paraId="4B326BD1" w14:textId="43B9CF1D" w:rsidR="008114D2" w:rsidRDefault="008114D2">
      <w:pPr>
        <w:pStyle w:val="FootnoteText"/>
      </w:pPr>
      <w:r>
        <w:rPr>
          <w:rStyle w:val="FootnoteReference"/>
        </w:rPr>
        <w:footnoteRef/>
      </w:r>
      <w:r>
        <w:t xml:space="preserve"> </w:t>
      </w:r>
      <w:bookmarkStart w:id="24" w:name="_Hlk157787170"/>
      <w:r w:rsidRPr="008114D2">
        <w:t>Future foundations for giving Draft report, Productivity Commission</w:t>
      </w:r>
      <w:r w:rsidR="000C3011">
        <w:t>,</w:t>
      </w:r>
      <w:r w:rsidRPr="008114D2">
        <w:t xml:space="preserve"> p</w:t>
      </w:r>
      <w:r w:rsidR="001C3C6A">
        <w:t>.</w:t>
      </w:r>
      <w:r w:rsidRPr="008114D2">
        <w:t>1</w:t>
      </w:r>
      <w:r w:rsidR="008921CD">
        <w:t>8</w:t>
      </w:r>
      <w:bookmarkEnd w:id="24"/>
    </w:p>
  </w:footnote>
  <w:footnote w:id="5">
    <w:p w14:paraId="46619FF4" w14:textId="43C3E2E7" w:rsidR="00140FBF" w:rsidRDefault="00140FBF">
      <w:pPr>
        <w:pStyle w:val="FootnoteText"/>
      </w:pPr>
      <w:r>
        <w:rPr>
          <w:rStyle w:val="FootnoteReference"/>
        </w:rPr>
        <w:footnoteRef/>
      </w:r>
      <w:r>
        <w:t xml:space="preserve"> </w:t>
      </w:r>
      <w:r w:rsidRPr="00140FBF">
        <w:t>Future foundations for giving Draft report, Productivity Commission, p</w:t>
      </w:r>
      <w:r w:rsidR="001C3C6A">
        <w:t>.</w:t>
      </w:r>
      <w:r w:rsidRPr="00140FBF">
        <w:t>18</w:t>
      </w:r>
      <w:r>
        <w:t>9</w:t>
      </w:r>
    </w:p>
  </w:footnote>
  <w:footnote w:id="6">
    <w:p w14:paraId="28A571ED" w14:textId="31391E1C" w:rsidR="00CF4CE9" w:rsidRDefault="00CF4CE9">
      <w:pPr>
        <w:pStyle w:val="FootnoteText"/>
      </w:pPr>
      <w:r>
        <w:rPr>
          <w:rStyle w:val="FootnoteReference"/>
        </w:rPr>
        <w:footnoteRef/>
      </w:r>
      <w:r>
        <w:t xml:space="preserve"> </w:t>
      </w:r>
      <w:r w:rsidR="009C070E">
        <w:t>Data sourced from the Productivity Commission Report on Government Services 2024 and ACARA My School</w:t>
      </w:r>
    </w:p>
  </w:footnote>
  <w:footnote w:id="7">
    <w:p w14:paraId="3EE27118" w14:textId="2E4D8705" w:rsidR="001560D3" w:rsidRDefault="001560D3">
      <w:pPr>
        <w:pStyle w:val="FootnoteText"/>
      </w:pPr>
      <w:r>
        <w:rPr>
          <w:rStyle w:val="FootnoteReference"/>
        </w:rPr>
        <w:footnoteRef/>
      </w:r>
      <w:r>
        <w:t xml:space="preserve"> </w:t>
      </w:r>
      <w:r w:rsidR="00A803CF">
        <w:t xml:space="preserve">Data sourced from </w:t>
      </w:r>
      <w:r w:rsidR="00F56CDF">
        <w:t>ACARA My School</w:t>
      </w:r>
    </w:p>
  </w:footnote>
  <w:footnote w:id="8">
    <w:p w14:paraId="5498B05A" w14:textId="0F607C61" w:rsidR="00140FBF" w:rsidRDefault="00140FBF">
      <w:pPr>
        <w:pStyle w:val="FootnoteText"/>
      </w:pPr>
      <w:r>
        <w:rPr>
          <w:rStyle w:val="FootnoteReference"/>
        </w:rPr>
        <w:footnoteRef/>
      </w:r>
      <w:r>
        <w:t xml:space="preserve"> </w:t>
      </w:r>
      <w:r w:rsidRPr="00140FBF">
        <w:t>Future foundations for giving Draft report, Productivity Commission, p</w:t>
      </w:r>
      <w:r w:rsidR="001C3C6A">
        <w:t>.</w:t>
      </w:r>
      <w:r>
        <w:t>190</w:t>
      </w:r>
    </w:p>
  </w:footnote>
  <w:footnote w:id="9">
    <w:p w14:paraId="10316184" w14:textId="5C2473FF" w:rsidR="003A27F1" w:rsidRPr="00764909" w:rsidRDefault="003A27F1">
      <w:pPr>
        <w:pStyle w:val="FootnoteText"/>
        <w:rPr>
          <w:lang w:val="en-US"/>
        </w:rPr>
      </w:pPr>
      <w:r>
        <w:rPr>
          <w:rStyle w:val="FootnoteReference"/>
        </w:rPr>
        <w:footnoteRef/>
      </w:r>
      <w:r>
        <w:t xml:space="preserve"> </w:t>
      </w:r>
      <w:hyperlink r:id="rId2" w:history="1">
        <w:r w:rsidR="00764909" w:rsidRPr="00B838CF">
          <w:rPr>
            <w:rStyle w:val="Hyperlink"/>
          </w:rPr>
          <w:t>https://www.pc.gov.au/__data/assets/pdf_file/0005/375827/sub301-philanthropy.pdf</w:t>
        </w:r>
      </w:hyperlink>
      <w:r w:rsidR="00764909">
        <w:t xml:space="preserve"> </w:t>
      </w:r>
    </w:p>
  </w:footnote>
  <w:footnote w:id="10">
    <w:p w14:paraId="088DF5BF" w14:textId="47B8661D" w:rsidR="00DB4AE0" w:rsidRPr="00764909" w:rsidRDefault="00DB4AE0">
      <w:pPr>
        <w:pStyle w:val="FootnoteText"/>
        <w:rPr>
          <w:lang w:val="en-US"/>
        </w:rPr>
      </w:pPr>
      <w:r>
        <w:rPr>
          <w:rStyle w:val="FootnoteReference"/>
        </w:rPr>
        <w:footnoteRef/>
      </w:r>
      <w:r>
        <w:t xml:space="preserve"> </w:t>
      </w:r>
      <w:hyperlink r:id="rId3" w:history="1">
        <w:r w:rsidR="00764909" w:rsidRPr="00B838CF">
          <w:rPr>
            <w:rStyle w:val="Hyperlink"/>
          </w:rPr>
          <w:t>https://www.pc.gov.au/__data/assets/pdf_file/0004/375817/sub299-philanthropy.pdf</w:t>
        </w:r>
      </w:hyperlink>
      <w:r w:rsidR="00764909">
        <w:t xml:space="preserve"> </w:t>
      </w:r>
    </w:p>
  </w:footnote>
  <w:footnote w:id="11">
    <w:p w14:paraId="211088F3" w14:textId="0F847A7F" w:rsidR="006670E1" w:rsidRPr="002A1798" w:rsidRDefault="006670E1">
      <w:pPr>
        <w:pStyle w:val="FootnoteText"/>
        <w:rPr>
          <w:lang w:val="en-US"/>
        </w:rPr>
      </w:pPr>
      <w:r>
        <w:rPr>
          <w:rStyle w:val="FootnoteReference"/>
        </w:rPr>
        <w:footnoteRef/>
      </w:r>
      <w:r>
        <w:t xml:space="preserve"> </w:t>
      </w:r>
      <w:hyperlink r:id="rId4" w:history="1">
        <w:r w:rsidR="00764909" w:rsidRPr="00B838CF">
          <w:rPr>
            <w:rStyle w:val="Hyperlink"/>
          </w:rPr>
          <w:t>https://www.pc.gov.au/__data/assets/pdf_file/0011/372989/sub284-philanthropy.pdf</w:t>
        </w:r>
      </w:hyperlink>
      <w:r w:rsidR="00764909">
        <w:t xml:space="preserve"> </w:t>
      </w:r>
    </w:p>
  </w:footnote>
  <w:footnote w:id="12">
    <w:p w14:paraId="7BB3499D" w14:textId="7914839D" w:rsidR="00443DFA" w:rsidRDefault="00443DFA">
      <w:pPr>
        <w:pStyle w:val="FootnoteText"/>
      </w:pPr>
      <w:r>
        <w:rPr>
          <w:rStyle w:val="FootnoteReference"/>
        </w:rPr>
        <w:footnoteRef/>
      </w:r>
      <w:r>
        <w:t xml:space="preserve"> </w:t>
      </w:r>
      <w:r w:rsidRPr="00443DFA">
        <w:t>Future foundations for giving Draft report, Productivity Commission</w:t>
      </w:r>
      <w:r w:rsidR="000C3011">
        <w:t>,</w:t>
      </w:r>
      <w:r w:rsidRPr="00443DFA">
        <w:t xml:space="preserve"> p</w:t>
      </w:r>
      <w:r w:rsidR="001C3C6A">
        <w:t>.</w:t>
      </w:r>
      <w:r w:rsidRPr="00443DFA">
        <w:t>18</w:t>
      </w:r>
      <w:r>
        <w:t>7</w:t>
      </w:r>
    </w:p>
  </w:footnote>
  <w:footnote w:id="13">
    <w:p w14:paraId="1E7F360A" w14:textId="57A0B5CF" w:rsidR="00305B7D" w:rsidRPr="006D7D2E" w:rsidRDefault="00305B7D">
      <w:pPr>
        <w:pStyle w:val="FootnoteText"/>
      </w:pPr>
      <w:r>
        <w:rPr>
          <w:rStyle w:val="FootnoteReference"/>
        </w:rPr>
        <w:footnoteRef/>
      </w:r>
      <w:r>
        <w:t xml:space="preserve"> </w:t>
      </w:r>
      <w:hyperlink r:id="rId5" w:history="1">
        <w:r w:rsidR="006D7D2E" w:rsidRPr="006D7D2E">
          <w:rPr>
            <w:rStyle w:val="Hyperlink"/>
          </w:rPr>
          <w:t>https://www.pc.gov.au/__data/assets/pdf_file/0010/375814/sub297-philanthropy.pdf</w:t>
        </w:r>
      </w:hyperlink>
    </w:p>
  </w:footnote>
  <w:footnote w:id="14">
    <w:p w14:paraId="79178B71" w14:textId="2FC3C6B2" w:rsidR="008B7826" w:rsidRDefault="008B7826">
      <w:pPr>
        <w:pStyle w:val="FootnoteText"/>
      </w:pPr>
      <w:r>
        <w:rPr>
          <w:rStyle w:val="FootnoteReference"/>
        </w:rPr>
        <w:footnoteRef/>
      </w:r>
      <w:r>
        <w:t xml:space="preserve"> </w:t>
      </w:r>
      <w:bookmarkStart w:id="36" w:name="_Hlk157773690"/>
      <w:r w:rsidR="0042096C" w:rsidRPr="0042096C">
        <w:fldChar w:fldCharType="begin"/>
      </w:r>
      <w:r w:rsidR="0042096C" w:rsidRPr="0042096C">
        <w:instrText>HYPERLINK "https://isa.edu.au/documents/the-social-contribution-of-independent-schools-in-australia/"</w:instrText>
      </w:r>
      <w:r w:rsidR="0042096C" w:rsidRPr="0042096C">
        <w:fldChar w:fldCharType="separate"/>
      </w:r>
      <w:r w:rsidR="0042096C" w:rsidRPr="0042096C">
        <w:rPr>
          <w:rStyle w:val="Hyperlink"/>
        </w:rPr>
        <w:t>THE SOCIAL CONTRIBUTION OF INDEPENDENT SCHOOLS – Independent Schools Australia (isa.edu.au)</w:t>
      </w:r>
      <w:r w:rsidR="0042096C" w:rsidRPr="0042096C">
        <w:fldChar w:fldCharType="end"/>
      </w:r>
      <w:bookmarkEnd w:id="36"/>
      <w:r w:rsidR="00603BA8">
        <w:t>, p</w:t>
      </w:r>
      <w:r w:rsidR="001C3C6A">
        <w:t>.</w:t>
      </w:r>
      <w:r w:rsidR="00603BA8">
        <w:t>23</w:t>
      </w:r>
    </w:p>
  </w:footnote>
  <w:footnote w:id="15">
    <w:p w14:paraId="5AF0FC9C" w14:textId="2E151E0E" w:rsidR="00984D1C" w:rsidRDefault="00984D1C">
      <w:pPr>
        <w:pStyle w:val="FootnoteText"/>
      </w:pPr>
      <w:r>
        <w:rPr>
          <w:rStyle w:val="FootnoteReference"/>
        </w:rPr>
        <w:footnoteRef/>
      </w:r>
      <w:r>
        <w:t xml:space="preserve"> </w:t>
      </w:r>
      <w:hyperlink r:id="rId6" w:history="1">
        <w:r w:rsidRPr="00984D1C">
          <w:rPr>
            <w:rStyle w:val="Hyperlink"/>
          </w:rPr>
          <w:t>THE SOCIAL CONTRIBUTION OF INDEPENDENT SCHOOLS – Independent Schools Australia (isa.edu.au)</w:t>
        </w:r>
      </w:hyperlink>
      <w:r w:rsidRPr="00984D1C">
        <w:t>, p.</w:t>
      </w:r>
      <w:r>
        <w:t>6</w:t>
      </w:r>
    </w:p>
  </w:footnote>
  <w:footnote w:id="16">
    <w:p w14:paraId="31C98594" w14:textId="77777777" w:rsidR="00A20F8F" w:rsidRDefault="00A20F8F" w:rsidP="00A20F8F">
      <w:pPr>
        <w:pStyle w:val="FootnoteText"/>
      </w:pPr>
      <w:r>
        <w:rPr>
          <w:rStyle w:val="FootnoteReference"/>
        </w:rPr>
        <w:footnoteRef/>
      </w:r>
      <w:r>
        <w:t xml:space="preserve"> </w:t>
      </w:r>
      <w:hyperlink r:id="rId7" w:history="1">
        <w:r w:rsidRPr="0034557A">
          <w:rPr>
            <w:rStyle w:val="Hyperlink"/>
          </w:rPr>
          <w:t>https://www.pc.gov.au/inquiries/completed/productivity/interim5-learning/productivity-interim5-learning.pdf</w:t>
        </w:r>
      </w:hyperlink>
      <w:r>
        <w:t xml:space="preserve"> p.ix</w:t>
      </w:r>
    </w:p>
  </w:footnote>
  <w:footnote w:id="17">
    <w:p w14:paraId="1FC6A48F" w14:textId="108C716C" w:rsidR="00CF3ABC" w:rsidRDefault="00CF3ABC">
      <w:pPr>
        <w:pStyle w:val="FootnoteText"/>
      </w:pPr>
      <w:r>
        <w:rPr>
          <w:rStyle w:val="FootnoteReference"/>
        </w:rPr>
        <w:footnoteRef/>
      </w:r>
      <w:r>
        <w:t xml:space="preserve"> </w:t>
      </w:r>
      <w:hyperlink r:id="rId8" w:history="1">
        <w:r w:rsidRPr="00CF3ABC">
          <w:rPr>
            <w:rStyle w:val="Hyperlink"/>
          </w:rPr>
          <w:t>THE SOCIAL CONTRIBUTION OF INDEPENDENT SCHOOLS – Independent Schools Australia (isa.edu.au)</w:t>
        </w:r>
      </w:hyperlink>
      <w:r>
        <w:t>, p</w:t>
      </w:r>
      <w:r w:rsidR="001C3C6A">
        <w:t>.</w:t>
      </w:r>
      <w:r w:rsidR="00603BA8">
        <w:t>22</w:t>
      </w:r>
    </w:p>
  </w:footnote>
  <w:footnote w:id="18">
    <w:p w14:paraId="212250C0" w14:textId="2437254A" w:rsidR="00FD1A22" w:rsidRDefault="00FD1A22">
      <w:pPr>
        <w:pStyle w:val="FootnoteText"/>
      </w:pPr>
      <w:r>
        <w:rPr>
          <w:rStyle w:val="FootnoteReference"/>
        </w:rPr>
        <w:footnoteRef/>
      </w:r>
      <w:r>
        <w:t xml:space="preserve"> </w:t>
      </w:r>
      <w:bookmarkStart w:id="42" w:name="_Hlk158237407"/>
      <w:r w:rsidRPr="00FD1A22">
        <w:fldChar w:fldCharType="begin"/>
      </w:r>
      <w:r w:rsidRPr="00FD1A22">
        <w:instrText>HYPERLINK "https://aus01.safelinks.protection.outlook.com/?url=https%3A%2F%2Fwww.education.gov.au%2Fdownload%2F1307%2Freview-funding-schooling-final-report-december-2011%2F1280%2Fdocument%2Fpdf&amp;data=05%7C02%7Ccaroline.miller%40isa.edu.au%7Cb8a8630554284fd8985108dc1ad0eb77%7C1a14ef7250154b69b71284b2a8d30c2e%7C0%7C0%7C638414732163270256%7CUnknown%7CTWFpbGZsb3d8eyJWIjoiMC4wLjAwMDAiLCJQIjoiV2luMzIiLCJBTiI6Ik1haWwiLCJXVCI6Mn0%3D%7C3000%7C%7C%7C&amp;sdata=5FhICzfonXsFX%2BSHAynZs8ITLTU6HDeAJsViwglLIUw%3D&amp;reserved=0"</w:instrText>
      </w:r>
      <w:r w:rsidRPr="00FD1A22">
        <w:fldChar w:fldCharType="separate"/>
      </w:r>
      <w:r w:rsidRPr="00FD1A22">
        <w:rPr>
          <w:rStyle w:val="Hyperlink"/>
        </w:rPr>
        <w:t>https://www.education.gov.au/download/1307/review-funding-schooling-final-report-december-2011/1280/document/pdf</w:t>
      </w:r>
      <w:r w:rsidRPr="00FD1A22">
        <w:fldChar w:fldCharType="end"/>
      </w:r>
      <w:r>
        <w:t>, p</w:t>
      </w:r>
      <w:r w:rsidR="001C3C6A">
        <w:t>.</w:t>
      </w:r>
      <w:r w:rsidR="0021100F">
        <w:t>200</w:t>
      </w:r>
      <w:bookmarkEnd w:id="42"/>
    </w:p>
  </w:footnote>
  <w:footnote w:id="19">
    <w:p w14:paraId="021C099C" w14:textId="74807F5D" w:rsidR="00C65BCF" w:rsidRDefault="00C65BCF">
      <w:pPr>
        <w:pStyle w:val="FootnoteText"/>
      </w:pPr>
      <w:r>
        <w:rPr>
          <w:rStyle w:val="FootnoteReference"/>
        </w:rPr>
        <w:footnoteRef/>
      </w:r>
      <w:r>
        <w:t xml:space="preserve"> </w:t>
      </w:r>
      <w:hyperlink r:id="rId9" w:history="1">
        <w:r w:rsidRPr="00C65BCF">
          <w:rPr>
            <w:rStyle w:val="Hyperlink"/>
          </w:rPr>
          <w:t>https://www.education.gov.au/download/1307/review-funding-schooling-final-report-december-2011/1280/document/pdf</w:t>
        </w:r>
      </w:hyperlink>
      <w:r w:rsidRPr="00C65BCF">
        <w:t>, p</w:t>
      </w:r>
      <w:r w:rsidR="001C3C6A">
        <w:t>.</w:t>
      </w:r>
      <w:r w:rsidRPr="00C65BCF">
        <w:t>20</w:t>
      </w:r>
      <w:r>
        <w:t>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0754" w14:textId="77777777" w:rsidR="000E1A71" w:rsidRDefault="000E1A71" w:rsidP="000E1A71">
    <w:pPr>
      <w:pStyle w:val="Header"/>
    </w:pPr>
    <w:bookmarkStart w:id="0" w:name="_Hlk88386698"/>
    <w:bookmarkStart w:id="1" w:name="_Hlk88386699"/>
    <w:bookmarkEnd w:id="0"/>
    <w:bookmarkEnd w:id="1"/>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7E34C" w14:textId="77777777" w:rsidR="003C6BC2" w:rsidRDefault="003C6BC2" w:rsidP="000E1A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584C" w14:textId="791D7F0D" w:rsidR="000E1A71" w:rsidRDefault="000E1A71" w:rsidP="000E1A71">
    <w:pPr>
      <w:pStyle w:val="Header"/>
    </w:pPr>
    <w:r>
      <w:rPr>
        <w:noProof/>
      </w:rPr>
      <mc:AlternateContent>
        <mc:Choice Requires="wpg">
          <w:drawing>
            <wp:anchor distT="0" distB="0" distL="114300" distR="114300" simplePos="0" relativeHeight="251658241" behindDoc="1" locked="1" layoutInCell="1" allowOverlap="1" wp14:anchorId="78EB4F5F" wp14:editId="7BA020A3">
              <wp:simplePos x="0" y="0"/>
              <wp:positionH relativeFrom="page">
                <wp:posOffset>5095875</wp:posOffset>
              </wp:positionH>
              <wp:positionV relativeFrom="page">
                <wp:posOffset>8764270</wp:posOffset>
              </wp:positionV>
              <wp:extent cx="1937520" cy="1074600"/>
              <wp:effectExtent l="0" t="0" r="5715" b="0"/>
              <wp:wrapNone/>
              <wp:docPr id="47" name="Group 47"/>
              <wp:cNvGraphicFramePr/>
              <a:graphic xmlns:a="http://schemas.openxmlformats.org/drawingml/2006/main">
                <a:graphicData uri="http://schemas.microsoft.com/office/word/2010/wordprocessingGroup">
                  <wpg:wgp>
                    <wpg:cNvGrpSpPr/>
                    <wpg:grpSpPr>
                      <a:xfrm>
                        <a:off x="0" y="0"/>
                        <a:ext cx="1937520" cy="1074600"/>
                        <a:chOff x="0" y="0"/>
                        <a:chExt cx="1938337" cy="1075002"/>
                      </a:xfrm>
                    </wpg:grpSpPr>
                    <wps:wsp>
                      <wps:cNvPr id="48" name="Freeform 5"/>
                      <wps:cNvSpPr>
                        <a:spLocks noEditPoints="1"/>
                      </wps:cNvSpPr>
                      <wps:spPr bwMode="auto">
                        <a:xfrm>
                          <a:off x="713977" y="605562"/>
                          <a:ext cx="1224360" cy="469440"/>
                        </a:xfrm>
                        <a:custGeom>
                          <a:avLst/>
                          <a:gdLst>
                            <a:gd name="T0" fmla="*/ 63 w 1541"/>
                            <a:gd name="T1" fmla="*/ 163 h 589"/>
                            <a:gd name="T2" fmla="*/ 198 w 1541"/>
                            <a:gd name="T3" fmla="*/ 163 h 589"/>
                            <a:gd name="T4" fmla="*/ 229 w 1541"/>
                            <a:gd name="T5" fmla="*/ 13 h 589"/>
                            <a:gd name="T6" fmla="*/ 284 w 1541"/>
                            <a:gd name="T7" fmla="*/ 154 h 589"/>
                            <a:gd name="T8" fmla="*/ 495 w 1541"/>
                            <a:gd name="T9" fmla="*/ 2 h 589"/>
                            <a:gd name="T10" fmla="*/ 414 w 1541"/>
                            <a:gd name="T11" fmla="*/ 154 h 589"/>
                            <a:gd name="T12" fmla="*/ 590 w 1541"/>
                            <a:gd name="T13" fmla="*/ 2 h 589"/>
                            <a:gd name="T14" fmla="*/ 587 w 1541"/>
                            <a:gd name="T15" fmla="*/ 87 h 589"/>
                            <a:gd name="T16" fmla="*/ 763 w 1541"/>
                            <a:gd name="T17" fmla="*/ 2 h 589"/>
                            <a:gd name="T18" fmla="*/ 682 w 1541"/>
                            <a:gd name="T19" fmla="*/ 154 h 589"/>
                            <a:gd name="T20" fmla="*/ 805 w 1541"/>
                            <a:gd name="T21" fmla="*/ 1 h 589"/>
                            <a:gd name="T22" fmla="*/ 908 w 1541"/>
                            <a:gd name="T23" fmla="*/ 167 h 589"/>
                            <a:gd name="T24" fmla="*/ 1077 w 1541"/>
                            <a:gd name="T25" fmla="*/ 23 h 589"/>
                            <a:gd name="T26" fmla="*/ 976 w 1541"/>
                            <a:gd name="T27" fmla="*/ 19 h 589"/>
                            <a:gd name="T28" fmla="*/ 1142 w 1541"/>
                            <a:gd name="T29" fmla="*/ 18 h 589"/>
                            <a:gd name="T30" fmla="*/ 1223 w 1541"/>
                            <a:gd name="T31" fmla="*/ 171 h 589"/>
                            <a:gd name="T32" fmla="*/ 1368 w 1541"/>
                            <a:gd name="T33" fmla="*/ 10 h 589"/>
                            <a:gd name="T34" fmla="*/ 1260 w 1541"/>
                            <a:gd name="T35" fmla="*/ 173 h 589"/>
                            <a:gd name="T36" fmla="*/ 1532 w 1541"/>
                            <a:gd name="T37" fmla="*/ 19 h 589"/>
                            <a:gd name="T38" fmla="*/ 10 w 1541"/>
                            <a:gd name="T39" fmla="*/ 347 h 589"/>
                            <a:gd name="T40" fmla="*/ 18 w 1541"/>
                            <a:gd name="T41" fmla="*/ 287 h 589"/>
                            <a:gd name="T42" fmla="*/ 119 w 1541"/>
                            <a:gd name="T43" fmla="*/ 241 h 589"/>
                            <a:gd name="T44" fmla="*/ 118 w 1541"/>
                            <a:gd name="T45" fmla="*/ 306 h 589"/>
                            <a:gd name="T46" fmla="*/ 152 w 1541"/>
                            <a:gd name="T47" fmla="*/ 248 h 589"/>
                            <a:gd name="T48" fmla="*/ 222 w 1541"/>
                            <a:gd name="T49" fmla="*/ 226 h 589"/>
                            <a:gd name="T50" fmla="*/ 274 w 1541"/>
                            <a:gd name="T51" fmla="*/ 364 h 589"/>
                            <a:gd name="T52" fmla="*/ 420 w 1541"/>
                            <a:gd name="T53" fmla="*/ 285 h 589"/>
                            <a:gd name="T54" fmla="*/ 318 w 1541"/>
                            <a:gd name="T55" fmla="*/ 370 h 589"/>
                            <a:gd name="T56" fmla="*/ 582 w 1541"/>
                            <a:gd name="T57" fmla="*/ 218 h 589"/>
                            <a:gd name="T58" fmla="*/ 582 w 1541"/>
                            <a:gd name="T59" fmla="*/ 243 h 589"/>
                            <a:gd name="T60" fmla="*/ 635 w 1541"/>
                            <a:gd name="T61" fmla="*/ 294 h 589"/>
                            <a:gd name="T62" fmla="*/ 713 w 1541"/>
                            <a:gd name="T63" fmla="*/ 381 h 589"/>
                            <a:gd name="T64" fmla="*/ 713 w 1541"/>
                            <a:gd name="T65" fmla="*/ 364 h 589"/>
                            <a:gd name="T66" fmla="*/ 912 w 1541"/>
                            <a:gd name="T67" fmla="*/ 379 h 589"/>
                            <a:gd name="T68" fmla="*/ 955 w 1541"/>
                            <a:gd name="T69" fmla="*/ 360 h 589"/>
                            <a:gd name="T70" fmla="*/ 930 w 1541"/>
                            <a:gd name="T71" fmla="*/ 231 h 589"/>
                            <a:gd name="T72" fmla="*/ 1007 w 1541"/>
                            <a:gd name="T73" fmla="*/ 228 h 589"/>
                            <a:gd name="T74" fmla="*/ 1037 w 1541"/>
                            <a:gd name="T75" fmla="*/ 358 h 589"/>
                            <a:gd name="T76" fmla="*/ 91 w 1541"/>
                            <a:gd name="T77" fmla="*/ 425 h 589"/>
                            <a:gd name="T78" fmla="*/ 9 w 1541"/>
                            <a:gd name="T79" fmla="*/ 589 h 589"/>
                            <a:gd name="T80" fmla="*/ 163 w 1541"/>
                            <a:gd name="T81" fmla="*/ 426 h 589"/>
                            <a:gd name="T82" fmla="*/ 298 w 1541"/>
                            <a:gd name="T83" fmla="*/ 520 h 589"/>
                            <a:gd name="T84" fmla="*/ 331 w 1541"/>
                            <a:gd name="T85" fmla="*/ 557 h 589"/>
                            <a:gd name="T86" fmla="*/ 321 w 1541"/>
                            <a:gd name="T87" fmla="*/ 466 h 589"/>
                            <a:gd name="T88" fmla="*/ 425 w 1541"/>
                            <a:gd name="T89" fmla="*/ 447 h 589"/>
                            <a:gd name="T90" fmla="*/ 444 w 1541"/>
                            <a:gd name="T91" fmla="*/ 541 h 589"/>
                            <a:gd name="T92" fmla="*/ 446 w 1541"/>
                            <a:gd name="T93" fmla="*/ 418 h 589"/>
                            <a:gd name="T94" fmla="*/ 592 w 1541"/>
                            <a:gd name="T95" fmla="*/ 428 h 589"/>
                            <a:gd name="T96" fmla="*/ 719 w 1541"/>
                            <a:gd name="T97" fmla="*/ 584 h 589"/>
                            <a:gd name="T98" fmla="*/ 602 w 1541"/>
                            <a:gd name="T99" fmla="*/ 589 h 589"/>
                            <a:gd name="T100" fmla="*/ 727 w 1541"/>
                            <a:gd name="T101" fmla="*/ 575 h 589"/>
                            <a:gd name="T102" fmla="*/ 864 w 1541"/>
                            <a:gd name="T103" fmla="*/ 580 h 589"/>
                            <a:gd name="T104" fmla="*/ 804 w 1541"/>
                            <a:gd name="T105" fmla="*/ 441 h 589"/>
                            <a:gd name="T106" fmla="*/ 999 w 1541"/>
                            <a:gd name="T107" fmla="*/ 587 h 589"/>
                            <a:gd name="T108" fmla="*/ 1066 w 1541"/>
                            <a:gd name="T109" fmla="*/ 589 h 589"/>
                            <a:gd name="T110" fmla="*/ 1207 w 1541"/>
                            <a:gd name="T111" fmla="*/ 589 h 589"/>
                            <a:gd name="T112" fmla="*/ 1173 w 1541"/>
                            <a:gd name="T113" fmla="*/ 527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41" h="589">
                              <a:moveTo>
                                <a:pt x="23" y="173"/>
                              </a:moveTo>
                              <a:cubicBezTo>
                                <a:pt x="16" y="173"/>
                                <a:pt x="13" y="169"/>
                                <a:pt x="13" y="162"/>
                              </a:cubicBezTo>
                              <a:cubicBezTo>
                                <a:pt x="13" y="10"/>
                                <a:pt x="13" y="10"/>
                                <a:pt x="13" y="10"/>
                              </a:cubicBezTo>
                              <a:cubicBezTo>
                                <a:pt x="13" y="3"/>
                                <a:pt x="16" y="0"/>
                                <a:pt x="23" y="0"/>
                              </a:cubicBezTo>
                              <a:cubicBezTo>
                                <a:pt x="29" y="0"/>
                                <a:pt x="32" y="3"/>
                                <a:pt x="32" y="10"/>
                              </a:cubicBezTo>
                              <a:cubicBezTo>
                                <a:pt x="32" y="162"/>
                                <a:pt x="32" y="162"/>
                                <a:pt x="32" y="162"/>
                              </a:cubicBezTo>
                              <a:cubicBezTo>
                                <a:pt x="32" y="169"/>
                                <a:pt x="29" y="173"/>
                                <a:pt x="23" y="173"/>
                              </a:cubicBezTo>
                              <a:close/>
                              <a:moveTo>
                                <a:pt x="72" y="173"/>
                              </a:moveTo>
                              <a:cubicBezTo>
                                <a:pt x="66" y="173"/>
                                <a:pt x="63" y="169"/>
                                <a:pt x="63" y="163"/>
                              </a:cubicBezTo>
                              <a:cubicBezTo>
                                <a:pt x="63" y="10"/>
                                <a:pt x="63" y="10"/>
                                <a:pt x="63" y="10"/>
                              </a:cubicBezTo>
                              <a:cubicBezTo>
                                <a:pt x="63" y="3"/>
                                <a:pt x="66" y="0"/>
                                <a:pt x="71" y="0"/>
                              </a:cubicBezTo>
                              <a:cubicBezTo>
                                <a:pt x="74" y="0"/>
                                <a:pt x="76" y="0"/>
                                <a:pt x="77" y="1"/>
                              </a:cubicBezTo>
                              <a:cubicBezTo>
                                <a:pt x="78" y="2"/>
                                <a:pt x="80" y="4"/>
                                <a:pt x="81" y="6"/>
                              </a:cubicBezTo>
                              <a:cubicBezTo>
                                <a:pt x="180" y="138"/>
                                <a:pt x="180" y="138"/>
                                <a:pt x="180" y="138"/>
                              </a:cubicBezTo>
                              <a:cubicBezTo>
                                <a:pt x="180" y="10"/>
                                <a:pt x="180" y="10"/>
                                <a:pt x="180" y="10"/>
                              </a:cubicBezTo>
                              <a:cubicBezTo>
                                <a:pt x="180" y="3"/>
                                <a:pt x="183" y="0"/>
                                <a:pt x="189" y="0"/>
                              </a:cubicBezTo>
                              <a:cubicBezTo>
                                <a:pt x="195" y="0"/>
                                <a:pt x="198" y="3"/>
                                <a:pt x="198" y="10"/>
                              </a:cubicBezTo>
                              <a:cubicBezTo>
                                <a:pt x="198" y="163"/>
                                <a:pt x="198" y="163"/>
                                <a:pt x="198" y="163"/>
                              </a:cubicBezTo>
                              <a:cubicBezTo>
                                <a:pt x="198" y="169"/>
                                <a:pt x="196" y="173"/>
                                <a:pt x="190" y="173"/>
                              </a:cubicBezTo>
                              <a:cubicBezTo>
                                <a:pt x="188" y="173"/>
                                <a:pt x="186" y="172"/>
                                <a:pt x="185" y="171"/>
                              </a:cubicBezTo>
                              <a:cubicBezTo>
                                <a:pt x="183" y="170"/>
                                <a:pt x="182" y="169"/>
                                <a:pt x="180" y="167"/>
                              </a:cubicBezTo>
                              <a:cubicBezTo>
                                <a:pt x="81" y="34"/>
                                <a:pt x="81" y="34"/>
                                <a:pt x="81" y="34"/>
                              </a:cubicBezTo>
                              <a:cubicBezTo>
                                <a:pt x="81" y="163"/>
                                <a:pt x="81" y="163"/>
                                <a:pt x="81" y="163"/>
                              </a:cubicBezTo>
                              <a:cubicBezTo>
                                <a:pt x="81" y="169"/>
                                <a:pt x="78" y="173"/>
                                <a:pt x="72" y="173"/>
                              </a:cubicBezTo>
                              <a:close/>
                              <a:moveTo>
                                <a:pt x="239" y="171"/>
                              </a:moveTo>
                              <a:cubicBezTo>
                                <a:pt x="232" y="171"/>
                                <a:pt x="229" y="167"/>
                                <a:pt x="229" y="160"/>
                              </a:cubicBezTo>
                              <a:cubicBezTo>
                                <a:pt x="229" y="13"/>
                                <a:pt x="229" y="13"/>
                                <a:pt x="229" y="13"/>
                              </a:cubicBezTo>
                              <a:cubicBezTo>
                                <a:pt x="229" y="5"/>
                                <a:pt x="232" y="2"/>
                                <a:pt x="239" y="2"/>
                              </a:cubicBezTo>
                              <a:cubicBezTo>
                                <a:pt x="286" y="2"/>
                                <a:pt x="286" y="2"/>
                                <a:pt x="286" y="2"/>
                              </a:cubicBezTo>
                              <a:cubicBezTo>
                                <a:pt x="313" y="2"/>
                                <a:pt x="334" y="9"/>
                                <a:pt x="349" y="23"/>
                              </a:cubicBezTo>
                              <a:cubicBezTo>
                                <a:pt x="364" y="38"/>
                                <a:pt x="371" y="59"/>
                                <a:pt x="371" y="86"/>
                              </a:cubicBezTo>
                              <a:cubicBezTo>
                                <a:pt x="371" y="114"/>
                                <a:pt x="364" y="135"/>
                                <a:pt x="349" y="149"/>
                              </a:cubicBezTo>
                              <a:cubicBezTo>
                                <a:pt x="334" y="164"/>
                                <a:pt x="313" y="171"/>
                                <a:pt x="286" y="171"/>
                              </a:cubicBezTo>
                              <a:lnTo>
                                <a:pt x="239" y="171"/>
                              </a:lnTo>
                              <a:close/>
                              <a:moveTo>
                                <a:pt x="248" y="154"/>
                              </a:moveTo>
                              <a:cubicBezTo>
                                <a:pt x="284" y="154"/>
                                <a:pt x="284" y="154"/>
                                <a:pt x="284" y="154"/>
                              </a:cubicBezTo>
                              <a:cubicBezTo>
                                <a:pt x="328" y="154"/>
                                <a:pt x="350" y="131"/>
                                <a:pt x="350" y="86"/>
                              </a:cubicBezTo>
                              <a:cubicBezTo>
                                <a:pt x="350" y="41"/>
                                <a:pt x="328" y="19"/>
                                <a:pt x="284" y="19"/>
                              </a:cubicBezTo>
                              <a:cubicBezTo>
                                <a:pt x="248" y="19"/>
                                <a:pt x="248" y="19"/>
                                <a:pt x="248" y="19"/>
                              </a:cubicBezTo>
                              <a:lnTo>
                                <a:pt x="248" y="154"/>
                              </a:lnTo>
                              <a:close/>
                              <a:moveTo>
                                <a:pt x="406" y="171"/>
                              </a:moveTo>
                              <a:cubicBezTo>
                                <a:pt x="398" y="171"/>
                                <a:pt x="395" y="167"/>
                                <a:pt x="395" y="160"/>
                              </a:cubicBezTo>
                              <a:cubicBezTo>
                                <a:pt x="395" y="13"/>
                                <a:pt x="395" y="13"/>
                                <a:pt x="395" y="13"/>
                              </a:cubicBezTo>
                              <a:cubicBezTo>
                                <a:pt x="395" y="5"/>
                                <a:pt x="398" y="2"/>
                                <a:pt x="406" y="2"/>
                              </a:cubicBezTo>
                              <a:cubicBezTo>
                                <a:pt x="495" y="2"/>
                                <a:pt x="495" y="2"/>
                                <a:pt x="495" y="2"/>
                              </a:cubicBezTo>
                              <a:cubicBezTo>
                                <a:pt x="501" y="2"/>
                                <a:pt x="503" y="4"/>
                                <a:pt x="503" y="10"/>
                              </a:cubicBezTo>
                              <a:cubicBezTo>
                                <a:pt x="503" y="15"/>
                                <a:pt x="501" y="18"/>
                                <a:pt x="495" y="18"/>
                              </a:cubicBezTo>
                              <a:cubicBezTo>
                                <a:pt x="414" y="18"/>
                                <a:pt x="414" y="18"/>
                                <a:pt x="414" y="18"/>
                              </a:cubicBezTo>
                              <a:cubicBezTo>
                                <a:pt x="414" y="77"/>
                                <a:pt x="414" y="77"/>
                                <a:pt x="414" y="77"/>
                              </a:cubicBezTo>
                              <a:cubicBezTo>
                                <a:pt x="490" y="77"/>
                                <a:pt x="490" y="77"/>
                                <a:pt x="490" y="77"/>
                              </a:cubicBezTo>
                              <a:cubicBezTo>
                                <a:pt x="496" y="77"/>
                                <a:pt x="498" y="80"/>
                                <a:pt x="498" y="85"/>
                              </a:cubicBezTo>
                              <a:cubicBezTo>
                                <a:pt x="498" y="91"/>
                                <a:pt x="496" y="93"/>
                                <a:pt x="490" y="93"/>
                              </a:cubicBezTo>
                              <a:cubicBezTo>
                                <a:pt x="414" y="93"/>
                                <a:pt x="414" y="93"/>
                                <a:pt x="414" y="93"/>
                              </a:cubicBezTo>
                              <a:cubicBezTo>
                                <a:pt x="414" y="154"/>
                                <a:pt x="414" y="154"/>
                                <a:pt x="414" y="154"/>
                              </a:cubicBezTo>
                              <a:cubicBezTo>
                                <a:pt x="495" y="154"/>
                                <a:pt x="495" y="154"/>
                                <a:pt x="495" y="154"/>
                              </a:cubicBezTo>
                              <a:cubicBezTo>
                                <a:pt x="501" y="154"/>
                                <a:pt x="503" y="157"/>
                                <a:pt x="503" y="163"/>
                              </a:cubicBezTo>
                              <a:cubicBezTo>
                                <a:pt x="503" y="168"/>
                                <a:pt x="501" y="171"/>
                                <a:pt x="495" y="171"/>
                              </a:cubicBezTo>
                              <a:lnTo>
                                <a:pt x="406" y="171"/>
                              </a:lnTo>
                              <a:close/>
                              <a:moveTo>
                                <a:pt x="533" y="173"/>
                              </a:moveTo>
                              <a:cubicBezTo>
                                <a:pt x="526" y="173"/>
                                <a:pt x="523" y="169"/>
                                <a:pt x="523" y="162"/>
                              </a:cubicBezTo>
                              <a:cubicBezTo>
                                <a:pt x="523" y="12"/>
                                <a:pt x="523" y="12"/>
                                <a:pt x="523" y="12"/>
                              </a:cubicBezTo>
                              <a:cubicBezTo>
                                <a:pt x="523" y="5"/>
                                <a:pt x="526" y="2"/>
                                <a:pt x="533" y="2"/>
                              </a:cubicBezTo>
                              <a:cubicBezTo>
                                <a:pt x="590" y="2"/>
                                <a:pt x="590" y="2"/>
                                <a:pt x="590" y="2"/>
                              </a:cubicBezTo>
                              <a:cubicBezTo>
                                <a:pt x="608" y="2"/>
                                <a:pt x="622" y="6"/>
                                <a:pt x="632" y="15"/>
                              </a:cubicBezTo>
                              <a:cubicBezTo>
                                <a:pt x="641" y="24"/>
                                <a:pt x="646" y="36"/>
                                <a:pt x="646" y="53"/>
                              </a:cubicBezTo>
                              <a:cubicBezTo>
                                <a:pt x="646" y="69"/>
                                <a:pt x="641" y="81"/>
                                <a:pt x="632" y="90"/>
                              </a:cubicBezTo>
                              <a:cubicBezTo>
                                <a:pt x="622" y="99"/>
                                <a:pt x="608" y="103"/>
                                <a:pt x="590" y="103"/>
                              </a:cubicBezTo>
                              <a:cubicBezTo>
                                <a:pt x="542" y="103"/>
                                <a:pt x="542" y="103"/>
                                <a:pt x="542" y="103"/>
                              </a:cubicBezTo>
                              <a:cubicBezTo>
                                <a:pt x="542" y="162"/>
                                <a:pt x="542" y="162"/>
                                <a:pt x="542" y="162"/>
                              </a:cubicBezTo>
                              <a:cubicBezTo>
                                <a:pt x="542" y="169"/>
                                <a:pt x="539" y="173"/>
                                <a:pt x="533" y="173"/>
                              </a:cubicBezTo>
                              <a:close/>
                              <a:moveTo>
                                <a:pt x="542" y="87"/>
                              </a:moveTo>
                              <a:cubicBezTo>
                                <a:pt x="587" y="87"/>
                                <a:pt x="587" y="87"/>
                                <a:pt x="587" y="87"/>
                              </a:cubicBezTo>
                              <a:cubicBezTo>
                                <a:pt x="614" y="87"/>
                                <a:pt x="627" y="75"/>
                                <a:pt x="627" y="53"/>
                              </a:cubicBezTo>
                              <a:cubicBezTo>
                                <a:pt x="627" y="30"/>
                                <a:pt x="614" y="18"/>
                                <a:pt x="587" y="18"/>
                              </a:cubicBezTo>
                              <a:cubicBezTo>
                                <a:pt x="542" y="18"/>
                                <a:pt x="542" y="18"/>
                                <a:pt x="542" y="18"/>
                              </a:cubicBezTo>
                              <a:lnTo>
                                <a:pt x="542" y="87"/>
                              </a:lnTo>
                              <a:close/>
                              <a:moveTo>
                                <a:pt x="674" y="171"/>
                              </a:moveTo>
                              <a:cubicBezTo>
                                <a:pt x="666" y="171"/>
                                <a:pt x="663" y="167"/>
                                <a:pt x="663" y="160"/>
                              </a:cubicBezTo>
                              <a:cubicBezTo>
                                <a:pt x="663" y="13"/>
                                <a:pt x="663" y="13"/>
                                <a:pt x="663" y="13"/>
                              </a:cubicBezTo>
                              <a:cubicBezTo>
                                <a:pt x="663" y="5"/>
                                <a:pt x="666" y="2"/>
                                <a:pt x="674" y="2"/>
                              </a:cubicBezTo>
                              <a:cubicBezTo>
                                <a:pt x="763" y="2"/>
                                <a:pt x="763" y="2"/>
                                <a:pt x="763" y="2"/>
                              </a:cubicBezTo>
                              <a:cubicBezTo>
                                <a:pt x="768" y="2"/>
                                <a:pt x="771" y="4"/>
                                <a:pt x="771" y="10"/>
                              </a:cubicBezTo>
                              <a:cubicBezTo>
                                <a:pt x="771" y="15"/>
                                <a:pt x="768" y="18"/>
                                <a:pt x="763" y="18"/>
                              </a:cubicBezTo>
                              <a:cubicBezTo>
                                <a:pt x="682" y="18"/>
                                <a:pt x="682" y="18"/>
                                <a:pt x="682" y="18"/>
                              </a:cubicBezTo>
                              <a:cubicBezTo>
                                <a:pt x="682" y="77"/>
                                <a:pt x="682" y="77"/>
                                <a:pt x="682" y="77"/>
                              </a:cubicBezTo>
                              <a:cubicBezTo>
                                <a:pt x="758" y="77"/>
                                <a:pt x="758" y="77"/>
                                <a:pt x="758" y="77"/>
                              </a:cubicBezTo>
                              <a:cubicBezTo>
                                <a:pt x="763" y="77"/>
                                <a:pt x="766" y="80"/>
                                <a:pt x="766" y="85"/>
                              </a:cubicBezTo>
                              <a:cubicBezTo>
                                <a:pt x="766" y="91"/>
                                <a:pt x="763" y="93"/>
                                <a:pt x="758" y="93"/>
                              </a:cubicBezTo>
                              <a:cubicBezTo>
                                <a:pt x="682" y="93"/>
                                <a:pt x="682" y="93"/>
                                <a:pt x="682" y="93"/>
                              </a:cubicBezTo>
                              <a:cubicBezTo>
                                <a:pt x="682" y="154"/>
                                <a:pt x="682" y="154"/>
                                <a:pt x="682" y="154"/>
                              </a:cubicBezTo>
                              <a:cubicBezTo>
                                <a:pt x="763" y="154"/>
                                <a:pt x="763" y="154"/>
                                <a:pt x="763" y="154"/>
                              </a:cubicBezTo>
                              <a:cubicBezTo>
                                <a:pt x="768" y="154"/>
                                <a:pt x="771" y="157"/>
                                <a:pt x="771" y="163"/>
                              </a:cubicBezTo>
                              <a:cubicBezTo>
                                <a:pt x="771" y="168"/>
                                <a:pt x="768" y="171"/>
                                <a:pt x="763" y="171"/>
                              </a:cubicBezTo>
                              <a:lnTo>
                                <a:pt x="674" y="171"/>
                              </a:lnTo>
                              <a:close/>
                              <a:moveTo>
                                <a:pt x="800" y="173"/>
                              </a:moveTo>
                              <a:cubicBezTo>
                                <a:pt x="794" y="173"/>
                                <a:pt x="791" y="169"/>
                                <a:pt x="791" y="163"/>
                              </a:cubicBezTo>
                              <a:cubicBezTo>
                                <a:pt x="791" y="10"/>
                                <a:pt x="791" y="10"/>
                                <a:pt x="791" y="10"/>
                              </a:cubicBezTo>
                              <a:cubicBezTo>
                                <a:pt x="791" y="3"/>
                                <a:pt x="794" y="0"/>
                                <a:pt x="799" y="0"/>
                              </a:cubicBezTo>
                              <a:cubicBezTo>
                                <a:pt x="802" y="0"/>
                                <a:pt x="803" y="0"/>
                                <a:pt x="805" y="1"/>
                              </a:cubicBezTo>
                              <a:cubicBezTo>
                                <a:pt x="806" y="2"/>
                                <a:pt x="808" y="4"/>
                                <a:pt x="809" y="6"/>
                              </a:cubicBezTo>
                              <a:cubicBezTo>
                                <a:pt x="908" y="138"/>
                                <a:pt x="908" y="138"/>
                                <a:pt x="908" y="138"/>
                              </a:cubicBezTo>
                              <a:cubicBezTo>
                                <a:pt x="908" y="10"/>
                                <a:pt x="908" y="10"/>
                                <a:pt x="908" y="10"/>
                              </a:cubicBezTo>
                              <a:cubicBezTo>
                                <a:pt x="908" y="3"/>
                                <a:pt x="911" y="0"/>
                                <a:pt x="917" y="0"/>
                              </a:cubicBezTo>
                              <a:cubicBezTo>
                                <a:pt x="923" y="0"/>
                                <a:pt x="926" y="3"/>
                                <a:pt x="926" y="10"/>
                              </a:cubicBezTo>
                              <a:cubicBezTo>
                                <a:pt x="926" y="163"/>
                                <a:pt x="926" y="163"/>
                                <a:pt x="926" y="163"/>
                              </a:cubicBezTo>
                              <a:cubicBezTo>
                                <a:pt x="926" y="169"/>
                                <a:pt x="924" y="173"/>
                                <a:pt x="918" y="173"/>
                              </a:cubicBezTo>
                              <a:cubicBezTo>
                                <a:pt x="916" y="173"/>
                                <a:pt x="914" y="172"/>
                                <a:pt x="913" y="171"/>
                              </a:cubicBezTo>
                              <a:cubicBezTo>
                                <a:pt x="911" y="170"/>
                                <a:pt x="910" y="169"/>
                                <a:pt x="908" y="167"/>
                              </a:cubicBezTo>
                              <a:cubicBezTo>
                                <a:pt x="809" y="34"/>
                                <a:pt x="809" y="34"/>
                                <a:pt x="809" y="34"/>
                              </a:cubicBezTo>
                              <a:cubicBezTo>
                                <a:pt x="809" y="163"/>
                                <a:pt x="809" y="163"/>
                                <a:pt x="809" y="163"/>
                              </a:cubicBezTo>
                              <a:cubicBezTo>
                                <a:pt x="809" y="169"/>
                                <a:pt x="806" y="173"/>
                                <a:pt x="800" y="173"/>
                              </a:cubicBezTo>
                              <a:close/>
                              <a:moveTo>
                                <a:pt x="967" y="171"/>
                              </a:moveTo>
                              <a:cubicBezTo>
                                <a:pt x="960" y="171"/>
                                <a:pt x="956" y="167"/>
                                <a:pt x="956" y="160"/>
                              </a:cubicBezTo>
                              <a:cubicBezTo>
                                <a:pt x="956" y="13"/>
                                <a:pt x="956" y="13"/>
                                <a:pt x="956" y="13"/>
                              </a:cubicBezTo>
                              <a:cubicBezTo>
                                <a:pt x="956" y="5"/>
                                <a:pt x="960" y="2"/>
                                <a:pt x="967" y="2"/>
                              </a:cubicBezTo>
                              <a:cubicBezTo>
                                <a:pt x="1014" y="2"/>
                                <a:pt x="1014" y="2"/>
                                <a:pt x="1014" y="2"/>
                              </a:cubicBezTo>
                              <a:cubicBezTo>
                                <a:pt x="1041" y="2"/>
                                <a:pt x="1062" y="9"/>
                                <a:pt x="1077" y="23"/>
                              </a:cubicBezTo>
                              <a:cubicBezTo>
                                <a:pt x="1092" y="38"/>
                                <a:pt x="1099" y="59"/>
                                <a:pt x="1099" y="86"/>
                              </a:cubicBezTo>
                              <a:cubicBezTo>
                                <a:pt x="1099" y="114"/>
                                <a:pt x="1092" y="135"/>
                                <a:pt x="1077" y="149"/>
                              </a:cubicBezTo>
                              <a:cubicBezTo>
                                <a:pt x="1062" y="164"/>
                                <a:pt x="1041" y="171"/>
                                <a:pt x="1014" y="171"/>
                              </a:cubicBezTo>
                              <a:lnTo>
                                <a:pt x="967" y="171"/>
                              </a:lnTo>
                              <a:close/>
                              <a:moveTo>
                                <a:pt x="976" y="154"/>
                              </a:moveTo>
                              <a:cubicBezTo>
                                <a:pt x="1012" y="154"/>
                                <a:pt x="1012" y="154"/>
                                <a:pt x="1012" y="154"/>
                              </a:cubicBezTo>
                              <a:cubicBezTo>
                                <a:pt x="1056" y="154"/>
                                <a:pt x="1078" y="131"/>
                                <a:pt x="1078" y="86"/>
                              </a:cubicBezTo>
                              <a:cubicBezTo>
                                <a:pt x="1078" y="41"/>
                                <a:pt x="1056" y="19"/>
                                <a:pt x="1012" y="19"/>
                              </a:cubicBezTo>
                              <a:cubicBezTo>
                                <a:pt x="976" y="19"/>
                                <a:pt x="976" y="19"/>
                                <a:pt x="976" y="19"/>
                              </a:cubicBezTo>
                              <a:lnTo>
                                <a:pt x="976" y="154"/>
                              </a:lnTo>
                              <a:close/>
                              <a:moveTo>
                                <a:pt x="1134" y="171"/>
                              </a:moveTo>
                              <a:cubicBezTo>
                                <a:pt x="1126" y="171"/>
                                <a:pt x="1123" y="167"/>
                                <a:pt x="1123" y="160"/>
                              </a:cubicBezTo>
                              <a:cubicBezTo>
                                <a:pt x="1123" y="13"/>
                                <a:pt x="1123" y="13"/>
                                <a:pt x="1123" y="13"/>
                              </a:cubicBezTo>
                              <a:cubicBezTo>
                                <a:pt x="1123" y="5"/>
                                <a:pt x="1126" y="2"/>
                                <a:pt x="1134" y="2"/>
                              </a:cubicBezTo>
                              <a:cubicBezTo>
                                <a:pt x="1223" y="2"/>
                                <a:pt x="1223" y="2"/>
                                <a:pt x="1223" y="2"/>
                              </a:cubicBezTo>
                              <a:cubicBezTo>
                                <a:pt x="1228" y="2"/>
                                <a:pt x="1231" y="4"/>
                                <a:pt x="1231" y="10"/>
                              </a:cubicBezTo>
                              <a:cubicBezTo>
                                <a:pt x="1231" y="15"/>
                                <a:pt x="1228" y="18"/>
                                <a:pt x="1223" y="18"/>
                              </a:cubicBezTo>
                              <a:cubicBezTo>
                                <a:pt x="1142" y="18"/>
                                <a:pt x="1142" y="18"/>
                                <a:pt x="1142" y="18"/>
                              </a:cubicBezTo>
                              <a:cubicBezTo>
                                <a:pt x="1142" y="77"/>
                                <a:pt x="1142" y="77"/>
                                <a:pt x="1142" y="77"/>
                              </a:cubicBezTo>
                              <a:cubicBezTo>
                                <a:pt x="1218" y="77"/>
                                <a:pt x="1218" y="77"/>
                                <a:pt x="1218" y="77"/>
                              </a:cubicBezTo>
                              <a:cubicBezTo>
                                <a:pt x="1223" y="77"/>
                                <a:pt x="1226" y="80"/>
                                <a:pt x="1226" y="85"/>
                              </a:cubicBezTo>
                              <a:cubicBezTo>
                                <a:pt x="1226" y="91"/>
                                <a:pt x="1223" y="93"/>
                                <a:pt x="1218" y="93"/>
                              </a:cubicBezTo>
                              <a:cubicBezTo>
                                <a:pt x="1142" y="93"/>
                                <a:pt x="1142" y="93"/>
                                <a:pt x="1142" y="93"/>
                              </a:cubicBezTo>
                              <a:cubicBezTo>
                                <a:pt x="1142" y="154"/>
                                <a:pt x="1142" y="154"/>
                                <a:pt x="1142" y="154"/>
                              </a:cubicBezTo>
                              <a:cubicBezTo>
                                <a:pt x="1223" y="154"/>
                                <a:pt x="1223" y="154"/>
                                <a:pt x="1223" y="154"/>
                              </a:cubicBezTo>
                              <a:cubicBezTo>
                                <a:pt x="1228" y="154"/>
                                <a:pt x="1231" y="157"/>
                                <a:pt x="1231" y="163"/>
                              </a:cubicBezTo>
                              <a:cubicBezTo>
                                <a:pt x="1231" y="168"/>
                                <a:pt x="1228" y="171"/>
                                <a:pt x="1223" y="171"/>
                              </a:cubicBezTo>
                              <a:lnTo>
                                <a:pt x="1134" y="171"/>
                              </a:lnTo>
                              <a:close/>
                              <a:moveTo>
                                <a:pt x="1260" y="173"/>
                              </a:moveTo>
                              <a:cubicBezTo>
                                <a:pt x="1254" y="173"/>
                                <a:pt x="1251" y="169"/>
                                <a:pt x="1251" y="163"/>
                              </a:cubicBezTo>
                              <a:cubicBezTo>
                                <a:pt x="1251" y="10"/>
                                <a:pt x="1251" y="10"/>
                                <a:pt x="1251" y="10"/>
                              </a:cubicBezTo>
                              <a:cubicBezTo>
                                <a:pt x="1251" y="3"/>
                                <a:pt x="1254" y="0"/>
                                <a:pt x="1259" y="0"/>
                              </a:cubicBezTo>
                              <a:cubicBezTo>
                                <a:pt x="1262" y="0"/>
                                <a:pt x="1264" y="0"/>
                                <a:pt x="1265" y="1"/>
                              </a:cubicBezTo>
                              <a:cubicBezTo>
                                <a:pt x="1266" y="2"/>
                                <a:pt x="1268" y="4"/>
                                <a:pt x="1269" y="6"/>
                              </a:cubicBezTo>
                              <a:cubicBezTo>
                                <a:pt x="1368" y="138"/>
                                <a:pt x="1368" y="138"/>
                                <a:pt x="1368" y="138"/>
                              </a:cubicBezTo>
                              <a:cubicBezTo>
                                <a:pt x="1368" y="10"/>
                                <a:pt x="1368" y="10"/>
                                <a:pt x="1368" y="10"/>
                              </a:cubicBezTo>
                              <a:cubicBezTo>
                                <a:pt x="1368" y="3"/>
                                <a:pt x="1371" y="0"/>
                                <a:pt x="1377" y="0"/>
                              </a:cubicBezTo>
                              <a:cubicBezTo>
                                <a:pt x="1383" y="0"/>
                                <a:pt x="1386" y="3"/>
                                <a:pt x="1386" y="10"/>
                              </a:cubicBezTo>
                              <a:cubicBezTo>
                                <a:pt x="1386" y="163"/>
                                <a:pt x="1386" y="163"/>
                                <a:pt x="1386" y="163"/>
                              </a:cubicBezTo>
                              <a:cubicBezTo>
                                <a:pt x="1386" y="169"/>
                                <a:pt x="1384" y="173"/>
                                <a:pt x="1378" y="173"/>
                              </a:cubicBezTo>
                              <a:cubicBezTo>
                                <a:pt x="1376" y="173"/>
                                <a:pt x="1374" y="172"/>
                                <a:pt x="1373" y="171"/>
                              </a:cubicBezTo>
                              <a:cubicBezTo>
                                <a:pt x="1371" y="170"/>
                                <a:pt x="1370" y="169"/>
                                <a:pt x="1368" y="167"/>
                              </a:cubicBezTo>
                              <a:cubicBezTo>
                                <a:pt x="1269" y="34"/>
                                <a:pt x="1269" y="34"/>
                                <a:pt x="1269" y="34"/>
                              </a:cubicBezTo>
                              <a:cubicBezTo>
                                <a:pt x="1269" y="163"/>
                                <a:pt x="1269" y="163"/>
                                <a:pt x="1269" y="163"/>
                              </a:cubicBezTo>
                              <a:cubicBezTo>
                                <a:pt x="1269" y="169"/>
                                <a:pt x="1266" y="173"/>
                                <a:pt x="1260" y="173"/>
                              </a:cubicBezTo>
                              <a:close/>
                              <a:moveTo>
                                <a:pt x="1468" y="173"/>
                              </a:moveTo>
                              <a:cubicBezTo>
                                <a:pt x="1461" y="173"/>
                                <a:pt x="1458" y="169"/>
                                <a:pt x="1458" y="162"/>
                              </a:cubicBezTo>
                              <a:cubicBezTo>
                                <a:pt x="1458" y="19"/>
                                <a:pt x="1458" y="19"/>
                                <a:pt x="1458" y="19"/>
                              </a:cubicBezTo>
                              <a:cubicBezTo>
                                <a:pt x="1404" y="19"/>
                                <a:pt x="1404" y="19"/>
                                <a:pt x="1404" y="19"/>
                              </a:cubicBezTo>
                              <a:cubicBezTo>
                                <a:pt x="1398" y="19"/>
                                <a:pt x="1395" y="16"/>
                                <a:pt x="1395" y="10"/>
                              </a:cubicBezTo>
                              <a:cubicBezTo>
                                <a:pt x="1395" y="5"/>
                                <a:pt x="1398" y="2"/>
                                <a:pt x="1404" y="2"/>
                              </a:cubicBezTo>
                              <a:cubicBezTo>
                                <a:pt x="1532" y="2"/>
                                <a:pt x="1532" y="2"/>
                                <a:pt x="1532" y="2"/>
                              </a:cubicBezTo>
                              <a:cubicBezTo>
                                <a:pt x="1538" y="2"/>
                                <a:pt x="1541" y="5"/>
                                <a:pt x="1541" y="10"/>
                              </a:cubicBezTo>
                              <a:cubicBezTo>
                                <a:pt x="1541" y="16"/>
                                <a:pt x="1538" y="19"/>
                                <a:pt x="1532" y="19"/>
                              </a:cubicBezTo>
                              <a:cubicBezTo>
                                <a:pt x="1478" y="19"/>
                                <a:pt x="1478" y="19"/>
                                <a:pt x="1478" y="19"/>
                              </a:cubicBezTo>
                              <a:cubicBezTo>
                                <a:pt x="1478" y="162"/>
                                <a:pt x="1478" y="162"/>
                                <a:pt x="1478" y="162"/>
                              </a:cubicBezTo>
                              <a:cubicBezTo>
                                <a:pt x="1478" y="169"/>
                                <a:pt x="1475" y="173"/>
                                <a:pt x="1468" y="173"/>
                              </a:cubicBezTo>
                              <a:close/>
                              <a:moveTo>
                                <a:pt x="68" y="381"/>
                              </a:moveTo>
                              <a:cubicBezTo>
                                <a:pt x="56" y="381"/>
                                <a:pt x="45" y="380"/>
                                <a:pt x="35" y="377"/>
                              </a:cubicBezTo>
                              <a:cubicBezTo>
                                <a:pt x="25" y="374"/>
                                <a:pt x="16" y="370"/>
                                <a:pt x="9" y="365"/>
                              </a:cubicBezTo>
                              <a:cubicBezTo>
                                <a:pt x="6" y="363"/>
                                <a:pt x="5" y="361"/>
                                <a:pt x="4" y="358"/>
                              </a:cubicBezTo>
                              <a:cubicBezTo>
                                <a:pt x="4" y="356"/>
                                <a:pt x="4" y="354"/>
                                <a:pt x="5" y="352"/>
                              </a:cubicBezTo>
                              <a:cubicBezTo>
                                <a:pt x="6" y="350"/>
                                <a:pt x="8" y="348"/>
                                <a:pt x="10" y="347"/>
                              </a:cubicBezTo>
                              <a:cubicBezTo>
                                <a:pt x="12" y="347"/>
                                <a:pt x="14" y="347"/>
                                <a:pt x="17" y="349"/>
                              </a:cubicBezTo>
                              <a:cubicBezTo>
                                <a:pt x="24" y="354"/>
                                <a:pt x="32" y="358"/>
                                <a:pt x="40" y="360"/>
                              </a:cubicBezTo>
                              <a:cubicBezTo>
                                <a:pt x="48" y="363"/>
                                <a:pt x="57" y="364"/>
                                <a:pt x="68" y="364"/>
                              </a:cubicBezTo>
                              <a:cubicBezTo>
                                <a:pt x="82" y="364"/>
                                <a:pt x="93" y="361"/>
                                <a:pt x="100" y="356"/>
                              </a:cubicBezTo>
                              <a:cubicBezTo>
                                <a:pt x="107" y="350"/>
                                <a:pt x="110" y="343"/>
                                <a:pt x="110" y="334"/>
                              </a:cubicBezTo>
                              <a:cubicBezTo>
                                <a:pt x="110" y="327"/>
                                <a:pt x="107" y="322"/>
                                <a:pt x="102" y="318"/>
                              </a:cubicBezTo>
                              <a:cubicBezTo>
                                <a:pt x="97" y="313"/>
                                <a:pt x="89" y="310"/>
                                <a:pt x="77" y="308"/>
                              </a:cubicBezTo>
                              <a:cubicBezTo>
                                <a:pt x="52" y="303"/>
                                <a:pt x="52" y="303"/>
                                <a:pt x="52" y="303"/>
                              </a:cubicBezTo>
                              <a:cubicBezTo>
                                <a:pt x="37" y="299"/>
                                <a:pt x="26" y="294"/>
                                <a:pt x="18" y="287"/>
                              </a:cubicBezTo>
                              <a:cubicBezTo>
                                <a:pt x="11" y="280"/>
                                <a:pt x="7" y="270"/>
                                <a:pt x="7" y="258"/>
                              </a:cubicBezTo>
                              <a:cubicBezTo>
                                <a:pt x="7" y="248"/>
                                <a:pt x="10" y="239"/>
                                <a:pt x="15" y="231"/>
                              </a:cubicBezTo>
                              <a:cubicBezTo>
                                <a:pt x="20" y="224"/>
                                <a:pt x="28" y="218"/>
                                <a:pt x="37" y="214"/>
                              </a:cubicBezTo>
                              <a:cubicBezTo>
                                <a:pt x="46" y="210"/>
                                <a:pt x="57" y="208"/>
                                <a:pt x="69" y="208"/>
                              </a:cubicBezTo>
                              <a:cubicBezTo>
                                <a:pt x="79" y="208"/>
                                <a:pt x="88" y="209"/>
                                <a:pt x="97" y="212"/>
                              </a:cubicBezTo>
                              <a:cubicBezTo>
                                <a:pt x="106" y="215"/>
                                <a:pt x="114" y="219"/>
                                <a:pt x="121" y="224"/>
                              </a:cubicBezTo>
                              <a:cubicBezTo>
                                <a:pt x="123" y="226"/>
                                <a:pt x="124" y="228"/>
                                <a:pt x="125" y="231"/>
                              </a:cubicBezTo>
                              <a:cubicBezTo>
                                <a:pt x="125" y="233"/>
                                <a:pt x="125" y="235"/>
                                <a:pt x="124" y="237"/>
                              </a:cubicBezTo>
                              <a:cubicBezTo>
                                <a:pt x="123" y="239"/>
                                <a:pt x="121" y="240"/>
                                <a:pt x="119" y="241"/>
                              </a:cubicBezTo>
                              <a:cubicBezTo>
                                <a:pt x="117" y="241"/>
                                <a:pt x="114" y="241"/>
                                <a:pt x="111" y="239"/>
                              </a:cubicBezTo>
                              <a:cubicBezTo>
                                <a:pt x="105" y="234"/>
                                <a:pt x="98" y="230"/>
                                <a:pt x="91" y="228"/>
                              </a:cubicBezTo>
                              <a:cubicBezTo>
                                <a:pt x="84" y="226"/>
                                <a:pt x="77" y="225"/>
                                <a:pt x="69" y="225"/>
                              </a:cubicBezTo>
                              <a:cubicBezTo>
                                <a:pt x="56" y="225"/>
                                <a:pt x="46" y="228"/>
                                <a:pt x="38" y="234"/>
                              </a:cubicBezTo>
                              <a:cubicBezTo>
                                <a:pt x="31" y="240"/>
                                <a:pt x="27" y="247"/>
                                <a:pt x="27" y="257"/>
                              </a:cubicBezTo>
                              <a:cubicBezTo>
                                <a:pt x="27" y="265"/>
                                <a:pt x="30" y="271"/>
                                <a:pt x="34" y="275"/>
                              </a:cubicBezTo>
                              <a:cubicBezTo>
                                <a:pt x="39" y="280"/>
                                <a:pt x="47" y="283"/>
                                <a:pt x="57" y="285"/>
                              </a:cubicBezTo>
                              <a:cubicBezTo>
                                <a:pt x="82" y="290"/>
                                <a:pt x="82" y="290"/>
                                <a:pt x="82" y="290"/>
                              </a:cubicBezTo>
                              <a:cubicBezTo>
                                <a:pt x="99" y="294"/>
                                <a:pt x="111" y="299"/>
                                <a:pt x="118" y="306"/>
                              </a:cubicBezTo>
                              <a:cubicBezTo>
                                <a:pt x="126" y="312"/>
                                <a:pt x="130" y="322"/>
                                <a:pt x="130" y="333"/>
                              </a:cubicBezTo>
                              <a:cubicBezTo>
                                <a:pt x="130" y="343"/>
                                <a:pt x="127" y="351"/>
                                <a:pt x="122" y="358"/>
                              </a:cubicBezTo>
                              <a:cubicBezTo>
                                <a:pt x="117" y="366"/>
                                <a:pt x="110" y="371"/>
                                <a:pt x="101" y="375"/>
                              </a:cubicBezTo>
                              <a:cubicBezTo>
                                <a:pt x="91" y="379"/>
                                <a:pt x="80" y="381"/>
                                <a:pt x="68" y="381"/>
                              </a:cubicBezTo>
                              <a:close/>
                              <a:moveTo>
                                <a:pt x="222" y="381"/>
                              </a:moveTo>
                              <a:cubicBezTo>
                                <a:pt x="205" y="381"/>
                                <a:pt x="191" y="378"/>
                                <a:pt x="179" y="371"/>
                              </a:cubicBezTo>
                              <a:cubicBezTo>
                                <a:pt x="167" y="364"/>
                                <a:pt x="158" y="354"/>
                                <a:pt x="152" y="341"/>
                              </a:cubicBezTo>
                              <a:cubicBezTo>
                                <a:pt x="146" y="328"/>
                                <a:pt x="142" y="312"/>
                                <a:pt x="142" y="294"/>
                              </a:cubicBezTo>
                              <a:cubicBezTo>
                                <a:pt x="142" y="277"/>
                                <a:pt x="146" y="261"/>
                                <a:pt x="152" y="248"/>
                              </a:cubicBezTo>
                              <a:cubicBezTo>
                                <a:pt x="158" y="235"/>
                                <a:pt x="167" y="225"/>
                                <a:pt x="179" y="218"/>
                              </a:cubicBezTo>
                              <a:cubicBezTo>
                                <a:pt x="191" y="211"/>
                                <a:pt x="205" y="208"/>
                                <a:pt x="222" y="208"/>
                              </a:cubicBezTo>
                              <a:cubicBezTo>
                                <a:pt x="232" y="208"/>
                                <a:pt x="241" y="209"/>
                                <a:pt x="250" y="212"/>
                              </a:cubicBezTo>
                              <a:cubicBezTo>
                                <a:pt x="259" y="215"/>
                                <a:pt x="267" y="219"/>
                                <a:pt x="273" y="224"/>
                              </a:cubicBezTo>
                              <a:cubicBezTo>
                                <a:pt x="276" y="226"/>
                                <a:pt x="278" y="228"/>
                                <a:pt x="278" y="231"/>
                              </a:cubicBezTo>
                              <a:cubicBezTo>
                                <a:pt x="279" y="233"/>
                                <a:pt x="278" y="236"/>
                                <a:pt x="277" y="238"/>
                              </a:cubicBezTo>
                              <a:cubicBezTo>
                                <a:pt x="276" y="240"/>
                                <a:pt x="274" y="241"/>
                                <a:pt x="271" y="242"/>
                              </a:cubicBezTo>
                              <a:cubicBezTo>
                                <a:pt x="269" y="242"/>
                                <a:pt x="266" y="241"/>
                                <a:pt x="264" y="239"/>
                              </a:cubicBezTo>
                              <a:cubicBezTo>
                                <a:pt x="252" y="230"/>
                                <a:pt x="238" y="226"/>
                                <a:pt x="222" y="226"/>
                              </a:cubicBezTo>
                              <a:cubicBezTo>
                                <a:pt x="203" y="226"/>
                                <a:pt x="189" y="232"/>
                                <a:pt x="179" y="244"/>
                              </a:cubicBezTo>
                              <a:cubicBezTo>
                                <a:pt x="169" y="256"/>
                                <a:pt x="164" y="273"/>
                                <a:pt x="164" y="294"/>
                              </a:cubicBezTo>
                              <a:cubicBezTo>
                                <a:pt x="164" y="316"/>
                                <a:pt x="169" y="333"/>
                                <a:pt x="179" y="345"/>
                              </a:cubicBezTo>
                              <a:cubicBezTo>
                                <a:pt x="189" y="357"/>
                                <a:pt x="203" y="363"/>
                                <a:pt x="222" y="363"/>
                              </a:cubicBezTo>
                              <a:cubicBezTo>
                                <a:pt x="238" y="363"/>
                                <a:pt x="252" y="359"/>
                                <a:pt x="264" y="349"/>
                              </a:cubicBezTo>
                              <a:cubicBezTo>
                                <a:pt x="267" y="347"/>
                                <a:pt x="270" y="347"/>
                                <a:pt x="272" y="347"/>
                              </a:cubicBezTo>
                              <a:cubicBezTo>
                                <a:pt x="274" y="348"/>
                                <a:pt x="276" y="349"/>
                                <a:pt x="277" y="351"/>
                              </a:cubicBezTo>
                              <a:cubicBezTo>
                                <a:pt x="278" y="353"/>
                                <a:pt x="279" y="355"/>
                                <a:pt x="278" y="357"/>
                              </a:cubicBezTo>
                              <a:cubicBezTo>
                                <a:pt x="278" y="360"/>
                                <a:pt x="277" y="362"/>
                                <a:pt x="274" y="364"/>
                              </a:cubicBezTo>
                              <a:cubicBezTo>
                                <a:pt x="268" y="369"/>
                                <a:pt x="260" y="374"/>
                                <a:pt x="251" y="377"/>
                              </a:cubicBezTo>
                              <a:cubicBezTo>
                                <a:pt x="242" y="380"/>
                                <a:pt x="232" y="381"/>
                                <a:pt x="222" y="381"/>
                              </a:cubicBezTo>
                              <a:close/>
                              <a:moveTo>
                                <a:pt x="308" y="381"/>
                              </a:moveTo>
                              <a:cubicBezTo>
                                <a:pt x="302" y="381"/>
                                <a:pt x="298" y="377"/>
                                <a:pt x="298" y="370"/>
                              </a:cubicBezTo>
                              <a:cubicBezTo>
                                <a:pt x="298" y="218"/>
                                <a:pt x="298" y="218"/>
                                <a:pt x="298" y="218"/>
                              </a:cubicBezTo>
                              <a:cubicBezTo>
                                <a:pt x="298" y="212"/>
                                <a:pt x="302" y="208"/>
                                <a:pt x="308" y="208"/>
                              </a:cubicBezTo>
                              <a:cubicBezTo>
                                <a:pt x="315" y="208"/>
                                <a:pt x="318" y="212"/>
                                <a:pt x="318" y="218"/>
                              </a:cubicBezTo>
                              <a:cubicBezTo>
                                <a:pt x="318" y="285"/>
                                <a:pt x="318" y="285"/>
                                <a:pt x="318" y="285"/>
                              </a:cubicBezTo>
                              <a:cubicBezTo>
                                <a:pt x="420" y="285"/>
                                <a:pt x="420" y="285"/>
                                <a:pt x="420" y="285"/>
                              </a:cubicBezTo>
                              <a:cubicBezTo>
                                <a:pt x="420" y="218"/>
                                <a:pt x="420" y="218"/>
                                <a:pt x="420" y="218"/>
                              </a:cubicBezTo>
                              <a:cubicBezTo>
                                <a:pt x="420" y="212"/>
                                <a:pt x="423" y="208"/>
                                <a:pt x="429" y="208"/>
                              </a:cubicBezTo>
                              <a:cubicBezTo>
                                <a:pt x="436" y="208"/>
                                <a:pt x="439" y="212"/>
                                <a:pt x="439" y="218"/>
                              </a:cubicBezTo>
                              <a:cubicBezTo>
                                <a:pt x="439" y="370"/>
                                <a:pt x="439" y="370"/>
                                <a:pt x="439" y="370"/>
                              </a:cubicBezTo>
                              <a:cubicBezTo>
                                <a:pt x="439" y="377"/>
                                <a:pt x="436" y="381"/>
                                <a:pt x="429" y="381"/>
                              </a:cubicBezTo>
                              <a:cubicBezTo>
                                <a:pt x="423" y="381"/>
                                <a:pt x="420" y="377"/>
                                <a:pt x="420" y="370"/>
                              </a:cubicBezTo>
                              <a:cubicBezTo>
                                <a:pt x="420" y="302"/>
                                <a:pt x="420" y="302"/>
                                <a:pt x="420" y="302"/>
                              </a:cubicBezTo>
                              <a:cubicBezTo>
                                <a:pt x="318" y="302"/>
                                <a:pt x="318" y="302"/>
                                <a:pt x="318" y="302"/>
                              </a:cubicBezTo>
                              <a:cubicBezTo>
                                <a:pt x="318" y="370"/>
                                <a:pt x="318" y="370"/>
                                <a:pt x="318" y="370"/>
                              </a:cubicBezTo>
                              <a:cubicBezTo>
                                <a:pt x="318" y="377"/>
                                <a:pt x="315" y="381"/>
                                <a:pt x="308" y="381"/>
                              </a:cubicBezTo>
                              <a:close/>
                              <a:moveTo>
                                <a:pt x="540" y="381"/>
                              </a:moveTo>
                              <a:cubicBezTo>
                                <a:pt x="525" y="381"/>
                                <a:pt x="511" y="378"/>
                                <a:pt x="499" y="370"/>
                              </a:cubicBezTo>
                              <a:cubicBezTo>
                                <a:pt x="488" y="363"/>
                                <a:pt x="479" y="353"/>
                                <a:pt x="473" y="340"/>
                              </a:cubicBezTo>
                              <a:cubicBezTo>
                                <a:pt x="466" y="327"/>
                                <a:pt x="463" y="312"/>
                                <a:pt x="463" y="294"/>
                              </a:cubicBezTo>
                              <a:cubicBezTo>
                                <a:pt x="463" y="277"/>
                                <a:pt x="466" y="261"/>
                                <a:pt x="472" y="248"/>
                              </a:cubicBezTo>
                              <a:cubicBezTo>
                                <a:pt x="479" y="235"/>
                                <a:pt x="488" y="225"/>
                                <a:pt x="499" y="218"/>
                              </a:cubicBezTo>
                              <a:cubicBezTo>
                                <a:pt x="511" y="211"/>
                                <a:pt x="524" y="208"/>
                                <a:pt x="540" y="208"/>
                              </a:cubicBezTo>
                              <a:cubicBezTo>
                                <a:pt x="556" y="208"/>
                                <a:pt x="570" y="211"/>
                                <a:pt x="582" y="218"/>
                              </a:cubicBezTo>
                              <a:cubicBezTo>
                                <a:pt x="593" y="225"/>
                                <a:pt x="602" y="235"/>
                                <a:pt x="609" y="248"/>
                              </a:cubicBezTo>
                              <a:cubicBezTo>
                                <a:pt x="615" y="261"/>
                                <a:pt x="618" y="276"/>
                                <a:pt x="618" y="294"/>
                              </a:cubicBezTo>
                              <a:cubicBezTo>
                                <a:pt x="618" y="312"/>
                                <a:pt x="615" y="327"/>
                                <a:pt x="608" y="340"/>
                              </a:cubicBezTo>
                              <a:cubicBezTo>
                                <a:pt x="602" y="353"/>
                                <a:pt x="593" y="363"/>
                                <a:pt x="581" y="370"/>
                              </a:cubicBezTo>
                              <a:cubicBezTo>
                                <a:pt x="570" y="378"/>
                                <a:pt x="556" y="381"/>
                                <a:pt x="540" y="381"/>
                              </a:cubicBezTo>
                              <a:close/>
                              <a:moveTo>
                                <a:pt x="540" y="364"/>
                              </a:moveTo>
                              <a:cubicBezTo>
                                <a:pt x="558" y="364"/>
                                <a:pt x="572" y="358"/>
                                <a:pt x="582" y="345"/>
                              </a:cubicBezTo>
                              <a:cubicBezTo>
                                <a:pt x="592" y="333"/>
                                <a:pt x="597" y="316"/>
                                <a:pt x="597" y="294"/>
                              </a:cubicBezTo>
                              <a:cubicBezTo>
                                <a:pt x="597" y="272"/>
                                <a:pt x="592" y="255"/>
                                <a:pt x="582" y="243"/>
                              </a:cubicBezTo>
                              <a:cubicBezTo>
                                <a:pt x="572" y="231"/>
                                <a:pt x="558" y="225"/>
                                <a:pt x="540" y="225"/>
                              </a:cubicBezTo>
                              <a:cubicBezTo>
                                <a:pt x="523" y="225"/>
                                <a:pt x="509" y="231"/>
                                <a:pt x="499" y="243"/>
                              </a:cubicBezTo>
                              <a:cubicBezTo>
                                <a:pt x="489" y="255"/>
                                <a:pt x="484" y="272"/>
                                <a:pt x="484" y="294"/>
                              </a:cubicBezTo>
                              <a:cubicBezTo>
                                <a:pt x="484" y="316"/>
                                <a:pt x="489" y="333"/>
                                <a:pt x="499" y="345"/>
                              </a:cubicBezTo>
                              <a:cubicBezTo>
                                <a:pt x="509" y="358"/>
                                <a:pt x="523" y="364"/>
                                <a:pt x="540" y="364"/>
                              </a:cubicBezTo>
                              <a:close/>
                              <a:moveTo>
                                <a:pt x="713" y="381"/>
                              </a:moveTo>
                              <a:cubicBezTo>
                                <a:pt x="697" y="381"/>
                                <a:pt x="683" y="378"/>
                                <a:pt x="672" y="370"/>
                              </a:cubicBezTo>
                              <a:cubicBezTo>
                                <a:pt x="660" y="363"/>
                                <a:pt x="651" y="353"/>
                                <a:pt x="645" y="340"/>
                              </a:cubicBezTo>
                              <a:cubicBezTo>
                                <a:pt x="639" y="327"/>
                                <a:pt x="635" y="312"/>
                                <a:pt x="635" y="294"/>
                              </a:cubicBezTo>
                              <a:cubicBezTo>
                                <a:pt x="635" y="277"/>
                                <a:pt x="638" y="261"/>
                                <a:pt x="645" y="248"/>
                              </a:cubicBezTo>
                              <a:cubicBezTo>
                                <a:pt x="651" y="235"/>
                                <a:pt x="660" y="225"/>
                                <a:pt x="671" y="218"/>
                              </a:cubicBezTo>
                              <a:cubicBezTo>
                                <a:pt x="683" y="211"/>
                                <a:pt x="697" y="208"/>
                                <a:pt x="713" y="208"/>
                              </a:cubicBezTo>
                              <a:cubicBezTo>
                                <a:pt x="729" y="208"/>
                                <a:pt x="742" y="211"/>
                                <a:pt x="754" y="218"/>
                              </a:cubicBezTo>
                              <a:cubicBezTo>
                                <a:pt x="766" y="225"/>
                                <a:pt x="775" y="235"/>
                                <a:pt x="781" y="248"/>
                              </a:cubicBezTo>
                              <a:cubicBezTo>
                                <a:pt x="787" y="261"/>
                                <a:pt x="790" y="276"/>
                                <a:pt x="790" y="294"/>
                              </a:cubicBezTo>
                              <a:cubicBezTo>
                                <a:pt x="790" y="312"/>
                                <a:pt x="787" y="327"/>
                                <a:pt x="781" y="340"/>
                              </a:cubicBezTo>
                              <a:cubicBezTo>
                                <a:pt x="774" y="353"/>
                                <a:pt x="765" y="363"/>
                                <a:pt x="754" y="370"/>
                              </a:cubicBezTo>
                              <a:cubicBezTo>
                                <a:pt x="742" y="378"/>
                                <a:pt x="728" y="381"/>
                                <a:pt x="713" y="381"/>
                              </a:cubicBezTo>
                              <a:close/>
                              <a:moveTo>
                                <a:pt x="713" y="364"/>
                              </a:moveTo>
                              <a:cubicBezTo>
                                <a:pt x="731" y="364"/>
                                <a:pt x="745" y="358"/>
                                <a:pt x="755" y="345"/>
                              </a:cubicBezTo>
                              <a:cubicBezTo>
                                <a:pt x="765" y="333"/>
                                <a:pt x="770" y="316"/>
                                <a:pt x="770" y="294"/>
                              </a:cubicBezTo>
                              <a:cubicBezTo>
                                <a:pt x="770" y="272"/>
                                <a:pt x="765" y="255"/>
                                <a:pt x="755" y="243"/>
                              </a:cubicBezTo>
                              <a:cubicBezTo>
                                <a:pt x="745" y="231"/>
                                <a:pt x="731" y="225"/>
                                <a:pt x="713" y="225"/>
                              </a:cubicBezTo>
                              <a:cubicBezTo>
                                <a:pt x="695" y="225"/>
                                <a:pt x="681" y="231"/>
                                <a:pt x="671" y="243"/>
                              </a:cubicBezTo>
                              <a:cubicBezTo>
                                <a:pt x="661" y="255"/>
                                <a:pt x="656" y="272"/>
                                <a:pt x="656" y="294"/>
                              </a:cubicBezTo>
                              <a:cubicBezTo>
                                <a:pt x="656" y="316"/>
                                <a:pt x="661" y="333"/>
                                <a:pt x="671" y="345"/>
                              </a:cubicBezTo>
                              <a:cubicBezTo>
                                <a:pt x="681" y="358"/>
                                <a:pt x="695" y="364"/>
                                <a:pt x="713" y="364"/>
                              </a:cubicBezTo>
                              <a:close/>
                              <a:moveTo>
                                <a:pt x="824" y="379"/>
                              </a:moveTo>
                              <a:cubicBezTo>
                                <a:pt x="817" y="379"/>
                                <a:pt x="814" y="376"/>
                                <a:pt x="814" y="369"/>
                              </a:cubicBezTo>
                              <a:cubicBezTo>
                                <a:pt x="814" y="219"/>
                                <a:pt x="814" y="219"/>
                                <a:pt x="814" y="219"/>
                              </a:cubicBezTo>
                              <a:cubicBezTo>
                                <a:pt x="814" y="212"/>
                                <a:pt x="817" y="209"/>
                                <a:pt x="824" y="209"/>
                              </a:cubicBezTo>
                              <a:cubicBezTo>
                                <a:pt x="830" y="209"/>
                                <a:pt x="833" y="212"/>
                                <a:pt x="833" y="219"/>
                              </a:cubicBezTo>
                              <a:cubicBezTo>
                                <a:pt x="833" y="362"/>
                                <a:pt x="833" y="362"/>
                                <a:pt x="833" y="362"/>
                              </a:cubicBezTo>
                              <a:cubicBezTo>
                                <a:pt x="912" y="362"/>
                                <a:pt x="912" y="362"/>
                                <a:pt x="912" y="362"/>
                              </a:cubicBezTo>
                              <a:cubicBezTo>
                                <a:pt x="918" y="362"/>
                                <a:pt x="921" y="365"/>
                                <a:pt x="921" y="370"/>
                              </a:cubicBezTo>
                              <a:cubicBezTo>
                                <a:pt x="921" y="376"/>
                                <a:pt x="918" y="379"/>
                                <a:pt x="912" y="379"/>
                              </a:cubicBezTo>
                              <a:lnTo>
                                <a:pt x="824" y="379"/>
                              </a:lnTo>
                              <a:close/>
                              <a:moveTo>
                                <a:pt x="983" y="381"/>
                              </a:moveTo>
                              <a:cubicBezTo>
                                <a:pt x="971" y="381"/>
                                <a:pt x="960" y="380"/>
                                <a:pt x="950" y="377"/>
                              </a:cubicBezTo>
                              <a:cubicBezTo>
                                <a:pt x="940" y="374"/>
                                <a:pt x="931" y="370"/>
                                <a:pt x="924" y="365"/>
                              </a:cubicBezTo>
                              <a:cubicBezTo>
                                <a:pt x="921" y="363"/>
                                <a:pt x="920" y="361"/>
                                <a:pt x="919" y="358"/>
                              </a:cubicBezTo>
                              <a:cubicBezTo>
                                <a:pt x="919" y="356"/>
                                <a:pt x="919" y="354"/>
                                <a:pt x="920" y="352"/>
                              </a:cubicBezTo>
                              <a:cubicBezTo>
                                <a:pt x="921" y="350"/>
                                <a:pt x="923" y="348"/>
                                <a:pt x="925" y="347"/>
                              </a:cubicBezTo>
                              <a:cubicBezTo>
                                <a:pt x="927" y="347"/>
                                <a:pt x="929" y="347"/>
                                <a:pt x="932" y="349"/>
                              </a:cubicBezTo>
                              <a:cubicBezTo>
                                <a:pt x="939" y="354"/>
                                <a:pt x="947" y="358"/>
                                <a:pt x="955" y="360"/>
                              </a:cubicBezTo>
                              <a:cubicBezTo>
                                <a:pt x="963" y="363"/>
                                <a:pt x="972" y="364"/>
                                <a:pt x="983" y="364"/>
                              </a:cubicBezTo>
                              <a:cubicBezTo>
                                <a:pt x="997" y="364"/>
                                <a:pt x="1008" y="361"/>
                                <a:pt x="1015" y="356"/>
                              </a:cubicBezTo>
                              <a:cubicBezTo>
                                <a:pt x="1022" y="350"/>
                                <a:pt x="1025" y="343"/>
                                <a:pt x="1025" y="334"/>
                              </a:cubicBezTo>
                              <a:cubicBezTo>
                                <a:pt x="1025" y="327"/>
                                <a:pt x="1023" y="322"/>
                                <a:pt x="1018" y="318"/>
                              </a:cubicBezTo>
                              <a:cubicBezTo>
                                <a:pt x="1013" y="313"/>
                                <a:pt x="1004" y="310"/>
                                <a:pt x="992" y="308"/>
                              </a:cubicBezTo>
                              <a:cubicBezTo>
                                <a:pt x="967" y="303"/>
                                <a:pt x="967" y="303"/>
                                <a:pt x="967" y="303"/>
                              </a:cubicBezTo>
                              <a:cubicBezTo>
                                <a:pt x="952" y="299"/>
                                <a:pt x="941" y="294"/>
                                <a:pt x="934" y="287"/>
                              </a:cubicBezTo>
                              <a:cubicBezTo>
                                <a:pt x="926" y="280"/>
                                <a:pt x="922" y="270"/>
                                <a:pt x="922" y="258"/>
                              </a:cubicBezTo>
                              <a:cubicBezTo>
                                <a:pt x="922" y="248"/>
                                <a:pt x="925" y="239"/>
                                <a:pt x="930" y="231"/>
                              </a:cubicBezTo>
                              <a:cubicBezTo>
                                <a:pt x="935" y="224"/>
                                <a:pt x="943" y="218"/>
                                <a:pt x="952" y="214"/>
                              </a:cubicBezTo>
                              <a:cubicBezTo>
                                <a:pt x="961" y="210"/>
                                <a:pt x="972" y="208"/>
                                <a:pt x="984" y="208"/>
                              </a:cubicBezTo>
                              <a:cubicBezTo>
                                <a:pt x="994" y="208"/>
                                <a:pt x="1004" y="209"/>
                                <a:pt x="1012" y="212"/>
                              </a:cubicBezTo>
                              <a:cubicBezTo>
                                <a:pt x="1021" y="215"/>
                                <a:pt x="1029" y="219"/>
                                <a:pt x="1036" y="224"/>
                              </a:cubicBezTo>
                              <a:cubicBezTo>
                                <a:pt x="1038" y="226"/>
                                <a:pt x="1039" y="228"/>
                                <a:pt x="1040" y="231"/>
                              </a:cubicBezTo>
                              <a:cubicBezTo>
                                <a:pt x="1040" y="233"/>
                                <a:pt x="1040" y="235"/>
                                <a:pt x="1039" y="237"/>
                              </a:cubicBezTo>
                              <a:cubicBezTo>
                                <a:pt x="1038" y="239"/>
                                <a:pt x="1036" y="240"/>
                                <a:pt x="1034" y="241"/>
                              </a:cubicBezTo>
                              <a:cubicBezTo>
                                <a:pt x="1032" y="241"/>
                                <a:pt x="1029" y="241"/>
                                <a:pt x="1027" y="239"/>
                              </a:cubicBezTo>
                              <a:cubicBezTo>
                                <a:pt x="1020" y="234"/>
                                <a:pt x="1013" y="230"/>
                                <a:pt x="1007" y="228"/>
                              </a:cubicBezTo>
                              <a:cubicBezTo>
                                <a:pt x="1000" y="226"/>
                                <a:pt x="992" y="225"/>
                                <a:pt x="984" y="225"/>
                              </a:cubicBezTo>
                              <a:cubicBezTo>
                                <a:pt x="971" y="225"/>
                                <a:pt x="961" y="228"/>
                                <a:pt x="954" y="234"/>
                              </a:cubicBezTo>
                              <a:cubicBezTo>
                                <a:pt x="946" y="240"/>
                                <a:pt x="942" y="247"/>
                                <a:pt x="942" y="257"/>
                              </a:cubicBezTo>
                              <a:cubicBezTo>
                                <a:pt x="942" y="265"/>
                                <a:pt x="945" y="271"/>
                                <a:pt x="949" y="275"/>
                              </a:cubicBezTo>
                              <a:cubicBezTo>
                                <a:pt x="954" y="280"/>
                                <a:pt x="962" y="283"/>
                                <a:pt x="973" y="285"/>
                              </a:cubicBezTo>
                              <a:cubicBezTo>
                                <a:pt x="998" y="290"/>
                                <a:pt x="998" y="290"/>
                                <a:pt x="998" y="290"/>
                              </a:cubicBezTo>
                              <a:cubicBezTo>
                                <a:pt x="1014" y="294"/>
                                <a:pt x="1026" y="299"/>
                                <a:pt x="1033" y="306"/>
                              </a:cubicBezTo>
                              <a:cubicBezTo>
                                <a:pt x="1041" y="312"/>
                                <a:pt x="1045" y="322"/>
                                <a:pt x="1045" y="333"/>
                              </a:cubicBezTo>
                              <a:cubicBezTo>
                                <a:pt x="1045" y="343"/>
                                <a:pt x="1043" y="351"/>
                                <a:pt x="1037" y="358"/>
                              </a:cubicBezTo>
                              <a:cubicBezTo>
                                <a:pt x="1032" y="366"/>
                                <a:pt x="1025" y="371"/>
                                <a:pt x="1016" y="375"/>
                              </a:cubicBezTo>
                              <a:cubicBezTo>
                                <a:pt x="1007" y="379"/>
                                <a:pt x="995" y="381"/>
                                <a:pt x="983" y="381"/>
                              </a:cubicBezTo>
                              <a:close/>
                              <a:moveTo>
                                <a:pt x="9" y="589"/>
                              </a:moveTo>
                              <a:cubicBezTo>
                                <a:pt x="5" y="589"/>
                                <a:pt x="3" y="587"/>
                                <a:pt x="1" y="585"/>
                              </a:cubicBezTo>
                              <a:cubicBezTo>
                                <a:pt x="0" y="582"/>
                                <a:pt x="0" y="579"/>
                                <a:pt x="2" y="575"/>
                              </a:cubicBezTo>
                              <a:cubicBezTo>
                                <a:pt x="68" y="425"/>
                                <a:pt x="68" y="425"/>
                                <a:pt x="68" y="425"/>
                              </a:cubicBezTo>
                              <a:cubicBezTo>
                                <a:pt x="70" y="419"/>
                                <a:pt x="74" y="416"/>
                                <a:pt x="80" y="416"/>
                              </a:cubicBezTo>
                              <a:cubicBezTo>
                                <a:pt x="82" y="416"/>
                                <a:pt x="84" y="417"/>
                                <a:pt x="86" y="418"/>
                              </a:cubicBezTo>
                              <a:cubicBezTo>
                                <a:pt x="88" y="420"/>
                                <a:pt x="90" y="422"/>
                                <a:pt x="91" y="425"/>
                              </a:cubicBezTo>
                              <a:cubicBezTo>
                                <a:pt x="157" y="575"/>
                                <a:pt x="157" y="575"/>
                                <a:pt x="157" y="575"/>
                              </a:cubicBezTo>
                              <a:cubicBezTo>
                                <a:pt x="159" y="579"/>
                                <a:pt x="159" y="582"/>
                                <a:pt x="158" y="585"/>
                              </a:cubicBezTo>
                              <a:cubicBezTo>
                                <a:pt x="157" y="587"/>
                                <a:pt x="154" y="589"/>
                                <a:pt x="150" y="589"/>
                              </a:cubicBezTo>
                              <a:cubicBezTo>
                                <a:pt x="147" y="589"/>
                                <a:pt x="145" y="588"/>
                                <a:pt x="143" y="586"/>
                              </a:cubicBezTo>
                              <a:cubicBezTo>
                                <a:pt x="142" y="585"/>
                                <a:pt x="140" y="583"/>
                                <a:pt x="139" y="580"/>
                              </a:cubicBezTo>
                              <a:cubicBezTo>
                                <a:pt x="123" y="544"/>
                                <a:pt x="123" y="544"/>
                                <a:pt x="123" y="544"/>
                              </a:cubicBezTo>
                              <a:cubicBezTo>
                                <a:pt x="35" y="544"/>
                                <a:pt x="35" y="544"/>
                                <a:pt x="35" y="544"/>
                              </a:cubicBezTo>
                              <a:cubicBezTo>
                                <a:pt x="20" y="580"/>
                                <a:pt x="20" y="580"/>
                                <a:pt x="20" y="580"/>
                              </a:cubicBezTo>
                              <a:cubicBezTo>
                                <a:pt x="17" y="586"/>
                                <a:pt x="14" y="589"/>
                                <a:pt x="9" y="589"/>
                              </a:cubicBezTo>
                              <a:close/>
                              <a:moveTo>
                                <a:pt x="79" y="441"/>
                              </a:moveTo>
                              <a:cubicBezTo>
                                <a:pt x="43" y="527"/>
                                <a:pt x="43" y="527"/>
                                <a:pt x="43" y="527"/>
                              </a:cubicBezTo>
                              <a:cubicBezTo>
                                <a:pt x="116" y="527"/>
                                <a:pt x="116" y="527"/>
                                <a:pt x="116" y="527"/>
                              </a:cubicBezTo>
                              <a:cubicBezTo>
                                <a:pt x="80" y="441"/>
                                <a:pt x="80" y="441"/>
                                <a:pt x="80" y="441"/>
                              </a:cubicBezTo>
                              <a:lnTo>
                                <a:pt x="79" y="441"/>
                              </a:lnTo>
                              <a:close/>
                              <a:moveTo>
                                <a:pt x="231" y="589"/>
                              </a:moveTo>
                              <a:cubicBezTo>
                                <a:pt x="208" y="589"/>
                                <a:pt x="192" y="583"/>
                                <a:pt x="180" y="572"/>
                              </a:cubicBezTo>
                              <a:cubicBezTo>
                                <a:pt x="169" y="560"/>
                                <a:pt x="163" y="543"/>
                                <a:pt x="163" y="520"/>
                              </a:cubicBezTo>
                              <a:cubicBezTo>
                                <a:pt x="163" y="426"/>
                                <a:pt x="163" y="426"/>
                                <a:pt x="163" y="426"/>
                              </a:cubicBezTo>
                              <a:cubicBezTo>
                                <a:pt x="163" y="420"/>
                                <a:pt x="166" y="416"/>
                                <a:pt x="173" y="416"/>
                              </a:cubicBezTo>
                              <a:cubicBezTo>
                                <a:pt x="179" y="416"/>
                                <a:pt x="182" y="420"/>
                                <a:pt x="182" y="426"/>
                              </a:cubicBezTo>
                              <a:cubicBezTo>
                                <a:pt x="182" y="519"/>
                                <a:pt x="182" y="519"/>
                                <a:pt x="182" y="519"/>
                              </a:cubicBezTo>
                              <a:cubicBezTo>
                                <a:pt x="182" y="554"/>
                                <a:pt x="199" y="572"/>
                                <a:pt x="231" y="572"/>
                              </a:cubicBezTo>
                              <a:cubicBezTo>
                                <a:pt x="263" y="572"/>
                                <a:pt x="278" y="554"/>
                                <a:pt x="278" y="519"/>
                              </a:cubicBezTo>
                              <a:cubicBezTo>
                                <a:pt x="278" y="426"/>
                                <a:pt x="278" y="426"/>
                                <a:pt x="278" y="426"/>
                              </a:cubicBezTo>
                              <a:cubicBezTo>
                                <a:pt x="278" y="420"/>
                                <a:pt x="282" y="416"/>
                                <a:pt x="289" y="416"/>
                              </a:cubicBezTo>
                              <a:cubicBezTo>
                                <a:pt x="295" y="416"/>
                                <a:pt x="298" y="420"/>
                                <a:pt x="298" y="426"/>
                              </a:cubicBezTo>
                              <a:cubicBezTo>
                                <a:pt x="298" y="520"/>
                                <a:pt x="298" y="520"/>
                                <a:pt x="298" y="520"/>
                              </a:cubicBezTo>
                              <a:cubicBezTo>
                                <a:pt x="298" y="543"/>
                                <a:pt x="292" y="560"/>
                                <a:pt x="281" y="572"/>
                              </a:cubicBezTo>
                              <a:cubicBezTo>
                                <a:pt x="270" y="583"/>
                                <a:pt x="253" y="589"/>
                                <a:pt x="231" y="589"/>
                              </a:cubicBezTo>
                              <a:close/>
                              <a:moveTo>
                                <a:pt x="381" y="589"/>
                              </a:moveTo>
                              <a:cubicBezTo>
                                <a:pt x="370" y="589"/>
                                <a:pt x="359" y="588"/>
                                <a:pt x="349" y="585"/>
                              </a:cubicBezTo>
                              <a:cubicBezTo>
                                <a:pt x="339" y="582"/>
                                <a:pt x="330" y="578"/>
                                <a:pt x="323" y="573"/>
                              </a:cubicBezTo>
                              <a:cubicBezTo>
                                <a:pt x="320" y="571"/>
                                <a:pt x="319" y="569"/>
                                <a:pt x="318" y="566"/>
                              </a:cubicBezTo>
                              <a:cubicBezTo>
                                <a:pt x="318" y="564"/>
                                <a:pt x="318" y="562"/>
                                <a:pt x="319" y="560"/>
                              </a:cubicBezTo>
                              <a:cubicBezTo>
                                <a:pt x="320" y="558"/>
                                <a:pt x="322" y="556"/>
                                <a:pt x="324" y="556"/>
                              </a:cubicBezTo>
                              <a:cubicBezTo>
                                <a:pt x="326" y="555"/>
                                <a:pt x="328" y="555"/>
                                <a:pt x="331" y="557"/>
                              </a:cubicBezTo>
                              <a:cubicBezTo>
                                <a:pt x="338" y="562"/>
                                <a:pt x="346" y="566"/>
                                <a:pt x="354" y="568"/>
                              </a:cubicBezTo>
                              <a:cubicBezTo>
                                <a:pt x="362" y="571"/>
                                <a:pt x="371" y="572"/>
                                <a:pt x="381" y="572"/>
                              </a:cubicBezTo>
                              <a:cubicBezTo>
                                <a:pt x="396" y="572"/>
                                <a:pt x="407" y="569"/>
                                <a:pt x="413" y="564"/>
                              </a:cubicBezTo>
                              <a:cubicBezTo>
                                <a:pt x="420" y="558"/>
                                <a:pt x="424" y="551"/>
                                <a:pt x="424" y="542"/>
                              </a:cubicBezTo>
                              <a:cubicBezTo>
                                <a:pt x="424" y="535"/>
                                <a:pt x="421" y="530"/>
                                <a:pt x="416" y="526"/>
                              </a:cubicBezTo>
                              <a:cubicBezTo>
                                <a:pt x="411" y="521"/>
                                <a:pt x="403" y="518"/>
                                <a:pt x="391" y="516"/>
                              </a:cubicBezTo>
                              <a:cubicBezTo>
                                <a:pt x="366" y="511"/>
                                <a:pt x="366" y="511"/>
                                <a:pt x="366" y="511"/>
                              </a:cubicBezTo>
                              <a:cubicBezTo>
                                <a:pt x="351" y="508"/>
                                <a:pt x="340" y="502"/>
                                <a:pt x="332" y="495"/>
                              </a:cubicBezTo>
                              <a:cubicBezTo>
                                <a:pt x="325" y="488"/>
                                <a:pt x="321" y="478"/>
                                <a:pt x="321" y="466"/>
                              </a:cubicBezTo>
                              <a:cubicBezTo>
                                <a:pt x="321" y="456"/>
                                <a:pt x="324" y="447"/>
                                <a:pt x="329" y="439"/>
                              </a:cubicBezTo>
                              <a:cubicBezTo>
                                <a:pt x="334" y="432"/>
                                <a:pt x="341" y="426"/>
                                <a:pt x="351" y="422"/>
                              </a:cubicBezTo>
                              <a:cubicBezTo>
                                <a:pt x="360" y="418"/>
                                <a:pt x="371" y="416"/>
                                <a:pt x="383" y="416"/>
                              </a:cubicBezTo>
                              <a:cubicBezTo>
                                <a:pt x="393" y="416"/>
                                <a:pt x="402" y="417"/>
                                <a:pt x="411" y="420"/>
                              </a:cubicBezTo>
                              <a:cubicBezTo>
                                <a:pt x="420" y="423"/>
                                <a:pt x="428" y="427"/>
                                <a:pt x="435" y="433"/>
                              </a:cubicBezTo>
                              <a:cubicBezTo>
                                <a:pt x="437" y="434"/>
                                <a:pt x="438" y="436"/>
                                <a:pt x="439" y="439"/>
                              </a:cubicBezTo>
                              <a:cubicBezTo>
                                <a:pt x="439" y="441"/>
                                <a:pt x="439" y="443"/>
                                <a:pt x="438" y="445"/>
                              </a:cubicBezTo>
                              <a:cubicBezTo>
                                <a:pt x="436" y="447"/>
                                <a:pt x="435" y="448"/>
                                <a:pt x="433" y="449"/>
                              </a:cubicBezTo>
                              <a:cubicBezTo>
                                <a:pt x="431" y="449"/>
                                <a:pt x="428" y="449"/>
                                <a:pt x="425" y="447"/>
                              </a:cubicBezTo>
                              <a:cubicBezTo>
                                <a:pt x="419" y="442"/>
                                <a:pt x="412" y="438"/>
                                <a:pt x="405" y="436"/>
                              </a:cubicBezTo>
                              <a:cubicBezTo>
                                <a:pt x="398" y="434"/>
                                <a:pt x="391" y="433"/>
                                <a:pt x="383" y="433"/>
                              </a:cubicBezTo>
                              <a:cubicBezTo>
                                <a:pt x="370" y="433"/>
                                <a:pt x="360" y="436"/>
                                <a:pt x="352" y="442"/>
                              </a:cubicBezTo>
                              <a:cubicBezTo>
                                <a:pt x="345" y="448"/>
                                <a:pt x="341" y="456"/>
                                <a:pt x="341" y="465"/>
                              </a:cubicBezTo>
                              <a:cubicBezTo>
                                <a:pt x="341" y="473"/>
                                <a:pt x="343" y="479"/>
                                <a:pt x="348" y="483"/>
                              </a:cubicBezTo>
                              <a:cubicBezTo>
                                <a:pt x="353" y="488"/>
                                <a:pt x="361" y="491"/>
                                <a:pt x="371" y="493"/>
                              </a:cubicBezTo>
                              <a:cubicBezTo>
                                <a:pt x="396" y="499"/>
                                <a:pt x="396" y="499"/>
                                <a:pt x="396" y="499"/>
                              </a:cubicBezTo>
                              <a:cubicBezTo>
                                <a:pt x="412" y="502"/>
                                <a:pt x="424" y="507"/>
                                <a:pt x="432" y="514"/>
                              </a:cubicBezTo>
                              <a:cubicBezTo>
                                <a:pt x="440" y="521"/>
                                <a:pt x="444" y="530"/>
                                <a:pt x="444" y="541"/>
                              </a:cubicBezTo>
                              <a:cubicBezTo>
                                <a:pt x="444" y="551"/>
                                <a:pt x="441" y="559"/>
                                <a:pt x="436" y="566"/>
                              </a:cubicBezTo>
                              <a:cubicBezTo>
                                <a:pt x="431" y="574"/>
                                <a:pt x="424" y="579"/>
                                <a:pt x="415" y="583"/>
                              </a:cubicBezTo>
                              <a:cubicBezTo>
                                <a:pt x="405" y="587"/>
                                <a:pt x="394" y="589"/>
                                <a:pt x="381" y="589"/>
                              </a:cubicBezTo>
                              <a:close/>
                              <a:moveTo>
                                <a:pt x="510" y="589"/>
                              </a:moveTo>
                              <a:cubicBezTo>
                                <a:pt x="504" y="589"/>
                                <a:pt x="500" y="585"/>
                                <a:pt x="500" y="578"/>
                              </a:cubicBezTo>
                              <a:cubicBezTo>
                                <a:pt x="500" y="435"/>
                                <a:pt x="500" y="435"/>
                                <a:pt x="500" y="435"/>
                              </a:cubicBezTo>
                              <a:cubicBezTo>
                                <a:pt x="446" y="435"/>
                                <a:pt x="446" y="435"/>
                                <a:pt x="446" y="435"/>
                              </a:cubicBezTo>
                              <a:cubicBezTo>
                                <a:pt x="440" y="435"/>
                                <a:pt x="437" y="432"/>
                                <a:pt x="437" y="426"/>
                              </a:cubicBezTo>
                              <a:cubicBezTo>
                                <a:pt x="437" y="421"/>
                                <a:pt x="440" y="418"/>
                                <a:pt x="446" y="418"/>
                              </a:cubicBezTo>
                              <a:cubicBezTo>
                                <a:pt x="574" y="418"/>
                                <a:pt x="574" y="418"/>
                                <a:pt x="574" y="418"/>
                              </a:cubicBezTo>
                              <a:cubicBezTo>
                                <a:pt x="580" y="418"/>
                                <a:pt x="584" y="421"/>
                                <a:pt x="584" y="426"/>
                              </a:cubicBezTo>
                              <a:cubicBezTo>
                                <a:pt x="584" y="432"/>
                                <a:pt x="580" y="435"/>
                                <a:pt x="574" y="435"/>
                              </a:cubicBezTo>
                              <a:cubicBezTo>
                                <a:pt x="520" y="435"/>
                                <a:pt x="520" y="435"/>
                                <a:pt x="520" y="435"/>
                              </a:cubicBezTo>
                              <a:cubicBezTo>
                                <a:pt x="520" y="578"/>
                                <a:pt x="520" y="578"/>
                                <a:pt x="520" y="578"/>
                              </a:cubicBezTo>
                              <a:cubicBezTo>
                                <a:pt x="520" y="585"/>
                                <a:pt x="517" y="589"/>
                                <a:pt x="510" y="589"/>
                              </a:cubicBezTo>
                              <a:close/>
                              <a:moveTo>
                                <a:pt x="602" y="589"/>
                              </a:moveTo>
                              <a:cubicBezTo>
                                <a:pt x="595" y="589"/>
                                <a:pt x="592" y="585"/>
                                <a:pt x="592" y="578"/>
                              </a:cubicBezTo>
                              <a:cubicBezTo>
                                <a:pt x="592" y="428"/>
                                <a:pt x="592" y="428"/>
                                <a:pt x="592" y="428"/>
                              </a:cubicBezTo>
                              <a:cubicBezTo>
                                <a:pt x="592" y="421"/>
                                <a:pt x="595" y="418"/>
                                <a:pt x="602" y="418"/>
                              </a:cubicBezTo>
                              <a:cubicBezTo>
                                <a:pt x="659" y="418"/>
                                <a:pt x="659" y="418"/>
                                <a:pt x="659" y="418"/>
                              </a:cubicBezTo>
                              <a:cubicBezTo>
                                <a:pt x="677" y="418"/>
                                <a:pt x="691" y="422"/>
                                <a:pt x="701" y="431"/>
                              </a:cubicBezTo>
                              <a:cubicBezTo>
                                <a:pt x="710" y="439"/>
                                <a:pt x="715" y="451"/>
                                <a:pt x="715" y="467"/>
                              </a:cubicBezTo>
                              <a:cubicBezTo>
                                <a:pt x="715" y="479"/>
                                <a:pt x="712" y="490"/>
                                <a:pt x="705" y="498"/>
                              </a:cubicBezTo>
                              <a:cubicBezTo>
                                <a:pt x="698" y="506"/>
                                <a:pt x="688" y="511"/>
                                <a:pt x="676" y="513"/>
                              </a:cubicBezTo>
                              <a:cubicBezTo>
                                <a:pt x="683" y="516"/>
                                <a:pt x="690" y="522"/>
                                <a:pt x="695" y="532"/>
                              </a:cubicBezTo>
                              <a:cubicBezTo>
                                <a:pt x="718" y="575"/>
                                <a:pt x="718" y="575"/>
                                <a:pt x="718" y="575"/>
                              </a:cubicBezTo>
                              <a:cubicBezTo>
                                <a:pt x="720" y="578"/>
                                <a:pt x="720" y="581"/>
                                <a:pt x="719" y="584"/>
                              </a:cubicBezTo>
                              <a:cubicBezTo>
                                <a:pt x="718" y="587"/>
                                <a:pt x="715" y="589"/>
                                <a:pt x="711" y="589"/>
                              </a:cubicBezTo>
                              <a:cubicBezTo>
                                <a:pt x="708" y="589"/>
                                <a:pt x="706" y="588"/>
                                <a:pt x="704" y="587"/>
                              </a:cubicBezTo>
                              <a:cubicBezTo>
                                <a:pt x="703" y="586"/>
                                <a:pt x="701" y="584"/>
                                <a:pt x="700" y="581"/>
                              </a:cubicBezTo>
                              <a:cubicBezTo>
                                <a:pt x="674" y="533"/>
                                <a:pt x="674" y="533"/>
                                <a:pt x="674" y="533"/>
                              </a:cubicBezTo>
                              <a:cubicBezTo>
                                <a:pt x="670" y="526"/>
                                <a:pt x="666" y="521"/>
                                <a:pt x="661" y="519"/>
                              </a:cubicBezTo>
                              <a:cubicBezTo>
                                <a:pt x="656" y="517"/>
                                <a:pt x="650" y="516"/>
                                <a:pt x="642" y="516"/>
                              </a:cubicBezTo>
                              <a:cubicBezTo>
                                <a:pt x="611" y="516"/>
                                <a:pt x="611" y="516"/>
                                <a:pt x="611" y="516"/>
                              </a:cubicBezTo>
                              <a:cubicBezTo>
                                <a:pt x="611" y="578"/>
                                <a:pt x="611" y="578"/>
                                <a:pt x="611" y="578"/>
                              </a:cubicBezTo>
                              <a:cubicBezTo>
                                <a:pt x="611" y="585"/>
                                <a:pt x="608" y="589"/>
                                <a:pt x="602" y="589"/>
                              </a:cubicBezTo>
                              <a:close/>
                              <a:moveTo>
                                <a:pt x="611" y="500"/>
                              </a:moveTo>
                              <a:cubicBezTo>
                                <a:pt x="656" y="500"/>
                                <a:pt x="656" y="500"/>
                                <a:pt x="656" y="500"/>
                              </a:cubicBezTo>
                              <a:cubicBezTo>
                                <a:pt x="682" y="500"/>
                                <a:pt x="696" y="489"/>
                                <a:pt x="696" y="467"/>
                              </a:cubicBezTo>
                              <a:cubicBezTo>
                                <a:pt x="696" y="445"/>
                                <a:pt x="682" y="434"/>
                                <a:pt x="656" y="434"/>
                              </a:cubicBezTo>
                              <a:cubicBezTo>
                                <a:pt x="611" y="434"/>
                                <a:pt x="611" y="434"/>
                                <a:pt x="611" y="434"/>
                              </a:cubicBezTo>
                              <a:lnTo>
                                <a:pt x="611" y="500"/>
                              </a:lnTo>
                              <a:close/>
                              <a:moveTo>
                                <a:pt x="734" y="589"/>
                              </a:moveTo>
                              <a:cubicBezTo>
                                <a:pt x="730" y="589"/>
                                <a:pt x="728" y="587"/>
                                <a:pt x="726" y="585"/>
                              </a:cubicBezTo>
                              <a:cubicBezTo>
                                <a:pt x="725" y="582"/>
                                <a:pt x="725" y="579"/>
                                <a:pt x="727" y="575"/>
                              </a:cubicBezTo>
                              <a:cubicBezTo>
                                <a:pt x="793" y="425"/>
                                <a:pt x="793" y="425"/>
                                <a:pt x="793" y="425"/>
                              </a:cubicBezTo>
                              <a:cubicBezTo>
                                <a:pt x="795" y="419"/>
                                <a:pt x="799" y="416"/>
                                <a:pt x="805" y="416"/>
                              </a:cubicBezTo>
                              <a:cubicBezTo>
                                <a:pt x="807" y="416"/>
                                <a:pt x="809" y="417"/>
                                <a:pt x="811" y="418"/>
                              </a:cubicBezTo>
                              <a:cubicBezTo>
                                <a:pt x="813" y="420"/>
                                <a:pt x="815" y="422"/>
                                <a:pt x="816" y="425"/>
                              </a:cubicBezTo>
                              <a:cubicBezTo>
                                <a:pt x="882" y="575"/>
                                <a:pt x="882" y="575"/>
                                <a:pt x="882" y="575"/>
                              </a:cubicBezTo>
                              <a:cubicBezTo>
                                <a:pt x="884" y="579"/>
                                <a:pt x="884" y="582"/>
                                <a:pt x="883" y="585"/>
                              </a:cubicBezTo>
                              <a:cubicBezTo>
                                <a:pt x="882" y="587"/>
                                <a:pt x="879" y="589"/>
                                <a:pt x="875" y="589"/>
                              </a:cubicBezTo>
                              <a:cubicBezTo>
                                <a:pt x="872" y="589"/>
                                <a:pt x="870" y="588"/>
                                <a:pt x="868" y="586"/>
                              </a:cubicBezTo>
                              <a:cubicBezTo>
                                <a:pt x="867" y="585"/>
                                <a:pt x="865" y="583"/>
                                <a:pt x="864" y="580"/>
                              </a:cubicBezTo>
                              <a:cubicBezTo>
                                <a:pt x="848" y="544"/>
                                <a:pt x="848" y="544"/>
                                <a:pt x="848" y="544"/>
                              </a:cubicBezTo>
                              <a:cubicBezTo>
                                <a:pt x="760" y="544"/>
                                <a:pt x="760" y="544"/>
                                <a:pt x="760" y="544"/>
                              </a:cubicBezTo>
                              <a:cubicBezTo>
                                <a:pt x="745" y="580"/>
                                <a:pt x="745" y="580"/>
                                <a:pt x="745" y="580"/>
                              </a:cubicBezTo>
                              <a:cubicBezTo>
                                <a:pt x="742" y="586"/>
                                <a:pt x="739" y="589"/>
                                <a:pt x="734" y="589"/>
                              </a:cubicBezTo>
                              <a:close/>
                              <a:moveTo>
                                <a:pt x="804" y="441"/>
                              </a:moveTo>
                              <a:cubicBezTo>
                                <a:pt x="768" y="527"/>
                                <a:pt x="768" y="527"/>
                                <a:pt x="768" y="527"/>
                              </a:cubicBezTo>
                              <a:cubicBezTo>
                                <a:pt x="842" y="527"/>
                                <a:pt x="842" y="527"/>
                                <a:pt x="842" y="527"/>
                              </a:cubicBezTo>
                              <a:cubicBezTo>
                                <a:pt x="805" y="441"/>
                                <a:pt x="805" y="441"/>
                                <a:pt x="805" y="441"/>
                              </a:cubicBezTo>
                              <a:lnTo>
                                <a:pt x="804" y="441"/>
                              </a:lnTo>
                              <a:close/>
                              <a:moveTo>
                                <a:pt x="911" y="587"/>
                              </a:moveTo>
                              <a:cubicBezTo>
                                <a:pt x="904" y="587"/>
                                <a:pt x="901" y="584"/>
                                <a:pt x="901" y="577"/>
                              </a:cubicBezTo>
                              <a:cubicBezTo>
                                <a:pt x="901" y="427"/>
                                <a:pt x="901" y="427"/>
                                <a:pt x="901" y="427"/>
                              </a:cubicBezTo>
                              <a:cubicBezTo>
                                <a:pt x="901" y="420"/>
                                <a:pt x="904" y="417"/>
                                <a:pt x="911" y="417"/>
                              </a:cubicBezTo>
                              <a:cubicBezTo>
                                <a:pt x="917" y="417"/>
                                <a:pt x="921" y="420"/>
                                <a:pt x="921" y="427"/>
                              </a:cubicBezTo>
                              <a:cubicBezTo>
                                <a:pt x="921" y="570"/>
                                <a:pt x="921" y="570"/>
                                <a:pt x="921" y="570"/>
                              </a:cubicBezTo>
                              <a:cubicBezTo>
                                <a:pt x="999" y="570"/>
                                <a:pt x="999" y="570"/>
                                <a:pt x="999" y="570"/>
                              </a:cubicBezTo>
                              <a:cubicBezTo>
                                <a:pt x="1006" y="570"/>
                                <a:pt x="1009" y="573"/>
                                <a:pt x="1009" y="578"/>
                              </a:cubicBezTo>
                              <a:cubicBezTo>
                                <a:pt x="1009" y="584"/>
                                <a:pt x="1006" y="587"/>
                                <a:pt x="999" y="587"/>
                              </a:cubicBezTo>
                              <a:lnTo>
                                <a:pt x="911" y="587"/>
                              </a:lnTo>
                              <a:close/>
                              <a:moveTo>
                                <a:pt x="1029" y="589"/>
                              </a:moveTo>
                              <a:cubicBezTo>
                                <a:pt x="1023" y="589"/>
                                <a:pt x="1020" y="585"/>
                                <a:pt x="1020" y="578"/>
                              </a:cubicBezTo>
                              <a:cubicBezTo>
                                <a:pt x="1020" y="427"/>
                                <a:pt x="1020" y="427"/>
                                <a:pt x="1020" y="427"/>
                              </a:cubicBezTo>
                              <a:cubicBezTo>
                                <a:pt x="1020" y="420"/>
                                <a:pt x="1023" y="416"/>
                                <a:pt x="1029" y="416"/>
                              </a:cubicBezTo>
                              <a:cubicBezTo>
                                <a:pt x="1036" y="416"/>
                                <a:pt x="1039" y="420"/>
                                <a:pt x="1039" y="427"/>
                              </a:cubicBezTo>
                              <a:cubicBezTo>
                                <a:pt x="1039" y="578"/>
                                <a:pt x="1039" y="578"/>
                                <a:pt x="1039" y="578"/>
                              </a:cubicBezTo>
                              <a:cubicBezTo>
                                <a:pt x="1039" y="585"/>
                                <a:pt x="1036" y="589"/>
                                <a:pt x="1029" y="589"/>
                              </a:cubicBezTo>
                              <a:close/>
                              <a:moveTo>
                                <a:pt x="1066" y="589"/>
                              </a:moveTo>
                              <a:cubicBezTo>
                                <a:pt x="1062" y="589"/>
                                <a:pt x="1059" y="587"/>
                                <a:pt x="1058" y="585"/>
                              </a:cubicBezTo>
                              <a:cubicBezTo>
                                <a:pt x="1057" y="582"/>
                                <a:pt x="1057" y="579"/>
                                <a:pt x="1058" y="575"/>
                              </a:cubicBezTo>
                              <a:cubicBezTo>
                                <a:pt x="1124" y="425"/>
                                <a:pt x="1124" y="425"/>
                                <a:pt x="1124" y="425"/>
                              </a:cubicBezTo>
                              <a:cubicBezTo>
                                <a:pt x="1127" y="419"/>
                                <a:pt x="1131" y="416"/>
                                <a:pt x="1136" y="416"/>
                              </a:cubicBezTo>
                              <a:cubicBezTo>
                                <a:pt x="1139" y="416"/>
                                <a:pt x="1141" y="417"/>
                                <a:pt x="1143" y="418"/>
                              </a:cubicBezTo>
                              <a:cubicBezTo>
                                <a:pt x="1145" y="420"/>
                                <a:pt x="1146" y="422"/>
                                <a:pt x="1148" y="425"/>
                              </a:cubicBezTo>
                              <a:cubicBezTo>
                                <a:pt x="1214" y="575"/>
                                <a:pt x="1214" y="575"/>
                                <a:pt x="1214" y="575"/>
                              </a:cubicBezTo>
                              <a:cubicBezTo>
                                <a:pt x="1216" y="579"/>
                                <a:pt x="1216" y="582"/>
                                <a:pt x="1215" y="585"/>
                              </a:cubicBezTo>
                              <a:cubicBezTo>
                                <a:pt x="1213" y="587"/>
                                <a:pt x="1211" y="589"/>
                                <a:pt x="1207" y="589"/>
                              </a:cubicBezTo>
                              <a:cubicBezTo>
                                <a:pt x="1204" y="589"/>
                                <a:pt x="1202" y="588"/>
                                <a:pt x="1200" y="586"/>
                              </a:cubicBezTo>
                              <a:cubicBezTo>
                                <a:pt x="1198" y="585"/>
                                <a:pt x="1197" y="583"/>
                                <a:pt x="1196" y="580"/>
                              </a:cubicBezTo>
                              <a:cubicBezTo>
                                <a:pt x="1180" y="544"/>
                                <a:pt x="1180" y="544"/>
                                <a:pt x="1180" y="544"/>
                              </a:cubicBezTo>
                              <a:cubicBezTo>
                                <a:pt x="1092" y="544"/>
                                <a:pt x="1092" y="544"/>
                                <a:pt x="1092" y="544"/>
                              </a:cubicBezTo>
                              <a:cubicBezTo>
                                <a:pt x="1077" y="580"/>
                                <a:pt x="1077" y="580"/>
                                <a:pt x="1077" y="580"/>
                              </a:cubicBezTo>
                              <a:cubicBezTo>
                                <a:pt x="1074" y="586"/>
                                <a:pt x="1071" y="589"/>
                                <a:pt x="1066" y="589"/>
                              </a:cubicBezTo>
                              <a:close/>
                              <a:moveTo>
                                <a:pt x="1136" y="441"/>
                              </a:moveTo>
                              <a:cubicBezTo>
                                <a:pt x="1099" y="527"/>
                                <a:pt x="1099" y="527"/>
                                <a:pt x="1099" y="527"/>
                              </a:cubicBezTo>
                              <a:cubicBezTo>
                                <a:pt x="1173" y="527"/>
                                <a:pt x="1173" y="527"/>
                                <a:pt x="1173" y="527"/>
                              </a:cubicBezTo>
                              <a:cubicBezTo>
                                <a:pt x="1136" y="441"/>
                                <a:pt x="1136" y="441"/>
                                <a:pt x="1136" y="441"/>
                              </a:cubicBezTo>
                              <a:close/>
                            </a:path>
                          </a:pathLst>
                        </a:custGeom>
                        <a:solidFill>
                          <a:srgbClr val="FFFEFF"/>
                        </a:solidFill>
                        <a:ln>
                          <a:noFill/>
                        </a:ln>
                      </wps:spPr>
                      <wps:bodyPr vert="horz" wrap="square" lIns="91440" tIns="45720" rIns="91440" bIns="45720" numCol="1" anchor="t" anchorCtr="0" compatLnSpc="1">
                        <a:prstTxWarp prst="textNoShape">
                          <a:avLst/>
                        </a:prstTxWarp>
                      </wps:bodyPr>
                    </wps:wsp>
                    <pic:pic xmlns:pic="http://schemas.openxmlformats.org/drawingml/2006/picture">
                      <pic:nvPicPr>
                        <pic:cNvPr id="49" name="Picture 49" descr="A white letter on a black background&#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5400000">
                          <a:off x="311785" y="-311785"/>
                          <a:ext cx="592455" cy="121602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29B638B6" id="Group 47" o:spid="_x0000_s1026" style="position:absolute;margin-left:401.25pt;margin-top:690.1pt;width:152.55pt;height:84.6pt;z-index:-251658239;mso-position-horizontal-relative:page;mso-position-vertical-relative:page;mso-width-relative:margin;mso-height-relative:margin" coordsize="19383,1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">
              <v:shape id="Freeform 5" o:spid="_x0000_s1027" style="position:absolute;left:7139;top:6055;width:12244;height:4695;visibility:visible;mso-wrap-style:square;v-text-anchor:top" coordsize="154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" path="m23,173v-7,,-10,-4,-10,-11c13,10,13,10,13,10,13,3,16,,23,v6,,9,3,9,10c32,162,32,162,32,162v,7,-3,11,-9,11xm72,173v-6,,-9,-4,-9,-10c63,10,63,10,63,10,63,3,66,,71,v3,,5,,6,1c78,2,80,4,81,6v99,132,99,132,99,132c180,10,180,10,180,10,180,3,183,,189,v6,,9,3,9,10c198,163,198,163,198,163v,6,-2,10,-8,10c188,173,186,172,185,171v-2,-1,-3,-2,-5,-4c81,34,81,34,81,34v,129,,129,,129c81,169,78,173,72,173xm239,171v-7,,-10,-4,-10,-11c229,13,229,13,229,13v,-8,3,-11,10,-11c286,2,286,2,286,2v27,,48,7,63,21c364,38,371,59,371,86v,28,-7,49,-22,63c334,164,313,171,286,171r-47,xm248,154v36,,36,,36,c328,154,350,131,350,86,350,41,328,19,284,19v-36,,-36,,-36,l248,154xm406,171v-8,,-11,-4,-11,-11c395,13,395,13,395,13v,-8,3,-11,11,-11c495,2,495,2,495,2v6,,8,2,8,8c503,15,501,18,495,18v-81,,-81,,-81,c414,77,414,77,414,77v76,,76,,76,c496,77,498,80,498,85v,6,-2,8,-8,8c414,93,414,93,414,93v,61,,61,,61c495,154,495,154,495,154v6,,8,3,8,9c503,168,501,171,495,171r-89,xm533,173v-7,,-10,-4,-10,-11c523,12,523,12,523,12v,-7,3,-10,10,-10c590,2,590,2,590,2v18,,32,4,42,13c641,24,646,36,646,53v,16,-5,28,-14,37c622,99,608,103,590,103v-48,,-48,,-48,c542,162,542,162,542,162v,7,-3,11,-9,11xm542,87v45,,45,,45,c614,87,627,75,627,53,627,30,614,18,587,18v-45,,-45,,-45,l542,87xm674,171v-8,,-11,-4,-11,-11c663,13,663,13,663,13v,-8,3,-11,11,-11c763,2,763,2,763,2v5,,8,2,8,8c771,15,768,18,763,18v-81,,-81,,-81,c682,77,682,77,682,77v76,,76,,76,c763,77,766,80,766,85v,6,-3,8,-8,8c682,93,682,93,682,93v,61,,61,,61c763,154,763,154,763,154v5,,8,3,8,9c771,168,768,171,763,171r-89,xm800,173v-6,,-9,-4,-9,-10c791,10,791,10,791,10,791,3,794,,799,v3,,4,,6,1c806,2,808,4,809,6v99,132,99,132,99,132c908,10,908,10,908,10,908,3,911,,917,v6,,9,3,9,10c926,163,926,163,926,163v,6,-2,10,-8,10c916,173,914,172,913,171v-2,-1,-3,-2,-5,-4c809,34,809,34,809,34v,129,,129,,129c809,169,806,173,800,173xm967,171v-7,,-11,-4,-11,-11c956,13,956,13,956,13v,-8,4,-11,11,-11c1014,2,1014,2,1014,2v27,,48,7,63,21c1092,38,1099,59,1099,86v,28,-7,49,-22,63c1062,164,1041,171,1014,171r-47,xm976,154v36,,36,,36,c1056,154,1078,131,1078,86v,-45,-22,-67,-66,-67c976,19,976,19,976,19r,135xm1134,171v-8,,-11,-4,-11,-11c1123,13,1123,13,1123,13v,-8,3,-11,11,-11c1223,2,1223,2,1223,2v5,,8,2,8,8c1231,15,1228,18,1223,18v-81,,-81,,-81,c1142,77,1142,77,1142,77v76,,76,,76,c1223,77,1226,80,1226,85v,6,-3,8,-8,8c1142,93,1142,93,1142,93v,61,,61,,61c1223,154,1223,154,1223,154v5,,8,3,8,9c1231,168,1228,171,1223,171r-89,xm1260,173v-6,,-9,-4,-9,-10c1251,10,1251,10,1251,10v,-7,3,-10,8,-10c1262,,1264,,1265,1v1,1,3,3,4,5c1368,138,1368,138,1368,138v,-128,,-128,,-128c1368,3,1371,,1377,v6,,9,3,9,10c1386,163,1386,163,1386,163v,6,-2,10,-8,10c1376,173,1374,172,1373,171v-2,-1,-3,-2,-5,-4c1269,34,1269,34,1269,34v,129,,129,,129c1269,169,1266,173,1260,173xm1468,173v-7,,-10,-4,-10,-11c1458,19,1458,19,1458,19v-54,,-54,,-54,c1398,19,1395,16,1395,10v,-5,3,-8,9,-8c1532,2,1532,2,1532,2v6,,9,3,9,8c1541,16,1538,19,1532,19v-54,,-54,,-54,c1478,162,1478,162,1478,162v,7,-3,11,-10,11xm68,381v-12,,-23,-1,-33,-4c25,374,16,370,9,365,6,363,5,361,4,358v,-2,,-4,1,-6c6,350,8,348,10,347v2,,4,,7,2c24,354,32,358,40,360v8,3,17,4,28,4c82,364,93,361,100,356v7,-6,10,-13,10,-22c110,327,107,322,102,318,97,313,89,310,77,308,52,303,52,303,52,303,37,299,26,294,18,287,11,280,7,270,7,258v,-10,3,-19,8,-27c20,224,28,218,37,214v9,-4,20,-6,32,-6c79,208,88,209,97,212v9,3,17,7,24,12c123,226,124,228,125,231v,2,,4,-1,6c123,239,121,240,119,241v-2,,-5,,-8,-2c105,234,98,230,91,228v-7,-2,-14,-3,-22,-3c56,225,46,228,38,234v-7,6,-11,13,-11,23c27,265,30,271,34,275v5,5,13,8,23,10c82,290,82,290,82,290v17,4,29,9,36,16c126,312,130,322,130,333v,10,-3,18,-8,25c117,366,110,371,101,375v-10,4,-21,6,-33,6xm222,381v-17,,-31,-3,-43,-10c167,364,158,354,152,341v-6,-13,-10,-29,-10,-47c142,277,146,261,152,248v6,-13,15,-23,27,-30c191,211,205,208,222,208v10,,19,1,28,4c259,215,267,219,273,224v3,2,5,4,5,7c279,233,278,236,277,238v-1,2,-3,3,-6,4c269,242,266,241,264,239v-12,-9,-26,-13,-42,-13c203,226,189,232,179,244v-10,12,-15,29,-15,50c164,316,169,333,179,345v10,12,24,18,43,18c238,363,252,359,264,349v3,-2,6,-2,8,-2c274,348,276,349,277,351v1,2,2,4,1,6c278,360,277,362,274,364v-6,5,-14,10,-23,13c242,380,232,381,222,381xm308,381v-6,,-10,-4,-10,-11c298,218,298,218,298,218v,-6,4,-10,10,-10c315,208,318,212,318,218v,67,,67,,67c420,285,420,285,420,285v,-67,,-67,,-67c420,212,423,208,429,208v7,,10,4,10,10c439,370,439,370,439,370v,7,-3,11,-10,11c423,381,420,377,420,370v,-68,,-68,,-68c318,302,318,302,318,302v,68,,68,,68c318,377,315,381,308,381xm540,381v-15,,-29,-3,-41,-11c488,363,479,353,473,340v-7,-13,-10,-28,-10,-46c463,277,466,261,472,248v7,-13,16,-23,27,-30c511,211,524,208,540,208v16,,30,3,42,10c593,225,602,235,609,248v6,13,9,28,9,46c618,312,615,327,608,340v-6,13,-15,23,-27,30c570,378,556,381,540,381xm540,364v18,,32,-6,42,-19c592,333,597,316,597,294v,-22,-5,-39,-15,-51c572,231,558,225,540,225v-17,,-31,6,-41,18c489,255,484,272,484,294v,22,5,39,15,51c509,358,523,364,540,364xm713,381v-16,,-30,-3,-41,-11c660,363,651,353,645,340v-6,-13,-10,-28,-10,-46c635,277,638,261,645,248v6,-13,15,-23,26,-30c683,211,697,208,713,208v16,,29,3,41,10c766,225,775,235,781,248v6,13,9,28,9,46c790,312,787,327,781,340v-7,13,-16,23,-27,30c742,378,728,381,713,381xm713,364v18,,32,-6,42,-19c765,333,770,316,770,294v,-22,-5,-39,-15,-51c745,231,731,225,713,225v-18,,-32,6,-42,18c661,255,656,272,656,294v,22,5,39,15,51c681,358,695,364,713,364xm824,379v-7,,-10,-3,-10,-10c814,219,814,219,814,219v,-7,3,-10,10,-10c830,209,833,212,833,219v,143,,143,,143c912,362,912,362,912,362v6,,9,3,9,8c921,376,918,379,912,379r-88,xm983,381v-12,,-23,-1,-33,-4c940,374,931,370,924,365v-3,-2,-4,-4,-5,-7c919,356,919,354,920,352v1,-2,3,-4,5,-5c927,347,929,347,932,349v7,5,15,9,23,11c963,363,972,364,983,364v14,,25,-3,32,-8c1022,350,1025,343,1025,334v,-7,-2,-12,-7,-16c1013,313,1004,310,992,308v-25,-5,-25,-5,-25,-5c952,299,941,294,934,287v-8,-7,-12,-17,-12,-29c922,248,925,239,930,231v5,-7,13,-13,22,-17c961,210,972,208,984,208v10,,20,1,28,4c1021,215,1029,219,1036,224v2,2,3,4,4,7c1040,233,1040,235,1039,237v-1,2,-3,3,-5,4c1032,241,1029,241,1027,239v-7,-5,-14,-9,-20,-11c1000,226,992,225,984,225v-13,,-23,3,-30,9c946,240,942,247,942,257v,8,3,14,7,18c954,280,962,283,973,285v25,5,25,5,25,5c1014,294,1026,299,1033,306v8,6,12,16,12,27c1045,343,1043,351,1037,358v-5,8,-12,13,-21,17c1007,379,995,381,983,381xm9,589v-4,,-6,-2,-8,-4c,582,,579,2,575,68,425,68,425,68,425v2,-6,6,-9,12,-9c82,416,84,417,86,418v2,2,4,4,5,7c157,575,157,575,157,575v2,4,2,7,1,10c157,587,154,589,150,589v-3,,-5,-1,-7,-3c142,585,140,583,139,580,123,544,123,544,123,544v-88,,-88,,-88,c20,580,20,580,20,580v-3,6,-6,9,-11,9xm79,441c43,527,43,527,43,527v73,,73,,73,c80,441,80,441,80,441r-1,xm231,589v-23,,-39,-6,-51,-17c169,560,163,543,163,520v,-94,,-94,,-94c163,420,166,416,173,416v6,,9,4,9,10c182,519,182,519,182,519v,35,17,53,49,53c263,572,278,554,278,519v,-93,,-93,,-93c278,420,282,416,289,416v6,,9,4,9,10c298,520,298,520,298,520v,23,-6,40,-17,52c270,583,253,589,231,589xm381,589v-11,,-22,-1,-32,-4c339,582,330,578,323,573v-3,-2,-4,-4,-5,-7c318,564,318,562,319,560v1,-2,3,-4,5,-4c326,555,328,555,331,557v7,5,15,9,23,11c362,571,371,572,381,572v15,,26,-3,32,-8c420,558,424,551,424,542v,-7,-3,-12,-8,-16c411,521,403,518,391,516v-25,-5,-25,-5,-25,-5c351,508,340,502,332,495v-7,-7,-11,-17,-11,-29c321,456,324,447,329,439v5,-7,12,-13,22,-17c360,418,371,416,383,416v10,,19,1,28,4c420,423,428,427,435,433v2,1,3,3,4,6c439,441,439,443,438,445v-2,2,-3,3,-5,4c431,449,428,449,425,447v-6,-5,-13,-9,-20,-11c398,434,391,433,383,433v-13,,-23,3,-31,9c345,448,341,456,341,465v,8,2,14,7,18c353,488,361,491,371,493v25,6,25,6,25,6c412,502,424,507,432,514v8,7,12,16,12,27c444,551,441,559,436,566v-5,8,-12,13,-21,17c405,587,394,589,381,589xm510,589v-6,,-10,-4,-10,-11c500,435,500,435,500,435v-54,,-54,,-54,c440,435,437,432,437,426v,-5,3,-8,9,-8c574,418,574,418,574,418v6,,10,3,10,8c584,432,580,435,574,435v-54,,-54,,-54,c520,578,520,578,520,578v,7,-3,11,-10,11xm602,589v-7,,-10,-4,-10,-11c592,428,592,428,592,428v,-7,3,-10,10,-10c659,418,659,418,659,418v18,,32,4,42,13c710,439,715,451,715,467v,12,-3,23,-10,31c698,506,688,511,676,513v7,3,14,9,19,19c718,575,718,575,718,575v2,3,2,6,1,9c718,587,715,589,711,589v-3,,-5,-1,-7,-2c703,586,701,584,700,581,674,533,674,533,674,533v-4,-7,-8,-12,-13,-14c656,517,650,516,642,516v-31,,-31,,-31,c611,578,611,578,611,578v,7,-3,11,-9,11xm611,500v45,,45,,45,c682,500,696,489,696,467v,-22,-14,-33,-40,-33c611,434,611,434,611,434r,66xm734,589v-4,,-6,-2,-8,-4c725,582,725,579,727,575,793,425,793,425,793,425v2,-6,6,-9,12,-9c807,416,809,417,811,418v2,2,4,4,5,7c882,575,882,575,882,575v2,4,2,7,1,10c882,587,879,589,875,589v-3,,-5,-1,-7,-3c867,585,865,583,864,580,848,544,848,544,848,544v-88,,-88,,-88,c745,580,745,580,745,580v-3,6,-6,9,-11,9xm804,441v-36,86,-36,86,-36,86c842,527,842,527,842,527,805,441,805,441,805,441r-1,xm911,587v-7,,-10,-3,-10,-10c901,427,901,427,901,427v,-7,3,-10,10,-10c917,417,921,420,921,427v,143,,143,,143c999,570,999,570,999,570v7,,10,3,10,8c1009,584,1006,587,999,587r-88,xm1029,589v-6,,-9,-4,-9,-11c1020,427,1020,427,1020,427v,-7,3,-11,9,-11c1036,416,1039,420,1039,427v,151,,151,,151c1039,585,1036,589,1029,589xm1066,589v-4,,-7,-2,-8,-4c1057,582,1057,579,1058,575v66,-150,66,-150,66,-150c1127,419,1131,416,1136,416v3,,5,1,7,2c1145,420,1146,422,1148,425v66,150,66,150,66,150c1216,579,1216,582,1215,585v-2,2,-4,4,-8,4c1204,589,1202,588,1200,586v-2,-1,-3,-3,-4,-6c1180,544,1180,544,1180,544v-88,,-88,,-88,c1077,580,1077,580,1077,580v-3,6,-6,9,-11,9xm1136,441v-37,86,-37,86,-37,86c1173,527,1173,527,1173,527v-37,-86,-37,-86,-37,-86xe" fillcolor="#fffeff" stroked="f">
                <v:path arrowok="t" o:connecttype="custom" o:connectlocs="50055,129913;157316,129913;181946,10361;225645,122740;393289,1594;328933,122740;468769,1594;466385,69340;606221,1594;541865,122740;639591,797;721427,133101;855701,18331;775454,15143;907345,14346;971702,136289;1086908,7970;1001099,137883;1217209,15143;7945,276563;14301,228742;94548,192080;93754,243886;120768,197659;176384,180125;217699,290112;333700,227148;252658,294894;462412,173749;462412,193674;504522,234321;566495,303662;566495,290112;724605,302068;758770,286924;738906,184110;800085,181719;823920,285330;72302,338730;7151,469440;129507,339527;236768,414446;262987,443936;255042,371408;337672,356264;352768,431183;354357,333151;470358,341121;571262,465455;478303,469440;577618,458282;686468,462267;638797,351482;793729,467846;846962,469440;958989,469440;931976,420025" o:connectangles="0,0,0,0,0,0,0,0,0,0,0,0,0,0,0,0,0,0,0,0,0,0,0,0,0,0,0,0,0,0,0,0,0,0,0,0,0,0,0,0,0,0,0,0,0,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alt="A white letter on a black background&#10;&#10;Description automatically generated with medium confidence" style="position:absolute;left:3118;top:-3118;width:5924;height:121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">
                <v:imagedata r:id="rId2" o:title="A white letter on a black background&#10;&#10;Description automatically generated with medium confidence"/>
              </v:shape>
              <w10:wrap anchorx="page" anchory="page"/>
              <w10:anchorlock/>
            </v:group>
          </w:pict>
        </mc:Fallback>
      </mc:AlternateContent>
    </w:r>
    <w:r>
      <w:rPr>
        <w:noProof/>
      </w:rPr>
      <w:drawing>
        <wp:anchor distT="0" distB="0" distL="114300" distR="114300" simplePos="0" relativeHeight="251658240" behindDoc="1" locked="1" layoutInCell="1" allowOverlap="1" wp14:anchorId="17EF8957" wp14:editId="025B9A9A">
          <wp:simplePos x="0" y="0"/>
          <wp:positionH relativeFrom="page">
            <wp:posOffset>0</wp:posOffset>
          </wp:positionH>
          <wp:positionV relativeFrom="page">
            <wp:posOffset>0</wp:posOffset>
          </wp:positionV>
          <wp:extent cx="7560945" cy="10692765"/>
          <wp:effectExtent l="0" t="0" r="1905" b="0"/>
          <wp:wrapNone/>
          <wp:docPr id="327" name="Picture 327" descr="Background patter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6094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A9B99" w14:textId="77777777" w:rsidR="000E1A71" w:rsidRDefault="000E1A71" w:rsidP="000E1A71">
    <w:pPr>
      <w:pStyle w:val="Header"/>
    </w:pPr>
    <w:bookmarkStart w:id="4" w:name="_Hlk88386696"/>
    <w:bookmarkStart w:id="5" w:name="_Hlk88386697"/>
    <w:bookmarkEnd w:id="4"/>
    <w:bookmarkEnd w:id="5"/>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DE118" w14:textId="77777777" w:rsidR="004C31F7" w:rsidRDefault="004C31F7" w:rsidP="000E1A71">
    <w:pPr>
      <w:pStyle w:val="Header"/>
    </w:pPr>
    <w:r>
      <w:rPr>
        <w:caps/>
        <w:noProof/>
      </w:rPr>
      <w:drawing>
        <wp:anchor distT="0" distB="0" distL="114300" distR="114300" simplePos="0" relativeHeight="251658244" behindDoc="1" locked="0" layoutInCell="1" allowOverlap="1" wp14:anchorId="1C79AABC" wp14:editId="0297B290">
          <wp:simplePos x="0" y="0"/>
          <wp:positionH relativeFrom="column">
            <wp:posOffset>-920750</wp:posOffset>
          </wp:positionH>
          <wp:positionV relativeFrom="page">
            <wp:posOffset>-962025</wp:posOffset>
          </wp:positionV>
          <wp:extent cx="7595870" cy="10744200"/>
          <wp:effectExtent l="0" t="0" r="5080" b="0"/>
          <wp:wrapNone/>
          <wp:docPr id="1636042110" name="Picture 1636042110" descr="A black ribbo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42110" name="Picture 4" descr="A black ribbon on a black background&#10;&#10;Description automatically generated"/>
                  <pic:cNvPicPr/>
                </pic:nvPicPr>
                <pic:blipFill>
                  <a:blip r:embed="rId1" cstate="print">
                    <a:alphaModFix amt="85000"/>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DCE2" w14:textId="77777777" w:rsidR="00B57262" w:rsidRDefault="00B57262" w:rsidP="00B572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ISAPlainTable"/>
      <w:tblW w:w="9038" w:type="dxa"/>
      <w:tblBorders>
        <w:top w:val="none" w:sz="0" w:space="0" w:color="auto"/>
        <w:bottom w:val="none" w:sz="0" w:space="0" w:color="auto"/>
        <w:insideH w:val="none" w:sz="0" w:space="0" w:color="auto"/>
      </w:tblBorders>
      <w:tblLayout w:type="fixed"/>
      <w:tblCellMar>
        <w:right w:w="0" w:type="dxa"/>
      </w:tblCellMar>
      <w:tblLook w:val="04A0" w:firstRow="1" w:lastRow="0" w:firstColumn="1" w:lastColumn="0" w:noHBand="0" w:noVBand="1"/>
    </w:tblPr>
    <w:tblGrid>
      <w:gridCol w:w="4382"/>
      <w:gridCol w:w="3970"/>
      <w:gridCol w:w="686"/>
    </w:tblGrid>
    <w:tr w:rsidR="00B57262" w14:paraId="0B9BDB5C" w14:textId="77777777">
      <w:trPr>
        <w:cnfStyle w:val="100000000000" w:firstRow="1" w:lastRow="0" w:firstColumn="0" w:lastColumn="0" w:oddVBand="0" w:evenVBand="0" w:oddHBand="0" w:evenHBand="0" w:firstRowFirstColumn="0" w:firstRowLastColumn="0" w:lastRowFirstColumn="0" w:lastRowLastColumn="0"/>
      </w:trPr>
      <w:tc>
        <w:tcPr>
          <w:tcW w:w="4382" w:type="dxa"/>
          <w:shd w:val="clear" w:color="auto" w:fill="auto"/>
        </w:tcPr>
        <w:p w14:paraId="179B6551" w14:textId="77777777" w:rsidR="00B57262" w:rsidRDefault="00B57262" w:rsidP="00B57262">
          <w:pPr>
            <w:pStyle w:val="HeaderISA"/>
          </w:pPr>
          <w:r w:rsidRPr="001A24E1">
            <w:rPr>
              <w:color w:val="4EB1A9"/>
            </w:rPr>
            <w:t>INDEPENDENT</w:t>
          </w:r>
          <w:r>
            <w:t xml:space="preserve"> </w:t>
          </w:r>
          <w:r w:rsidRPr="001A24E1">
            <w:t>SCHOOLS</w:t>
          </w:r>
          <w:r>
            <w:t xml:space="preserve"> </w:t>
          </w:r>
          <w:r w:rsidRPr="001A24E1">
            <w:rPr>
              <w:color w:val="A6CD39"/>
            </w:rPr>
            <w:t>AUSTRALIA</w:t>
          </w:r>
        </w:p>
      </w:tc>
      <w:tc>
        <w:tcPr>
          <w:tcW w:w="3970" w:type="dxa"/>
          <w:shd w:val="clear" w:color="auto" w:fill="auto"/>
        </w:tcPr>
        <w:p w14:paraId="3F8A8C9F" w14:textId="77777777" w:rsidR="00B57262" w:rsidRDefault="00B57262" w:rsidP="00B57262">
          <w:pPr>
            <w:pStyle w:val="HeaderChapterName"/>
          </w:pPr>
          <w:r>
            <w:t>TABLE OF CONTENTS</w:t>
          </w:r>
        </w:p>
      </w:tc>
      <w:tc>
        <w:tcPr>
          <w:tcW w:w="686" w:type="dxa"/>
          <w:shd w:val="clear" w:color="auto" w:fill="auto"/>
        </w:tcPr>
        <w:p w14:paraId="41419271" w14:textId="77777777" w:rsidR="00B57262" w:rsidRDefault="00B57262" w:rsidP="00B57262">
          <w:pPr>
            <w:pStyle w:val="PageNum"/>
          </w:pPr>
          <w:r>
            <w:fldChar w:fldCharType="begin"/>
          </w:r>
          <w:r>
            <w:instrText xml:space="preserve"> PAGE  \* Arabic  \* MERGEFORMAT </w:instrText>
          </w:r>
          <w:r>
            <w:fldChar w:fldCharType="separate"/>
          </w:r>
          <w:r>
            <w:t>1</w:t>
          </w:r>
          <w:r>
            <w:fldChar w:fldCharType="end"/>
          </w:r>
          <w:r>
            <w:t>/</w:t>
          </w:r>
          <w:r w:rsidR="00000000">
            <w:fldChar w:fldCharType="begin"/>
          </w:r>
          <w:r w:rsidR="00000000">
            <w:instrText xml:space="preserve"> NUMPAGES  \* Arabic  \* MERGEFORMAT </w:instrText>
          </w:r>
          <w:r w:rsidR="00000000">
            <w:fldChar w:fldCharType="separate"/>
          </w:r>
          <w:r>
            <w:t>8</w:t>
          </w:r>
          <w:r w:rsidR="00000000">
            <w:fldChar w:fldCharType="end"/>
          </w:r>
        </w:p>
      </w:tc>
    </w:tr>
    <w:tr w:rsidR="00B57262" w14:paraId="67EA0759" w14:textId="77777777">
      <w:trPr>
        <w:trHeight w:hRule="exact" w:val="1080"/>
      </w:trPr>
      <w:tc>
        <w:tcPr>
          <w:tcW w:w="4382" w:type="dxa"/>
          <w:shd w:val="clear" w:color="auto" w:fill="auto"/>
        </w:tcPr>
        <w:p w14:paraId="753B17E2" w14:textId="77777777" w:rsidR="00B57262" w:rsidRPr="001B2437" w:rsidRDefault="00B57262" w:rsidP="00B57262">
          <w:pPr>
            <w:pStyle w:val="spacer"/>
          </w:pPr>
        </w:p>
      </w:tc>
      <w:tc>
        <w:tcPr>
          <w:tcW w:w="3970" w:type="dxa"/>
          <w:shd w:val="clear" w:color="auto" w:fill="auto"/>
        </w:tcPr>
        <w:p w14:paraId="77103388" w14:textId="77777777" w:rsidR="00B57262" w:rsidRDefault="00B57262" w:rsidP="00B57262">
          <w:pPr>
            <w:pStyle w:val="spacer"/>
          </w:pPr>
        </w:p>
      </w:tc>
      <w:tc>
        <w:tcPr>
          <w:tcW w:w="686" w:type="dxa"/>
          <w:shd w:val="clear" w:color="auto" w:fill="auto"/>
        </w:tcPr>
        <w:p w14:paraId="4395E11E" w14:textId="77777777" w:rsidR="00B57262" w:rsidRDefault="00B57262" w:rsidP="00B57262">
          <w:pPr>
            <w:pStyle w:val="spacer"/>
          </w:pPr>
        </w:p>
      </w:tc>
    </w:tr>
  </w:tbl>
  <w:p w14:paraId="1828DE2A" w14:textId="77777777" w:rsidR="00B57262" w:rsidRDefault="00B57262" w:rsidP="00B57262">
    <w:pPr>
      <w:pStyle w:val="Header"/>
    </w:pPr>
    <w:r w:rsidRPr="00AE0C11">
      <w:rPr>
        <w:noProof/>
      </w:rPr>
      <mc:AlternateContent>
        <mc:Choice Requires="wps">
          <w:drawing>
            <wp:anchor distT="0" distB="0" distL="114300" distR="114300" simplePos="0" relativeHeight="251658243" behindDoc="1" locked="1" layoutInCell="1" allowOverlap="1" wp14:anchorId="72DFBC42" wp14:editId="0C46295D">
              <wp:simplePos x="0" y="0"/>
              <wp:positionH relativeFrom="page">
                <wp:posOffset>0</wp:posOffset>
              </wp:positionH>
              <wp:positionV relativeFrom="page">
                <wp:posOffset>0</wp:posOffset>
              </wp:positionV>
              <wp:extent cx="7560945" cy="10692765"/>
              <wp:effectExtent l="0" t="0" r="1905" b="0"/>
              <wp:wrapNone/>
              <wp:docPr id="6" name="Freeform: Shape 6">
                <a:extLst xmlns:a="http://schemas.openxmlformats.org/drawingml/2006/main">
                  <a:ext uri="{FF2B5EF4-FFF2-40B4-BE49-F238E27FC236}">
                    <a16:creationId xmlns:a16="http://schemas.microsoft.com/office/drawing/2014/main" id="{06C76E48-E0DE-409E-BEDE-C04DF6DA2F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560945" cy="10692765"/>
                      </a:xfrm>
                      <a:custGeom>
                        <a:avLst/>
                        <a:gdLst>
                          <a:gd name="T0" fmla="*/ 2685 w 3055"/>
                          <a:gd name="T1" fmla="*/ 0 h 4319"/>
                          <a:gd name="T2" fmla="*/ 370 w 3055"/>
                          <a:gd name="T3" fmla="*/ 0 h 4319"/>
                          <a:gd name="T4" fmla="*/ 0 w 3055"/>
                          <a:gd name="T5" fmla="*/ 0 h 4319"/>
                          <a:gd name="T6" fmla="*/ 0 w 3055"/>
                          <a:gd name="T7" fmla="*/ 370 h 4319"/>
                          <a:gd name="T8" fmla="*/ 0 w 3055"/>
                          <a:gd name="T9" fmla="*/ 3950 h 4319"/>
                          <a:gd name="T10" fmla="*/ 0 w 3055"/>
                          <a:gd name="T11" fmla="*/ 4319 h 4319"/>
                          <a:gd name="T12" fmla="*/ 370 w 3055"/>
                          <a:gd name="T13" fmla="*/ 4319 h 4319"/>
                          <a:gd name="T14" fmla="*/ 2685 w 3055"/>
                          <a:gd name="T15" fmla="*/ 4319 h 4319"/>
                          <a:gd name="T16" fmla="*/ 3055 w 3055"/>
                          <a:gd name="T17" fmla="*/ 4319 h 4319"/>
                          <a:gd name="T18" fmla="*/ 3055 w 3055"/>
                          <a:gd name="T19" fmla="*/ 3950 h 4319"/>
                          <a:gd name="T20" fmla="*/ 3055 w 3055"/>
                          <a:gd name="T21" fmla="*/ 370 h 4319"/>
                          <a:gd name="T22" fmla="*/ 3055 w 3055"/>
                          <a:gd name="T23" fmla="*/ 0 h 4319"/>
                          <a:gd name="T24" fmla="*/ 2685 w 3055"/>
                          <a:gd name="T25" fmla="*/ 0 h 4319"/>
                          <a:gd name="T26" fmla="*/ 2685 w 3055"/>
                          <a:gd name="T27" fmla="*/ 3950 h 4319"/>
                          <a:gd name="T28" fmla="*/ 370 w 3055"/>
                          <a:gd name="T29" fmla="*/ 3950 h 4319"/>
                          <a:gd name="T30" fmla="*/ 370 w 3055"/>
                          <a:gd name="T31" fmla="*/ 370 h 4319"/>
                          <a:gd name="T32" fmla="*/ 2685 w 3055"/>
                          <a:gd name="T33" fmla="*/ 370 h 4319"/>
                          <a:gd name="T34" fmla="*/ 2685 w 3055"/>
                          <a:gd name="T35" fmla="*/ 3950 h 4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55" h="4319">
                            <a:moveTo>
                              <a:pt x="2685" y="0"/>
                            </a:moveTo>
                            <a:lnTo>
                              <a:pt x="370" y="0"/>
                            </a:lnTo>
                            <a:lnTo>
                              <a:pt x="0" y="0"/>
                            </a:lnTo>
                            <a:lnTo>
                              <a:pt x="0" y="370"/>
                            </a:lnTo>
                            <a:lnTo>
                              <a:pt x="0" y="3950"/>
                            </a:lnTo>
                            <a:lnTo>
                              <a:pt x="0" y="4319"/>
                            </a:lnTo>
                            <a:lnTo>
                              <a:pt x="370" y="4319"/>
                            </a:lnTo>
                            <a:lnTo>
                              <a:pt x="2685" y="4319"/>
                            </a:lnTo>
                            <a:lnTo>
                              <a:pt x="3055" y="4319"/>
                            </a:lnTo>
                            <a:lnTo>
                              <a:pt x="3055" y="3950"/>
                            </a:lnTo>
                            <a:lnTo>
                              <a:pt x="3055" y="370"/>
                            </a:lnTo>
                            <a:lnTo>
                              <a:pt x="3055" y="0"/>
                            </a:lnTo>
                            <a:lnTo>
                              <a:pt x="2685" y="0"/>
                            </a:lnTo>
                            <a:close/>
                            <a:moveTo>
                              <a:pt x="2685" y="3950"/>
                            </a:moveTo>
                            <a:lnTo>
                              <a:pt x="370" y="3950"/>
                            </a:lnTo>
                            <a:lnTo>
                              <a:pt x="370" y="370"/>
                            </a:lnTo>
                            <a:lnTo>
                              <a:pt x="2685" y="370"/>
                            </a:lnTo>
                            <a:lnTo>
                              <a:pt x="2685" y="3950"/>
                            </a:lnTo>
                            <a:close/>
                          </a:path>
                        </a:pathLst>
                      </a:custGeom>
                      <a:solidFill>
                        <a:srgbClr val="FFFE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9174AC8" id="Freeform: Shape 6" o:spid="_x0000_s1026" style="position:absolute;margin-left:0;margin-top:0;width:595.35pt;height:841.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055,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" path="m2685,l370,,,,,370,,3950r,369l370,4319r2315,l3055,4319r,-369l3055,370,3055,,2685,xm2685,3950r-2315,l370,370r2315,l2685,3950xe" fillcolor="#fffeff" stroked="f">
              <v:path arrowok="t" o:connecttype="custom" o:connectlocs="6645217,0;915728,0;0,0;0,916028;0,9779213;0,10692765;915728,10692765;6645217,10692765;7560945,10692765;7560945,9779213;7560945,916028;7560945,0;6645217,0;6645217,9779213;915728,9779213;915728,916028;6645217,916028;6645217,9779213" o:connectangles="0,0,0,0,0,0,0,0,0,0,0,0,0,0,0,0,0,0"/>
              <o:lock v:ext="edit" verticies="t"/>
              <w10:wrap anchorx="page" anchory="page"/>
              <w10:anchorlock/>
            </v:shape>
          </w:pict>
        </mc:Fallback>
      </mc:AlternateContent>
    </w:r>
    <w:r>
      <w:rPr>
        <w:noProof/>
      </w:rPr>
      <w:drawing>
        <wp:anchor distT="0" distB="0" distL="114300" distR="114300" simplePos="0" relativeHeight="251658242" behindDoc="1" locked="1" layoutInCell="1" allowOverlap="1" wp14:anchorId="7AAD9226" wp14:editId="6FCCB2F0">
          <wp:simplePos x="0" y="0"/>
          <wp:positionH relativeFrom="page">
            <wp:posOffset>0</wp:posOffset>
          </wp:positionH>
          <wp:positionV relativeFrom="page">
            <wp:posOffset>0</wp:posOffset>
          </wp:positionV>
          <wp:extent cx="7560945" cy="10692765"/>
          <wp:effectExtent l="0" t="0" r="1905" b="0"/>
          <wp:wrapNone/>
          <wp:docPr id="173550711" name="Picture 173550711" descr="Ico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94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7D921" w14:textId="77777777" w:rsidR="00B57262" w:rsidRDefault="00B57262" w:rsidP="00B572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88752" w14:textId="77777777" w:rsidR="003C6BC2" w:rsidRDefault="003C6BC2" w:rsidP="000E1A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ISAPlainTable"/>
      <w:tblW w:w="9023" w:type="dxa"/>
      <w:tblBorders>
        <w:top w:val="none" w:sz="0" w:space="0" w:color="auto"/>
        <w:bottom w:val="none" w:sz="0" w:space="0" w:color="auto"/>
        <w:insideH w:val="none" w:sz="0" w:space="0" w:color="auto"/>
      </w:tblBorders>
      <w:tblLayout w:type="fixed"/>
      <w:tblCellMar>
        <w:right w:w="0" w:type="dxa"/>
      </w:tblCellMar>
      <w:tblLook w:val="04A0" w:firstRow="1" w:lastRow="0" w:firstColumn="1" w:lastColumn="0" w:noHBand="0" w:noVBand="1"/>
    </w:tblPr>
    <w:tblGrid>
      <w:gridCol w:w="3732"/>
      <w:gridCol w:w="4605"/>
      <w:gridCol w:w="686"/>
    </w:tblGrid>
    <w:tr w:rsidR="003C6BC2" w14:paraId="1AF73C10" w14:textId="77777777">
      <w:trPr>
        <w:cnfStyle w:val="100000000000" w:firstRow="1" w:lastRow="0" w:firstColumn="0" w:lastColumn="0" w:oddVBand="0" w:evenVBand="0" w:oddHBand="0" w:evenHBand="0" w:firstRowFirstColumn="0" w:firstRowLastColumn="0" w:lastRowFirstColumn="0" w:lastRowLastColumn="0"/>
      </w:trPr>
      <w:tc>
        <w:tcPr>
          <w:tcW w:w="3732" w:type="dxa"/>
          <w:shd w:val="clear" w:color="auto" w:fill="auto"/>
        </w:tcPr>
        <w:p w14:paraId="4E1808E6" w14:textId="77777777" w:rsidR="003C6BC2" w:rsidRDefault="003C6BC2" w:rsidP="005F4203">
          <w:pPr>
            <w:pStyle w:val="HeaderISA"/>
          </w:pPr>
          <w:r w:rsidRPr="00481C25">
            <w:rPr>
              <w:color w:val="4EB1A9"/>
            </w:rPr>
            <w:t>INDEPENDENT</w:t>
          </w:r>
          <w:r>
            <w:t xml:space="preserve"> </w:t>
          </w:r>
          <w:r w:rsidRPr="00481C25">
            <w:t>SCHOOLS</w:t>
          </w:r>
          <w:r>
            <w:t xml:space="preserve"> </w:t>
          </w:r>
          <w:r w:rsidRPr="00481C25">
            <w:rPr>
              <w:color w:val="A6CD39"/>
            </w:rPr>
            <w:t>AUSTRALIA</w:t>
          </w:r>
        </w:p>
      </w:tc>
      <w:tc>
        <w:tcPr>
          <w:tcW w:w="4605" w:type="dxa"/>
          <w:shd w:val="clear" w:color="auto" w:fill="auto"/>
        </w:tcPr>
        <w:p w14:paraId="0B1A50C6" w14:textId="6D8BA600" w:rsidR="003C6BC2" w:rsidRDefault="003C6BC2" w:rsidP="005F4203">
          <w:pPr>
            <w:pStyle w:val="HeaderChapterName"/>
          </w:pPr>
          <w:r>
            <w:rPr>
              <w:noProof/>
            </w:rPr>
            <w:t xml:space="preserve">                 </w:t>
          </w:r>
        </w:p>
      </w:tc>
      <w:tc>
        <w:tcPr>
          <w:tcW w:w="686" w:type="dxa"/>
          <w:shd w:val="clear" w:color="auto" w:fill="auto"/>
        </w:tcPr>
        <w:p w14:paraId="0B998104" w14:textId="682CA1C4" w:rsidR="003C6BC2" w:rsidRDefault="00C378FC" w:rsidP="005F4203">
          <w:pPr>
            <w:pStyle w:val="PageNum"/>
          </w:pPr>
          <w:r>
            <w:fldChar w:fldCharType="begin"/>
          </w:r>
          <w:r>
            <w:instrText xml:space="preserve"> PAGE  \* Arabic  \* MERGEFORMAT </w:instrText>
          </w:r>
          <w:r>
            <w:fldChar w:fldCharType="separate"/>
          </w:r>
          <w:r>
            <w:t>3</w:t>
          </w:r>
          <w:r>
            <w:fldChar w:fldCharType="end"/>
          </w:r>
          <w:r w:rsidR="003C6BC2">
            <w:t>/</w:t>
          </w:r>
          <w:r w:rsidR="00000000">
            <w:fldChar w:fldCharType="begin"/>
          </w:r>
          <w:r w:rsidR="00000000">
            <w:instrText xml:space="preserve"> NUMPAGES  \* Arabic  \* MERGEFORMAT </w:instrText>
          </w:r>
          <w:r w:rsidR="00000000">
            <w:fldChar w:fldCharType="separate"/>
          </w:r>
          <w:r w:rsidR="003C6BC2">
            <w:t>7</w:t>
          </w:r>
          <w:r w:rsidR="00000000">
            <w:fldChar w:fldCharType="end"/>
          </w:r>
        </w:p>
      </w:tc>
    </w:tr>
  </w:tbl>
  <w:p w14:paraId="19C801D7" w14:textId="2A7A223E" w:rsidR="003C6BC2" w:rsidRDefault="003C6BC2" w:rsidP="005F42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66E3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D8699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A04D6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E27DF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8C92F45"/>
    <w:multiLevelType w:val="multilevel"/>
    <w:tmpl w:val="AE64B802"/>
    <w:styleLink w:val="lstStyleHeadingAp"/>
    <w:lvl w:ilvl="0">
      <w:start w:val="1"/>
      <w:numFmt w:val="upperLetter"/>
      <w:pStyle w:val="Heading1Ap"/>
      <w:lvlText w:val="%1"/>
      <w:lvlJc w:val="right"/>
      <w:pPr>
        <w:ind w:left="0" w:hanging="28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1400193"/>
    <w:multiLevelType w:val="multilevel"/>
    <w:tmpl w:val="2E9227AA"/>
    <w:lvl w:ilvl="0">
      <w:start w:val="1"/>
      <w:numFmt w:val="bullet"/>
      <w:pStyle w:val="ListBullet"/>
      <w:lvlText w:val="—"/>
      <w:lvlJc w:val="left"/>
      <w:pPr>
        <w:ind w:left="397" w:hanging="397"/>
      </w:pPr>
      <w:rPr>
        <w:rFonts w:ascii="Nunito Light" w:hAnsi="Nunito Light" w:hint="default"/>
        <w:color w:val="000100"/>
      </w:rPr>
    </w:lvl>
    <w:lvl w:ilvl="1">
      <w:start w:val="1"/>
      <w:numFmt w:val="bullet"/>
      <w:pStyle w:val="ListBullet2"/>
      <w:lvlText w:val="–"/>
      <w:lvlJc w:val="left"/>
      <w:pPr>
        <w:ind w:left="794" w:hanging="397"/>
      </w:pPr>
      <w:rPr>
        <w:rFonts w:ascii="Nunito Light" w:hAnsi="Nunito Light" w:hint="default"/>
        <w:color w:val="000100"/>
      </w:rPr>
    </w:lvl>
    <w:lvl w:ilvl="2">
      <w:start w:val="1"/>
      <w:numFmt w:val="bullet"/>
      <w:pStyle w:val="ListBullet3"/>
      <w:lvlText w:val="•"/>
      <w:lvlJc w:val="left"/>
      <w:pPr>
        <w:ind w:left="1191" w:hanging="397"/>
      </w:pPr>
      <w:rPr>
        <w:rFonts w:ascii="Nunito Light" w:hAnsi="Nunito Light" w:hint="default"/>
        <w:color w:val="000100"/>
        <w:sz w:val="16"/>
      </w:rPr>
    </w:lvl>
    <w:lvl w:ilvl="3">
      <w:start w:val="1"/>
      <w:numFmt w:val="none"/>
      <w:lvlText w:val=""/>
      <w:lvlJc w:val="left"/>
      <w:pPr>
        <w:ind w:left="757" w:hanging="397"/>
      </w:pPr>
      <w:rPr>
        <w:rFonts w:hint="default"/>
      </w:rPr>
    </w:lvl>
    <w:lvl w:ilvl="4">
      <w:start w:val="1"/>
      <w:numFmt w:val="none"/>
      <w:lvlText w:val=""/>
      <w:lvlJc w:val="left"/>
      <w:pPr>
        <w:ind w:left="877" w:hanging="397"/>
      </w:pPr>
      <w:rPr>
        <w:rFonts w:hint="default"/>
      </w:rPr>
    </w:lvl>
    <w:lvl w:ilvl="5">
      <w:start w:val="1"/>
      <w:numFmt w:val="none"/>
      <w:lvlText w:val=""/>
      <w:lvlJc w:val="left"/>
      <w:pPr>
        <w:ind w:left="997" w:hanging="397"/>
      </w:pPr>
      <w:rPr>
        <w:rFonts w:hint="default"/>
      </w:rPr>
    </w:lvl>
    <w:lvl w:ilvl="6">
      <w:start w:val="1"/>
      <w:numFmt w:val="none"/>
      <w:lvlText w:val=""/>
      <w:lvlJc w:val="left"/>
      <w:pPr>
        <w:ind w:left="1117" w:hanging="397"/>
      </w:pPr>
      <w:rPr>
        <w:rFonts w:hint="default"/>
      </w:rPr>
    </w:lvl>
    <w:lvl w:ilvl="7">
      <w:start w:val="1"/>
      <w:numFmt w:val="none"/>
      <w:lvlText w:val=""/>
      <w:lvlJc w:val="left"/>
      <w:pPr>
        <w:ind w:left="1237" w:hanging="397"/>
      </w:pPr>
      <w:rPr>
        <w:rFonts w:hint="default"/>
      </w:rPr>
    </w:lvl>
    <w:lvl w:ilvl="8">
      <w:start w:val="1"/>
      <w:numFmt w:val="none"/>
      <w:lvlText w:val=""/>
      <w:lvlJc w:val="left"/>
      <w:pPr>
        <w:ind w:left="1357" w:hanging="397"/>
      </w:pPr>
      <w:rPr>
        <w:rFonts w:hint="default"/>
      </w:rPr>
    </w:lvl>
  </w:abstractNum>
  <w:abstractNum w:abstractNumId="6" w15:restartNumberingAfterBreak="0">
    <w:nsid w:val="1CDA1DB1"/>
    <w:multiLevelType w:val="hybridMultilevel"/>
    <w:tmpl w:val="DCBA46DC"/>
    <w:lvl w:ilvl="0" w:tplc="64604470">
      <w:start w:val="1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4D0593"/>
    <w:multiLevelType w:val="multilevel"/>
    <w:tmpl w:val="B1744C82"/>
    <w:styleLink w:val="lstStyleListNumber"/>
    <w:lvl w:ilvl="0">
      <w:start w:val="1"/>
      <w:numFmt w:val="decimal"/>
      <w:pStyle w:val="ListNumber"/>
      <w:lvlText w:val="%1."/>
      <w:lvlJc w:val="left"/>
      <w:pPr>
        <w:ind w:left="397" w:hanging="397"/>
      </w:pPr>
      <w:rPr>
        <w:rFonts w:ascii="Nunito Light" w:hAnsi="Nunito Light" w:cs="Arial" w:hint="default"/>
      </w:rPr>
    </w:lvl>
    <w:lvl w:ilvl="1">
      <w:start w:val="1"/>
      <w:numFmt w:val="lowerLetter"/>
      <w:pStyle w:val="ListNumber2"/>
      <w:lvlText w:val="%2)"/>
      <w:lvlJc w:val="left"/>
      <w:pPr>
        <w:ind w:left="794" w:hanging="397"/>
      </w:pPr>
      <w:rPr>
        <w:rFonts w:ascii="Nunito Light" w:hAnsi="Nunito Light" w:hint="default"/>
      </w:rPr>
    </w:lvl>
    <w:lvl w:ilvl="2">
      <w:start w:val="1"/>
      <w:numFmt w:val="lowerRoman"/>
      <w:pStyle w:val="ListNumber3"/>
      <w:lvlText w:val="%3)"/>
      <w:lvlJc w:val="left"/>
      <w:pPr>
        <w:ind w:left="1191" w:hanging="397"/>
      </w:pPr>
      <w:rPr>
        <w:rFonts w:ascii="Nunito Light" w:hAnsi="Nunito Light"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8" w15:restartNumberingAfterBreak="0">
    <w:nsid w:val="31D169A2"/>
    <w:multiLevelType w:val="multilevel"/>
    <w:tmpl w:val="06289A6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pStyle w:val="Heading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D00E8C"/>
    <w:multiLevelType w:val="multilevel"/>
    <w:tmpl w:val="237CAF26"/>
    <w:styleLink w:val="lstStyleNumberISAindented"/>
    <w:lvl w:ilvl="0">
      <w:start w:val="1"/>
      <w:numFmt w:val="decimal"/>
      <w:pStyle w:val="ListNumberAlignedwith111"/>
      <w:lvlText w:val="%1."/>
      <w:lvlJc w:val="left"/>
      <w:pPr>
        <w:tabs>
          <w:tab w:val="num" w:pos="612"/>
        </w:tabs>
        <w:ind w:left="1418" w:hanging="806"/>
      </w:pPr>
      <w:rPr>
        <w:rFonts w:ascii="Nunito Light" w:hAnsi="Nunito Light" w:hint="default"/>
        <w:sz w:val="20"/>
      </w:rPr>
    </w:lvl>
    <w:lvl w:ilvl="1">
      <w:start w:val="1"/>
      <w:numFmt w:val="decimal"/>
      <w:pStyle w:val="ListNumberAlignedwith1111"/>
      <w:lvlText w:val="%2."/>
      <w:lvlJc w:val="left"/>
      <w:pPr>
        <w:tabs>
          <w:tab w:val="num" w:pos="1418"/>
        </w:tabs>
        <w:ind w:left="2381" w:hanging="963"/>
      </w:pPr>
      <w:rPr>
        <w:rFonts w:hint="default"/>
      </w:rPr>
    </w:lvl>
    <w:lvl w:ilvl="2">
      <w:start w:val="1"/>
      <w:numFmt w:val="lowerLetter"/>
      <w:pStyle w:val="ListNumberAlignedwith1111Alt"/>
      <w:lvlText w:val="%3)"/>
      <w:lvlJc w:val="left"/>
      <w:pPr>
        <w:ind w:left="2381" w:hanging="963"/>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B8934F8"/>
    <w:multiLevelType w:val="multilevel"/>
    <w:tmpl w:val="0C09001F"/>
    <w:styleLink w:val="111111"/>
    <w:lvl w:ilvl="0">
      <w:start w:val="1"/>
      <w:numFmt w:val="decimal"/>
      <w:lvlText w:val="%1."/>
      <w:lvlJc w:val="left"/>
      <w:pPr>
        <w:ind w:left="360" w:hanging="360"/>
      </w:pPr>
      <w:rPr>
        <w:rFonts w:ascii="Nunito Light" w:hAnsi="Nunito Light"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F822471"/>
    <w:multiLevelType w:val="multilevel"/>
    <w:tmpl w:val="AE64B802"/>
    <w:numStyleLink w:val="lstStyleHeadingAp"/>
  </w:abstractNum>
  <w:abstractNum w:abstractNumId="12" w15:restartNumberingAfterBreak="0">
    <w:nsid w:val="447C10C0"/>
    <w:multiLevelType w:val="multilevel"/>
    <w:tmpl w:val="C6D46BE8"/>
    <w:styleLink w:val="ArticleSection"/>
    <w:lvl w:ilvl="0">
      <w:start w:val="1"/>
      <w:numFmt w:val="upperRoman"/>
      <w:lvlText w:val="Article %1."/>
      <w:lvlJc w:val="left"/>
      <w:pPr>
        <w:ind w:left="0" w:firstLine="0"/>
      </w:pPr>
      <w:rPr>
        <w:rFonts w:ascii="Nunito Light" w:hAnsi="Nunito Light" w:cs="Arial"/>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15:restartNumberingAfterBreak="0">
    <w:nsid w:val="4BF2386D"/>
    <w:multiLevelType w:val="multilevel"/>
    <w:tmpl w:val="6A0CB4DA"/>
    <w:numStyleLink w:val="lstStyleBulletsISAindented"/>
  </w:abstractNum>
  <w:abstractNum w:abstractNumId="14" w15:restartNumberingAfterBreak="0">
    <w:nsid w:val="51922483"/>
    <w:multiLevelType w:val="multilevel"/>
    <w:tmpl w:val="BEBA5DC6"/>
    <w:styleLink w:val="lstStyleHeadings"/>
    <w:lvl w:ilvl="0">
      <w:start w:val="1"/>
      <w:numFmt w:val="none"/>
      <w:lvlText w:val=""/>
      <w:lvlJc w:val="righ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ind w:left="0" w:firstLine="0"/>
      </w:pPr>
      <w:rPr>
        <w:rFonts w:hint="default"/>
      </w:rPr>
    </w:lvl>
    <w:lvl w:ilvl="4">
      <w:start w:val="1"/>
      <w:numFmt w:val="none"/>
      <w:lvlText w:val=""/>
      <w:lvlJc w:val="left"/>
      <w:pPr>
        <w:ind w:left="720" w:firstLine="0"/>
      </w:pPr>
      <w:rPr>
        <w:rFonts w:hint="default"/>
      </w:rPr>
    </w:lvl>
    <w:lvl w:ilvl="5">
      <w:start w:val="1"/>
      <w:numFmt w:val="none"/>
      <w:lvlText w:val=""/>
      <w:lvlJc w:val="left"/>
      <w:pPr>
        <w:ind w:left="720" w:firstLine="0"/>
      </w:pPr>
      <w:rPr>
        <w:rFonts w:hint="default"/>
      </w:rPr>
    </w:lvl>
    <w:lvl w:ilvl="6">
      <w:start w:val="1"/>
      <w:numFmt w:val="none"/>
      <w:lvlText w:val=""/>
      <w:lvlJc w:val="left"/>
      <w:pPr>
        <w:ind w:left="720" w:firstLine="0"/>
      </w:pPr>
      <w:rPr>
        <w:rFonts w:hint="default"/>
      </w:rPr>
    </w:lvl>
    <w:lvl w:ilvl="7">
      <w:start w:val="1"/>
      <w:numFmt w:val="none"/>
      <w:lvlText w:val=""/>
      <w:lvlJc w:val="left"/>
      <w:pPr>
        <w:ind w:left="720" w:firstLine="0"/>
      </w:pPr>
      <w:rPr>
        <w:rFonts w:hint="default"/>
      </w:rPr>
    </w:lvl>
    <w:lvl w:ilvl="8">
      <w:start w:val="1"/>
      <w:numFmt w:val="none"/>
      <w:lvlText w:val=""/>
      <w:lvlJc w:val="left"/>
      <w:pPr>
        <w:ind w:left="720" w:firstLine="0"/>
      </w:pPr>
      <w:rPr>
        <w:rFonts w:hint="default"/>
      </w:rPr>
    </w:lvl>
  </w:abstractNum>
  <w:abstractNum w:abstractNumId="15" w15:restartNumberingAfterBreak="0">
    <w:nsid w:val="5C975CCA"/>
    <w:multiLevelType w:val="multilevel"/>
    <w:tmpl w:val="32C890E2"/>
    <w:styleLink w:val="lstStylenumberedParas"/>
    <w:lvl w:ilvl="0">
      <w:start w:val="1"/>
      <w:numFmt w:val="none"/>
      <w:lvlText w:val=""/>
      <w:lvlJc w:val="left"/>
      <w:pPr>
        <w:ind w:left="0" w:firstLine="0"/>
      </w:pPr>
      <w:rPr>
        <w:rFonts w:ascii="Nunito Light" w:hAnsi="Nunito Light" w:hint="default"/>
      </w:rPr>
    </w:lvl>
    <w:lvl w:ilvl="1">
      <w:start w:val="1"/>
      <w:numFmt w:val="decimal"/>
      <w:lvlText w:val="%2."/>
      <w:lvlJc w:val="right"/>
      <w:pPr>
        <w:ind w:left="0" w:hanging="238"/>
      </w:pPr>
      <w:rPr>
        <w:rFonts w:hint="default"/>
      </w:rPr>
    </w:lvl>
    <w:lvl w:ilvl="2">
      <w:start w:val="1"/>
      <w:numFmt w:val="decimal"/>
      <w:lvlText w:val="%1%2.%3"/>
      <w:lvlJc w:val="left"/>
      <w:pPr>
        <w:ind w:left="612" w:hanging="612"/>
      </w:pPr>
      <w:rPr>
        <w:rFonts w:hint="default"/>
      </w:rPr>
    </w:lvl>
    <w:lvl w:ilvl="3">
      <w:start w:val="1"/>
      <w:numFmt w:val="decimal"/>
      <w:lvlText w:val="%1%2.%3.%4"/>
      <w:lvlJc w:val="left"/>
      <w:pPr>
        <w:ind w:left="612" w:hanging="612"/>
      </w:pPr>
      <w:rPr>
        <w:rFonts w:hint="default"/>
      </w:rPr>
    </w:lvl>
    <w:lvl w:ilvl="4">
      <w:start w:val="1"/>
      <w:numFmt w:val="decimal"/>
      <w:lvlText w:val="%2.%3.%4.%5"/>
      <w:lvlJc w:val="left"/>
      <w:pPr>
        <w:ind w:left="1418" w:hanging="806"/>
      </w:pPr>
      <w:rPr>
        <w:rFonts w:hint="default"/>
      </w:rPr>
    </w:lvl>
    <w:lvl w:ilvl="5">
      <w:start w:val="1"/>
      <w:numFmt w:val="decimal"/>
      <w:lvlRestart w:val="3"/>
      <w:lvlText w:val="%2.%3.%6"/>
      <w:lvlJc w:val="left"/>
      <w:pPr>
        <w:ind w:left="612" w:hanging="612"/>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5E965B49"/>
    <w:multiLevelType w:val="multilevel"/>
    <w:tmpl w:val="0C09001D"/>
    <w:styleLink w:val="1ai"/>
    <w:lvl w:ilvl="0">
      <w:start w:val="1"/>
      <w:numFmt w:val="decimal"/>
      <w:lvlText w:val="%1)"/>
      <w:lvlJc w:val="left"/>
      <w:pPr>
        <w:ind w:left="360" w:hanging="360"/>
      </w:pPr>
      <w:rPr>
        <w:rFonts w:ascii="Nunito Light" w:hAnsi="Nunito Light"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DE9436B"/>
    <w:multiLevelType w:val="multilevel"/>
    <w:tmpl w:val="6A0CB4DA"/>
    <w:styleLink w:val="lstStyleBulletsISAindented"/>
    <w:lvl w:ilvl="0">
      <w:start w:val="1"/>
      <w:numFmt w:val="bullet"/>
      <w:pStyle w:val="ListBulletAlignedwith111"/>
      <w:lvlText w:val="—"/>
      <w:lvlJc w:val="left"/>
      <w:pPr>
        <w:ind w:left="1418" w:hanging="806"/>
      </w:pPr>
      <w:rPr>
        <w:rFonts w:ascii="Nunito Light" w:hAnsi="Nunito Light" w:hint="default"/>
        <w:color w:val="000100"/>
        <w:sz w:val="20"/>
      </w:rPr>
    </w:lvl>
    <w:lvl w:ilvl="1">
      <w:start w:val="1"/>
      <w:numFmt w:val="bullet"/>
      <w:pStyle w:val="ListBulletAlignedwith1111"/>
      <w:lvlText w:val="–"/>
      <w:lvlJc w:val="left"/>
      <w:pPr>
        <w:tabs>
          <w:tab w:val="num" w:pos="1418"/>
        </w:tabs>
        <w:ind w:left="2381" w:hanging="963"/>
      </w:pPr>
      <w:rPr>
        <w:rFonts w:ascii="Nunito Light" w:hAnsi="Nunito Light" w:hint="default"/>
        <w:color w:val="000100"/>
      </w:rPr>
    </w:lvl>
    <w:lvl w:ilvl="2">
      <w:start w:val="1"/>
      <w:numFmt w:val="bullet"/>
      <w:pStyle w:val="ListBulletAlignedwith1111Alt"/>
      <w:lvlText w:val="•"/>
      <w:lvlJc w:val="left"/>
      <w:pPr>
        <w:ind w:left="2381" w:hanging="963"/>
      </w:pPr>
      <w:rPr>
        <w:rFonts w:ascii="Nunito Light" w:hAnsi="Nunito Light" w:hint="default"/>
        <w:color w:val="00010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6E7C54D1"/>
    <w:multiLevelType w:val="multilevel"/>
    <w:tmpl w:val="BEBA5DC6"/>
    <w:numStyleLink w:val="lstStyleHeadings"/>
  </w:abstractNum>
  <w:abstractNum w:abstractNumId="19" w15:restartNumberingAfterBreak="0">
    <w:nsid w:val="7B6350CE"/>
    <w:multiLevelType w:val="multilevel"/>
    <w:tmpl w:val="2E9227AA"/>
    <w:styleLink w:val="lstStyleBullets"/>
    <w:lvl w:ilvl="0">
      <w:start w:val="1"/>
      <w:numFmt w:val="bullet"/>
      <w:lvlText w:val="—"/>
      <w:lvlJc w:val="left"/>
      <w:pPr>
        <w:ind w:left="397" w:hanging="397"/>
      </w:pPr>
      <w:rPr>
        <w:rFonts w:ascii="Nunito Light" w:hAnsi="Nunito Light" w:hint="default"/>
        <w:color w:val="000100"/>
      </w:rPr>
    </w:lvl>
    <w:lvl w:ilvl="1">
      <w:start w:val="1"/>
      <w:numFmt w:val="bullet"/>
      <w:lvlText w:val="–"/>
      <w:lvlJc w:val="left"/>
      <w:pPr>
        <w:ind w:left="794" w:hanging="397"/>
      </w:pPr>
      <w:rPr>
        <w:rFonts w:ascii="Nunito Light" w:hAnsi="Nunito Light" w:hint="default"/>
        <w:color w:val="000100"/>
      </w:rPr>
    </w:lvl>
    <w:lvl w:ilvl="2">
      <w:start w:val="1"/>
      <w:numFmt w:val="bullet"/>
      <w:lvlText w:val="•"/>
      <w:lvlJc w:val="left"/>
      <w:pPr>
        <w:ind w:left="1191" w:hanging="397"/>
      </w:pPr>
      <w:rPr>
        <w:rFonts w:ascii="Nunito Light" w:hAnsi="Nunito Light" w:hint="default"/>
        <w:color w:val="000100"/>
        <w:sz w:val="16"/>
      </w:rPr>
    </w:lvl>
    <w:lvl w:ilvl="3">
      <w:start w:val="1"/>
      <w:numFmt w:val="none"/>
      <w:lvlText w:val=""/>
      <w:lvlJc w:val="left"/>
      <w:pPr>
        <w:ind w:left="757" w:hanging="397"/>
      </w:pPr>
      <w:rPr>
        <w:rFonts w:hint="default"/>
      </w:rPr>
    </w:lvl>
    <w:lvl w:ilvl="4">
      <w:start w:val="1"/>
      <w:numFmt w:val="none"/>
      <w:lvlText w:val=""/>
      <w:lvlJc w:val="left"/>
      <w:pPr>
        <w:ind w:left="877" w:hanging="397"/>
      </w:pPr>
      <w:rPr>
        <w:rFonts w:hint="default"/>
      </w:rPr>
    </w:lvl>
    <w:lvl w:ilvl="5">
      <w:start w:val="1"/>
      <w:numFmt w:val="none"/>
      <w:lvlText w:val=""/>
      <w:lvlJc w:val="left"/>
      <w:pPr>
        <w:ind w:left="997" w:hanging="397"/>
      </w:pPr>
      <w:rPr>
        <w:rFonts w:hint="default"/>
      </w:rPr>
    </w:lvl>
    <w:lvl w:ilvl="6">
      <w:start w:val="1"/>
      <w:numFmt w:val="none"/>
      <w:lvlText w:val=""/>
      <w:lvlJc w:val="left"/>
      <w:pPr>
        <w:ind w:left="1117" w:hanging="397"/>
      </w:pPr>
      <w:rPr>
        <w:rFonts w:hint="default"/>
      </w:rPr>
    </w:lvl>
    <w:lvl w:ilvl="7">
      <w:start w:val="1"/>
      <w:numFmt w:val="none"/>
      <w:lvlText w:val=""/>
      <w:lvlJc w:val="left"/>
      <w:pPr>
        <w:ind w:left="1237" w:hanging="397"/>
      </w:pPr>
      <w:rPr>
        <w:rFonts w:hint="default"/>
      </w:rPr>
    </w:lvl>
    <w:lvl w:ilvl="8">
      <w:start w:val="1"/>
      <w:numFmt w:val="none"/>
      <w:lvlText w:val=""/>
      <w:lvlJc w:val="left"/>
      <w:pPr>
        <w:ind w:left="1357" w:hanging="397"/>
      </w:pPr>
      <w:rPr>
        <w:rFonts w:hint="default"/>
      </w:rPr>
    </w:lvl>
  </w:abstractNum>
  <w:abstractNum w:abstractNumId="20" w15:restartNumberingAfterBreak="0">
    <w:nsid w:val="7BEB426A"/>
    <w:multiLevelType w:val="multilevel"/>
    <w:tmpl w:val="237CAF26"/>
    <w:numStyleLink w:val="lstStyleNumberISAindented"/>
  </w:abstractNum>
  <w:num w:numId="1" w16cid:durableId="236748526">
    <w:abstractNumId w:val="10"/>
  </w:num>
  <w:num w:numId="2" w16cid:durableId="164172840">
    <w:abstractNumId w:val="16"/>
  </w:num>
  <w:num w:numId="3" w16cid:durableId="722752619">
    <w:abstractNumId w:val="12"/>
  </w:num>
  <w:num w:numId="4" w16cid:durableId="1670136041">
    <w:abstractNumId w:val="3"/>
  </w:num>
  <w:num w:numId="5" w16cid:durableId="477185736">
    <w:abstractNumId w:val="2"/>
  </w:num>
  <w:num w:numId="6" w16cid:durableId="442313298">
    <w:abstractNumId w:val="1"/>
  </w:num>
  <w:num w:numId="7" w16cid:durableId="16929707">
    <w:abstractNumId w:val="0"/>
  </w:num>
  <w:num w:numId="8" w16cid:durableId="1059211277">
    <w:abstractNumId w:val="8"/>
  </w:num>
  <w:num w:numId="9" w16cid:durableId="279991276">
    <w:abstractNumId w:val="19"/>
  </w:num>
  <w:num w:numId="10" w16cid:durableId="31924959">
    <w:abstractNumId w:val="7"/>
  </w:num>
  <w:num w:numId="11" w16cid:durableId="1400128566">
    <w:abstractNumId w:val="7"/>
  </w:num>
  <w:num w:numId="12" w16cid:durableId="1717581554">
    <w:abstractNumId w:val="14"/>
  </w:num>
  <w:num w:numId="13" w16cid:durableId="1227759943">
    <w:abstractNumId w:val="5"/>
  </w:num>
  <w:num w:numId="14" w16cid:durableId="1428847114">
    <w:abstractNumId w:val="15"/>
  </w:num>
  <w:num w:numId="15" w16cid:durableId="739208104">
    <w:abstractNumId w:val="17"/>
  </w:num>
  <w:num w:numId="16" w16cid:durableId="355499541">
    <w:abstractNumId w:val="9"/>
  </w:num>
  <w:num w:numId="17" w16cid:durableId="735978955">
    <w:abstractNumId w:val="18"/>
    <w:lvlOverride w:ilvl="3">
      <w:lvl w:ilvl="3">
        <w:start w:val="1"/>
        <w:numFmt w:val="none"/>
        <w:pStyle w:val="Heading4"/>
        <w:lvlText w:val=""/>
        <w:lvlJc w:val="left"/>
        <w:pPr>
          <w:ind w:left="0" w:firstLine="0"/>
        </w:pPr>
        <w:rPr>
          <w:rFonts w:hint="default"/>
        </w:rPr>
      </w:lvl>
    </w:lvlOverride>
  </w:num>
  <w:num w:numId="18" w16cid:durableId="861556066">
    <w:abstractNumId w:val="13"/>
  </w:num>
  <w:num w:numId="19" w16cid:durableId="1437603528">
    <w:abstractNumId w:val="20"/>
  </w:num>
  <w:num w:numId="20" w16cid:durableId="2078937925">
    <w:abstractNumId w:val="4"/>
  </w:num>
  <w:num w:numId="21" w16cid:durableId="672950166">
    <w:abstractNumId w:val="11"/>
  </w:num>
  <w:num w:numId="22" w16cid:durableId="1126242722">
    <w:abstractNumId w:val="6"/>
  </w:num>
  <w:num w:numId="23" w16cid:durableId="1854221418">
    <w:abstractNumId w:val="5"/>
  </w:num>
  <w:num w:numId="24" w16cid:durableId="1014383123">
    <w:abstractNumId w:val="5"/>
  </w:num>
  <w:num w:numId="25" w16cid:durableId="815800584">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defaultTableStyle w:val="ISAPlain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421"/>
    <w:rsid w:val="00000719"/>
    <w:rsid w:val="00000E9D"/>
    <w:rsid w:val="000020A1"/>
    <w:rsid w:val="00002B29"/>
    <w:rsid w:val="00004CFF"/>
    <w:rsid w:val="00005B2C"/>
    <w:rsid w:val="00006A9B"/>
    <w:rsid w:val="00007594"/>
    <w:rsid w:val="00011447"/>
    <w:rsid w:val="000122FA"/>
    <w:rsid w:val="000127AA"/>
    <w:rsid w:val="00012AB2"/>
    <w:rsid w:val="0001441C"/>
    <w:rsid w:val="0001487E"/>
    <w:rsid w:val="000154AD"/>
    <w:rsid w:val="00015795"/>
    <w:rsid w:val="00016D50"/>
    <w:rsid w:val="00016F17"/>
    <w:rsid w:val="0001723D"/>
    <w:rsid w:val="00017B51"/>
    <w:rsid w:val="000208E4"/>
    <w:rsid w:val="00022569"/>
    <w:rsid w:val="000234DB"/>
    <w:rsid w:val="000242A6"/>
    <w:rsid w:val="000262C2"/>
    <w:rsid w:val="0002693D"/>
    <w:rsid w:val="00030F86"/>
    <w:rsid w:val="0003273C"/>
    <w:rsid w:val="000344F3"/>
    <w:rsid w:val="00035011"/>
    <w:rsid w:val="000351FB"/>
    <w:rsid w:val="000367FF"/>
    <w:rsid w:val="00042B35"/>
    <w:rsid w:val="00043261"/>
    <w:rsid w:val="00043BFF"/>
    <w:rsid w:val="000457E4"/>
    <w:rsid w:val="00047EC2"/>
    <w:rsid w:val="0005094E"/>
    <w:rsid w:val="000512A1"/>
    <w:rsid w:val="00051419"/>
    <w:rsid w:val="00054946"/>
    <w:rsid w:val="00062043"/>
    <w:rsid w:val="000623F8"/>
    <w:rsid w:val="00064ACE"/>
    <w:rsid w:val="0006551F"/>
    <w:rsid w:val="00067766"/>
    <w:rsid w:val="00067966"/>
    <w:rsid w:val="00071108"/>
    <w:rsid w:val="00072934"/>
    <w:rsid w:val="00072A24"/>
    <w:rsid w:val="00072B7C"/>
    <w:rsid w:val="0007516B"/>
    <w:rsid w:val="0007607C"/>
    <w:rsid w:val="0007653F"/>
    <w:rsid w:val="00083794"/>
    <w:rsid w:val="00083A56"/>
    <w:rsid w:val="00084DF4"/>
    <w:rsid w:val="000850E3"/>
    <w:rsid w:val="00086812"/>
    <w:rsid w:val="0009042F"/>
    <w:rsid w:val="00094559"/>
    <w:rsid w:val="0009597F"/>
    <w:rsid w:val="00095CAA"/>
    <w:rsid w:val="000A28FF"/>
    <w:rsid w:val="000A3098"/>
    <w:rsid w:val="000A71EB"/>
    <w:rsid w:val="000B0E00"/>
    <w:rsid w:val="000B2310"/>
    <w:rsid w:val="000B2F59"/>
    <w:rsid w:val="000B392A"/>
    <w:rsid w:val="000B3DD9"/>
    <w:rsid w:val="000B461C"/>
    <w:rsid w:val="000B4857"/>
    <w:rsid w:val="000B4CEF"/>
    <w:rsid w:val="000C00FC"/>
    <w:rsid w:val="000C28C0"/>
    <w:rsid w:val="000C2AE7"/>
    <w:rsid w:val="000C3011"/>
    <w:rsid w:val="000C43CB"/>
    <w:rsid w:val="000C48EE"/>
    <w:rsid w:val="000D0717"/>
    <w:rsid w:val="000D258B"/>
    <w:rsid w:val="000D2669"/>
    <w:rsid w:val="000D2D37"/>
    <w:rsid w:val="000D3B13"/>
    <w:rsid w:val="000D4BFB"/>
    <w:rsid w:val="000D4F6D"/>
    <w:rsid w:val="000D6378"/>
    <w:rsid w:val="000E0547"/>
    <w:rsid w:val="000E09FA"/>
    <w:rsid w:val="000E1A71"/>
    <w:rsid w:val="000E3602"/>
    <w:rsid w:val="000E7404"/>
    <w:rsid w:val="000F0489"/>
    <w:rsid w:val="000F0B0B"/>
    <w:rsid w:val="000F23B4"/>
    <w:rsid w:val="000F26E0"/>
    <w:rsid w:val="000F36B9"/>
    <w:rsid w:val="000F3F91"/>
    <w:rsid w:val="000F49B2"/>
    <w:rsid w:val="000F4ADC"/>
    <w:rsid w:val="000F594F"/>
    <w:rsid w:val="000F7128"/>
    <w:rsid w:val="000F7DAA"/>
    <w:rsid w:val="00100A4C"/>
    <w:rsid w:val="001015DB"/>
    <w:rsid w:val="001031B7"/>
    <w:rsid w:val="00103233"/>
    <w:rsid w:val="00103E5F"/>
    <w:rsid w:val="001052C2"/>
    <w:rsid w:val="00106D40"/>
    <w:rsid w:val="001075F2"/>
    <w:rsid w:val="00107A28"/>
    <w:rsid w:val="00107D26"/>
    <w:rsid w:val="00107EFC"/>
    <w:rsid w:val="00111179"/>
    <w:rsid w:val="00112C5E"/>
    <w:rsid w:val="0011633F"/>
    <w:rsid w:val="00116972"/>
    <w:rsid w:val="00116A5E"/>
    <w:rsid w:val="001176C9"/>
    <w:rsid w:val="001176F4"/>
    <w:rsid w:val="00120584"/>
    <w:rsid w:val="0012200A"/>
    <w:rsid w:val="00123BDD"/>
    <w:rsid w:val="00127211"/>
    <w:rsid w:val="00132326"/>
    <w:rsid w:val="0013292C"/>
    <w:rsid w:val="0013755E"/>
    <w:rsid w:val="00140227"/>
    <w:rsid w:val="00140DB5"/>
    <w:rsid w:val="00140FBF"/>
    <w:rsid w:val="0014514F"/>
    <w:rsid w:val="0014540F"/>
    <w:rsid w:val="00146B23"/>
    <w:rsid w:val="001529CA"/>
    <w:rsid w:val="00154646"/>
    <w:rsid w:val="00154BD8"/>
    <w:rsid w:val="0015504B"/>
    <w:rsid w:val="001560D3"/>
    <w:rsid w:val="0015640B"/>
    <w:rsid w:val="00160AD5"/>
    <w:rsid w:val="00161519"/>
    <w:rsid w:val="00164B50"/>
    <w:rsid w:val="00164F78"/>
    <w:rsid w:val="0016527D"/>
    <w:rsid w:val="00166B84"/>
    <w:rsid w:val="0017036B"/>
    <w:rsid w:val="001703BC"/>
    <w:rsid w:val="0017081C"/>
    <w:rsid w:val="00170D4F"/>
    <w:rsid w:val="00171459"/>
    <w:rsid w:val="00171765"/>
    <w:rsid w:val="001742A2"/>
    <w:rsid w:val="001760BB"/>
    <w:rsid w:val="00176A89"/>
    <w:rsid w:val="00176B5A"/>
    <w:rsid w:val="00177A5F"/>
    <w:rsid w:val="00177AAA"/>
    <w:rsid w:val="00177F40"/>
    <w:rsid w:val="00180878"/>
    <w:rsid w:val="00180A5F"/>
    <w:rsid w:val="001815FC"/>
    <w:rsid w:val="001821B8"/>
    <w:rsid w:val="0018651C"/>
    <w:rsid w:val="0019093F"/>
    <w:rsid w:val="0019260E"/>
    <w:rsid w:val="001929D4"/>
    <w:rsid w:val="00192AE0"/>
    <w:rsid w:val="00192C96"/>
    <w:rsid w:val="00194367"/>
    <w:rsid w:val="00194889"/>
    <w:rsid w:val="00195A29"/>
    <w:rsid w:val="00196DD3"/>
    <w:rsid w:val="00197B6D"/>
    <w:rsid w:val="001A1764"/>
    <w:rsid w:val="001A21FC"/>
    <w:rsid w:val="001A2868"/>
    <w:rsid w:val="001A2DD8"/>
    <w:rsid w:val="001A384A"/>
    <w:rsid w:val="001A4054"/>
    <w:rsid w:val="001A6A13"/>
    <w:rsid w:val="001B0EC4"/>
    <w:rsid w:val="001B2437"/>
    <w:rsid w:val="001B4E64"/>
    <w:rsid w:val="001B7201"/>
    <w:rsid w:val="001C02BD"/>
    <w:rsid w:val="001C0470"/>
    <w:rsid w:val="001C0EE4"/>
    <w:rsid w:val="001C1065"/>
    <w:rsid w:val="001C13D1"/>
    <w:rsid w:val="001C2B9B"/>
    <w:rsid w:val="001C3C6A"/>
    <w:rsid w:val="001C4527"/>
    <w:rsid w:val="001C47C2"/>
    <w:rsid w:val="001C6AA0"/>
    <w:rsid w:val="001D24E4"/>
    <w:rsid w:val="001D353A"/>
    <w:rsid w:val="001D37E4"/>
    <w:rsid w:val="001D3FE3"/>
    <w:rsid w:val="001D4646"/>
    <w:rsid w:val="001D4924"/>
    <w:rsid w:val="001D6EC1"/>
    <w:rsid w:val="001D6EE7"/>
    <w:rsid w:val="001D7123"/>
    <w:rsid w:val="001E1EA7"/>
    <w:rsid w:val="001E482E"/>
    <w:rsid w:val="001E4C65"/>
    <w:rsid w:val="001E4F48"/>
    <w:rsid w:val="001E55BF"/>
    <w:rsid w:val="001E7476"/>
    <w:rsid w:val="001F001B"/>
    <w:rsid w:val="001F0084"/>
    <w:rsid w:val="001F0C22"/>
    <w:rsid w:val="001F3163"/>
    <w:rsid w:val="001F3239"/>
    <w:rsid w:val="001F3B86"/>
    <w:rsid w:val="001F43A5"/>
    <w:rsid w:val="001F47C6"/>
    <w:rsid w:val="001F5326"/>
    <w:rsid w:val="001F5D8B"/>
    <w:rsid w:val="001F6E8A"/>
    <w:rsid w:val="00202840"/>
    <w:rsid w:val="002045D7"/>
    <w:rsid w:val="00206479"/>
    <w:rsid w:val="00207A8F"/>
    <w:rsid w:val="00210D2F"/>
    <w:rsid w:val="0021100F"/>
    <w:rsid w:val="00214798"/>
    <w:rsid w:val="00215C75"/>
    <w:rsid w:val="00216D8B"/>
    <w:rsid w:val="002174DD"/>
    <w:rsid w:val="00220BFA"/>
    <w:rsid w:val="00224AD2"/>
    <w:rsid w:val="00225D3A"/>
    <w:rsid w:val="00227A5C"/>
    <w:rsid w:val="00227C80"/>
    <w:rsid w:val="0023092D"/>
    <w:rsid w:val="00232285"/>
    <w:rsid w:val="002322DD"/>
    <w:rsid w:val="00233D82"/>
    <w:rsid w:val="0023569A"/>
    <w:rsid w:val="00236A6B"/>
    <w:rsid w:val="00236D30"/>
    <w:rsid w:val="0023739E"/>
    <w:rsid w:val="002411EA"/>
    <w:rsid w:val="002449A5"/>
    <w:rsid w:val="00244FC9"/>
    <w:rsid w:val="0024506C"/>
    <w:rsid w:val="00250B8C"/>
    <w:rsid w:val="0025225B"/>
    <w:rsid w:val="0025280F"/>
    <w:rsid w:val="002629F6"/>
    <w:rsid w:val="002634C2"/>
    <w:rsid w:val="00264E73"/>
    <w:rsid w:val="00265A89"/>
    <w:rsid w:val="0027311B"/>
    <w:rsid w:val="00273562"/>
    <w:rsid w:val="00273C69"/>
    <w:rsid w:val="002748A3"/>
    <w:rsid w:val="00274B82"/>
    <w:rsid w:val="002755F9"/>
    <w:rsid w:val="002769D4"/>
    <w:rsid w:val="0028165C"/>
    <w:rsid w:val="00285887"/>
    <w:rsid w:val="00285F3E"/>
    <w:rsid w:val="00291B55"/>
    <w:rsid w:val="00291BCC"/>
    <w:rsid w:val="00293F96"/>
    <w:rsid w:val="002945EA"/>
    <w:rsid w:val="00295BE5"/>
    <w:rsid w:val="002963E4"/>
    <w:rsid w:val="00296535"/>
    <w:rsid w:val="002968E5"/>
    <w:rsid w:val="00296E8B"/>
    <w:rsid w:val="002A1798"/>
    <w:rsid w:val="002A1B7B"/>
    <w:rsid w:val="002A1FF9"/>
    <w:rsid w:val="002A38F1"/>
    <w:rsid w:val="002B1EE9"/>
    <w:rsid w:val="002B2488"/>
    <w:rsid w:val="002B3209"/>
    <w:rsid w:val="002B5345"/>
    <w:rsid w:val="002B5D88"/>
    <w:rsid w:val="002B66F3"/>
    <w:rsid w:val="002B6D25"/>
    <w:rsid w:val="002C0240"/>
    <w:rsid w:val="002C0FF5"/>
    <w:rsid w:val="002C103B"/>
    <w:rsid w:val="002C150C"/>
    <w:rsid w:val="002C1618"/>
    <w:rsid w:val="002C2483"/>
    <w:rsid w:val="002C6801"/>
    <w:rsid w:val="002C7E03"/>
    <w:rsid w:val="002D0BD1"/>
    <w:rsid w:val="002D1727"/>
    <w:rsid w:val="002D3CA6"/>
    <w:rsid w:val="002D5531"/>
    <w:rsid w:val="002E253A"/>
    <w:rsid w:val="002E2D86"/>
    <w:rsid w:val="002E2EF4"/>
    <w:rsid w:val="002E457A"/>
    <w:rsid w:val="002E4659"/>
    <w:rsid w:val="002E4B65"/>
    <w:rsid w:val="002E53EC"/>
    <w:rsid w:val="002E54E8"/>
    <w:rsid w:val="002E586B"/>
    <w:rsid w:val="002E629E"/>
    <w:rsid w:val="002E688C"/>
    <w:rsid w:val="002F3327"/>
    <w:rsid w:val="002F53A9"/>
    <w:rsid w:val="002F5EBC"/>
    <w:rsid w:val="002F66F7"/>
    <w:rsid w:val="002F6A6F"/>
    <w:rsid w:val="002F7C95"/>
    <w:rsid w:val="00300421"/>
    <w:rsid w:val="00304B69"/>
    <w:rsid w:val="00305B7D"/>
    <w:rsid w:val="00310148"/>
    <w:rsid w:val="00310C7C"/>
    <w:rsid w:val="00311CA2"/>
    <w:rsid w:val="00315048"/>
    <w:rsid w:val="00315982"/>
    <w:rsid w:val="00316B6E"/>
    <w:rsid w:val="00317BA7"/>
    <w:rsid w:val="00317CFE"/>
    <w:rsid w:val="00322841"/>
    <w:rsid w:val="003245B4"/>
    <w:rsid w:val="00325197"/>
    <w:rsid w:val="00326C0E"/>
    <w:rsid w:val="0032743F"/>
    <w:rsid w:val="0033066F"/>
    <w:rsid w:val="00331168"/>
    <w:rsid w:val="00333CD6"/>
    <w:rsid w:val="003348F0"/>
    <w:rsid w:val="0033651C"/>
    <w:rsid w:val="003368D2"/>
    <w:rsid w:val="00336B3B"/>
    <w:rsid w:val="00340995"/>
    <w:rsid w:val="00341114"/>
    <w:rsid w:val="00344A51"/>
    <w:rsid w:val="003455AF"/>
    <w:rsid w:val="00347AFA"/>
    <w:rsid w:val="00353F31"/>
    <w:rsid w:val="0035473F"/>
    <w:rsid w:val="0035595E"/>
    <w:rsid w:val="00357ABE"/>
    <w:rsid w:val="003602C6"/>
    <w:rsid w:val="00363F00"/>
    <w:rsid w:val="00365D9E"/>
    <w:rsid w:val="00365DFC"/>
    <w:rsid w:val="00371289"/>
    <w:rsid w:val="00371399"/>
    <w:rsid w:val="00372113"/>
    <w:rsid w:val="00372AEF"/>
    <w:rsid w:val="00372BB0"/>
    <w:rsid w:val="00372E66"/>
    <w:rsid w:val="00374782"/>
    <w:rsid w:val="00375EED"/>
    <w:rsid w:val="00376650"/>
    <w:rsid w:val="003766F3"/>
    <w:rsid w:val="00376C72"/>
    <w:rsid w:val="00377EB1"/>
    <w:rsid w:val="00382A7A"/>
    <w:rsid w:val="00390AB5"/>
    <w:rsid w:val="003917B8"/>
    <w:rsid w:val="00392D79"/>
    <w:rsid w:val="0039346A"/>
    <w:rsid w:val="00395181"/>
    <w:rsid w:val="00395723"/>
    <w:rsid w:val="003A1DFD"/>
    <w:rsid w:val="003A27F1"/>
    <w:rsid w:val="003A2B85"/>
    <w:rsid w:val="003A2FCC"/>
    <w:rsid w:val="003A387C"/>
    <w:rsid w:val="003A4191"/>
    <w:rsid w:val="003A4CB0"/>
    <w:rsid w:val="003A6691"/>
    <w:rsid w:val="003A6D80"/>
    <w:rsid w:val="003A70F1"/>
    <w:rsid w:val="003A76CD"/>
    <w:rsid w:val="003B0866"/>
    <w:rsid w:val="003B1881"/>
    <w:rsid w:val="003B256E"/>
    <w:rsid w:val="003B382B"/>
    <w:rsid w:val="003B6FBC"/>
    <w:rsid w:val="003B716C"/>
    <w:rsid w:val="003B71D9"/>
    <w:rsid w:val="003B767D"/>
    <w:rsid w:val="003C21B4"/>
    <w:rsid w:val="003C28EE"/>
    <w:rsid w:val="003C328D"/>
    <w:rsid w:val="003C653E"/>
    <w:rsid w:val="003C6BC2"/>
    <w:rsid w:val="003D380D"/>
    <w:rsid w:val="003D545B"/>
    <w:rsid w:val="003E017B"/>
    <w:rsid w:val="003E065B"/>
    <w:rsid w:val="003E06BC"/>
    <w:rsid w:val="003E334A"/>
    <w:rsid w:val="003E39DA"/>
    <w:rsid w:val="003E4427"/>
    <w:rsid w:val="003E4D05"/>
    <w:rsid w:val="003E7310"/>
    <w:rsid w:val="003E7B45"/>
    <w:rsid w:val="003F06A0"/>
    <w:rsid w:val="003F0922"/>
    <w:rsid w:val="003F2977"/>
    <w:rsid w:val="003F2F34"/>
    <w:rsid w:val="003F2F6A"/>
    <w:rsid w:val="003F417F"/>
    <w:rsid w:val="003F444A"/>
    <w:rsid w:val="003F4861"/>
    <w:rsid w:val="003F7367"/>
    <w:rsid w:val="004000A3"/>
    <w:rsid w:val="004015FE"/>
    <w:rsid w:val="004021C0"/>
    <w:rsid w:val="00402367"/>
    <w:rsid w:val="004050EF"/>
    <w:rsid w:val="004055EC"/>
    <w:rsid w:val="0041293B"/>
    <w:rsid w:val="00413235"/>
    <w:rsid w:val="00413287"/>
    <w:rsid w:val="00414F94"/>
    <w:rsid w:val="00415DCB"/>
    <w:rsid w:val="00417724"/>
    <w:rsid w:val="0042096C"/>
    <w:rsid w:val="00426223"/>
    <w:rsid w:val="004275BE"/>
    <w:rsid w:val="0042788B"/>
    <w:rsid w:val="0043031E"/>
    <w:rsid w:val="004328F4"/>
    <w:rsid w:val="00434D2D"/>
    <w:rsid w:val="00435DB1"/>
    <w:rsid w:val="004422DA"/>
    <w:rsid w:val="00443DFA"/>
    <w:rsid w:val="004443BB"/>
    <w:rsid w:val="00447791"/>
    <w:rsid w:val="00447831"/>
    <w:rsid w:val="00452540"/>
    <w:rsid w:val="00452CA8"/>
    <w:rsid w:val="00453AEB"/>
    <w:rsid w:val="00454782"/>
    <w:rsid w:val="00455285"/>
    <w:rsid w:val="00455398"/>
    <w:rsid w:val="00457057"/>
    <w:rsid w:val="004571AE"/>
    <w:rsid w:val="00457515"/>
    <w:rsid w:val="00462865"/>
    <w:rsid w:val="0046369B"/>
    <w:rsid w:val="00465F27"/>
    <w:rsid w:val="004667F9"/>
    <w:rsid w:val="0046745F"/>
    <w:rsid w:val="0047040D"/>
    <w:rsid w:val="00471C6D"/>
    <w:rsid w:val="00472CDD"/>
    <w:rsid w:val="00484838"/>
    <w:rsid w:val="00484FE2"/>
    <w:rsid w:val="00486165"/>
    <w:rsid w:val="00486D06"/>
    <w:rsid w:val="004878A5"/>
    <w:rsid w:val="00491E0E"/>
    <w:rsid w:val="0049310A"/>
    <w:rsid w:val="00495006"/>
    <w:rsid w:val="004959DB"/>
    <w:rsid w:val="004961CF"/>
    <w:rsid w:val="00496A0A"/>
    <w:rsid w:val="004A4051"/>
    <w:rsid w:val="004A41FF"/>
    <w:rsid w:val="004A4844"/>
    <w:rsid w:val="004A66F2"/>
    <w:rsid w:val="004B24CD"/>
    <w:rsid w:val="004B3B7D"/>
    <w:rsid w:val="004B4146"/>
    <w:rsid w:val="004B4FC8"/>
    <w:rsid w:val="004C3075"/>
    <w:rsid w:val="004C31F7"/>
    <w:rsid w:val="004C38DC"/>
    <w:rsid w:val="004C4E66"/>
    <w:rsid w:val="004C7470"/>
    <w:rsid w:val="004C7642"/>
    <w:rsid w:val="004D05EC"/>
    <w:rsid w:val="004D1805"/>
    <w:rsid w:val="004D3445"/>
    <w:rsid w:val="004D3BD7"/>
    <w:rsid w:val="004D603B"/>
    <w:rsid w:val="004E0189"/>
    <w:rsid w:val="004E02E8"/>
    <w:rsid w:val="004E07A5"/>
    <w:rsid w:val="004E15F2"/>
    <w:rsid w:val="004E1837"/>
    <w:rsid w:val="004E1F17"/>
    <w:rsid w:val="004E405D"/>
    <w:rsid w:val="004E50E6"/>
    <w:rsid w:val="004E5204"/>
    <w:rsid w:val="004F0389"/>
    <w:rsid w:val="004F1B2D"/>
    <w:rsid w:val="004F419A"/>
    <w:rsid w:val="004F56DC"/>
    <w:rsid w:val="005007F9"/>
    <w:rsid w:val="005033DA"/>
    <w:rsid w:val="00503ABC"/>
    <w:rsid w:val="00505A7C"/>
    <w:rsid w:val="00505C6D"/>
    <w:rsid w:val="00506804"/>
    <w:rsid w:val="00511D6E"/>
    <w:rsid w:val="005128D3"/>
    <w:rsid w:val="00514B24"/>
    <w:rsid w:val="00517D68"/>
    <w:rsid w:val="00520236"/>
    <w:rsid w:val="0052385D"/>
    <w:rsid w:val="005276D5"/>
    <w:rsid w:val="0053041E"/>
    <w:rsid w:val="00530B94"/>
    <w:rsid w:val="00530D74"/>
    <w:rsid w:val="005329F6"/>
    <w:rsid w:val="00534027"/>
    <w:rsid w:val="005354DA"/>
    <w:rsid w:val="00535962"/>
    <w:rsid w:val="00540EE8"/>
    <w:rsid w:val="00541022"/>
    <w:rsid w:val="0054184F"/>
    <w:rsid w:val="00541E5A"/>
    <w:rsid w:val="0054303F"/>
    <w:rsid w:val="005437E5"/>
    <w:rsid w:val="00545752"/>
    <w:rsid w:val="00546D52"/>
    <w:rsid w:val="00550E3D"/>
    <w:rsid w:val="00551902"/>
    <w:rsid w:val="00555136"/>
    <w:rsid w:val="00555EF9"/>
    <w:rsid w:val="00556A22"/>
    <w:rsid w:val="00562BE9"/>
    <w:rsid w:val="005643EB"/>
    <w:rsid w:val="00565C14"/>
    <w:rsid w:val="00566A7D"/>
    <w:rsid w:val="005709F4"/>
    <w:rsid w:val="00570EF3"/>
    <w:rsid w:val="0057321A"/>
    <w:rsid w:val="00574450"/>
    <w:rsid w:val="00576887"/>
    <w:rsid w:val="00577E89"/>
    <w:rsid w:val="00580613"/>
    <w:rsid w:val="005814C7"/>
    <w:rsid w:val="00583664"/>
    <w:rsid w:val="00583C43"/>
    <w:rsid w:val="00585906"/>
    <w:rsid w:val="00586919"/>
    <w:rsid w:val="00586A0E"/>
    <w:rsid w:val="00590E86"/>
    <w:rsid w:val="00592DE3"/>
    <w:rsid w:val="00594763"/>
    <w:rsid w:val="00595CF5"/>
    <w:rsid w:val="00596149"/>
    <w:rsid w:val="005A082A"/>
    <w:rsid w:val="005A3AF0"/>
    <w:rsid w:val="005A5052"/>
    <w:rsid w:val="005A52AC"/>
    <w:rsid w:val="005A7212"/>
    <w:rsid w:val="005B08B3"/>
    <w:rsid w:val="005B2F2A"/>
    <w:rsid w:val="005B62F8"/>
    <w:rsid w:val="005C3735"/>
    <w:rsid w:val="005C4251"/>
    <w:rsid w:val="005C4AC7"/>
    <w:rsid w:val="005C506E"/>
    <w:rsid w:val="005C65A6"/>
    <w:rsid w:val="005D3FF8"/>
    <w:rsid w:val="005D5BAB"/>
    <w:rsid w:val="005D73B1"/>
    <w:rsid w:val="005E07BF"/>
    <w:rsid w:val="005E10C7"/>
    <w:rsid w:val="005E125A"/>
    <w:rsid w:val="005E225E"/>
    <w:rsid w:val="005E2780"/>
    <w:rsid w:val="005E5C99"/>
    <w:rsid w:val="005E6811"/>
    <w:rsid w:val="005E6C61"/>
    <w:rsid w:val="005E763A"/>
    <w:rsid w:val="005F050B"/>
    <w:rsid w:val="005F0994"/>
    <w:rsid w:val="005F1FF5"/>
    <w:rsid w:val="005F21B2"/>
    <w:rsid w:val="005F2D36"/>
    <w:rsid w:val="005F2FED"/>
    <w:rsid w:val="005F393E"/>
    <w:rsid w:val="005F405E"/>
    <w:rsid w:val="005F4203"/>
    <w:rsid w:val="005F4240"/>
    <w:rsid w:val="005F52A9"/>
    <w:rsid w:val="005F6E53"/>
    <w:rsid w:val="005F7E16"/>
    <w:rsid w:val="005F7F4C"/>
    <w:rsid w:val="00600B61"/>
    <w:rsid w:val="006017C2"/>
    <w:rsid w:val="00601B85"/>
    <w:rsid w:val="00601D6C"/>
    <w:rsid w:val="006020AB"/>
    <w:rsid w:val="00603BA8"/>
    <w:rsid w:val="00604B50"/>
    <w:rsid w:val="006055F7"/>
    <w:rsid w:val="00607D84"/>
    <w:rsid w:val="00610825"/>
    <w:rsid w:val="006127BC"/>
    <w:rsid w:val="006144CF"/>
    <w:rsid w:val="00615414"/>
    <w:rsid w:val="0061562D"/>
    <w:rsid w:val="00617D6F"/>
    <w:rsid w:val="00621B66"/>
    <w:rsid w:val="006220C7"/>
    <w:rsid w:val="00623CFE"/>
    <w:rsid w:val="00625411"/>
    <w:rsid w:val="00627C65"/>
    <w:rsid w:val="006308CC"/>
    <w:rsid w:val="00630BF3"/>
    <w:rsid w:val="00631C7B"/>
    <w:rsid w:val="00632D4C"/>
    <w:rsid w:val="00635E0B"/>
    <w:rsid w:val="006407AF"/>
    <w:rsid w:val="00642007"/>
    <w:rsid w:val="006422FE"/>
    <w:rsid w:val="00644ABD"/>
    <w:rsid w:val="00646F66"/>
    <w:rsid w:val="0065043F"/>
    <w:rsid w:val="00650C35"/>
    <w:rsid w:val="00651BBF"/>
    <w:rsid w:val="00654B53"/>
    <w:rsid w:val="00657C81"/>
    <w:rsid w:val="0066057D"/>
    <w:rsid w:val="00662E99"/>
    <w:rsid w:val="00665F6A"/>
    <w:rsid w:val="006669A4"/>
    <w:rsid w:val="00666B3A"/>
    <w:rsid w:val="006670E1"/>
    <w:rsid w:val="00667178"/>
    <w:rsid w:val="00667ACC"/>
    <w:rsid w:val="00671277"/>
    <w:rsid w:val="006716FA"/>
    <w:rsid w:val="00672322"/>
    <w:rsid w:val="0067289E"/>
    <w:rsid w:val="006728AE"/>
    <w:rsid w:val="00674541"/>
    <w:rsid w:val="00677089"/>
    <w:rsid w:val="00677518"/>
    <w:rsid w:val="006803C3"/>
    <w:rsid w:val="00680E2C"/>
    <w:rsid w:val="00683914"/>
    <w:rsid w:val="00685964"/>
    <w:rsid w:val="0068673A"/>
    <w:rsid w:val="00687418"/>
    <w:rsid w:val="00691D83"/>
    <w:rsid w:val="006920D9"/>
    <w:rsid w:val="00692EE7"/>
    <w:rsid w:val="006936B9"/>
    <w:rsid w:val="00694724"/>
    <w:rsid w:val="00695999"/>
    <w:rsid w:val="00696403"/>
    <w:rsid w:val="00696831"/>
    <w:rsid w:val="00696E54"/>
    <w:rsid w:val="00697B28"/>
    <w:rsid w:val="006A1E9E"/>
    <w:rsid w:val="006A4E45"/>
    <w:rsid w:val="006A51DF"/>
    <w:rsid w:val="006A6295"/>
    <w:rsid w:val="006A63F5"/>
    <w:rsid w:val="006A667C"/>
    <w:rsid w:val="006A6CF6"/>
    <w:rsid w:val="006B174D"/>
    <w:rsid w:val="006B2517"/>
    <w:rsid w:val="006B29F4"/>
    <w:rsid w:val="006B37A0"/>
    <w:rsid w:val="006B3C45"/>
    <w:rsid w:val="006B4AEB"/>
    <w:rsid w:val="006B69DD"/>
    <w:rsid w:val="006C254F"/>
    <w:rsid w:val="006C343D"/>
    <w:rsid w:val="006C34D5"/>
    <w:rsid w:val="006C52F8"/>
    <w:rsid w:val="006C6563"/>
    <w:rsid w:val="006C7598"/>
    <w:rsid w:val="006D0296"/>
    <w:rsid w:val="006D0B80"/>
    <w:rsid w:val="006D43A2"/>
    <w:rsid w:val="006D7D2E"/>
    <w:rsid w:val="006D7DB4"/>
    <w:rsid w:val="006E08EA"/>
    <w:rsid w:val="006E1608"/>
    <w:rsid w:val="006E3623"/>
    <w:rsid w:val="006E4A6D"/>
    <w:rsid w:val="006E50B9"/>
    <w:rsid w:val="006E5B07"/>
    <w:rsid w:val="006E6363"/>
    <w:rsid w:val="006E6BA1"/>
    <w:rsid w:val="006E7C94"/>
    <w:rsid w:val="006F1CCF"/>
    <w:rsid w:val="006F2240"/>
    <w:rsid w:val="006F6858"/>
    <w:rsid w:val="00701E43"/>
    <w:rsid w:val="00702BD5"/>
    <w:rsid w:val="00702F25"/>
    <w:rsid w:val="00702FEE"/>
    <w:rsid w:val="00705699"/>
    <w:rsid w:val="00705A8F"/>
    <w:rsid w:val="00707D31"/>
    <w:rsid w:val="0071023F"/>
    <w:rsid w:val="00715C76"/>
    <w:rsid w:val="0071636D"/>
    <w:rsid w:val="007163BB"/>
    <w:rsid w:val="00720A90"/>
    <w:rsid w:val="00723A93"/>
    <w:rsid w:val="00725C28"/>
    <w:rsid w:val="00730E27"/>
    <w:rsid w:val="00736854"/>
    <w:rsid w:val="00736873"/>
    <w:rsid w:val="00737464"/>
    <w:rsid w:val="00743266"/>
    <w:rsid w:val="00745427"/>
    <w:rsid w:val="00745A68"/>
    <w:rsid w:val="007474FB"/>
    <w:rsid w:val="00750D3A"/>
    <w:rsid w:val="007521FF"/>
    <w:rsid w:val="00754399"/>
    <w:rsid w:val="00754874"/>
    <w:rsid w:val="0075646E"/>
    <w:rsid w:val="00761A89"/>
    <w:rsid w:val="00764909"/>
    <w:rsid w:val="00766EA1"/>
    <w:rsid w:val="007672B1"/>
    <w:rsid w:val="00771C3A"/>
    <w:rsid w:val="00771DD6"/>
    <w:rsid w:val="00773470"/>
    <w:rsid w:val="00774843"/>
    <w:rsid w:val="0077626B"/>
    <w:rsid w:val="0077677E"/>
    <w:rsid w:val="00776A46"/>
    <w:rsid w:val="00777984"/>
    <w:rsid w:val="00780614"/>
    <w:rsid w:val="0078177F"/>
    <w:rsid w:val="00782713"/>
    <w:rsid w:val="007832C8"/>
    <w:rsid w:val="007856FE"/>
    <w:rsid w:val="00786103"/>
    <w:rsid w:val="00786732"/>
    <w:rsid w:val="00787462"/>
    <w:rsid w:val="00787CE0"/>
    <w:rsid w:val="007914DC"/>
    <w:rsid w:val="00792222"/>
    <w:rsid w:val="007968AE"/>
    <w:rsid w:val="007A23F3"/>
    <w:rsid w:val="007A3F69"/>
    <w:rsid w:val="007A4132"/>
    <w:rsid w:val="007A642E"/>
    <w:rsid w:val="007A6C99"/>
    <w:rsid w:val="007A7BF8"/>
    <w:rsid w:val="007B09D1"/>
    <w:rsid w:val="007C0DA9"/>
    <w:rsid w:val="007C0DAB"/>
    <w:rsid w:val="007C1776"/>
    <w:rsid w:val="007C1DD4"/>
    <w:rsid w:val="007C6547"/>
    <w:rsid w:val="007D09B5"/>
    <w:rsid w:val="007E0467"/>
    <w:rsid w:val="007E2D78"/>
    <w:rsid w:val="007E3844"/>
    <w:rsid w:val="007E3EEC"/>
    <w:rsid w:val="007E54CB"/>
    <w:rsid w:val="007E5B85"/>
    <w:rsid w:val="007E636F"/>
    <w:rsid w:val="007E7691"/>
    <w:rsid w:val="007E7C05"/>
    <w:rsid w:val="007E7F6E"/>
    <w:rsid w:val="007F167B"/>
    <w:rsid w:val="007F1E4A"/>
    <w:rsid w:val="007F36B3"/>
    <w:rsid w:val="008010C9"/>
    <w:rsid w:val="0080120B"/>
    <w:rsid w:val="00801552"/>
    <w:rsid w:val="00801D7C"/>
    <w:rsid w:val="00801DE4"/>
    <w:rsid w:val="00804478"/>
    <w:rsid w:val="00804ACC"/>
    <w:rsid w:val="00805665"/>
    <w:rsid w:val="008114D2"/>
    <w:rsid w:val="00811520"/>
    <w:rsid w:val="008146F3"/>
    <w:rsid w:val="008167CF"/>
    <w:rsid w:val="00821033"/>
    <w:rsid w:val="00821A75"/>
    <w:rsid w:val="00821BDE"/>
    <w:rsid w:val="00822B79"/>
    <w:rsid w:val="00823E84"/>
    <w:rsid w:val="00824076"/>
    <w:rsid w:val="00824972"/>
    <w:rsid w:val="00825192"/>
    <w:rsid w:val="00831610"/>
    <w:rsid w:val="008325C2"/>
    <w:rsid w:val="008334E9"/>
    <w:rsid w:val="008340C9"/>
    <w:rsid w:val="0083422A"/>
    <w:rsid w:val="008342B6"/>
    <w:rsid w:val="00835581"/>
    <w:rsid w:val="00841D74"/>
    <w:rsid w:val="00842D38"/>
    <w:rsid w:val="008447ED"/>
    <w:rsid w:val="00844A27"/>
    <w:rsid w:val="00846FBE"/>
    <w:rsid w:val="00847EBD"/>
    <w:rsid w:val="00847EF0"/>
    <w:rsid w:val="0085147F"/>
    <w:rsid w:val="00856184"/>
    <w:rsid w:val="008577A4"/>
    <w:rsid w:val="00857E80"/>
    <w:rsid w:val="008607F4"/>
    <w:rsid w:val="00861690"/>
    <w:rsid w:val="00861BA8"/>
    <w:rsid w:val="00862074"/>
    <w:rsid w:val="008632DE"/>
    <w:rsid w:val="008633A5"/>
    <w:rsid w:val="00865E2C"/>
    <w:rsid w:val="00866549"/>
    <w:rsid w:val="0086713A"/>
    <w:rsid w:val="00867240"/>
    <w:rsid w:val="00867D20"/>
    <w:rsid w:val="00870D9B"/>
    <w:rsid w:val="00872B82"/>
    <w:rsid w:val="00874E87"/>
    <w:rsid w:val="00876909"/>
    <w:rsid w:val="008840C2"/>
    <w:rsid w:val="00891742"/>
    <w:rsid w:val="008921CD"/>
    <w:rsid w:val="00892705"/>
    <w:rsid w:val="00892951"/>
    <w:rsid w:val="00896C52"/>
    <w:rsid w:val="00896F40"/>
    <w:rsid w:val="0089755B"/>
    <w:rsid w:val="008A02CF"/>
    <w:rsid w:val="008A060B"/>
    <w:rsid w:val="008A1BC2"/>
    <w:rsid w:val="008A2013"/>
    <w:rsid w:val="008A44E1"/>
    <w:rsid w:val="008A5CE2"/>
    <w:rsid w:val="008A6994"/>
    <w:rsid w:val="008A76AA"/>
    <w:rsid w:val="008A7EC5"/>
    <w:rsid w:val="008B069C"/>
    <w:rsid w:val="008B0CFD"/>
    <w:rsid w:val="008B16EF"/>
    <w:rsid w:val="008B1CAB"/>
    <w:rsid w:val="008B1CB0"/>
    <w:rsid w:val="008B2CC5"/>
    <w:rsid w:val="008B3F83"/>
    <w:rsid w:val="008B451A"/>
    <w:rsid w:val="008B5E33"/>
    <w:rsid w:val="008B6FA7"/>
    <w:rsid w:val="008B756E"/>
    <w:rsid w:val="008B77EA"/>
    <w:rsid w:val="008B7826"/>
    <w:rsid w:val="008C13E0"/>
    <w:rsid w:val="008C1F6B"/>
    <w:rsid w:val="008C202B"/>
    <w:rsid w:val="008C2EFA"/>
    <w:rsid w:val="008C3955"/>
    <w:rsid w:val="008C56D3"/>
    <w:rsid w:val="008C5980"/>
    <w:rsid w:val="008C747D"/>
    <w:rsid w:val="008C7E63"/>
    <w:rsid w:val="008D13F9"/>
    <w:rsid w:val="008D320A"/>
    <w:rsid w:val="008D4B58"/>
    <w:rsid w:val="008D5B5D"/>
    <w:rsid w:val="008E1778"/>
    <w:rsid w:val="008E3411"/>
    <w:rsid w:val="008E51F8"/>
    <w:rsid w:val="008E59FB"/>
    <w:rsid w:val="008E5A69"/>
    <w:rsid w:val="008E6C80"/>
    <w:rsid w:val="008F0375"/>
    <w:rsid w:val="008F0F4A"/>
    <w:rsid w:val="008F1F65"/>
    <w:rsid w:val="008F3151"/>
    <w:rsid w:val="008F5A04"/>
    <w:rsid w:val="0090152C"/>
    <w:rsid w:val="00903A7C"/>
    <w:rsid w:val="00903D5C"/>
    <w:rsid w:val="009077EE"/>
    <w:rsid w:val="0090795F"/>
    <w:rsid w:val="00907E55"/>
    <w:rsid w:val="00911B76"/>
    <w:rsid w:val="00911D74"/>
    <w:rsid w:val="009133C4"/>
    <w:rsid w:val="0092010D"/>
    <w:rsid w:val="0092047C"/>
    <w:rsid w:val="009217D8"/>
    <w:rsid w:val="00921B6F"/>
    <w:rsid w:val="00922528"/>
    <w:rsid w:val="009236B3"/>
    <w:rsid w:val="00923F49"/>
    <w:rsid w:val="00924068"/>
    <w:rsid w:val="00924171"/>
    <w:rsid w:val="00924306"/>
    <w:rsid w:val="00926E68"/>
    <w:rsid w:val="00930D7A"/>
    <w:rsid w:val="009312F1"/>
    <w:rsid w:val="00932544"/>
    <w:rsid w:val="0093298B"/>
    <w:rsid w:val="009349D3"/>
    <w:rsid w:val="009354C2"/>
    <w:rsid w:val="00935A67"/>
    <w:rsid w:val="00935C64"/>
    <w:rsid w:val="009401B2"/>
    <w:rsid w:val="00942701"/>
    <w:rsid w:val="00945577"/>
    <w:rsid w:val="009458DD"/>
    <w:rsid w:val="00945C58"/>
    <w:rsid w:val="009466D0"/>
    <w:rsid w:val="00951A7F"/>
    <w:rsid w:val="00951BDE"/>
    <w:rsid w:val="009530F7"/>
    <w:rsid w:val="00953E91"/>
    <w:rsid w:val="0095438E"/>
    <w:rsid w:val="00954558"/>
    <w:rsid w:val="00955172"/>
    <w:rsid w:val="009558D8"/>
    <w:rsid w:val="00956887"/>
    <w:rsid w:val="009578CB"/>
    <w:rsid w:val="009613AF"/>
    <w:rsid w:val="00962471"/>
    <w:rsid w:val="00962478"/>
    <w:rsid w:val="009624CB"/>
    <w:rsid w:val="009637A8"/>
    <w:rsid w:val="00966C27"/>
    <w:rsid w:val="00967A49"/>
    <w:rsid w:val="00967BB2"/>
    <w:rsid w:val="009719C3"/>
    <w:rsid w:val="00972195"/>
    <w:rsid w:val="009722B0"/>
    <w:rsid w:val="009740E7"/>
    <w:rsid w:val="00975DC9"/>
    <w:rsid w:val="00976CA0"/>
    <w:rsid w:val="009773D3"/>
    <w:rsid w:val="00977573"/>
    <w:rsid w:val="00980173"/>
    <w:rsid w:val="00982FF5"/>
    <w:rsid w:val="0098387C"/>
    <w:rsid w:val="00983E58"/>
    <w:rsid w:val="00984D1C"/>
    <w:rsid w:val="00986AA9"/>
    <w:rsid w:val="00987F4F"/>
    <w:rsid w:val="009910D9"/>
    <w:rsid w:val="009918F4"/>
    <w:rsid w:val="00992BC9"/>
    <w:rsid w:val="009943DE"/>
    <w:rsid w:val="00995892"/>
    <w:rsid w:val="009A070F"/>
    <w:rsid w:val="009A28CA"/>
    <w:rsid w:val="009A3141"/>
    <w:rsid w:val="009A59EA"/>
    <w:rsid w:val="009A6ADD"/>
    <w:rsid w:val="009A76C9"/>
    <w:rsid w:val="009B1855"/>
    <w:rsid w:val="009B1D26"/>
    <w:rsid w:val="009B25AF"/>
    <w:rsid w:val="009B2F51"/>
    <w:rsid w:val="009B5F2E"/>
    <w:rsid w:val="009B6311"/>
    <w:rsid w:val="009B7BF5"/>
    <w:rsid w:val="009C0303"/>
    <w:rsid w:val="009C070E"/>
    <w:rsid w:val="009C105C"/>
    <w:rsid w:val="009C296E"/>
    <w:rsid w:val="009C2EDA"/>
    <w:rsid w:val="009C318C"/>
    <w:rsid w:val="009C4CAA"/>
    <w:rsid w:val="009C5180"/>
    <w:rsid w:val="009C7899"/>
    <w:rsid w:val="009D0540"/>
    <w:rsid w:val="009D098E"/>
    <w:rsid w:val="009D147F"/>
    <w:rsid w:val="009D2471"/>
    <w:rsid w:val="009D2586"/>
    <w:rsid w:val="009D2C36"/>
    <w:rsid w:val="009D2C37"/>
    <w:rsid w:val="009D43D8"/>
    <w:rsid w:val="009D518B"/>
    <w:rsid w:val="009E09D6"/>
    <w:rsid w:val="009E5493"/>
    <w:rsid w:val="009F25E5"/>
    <w:rsid w:val="009F6090"/>
    <w:rsid w:val="00A004F5"/>
    <w:rsid w:val="00A01FC4"/>
    <w:rsid w:val="00A02541"/>
    <w:rsid w:val="00A02701"/>
    <w:rsid w:val="00A02AAC"/>
    <w:rsid w:val="00A032E8"/>
    <w:rsid w:val="00A0419B"/>
    <w:rsid w:val="00A0506F"/>
    <w:rsid w:val="00A059E5"/>
    <w:rsid w:val="00A0757D"/>
    <w:rsid w:val="00A105A8"/>
    <w:rsid w:val="00A12EFE"/>
    <w:rsid w:val="00A135EE"/>
    <w:rsid w:val="00A14C55"/>
    <w:rsid w:val="00A14DF6"/>
    <w:rsid w:val="00A20F8F"/>
    <w:rsid w:val="00A20FAD"/>
    <w:rsid w:val="00A214A7"/>
    <w:rsid w:val="00A223D8"/>
    <w:rsid w:val="00A22F51"/>
    <w:rsid w:val="00A26290"/>
    <w:rsid w:val="00A2691A"/>
    <w:rsid w:val="00A34E05"/>
    <w:rsid w:val="00A36D66"/>
    <w:rsid w:val="00A40D00"/>
    <w:rsid w:val="00A41AFD"/>
    <w:rsid w:val="00A4345F"/>
    <w:rsid w:val="00A44F07"/>
    <w:rsid w:val="00A45762"/>
    <w:rsid w:val="00A45D03"/>
    <w:rsid w:val="00A45D0D"/>
    <w:rsid w:val="00A52233"/>
    <w:rsid w:val="00A540AA"/>
    <w:rsid w:val="00A57F44"/>
    <w:rsid w:val="00A611F0"/>
    <w:rsid w:val="00A61E9D"/>
    <w:rsid w:val="00A62CDA"/>
    <w:rsid w:val="00A62E78"/>
    <w:rsid w:val="00A63200"/>
    <w:rsid w:val="00A63AAB"/>
    <w:rsid w:val="00A670AD"/>
    <w:rsid w:val="00A70305"/>
    <w:rsid w:val="00A703CB"/>
    <w:rsid w:val="00A74F9E"/>
    <w:rsid w:val="00A77180"/>
    <w:rsid w:val="00A803CF"/>
    <w:rsid w:val="00A80648"/>
    <w:rsid w:val="00A8219B"/>
    <w:rsid w:val="00A83CF0"/>
    <w:rsid w:val="00A866AC"/>
    <w:rsid w:val="00A86AB6"/>
    <w:rsid w:val="00A90072"/>
    <w:rsid w:val="00A90705"/>
    <w:rsid w:val="00A9283C"/>
    <w:rsid w:val="00A92ED8"/>
    <w:rsid w:val="00A93C12"/>
    <w:rsid w:val="00A9575E"/>
    <w:rsid w:val="00A95827"/>
    <w:rsid w:val="00AA085A"/>
    <w:rsid w:val="00AA3592"/>
    <w:rsid w:val="00AA54DF"/>
    <w:rsid w:val="00AA56EE"/>
    <w:rsid w:val="00AA7CA3"/>
    <w:rsid w:val="00AB1717"/>
    <w:rsid w:val="00AB2BBC"/>
    <w:rsid w:val="00AC008C"/>
    <w:rsid w:val="00AC2470"/>
    <w:rsid w:val="00AC4D8C"/>
    <w:rsid w:val="00AC5323"/>
    <w:rsid w:val="00AC5715"/>
    <w:rsid w:val="00AC72C8"/>
    <w:rsid w:val="00AD1F65"/>
    <w:rsid w:val="00AD3A34"/>
    <w:rsid w:val="00AD3AE6"/>
    <w:rsid w:val="00AD6259"/>
    <w:rsid w:val="00AE1E5A"/>
    <w:rsid w:val="00AE2906"/>
    <w:rsid w:val="00AE57D3"/>
    <w:rsid w:val="00AE5B90"/>
    <w:rsid w:val="00AE6DA4"/>
    <w:rsid w:val="00AE7420"/>
    <w:rsid w:val="00AF0BBF"/>
    <w:rsid w:val="00AF1640"/>
    <w:rsid w:val="00AF4331"/>
    <w:rsid w:val="00AF4FB9"/>
    <w:rsid w:val="00AF585C"/>
    <w:rsid w:val="00AF5B30"/>
    <w:rsid w:val="00AF5EB5"/>
    <w:rsid w:val="00AF64A0"/>
    <w:rsid w:val="00AF6A4F"/>
    <w:rsid w:val="00AF79A7"/>
    <w:rsid w:val="00B00258"/>
    <w:rsid w:val="00B002ED"/>
    <w:rsid w:val="00B00C3A"/>
    <w:rsid w:val="00B047B0"/>
    <w:rsid w:val="00B05214"/>
    <w:rsid w:val="00B06179"/>
    <w:rsid w:val="00B06D12"/>
    <w:rsid w:val="00B10C83"/>
    <w:rsid w:val="00B10CA5"/>
    <w:rsid w:val="00B1101B"/>
    <w:rsid w:val="00B11532"/>
    <w:rsid w:val="00B15E19"/>
    <w:rsid w:val="00B16FF5"/>
    <w:rsid w:val="00B176AC"/>
    <w:rsid w:val="00B17CC4"/>
    <w:rsid w:val="00B21873"/>
    <w:rsid w:val="00B22227"/>
    <w:rsid w:val="00B22298"/>
    <w:rsid w:val="00B2474E"/>
    <w:rsid w:val="00B260F0"/>
    <w:rsid w:val="00B33AFA"/>
    <w:rsid w:val="00B35576"/>
    <w:rsid w:val="00B37CDE"/>
    <w:rsid w:val="00B4049D"/>
    <w:rsid w:val="00B43BED"/>
    <w:rsid w:val="00B43C1C"/>
    <w:rsid w:val="00B44CAF"/>
    <w:rsid w:val="00B4598B"/>
    <w:rsid w:val="00B47CE3"/>
    <w:rsid w:val="00B51197"/>
    <w:rsid w:val="00B511B8"/>
    <w:rsid w:val="00B534D5"/>
    <w:rsid w:val="00B56459"/>
    <w:rsid w:val="00B57262"/>
    <w:rsid w:val="00B63125"/>
    <w:rsid w:val="00B65926"/>
    <w:rsid w:val="00B65A14"/>
    <w:rsid w:val="00B65F0C"/>
    <w:rsid w:val="00B6635E"/>
    <w:rsid w:val="00B70F87"/>
    <w:rsid w:val="00B7162A"/>
    <w:rsid w:val="00B7208D"/>
    <w:rsid w:val="00B73193"/>
    <w:rsid w:val="00B74130"/>
    <w:rsid w:val="00B74C90"/>
    <w:rsid w:val="00B75AD3"/>
    <w:rsid w:val="00B7635C"/>
    <w:rsid w:val="00B76C3C"/>
    <w:rsid w:val="00B77742"/>
    <w:rsid w:val="00B82595"/>
    <w:rsid w:val="00B83AE5"/>
    <w:rsid w:val="00B83CF5"/>
    <w:rsid w:val="00B84B44"/>
    <w:rsid w:val="00B90242"/>
    <w:rsid w:val="00B90C96"/>
    <w:rsid w:val="00B9120E"/>
    <w:rsid w:val="00B96C91"/>
    <w:rsid w:val="00B9763C"/>
    <w:rsid w:val="00BA19D9"/>
    <w:rsid w:val="00BA1EC5"/>
    <w:rsid w:val="00BA297D"/>
    <w:rsid w:val="00BA7DFD"/>
    <w:rsid w:val="00BB3560"/>
    <w:rsid w:val="00BB56F5"/>
    <w:rsid w:val="00BB58F6"/>
    <w:rsid w:val="00BC03F9"/>
    <w:rsid w:val="00BC23F8"/>
    <w:rsid w:val="00BC248A"/>
    <w:rsid w:val="00BC2547"/>
    <w:rsid w:val="00BC2685"/>
    <w:rsid w:val="00BC52EF"/>
    <w:rsid w:val="00BC596A"/>
    <w:rsid w:val="00BC69A9"/>
    <w:rsid w:val="00BC7568"/>
    <w:rsid w:val="00BD04DC"/>
    <w:rsid w:val="00BD1492"/>
    <w:rsid w:val="00BD1E26"/>
    <w:rsid w:val="00BD581E"/>
    <w:rsid w:val="00BE0108"/>
    <w:rsid w:val="00BE136C"/>
    <w:rsid w:val="00BE179D"/>
    <w:rsid w:val="00BE3059"/>
    <w:rsid w:val="00BE33D8"/>
    <w:rsid w:val="00BE6B63"/>
    <w:rsid w:val="00BE6CCD"/>
    <w:rsid w:val="00BE6D18"/>
    <w:rsid w:val="00BE7735"/>
    <w:rsid w:val="00BE7982"/>
    <w:rsid w:val="00BF02A7"/>
    <w:rsid w:val="00BF258D"/>
    <w:rsid w:val="00BF6B1D"/>
    <w:rsid w:val="00BF7ED0"/>
    <w:rsid w:val="00C00016"/>
    <w:rsid w:val="00C0072B"/>
    <w:rsid w:val="00C00CEA"/>
    <w:rsid w:val="00C03A32"/>
    <w:rsid w:val="00C06EBF"/>
    <w:rsid w:val="00C10519"/>
    <w:rsid w:val="00C1191C"/>
    <w:rsid w:val="00C132EA"/>
    <w:rsid w:val="00C14608"/>
    <w:rsid w:val="00C15728"/>
    <w:rsid w:val="00C15DD2"/>
    <w:rsid w:val="00C15F36"/>
    <w:rsid w:val="00C16D50"/>
    <w:rsid w:val="00C16EF5"/>
    <w:rsid w:val="00C2163C"/>
    <w:rsid w:val="00C219B0"/>
    <w:rsid w:val="00C22437"/>
    <w:rsid w:val="00C2316A"/>
    <w:rsid w:val="00C24B56"/>
    <w:rsid w:val="00C3007B"/>
    <w:rsid w:val="00C302F8"/>
    <w:rsid w:val="00C30C24"/>
    <w:rsid w:val="00C33702"/>
    <w:rsid w:val="00C34E34"/>
    <w:rsid w:val="00C3589D"/>
    <w:rsid w:val="00C36B8C"/>
    <w:rsid w:val="00C37249"/>
    <w:rsid w:val="00C378FC"/>
    <w:rsid w:val="00C40226"/>
    <w:rsid w:val="00C40C05"/>
    <w:rsid w:val="00C40E58"/>
    <w:rsid w:val="00C429F7"/>
    <w:rsid w:val="00C442D1"/>
    <w:rsid w:val="00C4464D"/>
    <w:rsid w:val="00C44CA4"/>
    <w:rsid w:val="00C50B57"/>
    <w:rsid w:val="00C53905"/>
    <w:rsid w:val="00C550FA"/>
    <w:rsid w:val="00C55786"/>
    <w:rsid w:val="00C55936"/>
    <w:rsid w:val="00C56C1D"/>
    <w:rsid w:val="00C6045C"/>
    <w:rsid w:val="00C627EC"/>
    <w:rsid w:val="00C65BCF"/>
    <w:rsid w:val="00C72FC6"/>
    <w:rsid w:val="00C746D3"/>
    <w:rsid w:val="00C75C20"/>
    <w:rsid w:val="00C77037"/>
    <w:rsid w:val="00C829DA"/>
    <w:rsid w:val="00C82F82"/>
    <w:rsid w:val="00C85287"/>
    <w:rsid w:val="00C852B0"/>
    <w:rsid w:val="00C85706"/>
    <w:rsid w:val="00C867E1"/>
    <w:rsid w:val="00C901ED"/>
    <w:rsid w:val="00C905A8"/>
    <w:rsid w:val="00C905D2"/>
    <w:rsid w:val="00C90669"/>
    <w:rsid w:val="00C90ED8"/>
    <w:rsid w:val="00C90F69"/>
    <w:rsid w:val="00C93198"/>
    <w:rsid w:val="00C95407"/>
    <w:rsid w:val="00CA1D82"/>
    <w:rsid w:val="00CA22C5"/>
    <w:rsid w:val="00CA3A04"/>
    <w:rsid w:val="00CA6CB1"/>
    <w:rsid w:val="00CA7C4F"/>
    <w:rsid w:val="00CB48CF"/>
    <w:rsid w:val="00CC2DDD"/>
    <w:rsid w:val="00CC4A5E"/>
    <w:rsid w:val="00CC65E2"/>
    <w:rsid w:val="00CC6CE7"/>
    <w:rsid w:val="00CD65B3"/>
    <w:rsid w:val="00CD6E28"/>
    <w:rsid w:val="00CD7825"/>
    <w:rsid w:val="00CE0603"/>
    <w:rsid w:val="00CE11A6"/>
    <w:rsid w:val="00CE2443"/>
    <w:rsid w:val="00CE30D9"/>
    <w:rsid w:val="00CE43DD"/>
    <w:rsid w:val="00CE57A6"/>
    <w:rsid w:val="00CE791B"/>
    <w:rsid w:val="00CE7E2D"/>
    <w:rsid w:val="00CF3ABC"/>
    <w:rsid w:val="00CF4173"/>
    <w:rsid w:val="00CF4CE9"/>
    <w:rsid w:val="00CF593D"/>
    <w:rsid w:val="00CF60A1"/>
    <w:rsid w:val="00CF76D8"/>
    <w:rsid w:val="00CF7F53"/>
    <w:rsid w:val="00CF7FF6"/>
    <w:rsid w:val="00D00CCF"/>
    <w:rsid w:val="00D0151B"/>
    <w:rsid w:val="00D021CA"/>
    <w:rsid w:val="00D0263A"/>
    <w:rsid w:val="00D040CF"/>
    <w:rsid w:val="00D05CF8"/>
    <w:rsid w:val="00D05E30"/>
    <w:rsid w:val="00D07542"/>
    <w:rsid w:val="00D078E9"/>
    <w:rsid w:val="00D07C72"/>
    <w:rsid w:val="00D110DF"/>
    <w:rsid w:val="00D122BD"/>
    <w:rsid w:val="00D13822"/>
    <w:rsid w:val="00D13B0C"/>
    <w:rsid w:val="00D15454"/>
    <w:rsid w:val="00D15DA7"/>
    <w:rsid w:val="00D16039"/>
    <w:rsid w:val="00D2184F"/>
    <w:rsid w:val="00D230CD"/>
    <w:rsid w:val="00D24931"/>
    <w:rsid w:val="00D25283"/>
    <w:rsid w:val="00D26F93"/>
    <w:rsid w:val="00D27642"/>
    <w:rsid w:val="00D3160A"/>
    <w:rsid w:val="00D32485"/>
    <w:rsid w:val="00D35C10"/>
    <w:rsid w:val="00D35E89"/>
    <w:rsid w:val="00D3600D"/>
    <w:rsid w:val="00D36E01"/>
    <w:rsid w:val="00D408F3"/>
    <w:rsid w:val="00D41294"/>
    <w:rsid w:val="00D47ED0"/>
    <w:rsid w:val="00D5026C"/>
    <w:rsid w:val="00D506B2"/>
    <w:rsid w:val="00D52C4C"/>
    <w:rsid w:val="00D536B8"/>
    <w:rsid w:val="00D53CD8"/>
    <w:rsid w:val="00D55213"/>
    <w:rsid w:val="00D55F36"/>
    <w:rsid w:val="00D60AB4"/>
    <w:rsid w:val="00D611E0"/>
    <w:rsid w:val="00D621B4"/>
    <w:rsid w:val="00D639D0"/>
    <w:rsid w:val="00D64662"/>
    <w:rsid w:val="00D64AB4"/>
    <w:rsid w:val="00D66CD8"/>
    <w:rsid w:val="00D7080C"/>
    <w:rsid w:val="00D73AE8"/>
    <w:rsid w:val="00D73DD6"/>
    <w:rsid w:val="00D75844"/>
    <w:rsid w:val="00D75DA1"/>
    <w:rsid w:val="00D7650C"/>
    <w:rsid w:val="00D772B4"/>
    <w:rsid w:val="00D772CD"/>
    <w:rsid w:val="00D80440"/>
    <w:rsid w:val="00D8290E"/>
    <w:rsid w:val="00D84761"/>
    <w:rsid w:val="00D87DDA"/>
    <w:rsid w:val="00D9142D"/>
    <w:rsid w:val="00D91571"/>
    <w:rsid w:val="00D91724"/>
    <w:rsid w:val="00D9317A"/>
    <w:rsid w:val="00D953DC"/>
    <w:rsid w:val="00D9584C"/>
    <w:rsid w:val="00D96D4E"/>
    <w:rsid w:val="00D97726"/>
    <w:rsid w:val="00D97DBB"/>
    <w:rsid w:val="00DA11EA"/>
    <w:rsid w:val="00DA2636"/>
    <w:rsid w:val="00DA6D5B"/>
    <w:rsid w:val="00DB1E50"/>
    <w:rsid w:val="00DB2828"/>
    <w:rsid w:val="00DB39D3"/>
    <w:rsid w:val="00DB4844"/>
    <w:rsid w:val="00DB4AE0"/>
    <w:rsid w:val="00DB5AF1"/>
    <w:rsid w:val="00DC0450"/>
    <w:rsid w:val="00DC2FF1"/>
    <w:rsid w:val="00DD0EFD"/>
    <w:rsid w:val="00DD2193"/>
    <w:rsid w:val="00DD5938"/>
    <w:rsid w:val="00DD6DC2"/>
    <w:rsid w:val="00DD7536"/>
    <w:rsid w:val="00DD7A0F"/>
    <w:rsid w:val="00DD7C4D"/>
    <w:rsid w:val="00DE0D6A"/>
    <w:rsid w:val="00DE2986"/>
    <w:rsid w:val="00DF2CAF"/>
    <w:rsid w:val="00DF666C"/>
    <w:rsid w:val="00DF7126"/>
    <w:rsid w:val="00E017C1"/>
    <w:rsid w:val="00E01B5E"/>
    <w:rsid w:val="00E04369"/>
    <w:rsid w:val="00E04AF9"/>
    <w:rsid w:val="00E04C34"/>
    <w:rsid w:val="00E059FE"/>
    <w:rsid w:val="00E06D6E"/>
    <w:rsid w:val="00E10100"/>
    <w:rsid w:val="00E101A6"/>
    <w:rsid w:val="00E12DD2"/>
    <w:rsid w:val="00E144C3"/>
    <w:rsid w:val="00E148FF"/>
    <w:rsid w:val="00E16389"/>
    <w:rsid w:val="00E170C7"/>
    <w:rsid w:val="00E200CB"/>
    <w:rsid w:val="00E204AD"/>
    <w:rsid w:val="00E20A90"/>
    <w:rsid w:val="00E21D46"/>
    <w:rsid w:val="00E2277C"/>
    <w:rsid w:val="00E2314E"/>
    <w:rsid w:val="00E26E05"/>
    <w:rsid w:val="00E27292"/>
    <w:rsid w:val="00E27F5A"/>
    <w:rsid w:val="00E32B3B"/>
    <w:rsid w:val="00E3391B"/>
    <w:rsid w:val="00E33B34"/>
    <w:rsid w:val="00E33DEB"/>
    <w:rsid w:val="00E345EF"/>
    <w:rsid w:val="00E34FAD"/>
    <w:rsid w:val="00E35C02"/>
    <w:rsid w:val="00E37388"/>
    <w:rsid w:val="00E41CFE"/>
    <w:rsid w:val="00E45085"/>
    <w:rsid w:val="00E45B72"/>
    <w:rsid w:val="00E47E55"/>
    <w:rsid w:val="00E50C05"/>
    <w:rsid w:val="00E51A6C"/>
    <w:rsid w:val="00E53048"/>
    <w:rsid w:val="00E53248"/>
    <w:rsid w:val="00E561A5"/>
    <w:rsid w:val="00E561A6"/>
    <w:rsid w:val="00E60BD5"/>
    <w:rsid w:val="00E61072"/>
    <w:rsid w:val="00E61B5A"/>
    <w:rsid w:val="00E6225C"/>
    <w:rsid w:val="00E624A4"/>
    <w:rsid w:val="00E64C40"/>
    <w:rsid w:val="00E665B1"/>
    <w:rsid w:val="00E66E0C"/>
    <w:rsid w:val="00E714B4"/>
    <w:rsid w:val="00E73ACB"/>
    <w:rsid w:val="00E7610F"/>
    <w:rsid w:val="00E7731A"/>
    <w:rsid w:val="00E77DC6"/>
    <w:rsid w:val="00E81643"/>
    <w:rsid w:val="00E84413"/>
    <w:rsid w:val="00E85F9F"/>
    <w:rsid w:val="00E90D54"/>
    <w:rsid w:val="00E91185"/>
    <w:rsid w:val="00E91B56"/>
    <w:rsid w:val="00E92F4A"/>
    <w:rsid w:val="00E93312"/>
    <w:rsid w:val="00E9456A"/>
    <w:rsid w:val="00E94E6C"/>
    <w:rsid w:val="00E95C97"/>
    <w:rsid w:val="00E96C71"/>
    <w:rsid w:val="00E972D4"/>
    <w:rsid w:val="00EA02B6"/>
    <w:rsid w:val="00EA11B0"/>
    <w:rsid w:val="00EA34E0"/>
    <w:rsid w:val="00EA360D"/>
    <w:rsid w:val="00EA5667"/>
    <w:rsid w:val="00EB01ED"/>
    <w:rsid w:val="00EB0345"/>
    <w:rsid w:val="00EB1EDB"/>
    <w:rsid w:val="00EB1FD2"/>
    <w:rsid w:val="00EB2F22"/>
    <w:rsid w:val="00EB3B88"/>
    <w:rsid w:val="00EB4AE5"/>
    <w:rsid w:val="00EB6099"/>
    <w:rsid w:val="00EB77CE"/>
    <w:rsid w:val="00EC0941"/>
    <w:rsid w:val="00EC0B5F"/>
    <w:rsid w:val="00EC1060"/>
    <w:rsid w:val="00EC13A3"/>
    <w:rsid w:val="00EC1ED7"/>
    <w:rsid w:val="00EC6368"/>
    <w:rsid w:val="00ED04F4"/>
    <w:rsid w:val="00ED14DD"/>
    <w:rsid w:val="00ED579F"/>
    <w:rsid w:val="00ED7F87"/>
    <w:rsid w:val="00EE1158"/>
    <w:rsid w:val="00EE1AA3"/>
    <w:rsid w:val="00EE1AEA"/>
    <w:rsid w:val="00EE1EBE"/>
    <w:rsid w:val="00EE2C43"/>
    <w:rsid w:val="00EE5613"/>
    <w:rsid w:val="00EF04FA"/>
    <w:rsid w:val="00EF0F09"/>
    <w:rsid w:val="00EF284E"/>
    <w:rsid w:val="00EF2EA4"/>
    <w:rsid w:val="00EF3406"/>
    <w:rsid w:val="00EF403E"/>
    <w:rsid w:val="00EF6997"/>
    <w:rsid w:val="00EF6BF0"/>
    <w:rsid w:val="00F00C9B"/>
    <w:rsid w:val="00F01C3E"/>
    <w:rsid w:val="00F021CC"/>
    <w:rsid w:val="00F02E19"/>
    <w:rsid w:val="00F04D07"/>
    <w:rsid w:val="00F0504C"/>
    <w:rsid w:val="00F06C05"/>
    <w:rsid w:val="00F07528"/>
    <w:rsid w:val="00F07E00"/>
    <w:rsid w:val="00F104E8"/>
    <w:rsid w:val="00F11DD9"/>
    <w:rsid w:val="00F14163"/>
    <w:rsid w:val="00F23382"/>
    <w:rsid w:val="00F23F27"/>
    <w:rsid w:val="00F24B49"/>
    <w:rsid w:val="00F255A9"/>
    <w:rsid w:val="00F2646B"/>
    <w:rsid w:val="00F305D1"/>
    <w:rsid w:val="00F32063"/>
    <w:rsid w:val="00F33E8F"/>
    <w:rsid w:val="00F36DAB"/>
    <w:rsid w:val="00F3724D"/>
    <w:rsid w:val="00F37D5C"/>
    <w:rsid w:val="00F4083A"/>
    <w:rsid w:val="00F408B5"/>
    <w:rsid w:val="00F43D67"/>
    <w:rsid w:val="00F46674"/>
    <w:rsid w:val="00F469AA"/>
    <w:rsid w:val="00F477CA"/>
    <w:rsid w:val="00F50A0A"/>
    <w:rsid w:val="00F522DC"/>
    <w:rsid w:val="00F53FF3"/>
    <w:rsid w:val="00F55C64"/>
    <w:rsid w:val="00F56CDF"/>
    <w:rsid w:val="00F61D5F"/>
    <w:rsid w:val="00F625B4"/>
    <w:rsid w:val="00F63613"/>
    <w:rsid w:val="00F652FC"/>
    <w:rsid w:val="00F66722"/>
    <w:rsid w:val="00F67E53"/>
    <w:rsid w:val="00F70A79"/>
    <w:rsid w:val="00F70BE0"/>
    <w:rsid w:val="00F724AE"/>
    <w:rsid w:val="00F737AF"/>
    <w:rsid w:val="00F73A09"/>
    <w:rsid w:val="00F7489C"/>
    <w:rsid w:val="00F74B74"/>
    <w:rsid w:val="00F75045"/>
    <w:rsid w:val="00F7645F"/>
    <w:rsid w:val="00F767CB"/>
    <w:rsid w:val="00F76C5E"/>
    <w:rsid w:val="00F76F0D"/>
    <w:rsid w:val="00F81076"/>
    <w:rsid w:val="00F81BCB"/>
    <w:rsid w:val="00F825A3"/>
    <w:rsid w:val="00F8308C"/>
    <w:rsid w:val="00F83CE3"/>
    <w:rsid w:val="00F85C51"/>
    <w:rsid w:val="00F93B5D"/>
    <w:rsid w:val="00F93C00"/>
    <w:rsid w:val="00F9536E"/>
    <w:rsid w:val="00F954C8"/>
    <w:rsid w:val="00F9691F"/>
    <w:rsid w:val="00F976B0"/>
    <w:rsid w:val="00FA1990"/>
    <w:rsid w:val="00FA5306"/>
    <w:rsid w:val="00FA5D8E"/>
    <w:rsid w:val="00FA6D49"/>
    <w:rsid w:val="00FB10A3"/>
    <w:rsid w:val="00FB1B89"/>
    <w:rsid w:val="00FB2B31"/>
    <w:rsid w:val="00FB5970"/>
    <w:rsid w:val="00FB7530"/>
    <w:rsid w:val="00FC0962"/>
    <w:rsid w:val="00FC1D17"/>
    <w:rsid w:val="00FC336B"/>
    <w:rsid w:val="00FC3EE6"/>
    <w:rsid w:val="00FC7BD1"/>
    <w:rsid w:val="00FD0D8F"/>
    <w:rsid w:val="00FD1A22"/>
    <w:rsid w:val="00FD1E66"/>
    <w:rsid w:val="00FD4B1B"/>
    <w:rsid w:val="00FD676B"/>
    <w:rsid w:val="00FD789E"/>
    <w:rsid w:val="00FE0194"/>
    <w:rsid w:val="00FE2997"/>
    <w:rsid w:val="00FE305E"/>
    <w:rsid w:val="00FE504F"/>
    <w:rsid w:val="00FE5056"/>
    <w:rsid w:val="00FE5561"/>
    <w:rsid w:val="00FE63FF"/>
    <w:rsid w:val="00FF26B6"/>
    <w:rsid w:val="00FF2AB0"/>
    <w:rsid w:val="00FF37C3"/>
    <w:rsid w:val="00FF6035"/>
    <w:rsid w:val="00FF6036"/>
    <w:rsid w:val="00FF73E2"/>
    <w:rsid w:val="29A49601"/>
    <w:rsid w:val="5E438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B57D4E"/>
  <w15:chartTrackingRefBased/>
  <w15:docId w15:val="{34EC762A-912F-43D3-9F65-5ADB7B760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36B"/>
    <w:pPr>
      <w:spacing w:before="52" w:after="120" w:line="202" w:lineRule="auto"/>
    </w:pPr>
    <w:rPr>
      <w:rFonts w:ascii="Nunito Light" w:hAnsi="Nunito Light" w:cs="Arial"/>
      <w:bCs/>
      <w:color w:val="000100"/>
      <w:sz w:val="20"/>
    </w:rPr>
  </w:style>
  <w:style w:type="paragraph" w:styleId="Heading1">
    <w:name w:val="heading 1"/>
    <w:basedOn w:val="Normalrgb"/>
    <w:next w:val="Normal"/>
    <w:link w:val="Heading1Char"/>
    <w:uiPriority w:val="9"/>
    <w:qFormat/>
    <w:rsid w:val="00E7731A"/>
    <w:pPr>
      <w:keepNext/>
      <w:keepLines/>
      <w:pBdr>
        <w:between w:val="single" w:sz="2" w:space="1" w:color="auto"/>
      </w:pBdr>
      <w:spacing w:before="40" w:line="480" w:lineRule="exact"/>
      <w:ind w:hanging="238"/>
      <w:outlineLvl w:val="0"/>
    </w:pPr>
    <w:rPr>
      <w:rFonts w:ascii="Nunito" w:eastAsiaTheme="majorEastAsia" w:hAnsi="Nunito"/>
      <w:caps/>
      <w:color w:val="000F9F"/>
      <w:spacing w:val="8"/>
      <w:sz w:val="48"/>
      <w:szCs w:val="32"/>
    </w:rPr>
  </w:style>
  <w:style w:type="paragraph" w:styleId="Heading2">
    <w:name w:val="heading 2"/>
    <w:basedOn w:val="Normalrgb"/>
    <w:next w:val="Normal"/>
    <w:link w:val="Heading2Char"/>
    <w:uiPriority w:val="9"/>
    <w:qFormat/>
    <w:rsid w:val="00E7731A"/>
    <w:pPr>
      <w:keepNext/>
      <w:keepLines/>
      <w:pBdr>
        <w:bottom w:val="single" w:sz="4" w:space="1" w:color="000E9F"/>
      </w:pBdr>
      <w:spacing w:before="204" w:after="52"/>
      <w:outlineLvl w:val="1"/>
    </w:pPr>
    <w:rPr>
      <w:rFonts w:ascii="Nunito" w:eastAsiaTheme="majorEastAsia" w:hAnsi="Nunito"/>
      <w:b/>
      <w:caps/>
      <w:color w:val="000F9F"/>
      <w:sz w:val="22"/>
      <w:szCs w:val="26"/>
    </w:rPr>
  </w:style>
  <w:style w:type="paragraph" w:styleId="Heading3">
    <w:name w:val="heading 3"/>
    <w:basedOn w:val="Normalrgb"/>
    <w:next w:val="Normal"/>
    <w:link w:val="Heading3Char"/>
    <w:uiPriority w:val="9"/>
    <w:qFormat/>
    <w:rsid w:val="00E7731A"/>
    <w:pPr>
      <w:keepNext/>
      <w:keepLines/>
      <w:spacing w:before="204" w:after="52"/>
      <w:ind w:left="612" w:hanging="612"/>
      <w:outlineLvl w:val="2"/>
    </w:pPr>
    <w:rPr>
      <w:rFonts w:ascii="Nunito" w:eastAsiaTheme="majorEastAsia" w:hAnsi="Nunito"/>
      <w:b/>
      <w:color w:val="000F9F"/>
      <w:szCs w:val="24"/>
    </w:rPr>
  </w:style>
  <w:style w:type="paragraph" w:styleId="Heading4">
    <w:name w:val="heading 4"/>
    <w:basedOn w:val="Normalrgb"/>
    <w:next w:val="Normal"/>
    <w:link w:val="Heading4Char"/>
    <w:uiPriority w:val="9"/>
    <w:qFormat/>
    <w:rsid w:val="00E7731A"/>
    <w:pPr>
      <w:keepNext/>
      <w:keepLines/>
      <w:numPr>
        <w:ilvl w:val="3"/>
        <w:numId w:val="17"/>
      </w:numPr>
      <w:spacing w:before="204" w:after="52"/>
      <w:outlineLvl w:val="3"/>
    </w:pPr>
    <w:rPr>
      <w:rFonts w:ascii="Nunito SemiBold" w:eastAsiaTheme="majorEastAsia" w:hAnsi="Nunito SemiBold"/>
      <w:iCs/>
      <w:color w:val="000F9F"/>
      <w:sz w:val="18"/>
    </w:rPr>
  </w:style>
  <w:style w:type="paragraph" w:styleId="Heading5">
    <w:name w:val="heading 5"/>
    <w:basedOn w:val="Normal"/>
    <w:next w:val="Normal"/>
    <w:link w:val="Heading5Char"/>
    <w:uiPriority w:val="9"/>
    <w:semiHidden/>
    <w:qFormat/>
    <w:rsid w:val="004D05EC"/>
    <w:pPr>
      <w:keepNext/>
      <w:keepLines/>
      <w:numPr>
        <w:ilvl w:val="4"/>
        <w:numId w:val="8"/>
      </w:numPr>
      <w:spacing w:before="200" w:after="60"/>
      <w:outlineLvl w:val="4"/>
    </w:pPr>
    <w:rPr>
      <w:rFonts w:ascii="Nunito" w:eastAsiaTheme="majorEastAsia" w:hAnsi="Nunito"/>
    </w:rPr>
  </w:style>
  <w:style w:type="paragraph" w:styleId="Heading6">
    <w:name w:val="heading 6"/>
    <w:basedOn w:val="Normal"/>
    <w:next w:val="Normal"/>
    <w:link w:val="Heading6Char"/>
    <w:uiPriority w:val="9"/>
    <w:semiHidden/>
    <w:qFormat/>
    <w:rsid w:val="009637A8"/>
    <w:pPr>
      <w:keepNext/>
      <w:keepLines/>
      <w:numPr>
        <w:ilvl w:val="5"/>
        <w:numId w:val="3"/>
      </w:numPr>
      <w:spacing w:before="40" w:after="0" w:line="259" w:lineRule="auto"/>
      <w:outlineLvl w:val="5"/>
    </w:pPr>
    <w:rPr>
      <w:rFonts w:eastAsiaTheme="majorEastAsia"/>
      <w:color w:val="265854" w:themeColor="accent1" w:themeShade="7F"/>
    </w:rPr>
  </w:style>
  <w:style w:type="paragraph" w:styleId="Heading7">
    <w:name w:val="heading 7"/>
    <w:basedOn w:val="Normal"/>
    <w:next w:val="Normal"/>
    <w:link w:val="Heading7Char"/>
    <w:uiPriority w:val="9"/>
    <w:semiHidden/>
    <w:qFormat/>
    <w:rsid w:val="009637A8"/>
    <w:pPr>
      <w:keepNext/>
      <w:keepLines/>
      <w:numPr>
        <w:ilvl w:val="6"/>
        <w:numId w:val="3"/>
      </w:numPr>
      <w:spacing w:before="40" w:after="0" w:line="259" w:lineRule="auto"/>
      <w:outlineLvl w:val="6"/>
    </w:pPr>
    <w:rPr>
      <w:rFonts w:eastAsiaTheme="majorEastAsia"/>
      <w:i/>
      <w:iCs/>
      <w:color w:val="265854" w:themeColor="accent1" w:themeShade="7F"/>
    </w:rPr>
  </w:style>
  <w:style w:type="paragraph" w:styleId="Heading8">
    <w:name w:val="heading 8"/>
    <w:basedOn w:val="Normal"/>
    <w:next w:val="Normal"/>
    <w:link w:val="Heading8Char"/>
    <w:uiPriority w:val="9"/>
    <w:semiHidden/>
    <w:qFormat/>
    <w:rsid w:val="009637A8"/>
    <w:pPr>
      <w:keepNext/>
      <w:keepLines/>
      <w:numPr>
        <w:ilvl w:val="7"/>
        <w:numId w:val="3"/>
      </w:numPr>
      <w:spacing w:before="40" w:after="0" w:line="259" w:lineRule="auto"/>
      <w:outlineLvl w:val="7"/>
    </w:pPr>
    <w:rPr>
      <w:rFonts w:eastAsiaTheme="majorEastAsia"/>
      <w:color w:val="272727" w:themeColor="text1" w:themeTint="D8"/>
      <w:sz w:val="21"/>
      <w:szCs w:val="21"/>
    </w:rPr>
  </w:style>
  <w:style w:type="paragraph" w:styleId="Heading9">
    <w:name w:val="heading 9"/>
    <w:basedOn w:val="Normal"/>
    <w:next w:val="Normal"/>
    <w:link w:val="Heading9Char"/>
    <w:uiPriority w:val="9"/>
    <w:semiHidden/>
    <w:qFormat/>
    <w:rsid w:val="009637A8"/>
    <w:pPr>
      <w:keepNext/>
      <w:keepLines/>
      <w:numPr>
        <w:ilvl w:val="8"/>
        <w:numId w:val="3"/>
      </w:numPr>
      <w:spacing w:before="40" w:after="0" w:line="259" w:lineRule="auto"/>
      <w:outlineLvl w:val="8"/>
    </w:pPr>
    <w:rPr>
      <w:rFonts w:eastAsiaTheme="majorEastAsia"/>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9637A8"/>
    <w:pPr>
      <w:numPr>
        <w:numId w:val="1"/>
      </w:numPr>
    </w:pPr>
  </w:style>
  <w:style w:type="numbering" w:styleId="1ai">
    <w:name w:val="Outline List 1"/>
    <w:basedOn w:val="NoList"/>
    <w:uiPriority w:val="99"/>
    <w:semiHidden/>
    <w:unhideWhenUsed/>
    <w:rsid w:val="009637A8"/>
    <w:pPr>
      <w:numPr>
        <w:numId w:val="2"/>
      </w:numPr>
    </w:pPr>
  </w:style>
  <w:style w:type="character" w:customStyle="1" w:styleId="Heading1Char">
    <w:name w:val="Heading 1 Char"/>
    <w:basedOn w:val="DefaultParagraphFont"/>
    <w:link w:val="Heading1"/>
    <w:uiPriority w:val="9"/>
    <w:rsid w:val="00E7731A"/>
    <w:rPr>
      <w:rFonts w:ascii="Nunito" w:eastAsiaTheme="majorEastAsia" w:hAnsi="Nunito" w:cs="Arial"/>
      <w:caps/>
      <w:color w:val="000F9F"/>
      <w:spacing w:val="8"/>
      <w:sz w:val="48"/>
      <w:szCs w:val="32"/>
    </w:rPr>
  </w:style>
  <w:style w:type="character" w:customStyle="1" w:styleId="Heading2Char">
    <w:name w:val="Heading 2 Char"/>
    <w:basedOn w:val="DefaultParagraphFont"/>
    <w:link w:val="Heading2"/>
    <w:uiPriority w:val="9"/>
    <w:rsid w:val="00E7731A"/>
    <w:rPr>
      <w:rFonts w:ascii="Nunito" w:eastAsiaTheme="majorEastAsia" w:hAnsi="Nunito" w:cs="Arial"/>
      <w:b/>
      <w:caps/>
      <w:color w:val="000F9F"/>
      <w:szCs w:val="26"/>
    </w:rPr>
  </w:style>
  <w:style w:type="character" w:customStyle="1" w:styleId="Heading3Char">
    <w:name w:val="Heading 3 Char"/>
    <w:basedOn w:val="DefaultParagraphFont"/>
    <w:link w:val="Heading3"/>
    <w:uiPriority w:val="9"/>
    <w:rsid w:val="00E7731A"/>
    <w:rPr>
      <w:rFonts w:ascii="Nunito" w:eastAsiaTheme="majorEastAsia" w:hAnsi="Nunito" w:cs="Arial"/>
      <w:b/>
      <w:color w:val="000F9F"/>
      <w:sz w:val="20"/>
      <w:szCs w:val="24"/>
    </w:rPr>
  </w:style>
  <w:style w:type="character" w:customStyle="1" w:styleId="Heading4Char">
    <w:name w:val="Heading 4 Char"/>
    <w:basedOn w:val="DefaultParagraphFont"/>
    <w:link w:val="Heading4"/>
    <w:uiPriority w:val="9"/>
    <w:rsid w:val="00E7731A"/>
    <w:rPr>
      <w:rFonts w:ascii="Nunito SemiBold" w:eastAsiaTheme="majorEastAsia" w:hAnsi="Nunito SemiBold" w:cs="Arial"/>
      <w:iCs/>
      <w:color w:val="000F9F"/>
      <w:sz w:val="18"/>
    </w:rPr>
  </w:style>
  <w:style w:type="character" w:customStyle="1" w:styleId="Heading5Char">
    <w:name w:val="Heading 5 Char"/>
    <w:basedOn w:val="DefaultParagraphFont"/>
    <w:link w:val="Heading5"/>
    <w:uiPriority w:val="9"/>
    <w:semiHidden/>
    <w:rsid w:val="007C1776"/>
    <w:rPr>
      <w:rFonts w:ascii="Nunito" w:eastAsiaTheme="majorEastAsia" w:hAnsi="Nunito" w:cs="Arial"/>
      <w:bCs/>
      <w:color w:val="000100"/>
      <w:sz w:val="20"/>
    </w:rPr>
  </w:style>
  <w:style w:type="character" w:customStyle="1" w:styleId="Heading6Char">
    <w:name w:val="Heading 6 Char"/>
    <w:basedOn w:val="DefaultParagraphFont"/>
    <w:link w:val="Heading6"/>
    <w:uiPriority w:val="9"/>
    <w:semiHidden/>
    <w:rsid w:val="00AD3AE6"/>
    <w:rPr>
      <w:rFonts w:ascii="Nunito Light" w:eastAsiaTheme="majorEastAsia" w:hAnsi="Nunito Light" w:cs="Arial"/>
      <w:bCs/>
      <w:color w:val="265854" w:themeColor="accent1" w:themeShade="7F"/>
      <w:sz w:val="20"/>
    </w:rPr>
  </w:style>
  <w:style w:type="character" w:customStyle="1" w:styleId="Heading7Char">
    <w:name w:val="Heading 7 Char"/>
    <w:basedOn w:val="DefaultParagraphFont"/>
    <w:link w:val="Heading7"/>
    <w:uiPriority w:val="9"/>
    <w:semiHidden/>
    <w:rsid w:val="00AD3AE6"/>
    <w:rPr>
      <w:rFonts w:ascii="Nunito Light" w:eastAsiaTheme="majorEastAsia" w:hAnsi="Nunito Light" w:cs="Arial"/>
      <w:bCs/>
      <w:i/>
      <w:iCs/>
      <w:color w:val="265854" w:themeColor="accent1" w:themeShade="7F"/>
      <w:sz w:val="20"/>
    </w:rPr>
  </w:style>
  <w:style w:type="character" w:customStyle="1" w:styleId="Heading8Char">
    <w:name w:val="Heading 8 Char"/>
    <w:basedOn w:val="DefaultParagraphFont"/>
    <w:link w:val="Heading8"/>
    <w:uiPriority w:val="9"/>
    <w:semiHidden/>
    <w:rsid w:val="00AD3AE6"/>
    <w:rPr>
      <w:rFonts w:ascii="Nunito Light" w:eastAsiaTheme="majorEastAsia" w:hAnsi="Nunito Light" w:cs="Arial"/>
      <w:bCs/>
      <w:color w:val="272727" w:themeColor="text1" w:themeTint="D8"/>
      <w:sz w:val="21"/>
      <w:szCs w:val="21"/>
    </w:rPr>
  </w:style>
  <w:style w:type="character" w:customStyle="1" w:styleId="Heading9Char">
    <w:name w:val="Heading 9 Char"/>
    <w:basedOn w:val="DefaultParagraphFont"/>
    <w:link w:val="Heading9"/>
    <w:uiPriority w:val="9"/>
    <w:semiHidden/>
    <w:rsid w:val="00AD3AE6"/>
    <w:rPr>
      <w:rFonts w:ascii="Nunito Light" w:eastAsiaTheme="majorEastAsia" w:hAnsi="Nunito Light" w:cs="Arial"/>
      <w:bCs/>
      <w:i/>
      <w:iCs/>
      <w:color w:val="272727" w:themeColor="text1" w:themeTint="D8"/>
      <w:sz w:val="21"/>
      <w:szCs w:val="21"/>
    </w:rPr>
  </w:style>
  <w:style w:type="numbering" w:styleId="ArticleSection">
    <w:name w:val="Outline List 3"/>
    <w:basedOn w:val="NoList"/>
    <w:uiPriority w:val="99"/>
    <w:semiHidden/>
    <w:unhideWhenUsed/>
    <w:rsid w:val="009637A8"/>
    <w:pPr>
      <w:numPr>
        <w:numId w:val="3"/>
      </w:numPr>
    </w:pPr>
  </w:style>
  <w:style w:type="paragraph" w:styleId="BalloonText">
    <w:name w:val="Balloon Text"/>
    <w:basedOn w:val="Normal"/>
    <w:link w:val="BalloonTextChar"/>
    <w:uiPriority w:val="99"/>
    <w:semiHidden/>
    <w:rsid w:val="009637A8"/>
    <w:pPr>
      <w:spacing w:after="0"/>
    </w:pPr>
    <w:rPr>
      <w:szCs w:val="18"/>
    </w:rPr>
  </w:style>
  <w:style w:type="character" w:customStyle="1" w:styleId="BalloonTextChar">
    <w:name w:val="Balloon Text Char"/>
    <w:basedOn w:val="DefaultParagraphFont"/>
    <w:link w:val="BalloonText"/>
    <w:uiPriority w:val="99"/>
    <w:semiHidden/>
    <w:rsid w:val="00AD3AE6"/>
    <w:rPr>
      <w:rFonts w:ascii="Arial" w:hAnsi="Arial" w:cs="Arial"/>
      <w:bCs/>
      <w:sz w:val="18"/>
      <w:szCs w:val="18"/>
    </w:rPr>
  </w:style>
  <w:style w:type="paragraph" w:styleId="Bibliography">
    <w:name w:val="Bibliography"/>
    <w:basedOn w:val="Normal"/>
    <w:next w:val="Normal"/>
    <w:uiPriority w:val="37"/>
    <w:semiHidden/>
    <w:rsid w:val="009637A8"/>
    <w:pPr>
      <w:spacing w:after="160" w:line="259" w:lineRule="auto"/>
    </w:pPr>
  </w:style>
  <w:style w:type="paragraph" w:styleId="BlockText">
    <w:name w:val="Block Text"/>
    <w:basedOn w:val="Normal"/>
    <w:uiPriority w:val="99"/>
    <w:semiHidden/>
    <w:rsid w:val="009637A8"/>
    <w:pPr>
      <w:pBdr>
        <w:top w:val="single" w:sz="2" w:space="10" w:color="4EB2A9" w:themeColor="accent1"/>
        <w:left w:val="single" w:sz="2" w:space="10" w:color="4EB2A9" w:themeColor="accent1"/>
        <w:bottom w:val="single" w:sz="2" w:space="10" w:color="4EB2A9" w:themeColor="accent1"/>
        <w:right w:val="single" w:sz="2" w:space="10" w:color="4EB2A9" w:themeColor="accent1"/>
      </w:pBdr>
      <w:spacing w:after="160" w:line="259" w:lineRule="auto"/>
      <w:ind w:left="1152" w:right="1152"/>
    </w:pPr>
    <w:rPr>
      <w:rFonts w:eastAsiaTheme="minorEastAsia"/>
      <w:i/>
      <w:iCs/>
      <w:color w:val="4EB2A9" w:themeColor="accent1"/>
    </w:rPr>
  </w:style>
  <w:style w:type="paragraph" w:styleId="BodyText">
    <w:name w:val="Body Text"/>
    <w:basedOn w:val="Normal"/>
    <w:link w:val="BodyTextChar"/>
    <w:uiPriority w:val="99"/>
    <w:semiHidden/>
    <w:rsid w:val="009637A8"/>
    <w:pPr>
      <w:spacing w:line="259" w:lineRule="auto"/>
    </w:pPr>
  </w:style>
  <w:style w:type="character" w:customStyle="1" w:styleId="BodyTextChar">
    <w:name w:val="Body Text Char"/>
    <w:basedOn w:val="DefaultParagraphFont"/>
    <w:link w:val="BodyText"/>
    <w:uiPriority w:val="99"/>
    <w:semiHidden/>
    <w:rsid w:val="00AD3AE6"/>
    <w:rPr>
      <w:rFonts w:ascii="Arial" w:hAnsi="Arial" w:cs="Arial"/>
      <w:bCs/>
    </w:rPr>
  </w:style>
  <w:style w:type="paragraph" w:styleId="BodyText2">
    <w:name w:val="Body Text 2"/>
    <w:basedOn w:val="Normal"/>
    <w:link w:val="BodyText2Char"/>
    <w:uiPriority w:val="99"/>
    <w:semiHidden/>
    <w:rsid w:val="009637A8"/>
    <w:pPr>
      <w:spacing w:line="480" w:lineRule="auto"/>
    </w:pPr>
  </w:style>
  <w:style w:type="character" w:customStyle="1" w:styleId="BodyText2Char">
    <w:name w:val="Body Text 2 Char"/>
    <w:basedOn w:val="DefaultParagraphFont"/>
    <w:link w:val="BodyText2"/>
    <w:uiPriority w:val="99"/>
    <w:semiHidden/>
    <w:rsid w:val="00AD3AE6"/>
    <w:rPr>
      <w:rFonts w:ascii="Arial" w:hAnsi="Arial" w:cs="Arial"/>
      <w:bCs/>
    </w:rPr>
  </w:style>
  <w:style w:type="paragraph" w:styleId="BodyText3">
    <w:name w:val="Body Text 3"/>
    <w:basedOn w:val="Normal"/>
    <w:link w:val="BodyText3Char"/>
    <w:uiPriority w:val="99"/>
    <w:semiHidden/>
    <w:rsid w:val="009637A8"/>
    <w:pPr>
      <w:spacing w:line="259" w:lineRule="auto"/>
    </w:pPr>
    <w:rPr>
      <w:sz w:val="16"/>
      <w:szCs w:val="16"/>
    </w:rPr>
  </w:style>
  <w:style w:type="character" w:customStyle="1" w:styleId="BodyText3Char">
    <w:name w:val="Body Text 3 Char"/>
    <w:basedOn w:val="DefaultParagraphFont"/>
    <w:link w:val="BodyText3"/>
    <w:uiPriority w:val="99"/>
    <w:semiHidden/>
    <w:rsid w:val="00AD3AE6"/>
    <w:rPr>
      <w:rFonts w:ascii="Arial" w:hAnsi="Arial" w:cs="Arial"/>
      <w:bCs/>
      <w:sz w:val="16"/>
      <w:szCs w:val="16"/>
    </w:rPr>
  </w:style>
  <w:style w:type="paragraph" w:styleId="BodyTextFirstIndent">
    <w:name w:val="Body Text First Indent"/>
    <w:basedOn w:val="BodyText"/>
    <w:link w:val="BodyTextFirstIndentChar"/>
    <w:uiPriority w:val="99"/>
    <w:semiHidden/>
    <w:rsid w:val="009637A8"/>
    <w:pPr>
      <w:spacing w:after="160"/>
      <w:ind w:firstLine="360"/>
    </w:pPr>
  </w:style>
  <w:style w:type="character" w:customStyle="1" w:styleId="BodyTextFirstIndentChar">
    <w:name w:val="Body Text First Indent Char"/>
    <w:basedOn w:val="BodyTextChar"/>
    <w:link w:val="BodyTextFirstIndent"/>
    <w:uiPriority w:val="99"/>
    <w:semiHidden/>
    <w:rsid w:val="00AD3AE6"/>
    <w:rPr>
      <w:rFonts w:ascii="Arial" w:hAnsi="Arial" w:cs="Arial"/>
      <w:bCs/>
    </w:rPr>
  </w:style>
  <w:style w:type="paragraph" w:styleId="BodyTextIndent">
    <w:name w:val="Body Text Indent"/>
    <w:basedOn w:val="Normal"/>
    <w:link w:val="BodyTextIndentChar"/>
    <w:uiPriority w:val="99"/>
    <w:semiHidden/>
    <w:rsid w:val="009637A8"/>
    <w:pPr>
      <w:spacing w:line="259" w:lineRule="auto"/>
      <w:ind w:left="283"/>
    </w:pPr>
  </w:style>
  <w:style w:type="character" w:customStyle="1" w:styleId="BodyTextIndentChar">
    <w:name w:val="Body Text Indent Char"/>
    <w:basedOn w:val="DefaultParagraphFont"/>
    <w:link w:val="BodyTextIndent"/>
    <w:uiPriority w:val="99"/>
    <w:semiHidden/>
    <w:rsid w:val="00AD3AE6"/>
    <w:rPr>
      <w:rFonts w:ascii="Arial" w:hAnsi="Arial" w:cs="Arial"/>
      <w:bCs/>
    </w:rPr>
  </w:style>
  <w:style w:type="paragraph" w:styleId="BodyTextFirstIndent2">
    <w:name w:val="Body Text First Indent 2"/>
    <w:basedOn w:val="BodyTextIndent"/>
    <w:link w:val="BodyTextFirstIndent2Char"/>
    <w:uiPriority w:val="99"/>
    <w:semiHidden/>
    <w:rsid w:val="009637A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AD3AE6"/>
    <w:rPr>
      <w:rFonts w:ascii="Arial" w:hAnsi="Arial" w:cs="Arial"/>
      <w:bCs w:val="0"/>
    </w:rPr>
  </w:style>
  <w:style w:type="paragraph" w:styleId="BodyTextIndent2">
    <w:name w:val="Body Text Indent 2"/>
    <w:basedOn w:val="Normal"/>
    <w:link w:val="BodyTextIndent2Char"/>
    <w:uiPriority w:val="99"/>
    <w:semiHidden/>
    <w:rsid w:val="009637A8"/>
    <w:pPr>
      <w:spacing w:line="480" w:lineRule="auto"/>
      <w:ind w:left="283"/>
    </w:pPr>
  </w:style>
  <w:style w:type="character" w:customStyle="1" w:styleId="BodyTextIndent2Char">
    <w:name w:val="Body Text Indent 2 Char"/>
    <w:basedOn w:val="DefaultParagraphFont"/>
    <w:link w:val="BodyTextIndent2"/>
    <w:uiPriority w:val="99"/>
    <w:semiHidden/>
    <w:rsid w:val="00AD3AE6"/>
    <w:rPr>
      <w:rFonts w:ascii="Arial" w:hAnsi="Arial" w:cs="Arial"/>
      <w:bCs/>
    </w:rPr>
  </w:style>
  <w:style w:type="paragraph" w:styleId="BodyTextIndent3">
    <w:name w:val="Body Text Indent 3"/>
    <w:basedOn w:val="Normal"/>
    <w:link w:val="BodyTextIndent3Char"/>
    <w:uiPriority w:val="99"/>
    <w:semiHidden/>
    <w:rsid w:val="009637A8"/>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AD3AE6"/>
    <w:rPr>
      <w:rFonts w:ascii="Arial" w:hAnsi="Arial" w:cs="Arial"/>
      <w:bCs/>
      <w:sz w:val="16"/>
      <w:szCs w:val="16"/>
    </w:rPr>
  </w:style>
  <w:style w:type="character" w:styleId="BookTitle">
    <w:name w:val="Book Title"/>
    <w:basedOn w:val="DefaultParagraphFont"/>
    <w:uiPriority w:val="33"/>
    <w:semiHidden/>
    <w:qFormat/>
    <w:rsid w:val="009637A8"/>
    <w:rPr>
      <w:b/>
      <w:bCs/>
      <w:i/>
      <w:iCs/>
      <w:spacing w:val="5"/>
    </w:rPr>
  </w:style>
  <w:style w:type="paragraph" w:styleId="Caption">
    <w:name w:val="caption"/>
    <w:basedOn w:val="Normal"/>
    <w:next w:val="Normal"/>
    <w:uiPriority w:val="35"/>
    <w:qFormat/>
    <w:rsid w:val="00094559"/>
    <w:pPr>
      <w:keepNext/>
      <w:spacing w:before="240" w:line="240" w:lineRule="auto"/>
      <w:ind w:left="1191" w:hanging="1191"/>
    </w:pPr>
    <w:rPr>
      <w:rFonts w:ascii="Nunito SemiBold" w:hAnsi="Nunito SemiBold"/>
      <w:iCs/>
      <w:caps/>
      <w:color w:val="auto"/>
      <w:sz w:val="16"/>
      <w:szCs w:val="18"/>
    </w:rPr>
  </w:style>
  <w:style w:type="paragraph" w:styleId="Closing">
    <w:name w:val="Closing"/>
    <w:basedOn w:val="Normal"/>
    <w:link w:val="ClosingChar"/>
    <w:uiPriority w:val="99"/>
    <w:semiHidden/>
    <w:rsid w:val="009637A8"/>
    <w:pPr>
      <w:spacing w:after="0"/>
      <w:ind w:left="4252"/>
    </w:pPr>
  </w:style>
  <w:style w:type="character" w:customStyle="1" w:styleId="ClosingChar">
    <w:name w:val="Closing Char"/>
    <w:basedOn w:val="DefaultParagraphFont"/>
    <w:link w:val="Closing"/>
    <w:uiPriority w:val="99"/>
    <w:semiHidden/>
    <w:rsid w:val="00AD3AE6"/>
    <w:rPr>
      <w:rFonts w:ascii="Arial" w:hAnsi="Arial" w:cs="Arial"/>
      <w:bCs/>
    </w:rPr>
  </w:style>
  <w:style w:type="table" w:styleId="ColorfulGrid">
    <w:name w:val="Colorful Grid"/>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ED" w:themeFill="accent1" w:themeFillTint="33"/>
    </w:tcPr>
    <w:tblStylePr w:type="firstRow">
      <w:rPr>
        <w:b/>
        <w:bCs/>
      </w:rPr>
      <w:tblPr/>
      <w:tcPr>
        <w:shd w:val="clear" w:color="auto" w:fill="B8E0DC" w:themeFill="accent1" w:themeFillTint="66"/>
      </w:tcPr>
    </w:tblStylePr>
    <w:tblStylePr w:type="lastRow">
      <w:rPr>
        <w:b/>
        <w:bCs/>
        <w:color w:val="000000" w:themeColor="text1"/>
      </w:rPr>
      <w:tblPr/>
      <w:tcPr>
        <w:shd w:val="clear" w:color="auto" w:fill="B8E0DC" w:themeFill="accent1" w:themeFillTint="66"/>
      </w:tcPr>
    </w:tblStylePr>
    <w:tblStylePr w:type="firstCol">
      <w:rPr>
        <w:color w:val="FFFFFF" w:themeColor="background1"/>
      </w:rPr>
      <w:tblPr/>
      <w:tcPr>
        <w:shd w:val="clear" w:color="auto" w:fill="3A857E" w:themeFill="accent1" w:themeFillShade="BF"/>
      </w:tcPr>
    </w:tblStylePr>
    <w:tblStylePr w:type="lastCol">
      <w:rPr>
        <w:color w:val="FFFFFF" w:themeColor="background1"/>
      </w:rPr>
      <w:tblPr/>
      <w:tcPr>
        <w:shd w:val="clear" w:color="auto" w:fill="3A857E" w:themeFill="accent1" w:themeFillShade="BF"/>
      </w:tcPr>
    </w:tblStylePr>
    <w:tblStylePr w:type="band1Vert">
      <w:tblPr/>
      <w:tcPr>
        <w:shd w:val="clear" w:color="auto" w:fill="A6D8D4" w:themeFill="accent1" w:themeFillTint="7F"/>
      </w:tcPr>
    </w:tblStylePr>
    <w:tblStylePr w:type="band1Horz">
      <w:tblPr/>
      <w:tcPr>
        <w:shd w:val="clear" w:color="auto" w:fill="A6D8D4" w:themeFill="accent1" w:themeFillTint="7F"/>
      </w:tcPr>
    </w:tblStylePr>
  </w:style>
  <w:style w:type="table" w:styleId="ColorfulGrid-Accent2">
    <w:name w:val="Colorful Grid Accent 2"/>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DAE6" w:themeFill="accent2" w:themeFillTint="33"/>
    </w:tcPr>
    <w:tblStylePr w:type="firstRow">
      <w:rPr>
        <w:b/>
        <w:bCs/>
      </w:rPr>
      <w:tblPr/>
      <w:tcPr>
        <w:shd w:val="clear" w:color="auto" w:fill="D9B6CE" w:themeFill="accent2" w:themeFillTint="66"/>
      </w:tcPr>
    </w:tblStylePr>
    <w:tblStylePr w:type="lastRow">
      <w:rPr>
        <w:b/>
        <w:bCs/>
        <w:color w:val="000000" w:themeColor="text1"/>
      </w:rPr>
      <w:tblPr/>
      <w:tcPr>
        <w:shd w:val="clear" w:color="auto" w:fill="D9B6CE" w:themeFill="accent2" w:themeFillTint="66"/>
      </w:tcPr>
    </w:tblStylePr>
    <w:tblStylePr w:type="firstCol">
      <w:rPr>
        <w:color w:val="FFFFFF" w:themeColor="background1"/>
      </w:rPr>
      <w:tblPr/>
      <w:tcPr>
        <w:shd w:val="clear" w:color="auto" w:fill="743C62" w:themeFill="accent2" w:themeFillShade="BF"/>
      </w:tcPr>
    </w:tblStylePr>
    <w:tblStylePr w:type="lastCol">
      <w:rPr>
        <w:color w:val="FFFFFF" w:themeColor="background1"/>
      </w:rPr>
      <w:tblPr/>
      <w:tcPr>
        <w:shd w:val="clear" w:color="auto" w:fill="743C62" w:themeFill="accent2" w:themeFillShade="BF"/>
      </w:tcPr>
    </w:tblStylePr>
    <w:tblStylePr w:type="band1Vert">
      <w:tblPr/>
      <w:tcPr>
        <w:shd w:val="clear" w:color="auto" w:fill="D0A4C2" w:themeFill="accent2" w:themeFillTint="7F"/>
      </w:tcPr>
    </w:tblStylePr>
    <w:tblStylePr w:type="band1Horz">
      <w:tblPr/>
      <w:tcPr>
        <w:shd w:val="clear" w:color="auto" w:fill="D0A4C2" w:themeFill="accent2" w:themeFillTint="7F"/>
      </w:tcPr>
    </w:tblStylePr>
  </w:style>
  <w:style w:type="table" w:styleId="ColorfulGrid-Accent3">
    <w:name w:val="Colorful Grid Accent 3"/>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BECE9" w:themeFill="accent3" w:themeFillTint="33"/>
    </w:tcPr>
    <w:tblStylePr w:type="firstRow">
      <w:rPr>
        <w:b/>
        <w:bCs/>
      </w:rPr>
      <w:tblPr/>
      <w:tcPr>
        <w:shd w:val="clear" w:color="auto" w:fill="98D9D4" w:themeFill="accent3" w:themeFillTint="66"/>
      </w:tcPr>
    </w:tblStylePr>
    <w:tblStylePr w:type="lastRow">
      <w:rPr>
        <w:b/>
        <w:bCs/>
        <w:color w:val="000000" w:themeColor="text1"/>
      </w:rPr>
      <w:tblPr/>
      <w:tcPr>
        <w:shd w:val="clear" w:color="auto" w:fill="98D9D4" w:themeFill="accent3" w:themeFillTint="66"/>
      </w:tcPr>
    </w:tblStylePr>
    <w:tblStylePr w:type="firstCol">
      <w:rPr>
        <w:color w:val="FFFFFF" w:themeColor="background1"/>
      </w:rPr>
      <w:tblPr/>
      <w:tcPr>
        <w:shd w:val="clear" w:color="auto" w:fill="205652" w:themeFill="accent3" w:themeFillShade="BF"/>
      </w:tcPr>
    </w:tblStylePr>
    <w:tblStylePr w:type="lastCol">
      <w:rPr>
        <w:color w:val="FFFFFF" w:themeColor="background1"/>
      </w:rPr>
      <w:tblPr/>
      <w:tcPr>
        <w:shd w:val="clear" w:color="auto" w:fill="205652" w:themeFill="accent3" w:themeFillShade="BF"/>
      </w:tcPr>
    </w:tblStylePr>
    <w:tblStylePr w:type="band1Vert">
      <w:tblPr/>
      <w:tcPr>
        <w:shd w:val="clear" w:color="auto" w:fill="7FCFC9" w:themeFill="accent3" w:themeFillTint="7F"/>
      </w:tcPr>
    </w:tblStylePr>
    <w:tblStylePr w:type="band1Horz">
      <w:tblPr/>
      <w:tcPr>
        <w:shd w:val="clear" w:color="auto" w:fill="7FCFC9" w:themeFill="accent3" w:themeFillTint="7F"/>
      </w:tcPr>
    </w:tblStylePr>
  </w:style>
  <w:style w:type="table" w:styleId="ColorfulGrid-Accent4">
    <w:name w:val="Colorful Grid Accent 4"/>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5D7" w:themeFill="accent4" w:themeFillTint="33"/>
    </w:tcPr>
    <w:tblStylePr w:type="firstRow">
      <w:rPr>
        <w:b/>
        <w:bCs/>
      </w:rPr>
      <w:tblPr/>
      <w:tcPr>
        <w:shd w:val="clear" w:color="auto" w:fill="DBEBAF" w:themeFill="accent4" w:themeFillTint="66"/>
      </w:tcPr>
    </w:tblStylePr>
    <w:tblStylePr w:type="lastRow">
      <w:rPr>
        <w:b/>
        <w:bCs/>
        <w:color w:val="000000" w:themeColor="text1"/>
      </w:rPr>
      <w:tblPr/>
      <w:tcPr>
        <w:shd w:val="clear" w:color="auto" w:fill="DBEBAF" w:themeFill="accent4" w:themeFillTint="66"/>
      </w:tcPr>
    </w:tblStylePr>
    <w:tblStylePr w:type="firstCol">
      <w:rPr>
        <w:color w:val="FFFFFF" w:themeColor="background1"/>
      </w:rPr>
      <w:tblPr/>
      <w:tcPr>
        <w:shd w:val="clear" w:color="auto" w:fill="7D9D27" w:themeFill="accent4" w:themeFillShade="BF"/>
      </w:tcPr>
    </w:tblStylePr>
    <w:tblStylePr w:type="lastCol">
      <w:rPr>
        <w:color w:val="FFFFFF" w:themeColor="background1"/>
      </w:rPr>
      <w:tblPr/>
      <w:tcPr>
        <w:shd w:val="clear" w:color="auto" w:fill="7D9D27" w:themeFill="accent4" w:themeFillShade="BF"/>
      </w:tcPr>
    </w:tblStylePr>
    <w:tblStylePr w:type="band1Vert">
      <w:tblPr/>
      <w:tcPr>
        <w:shd w:val="clear" w:color="auto" w:fill="D2E69C" w:themeFill="accent4" w:themeFillTint="7F"/>
      </w:tcPr>
    </w:tblStylePr>
    <w:tblStylePr w:type="band1Horz">
      <w:tblPr/>
      <w:tcPr>
        <w:shd w:val="clear" w:color="auto" w:fill="D2E69C" w:themeFill="accent4" w:themeFillTint="7F"/>
      </w:tcPr>
    </w:tblStylePr>
  </w:style>
  <w:style w:type="table" w:styleId="ColorfulGrid-Accent5">
    <w:name w:val="Colorful Grid Accent 5"/>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DFF7" w:themeFill="accent5" w:themeFillTint="33"/>
    </w:tcPr>
    <w:tblStylePr w:type="firstRow">
      <w:rPr>
        <w:b/>
        <w:bCs/>
      </w:rPr>
      <w:tblPr/>
      <w:tcPr>
        <w:shd w:val="clear" w:color="auto" w:fill="84BFF0" w:themeFill="accent5" w:themeFillTint="66"/>
      </w:tcPr>
    </w:tblStylePr>
    <w:tblStylePr w:type="lastRow">
      <w:rPr>
        <w:b/>
        <w:bCs/>
        <w:color w:val="000000" w:themeColor="text1"/>
      </w:rPr>
      <w:tblPr/>
      <w:tcPr>
        <w:shd w:val="clear" w:color="auto" w:fill="84BFF0" w:themeFill="accent5" w:themeFillTint="66"/>
      </w:tcPr>
    </w:tblStylePr>
    <w:tblStylePr w:type="firstCol">
      <w:rPr>
        <w:color w:val="FFFFFF" w:themeColor="background1"/>
      </w:rPr>
      <w:tblPr/>
      <w:tcPr>
        <w:shd w:val="clear" w:color="auto" w:fill="0D4370" w:themeFill="accent5" w:themeFillShade="BF"/>
      </w:tcPr>
    </w:tblStylePr>
    <w:tblStylePr w:type="lastCol">
      <w:rPr>
        <w:color w:val="FFFFFF" w:themeColor="background1"/>
      </w:rPr>
      <w:tblPr/>
      <w:tcPr>
        <w:shd w:val="clear" w:color="auto" w:fill="0D4370" w:themeFill="accent5" w:themeFillShade="BF"/>
      </w:tcPr>
    </w:tblStylePr>
    <w:tblStylePr w:type="band1Vert">
      <w:tblPr/>
      <w:tcPr>
        <w:shd w:val="clear" w:color="auto" w:fill="66AFEC" w:themeFill="accent5" w:themeFillTint="7F"/>
      </w:tcPr>
    </w:tblStylePr>
    <w:tblStylePr w:type="band1Horz">
      <w:tblPr/>
      <w:tcPr>
        <w:shd w:val="clear" w:color="auto" w:fill="66AFEC" w:themeFill="accent5" w:themeFillTint="7F"/>
      </w:tcPr>
    </w:tblStylePr>
  </w:style>
  <w:style w:type="table" w:styleId="ColorfulGrid-Accent6">
    <w:name w:val="Colorful Grid Accent 6"/>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BFFF" w:themeFill="accent6" w:themeFillTint="33"/>
    </w:tcPr>
    <w:tblStylePr w:type="firstRow">
      <w:rPr>
        <w:b/>
        <w:bCs/>
      </w:rPr>
      <w:tblPr/>
      <w:tcPr>
        <w:shd w:val="clear" w:color="auto" w:fill="727FFF" w:themeFill="accent6" w:themeFillTint="66"/>
      </w:tcPr>
    </w:tblStylePr>
    <w:tblStylePr w:type="lastRow">
      <w:rPr>
        <w:b/>
        <w:bCs/>
        <w:color w:val="000000" w:themeColor="text1"/>
      </w:rPr>
      <w:tblPr/>
      <w:tcPr>
        <w:shd w:val="clear" w:color="auto" w:fill="727FFF" w:themeFill="accent6" w:themeFillTint="66"/>
      </w:tcPr>
    </w:tblStylePr>
    <w:tblStylePr w:type="firstCol">
      <w:rPr>
        <w:color w:val="FFFFFF" w:themeColor="background1"/>
      </w:rPr>
      <w:tblPr/>
      <w:tcPr>
        <w:shd w:val="clear" w:color="auto" w:fill="000B77" w:themeFill="accent6" w:themeFillShade="BF"/>
      </w:tcPr>
    </w:tblStylePr>
    <w:tblStylePr w:type="lastCol">
      <w:rPr>
        <w:color w:val="FFFFFF" w:themeColor="background1"/>
      </w:rPr>
      <w:tblPr/>
      <w:tcPr>
        <w:shd w:val="clear" w:color="auto" w:fill="000B77" w:themeFill="accent6" w:themeFillShade="BF"/>
      </w:tcPr>
    </w:tblStylePr>
    <w:tblStylePr w:type="band1Vert">
      <w:tblPr/>
      <w:tcPr>
        <w:shd w:val="clear" w:color="auto" w:fill="5060FF" w:themeFill="accent6" w:themeFillTint="7F"/>
      </w:tcPr>
    </w:tblStylePr>
    <w:tblStylePr w:type="band1Horz">
      <w:tblPr/>
      <w:tcPr>
        <w:shd w:val="clear" w:color="auto" w:fill="5060FF" w:themeFill="accent6" w:themeFillTint="7F"/>
      </w:tcPr>
    </w:tblStylePr>
  </w:style>
  <w:style w:type="table" w:styleId="ColorfulList">
    <w:name w:val="Colorful List"/>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C4068" w:themeFill="accent2" w:themeFillShade="CC"/>
      </w:tcPr>
    </w:tblStylePr>
    <w:tblStylePr w:type="lastRow">
      <w:rPr>
        <w:b/>
        <w:bCs/>
        <w:color w:val="7C406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EDF7F6" w:themeFill="accent1" w:themeFillTint="19"/>
    </w:tcPr>
    <w:tblStylePr w:type="firstRow">
      <w:rPr>
        <w:b/>
        <w:bCs/>
        <w:color w:val="FFFFFF" w:themeColor="background1"/>
      </w:rPr>
      <w:tblPr/>
      <w:tcPr>
        <w:tcBorders>
          <w:bottom w:val="single" w:sz="12" w:space="0" w:color="FFFFFF" w:themeColor="background1"/>
        </w:tcBorders>
        <w:shd w:val="clear" w:color="auto" w:fill="7C4068" w:themeFill="accent2" w:themeFillShade="CC"/>
      </w:tcPr>
    </w:tblStylePr>
    <w:tblStylePr w:type="lastRow">
      <w:rPr>
        <w:b/>
        <w:bCs/>
        <w:color w:val="7C406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E9" w:themeFill="accent1" w:themeFillTint="3F"/>
      </w:tcPr>
    </w:tblStylePr>
    <w:tblStylePr w:type="band1Horz">
      <w:tblPr/>
      <w:tcPr>
        <w:shd w:val="clear" w:color="auto" w:fill="DBEFED" w:themeFill="accent1" w:themeFillTint="33"/>
      </w:tcPr>
    </w:tblStylePr>
  </w:style>
  <w:style w:type="table" w:styleId="ColorfulList-Accent2">
    <w:name w:val="Colorful List Accent 2"/>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6EDF3" w:themeFill="accent2" w:themeFillTint="19"/>
    </w:tcPr>
    <w:tblStylePr w:type="firstRow">
      <w:rPr>
        <w:b/>
        <w:bCs/>
        <w:color w:val="FFFFFF" w:themeColor="background1"/>
      </w:rPr>
      <w:tblPr/>
      <w:tcPr>
        <w:tcBorders>
          <w:bottom w:val="single" w:sz="12" w:space="0" w:color="FFFFFF" w:themeColor="background1"/>
        </w:tcBorders>
        <w:shd w:val="clear" w:color="auto" w:fill="7C4068" w:themeFill="accent2" w:themeFillShade="CC"/>
      </w:tcPr>
    </w:tblStylePr>
    <w:tblStylePr w:type="lastRow">
      <w:rPr>
        <w:b/>
        <w:bCs/>
        <w:color w:val="7C406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D2E0" w:themeFill="accent2" w:themeFillTint="3F"/>
      </w:tcPr>
    </w:tblStylePr>
    <w:tblStylePr w:type="band1Horz">
      <w:tblPr/>
      <w:tcPr>
        <w:shd w:val="clear" w:color="auto" w:fill="ECDAE6" w:themeFill="accent2" w:themeFillTint="33"/>
      </w:tcPr>
    </w:tblStylePr>
  </w:style>
  <w:style w:type="table" w:styleId="ColorfulList-Accent3">
    <w:name w:val="Colorful List Accent 3"/>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E5F5F4" w:themeFill="accent3" w:themeFillTint="19"/>
    </w:tcPr>
    <w:tblStylePr w:type="firstRow">
      <w:rPr>
        <w:b/>
        <w:bCs/>
        <w:color w:val="FFFFFF" w:themeColor="background1"/>
      </w:rPr>
      <w:tblPr/>
      <w:tcPr>
        <w:tcBorders>
          <w:bottom w:val="single" w:sz="12" w:space="0" w:color="FFFFFF" w:themeColor="background1"/>
        </w:tcBorders>
        <w:shd w:val="clear" w:color="auto" w:fill="86A829" w:themeFill="accent4" w:themeFillShade="CC"/>
      </w:tcPr>
    </w:tblStylePr>
    <w:tblStylePr w:type="lastRow">
      <w:rPr>
        <w:b/>
        <w:bCs/>
        <w:color w:val="86A82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7E4" w:themeFill="accent3" w:themeFillTint="3F"/>
      </w:tcPr>
    </w:tblStylePr>
    <w:tblStylePr w:type="band1Horz">
      <w:tblPr/>
      <w:tcPr>
        <w:shd w:val="clear" w:color="auto" w:fill="CBECE9" w:themeFill="accent3" w:themeFillTint="33"/>
      </w:tcPr>
    </w:tblStylePr>
  </w:style>
  <w:style w:type="table" w:styleId="ColorfulList-Accent4">
    <w:name w:val="Colorful List Accent 4"/>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6FAEB" w:themeFill="accent4" w:themeFillTint="19"/>
    </w:tcPr>
    <w:tblStylePr w:type="firstRow">
      <w:rPr>
        <w:b/>
        <w:bCs/>
        <w:color w:val="FFFFFF" w:themeColor="background1"/>
      </w:rPr>
      <w:tblPr/>
      <w:tcPr>
        <w:tcBorders>
          <w:bottom w:val="single" w:sz="12" w:space="0" w:color="FFFFFF" w:themeColor="background1"/>
        </w:tcBorders>
        <w:shd w:val="clear" w:color="auto" w:fill="225C58" w:themeFill="accent3" w:themeFillShade="CC"/>
      </w:tcPr>
    </w:tblStylePr>
    <w:tblStylePr w:type="lastRow">
      <w:rPr>
        <w:b/>
        <w:bCs/>
        <w:color w:val="225C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2CD" w:themeFill="accent4" w:themeFillTint="3F"/>
      </w:tcPr>
    </w:tblStylePr>
    <w:tblStylePr w:type="band1Horz">
      <w:tblPr/>
      <w:tcPr>
        <w:shd w:val="clear" w:color="auto" w:fill="EDF5D7" w:themeFill="accent4" w:themeFillTint="33"/>
      </w:tcPr>
    </w:tblStylePr>
  </w:style>
  <w:style w:type="table" w:styleId="ColorfulList-Accent5">
    <w:name w:val="Colorful List Accent 5"/>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E0EFFB" w:themeFill="accent5" w:themeFillTint="19"/>
    </w:tcPr>
    <w:tblStylePr w:type="firstRow">
      <w:rPr>
        <w:b/>
        <w:bCs/>
        <w:color w:val="FFFFFF" w:themeColor="background1"/>
      </w:rPr>
      <w:tblPr/>
      <w:tcPr>
        <w:tcBorders>
          <w:bottom w:val="single" w:sz="12" w:space="0" w:color="FFFFFF" w:themeColor="background1"/>
        </w:tcBorders>
        <w:shd w:val="clear" w:color="auto" w:fill="000B7F" w:themeFill="accent6" w:themeFillShade="CC"/>
      </w:tcPr>
    </w:tblStylePr>
    <w:tblStylePr w:type="lastRow">
      <w:rPr>
        <w:b/>
        <w:bCs/>
        <w:color w:val="000B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7F6" w:themeFill="accent5" w:themeFillTint="3F"/>
      </w:tcPr>
    </w:tblStylePr>
    <w:tblStylePr w:type="band1Horz">
      <w:tblPr/>
      <w:tcPr>
        <w:shd w:val="clear" w:color="auto" w:fill="C1DFF7" w:themeFill="accent5" w:themeFillTint="33"/>
      </w:tcPr>
    </w:tblStylePr>
  </w:style>
  <w:style w:type="table" w:styleId="ColorfulList-Accent6">
    <w:name w:val="Colorful List Accent 6"/>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DCDFFF" w:themeFill="accent6" w:themeFillTint="19"/>
    </w:tcPr>
    <w:tblStylePr w:type="firstRow">
      <w:rPr>
        <w:b/>
        <w:bCs/>
        <w:color w:val="FFFFFF" w:themeColor="background1"/>
      </w:rPr>
      <w:tblPr/>
      <w:tcPr>
        <w:tcBorders>
          <w:bottom w:val="single" w:sz="12" w:space="0" w:color="FFFFFF" w:themeColor="background1"/>
        </w:tcBorders>
        <w:shd w:val="clear" w:color="auto" w:fill="0E4777" w:themeFill="accent5" w:themeFillShade="CC"/>
      </w:tcPr>
    </w:tblStylePr>
    <w:tblStylePr w:type="lastRow">
      <w:rPr>
        <w:b/>
        <w:bCs/>
        <w:color w:val="0E477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B0FF" w:themeFill="accent6" w:themeFillTint="3F"/>
      </w:tcPr>
    </w:tblStylePr>
    <w:tblStylePr w:type="band1Horz">
      <w:tblPr/>
      <w:tcPr>
        <w:shd w:val="clear" w:color="auto" w:fill="B8BFFF" w:themeFill="accent6" w:themeFillTint="33"/>
      </w:tcPr>
    </w:tblStylePr>
  </w:style>
  <w:style w:type="table" w:styleId="ColorfulShading">
    <w:name w:val="Colorful Shading"/>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9C508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C50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9C5083" w:themeColor="accent2"/>
        <w:left w:val="single" w:sz="4" w:space="0" w:color="4EB2A9" w:themeColor="accent1"/>
        <w:bottom w:val="single" w:sz="4" w:space="0" w:color="4EB2A9" w:themeColor="accent1"/>
        <w:right w:val="single" w:sz="4" w:space="0" w:color="4EB2A9" w:themeColor="accent1"/>
        <w:insideH w:val="single" w:sz="4" w:space="0" w:color="FFFFFF" w:themeColor="background1"/>
        <w:insideV w:val="single" w:sz="4" w:space="0" w:color="FFFFFF" w:themeColor="background1"/>
      </w:tblBorders>
    </w:tblPr>
    <w:tcPr>
      <w:shd w:val="clear" w:color="auto" w:fill="EDF7F6" w:themeFill="accent1" w:themeFillTint="19"/>
    </w:tcPr>
    <w:tblStylePr w:type="firstRow">
      <w:rPr>
        <w:b/>
        <w:bCs/>
      </w:rPr>
      <w:tblPr/>
      <w:tcPr>
        <w:tcBorders>
          <w:top w:val="nil"/>
          <w:left w:val="nil"/>
          <w:bottom w:val="single" w:sz="24" w:space="0" w:color="9C50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A65" w:themeFill="accent1" w:themeFillShade="99"/>
      </w:tcPr>
    </w:tblStylePr>
    <w:tblStylePr w:type="firstCol">
      <w:rPr>
        <w:color w:val="FFFFFF" w:themeColor="background1"/>
      </w:rPr>
      <w:tblPr/>
      <w:tcPr>
        <w:tcBorders>
          <w:top w:val="nil"/>
          <w:left w:val="nil"/>
          <w:bottom w:val="nil"/>
          <w:right w:val="nil"/>
          <w:insideH w:val="single" w:sz="4" w:space="0" w:color="2E6A65" w:themeColor="accent1" w:themeShade="99"/>
          <w:insideV w:val="nil"/>
        </w:tcBorders>
        <w:shd w:val="clear" w:color="auto" w:fill="2E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E6A65" w:themeFill="accent1" w:themeFillShade="99"/>
      </w:tcPr>
    </w:tblStylePr>
    <w:tblStylePr w:type="band1Vert">
      <w:tblPr/>
      <w:tcPr>
        <w:shd w:val="clear" w:color="auto" w:fill="B8E0DC" w:themeFill="accent1" w:themeFillTint="66"/>
      </w:tcPr>
    </w:tblStylePr>
    <w:tblStylePr w:type="band1Horz">
      <w:tblPr/>
      <w:tcPr>
        <w:shd w:val="clear" w:color="auto" w:fill="A6D8D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9C5083" w:themeColor="accent2"/>
        <w:left w:val="single" w:sz="4" w:space="0" w:color="9C5083" w:themeColor="accent2"/>
        <w:bottom w:val="single" w:sz="4" w:space="0" w:color="9C5083" w:themeColor="accent2"/>
        <w:right w:val="single" w:sz="4" w:space="0" w:color="9C5083" w:themeColor="accent2"/>
        <w:insideH w:val="single" w:sz="4" w:space="0" w:color="FFFFFF" w:themeColor="background1"/>
        <w:insideV w:val="single" w:sz="4" w:space="0" w:color="FFFFFF" w:themeColor="background1"/>
      </w:tblBorders>
    </w:tblPr>
    <w:tcPr>
      <w:shd w:val="clear" w:color="auto" w:fill="F6EDF3" w:themeFill="accent2" w:themeFillTint="19"/>
    </w:tcPr>
    <w:tblStylePr w:type="firstRow">
      <w:rPr>
        <w:b/>
        <w:bCs/>
      </w:rPr>
      <w:tblPr/>
      <w:tcPr>
        <w:tcBorders>
          <w:top w:val="nil"/>
          <w:left w:val="nil"/>
          <w:bottom w:val="single" w:sz="24" w:space="0" w:color="9C50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04E" w:themeFill="accent2" w:themeFillShade="99"/>
      </w:tcPr>
    </w:tblStylePr>
    <w:tblStylePr w:type="firstCol">
      <w:rPr>
        <w:color w:val="FFFFFF" w:themeColor="background1"/>
      </w:rPr>
      <w:tblPr/>
      <w:tcPr>
        <w:tcBorders>
          <w:top w:val="nil"/>
          <w:left w:val="nil"/>
          <w:bottom w:val="nil"/>
          <w:right w:val="nil"/>
          <w:insideH w:val="single" w:sz="4" w:space="0" w:color="5D304E" w:themeColor="accent2" w:themeShade="99"/>
          <w:insideV w:val="nil"/>
        </w:tcBorders>
        <w:shd w:val="clear" w:color="auto" w:fill="5D304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D304E" w:themeFill="accent2" w:themeFillShade="99"/>
      </w:tcPr>
    </w:tblStylePr>
    <w:tblStylePr w:type="band1Vert">
      <w:tblPr/>
      <w:tcPr>
        <w:shd w:val="clear" w:color="auto" w:fill="D9B6CE" w:themeFill="accent2" w:themeFillTint="66"/>
      </w:tcPr>
    </w:tblStylePr>
    <w:tblStylePr w:type="band1Horz">
      <w:tblPr/>
      <w:tcPr>
        <w:shd w:val="clear" w:color="auto" w:fill="D0A4C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A6CE39" w:themeColor="accent4"/>
        <w:left w:val="single" w:sz="4" w:space="0" w:color="2B746F" w:themeColor="accent3"/>
        <w:bottom w:val="single" w:sz="4" w:space="0" w:color="2B746F" w:themeColor="accent3"/>
        <w:right w:val="single" w:sz="4" w:space="0" w:color="2B746F" w:themeColor="accent3"/>
        <w:insideH w:val="single" w:sz="4" w:space="0" w:color="FFFFFF" w:themeColor="background1"/>
        <w:insideV w:val="single" w:sz="4" w:space="0" w:color="FFFFFF" w:themeColor="background1"/>
      </w:tblBorders>
    </w:tblPr>
    <w:tcPr>
      <w:shd w:val="clear" w:color="auto" w:fill="E5F5F4" w:themeFill="accent3" w:themeFillTint="19"/>
    </w:tcPr>
    <w:tblStylePr w:type="firstRow">
      <w:rPr>
        <w:b/>
        <w:bCs/>
      </w:rPr>
      <w:tblPr/>
      <w:tcPr>
        <w:tcBorders>
          <w:top w:val="nil"/>
          <w:left w:val="nil"/>
          <w:bottom w:val="single" w:sz="24" w:space="0" w:color="A6CE3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4542" w:themeFill="accent3" w:themeFillShade="99"/>
      </w:tcPr>
    </w:tblStylePr>
    <w:tblStylePr w:type="firstCol">
      <w:rPr>
        <w:color w:val="FFFFFF" w:themeColor="background1"/>
      </w:rPr>
      <w:tblPr/>
      <w:tcPr>
        <w:tcBorders>
          <w:top w:val="nil"/>
          <w:left w:val="nil"/>
          <w:bottom w:val="nil"/>
          <w:right w:val="nil"/>
          <w:insideH w:val="single" w:sz="4" w:space="0" w:color="194542" w:themeColor="accent3" w:themeShade="99"/>
          <w:insideV w:val="nil"/>
        </w:tcBorders>
        <w:shd w:val="clear" w:color="auto" w:fill="1945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94542" w:themeFill="accent3" w:themeFillShade="99"/>
      </w:tcPr>
    </w:tblStylePr>
    <w:tblStylePr w:type="band1Vert">
      <w:tblPr/>
      <w:tcPr>
        <w:shd w:val="clear" w:color="auto" w:fill="98D9D4" w:themeFill="accent3" w:themeFillTint="66"/>
      </w:tcPr>
    </w:tblStylePr>
    <w:tblStylePr w:type="band1Horz">
      <w:tblPr/>
      <w:tcPr>
        <w:shd w:val="clear" w:color="auto" w:fill="7FCFC9" w:themeFill="accent3" w:themeFillTint="7F"/>
      </w:tcPr>
    </w:tblStylePr>
  </w:style>
  <w:style w:type="table" w:styleId="ColorfulShading-Accent4">
    <w:name w:val="Colorful Shading Accent 4"/>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2B746F" w:themeColor="accent3"/>
        <w:left w:val="single" w:sz="4" w:space="0" w:color="A6CE39" w:themeColor="accent4"/>
        <w:bottom w:val="single" w:sz="4" w:space="0" w:color="A6CE39" w:themeColor="accent4"/>
        <w:right w:val="single" w:sz="4" w:space="0" w:color="A6CE39" w:themeColor="accent4"/>
        <w:insideH w:val="single" w:sz="4" w:space="0" w:color="FFFFFF" w:themeColor="background1"/>
        <w:insideV w:val="single" w:sz="4" w:space="0" w:color="FFFFFF" w:themeColor="background1"/>
      </w:tblBorders>
    </w:tblPr>
    <w:tcPr>
      <w:shd w:val="clear" w:color="auto" w:fill="F6FAEB" w:themeFill="accent4" w:themeFillTint="19"/>
    </w:tcPr>
    <w:tblStylePr w:type="firstRow">
      <w:rPr>
        <w:b/>
        <w:bCs/>
      </w:rPr>
      <w:tblPr/>
      <w:tcPr>
        <w:tcBorders>
          <w:top w:val="nil"/>
          <w:left w:val="nil"/>
          <w:bottom w:val="single" w:sz="24" w:space="0" w:color="2B74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E1F" w:themeFill="accent4" w:themeFillShade="99"/>
      </w:tcPr>
    </w:tblStylePr>
    <w:tblStylePr w:type="firstCol">
      <w:rPr>
        <w:color w:val="FFFFFF" w:themeColor="background1"/>
      </w:rPr>
      <w:tblPr/>
      <w:tcPr>
        <w:tcBorders>
          <w:top w:val="nil"/>
          <w:left w:val="nil"/>
          <w:bottom w:val="nil"/>
          <w:right w:val="nil"/>
          <w:insideH w:val="single" w:sz="4" w:space="0" w:color="647E1F" w:themeColor="accent4" w:themeShade="99"/>
          <w:insideV w:val="nil"/>
        </w:tcBorders>
        <w:shd w:val="clear" w:color="auto" w:fill="647E1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7E1F" w:themeFill="accent4" w:themeFillShade="99"/>
      </w:tcPr>
    </w:tblStylePr>
    <w:tblStylePr w:type="band1Vert">
      <w:tblPr/>
      <w:tcPr>
        <w:shd w:val="clear" w:color="auto" w:fill="DBEBAF" w:themeFill="accent4" w:themeFillTint="66"/>
      </w:tcPr>
    </w:tblStylePr>
    <w:tblStylePr w:type="band1Horz">
      <w:tblPr/>
      <w:tcPr>
        <w:shd w:val="clear" w:color="auto" w:fill="D2E69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000F9F" w:themeColor="accent6"/>
        <w:left w:val="single" w:sz="4" w:space="0" w:color="125A96" w:themeColor="accent5"/>
        <w:bottom w:val="single" w:sz="4" w:space="0" w:color="125A96" w:themeColor="accent5"/>
        <w:right w:val="single" w:sz="4" w:space="0" w:color="125A96" w:themeColor="accent5"/>
        <w:insideH w:val="single" w:sz="4" w:space="0" w:color="FFFFFF" w:themeColor="background1"/>
        <w:insideV w:val="single" w:sz="4" w:space="0" w:color="FFFFFF" w:themeColor="background1"/>
      </w:tblBorders>
    </w:tblPr>
    <w:tcPr>
      <w:shd w:val="clear" w:color="auto" w:fill="E0EFFB" w:themeFill="accent5" w:themeFillTint="19"/>
    </w:tcPr>
    <w:tblStylePr w:type="firstRow">
      <w:rPr>
        <w:b/>
        <w:bCs/>
      </w:rPr>
      <w:tblPr/>
      <w:tcPr>
        <w:tcBorders>
          <w:top w:val="nil"/>
          <w:left w:val="nil"/>
          <w:bottom w:val="single" w:sz="24" w:space="0" w:color="000F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559" w:themeFill="accent5" w:themeFillShade="99"/>
      </w:tcPr>
    </w:tblStylePr>
    <w:tblStylePr w:type="firstCol">
      <w:rPr>
        <w:color w:val="FFFFFF" w:themeColor="background1"/>
      </w:rPr>
      <w:tblPr/>
      <w:tcPr>
        <w:tcBorders>
          <w:top w:val="nil"/>
          <w:left w:val="nil"/>
          <w:bottom w:val="nil"/>
          <w:right w:val="nil"/>
          <w:insideH w:val="single" w:sz="4" w:space="0" w:color="0A3559" w:themeColor="accent5" w:themeShade="99"/>
          <w:insideV w:val="nil"/>
        </w:tcBorders>
        <w:shd w:val="clear" w:color="auto" w:fill="0A355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A3559" w:themeFill="accent5" w:themeFillShade="99"/>
      </w:tcPr>
    </w:tblStylePr>
    <w:tblStylePr w:type="band1Vert">
      <w:tblPr/>
      <w:tcPr>
        <w:shd w:val="clear" w:color="auto" w:fill="84BFF0" w:themeFill="accent5" w:themeFillTint="66"/>
      </w:tcPr>
    </w:tblStylePr>
    <w:tblStylePr w:type="band1Horz">
      <w:tblPr/>
      <w:tcPr>
        <w:shd w:val="clear" w:color="auto" w:fill="66AFE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125A96" w:themeColor="accent5"/>
        <w:left w:val="single" w:sz="4" w:space="0" w:color="000F9F" w:themeColor="accent6"/>
        <w:bottom w:val="single" w:sz="4" w:space="0" w:color="000F9F" w:themeColor="accent6"/>
        <w:right w:val="single" w:sz="4" w:space="0" w:color="000F9F" w:themeColor="accent6"/>
        <w:insideH w:val="single" w:sz="4" w:space="0" w:color="FFFFFF" w:themeColor="background1"/>
        <w:insideV w:val="single" w:sz="4" w:space="0" w:color="FFFFFF" w:themeColor="background1"/>
      </w:tblBorders>
    </w:tblPr>
    <w:tcPr>
      <w:shd w:val="clear" w:color="auto" w:fill="DCDFFF" w:themeFill="accent6" w:themeFillTint="19"/>
    </w:tcPr>
    <w:tblStylePr w:type="firstRow">
      <w:rPr>
        <w:b/>
        <w:bCs/>
      </w:rPr>
      <w:tblPr/>
      <w:tcPr>
        <w:tcBorders>
          <w:top w:val="nil"/>
          <w:left w:val="nil"/>
          <w:bottom w:val="single" w:sz="24" w:space="0" w:color="125A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5F" w:themeFill="accent6" w:themeFillShade="99"/>
      </w:tcPr>
    </w:tblStylePr>
    <w:tblStylePr w:type="firstCol">
      <w:rPr>
        <w:color w:val="FFFFFF" w:themeColor="background1"/>
      </w:rPr>
      <w:tblPr/>
      <w:tcPr>
        <w:tcBorders>
          <w:top w:val="nil"/>
          <w:left w:val="nil"/>
          <w:bottom w:val="nil"/>
          <w:right w:val="nil"/>
          <w:insideH w:val="single" w:sz="4" w:space="0" w:color="00085F" w:themeColor="accent6" w:themeShade="99"/>
          <w:insideV w:val="nil"/>
        </w:tcBorders>
        <w:shd w:val="clear" w:color="auto" w:fill="0008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085F" w:themeFill="accent6" w:themeFillShade="99"/>
      </w:tcPr>
    </w:tblStylePr>
    <w:tblStylePr w:type="band1Vert">
      <w:tblPr/>
      <w:tcPr>
        <w:shd w:val="clear" w:color="auto" w:fill="727FFF" w:themeFill="accent6" w:themeFillTint="66"/>
      </w:tcPr>
    </w:tblStylePr>
    <w:tblStylePr w:type="band1Horz">
      <w:tblPr/>
      <w:tcPr>
        <w:shd w:val="clear" w:color="auto" w:fill="5060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9637A8"/>
    <w:rPr>
      <w:sz w:val="16"/>
      <w:szCs w:val="16"/>
    </w:rPr>
  </w:style>
  <w:style w:type="paragraph" w:styleId="CommentText">
    <w:name w:val="annotation text"/>
    <w:basedOn w:val="Normal"/>
    <w:link w:val="CommentTextChar"/>
    <w:uiPriority w:val="99"/>
    <w:semiHidden/>
    <w:rsid w:val="009637A8"/>
    <w:pPr>
      <w:spacing w:after="160"/>
    </w:pPr>
    <w:rPr>
      <w:szCs w:val="20"/>
    </w:rPr>
  </w:style>
  <w:style w:type="character" w:customStyle="1" w:styleId="CommentTextChar">
    <w:name w:val="Comment Text Char"/>
    <w:basedOn w:val="DefaultParagraphFont"/>
    <w:link w:val="CommentText"/>
    <w:uiPriority w:val="99"/>
    <w:semiHidden/>
    <w:rsid w:val="00AD3AE6"/>
    <w:rPr>
      <w:rFonts w:ascii="Arial" w:hAnsi="Arial" w:cs="Arial"/>
      <w:bCs/>
      <w:sz w:val="20"/>
      <w:szCs w:val="20"/>
    </w:rPr>
  </w:style>
  <w:style w:type="paragraph" w:styleId="CommentSubject">
    <w:name w:val="annotation subject"/>
    <w:basedOn w:val="CommentText"/>
    <w:next w:val="CommentText"/>
    <w:link w:val="CommentSubjectChar"/>
    <w:uiPriority w:val="99"/>
    <w:semiHidden/>
    <w:rsid w:val="009637A8"/>
    <w:rPr>
      <w:b/>
      <w:bCs w:val="0"/>
    </w:rPr>
  </w:style>
  <w:style w:type="character" w:customStyle="1" w:styleId="CommentSubjectChar">
    <w:name w:val="Comment Subject Char"/>
    <w:basedOn w:val="CommentTextChar"/>
    <w:link w:val="CommentSubject"/>
    <w:uiPriority w:val="99"/>
    <w:semiHidden/>
    <w:rsid w:val="00AD3AE6"/>
    <w:rPr>
      <w:rFonts w:ascii="Arial" w:hAnsi="Arial" w:cs="Arial"/>
      <w:b/>
      <w:bCs/>
      <w:sz w:val="20"/>
      <w:szCs w:val="20"/>
    </w:rPr>
  </w:style>
  <w:style w:type="table" w:styleId="DarkList">
    <w:name w:val="Dark List"/>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4E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8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A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A857E" w:themeFill="accent1" w:themeFillShade="BF"/>
      </w:tcPr>
    </w:tblStylePr>
    <w:tblStylePr w:type="band1Vert">
      <w:tblPr/>
      <w:tcPr>
        <w:tcBorders>
          <w:top w:val="nil"/>
          <w:left w:val="nil"/>
          <w:bottom w:val="nil"/>
          <w:right w:val="nil"/>
          <w:insideH w:val="nil"/>
          <w:insideV w:val="nil"/>
        </w:tcBorders>
        <w:shd w:val="clear" w:color="auto" w:fill="3A857E" w:themeFill="accent1" w:themeFillShade="BF"/>
      </w:tcPr>
    </w:tblStylePr>
    <w:tblStylePr w:type="band1Horz">
      <w:tblPr/>
      <w:tcPr>
        <w:tcBorders>
          <w:top w:val="nil"/>
          <w:left w:val="nil"/>
          <w:bottom w:val="nil"/>
          <w:right w:val="nil"/>
          <w:insideH w:val="nil"/>
          <w:insideV w:val="nil"/>
        </w:tcBorders>
        <w:shd w:val="clear" w:color="auto" w:fill="3A857E" w:themeFill="accent1" w:themeFillShade="BF"/>
      </w:tcPr>
    </w:tblStylePr>
  </w:style>
  <w:style w:type="table" w:styleId="DarkList-Accent2">
    <w:name w:val="Dark List Accent 2"/>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9C508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274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43C6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43C62" w:themeFill="accent2" w:themeFillShade="BF"/>
      </w:tcPr>
    </w:tblStylePr>
    <w:tblStylePr w:type="band1Vert">
      <w:tblPr/>
      <w:tcPr>
        <w:tcBorders>
          <w:top w:val="nil"/>
          <w:left w:val="nil"/>
          <w:bottom w:val="nil"/>
          <w:right w:val="nil"/>
          <w:insideH w:val="nil"/>
          <w:insideV w:val="nil"/>
        </w:tcBorders>
        <w:shd w:val="clear" w:color="auto" w:fill="743C62" w:themeFill="accent2" w:themeFillShade="BF"/>
      </w:tcPr>
    </w:tblStylePr>
    <w:tblStylePr w:type="band1Horz">
      <w:tblPr/>
      <w:tcPr>
        <w:tcBorders>
          <w:top w:val="nil"/>
          <w:left w:val="nil"/>
          <w:bottom w:val="nil"/>
          <w:right w:val="nil"/>
          <w:insideH w:val="nil"/>
          <w:insideV w:val="nil"/>
        </w:tcBorders>
        <w:shd w:val="clear" w:color="auto" w:fill="743C62" w:themeFill="accent2" w:themeFillShade="BF"/>
      </w:tcPr>
    </w:tblStylePr>
  </w:style>
  <w:style w:type="table" w:styleId="DarkList-Accent3">
    <w:name w:val="Dark List Accent 3"/>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2B74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39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056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05652" w:themeFill="accent3" w:themeFillShade="BF"/>
      </w:tcPr>
    </w:tblStylePr>
    <w:tblStylePr w:type="band1Vert">
      <w:tblPr/>
      <w:tcPr>
        <w:tcBorders>
          <w:top w:val="nil"/>
          <w:left w:val="nil"/>
          <w:bottom w:val="nil"/>
          <w:right w:val="nil"/>
          <w:insideH w:val="nil"/>
          <w:insideV w:val="nil"/>
        </w:tcBorders>
        <w:shd w:val="clear" w:color="auto" w:fill="205652" w:themeFill="accent3" w:themeFillShade="BF"/>
      </w:tcPr>
    </w:tblStylePr>
    <w:tblStylePr w:type="band1Horz">
      <w:tblPr/>
      <w:tcPr>
        <w:tcBorders>
          <w:top w:val="nil"/>
          <w:left w:val="nil"/>
          <w:bottom w:val="nil"/>
          <w:right w:val="nil"/>
          <w:insideH w:val="nil"/>
          <w:insideV w:val="nil"/>
        </w:tcBorders>
        <w:shd w:val="clear" w:color="auto" w:fill="205652" w:themeFill="accent3" w:themeFillShade="BF"/>
      </w:tcPr>
    </w:tblStylePr>
  </w:style>
  <w:style w:type="table" w:styleId="DarkList-Accent4">
    <w:name w:val="Dark List Accent 4"/>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A6CE3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81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D9D2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D9D27" w:themeFill="accent4" w:themeFillShade="BF"/>
      </w:tcPr>
    </w:tblStylePr>
    <w:tblStylePr w:type="band1Vert">
      <w:tblPr/>
      <w:tcPr>
        <w:tcBorders>
          <w:top w:val="nil"/>
          <w:left w:val="nil"/>
          <w:bottom w:val="nil"/>
          <w:right w:val="nil"/>
          <w:insideH w:val="nil"/>
          <w:insideV w:val="nil"/>
        </w:tcBorders>
        <w:shd w:val="clear" w:color="auto" w:fill="7D9D27" w:themeFill="accent4" w:themeFillShade="BF"/>
      </w:tcPr>
    </w:tblStylePr>
    <w:tblStylePr w:type="band1Horz">
      <w:tblPr/>
      <w:tcPr>
        <w:tcBorders>
          <w:top w:val="nil"/>
          <w:left w:val="nil"/>
          <w:bottom w:val="nil"/>
          <w:right w:val="nil"/>
          <w:insideH w:val="nil"/>
          <w:insideV w:val="nil"/>
        </w:tcBorders>
        <w:shd w:val="clear" w:color="auto" w:fill="7D9D27" w:themeFill="accent4" w:themeFillShade="BF"/>
      </w:tcPr>
    </w:tblStylePr>
  </w:style>
  <w:style w:type="table" w:styleId="DarkList-Accent5">
    <w:name w:val="Dark List Accent 5"/>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125A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2C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D43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D4370" w:themeFill="accent5" w:themeFillShade="BF"/>
      </w:tcPr>
    </w:tblStylePr>
    <w:tblStylePr w:type="band1Vert">
      <w:tblPr/>
      <w:tcPr>
        <w:tcBorders>
          <w:top w:val="nil"/>
          <w:left w:val="nil"/>
          <w:bottom w:val="nil"/>
          <w:right w:val="nil"/>
          <w:insideH w:val="nil"/>
          <w:insideV w:val="nil"/>
        </w:tcBorders>
        <w:shd w:val="clear" w:color="auto" w:fill="0D4370" w:themeFill="accent5" w:themeFillShade="BF"/>
      </w:tcPr>
    </w:tblStylePr>
    <w:tblStylePr w:type="band1Horz">
      <w:tblPr/>
      <w:tcPr>
        <w:tcBorders>
          <w:top w:val="nil"/>
          <w:left w:val="nil"/>
          <w:bottom w:val="nil"/>
          <w:right w:val="nil"/>
          <w:insideH w:val="nil"/>
          <w:insideV w:val="nil"/>
        </w:tcBorders>
        <w:shd w:val="clear" w:color="auto" w:fill="0D4370" w:themeFill="accent5" w:themeFillShade="BF"/>
      </w:tcPr>
    </w:tblStylePr>
  </w:style>
  <w:style w:type="table" w:styleId="DarkList-Accent6">
    <w:name w:val="Dark List Accent 6"/>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000F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0B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0B77" w:themeFill="accent6" w:themeFillShade="BF"/>
      </w:tcPr>
    </w:tblStylePr>
    <w:tblStylePr w:type="band1Vert">
      <w:tblPr/>
      <w:tcPr>
        <w:tcBorders>
          <w:top w:val="nil"/>
          <w:left w:val="nil"/>
          <w:bottom w:val="nil"/>
          <w:right w:val="nil"/>
          <w:insideH w:val="nil"/>
          <w:insideV w:val="nil"/>
        </w:tcBorders>
        <w:shd w:val="clear" w:color="auto" w:fill="000B77" w:themeFill="accent6" w:themeFillShade="BF"/>
      </w:tcPr>
    </w:tblStylePr>
    <w:tblStylePr w:type="band1Horz">
      <w:tblPr/>
      <w:tcPr>
        <w:tcBorders>
          <w:top w:val="nil"/>
          <w:left w:val="nil"/>
          <w:bottom w:val="nil"/>
          <w:right w:val="nil"/>
          <w:insideH w:val="nil"/>
          <w:insideV w:val="nil"/>
        </w:tcBorders>
        <w:shd w:val="clear" w:color="auto" w:fill="000B77" w:themeFill="accent6" w:themeFillShade="BF"/>
      </w:tcPr>
    </w:tblStylePr>
  </w:style>
  <w:style w:type="paragraph" w:styleId="Date">
    <w:name w:val="Date"/>
    <w:basedOn w:val="Normal"/>
    <w:next w:val="Normal"/>
    <w:link w:val="DateChar"/>
    <w:uiPriority w:val="99"/>
    <w:semiHidden/>
    <w:rsid w:val="009637A8"/>
    <w:pPr>
      <w:spacing w:after="160" w:line="259" w:lineRule="auto"/>
    </w:pPr>
  </w:style>
  <w:style w:type="character" w:customStyle="1" w:styleId="DateChar">
    <w:name w:val="Date Char"/>
    <w:basedOn w:val="DefaultParagraphFont"/>
    <w:link w:val="Date"/>
    <w:uiPriority w:val="99"/>
    <w:semiHidden/>
    <w:rsid w:val="00AD3AE6"/>
    <w:rPr>
      <w:rFonts w:ascii="Arial" w:hAnsi="Arial" w:cs="Arial"/>
      <w:bCs/>
    </w:rPr>
  </w:style>
  <w:style w:type="paragraph" w:styleId="DocumentMap">
    <w:name w:val="Document Map"/>
    <w:basedOn w:val="Normal"/>
    <w:link w:val="DocumentMapChar"/>
    <w:uiPriority w:val="99"/>
    <w:semiHidden/>
    <w:rsid w:val="009637A8"/>
    <w:pPr>
      <w:spacing w:after="0"/>
    </w:pPr>
    <w:rPr>
      <w:sz w:val="16"/>
      <w:szCs w:val="16"/>
    </w:rPr>
  </w:style>
  <w:style w:type="character" w:customStyle="1" w:styleId="DocumentMapChar">
    <w:name w:val="Document Map Char"/>
    <w:basedOn w:val="DefaultParagraphFont"/>
    <w:link w:val="DocumentMap"/>
    <w:uiPriority w:val="99"/>
    <w:semiHidden/>
    <w:rsid w:val="00AD3AE6"/>
    <w:rPr>
      <w:rFonts w:ascii="Arial" w:hAnsi="Arial" w:cs="Arial"/>
      <w:bCs/>
      <w:sz w:val="16"/>
      <w:szCs w:val="16"/>
    </w:rPr>
  </w:style>
  <w:style w:type="paragraph" w:styleId="E-mailSignature">
    <w:name w:val="E-mail Signature"/>
    <w:basedOn w:val="Normal"/>
    <w:link w:val="E-mailSignatureChar"/>
    <w:uiPriority w:val="99"/>
    <w:semiHidden/>
    <w:rsid w:val="009637A8"/>
    <w:pPr>
      <w:spacing w:after="0"/>
    </w:pPr>
  </w:style>
  <w:style w:type="character" w:customStyle="1" w:styleId="E-mailSignatureChar">
    <w:name w:val="E-mail Signature Char"/>
    <w:basedOn w:val="DefaultParagraphFont"/>
    <w:link w:val="E-mailSignature"/>
    <w:uiPriority w:val="99"/>
    <w:semiHidden/>
    <w:rsid w:val="00AD3AE6"/>
    <w:rPr>
      <w:rFonts w:ascii="Arial" w:hAnsi="Arial" w:cs="Arial"/>
      <w:bCs/>
    </w:rPr>
  </w:style>
  <w:style w:type="character" w:styleId="Emphasis">
    <w:name w:val="Emphasis"/>
    <w:basedOn w:val="DefaultParagraphFont"/>
    <w:uiPriority w:val="20"/>
    <w:semiHidden/>
    <w:qFormat/>
    <w:rsid w:val="009637A8"/>
    <w:rPr>
      <w:i/>
      <w:iCs/>
    </w:rPr>
  </w:style>
  <w:style w:type="character" w:styleId="EndnoteReference">
    <w:name w:val="endnote reference"/>
    <w:basedOn w:val="DefaultParagraphFont"/>
    <w:uiPriority w:val="99"/>
    <w:semiHidden/>
    <w:rsid w:val="009637A8"/>
    <w:rPr>
      <w:vertAlign w:val="superscript"/>
    </w:rPr>
  </w:style>
  <w:style w:type="paragraph" w:styleId="EndnoteText">
    <w:name w:val="endnote text"/>
    <w:basedOn w:val="Normal"/>
    <w:link w:val="EndnoteTextChar"/>
    <w:uiPriority w:val="99"/>
    <w:semiHidden/>
    <w:rsid w:val="009637A8"/>
    <w:pPr>
      <w:spacing w:after="0"/>
    </w:pPr>
    <w:rPr>
      <w:szCs w:val="20"/>
    </w:rPr>
  </w:style>
  <w:style w:type="character" w:customStyle="1" w:styleId="EndnoteTextChar">
    <w:name w:val="Endnote Text Char"/>
    <w:basedOn w:val="DefaultParagraphFont"/>
    <w:link w:val="EndnoteText"/>
    <w:uiPriority w:val="99"/>
    <w:semiHidden/>
    <w:rsid w:val="00AD3AE6"/>
    <w:rPr>
      <w:rFonts w:ascii="Arial" w:hAnsi="Arial" w:cs="Arial"/>
      <w:bCs/>
      <w:sz w:val="20"/>
      <w:szCs w:val="20"/>
    </w:rPr>
  </w:style>
  <w:style w:type="paragraph" w:styleId="EnvelopeAddress">
    <w:name w:val="envelope address"/>
    <w:basedOn w:val="Normal"/>
    <w:uiPriority w:val="99"/>
    <w:semiHidden/>
    <w:rsid w:val="009637A8"/>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rsid w:val="009637A8"/>
    <w:pPr>
      <w:spacing w:after="0"/>
    </w:pPr>
    <w:rPr>
      <w:rFonts w:eastAsiaTheme="majorEastAsia"/>
      <w:szCs w:val="20"/>
    </w:rPr>
  </w:style>
  <w:style w:type="character" w:styleId="FollowedHyperlink">
    <w:name w:val="FollowedHyperlink"/>
    <w:basedOn w:val="DefaultParagraphFont"/>
    <w:uiPriority w:val="99"/>
    <w:semiHidden/>
    <w:rsid w:val="009637A8"/>
    <w:rPr>
      <w:color w:val="954F72" w:themeColor="followedHyperlink"/>
      <w:u w:val="single"/>
    </w:rPr>
  </w:style>
  <w:style w:type="paragraph" w:styleId="Footer">
    <w:name w:val="footer"/>
    <w:basedOn w:val="Normalnsp"/>
    <w:link w:val="FooterChar"/>
    <w:uiPriority w:val="99"/>
    <w:semiHidden/>
    <w:rsid w:val="00EE1AEA"/>
    <w:pPr>
      <w:tabs>
        <w:tab w:val="center" w:pos="4513"/>
        <w:tab w:val="right" w:pos="9026"/>
      </w:tabs>
      <w:spacing w:line="160" w:lineRule="exact"/>
    </w:pPr>
    <w:rPr>
      <w:rFonts w:ascii="Nunito SemiBold" w:hAnsi="Nunito SemiBold"/>
      <w:caps/>
      <w:spacing w:val="-2"/>
      <w:sz w:val="12"/>
    </w:rPr>
  </w:style>
  <w:style w:type="character" w:customStyle="1" w:styleId="FooterChar">
    <w:name w:val="Footer Char"/>
    <w:basedOn w:val="DefaultParagraphFont"/>
    <w:link w:val="Footer"/>
    <w:uiPriority w:val="99"/>
    <w:semiHidden/>
    <w:rsid w:val="00780614"/>
    <w:rPr>
      <w:rFonts w:ascii="Nunito SemiBold" w:hAnsi="Nunito SemiBold" w:cs="Arial"/>
      <w:bCs/>
      <w:caps/>
      <w:color w:val="000100"/>
      <w:spacing w:val="-2"/>
      <w:sz w:val="12"/>
    </w:rPr>
  </w:style>
  <w:style w:type="character" w:styleId="FootnoteReference">
    <w:name w:val="footnote reference"/>
    <w:basedOn w:val="DefaultParagraphFont"/>
    <w:uiPriority w:val="99"/>
    <w:semiHidden/>
    <w:rsid w:val="009637A8"/>
    <w:rPr>
      <w:vertAlign w:val="superscript"/>
    </w:rPr>
  </w:style>
  <w:style w:type="paragraph" w:styleId="FootnoteText">
    <w:name w:val="footnote text"/>
    <w:basedOn w:val="Normal"/>
    <w:link w:val="FootnoteTextChar"/>
    <w:uiPriority w:val="99"/>
    <w:semiHidden/>
    <w:qFormat/>
    <w:rsid w:val="009349D3"/>
    <w:pPr>
      <w:spacing w:before="0" w:after="40" w:line="240" w:lineRule="auto"/>
    </w:pPr>
    <w:rPr>
      <w:sz w:val="18"/>
      <w:szCs w:val="20"/>
    </w:rPr>
  </w:style>
  <w:style w:type="character" w:customStyle="1" w:styleId="FootnoteTextChar">
    <w:name w:val="Footnote Text Char"/>
    <w:basedOn w:val="DefaultParagraphFont"/>
    <w:link w:val="FootnoteText"/>
    <w:uiPriority w:val="99"/>
    <w:semiHidden/>
    <w:rsid w:val="009349D3"/>
    <w:rPr>
      <w:rFonts w:ascii="Nunito Light" w:hAnsi="Nunito Light" w:cs="Arial"/>
      <w:bCs/>
      <w:color w:val="000100"/>
      <w:sz w:val="18"/>
      <w:szCs w:val="20"/>
    </w:rPr>
  </w:style>
  <w:style w:type="table" w:styleId="GridTable1Light">
    <w:name w:val="Grid Table 1 Light"/>
    <w:basedOn w:val="TableNormal"/>
    <w:uiPriority w:val="46"/>
    <w:rsid w:val="009637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637A8"/>
    <w:pPr>
      <w:spacing w:after="0" w:line="240" w:lineRule="auto"/>
    </w:pPr>
    <w:tblPr>
      <w:tblStyleRowBandSize w:val="1"/>
      <w:tblStyleColBandSize w:val="1"/>
      <w:tblBorders>
        <w:top w:val="single" w:sz="4" w:space="0" w:color="B8E0DC" w:themeColor="accent1" w:themeTint="66"/>
        <w:left w:val="single" w:sz="4" w:space="0" w:color="B8E0DC" w:themeColor="accent1" w:themeTint="66"/>
        <w:bottom w:val="single" w:sz="4" w:space="0" w:color="B8E0DC" w:themeColor="accent1" w:themeTint="66"/>
        <w:right w:val="single" w:sz="4" w:space="0" w:color="B8E0DC" w:themeColor="accent1" w:themeTint="66"/>
        <w:insideH w:val="single" w:sz="4" w:space="0" w:color="B8E0DC" w:themeColor="accent1" w:themeTint="66"/>
        <w:insideV w:val="single" w:sz="4" w:space="0" w:color="B8E0DC" w:themeColor="accent1" w:themeTint="66"/>
      </w:tblBorders>
    </w:tblPr>
    <w:tblStylePr w:type="firstRow">
      <w:rPr>
        <w:b/>
        <w:bCs/>
      </w:rPr>
      <w:tblPr/>
      <w:tcPr>
        <w:tcBorders>
          <w:bottom w:val="single" w:sz="12" w:space="0" w:color="94D0CB" w:themeColor="accent1" w:themeTint="99"/>
        </w:tcBorders>
      </w:tcPr>
    </w:tblStylePr>
    <w:tblStylePr w:type="lastRow">
      <w:rPr>
        <w:b/>
        <w:bCs/>
      </w:rPr>
      <w:tblPr/>
      <w:tcPr>
        <w:tcBorders>
          <w:top w:val="double" w:sz="2" w:space="0" w:color="94D0C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637A8"/>
    <w:pPr>
      <w:spacing w:after="0" w:line="240" w:lineRule="auto"/>
    </w:pPr>
    <w:tblPr>
      <w:tblStyleRowBandSize w:val="1"/>
      <w:tblStyleColBandSize w:val="1"/>
      <w:tblBorders>
        <w:top w:val="single" w:sz="4" w:space="0" w:color="D9B6CE" w:themeColor="accent2" w:themeTint="66"/>
        <w:left w:val="single" w:sz="4" w:space="0" w:color="D9B6CE" w:themeColor="accent2" w:themeTint="66"/>
        <w:bottom w:val="single" w:sz="4" w:space="0" w:color="D9B6CE" w:themeColor="accent2" w:themeTint="66"/>
        <w:right w:val="single" w:sz="4" w:space="0" w:color="D9B6CE" w:themeColor="accent2" w:themeTint="66"/>
        <w:insideH w:val="single" w:sz="4" w:space="0" w:color="D9B6CE" w:themeColor="accent2" w:themeTint="66"/>
        <w:insideV w:val="single" w:sz="4" w:space="0" w:color="D9B6CE" w:themeColor="accent2" w:themeTint="66"/>
      </w:tblBorders>
    </w:tblPr>
    <w:tblStylePr w:type="firstRow">
      <w:rPr>
        <w:b/>
        <w:bCs/>
      </w:rPr>
      <w:tblPr/>
      <w:tcPr>
        <w:tcBorders>
          <w:bottom w:val="single" w:sz="12" w:space="0" w:color="C792B5" w:themeColor="accent2" w:themeTint="99"/>
        </w:tcBorders>
      </w:tcPr>
    </w:tblStylePr>
    <w:tblStylePr w:type="lastRow">
      <w:rPr>
        <w:b/>
        <w:bCs/>
      </w:rPr>
      <w:tblPr/>
      <w:tcPr>
        <w:tcBorders>
          <w:top w:val="double" w:sz="2" w:space="0" w:color="C792B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37A8"/>
    <w:pPr>
      <w:spacing w:after="0" w:line="240" w:lineRule="auto"/>
    </w:pPr>
    <w:tblPr>
      <w:tblStyleRowBandSize w:val="1"/>
      <w:tblStyleColBandSize w:val="1"/>
      <w:tblBorders>
        <w:top w:val="single" w:sz="4" w:space="0" w:color="98D9D4" w:themeColor="accent3" w:themeTint="66"/>
        <w:left w:val="single" w:sz="4" w:space="0" w:color="98D9D4" w:themeColor="accent3" w:themeTint="66"/>
        <w:bottom w:val="single" w:sz="4" w:space="0" w:color="98D9D4" w:themeColor="accent3" w:themeTint="66"/>
        <w:right w:val="single" w:sz="4" w:space="0" w:color="98D9D4" w:themeColor="accent3" w:themeTint="66"/>
        <w:insideH w:val="single" w:sz="4" w:space="0" w:color="98D9D4" w:themeColor="accent3" w:themeTint="66"/>
        <w:insideV w:val="single" w:sz="4" w:space="0" w:color="98D9D4" w:themeColor="accent3" w:themeTint="66"/>
      </w:tblBorders>
    </w:tblPr>
    <w:tblStylePr w:type="firstRow">
      <w:rPr>
        <w:b/>
        <w:bCs/>
      </w:rPr>
      <w:tblPr/>
      <w:tcPr>
        <w:tcBorders>
          <w:bottom w:val="single" w:sz="12" w:space="0" w:color="65C6BF" w:themeColor="accent3" w:themeTint="99"/>
        </w:tcBorders>
      </w:tcPr>
    </w:tblStylePr>
    <w:tblStylePr w:type="lastRow">
      <w:rPr>
        <w:b/>
        <w:bCs/>
      </w:rPr>
      <w:tblPr/>
      <w:tcPr>
        <w:tcBorders>
          <w:top w:val="double" w:sz="2" w:space="0" w:color="65C6B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637A8"/>
    <w:pPr>
      <w:spacing w:after="0" w:line="240" w:lineRule="auto"/>
    </w:pPr>
    <w:tblPr>
      <w:tblStyleRowBandSize w:val="1"/>
      <w:tblStyleColBandSize w:val="1"/>
      <w:tblBorders>
        <w:top w:val="single" w:sz="4" w:space="0" w:color="DBEBAF" w:themeColor="accent4" w:themeTint="66"/>
        <w:left w:val="single" w:sz="4" w:space="0" w:color="DBEBAF" w:themeColor="accent4" w:themeTint="66"/>
        <w:bottom w:val="single" w:sz="4" w:space="0" w:color="DBEBAF" w:themeColor="accent4" w:themeTint="66"/>
        <w:right w:val="single" w:sz="4" w:space="0" w:color="DBEBAF" w:themeColor="accent4" w:themeTint="66"/>
        <w:insideH w:val="single" w:sz="4" w:space="0" w:color="DBEBAF" w:themeColor="accent4" w:themeTint="66"/>
        <w:insideV w:val="single" w:sz="4" w:space="0" w:color="DBEBAF" w:themeColor="accent4" w:themeTint="66"/>
      </w:tblBorders>
    </w:tblPr>
    <w:tblStylePr w:type="firstRow">
      <w:rPr>
        <w:b/>
        <w:bCs/>
      </w:rPr>
      <w:tblPr/>
      <w:tcPr>
        <w:tcBorders>
          <w:bottom w:val="single" w:sz="12" w:space="0" w:color="C9E188" w:themeColor="accent4" w:themeTint="99"/>
        </w:tcBorders>
      </w:tcPr>
    </w:tblStylePr>
    <w:tblStylePr w:type="lastRow">
      <w:rPr>
        <w:b/>
        <w:bCs/>
      </w:rPr>
      <w:tblPr/>
      <w:tcPr>
        <w:tcBorders>
          <w:top w:val="double" w:sz="2" w:space="0" w:color="C9E18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637A8"/>
    <w:pPr>
      <w:spacing w:after="0" w:line="240" w:lineRule="auto"/>
    </w:pPr>
    <w:tblPr>
      <w:tblStyleRowBandSize w:val="1"/>
      <w:tblStyleColBandSize w:val="1"/>
      <w:tblBorders>
        <w:top w:val="single" w:sz="4" w:space="0" w:color="84BFF0" w:themeColor="accent5" w:themeTint="66"/>
        <w:left w:val="single" w:sz="4" w:space="0" w:color="84BFF0" w:themeColor="accent5" w:themeTint="66"/>
        <w:bottom w:val="single" w:sz="4" w:space="0" w:color="84BFF0" w:themeColor="accent5" w:themeTint="66"/>
        <w:right w:val="single" w:sz="4" w:space="0" w:color="84BFF0" w:themeColor="accent5" w:themeTint="66"/>
        <w:insideH w:val="single" w:sz="4" w:space="0" w:color="84BFF0" w:themeColor="accent5" w:themeTint="66"/>
        <w:insideV w:val="single" w:sz="4" w:space="0" w:color="84BFF0" w:themeColor="accent5" w:themeTint="66"/>
      </w:tblBorders>
    </w:tblPr>
    <w:tblStylePr w:type="firstRow">
      <w:rPr>
        <w:b/>
        <w:bCs/>
      </w:rPr>
      <w:tblPr/>
      <w:tcPr>
        <w:tcBorders>
          <w:bottom w:val="single" w:sz="12" w:space="0" w:color="479FE9" w:themeColor="accent5" w:themeTint="99"/>
        </w:tcBorders>
      </w:tcPr>
    </w:tblStylePr>
    <w:tblStylePr w:type="lastRow">
      <w:rPr>
        <w:b/>
        <w:bCs/>
      </w:rPr>
      <w:tblPr/>
      <w:tcPr>
        <w:tcBorders>
          <w:top w:val="double" w:sz="2" w:space="0" w:color="479FE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637A8"/>
    <w:pPr>
      <w:spacing w:after="0" w:line="240" w:lineRule="auto"/>
    </w:pPr>
    <w:tblPr>
      <w:tblStyleRowBandSize w:val="1"/>
      <w:tblStyleColBandSize w:val="1"/>
      <w:tblBorders>
        <w:top w:val="single" w:sz="4" w:space="0" w:color="727FFF" w:themeColor="accent6" w:themeTint="66"/>
        <w:left w:val="single" w:sz="4" w:space="0" w:color="727FFF" w:themeColor="accent6" w:themeTint="66"/>
        <w:bottom w:val="single" w:sz="4" w:space="0" w:color="727FFF" w:themeColor="accent6" w:themeTint="66"/>
        <w:right w:val="single" w:sz="4" w:space="0" w:color="727FFF" w:themeColor="accent6" w:themeTint="66"/>
        <w:insideH w:val="single" w:sz="4" w:space="0" w:color="727FFF" w:themeColor="accent6" w:themeTint="66"/>
        <w:insideV w:val="single" w:sz="4" w:space="0" w:color="727FFF" w:themeColor="accent6" w:themeTint="66"/>
      </w:tblBorders>
    </w:tblPr>
    <w:tblStylePr w:type="firstRow">
      <w:rPr>
        <w:b/>
        <w:bCs/>
      </w:rPr>
      <w:tblPr/>
      <w:tcPr>
        <w:tcBorders>
          <w:bottom w:val="single" w:sz="12" w:space="0" w:color="2C40FF" w:themeColor="accent6" w:themeTint="99"/>
        </w:tcBorders>
      </w:tcPr>
    </w:tblStylePr>
    <w:tblStylePr w:type="lastRow">
      <w:rPr>
        <w:b/>
        <w:bCs/>
      </w:rPr>
      <w:tblPr/>
      <w:tcPr>
        <w:tcBorders>
          <w:top w:val="double" w:sz="2" w:space="0" w:color="2C40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637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637A8"/>
    <w:pPr>
      <w:spacing w:after="0" w:line="240" w:lineRule="auto"/>
    </w:pPr>
    <w:tblPr>
      <w:tblStyleRowBandSize w:val="1"/>
      <w:tblStyleColBandSize w:val="1"/>
      <w:tblBorders>
        <w:top w:val="single" w:sz="2" w:space="0" w:color="94D0CB" w:themeColor="accent1" w:themeTint="99"/>
        <w:bottom w:val="single" w:sz="2" w:space="0" w:color="94D0CB" w:themeColor="accent1" w:themeTint="99"/>
        <w:insideH w:val="single" w:sz="2" w:space="0" w:color="94D0CB" w:themeColor="accent1" w:themeTint="99"/>
        <w:insideV w:val="single" w:sz="2" w:space="0" w:color="94D0CB" w:themeColor="accent1" w:themeTint="99"/>
      </w:tblBorders>
    </w:tblPr>
    <w:tblStylePr w:type="firstRow">
      <w:rPr>
        <w:b/>
        <w:bCs/>
      </w:rPr>
      <w:tblPr/>
      <w:tcPr>
        <w:tcBorders>
          <w:top w:val="nil"/>
          <w:bottom w:val="single" w:sz="12" w:space="0" w:color="94D0CB" w:themeColor="accent1" w:themeTint="99"/>
          <w:insideH w:val="nil"/>
          <w:insideV w:val="nil"/>
        </w:tcBorders>
        <w:shd w:val="clear" w:color="auto" w:fill="FFFFFF" w:themeFill="background1"/>
      </w:tcPr>
    </w:tblStylePr>
    <w:tblStylePr w:type="lastRow">
      <w:rPr>
        <w:b/>
        <w:bCs/>
      </w:rPr>
      <w:tblPr/>
      <w:tcPr>
        <w:tcBorders>
          <w:top w:val="double" w:sz="2" w:space="0" w:color="94D0C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ED" w:themeFill="accent1" w:themeFillTint="33"/>
      </w:tcPr>
    </w:tblStylePr>
    <w:tblStylePr w:type="band1Horz">
      <w:tblPr/>
      <w:tcPr>
        <w:shd w:val="clear" w:color="auto" w:fill="DBEFED" w:themeFill="accent1" w:themeFillTint="33"/>
      </w:tcPr>
    </w:tblStylePr>
  </w:style>
  <w:style w:type="table" w:styleId="GridTable2-Accent2">
    <w:name w:val="Grid Table 2 Accent 2"/>
    <w:basedOn w:val="TableNormal"/>
    <w:uiPriority w:val="47"/>
    <w:rsid w:val="009637A8"/>
    <w:pPr>
      <w:spacing w:after="0" w:line="240" w:lineRule="auto"/>
    </w:pPr>
    <w:tblPr>
      <w:tblStyleRowBandSize w:val="1"/>
      <w:tblStyleColBandSize w:val="1"/>
      <w:tblBorders>
        <w:top w:val="single" w:sz="2" w:space="0" w:color="C792B5" w:themeColor="accent2" w:themeTint="99"/>
        <w:bottom w:val="single" w:sz="2" w:space="0" w:color="C792B5" w:themeColor="accent2" w:themeTint="99"/>
        <w:insideH w:val="single" w:sz="2" w:space="0" w:color="C792B5" w:themeColor="accent2" w:themeTint="99"/>
        <w:insideV w:val="single" w:sz="2" w:space="0" w:color="C792B5" w:themeColor="accent2" w:themeTint="99"/>
      </w:tblBorders>
    </w:tblPr>
    <w:tblStylePr w:type="firstRow">
      <w:rPr>
        <w:b/>
        <w:bCs/>
      </w:rPr>
      <w:tblPr/>
      <w:tcPr>
        <w:tcBorders>
          <w:top w:val="nil"/>
          <w:bottom w:val="single" w:sz="12" w:space="0" w:color="C792B5" w:themeColor="accent2" w:themeTint="99"/>
          <w:insideH w:val="nil"/>
          <w:insideV w:val="nil"/>
        </w:tcBorders>
        <w:shd w:val="clear" w:color="auto" w:fill="FFFFFF" w:themeFill="background1"/>
      </w:tcPr>
    </w:tblStylePr>
    <w:tblStylePr w:type="lastRow">
      <w:rPr>
        <w:b/>
        <w:bCs/>
      </w:rPr>
      <w:tblPr/>
      <w:tcPr>
        <w:tcBorders>
          <w:top w:val="double" w:sz="2" w:space="0" w:color="C792B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AE6" w:themeFill="accent2" w:themeFillTint="33"/>
      </w:tcPr>
    </w:tblStylePr>
    <w:tblStylePr w:type="band1Horz">
      <w:tblPr/>
      <w:tcPr>
        <w:shd w:val="clear" w:color="auto" w:fill="ECDAE6" w:themeFill="accent2" w:themeFillTint="33"/>
      </w:tcPr>
    </w:tblStylePr>
  </w:style>
  <w:style w:type="table" w:styleId="GridTable2-Accent3">
    <w:name w:val="Grid Table 2 Accent 3"/>
    <w:basedOn w:val="TableNormal"/>
    <w:uiPriority w:val="47"/>
    <w:rsid w:val="009637A8"/>
    <w:pPr>
      <w:spacing w:after="0" w:line="240" w:lineRule="auto"/>
    </w:pPr>
    <w:tblPr>
      <w:tblStyleRowBandSize w:val="1"/>
      <w:tblStyleColBandSize w:val="1"/>
      <w:tblBorders>
        <w:top w:val="single" w:sz="2" w:space="0" w:color="65C6BF" w:themeColor="accent3" w:themeTint="99"/>
        <w:bottom w:val="single" w:sz="2" w:space="0" w:color="65C6BF" w:themeColor="accent3" w:themeTint="99"/>
        <w:insideH w:val="single" w:sz="2" w:space="0" w:color="65C6BF" w:themeColor="accent3" w:themeTint="99"/>
        <w:insideV w:val="single" w:sz="2" w:space="0" w:color="65C6BF" w:themeColor="accent3" w:themeTint="99"/>
      </w:tblBorders>
    </w:tblPr>
    <w:tblStylePr w:type="firstRow">
      <w:rPr>
        <w:b/>
        <w:bCs/>
      </w:rPr>
      <w:tblPr/>
      <w:tcPr>
        <w:tcBorders>
          <w:top w:val="nil"/>
          <w:bottom w:val="single" w:sz="12" w:space="0" w:color="65C6BF" w:themeColor="accent3" w:themeTint="99"/>
          <w:insideH w:val="nil"/>
          <w:insideV w:val="nil"/>
        </w:tcBorders>
        <w:shd w:val="clear" w:color="auto" w:fill="FFFFFF" w:themeFill="background1"/>
      </w:tcPr>
    </w:tblStylePr>
    <w:tblStylePr w:type="lastRow">
      <w:rPr>
        <w:b/>
        <w:bCs/>
      </w:rPr>
      <w:tblPr/>
      <w:tcPr>
        <w:tcBorders>
          <w:top w:val="double" w:sz="2" w:space="0" w:color="65C6B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ECE9" w:themeFill="accent3" w:themeFillTint="33"/>
      </w:tcPr>
    </w:tblStylePr>
    <w:tblStylePr w:type="band1Horz">
      <w:tblPr/>
      <w:tcPr>
        <w:shd w:val="clear" w:color="auto" w:fill="CBECE9" w:themeFill="accent3" w:themeFillTint="33"/>
      </w:tcPr>
    </w:tblStylePr>
  </w:style>
  <w:style w:type="table" w:styleId="GridTable2-Accent4">
    <w:name w:val="Grid Table 2 Accent 4"/>
    <w:basedOn w:val="TableNormal"/>
    <w:uiPriority w:val="47"/>
    <w:rsid w:val="009637A8"/>
    <w:pPr>
      <w:spacing w:after="0" w:line="240" w:lineRule="auto"/>
    </w:pPr>
    <w:tblPr>
      <w:tblStyleRowBandSize w:val="1"/>
      <w:tblStyleColBandSize w:val="1"/>
      <w:tblBorders>
        <w:top w:val="single" w:sz="2" w:space="0" w:color="C9E188" w:themeColor="accent4" w:themeTint="99"/>
        <w:bottom w:val="single" w:sz="2" w:space="0" w:color="C9E188" w:themeColor="accent4" w:themeTint="99"/>
        <w:insideH w:val="single" w:sz="2" w:space="0" w:color="C9E188" w:themeColor="accent4" w:themeTint="99"/>
        <w:insideV w:val="single" w:sz="2" w:space="0" w:color="C9E188" w:themeColor="accent4" w:themeTint="99"/>
      </w:tblBorders>
    </w:tblPr>
    <w:tblStylePr w:type="firstRow">
      <w:rPr>
        <w:b/>
        <w:bCs/>
      </w:rPr>
      <w:tblPr/>
      <w:tcPr>
        <w:tcBorders>
          <w:top w:val="nil"/>
          <w:bottom w:val="single" w:sz="12" w:space="0" w:color="C9E188" w:themeColor="accent4" w:themeTint="99"/>
          <w:insideH w:val="nil"/>
          <w:insideV w:val="nil"/>
        </w:tcBorders>
        <w:shd w:val="clear" w:color="auto" w:fill="FFFFFF" w:themeFill="background1"/>
      </w:tcPr>
    </w:tblStylePr>
    <w:tblStylePr w:type="lastRow">
      <w:rPr>
        <w:b/>
        <w:bCs/>
      </w:rPr>
      <w:tblPr/>
      <w:tcPr>
        <w:tcBorders>
          <w:top w:val="double" w:sz="2" w:space="0" w:color="C9E18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5D7" w:themeFill="accent4" w:themeFillTint="33"/>
      </w:tcPr>
    </w:tblStylePr>
    <w:tblStylePr w:type="band1Horz">
      <w:tblPr/>
      <w:tcPr>
        <w:shd w:val="clear" w:color="auto" w:fill="EDF5D7" w:themeFill="accent4" w:themeFillTint="33"/>
      </w:tcPr>
    </w:tblStylePr>
  </w:style>
  <w:style w:type="table" w:styleId="GridTable2-Accent5">
    <w:name w:val="Grid Table 2 Accent 5"/>
    <w:basedOn w:val="TableNormal"/>
    <w:uiPriority w:val="47"/>
    <w:rsid w:val="009637A8"/>
    <w:pPr>
      <w:spacing w:after="0" w:line="240" w:lineRule="auto"/>
    </w:pPr>
    <w:tblPr>
      <w:tblStyleRowBandSize w:val="1"/>
      <w:tblStyleColBandSize w:val="1"/>
      <w:tblBorders>
        <w:top w:val="single" w:sz="2" w:space="0" w:color="479FE9" w:themeColor="accent5" w:themeTint="99"/>
        <w:bottom w:val="single" w:sz="2" w:space="0" w:color="479FE9" w:themeColor="accent5" w:themeTint="99"/>
        <w:insideH w:val="single" w:sz="2" w:space="0" w:color="479FE9" w:themeColor="accent5" w:themeTint="99"/>
        <w:insideV w:val="single" w:sz="2" w:space="0" w:color="479FE9" w:themeColor="accent5" w:themeTint="99"/>
      </w:tblBorders>
    </w:tblPr>
    <w:tblStylePr w:type="firstRow">
      <w:rPr>
        <w:b/>
        <w:bCs/>
      </w:rPr>
      <w:tblPr/>
      <w:tcPr>
        <w:tcBorders>
          <w:top w:val="nil"/>
          <w:bottom w:val="single" w:sz="12" w:space="0" w:color="479FE9" w:themeColor="accent5" w:themeTint="99"/>
          <w:insideH w:val="nil"/>
          <w:insideV w:val="nil"/>
        </w:tcBorders>
        <w:shd w:val="clear" w:color="auto" w:fill="FFFFFF" w:themeFill="background1"/>
      </w:tcPr>
    </w:tblStylePr>
    <w:tblStylePr w:type="lastRow">
      <w:rPr>
        <w:b/>
        <w:bCs/>
      </w:rPr>
      <w:tblPr/>
      <w:tcPr>
        <w:tcBorders>
          <w:top w:val="double" w:sz="2" w:space="0" w:color="479FE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DFF7" w:themeFill="accent5" w:themeFillTint="33"/>
      </w:tcPr>
    </w:tblStylePr>
    <w:tblStylePr w:type="band1Horz">
      <w:tblPr/>
      <w:tcPr>
        <w:shd w:val="clear" w:color="auto" w:fill="C1DFF7" w:themeFill="accent5" w:themeFillTint="33"/>
      </w:tcPr>
    </w:tblStylePr>
  </w:style>
  <w:style w:type="table" w:styleId="GridTable2-Accent6">
    <w:name w:val="Grid Table 2 Accent 6"/>
    <w:basedOn w:val="TableNormal"/>
    <w:uiPriority w:val="47"/>
    <w:rsid w:val="009637A8"/>
    <w:pPr>
      <w:spacing w:after="0" w:line="240" w:lineRule="auto"/>
    </w:pPr>
    <w:tblPr>
      <w:tblStyleRowBandSize w:val="1"/>
      <w:tblStyleColBandSize w:val="1"/>
      <w:tblBorders>
        <w:top w:val="single" w:sz="2" w:space="0" w:color="2C40FF" w:themeColor="accent6" w:themeTint="99"/>
        <w:bottom w:val="single" w:sz="2" w:space="0" w:color="2C40FF" w:themeColor="accent6" w:themeTint="99"/>
        <w:insideH w:val="single" w:sz="2" w:space="0" w:color="2C40FF" w:themeColor="accent6" w:themeTint="99"/>
        <w:insideV w:val="single" w:sz="2" w:space="0" w:color="2C40FF" w:themeColor="accent6" w:themeTint="99"/>
      </w:tblBorders>
    </w:tblPr>
    <w:tblStylePr w:type="firstRow">
      <w:rPr>
        <w:b/>
        <w:bCs/>
      </w:rPr>
      <w:tblPr/>
      <w:tcPr>
        <w:tcBorders>
          <w:top w:val="nil"/>
          <w:bottom w:val="single" w:sz="12" w:space="0" w:color="2C40FF" w:themeColor="accent6" w:themeTint="99"/>
          <w:insideH w:val="nil"/>
          <w:insideV w:val="nil"/>
        </w:tcBorders>
        <w:shd w:val="clear" w:color="auto" w:fill="FFFFFF" w:themeFill="background1"/>
      </w:tcPr>
    </w:tblStylePr>
    <w:tblStylePr w:type="lastRow">
      <w:rPr>
        <w:b/>
        <w:bCs/>
      </w:rPr>
      <w:tblPr/>
      <w:tcPr>
        <w:tcBorders>
          <w:top w:val="double" w:sz="2" w:space="0" w:color="2C40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BFFF" w:themeFill="accent6" w:themeFillTint="33"/>
      </w:tcPr>
    </w:tblStylePr>
    <w:tblStylePr w:type="band1Horz">
      <w:tblPr/>
      <w:tcPr>
        <w:shd w:val="clear" w:color="auto" w:fill="B8BFFF" w:themeFill="accent6" w:themeFillTint="33"/>
      </w:tcPr>
    </w:tblStylePr>
  </w:style>
  <w:style w:type="table" w:styleId="GridTable3">
    <w:name w:val="Grid Table 3"/>
    <w:basedOn w:val="TableNormal"/>
    <w:uiPriority w:val="48"/>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637A8"/>
    <w:pPr>
      <w:spacing w:after="0" w:line="240" w:lineRule="auto"/>
    </w:pPr>
    <w:tblPr>
      <w:tblStyleRowBandSize w:val="1"/>
      <w:tblStyleColBandSize w:val="1"/>
      <w:tblBorders>
        <w:top w:val="single" w:sz="4" w:space="0" w:color="94D0CB" w:themeColor="accent1" w:themeTint="99"/>
        <w:left w:val="single" w:sz="4" w:space="0" w:color="94D0CB" w:themeColor="accent1" w:themeTint="99"/>
        <w:bottom w:val="single" w:sz="4" w:space="0" w:color="94D0CB" w:themeColor="accent1" w:themeTint="99"/>
        <w:right w:val="single" w:sz="4" w:space="0" w:color="94D0CB" w:themeColor="accent1" w:themeTint="99"/>
        <w:insideH w:val="single" w:sz="4" w:space="0" w:color="94D0CB" w:themeColor="accent1" w:themeTint="99"/>
        <w:insideV w:val="single" w:sz="4" w:space="0" w:color="94D0C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ED" w:themeFill="accent1" w:themeFillTint="33"/>
      </w:tcPr>
    </w:tblStylePr>
    <w:tblStylePr w:type="band1Horz">
      <w:tblPr/>
      <w:tcPr>
        <w:shd w:val="clear" w:color="auto" w:fill="DBEFED" w:themeFill="accent1" w:themeFillTint="33"/>
      </w:tcPr>
    </w:tblStylePr>
    <w:tblStylePr w:type="neCell">
      <w:tblPr/>
      <w:tcPr>
        <w:tcBorders>
          <w:bottom w:val="single" w:sz="4" w:space="0" w:color="94D0CB" w:themeColor="accent1" w:themeTint="99"/>
        </w:tcBorders>
      </w:tcPr>
    </w:tblStylePr>
    <w:tblStylePr w:type="nwCell">
      <w:tblPr/>
      <w:tcPr>
        <w:tcBorders>
          <w:bottom w:val="single" w:sz="4" w:space="0" w:color="94D0CB" w:themeColor="accent1" w:themeTint="99"/>
        </w:tcBorders>
      </w:tcPr>
    </w:tblStylePr>
    <w:tblStylePr w:type="seCell">
      <w:tblPr/>
      <w:tcPr>
        <w:tcBorders>
          <w:top w:val="single" w:sz="4" w:space="0" w:color="94D0CB" w:themeColor="accent1" w:themeTint="99"/>
        </w:tcBorders>
      </w:tcPr>
    </w:tblStylePr>
    <w:tblStylePr w:type="swCell">
      <w:tblPr/>
      <w:tcPr>
        <w:tcBorders>
          <w:top w:val="single" w:sz="4" w:space="0" w:color="94D0CB" w:themeColor="accent1" w:themeTint="99"/>
        </w:tcBorders>
      </w:tcPr>
    </w:tblStylePr>
  </w:style>
  <w:style w:type="table" w:styleId="GridTable3-Accent2">
    <w:name w:val="Grid Table 3 Accent 2"/>
    <w:basedOn w:val="TableNormal"/>
    <w:uiPriority w:val="48"/>
    <w:rsid w:val="009637A8"/>
    <w:pPr>
      <w:spacing w:after="0" w:line="240" w:lineRule="auto"/>
    </w:pPr>
    <w:tblPr>
      <w:tblStyleRowBandSize w:val="1"/>
      <w:tblStyleColBandSize w:val="1"/>
      <w:tblBorders>
        <w:top w:val="single" w:sz="4" w:space="0" w:color="C792B5" w:themeColor="accent2" w:themeTint="99"/>
        <w:left w:val="single" w:sz="4" w:space="0" w:color="C792B5" w:themeColor="accent2" w:themeTint="99"/>
        <w:bottom w:val="single" w:sz="4" w:space="0" w:color="C792B5" w:themeColor="accent2" w:themeTint="99"/>
        <w:right w:val="single" w:sz="4" w:space="0" w:color="C792B5" w:themeColor="accent2" w:themeTint="99"/>
        <w:insideH w:val="single" w:sz="4" w:space="0" w:color="C792B5" w:themeColor="accent2" w:themeTint="99"/>
        <w:insideV w:val="single" w:sz="4" w:space="0" w:color="C792B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AE6" w:themeFill="accent2" w:themeFillTint="33"/>
      </w:tcPr>
    </w:tblStylePr>
    <w:tblStylePr w:type="band1Horz">
      <w:tblPr/>
      <w:tcPr>
        <w:shd w:val="clear" w:color="auto" w:fill="ECDAE6" w:themeFill="accent2" w:themeFillTint="33"/>
      </w:tcPr>
    </w:tblStylePr>
    <w:tblStylePr w:type="neCell">
      <w:tblPr/>
      <w:tcPr>
        <w:tcBorders>
          <w:bottom w:val="single" w:sz="4" w:space="0" w:color="C792B5" w:themeColor="accent2" w:themeTint="99"/>
        </w:tcBorders>
      </w:tcPr>
    </w:tblStylePr>
    <w:tblStylePr w:type="nwCell">
      <w:tblPr/>
      <w:tcPr>
        <w:tcBorders>
          <w:bottom w:val="single" w:sz="4" w:space="0" w:color="C792B5" w:themeColor="accent2" w:themeTint="99"/>
        </w:tcBorders>
      </w:tcPr>
    </w:tblStylePr>
    <w:tblStylePr w:type="seCell">
      <w:tblPr/>
      <w:tcPr>
        <w:tcBorders>
          <w:top w:val="single" w:sz="4" w:space="0" w:color="C792B5" w:themeColor="accent2" w:themeTint="99"/>
        </w:tcBorders>
      </w:tcPr>
    </w:tblStylePr>
    <w:tblStylePr w:type="swCell">
      <w:tblPr/>
      <w:tcPr>
        <w:tcBorders>
          <w:top w:val="single" w:sz="4" w:space="0" w:color="C792B5" w:themeColor="accent2" w:themeTint="99"/>
        </w:tcBorders>
      </w:tcPr>
    </w:tblStylePr>
  </w:style>
  <w:style w:type="table" w:styleId="GridTable3-Accent3">
    <w:name w:val="Grid Table 3 Accent 3"/>
    <w:basedOn w:val="TableNormal"/>
    <w:uiPriority w:val="48"/>
    <w:rsid w:val="009637A8"/>
    <w:pPr>
      <w:spacing w:after="0" w:line="240" w:lineRule="auto"/>
    </w:pPr>
    <w:tblPr>
      <w:tblStyleRowBandSize w:val="1"/>
      <w:tblStyleColBandSize w:val="1"/>
      <w:tblBorders>
        <w:top w:val="single" w:sz="4" w:space="0" w:color="65C6BF" w:themeColor="accent3" w:themeTint="99"/>
        <w:left w:val="single" w:sz="4" w:space="0" w:color="65C6BF" w:themeColor="accent3" w:themeTint="99"/>
        <w:bottom w:val="single" w:sz="4" w:space="0" w:color="65C6BF" w:themeColor="accent3" w:themeTint="99"/>
        <w:right w:val="single" w:sz="4" w:space="0" w:color="65C6BF" w:themeColor="accent3" w:themeTint="99"/>
        <w:insideH w:val="single" w:sz="4" w:space="0" w:color="65C6BF" w:themeColor="accent3" w:themeTint="99"/>
        <w:insideV w:val="single" w:sz="4" w:space="0" w:color="65C6B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CE9" w:themeFill="accent3" w:themeFillTint="33"/>
      </w:tcPr>
    </w:tblStylePr>
    <w:tblStylePr w:type="band1Horz">
      <w:tblPr/>
      <w:tcPr>
        <w:shd w:val="clear" w:color="auto" w:fill="CBECE9" w:themeFill="accent3" w:themeFillTint="33"/>
      </w:tcPr>
    </w:tblStylePr>
    <w:tblStylePr w:type="neCell">
      <w:tblPr/>
      <w:tcPr>
        <w:tcBorders>
          <w:bottom w:val="single" w:sz="4" w:space="0" w:color="65C6BF" w:themeColor="accent3" w:themeTint="99"/>
        </w:tcBorders>
      </w:tcPr>
    </w:tblStylePr>
    <w:tblStylePr w:type="nwCell">
      <w:tblPr/>
      <w:tcPr>
        <w:tcBorders>
          <w:bottom w:val="single" w:sz="4" w:space="0" w:color="65C6BF" w:themeColor="accent3" w:themeTint="99"/>
        </w:tcBorders>
      </w:tcPr>
    </w:tblStylePr>
    <w:tblStylePr w:type="seCell">
      <w:tblPr/>
      <w:tcPr>
        <w:tcBorders>
          <w:top w:val="single" w:sz="4" w:space="0" w:color="65C6BF" w:themeColor="accent3" w:themeTint="99"/>
        </w:tcBorders>
      </w:tcPr>
    </w:tblStylePr>
    <w:tblStylePr w:type="swCell">
      <w:tblPr/>
      <w:tcPr>
        <w:tcBorders>
          <w:top w:val="single" w:sz="4" w:space="0" w:color="65C6BF" w:themeColor="accent3" w:themeTint="99"/>
        </w:tcBorders>
      </w:tcPr>
    </w:tblStylePr>
  </w:style>
  <w:style w:type="table" w:styleId="GridTable3-Accent4">
    <w:name w:val="Grid Table 3 Accent 4"/>
    <w:basedOn w:val="TableNormal"/>
    <w:uiPriority w:val="48"/>
    <w:rsid w:val="009637A8"/>
    <w:pPr>
      <w:spacing w:after="0" w:line="240" w:lineRule="auto"/>
    </w:pPr>
    <w:tblPr>
      <w:tblStyleRowBandSize w:val="1"/>
      <w:tblStyleColBandSize w:val="1"/>
      <w:tblBorders>
        <w:top w:val="single" w:sz="4" w:space="0" w:color="C9E188" w:themeColor="accent4" w:themeTint="99"/>
        <w:left w:val="single" w:sz="4" w:space="0" w:color="C9E188" w:themeColor="accent4" w:themeTint="99"/>
        <w:bottom w:val="single" w:sz="4" w:space="0" w:color="C9E188" w:themeColor="accent4" w:themeTint="99"/>
        <w:right w:val="single" w:sz="4" w:space="0" w:color="C9E188" w:themeColor="accent4" w:themeTint="99"/>
        <w:insideH w:val="single" w:sz="4" w:space="0" w:color="C9E188" w:themeColor="accent4" w:themeTint="99"/>
        <w:insideV w:val="single" w:sz="4" w:space="0" w:color="C9E18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D7" w:themeFill="accent4" w:themeFillTint="33"/>
      </w:tcPr>
    </w:tblStylePr>
    <w:tblStylePr w:type="band1Horz">
      <w:tblPr/>
      <w:tcPr>
        <w:shd w:val="clear" w:color="auto" w:fill="EDF5D7" w:themeFill="accent4" w:themeFillTint="33"/>
      </w:tcPr>
    </w:tblStylePr>
    <w:tblStylePr w:type="neCell">
      <w:tblPr/>
      <w:tcPr>
        <w:tcBorders>
          <w:bottom w:val="single" w:sz="4" w:space="0" w:color="C9E188" w:themeColor="accent4" w:themeTint="99"/>
        </w:tcBorders>
      </w:tcPr>
    </w:tblStylePr>
    <w:tblStylePr w:type="nwCell">
      <w:tblPr/>
      <w:tcPr>
        <w:tcBorders>
          <w:bottom w:val="single" w:sz="4" w:space="0" w:color="C9E188" w:themeColor="accent4" w:themeTint="99"/>
        </w:tcBorders>
      </w:tcPr>
    </w:tblStylePr>
    <w:tblStylePr w:type="seCell">
      <w:tblPr/>
      <w:tcPr>
        <w:tcBorders>
          <w:top w:val="single" w:sz="4" w:space="0" w:color="C9E188" w:themeColor="accent4" w:themeTint="99"/>
        </w:tcBorders>
      </w:tcPr>
    </w:tblStylePr>
    <w:tblStylePr w:type="swCell">
      <w:tblPr/>
      <w:tcPr>
        <w:tcBorders>
          <w:top w:val="single" w:sz="4" w:space="0" w:color="C9E188" w:themeColor="accent4" w:themeTint="99"/>
        </w:tcBorders>
      </w:tcPr>
    </w:tblStylePr>
  </w:style>
  <w:style w:type="table" w:styleId="GridTable3-Accent5">
    <w:name w:val="Grid Table 3 Accent 5"/>
    <w:basedOn w:val="TableNormal"/>
    <w:uiPriority w:val="48"/>
    <w:rsid w:val="009637A8"/>
    <w:pPr>
      <w:spacing w:after="0" w:line="240" w:lineRule="auto"/>
    </w:pPr>
    <w:tblPr>
      <w:tblStyleRowBandSize w:val="1"/>
      <w:tblStyleColBandSize w:val="1"/>
      <w:tblBorders>
        <w:top w:val="single" w:sz="4" w:space="0" w:color="479FE9" w:themeColor="accent5" w:themeTint="99"/>
        <w:left w:val="single" w:sz="4" w:space="0" w:color="479FE9" w:themeColor="accent5" w:themeTint="99"/>
        <w:bottom w:val="single" w:sz="4" w:space="0" w:color="479FE9" w:themeColor="accent5" w:themeTint="99"/>
        <w:right w:val="single" w:sz="4" w:space="0" w:color="479FE9" w:themeColor="accent5" w:themeTint="99"/>
        <w:insideH w:val="single" w:sz="4" w:space="0" w:color="479FE9" w:themeColor="accent5" w:themeTint="99"/>
        <w:insideV w:val="single" w:sz="4" w:space="0" w:color="479FE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DFF7" w:themeFill="accent5" w:themeFillTint="33"/>
      </w:tcPr>
    </w:tblStylePr>
    <w:tblStylePr w:type="band1Horz">
      <w:tblPr/>
      <w:tcPr>
        <w:shd w:val="clear" w:color="auto" w:fill="C1DFF7" w:themeFill="accent5" w:themeFillTint="33"/>
      </w:tcPr>
    </w:tblStylePr>
    <w:tblStylePr w:type="neCell">
      <w:tblPr/>
      <w:tcPr>
        <w:tcBorders>
          <w:bottom w:val="single" w:sz="4" w:space="0" w:color="479FE9" w:themeColor="accent5" w:themeTint="99"/>
        </w:tcBorders>
      </w:tcPr>
    </w:tblStylePr>
    <w:tblStylePr w:type="nwCell">
      <w:tblPr/>
      <w:tcPr>
        <w:tcBorders>
          <w:bottom w:val="single" w:sz="4" w:space="0" w:color="479FE9" w:themeColor="accent5" w:themeTint="99"/>
        </w:tcBorders>
      </w:tcPr>
    </w:tblStylePr>
    <w:tblStylePr w:type="seCell">
      <w:tblPr/>
      <w:tcPr>
        <w:tcBorders>
          <w:top w:val="single" w:sz="4" w:space="0" w:color="479FE9" w:themeColor="accent5" w:themeTint="99"/>
        </w:tcBorders>
      </w:tcPr>
    </w:tblStylePr>
    <w:tblStylePr w:type="swCell">
      <w:tblPr/>
      <w:tcPr>
        <w:tcBorders>
          <w:top w:val="single" w:sz="4" w:space="0" w:color="479FE9" w:themeColor="accent5" w:themeTint="99"/>
        </w:tcBorders>
      </w:tcPr>
    </w:tblStylePr>
  </w:style>
  <w:style w:type="table" w:styleId="GridTable3-Accent6">
    <w:name w:val="Grid Table 3 Accent 6"/>
    <w:basedOn w:val="TableNormal"/>
    <w:uiPriority w:val="48"/>
    <w:rsid w:val="009637A8"/>
    <w:pPr>
      <w:spacing w:after="0" w:line="240" w:lineRule="auto"/>
    </w:pPr>
    <w:tblPr>
      <w:tblStyleRowBandSize w:val="1"/>
      <w:tblStyleColBandSize w:val="1"/>
      <w:tblBorders>
        <w:top w:val="single" w:sz="4" w:space="0" w:color="2C40FF" w:themeColor="accent6" w:themeTint="99"/>
        <w:left w:val="single" w:sz="4" w:space="0" w:color="2C40FF" w:themeColor="accent6" w:themeTint="99"/>
        <w:bottom w:val="single" w:sz="4" w:space="0" w:color="2C40FF" w:themeColor="accent6" w:themeTint="99"/>
        <w:right w:val="single" w:sz="4" w:space="0" w:color="2C40FF" w:themeColor="accent6" w:themeTint="99"/>
        <w:insideH w:val="single" w:sz="4" w:space="0" w:color="2C40FF" w:themeColor="accent6" w:themeTint="99"/>
        <w:insideV w:val="single" w:sz="4" w:space="0" w:color="2C40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BFFF" w:themeFill="accent6" w:themeFillTint="33"/>
      </w:tcPr>
    </w:tblStylePr>
    <w:tblStylePr w:type="band1Horz">
      <w:tblPr/>
      <w:tcPr>
        <w:shd w:val="clear" w:color="auto" w:fill="B8BFFF" w:themeFill="accent6" w:themeFillTint="33"/>
      </w:tcPr>
    </w:tblStylePr>
    <w:tblStylePr w:type="neCell">
      <w:tblPr/>
      <w:tcPr>
        <w:tcBorders>
          <w:bottom w:val="single" w:sz="4" w:space="0" w:color="2C40FF" w:themeColor="accent6" w:themeTint="99"/>
        </w:tcBorders>
      </w:tcPr>
    </w:tblStylePr>
    <w:tblStylePr w:type="nwCell">
      <w:tblPr/>
      <w:tcPr>
        <w:tcBorders>
          <w:bottom w:val="single" w:sz="4" w:space="0" w:color="2C40FF" w:themeColor="accent6" w:themeTint="99"/>
        </w:tcBorders>
      </w:tcPr>
    </w:tblStylePr>
    <w:tblStylePr w:type="seCell">
      <w:tblPr/>
      <w:tcPr>
        <w:tcBorders>
          <w:top w:val="single" w:sz="4" w:space="0" w:color="2C40FF" w:themeColor="accent6" w:themeTint="99"/>
        </w:tcBorders>
      </w:tcPr>
    </w:tblStylePr>
    <w:tblStylePr w:type="swCell">
      <w:tblPr/>
      <w:tcPr>
        <w:tcBorders>
          <w:top w:val="single" w:sz="4" w:space="0" w:color="2C40FF" w:themeColor="accent6" w:themeTint="99"/>
        </w:tcBorders>
      </w:tcPr>
    </w:tblStylePr>
  </w:style>
  <w:style w:type="table" w:styleId="GridTable4">
    <w:name w:val="Grid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637A8"/>
    <w:pPr>
      <w:spacing w:after="0" w:line="240" w:lineRule="auto"/>
    </w:pPr>
    <w:tblPr>
      <w:tblStyleRowBandSize w:val="1"/>
      <w:tblStyleColBandSize w:val="1"/>
      <w:tblBorders>
        <w:top w:val="single" w:sz="4" w:space="0" w:color="94D0CB" w:themeColor="accent1" w:themeTint="99"/>
        <w:left w:val="single" w:sz="4" w:space="0" w:color="94D0CB" w:themeColor="accent1" w:themeTint="99"/>
        <w:bottom w:val="single" w:sz="4" w:space="0" w:color="94D0CB" w:themeColor="accent1" w:themeTint="99"/>
        <w:right w:val="single" w:sz="4" w:space="0" w:color="94D0CB" w:themeColor="accent1" w:themeTint="99"/>
        <w:insideH w:val="single" w:sz="4" w:space="0" w:color="94D0CB" w:themeColor="accent1" w:themeTint="99"/>
        <w:insideV w:val="single" w:sz="4" w:space="0" w:color="94D0CB" w:themeColor="accent1" w:themeTint="99"/>
      </w:tblBorders>
    </w:tblPr>
    <w:tblStylePr w:type="firstRow">
      <w:rPr>
        <w:b/>
        <w:bCs/>
        <w:color w:val="FFFFFF" w:themeColor="background1"/>
      </w:rPr>
      <w:tblPr/>
      <w:tcPr>
        <w:tcBorders>
          <w:top w:val="single" w:sz="4" w:space="0" w:color="4EB2A9" w:themeColor="accent1"/>
          <w:left w:val="single" w:sz="4" w:space="0" w:color="4EB2A9" w:themeColor="accent1"/>
          <w:bottom w:val="single" w:sz="4" w:space="0" w:color="4EB2A9" w:themeColor="accent1"/>
          <w:right w:val="single" w:sz="4" w:space="0" w:color="4EB2A9" w:themeColor="accent1"/>
          <w:insideH w:val="nil"/>
          <w:insideV w:val="nil"/>
        </w:tcBorders>
        <w:shd w:val="clear" w:color="auto" w:fill="4EB2A9" w:themeFill="accent1"/>
      </w:tcPr>
    </w:tblStylePr>
    <w:tblStylePr w:type="lastRow">
      <w:rPr>
        <w:b/>
        <w:bCs/>
      </w:rPr>
      <w:tblPr/>
      <w:tcPr>
        <w:tcBorders>
          <w:top w:val="double" w:sz="4" w:space="0" w:color="4EB2A9" w:themeColor="accent1"/>
        </w:tcBorders>
      </w:tcPr>
    </w:tblStylePr>
    <w:tblStylePr w:type="firstCol">
      <w:rPr>
        <w:b/>
        <w:bCs/>
      </w:rPr>
    </w:tblStylePr>
    <w:tblStylePr w:type="lastCol">
      <w:rPr>
        <w:b/>
        <w:bCs/>
      </w:rPr>
    </w:tblStylePr>
    <w:tblStylePr w:type="band1Vert">
      <w:tblPr/>
      <w:tcPr>
        <w:shd w:val="clear" w:color="auto" w:fill="DBEFED" w:themeFill="accent1" w:themeFillTint="33"/>
      </w:tcPr>
    </w:tblStylePr>
    <w:tblStylePr w:type="band1Horz">
      <w:tblPr/>
      <w:tcPr>
        <w:shd w:val="clear" w:color="auto" w:fill="DBEFED" w:themeFill="accent1" w:themeFillTint="33"/>
      </w:tcPr>
    </w:tblStylePr>
  </w:style>
  <w:style w:type="table" w:styleId="GridTable4-Accent2">
    <w:name w:val="Grid Table 4 Accent 2"/>
    <w:basedOn w:val="TableNormal"/>
    <w:uiPriority w:val="49"/>
    <w:rsid w:val="009637A8"/>
    <w:pPr>
      <w:spacing w:after="0" w:line="240" w:lineRule="auto"/>
    </w:pPr>
    <w:tblPr>
      <w:tblStyleRowBandSize w:val="1"/>
      <w:tblStyleColBandSize w:val="1"/>
      <w:tblBorders>
        <w:top w:val="single" w:sz="4" w:space="0" w:color="C792B5" w:themeColor="accent2" w:themeTint="99"/>
        <w:left w:val="single" w:sz="4" w:space="0" w:color="C792B5" w:themeColor="accent2" w:themeTint="99"/>
        <w:bottom w:val="single" w:sz="4" w:space="0" w:color="C792B5" w:themeColor="accent2" w:themeTint="99"/>
        <w:right w:val="single" w:sz="4" w:space="0" w:color="C792B5" w:themeColor="accent2" w:themeTint="99"/>
        <w:insideH w:val="single" w:sz="4" w:space="0" w:color="C792B5" w:themeColor="accent2" w:themeTint="99"/>
        <w:insideV w:val="single" w:sz="4" w:space="0" w:color="C792B5" w:themeColor="accent2" w:themeTint="99"/>
      </w:tblBorders>
    </w:tblPr>
    <w:tblStylePr w:type="firstRow">
      <w:rPr>
        <w:b/>
        <w:bCs/>
        <w:color w:val="FFFFFF" w:themeColor="background1"/>
      </w:rPr>
      <w:tblPr/>
      <w:tcPr>
        <w:tcBorders>
          <w:top w:val="single" w:sz="4" w:space="0" w:color="9C5083" w:themeColor="accent2"/>
          <w:left w:val="single" w:sz="4" w:space="0" w:color="9C5083" w:themeColor="accent2"/>
          <w:bottom w:val="single" w:sz="4" w:space="0" w:color="9C5083" w:themeColor="accent2"/>
          <w:right w:val="single" w:sz="4" w:space="0" w:color="9C5083" w:themeColor="accent2"/>
          <w:insideH w:val="nil"/>
          <w:insideV w:val="nil"/>
        </w:tcBorders>
        <w:shd w:val="clear" w:color="auto" w:fill="9C5083" w:themeFill="accent2"/>
      </w:tcPr>
    </w:tblStylePr>
    <w:tblStylePr w:type="lastRow">
      <w:rPr>
        <w:b/>
        <w:bCs/>
      </w:rPr>
      <w:tblPr/>
      <w:tcPr>
        <w:tcBorders>
          <w:top w:val="double" w:sz="4" w:space="0" w:color="9C5083" w:themeColor="accent2"/>
        </w:tcBorders>
      </w:tcPr>
    </w:tblStylePr>
    <w:tblStylePr w:type="firstCol">
      <w:rPr>
        <w:b/>
        <w:bCs/>
      </w:rPr>
    </w:tblStylePr>
    <w:tblStylePr w:type="lastCol">
      <w:rPr>
        <w:b/>
        <w:bCs/>
      </w:rPr>
    </w:tblStylePr>
    <w:tblStylePr w:type="band1Vert">
      <w:tblPr/>
      <w:tcPr>
        <w:shd w:val="clear" w:color="auto" w:fill="ECDAE6" w:themeFill="accent2" w:themeFillTint="33"/>
      </w:tcPr>
    </w:tblStylePr>
    <w:tblStylePr w:type="band1Horz">
      <w:tblPr/>
      <w:tcPr>
        <w:shd w:val="clear" w:color="auto" w:fill="ECDAE6" w:themeFill="accent2" w:themeFillTint="33"/>
      </w:tcPr>
    </w:tblStylePr>
  </w:style>
  <w:style w:type="table" w:styleId="GridTable4-Accent3">
    <w:name w:val="Grid Table 4 Accent 3"/>
    <w:basedOn w:val="TableNormal"/>
    <w:uiPriority w:val="49"/>
    <w:rsid w:val="009637A8"/>
    <w:pPr>
      <w:spacing w:after="0" w:line="240" w:lineRule="auto"/>
    </w:pPr>
    <w:tblPr>
      <w:tblStyleRowBandSize w:val="1"/>
      <w:tblStyleColBandSize w:val="1"/>
      <w:tblBorders>
        <w:top w:val="single" w:sz="4" w:space="0" w:color="65C6BF" w:themeColor="accent3" w:themeTint="99"/>
        <w:left w:val="single" w:sz="4" w:space="0" w:color="65C6BF" w:themeColor="accent3" w:themeTint="99"/>
        <w:bottom w:val="single" w:sz="4" w:space="0" w:color="65C6BF" w:themeColor="accent3" w:themeTint="99"/>
        <w:right w:val="single" w:sz="4" w:space="0" w:color="65C6BF" w:themeColor="accent3" w:themeTint="99"/>
        <w:insideH w:val="single" w:sz="4" w:space="0" w:color="65C6BF" w:themeColor="accent3" w:themeTint="99"/>
        <w:insideV w:val="single" w:sz="4" w:space="0" w:color="65C6BF" w:themeColor="accent3" w:themeTint="99"/>
      </w:tblBorders>
    </w:tblPr>
    <w:tblStylePr w:type="firstRow">
      <w:rPr>
        <w:b/>
        <w:bCs/>
        <w:color w:val="FFFFFF" w:themeColor="background1"/>
      </w:rPr>
      <w:tblPr/>
      <w:tcPr>
        <w:tcBorders>
          <w:top w:val="single" w:sz="4" w:space="0" w:color="2B746F" w:themeColor="accent3"/>
          <w:left w:val="single" w:sz="4" w:space="0" w:color="2B746F" w:themeColor="accent3"/>
          <w:bottom w:val="single" w:sz="4" w:space="0" w:color="2B746F" w:themeColor="accent3"/>
          <w:right w:val="single" w:sz="4" w:space="0" w:color="2B746F" w:themeColor="accent3"/>
          <w:insideH w:val="nil"/>
          <w:insideV w:val="nil"/>
        </w:tcBorders>
        <w:shd w:val="clear" w:color="auto" w:fill="2B746F" w:themeFill="accent3"/>
      </w:tcPr>
    </w:tblStylePr>
    <w:tblStylePr w:type="lastRow">
      <w:rPr>
        <w:b/>
        <w:bCs/>
      </w:rPr>
      <w:tblPr/>
      <w:tcPr>
        <w:tcBorders>
          <w:top w:val="double" w:sz="4" w:space="0" w:color="2B746F" w:themeColor="accent3"/>
        </w:tcBorders>
      </w:tcPr>
    </w:tblStylePr>
    <w:tblStylePr w:type="firstCol">
      <w:rPr>
        <w:b/>
        <w:bCs/>
      </w:rPr>
    </w:tblStylePr>
    <w:tblStylePr w:type="lastCol">
      <w:rPr>
        <w:b/>
        <w:bCs/>
      </w:rPr>
    </w:tblStylePr>
    <w:tblStylePr w:type="band1Vert">
      <w:tblPr/>
      <w:tcPr>
        <w:shd w:val="clear" w:color="auto" w:fill="CBECE9" w:themeFill="accent3" w:themeFillTint="33"/>
      </w:tcPr>
    </w:tblStylePr>
    <w:tblStylePr w:type="band1Horz">
      <w:tblPr/>
      <w:tcPr>
        <w:shd w:val="clear" w:color="auto" w:fill="CBECE9" w:themeFill="accent3" w:themeFillTint="33"/>
      </w:tcPr>
    </w:tblStylePr>
  </w:style>
  <w:style w:type="table" w:styleId="GridTable4-Accent4">
    <w:name w:val="Grid Table 4 Accent 4"/>
    <w:basedOn w:val="TableNormal"/>
    <w:uiPriority w:val="49"/>
    <w:rsid w:val="009637A8"/>
    <w:pPr>
      <w:spacing w:after="0" w:line="240" w:lineRule="auto"/>
    </w:pPr>
    <w:tblPr>
      <w:tblStyleRowBandSize w:val="1"/>
      <w:tblStyleColBandSize w:val="1"/>
      <w:tblBorders>
        <w:top w:val="single" w:sz="4" w:space="0" w:color="C9E188" w:themeColor="accent4" w:themeTint="99"/>
        <w:left w:val="single" w:sz="4" w:space="0" w:color="C9E188" w:themeColor="accent4" w:themeTint="99"/>
        <w:bottom w:val="single" w:sz="4" w:space="0" w:color="C9E188" w:themeColor="accent4" w:themeTint="99"/>
        <w:right w:val="single" w:sz="4" w:space="0" w:color="C9E188" w:themeColor="accent4" w:themeTint="99"/>
        <w:insideH w:val="single" w:sz="4" w:space="0" w:color="C9E188" w:themeColor="accent4" w:themeTint="99"/>
        <w:insideV w:val="single" w:sz="4" w:space="0" w:color="C9E188" w:themeColor="accent4" w:themeTint="99"/>
      </w:tblBorders>
    </w:tblPr>
    <w:tblStylePr w:type="firstRow">
      <w:rPr>
        <w:b/>
        <w:bCs/>
        <w:color w:val="FFFFFF" w:themeColor="background1"/>
      </w:rPr>
      <w:tblPr/>
      <w:tcPr>
        <w:tcBorders>
          <w:top w:val="single" w:sz="4" w:space="0" w:color="A6CE39" w:themeColor="accent4"/>
          <w:left w:val="single" w:sz="4" w:space="0" w:color="A6CE39" w:themeColor="accent4"/>
          <w:bottom w:val="single" w:sz="4" w:space="0" w:color="A6CE39" w:themeColor="accent4"/>
          <w:right w:val="single" w:sz="4" w:space="0" w:color="A6CE39" w:themeColor="accent4"/>
          <w:insideH w:val="nil"/>
          <w:insideV w:val="nil"/>
        </w:tcBorders>
        <w:shd w:val="clear" w:color="auto" w:fill="A6CE39" w:themeFill="accent4"/>
      </w:tcPr>
    </w:tblStylePr>
    <w:tblStylePr w:type="lastRow">
      <w:rPr>
        <w:b/>
        <w:bCs/>
      </w:rPr>
      <w:tblPr/>
      <w:tcPr>
        <w:tcBorders>
          <w:top w:val="double" w:sz="4" w:space="0" w:color="A6CE39" w:themeColor="accent4"/>
        </w:tcBorders>
      </w:tcPr>
    </w:tblStylePr>
    <w:tblStylePr w:type="firstCol">
      <w:rPr>
        <w:b/>
        <w:bCs/>
      </w:rPr>
    </w:tblStylePr>
    <w:tblStylePr w:type="lastCol">
      <w:rPr>
        <w:b/>
        <w:bCs/>
      </w:rPr>
    </w:tblStylePr>
    <w:tblStylePr w:type="band1Vert">
      <w:tblPr/>
      <w:tcPr>
        <w:shd w:val="clear" w:color="auto" w:fill="EDF5D7" w:themeFill="accent4" w:themeFillTint="33"/>
      </w:tcPr>
    </w:tblStylePr>
    <w:tblStylePr w:type="band1Horz">
      <w:tblPr/>
      <w:tcPr>
        <w:shd w:val="clear" w:color="auto" w:fill="EDF5D7" w:themeFill="accent4" w:themeFillTint="33"/>
      </w:tcPr>
    </w:tblStylePr>
  </w:style>
  <w:style w:type="table" w:styleId="GridTable4-Accent5">
    <w:name w:val="Grid Table 4 Accent 5"/>
    <w:basedOn w:val="TableNormal"/>
    <w:uiPriority w:val="49"/>
    <w:rsid w:val="009637A8"/>
    <w:pPr>
      <w:spacing w:after="0" w:line="240" w:lineRule="auto"/>
    </w:pPr>
    <w:tblPr>
      <w:tblStyleRowBandSize w:val="1"/>
      <w:tblStyleColBandSize w:val="1"/>
      <w:tblBorders>
        <w:top w:val="single" w:sz="4" w:space="0" w:color="479FE9" w:themeColor="accent5" w:themeTint="99"/>
        <w:left w:val="single" w:sz="4" w:space="0" w:color="479FE9" w:themeColor="accent5" w:themeTint="99"/>
        <w:bottom w:val="single" w:sz="4" w:space="0" w:color="479FE9" w:themeColor="accent5" w:themeTint="99"/>
        <w:right w:val="single" w:sz="4" w:space="0" w:color="479FE9" w:themeColor="accent5" w:themeTint="99"/>
        <w:insideH w:val="single" w:sz="4" w:space="0" w:color="479FE9" w:themeColor="accent5" w:themeTint="99"/>
        <w:insideV w:val="single" w:sz="4" w:space="0" w:color="479FE9" w:themeColor="accent5" w:themeTint="99"/>
      </w:tblBorders>
    </w:tblPr>
    <w:tblStylePr w:type="firstRow">
      <w:rPr>
        <w:b/>
        <w:bCs/>
        <w:color w:val="FFFFFF" w:themeColor="background1"/>
      </w:rPr>
      <w:tblPr/>
      <w:tcPr>
        <w:tcBorders>
          <w:top w:val="single" w:sz="4" w:space="0" w:color="125A96" w:themeColor="accent5"/>
          <w:left w:val="single" w:sz="4" w:space="0" w:color="125A96" w:themeColor="accent5"/>
          <w:bottom w:val="single" w:sz="4" w:space="0" w:color="125A96" w:themeColor="accent5"/>
          <w:right w:val="single" w:sz="4" w:space="0" w:color="125A96" w:themeColor="accent5"/>
          <w:insideH w:val="nil"/>
          <w:insideV w:val="nil"/>
        </w:tcBorders>
        <w:shd w:val="clear" w:color="auto" w:fill="125A96" w:themeFill="accent5"/>
      </w:tcPr>
    </w:tblStylePr>
    <w:tblStylePr w:type="lastRow">
      <w:rPr>
        <w:b/>
        <w:bCs/>
      </w:rPr>
      <w:tblPr/>
      <w:tcPr>
        <w:tcBorders>
          <w:top w:val="double" w:sz="4" w:space="0" w:color="125A96" w:themeColor="accent5"/>
        </w:tcBorders>
      </w:tcPr>
    </w:tblStylePr>
    <w:tblStylePr w:type="firstCol">
      <w:rPr>
        <w:b/>
        <w:bCs/>
      </w:rPr>
    </w:tblStylePr>
    <w:tblStylePr w:type="lastCol">
      <w:rPr>
        <w:b/>
        <w:bCs/>
      </w:rPr>
    </w:tblStylePr>
    <w:tblStylePr w:type="band1Vert">
      <w:tblPr/>
      <w:tcPr>
        <w:shd w:val="clear" w:color="auto" w:fill="C1DFF7" w:themeFill="accent5" w:themeFillTint="33"/>
      </w:tcPr>
    </w:tblStylePr>
    <w:tblStylePr w:type="band1Horz">
      <w:tblPr/>
      <w:tcPr>
        <w:shd w:val="clear" w:color="auto" w:fill="C1DFF7" w:themeFill="accent5" w:themeFillTint="33"/>
      </w:tcPr>
    </w:tblStylePr>
  </w:style>
  <w:style w:type="table" w:styleId="GridTable4-Accent6">
    <w:name w:val="Grid Table 4 Accent 6"/>
    <w:basedOn w:val="TableNormal"/>
    <w:uiPriority w:val="49"/>
    <w:rsid w:val="009637A8"/>
    <w:pPr>
      <w:spacing w:after="0" w:line="240" w:lineRule="auto"/>
    </w:pPr>
    <w:tblPr>
      <w:tblStyleRowBandSize w:val="1"/>
      <w:tblStyleColBandSize w:val="1"/>
      <w:tblBorders>
        <w:top w:val="single" w:sz="4" w:space="0" w:color="2C40FF" w:themeColor="accent6" w:themeTint="99"/>
        <w:left w:val="single" w:sz="4" w:space="0" w:color="2C40FF" w:themeColor="accent6" w:themeTint="99"/>
        <w:bottom w:val="single" w:sz="4" w:space="0" w:color="2C40FF" w:themeColor="accent6" w:themeTint="99"/>
        <w:right w:val="single" w:sz="4" w:space="0" w:color="2C40FF" w:themeColor="accent6" w:themeTint="99"/>
        <w:insideH w:val="single" w:sz="4" w:space="0" w:color="2C40FF" w:themeColor="accent6" w:themeTint="99"/>
        <w:insideV w:val="single" w:sz="4" w:space="0" w:color="2C40FF" w:themeColor="accent6" w:themeTint="99"/>
      </w:tblBorders>
    </w:tblPr>
    <w:tblStylePr w:type="firstRow">
      <w:rPr>
        <w:b/>
        <w:bCs/>
        <w:color w:val="FFFFFF" w:themeColor="background1"/>
      </w:rPr>
      <w:tblPr/>
      <w:tcPr>
        <w:tcBorders>
          <w:top w:val="single" w:sz="4" w:space="0" w:color="000F9F" w:themeColor="accent6"/>
          <w:left w:val="single" w:sz="4" w:space="0" w:color="000F9F" w:themeColor="accent6"/>
          <w:bottom w:val="single" w:sz="4" w:space="0" w:color="000F9F" w:themeColor="accent6"/>
          <w:right w:val="single" w:sz="4" w:space="0" w:color="000F9F" w:themeColor="accent6"/>
          <w:insideH w:val="nil"/>
          <w:insideV w:val="nil"/>
        </w:tcBorders>
        <w:shd w:val="clear" w:color="auto" w:fill="000F9F" w:themeFill="accent6"/>
      </w:tcPr>
    </w:tblStylePr>
    <w:tblStylePr w:type="lastRow">
      <w:rPr>
        <w:b/>
        <w:bCs/>
      </w:rPr>
      <w:tblPr/>
      <w:tcPr>
        <w:tcBorders>
          <w:top w:val="double" w:sz="4" w:space="0" w:color="000F9F" w:themeColor="accent6"/>
        </w:tcBorders>
      </w:tcPr>
    </w:tblStylePr>
    <w:tblStylePr w:type="firstCol">
      <w:rPr>
        <w:b/>
        <w:bCs/>
      </w:rPr>
    </w:tblStylePr>
    <w:tblStylePr w:type="lastCol">
      <w:rPr>
        <w:b/>
        <w:bCs/>
      </w:rPr>
    </w:tblStylePr>
    <w:tblStylePr w:type="band1Vert">
      <w:tblPr/>
      <w:tcPr>
        <w:shd w:val="clear" w:color="auto" w:fill="B8BFFF" w:themeFill="accent6" w:themeFillTint="33"/>
      </w:tcPr>
    </w:tblStylePr>
    <w:tblStylePr w:type="band1Horz">
      <w:tblPr/>
      <w:tcPr>
        <w:shd w:val="clear" w:color="auto" w:fill="B8BFFF" w:themeFill="accent6" w:themeFillTint="33"/>
      </w:tcPr>
    </w:tblStylePr>
  </w:style>
  <w:style w:type="table" w:styleId="GridTable5Dark">
    <w:name w:val="Grid Table 5 Dark"/>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2A9" w:themeFill="accent1"/>
      </w:tcPr>
    </w:tblStylePr>
    <w:tblStylePr w:type="band1Vert">
      <w:tblPr/>
      <w:tcPr>
        <w:shd w:val="clear" w:color="auto" w:fill="B8E0DC" w:themeFill="accent1" w:themeFillTint="66"/>
      </w:tcPr>
    </w:tblStylePr>
    <w:tblStylePr w:type="band1Horz">
      <w:tblPr/>
      <w:tcPr>
        <w:shd w:val="clear" w:color="auto" w:fill="B8E0DC" w:themeFill="accent1" w:themeFillTint="66"/>
      </w:tcPr>
    </w:tblStylePr>
  </w:style>
  <w:style w:type="table" w:styleId="GridTable5Dark-Accent2">
    <w:name w:val="Grid Table 5 Dark Accent 2"/>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A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508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508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508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5083" w:themeFill="accent2"/>
      </w:tcPr>
    </w:tblStylePr>
    <w:tblStylePr w:type="band1Vert">
      <w:tblPr/>
      <w:tcPr>
        <w:shd w:val="clear" w:color="auto" w:fill="D9B6CE" w:themeFill="accent2" w:themeFillTint="66"/>
      </w:tcPr>
    </w:tblStylePr>
    <w:tblStylePr w:type="band1Horz">
      <w:tblPr/>
      <w:tcPr>
        <w:shd w:val="clear" w:color="auto" w:fill="D9B6CE" w:themeFill="accent2" w:themeFillTint="66"/>
      </w:tcPr>
    </w:tblStylePr>
  </w:style>
  <w:style w:type="table" w:styleId="GridTable5Dark-Accent3">
    <w:name w:val="Grid Table 5 Dark Accent 3"/>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ECE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74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74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74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746F" w:themeFill="accent3"/>
      </w:tcPr>
    </w:tblStylePr>
    <w:tblStylePr w:type="band1Vert">
      <w:tblPr/>
      <w:tcPr>
        <w:shd w:val="clear" w:color="auto" w:fill="98D9D4" w:themeFill="accent3" w:themeFillTint="66"/>
      </w:tcPr>
    </w:tblStylePr>
    <w:tblStylePr w:type="band1Horz">
      <w:tblPr/>
      <w:tcPr>
        <w:shd w:val="clear" w:color="auto" w:fill="98D9D4" w:themeFill="accent3" w:themeFillTint="66"/>
      </w:tcPr>
    </w:tblStylePr>
  </w:style>
  <w:style w:type="table" w:styleId="GridTable5Dark-Accent4">
    <w:name w:val="Grid Table 5 Dark Accent 4"/>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5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CE3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CE3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CE3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CE39" w:themeFill="accent4"/>
      </w:tcPr>
    </w:tblStylePr>
    <w:tblStylePr w:type="band1Vert">
      <w:tblPr/>
      <w:tcPr>
        <w:shd w:val="clear" w:color="auto" w:fill="DBEBAF" w:themeFill="accent4" w:themeFillTint="66"/>
      </w:tcPr>
    </w:tblStylePr>
    <w:tblStylePr w:type="band1Horz">
      <w:tblPr/>
      <w:tcPr>
        <w:shd w:val="clear" w:color="auto" w:fill="DBEBAF" w:themeFill="accent4" w:themeFillTint="66"/>
      </w:tcPr>
    </w:tblStylePr>
  </w:style>
  <w:style w:type="table" w:styleId="GridTable5Dark-Accent5">
    <w:name w:val="Grid Table 5 Dark Accent 5"/>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DFF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5A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5A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5A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5A96" w:themeFill="accent5"/>
      </w:tcPr>
    </w:tblStylePr>
    <w:tblStylePr w:type="band1Vert">
      <w:tblPr/>
      <w:tcPr>
        <w:shd w:val="clear" w:color="auto" w:fill="84BFF0" w:themeFill="accent5" w:themeFillTint="66"/>
      </w:tcPr>
    </w:tblStylePr>
    <w:tblStylePr w:type="band1Horz">
      <w:tblPr/>
      <w:tcPr>
        <w:shd w:val="clear" w:color="auto" w:fill="84BFF0" w:themeFill="accent5" w:themeFillTint="66"/>
      </w:tcPr>
    </w:tblStylePr>
  </w:style>
  <w:style w:type="table" w:styleId="GridTable5Dark-Accent6">
    <w:name w:val="Grid Table 5 Dark Accent 6"/>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B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9F" w:themeFill="accent6"/>
      </w:tcPr>
    </w:tblStylePr>
    <w:tblStylePr w:type="band1Vert">
      <w:tblPr/>
      <w:tcPr>
        <w:shd w:val="clear" w:color="auto" w:fill="727FFF" w:themeFill="accent6" w:themeFillTint="66"/>
      </w:tcPr>
    </w:tblStylePr>
    <w:tblStylePr w:type="band1Horz">
      <w:tblPr/>
      <w:tcPr>
        <w:shd w:val="clear" w:color="auto" w:fill="727FFF" w:themeFill="accent6" w:themeFillTint="66"/>
      </w:tcPr>
    </w:tblStylePr>
  </w:style>
  <w:style w:type="table" w:styleId="GridTable6Colorful">
    <w:name w:val="Grid Table 6 Colorful"/>
    <w:basedOn w:val="TableNormal"/>
    <w:uiPriority w:val="51"/>
    <w:rsid w:val="009637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637A8"/>
    <w:pPr>
      <w:spacing w:after="0" w:line="240" w:lineRule="auto"/>
    </w:pPr>
    <w:rPr>
      <w:color w:val="3A857E" w:themeColor="accent1" w:themeShade="BF"/>
    </w:rPr>
    <w:tblPr>
      <w:tblStyleRowBandSize w:val="1"/>
      <w:tblStyleColBandSize w:val="1"/>
      <w:tblBorders>
        <w:top w:val="single" w:sz="4" w:space="0" w:color="94D0CB" w:themeColor="accent1" w:themeTint="99"/>
        <w:left w:val="single" w:sz="4" w:space="0" w:color="94D0CB" w:themeColor="accent1" w:themeTint="99"/>
        <w:bottom w:val="single" w:sz="4" w:space="0" w:color="94D0CB" w:themeColor="accent1" w:themeTint="99"/>
        <w:right w:val="single" w:sz="4" w:space="0" w:color="94D0CB" w:themeColor="accent1" w:themeTint="99"/>
        <w:insideH w:val="single" w:sz="4" w:space="0" w:color="94D0CB" w:themeColor="accent1" w:themeTint="99"/>
        <w:insideV w:val="single" w:sz="4" w:space="0" w:color="94D0CB" w:themeColor="accent1" w:themeTint="99"/>
      </w:tblBorders>
    </w:tblPr>
    <w:tblStylePr w:type="firstRow">
      <w:rPr>
        <w:b/>
        <w:bCs/>
      </w:rPr>
      <w:tblPr/>
      <w:tcPr>
        <w:tcBorders>
          <w:bottom w:val="single" w:sz="12" w:space="0" w:color="94D0CB" w:themeColor="accent1" w:themeTint="99"/>
        </w:tcBorders>
      </w:tcPr>
    </w:tblStylePr>
    <w:tblStylePr w:type="lastRow">
      <w:rPr>
        <w:b/>
        <w:bCs/>
      </w:rPr>
      <w:tblPr/>
      <w:tcPr>
        <w:tcBorders>
          <w:top w:val="double" w:sz="4" w:space="0" w:color="94D0CB" w:themeColor="accent1" w:themeTint="99"/>
        </w:tcBorders>
      </w:tcPr>
    </w:tblStylePr>
    <w:tblStylePr w:type="firstCol">
      <w:rPr>
        <w:b/>
        <w:bCs/>
      </w:rPr>
    </w:tblStylePr>
    <w:tblStylePr w:type="lastCol">
      <w:rPr>
        <w:b/>
        <w:bCs/>
      </w:rPr>
    </w:tblStylePr>
    <w:tblStylePr w:type="band1Vert">
      <w:tblPr/>
      <w:tcPr>
        <w:shd w:val="clear" w:color="auto" w:fill="DBEFED" w:themeFill="accent1" w:themeFillTint="33"/>
      </w:tcPr>
    </w:tblStylePr>
    <w:tblStylePr w:type="band1Horz">
      <w:tblPr/>
      <w:tcPr>
        <w:shd w:val="clear" w:color="auto" w:fill="DBEFED" w:themeFill="accent1" w:themeFillTint="33"/>
      </w:tcPr>
    </w:tblStylePr>
  </w:style>
  <w:style w:type="table" w:styleId="GridTable6Colorful-Accent2">
    <w:name w:val="Grid Table 6 Colorful Accent 2"/>
    <w:basedOn w:val="TableNormal"/>
    <w:uiPriority w:val="51"/>
    <w:rsid w:val="009637A8"/>
    <w:pPr>
      <w:spacing w:after="0" w:line="240" w:lineRule="auto"/>
    </w:pPr>
    <w:rPr>
      <w:color w:val="743C62" w:themeColor="accent2" w:themeShade="BF"/>
    </w:rPr>
    <w:tblPr>
      <w:tblStyleRowBandSize w:val="1"/>
      <w:tblStyleColBandSize w:val="1"/>
      <w:tblBorders>
        <w:top w:val="single" w:sz="4" w:space="0" w:color="C792B5" w:themeColor="accent2" w:themeTint="99"/>
        <w:left w:val="single" w:sz="4" w:space="0" w:color="C792B5" w:themeColor="accent2" w:themeTint="99"/>
        <w:bottom w:val="single" w:sz="4" w:space="0" w:color="C792B5" w:themeColor="accent2" w:themeTint="99"/>
        <w:right w:val="single" w:sz="4" w:space="0" w:color="C792B5" w:themeColor="accent2" w:themeTint="99"/>
        <w:insideH w:val="single" w:sz="4" w:space="0" w:color="C792B5" w:themeColor="accent2" w:themeTint="99"/>
        <w:insideV w:val="single" w:sz="4" w:space="0" w:color="C792B5" w:themeColor="accent2" w:themeTint="99"/>
      </w:tblBorders>
    </w:tblPr>
    <w:tblStylePr w:type="firstRow">
      <w:rPr>
        <w:b/>
        <w:bCs/>
      </w:rPr>
      <w:tblPr/>
      <w:tcPr>
        <w:tcBorders>
          <w:bottom w:val="single" w:sz="12" w:space="0" w:color="C792B5" w:themeColor="accent2" w:themeTint="99"/>
        </w:tcBorders>
      </w:tcPr>
    </w:tblStylePr>
    <w:tblStylePr w:type="lastRow">
      <w:rPr>
        <w:b/>
        <w:bCs/>
      </w:rPr>
      <w:tblPr/>
      <w:tcPr>
        <w:tcBorders>
          <w:top w:val="double" w:sz="4" w:space="0" w:color="C792B5" w:themeColor="accent2" w:themeTint="99"/>
        </w:tcBorders>
      </w:tcPr>
    </w:tblStylePr>
    <w:tblStylePr w:type="firstCol">
      <w:rPr>
        <w:b/>
        <w:bCs/>
      </w:rPr>
    </w:tblStylePr>
    <w:tblStylePr w:type="lastCol">
      <w:rPr>
        <w:b/>
        <w:bCs/>
      </w:rPr>
    </w:tblStylePr>
    <w:tblStylePr w:type="band1Vert">
      <w:tblPr/>
      <w:tcPr>
        <w:shd w:val="clear" w:color="auto" w:fill="ECDAE6" w:themeFill="accent2" w:themeFillTint="33"/>
      </w:tcPr>
    </w:tblStylePr>
    <w:tblStylePr w:type="band1Horz">
      <w:tblPr/>
      <w:tcPr>
        <w:shd w:val="clear" w:color="auto" w:fill="ECDAE6" w:themeFill="accent2" w:themeFillTint="33"/>
      </w:tcPr>
    </w:tblStylePr>
  </w:style>
  <w:style w:type="table" w:styleId="GridTable6Colorful-Accent3">
    <w:name w:val="Grid Table 6 Colorful Accent 3"/>
    <w:basedOn w:val="TableNormal"/>
    <w:uiPriority w:val="51"/>
    <w:rsid w:val="009637A8"/>
    <w:pPr>
      <w:spacing w:after="0" w:line="240" w:lineRule="auto"/>
    </w:pPr>
    <w:rPr>
      <w:color w:val="205652" w:themeColor="accent3" w:themeShade="BF"/>
    </w:rPr>
    <w:tblPr>
      <w:tblStyleRowBandSize w:val="1"/>
      <w:tblStyleColBandSize w:val="1"/>
      <w:tblBorders>
        <w:top w:val="single" w:sz="4" w:space="0" w:color="65C6BF" w:themeColor="accent3" w:themeTint="99"/>
        <w:left w:val="single" w:sz="4" w:space="0" w:color="65C6BF" w:themeColor="accent3" w:themeTint="99"/>
        <w:bottom w:val="single" w:sz="4" w:space="0" w:color="65C6BF" w:themeColor="accent3" w:themeTint="99"/>
        <w:right w:val="single" w:sz="4" w:space="0" w:color="65C6BF" w:themeColor="accent3" w:themeTint="99"/>
        <w:insideH w:val="single" w:sz="4" w:space="0" w:color="65C6BF" w:themeColor="accent3" w:themeTint="99"/>
        <w:insideV w:val="single" w:sz="4" w:space="0" w:color="65C6BF" w:themeColor="accent3" w:themeTint="99"/>
      </w:tblBorders>
    </w:tblPr>
    <w:tblStylePr w:type="firstRow">
      <w:rPr>
        <w:b/>
        <w:bCs/>
      </w:rPr>
      <w:tblPr/>
      <w:tcPr>
        <w:tcBorders>
          <w:bottom w:val="single" w:sz="12" w:space="0" w:color="65C6BF" w:themeColor="accent3" w:themeTint="99"/>
        </w:tcBorders>
      </w:tcPr>
    </w:tblStylePr>
    <w:tblStylePr w:type="lastRow">
      <w:rPr>
        <w:b/>
        <w:bCs/>
      </w:rPr>
      <w:tblPr/>
      <w:tcPr>
        <w:tcBorders>
          <w:top w:val="double" w:sz="4" w:space="0" w:color="65C6BF" w:themeColor="accent3" w:themeTint="99"/>
        </w:tcBorders>
      </w:tcPr>
    </w:tblStylePr>
    <w:tblStylePr w:type="firstCol">
      <w:rPr>
        <w:b/>
        <w:bCs/>
      </w:rPr>
    </w:tblStylePr>
    <w:tblStylePr w:type="lastCol">
      <w:rPr>
        <w:b/>
        <w:bCs/>
      </w:rPr>
    </w:tblStylePr>
    <w:tblStylePr w:type="band1Vert">
      <w:tblPr/>
      <w:tcPr>
        <w:shd w:val="clear" w:color="auto" w:fill="CBECE9" w:themeFill="accent3" w:themeFillTint="33"/>
      </w:tcPr>
    </w:tblStylePr>
    <w:tblStylePr w:type="band1Horz">
      <w:tblPr/>
      <w:tcPr>
        <w:shd w:val="clear" w:color="auto" w:fill="CBECE9" w:themeFill="accent3" w:themeFillTint="33"/>
      </w:tcPr>
    </w:tblStylePr>
  </w:style>
  <w:style w:type="table" w:styleId="GridTable6Colorful-Accent4">
    <w:name w:val="Grid Table 6 Colorful Accent 4"/>
    <w:basedOn w:val="TableNormal"/>
    <w:uiPriority w:val="51"/>
    <w:rsid w:val="009637A8"/>
    <w:pPr>
      <w:spacing w:after="0" w:line="240" w:lineRule="auto"/>
    </w:pPr>
    <w:rPr>
      <w:color w:val="7D9D27" w:themeColor="accent4" w:themeShade="BF"/>
    </w:rPr>
    <w:tblPr>
      <w:tblStyleRowBandSize w:val="1"/>
      <w:tblStyleColBandSize w:val="1"/>
      <w:tblBorders>
        <w:top w:val="single" w:sz="4" w:space="0" w:color="C9E188" w:themeColor="accent4" w:themeTint="99"/>
        <w:left w:val="single" w:sz="4" w:space="0" w:color="C9E188" w:themeColor="accent4" w:themeTint="99"/>
        <w:bottom w:val="single" w:sz="4" w:space="0" w:color="C9E188" w:themeColor="accent4" w:themeTint="99"/>
        <w:right w:val="single" w:sz="4" w:space="0" w:color="C9E188" w:themeColor="accent4" w:themeTint="99"/>
        <w:insideH w:val="single" w:sz="4" w:space="0" w:color="C9E188" w:themeColor="accent4" w:themeTint="99"/>
        <w:insideV w:val="single" w:sz="4" w:space="0" w:color="C9E188" w:themeColor="accent4" w:themeTint="99"/>
      </w:tblBorders>
    </w:tblPr>
    <w:tblStylePr w:type="firstRow">
      <w:rPr>
        <w:b/>
        <w:bCs/>
      </w:rPr>
      <w:tblPr/>
      <w:tcPr>
        <w:tcBorders>
          <w:bottom w:val="single" w:sz="12" w:space="0" w:color="C9E188" w:themeColor="accent4" w:themeTint="99"/>
        </w:tcBorders>
      </w:tcPr>
    </w:tblStylePr>
    <w:tblStylePr w:type="lastRow">
      <w:rPr>
        <w:b/>
        <w:bCs/>
      </w:rPr>
      <w:tblPr/>
      <w:tcPr>
        <w:tcBorders>
          <w:top w:val="double" w:sz="4" w:space="0" w:color="C9E188" w:themeColor="accent4" w:themeTint="99"/>
        </w:tcBorders>
      </w:tcPr>
    </w:tblStylePr>
    <w:tblStylePr w:type="firstCol">
      <w:rPr>
        <w:b/>
        <w:bCs/>
      </w:rPr>
    </w:tblStylePr>
    <w:tblStylePr w:type="lastCol">
      <w:rPr>
        <w:b/>
        <w:bCs/>
      </w:rPr>
    </w:tblStylePr>
    <w:tblStylePr w:type="band1Vert">
      <w:tblPr/>
      <w:tcPr>
        <w:shd w:val="clear" w:color="auto" w:fill="EDF5D7" w:themeFill="accent4" w:themeFillTint="33"/>
      </w:tcPr>
    </w:tblStylePr>
    <w:tblStylePr w:type="band1Horz">
      <w:tblPr/>
      <w:tcPr>
        <w:shd w:val="clear" w:color="auto" w:fill="EDF5D7" w:themeFill="accent4" w:themeFillTint="33"/>
      </w:tcPr>
    </w:tblStylePr>
  </w:style>
  <w:style w:type="table" w:styleId="GridTable6Colorful-Accent5">
    <w:name w:val="Grid Table 6 Colorful Accent 5"/>
    <w:basedOn w:val="TableNormal"/>
    <w:uiPriority w:val="51"/>
    <w:rsid w:val="009637A8"/>
    <w:pPr>
      <w:spacing w:after="0" w:line="240" w:lineRule="auto"/>
    </w:pPr>
    <w:rPr>
      <w:color w:val="0D4370" w:themeColor="accent5" w:themeShade="BF"/>
    </w:rPr>
    <w:tblPr>
      <w:tblStyleRowBandSize w:val="1"/>
      <w:tblStyleColBandSize w:val="1"/>
      <w:tblBorders>
        <w:top w:val="single" w:sz="4" w:space="0" w:color="479FE9" w:themeColor="accent5" w:themeTint="99"/>
        <w:left w:val="single" w:sz="4" w:space="0" w:color="479FE9" w:themeColor="accent5" w:themeTint="99"/>
        <w:bottom w:val="single" w:sz="4" w:space="0" w:color="479FE9" w:themeColor="accent5" w:themeTint="99"/>
        <w:right w:val="single" w:sz="4" w:space="0" w:color="479FE9" w:themeColor="accent5" w:themeTint="99"/>
        <w:insideH w:val="single" w:sz="4" w:space="0" w:color="479FE9" w:themeColor="accent5" w:themeTint="99"/>
        <w:insideV w:val="single" w:sz="4" w:space="0" w:color="479FE9" w:themeColor="accent5" w:themeTint="99"/>
      </w:tblBorders>
    </w:tblPr>
    <w:tblStylePr w:type="firstRow">
      <w:rPr>
        <w:b/>
        <w:bCs/>
      </w:rPr>
      <w:tblPr/>
      <w:tcPr>
        <w:tcBorders>
          <w:bottom w:val="single" w:sz="12" w:space="0" w:color="479FE9" w:themeColor="accent5" w:themeTint="99"/>
        </w:tcBorders>
      </w:tcPr>
    </w:tblStylePr>
    <w:tblStylePr w:type="lastRow">
      <w:rPr>
        <w:b/>
        <w:bCs/>
      </w:rPr>
      <w:tblPr/>
      <w:tcPr>
        <w:tcBorders>
          <w:top w:val="double" w:sz="4" w:space="0" w:color="479FE9" w:themeColor="accent5" w:themeTint="99"/>
        </w:tcBorders>
      </w:tcPr>
    </w:tblStylePr>
    <w:tblStylePr w:type="firstCol">
      <w:rPr>
        <w:b/>
        <w:bCs/>
      </w:rPr>
    </w:tblStylePr>
    <w:tblStylePr w:type="lastCol">
      <w:rPr>
        <w:b/>
        <w:bCs/>
      </w:rPr>
    </w:tblStylePr>
    <w:tblStylePr w:type="band1Vert">
      <w:tblPr/>
      <w:tcPr>
        <w:shd w:val="clear" w:color="auto" w:fill="C1DFF7" w:themeFill="accent5" w:themeFillTint="33"/>
      </w:tcPr>
    </w:tblStylePr>
    <w:tblStylePr w:type="band1Horz">
      <w:tblPr/>
      <w:tcPr>
        <w:shd w:val="clear" w:color="auto" w:fill="C1DFF7" w:themeFill="accent5" w:themeFillTint="33"/>
      </w:tcPr>
    </w:tblStylePr>
  </w:style>
  <w:style w:type="table" w:styleId="GridTable6Colorful-Accent6">
    <w:name w:val="Grid Table 6 Colorful Accent 6"/>
    <w:basedOn w:val="TableNormal"/>
    <w:uiPriority w:val="51"/>
    <w:rsid w:val="009637A8"/>
    <w:pPr>
      <w:spacing w:after="0" w:line="240" w:lineRule="auto"/>
    </w:pPr>
    <w:rPr>
      <w:color w:val="000B77" w:themeColor="accent6" w:themeShade="BF"/>
    </w:rPr>
    <w:tblPr>
      <w:tblStyleRowBandSize w:val="1"/>
      <w:tblStyleColBandSize w:val="1"/>
      <w:tblBorders>
        <w:top w:val="single" w:sz="4" w:space="0" w:color="2C40FF" w:themeColor="accent6" w:themeTint="99"/>
        <w:left w:val="single" w:sz="4" w:space="0" w:color="2C40FF" w:themeColor="accent6" w:themeTint="99"/>
        <w:bottom w:val="single" w:sz="4" w:space="0" w:color="2C40FF" w:themeColor="accent6" w:themeTint="99"/>
        <w:right w:val="single" w:sz="4" w:space="0" w:color="2C40FF" w:themeColor="accent6" w:themeTint="99"/>
        <w:insideH w:val="single" w:sz="4" w:space="0" w:color="2C40FF" w:themeColor="accent6" w:themeTint="99"/>
        <w:insideV w:val="single" w:sz="4" w:space="0" w:color="2C40FF" w:themeColor="accent6" w:themeTint="99"/>
      </w:tblBorders>
    </w:tblPr>
    <w:tblStylePr w:type="firstRow">
      <w:rPr>
        <w:b/>
        <w:bCs/>
      </w:rPr>
      <w:tblPr/>
      <w:tcPr>
        <w:tcBorders>
          <w:bottom w:val="single" w:sz="12" w:space="0" w:color="2C40FF" w:themeColor="accent6" w:themeTint="99"/>
        </w:tcBorders>
      </w:tcPr>
    </w:tblStylePr>
    <w:tblStylePr w:type="lastRow">
      <w:rPr>
        <w:b/>
        <w:bCs/>
      </w:rPr>
      <w:tblPr/>
      <w:tcPr>
        <w:tcBorders>
          <w:top w:val="double" w:sz="4" w:space="0" w:color="2C40FF" w:themeColor="accent6" w:themeTint="99"/>
        </w:tcBorders>
      </w:tcPr>
    </w:tblStylePr>
    <w:tblStylePr w:type="firstCol">
      <w:rPr>
        <w:b/>
        <w:bCs/>
      </w:rPr>
    </w:tblStylePr>
    <w:tblStylePr w:type="lastCol">
      <w:rPr>
        <w:b/>
        <w:bCs/>
      </w:rPr>
    </w:tblStylePr>
    <w:tblStylePr w:type="band1Vert">
      <w:tblPr/>
      <w:tcPr>
        <w:shd w:val="clear" w:color="auto" w:fill="B8BFFF" w:themeFill="accent6" w:themeFillTint="33"/>
      </w:tcPr>
    </w:tblStylePr>
    <w:tblStylePr w:type="band1Horz">
      <w:tblPr/>
      <w:tcPr>
        <w:shd w:val="clear" w:color="auto" w:fill="B8BFFF" w:themeFill="accent6" w:themeFillTint="33"/>
      </w:tcPr>
    </w:tblStylePr>
  </w:style>
  <w:style w:type="table" w:styleId="GridTable7Colorful">
    <w:name w:val="Grid Table 7 Colorful"/>
    <w:basedOn w:val="TableNormal"/>
    <w:uiPriority w:val="52"/>
    <w:rsid w:val="009637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637A8"/>
    <w:pPr>
      <w:spacing w:after="0" w:line="240" w:lineRule="auto"/>
    </w:pPr>
    <w:rPr>
      <w:color w:val="3A857E" w:themeColor="accent1" w:themeShade="BF"/>
    </w:rPr>
    <w:tblPr>
      <w:tblStyleRowBandSize w:val="1"/>
      <w:tblStyleColBandSize w:val="1"/>
      <w:tblBorders>
        <w:top w:val="single" w:sz="4" w:space="0" w:color="94D0CB" w:themeColor="accent1" w:themeTint="99"/>
        <w:left w:val="single" w:sz="4" w:space="0" w:color="94D0CB" w:themeColor="accent1" w:themeTint="99"/>
        <w:bottom w:val="single" w:sz="4" w:space="0" w:color="94D0CB" w:themeColor="accent1" w:themeTint="99"/>
        <w:right w:val="single" w:sz="4" w:space="0" w:color="94D0CB" w:themeColor="accent1" w:themeTint="99"/>
        <w:insideH w:val="single" w:sz="4" w:space="0" w:color="94D0CB" w:themeColor="accent1" w:themeTint="99"/>
        <w:insideV w:val="single" w:sz="4" w:space="0" w:color="94D0C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ED" w:themeFill="accent1" w:themeFillTint="33"/>
      </w:tcPr>
    </w:tblStylePr>
    <w:tblStylePr w:type="band1Horz">
      <w:tblPr/>
      <w:tcPr>
        <w:shd w:val="clear" w:color="auto" w:fill="DBEFED" w:themeFill="accent1" w:themeFillTint="33"/>
      </w:tcPr>
    </w:tblStylePr>
    <w:tblStylePr w:type="neCell">
      <w:tblPr/>
      <w:tcPr>
        <w:tcBorders>
          <w:bottom w:val="single" w:sz="4" w:space="0" w:color="94D0CB" w:themeColor="accent1" w:themeTint="99"/>
        </w:tcBorders>
      </w:tcPr>
    </w:tblStylePr>
    <w:tblStylePr w:type="nwCell">
      <w:tblPr/>
      <w:tcPr>
        <w:tcBorders>
          <w:bottom w:val="single" w:sz="4" w:space="0" w:color="94D0CB" w:themeColor="accent1" w:themeTint="99"/>
        </w:tcBorders>
      </w:tcPr>
    </w:tblStylePr>
    <w:tblStylePr w:type="seCell">
      <w:tblPr/>
      <w:tcPr>
        <w:tcBorders>
          <w:top w:val="single" w:sz="4" w:space="0" w:color="94D0CB" w:themeColor="accent1" w:themeTint="99"/>
        </w:tcBorders>
      </w:tcPr>
    </w:tblStylePr>
    <w:tblStylePr w:type="swCell">
      <w:tblPr/>
      <w:tcPr>
        <w:tcBorders>
          <w:top w:val="single" w:sz="4" w:space="0" w:color="94D0CB" w:themeColor="accent1" w:themeTint="99"/>
        </w:tcBorders>
      </w:tcPr>
    </w:tblStylePr>
  </w:style>
  <w:style w:type="table" w:styleId="GridTable7Colorful-Accent2">
    <w:name w:val="Grid Table 7 Colorful Accent 2"/>
    <w:basedOn w:val="TableNormal"/>
    <w:uiPriority w:val="52"/>
    <w:rsid w:val="009637A8"/>
    <w:pPr>
      <w:spacing w:after="0" w:line="240" w:lineRule="auto"/>
    </w:pPr>
    <w:rPr>
      <w:color w:val="743C62" w:themeColor="accent2" w:themeShade="BF"/>
    </w:rPr>
    <w:tblPr>
      <w:tblStyleRowBandSize w:val="1"/>
      <w:tblStyleColBandSize w:val="1"/>
      <w:tblBorders>
        <w:top w:val="single" w:sz="4" w:space="0" w:color="C792B5" w:themeColor="accent2" w:themeTint="99"/>
        <w:left w:val="single" w:sz="4" w:space="0" w:color="C792B5" w:themeColor="accent2" w:themeTint="99"/>
        <w:bottom w:val="single" w:sz="4" w:space="0" w:color="C792B5" w:themeColor="accent2" w:themeTint="99"/>
        <w:right w:val="single" w:sz="4" w:space="0" w:color="C792B5" w:themeColor="accent2" w:themeTint="99"/>
        <w:insideH w:val="single" w:sz="4" w:space="0" w:color="C792B5" w:themeColor="accent2" w:themeTint="99"/>
        <w:insideV w:val="single" w:sz="4" w:space="0" w:color="C792B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AE6" w:themeFill="accent2" w:themeFillTint="33"/>
      </w:tcPr>
    </w:tblStylePr>
    <w:tblStylePr w:type="band1Horz">
      <w:tblPr/>
      <w:tcPr>
        <w:shd w:val="clear" w:color="auto" w:fill="ECDAE6" w:themeFill="accent2" w:themeFillTint="33"/>
      </w:tcPr>
    </w:tblStylePr>
    <w:tblStylePr w:type="neCell">
      <w:tblPr/>
      <w:tcPr>
        <w:tcBorders>
          <w:bottom w:val="single" w:sz="4" w:space="0" w:color="C792B5" w:themeColor="accent2" w:themeTint="99"/>
        </w:tcBorders>
      </w:tcPr>
    </w:tblStylePr>
    <w:tblStylePr w:type="nwCell">
      <w:tblPr/>
      <w:tcPr>
        <w:tcBorders>
          <w:bottom w:val="single" w:sz="4" w:space="0" w:color="C792B5" w:themeColor="accent2" w:themeTint="99"/>
        </w:tcBorders>
      </w:tcPr>
    </w:tblStylePr>
    <w:tblStylePr w:type="seCell">
      <w:tblPr/>
      <w:tcPr>
        <w:tcBorders>
          <w:top w:val="single" w:sz="4" w:space="0" w:color="C792B5" w:themeColor="accent2" w:themeTint="99"/>
        </w:tcBorders>
      </w:tcPr>
    </w:tblStylePr>
    <w:tblStylePr w:type="swCell">
      <w:tblPr/>
      <w:tcPr>
        <w:tcBorders>
          <w:top w:val="single" w:sz="4" w:space="0" w:color="C792B5" w:themeColor="accent2" w:themeTint="99"/>
        </w:tcBorders>
      </w:tcPr>
    </w:tblStylePr>
  </w:style>
  <w:style w:type="table" w:styleId="GridTable7Colorful-Accent3">
    <w:name w:val="Grid Table 7 Colorful Accent 3"/>
    <w:basedOn w:val="TableNormal"/>
    <w:uiPriority w:val="52"/>
    <w:rsid w:val="009637A8"/>
    <w:pPr>
      <w:spacing w:after="0" w:line="240" w:lineRule="auto"/>
    </w:pPr>
    <w:rPr>
      <w:color w:val="205652" w:themeColor="accent3" w:themeShade="BF"/>
    </w:rPr>
    <w:tblPr>
      <w:tblStyleRowBandSize w:val="1"/>
      <w:tblStyleColBandSize w:val="1"/>
      <w:tblBorders>
        <w:top w:val="single" w:sz="4" w:space="0" w:color="65C6BF" w:themeColor="accent3" w:themeTint="99"/>
        <w:left w:val="single" w:sz="4" w:space="0" w:color="65C6BF" w:themeColor="accent3" w:themeTint="99"/>
        <w:bottom w:val="single" w:sz="4" w:space="0" w:color="65C6BF" w:themeColor="accent3" w:themeTint="99"/>
        <w:right w:val="single" w:sz="4" w:space="0" w:color="65C6BF" w:themeColor="accent3" w:themeTint="99"/>
        <w:insideH w:val="single" w:sz="4" w:space="0" w:color="65C6BF" w:themeColor="accent3" w:themeTint="99"/>
        <w:insideV w:val="single" w:sz="4" w:space="0" w:color="65C6B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CE9" w:themeFill="accent3" w:themeFillTint="33"/>
      </w:tcPr>
    </w:tblStylePr>
    <w:tblStylePr w:type="band1Horz">
      <w:tblPr/>
      <w:tcPr>
        <w:shd w:val="clear" w:color="auto" w:fill="CBECE9" w:themeFill="accent3" w:themeFillTint="33"/>
      </w:tcPr>
    </w:tblStylePr>
    <w:tblStylePr w:type="neCell">
      <w:tblPr/>
      <w:tcPr>
        <w:tcBorders>
          <w:bottom w:val="single" w:sz="4" w:space="0" w:color="65C6BF" w:themeColor="accent3" w:themeTint="99"/>
        </w:tcBorders>
      </w:tcPr>
    </w:tblStylePr>
    <w:tblStylePr w:type="nwCell">
      <w:tblPr/>
      <w:tcPr>
        <w:tcBorders>
          <w:bottom w:val="single" w:sz="4" w:space="0" w:color="65C6BF" w:themeColor="accent3" w:themeTint="99"/>
        </w:tcBorders>
      </w:tcPr>
    </w:tblStylePr>
    <w:tblStylePr w:type="seCell">
      <w:tblPr/>
      <w:tcPr>
        <w:tcBorders>
          <w:top w:val="single" w:sz="4" w:space="0" w:color="65C6BF" w:themeColor="accent3" w:themeTint="99"/>
        </w:tcBorders>
      </w:tcPr>
    </w:tblStylePr>
    <w:tblStylePr w:type="swCell">
      <w:tblPr/>
      <w:tcPr>
        <w:tcBorders>
          <w:top w:val="single" w:sz="4" w:space="0" w:color="65C6BF" w:themeColor="accent3" w:themeTint="99"/>
        </w:tcBorders>
      </w:tcPr>
    </w:tblStylePr>
  </w:style>
  <w:style w:type="table" w:styleId="GridTable7Colorful-Accent4">
    <w:name w:val="Grid Table 7 Colorful Accent 4"/>
    <w:basedOn w:val="TableNormal"/>
    <w:uiPriority w:val="52"/>
    <w:rsid w:val="009637A8"/>
    <w:pPr>
      <w:spacing w:after="0" w:line="240" w:lineRule="auto"/>
    </w:pPr>
    <w:rPr>
      <w:color w:val="7D9D27" w:themeColor="accent4" w:themeShade="BF"/>
    </w:rPr>
    <w:tblPr>
      <w:tblStyleRowBandSize w:val="1"/>
      <w:tblStyleColBandSize w:val="1"/>
      <w:tblBorders>
        <w:top w:val="single" w:sz="4" w:space="0" w:color="C9E188" w:themeColor="accent4" w:themeTint="99"/>
        <w:left w:val="single" w:sz="4" w:space="0" w:color="C9E188" w:themeColor="accent4" w:themeTint="99"/>
        <w:bottom w:val="single" w:sz="4" w:space="0" w:color="C9E188" w:themeColor="accent4" w:themeTint="99"/>
        <w:right w:val="single" w:sz="4" w:space="0" w:color="C9E188" w:themeColor="accent4" w:themeTint="99"/>
        <w:insideH w:val="single" w:sz="4" w:space="0" w:color="C9E188" w:themeColor="accent4" w:themeTint="99"/>
        <w:insideV w:val="single" w:sz="4" w:space="0" w:color="C9E18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D7" w:themeFill="accent4" w:themeFillTint="33"/>
      </w:tcPr>
    </w:tblStylePr>
    <w:tblStylePr w:type="band1Horz">
      <w:tblPr/>
      <w:tcPr>
        <w:shd w:val="clear" w:color="auto" w:fill="EDF5D7" w:themeFill="accent4" w:themeFillTint="33"/>
      </w:tcPr>
    </w:tblStylePr>
    <w:tblStylePr w:type="neCell">
      <w:tblPr/>
      <w:tcPr>
        <w:tcBorders>
          <w:bottom w:val="single" w:sz="4" w:space="0" w:color="C9E188" w:themeColor="accent4" w:themeTint="99"/>
        </w:tcBorders>
      </w:tcPr>
    </w:tblStylePr>
    <w:tblStylePr w:type="nwCell">
      <w:tblPr/>
      <w:tcPr>
        <w:tcBorders>
          <w:bottom w:val="single" w:sz="4" w:space="0" w:color="C9E188" w:themeColor="accent4" w:themeTint="99"/>
        </w:tcBorders>
      </w:tcPr>
    </w:tblStylePr>
    <w:tblStylePr w:type="seCell">
      <w:tblPr/>
      <w:tcPr>
        <w:tcBorders>
          <w:top w:val="single" w:sz="4" w:space="0" w:color="C9E188" w:themeColor="accent4" w:themeTint="99"/>
        </w:tcBorders>
      </w:tcPr>
    </w:tblStylePr>
    <w:tblStylePr w:type="swCell">
      <w:tblPr/>
      <w:tcPr>
        <w:tcBorders>
          <w:top w:val="single" w:sz="4" w:space="0" w:color="C9E188" w:themeColor="accent4" w:themeTint="99"/>
        </w:tcBorders>
      </w:tcPr>
    </w:tblStylePr>
  </w:style>
  <w:style w:type="table" w:styleId="GridTable7Colorful-Accent5">
    <w:name w:val="Grid Table 7 Colorful Accent 5"/>
    <w:basedOn w:val="TableNormal"/>
    <w:uiPriority w:val="52"/>
    <w:rsid w:val="009637A8"/>
    <w:pPr>
      <w:spacing w:after="0" w:line="240" w:lineRule="auto"/>
    </w:pPr>
    <w:rPr>
      <w:color w:val="0D4370" w:themeColor="accent5" w:themeShade="BF"/>
    </w:rPr>
    <w:tblPr>
      <w:tblStyleRowBandSize w:val="1"/>
      <w:tblStyleColBandSize w:val="1"/>
      <w:tblBorders>
        <w:top w:val="single" w:sz="4" w:space="0" w:color="479FE9" w:themeColor="accent5" w:themeTint="99"/>
        <w:left w:val="single" w:sz="4" w:space="0" w:color="479FE9" w:themeColor="accent5" w:themeTint="99"/>
        <w:bottom w:val="single" w:sz="4" w:space="0" w:color="479FE9" w:themeColor="accent5" w:themeTint="99"/>
        <w:right w:val="single" w:sz="4" w:space="0" w:color="479FE9" w:themeColor="accent5" w:themeTint="99"/>
        <w:insideH w:val="single" w:sz="4" w:space="0" w:color="479FE9" w:themeColor="accent5" w:themeTint="99"/>
        <w:insideV w:val="single" w:sz="4" w:space="0" w:color="479FE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DFF7" w:themeFill="accent5" w:themeFillTint="33"/>
      </w:tcPr>
    </w:tblStylePr>
    <w:tblStylePr w:type="band1Horz">
      <w:tblPr/>
      <w:tcPr>
        <w:shd w:val="clear" w:color="auto" w:fill="C1DFF7" w:themeFill="accent5" w:themeFillTint="33"/>
      </w:tcPr>
    </w:tblStylePr>
    <w:tblStylePr w:type="neCell">
      <w:tblPr/>
      <w:tcPr>
        <w:tcBorders>
          <w:bottom w:val="single" w:sz="4" w:space="0" w:color="479FE9" w:themeColor="accent5" w:themeTint="99"/>
        </w:tcBorders>
      </w:tcPr>
    </w:tblStylePr>
    <w:tblStylePr w:type="nwCell">
      <w:tblPr/>
      <w:tcPr>
        <w:tcBorders>
          <w:bottom w:val="single" w:sz="4" w:space="0" w:color="479FE9" w:themeColor="accent5" w:themeTint="99"/>
        </w:tcBorders>
      </w:tcPr>
    </w:tblStylePr>
    <w:tblStylePr w:type="seCell">
      <w:tblPr/>
      <w:tcPr>
        <w:tcBorders>
          <w:top w:val="single" w:sz="4" w:space="0" w:color="479FE9" w:themeColor="accent5" w:themeTint="99"/>
        </w:tcBorders>
      </w:tcPr>
    </w:tblStylePr>
    <w:tblStylePr w:type="swCell">
      <w:tblPr/>
      <w:tcPr>
        <w:tcBorders>
          <w:top w:val="single" w:sz="4" w:space="0" w:color="479FE9" w:themeColor="accent5" w:themeTint="99"/>
        </w:tcBorders>
      </w:tcPr>
    </w:tblStylePr>
  </w:style>
  <w:style w:type="table" w:styleId="GridTable7Colorful-Accent6">
    <w:name w:val="Grid Table 7 Colorful Accent 6"/>
    <w:basedOn w:val="TableNormal"/>
    <w:uiPriority w:val="52"/>
    <w:rsid w:val="009637A8"/>
    <w:pPr>
      <w:spacing w:after="0" w:line="240" w:lineRule="auto"/>
    </w:pPr>
    <w:rPr>
      <w:color w:val="000B77" w:themeColor="accent6" w:themeShade="BF"/>
    </w:rPr>
    <w:tblPr>
      <w:tblStyleRowBandSize w:val="1"/>
      <w:tblStyleColBandSize w:val="1"/>
      <w:tblBorders>
        <w:top w:val="single" w:sz="4" w:space="0" w:color="2C40FF" w:themeColor="accent6" w:themeTint="99"/>
        <w:left w:val="single" w:sz="4" w:space="0" w:color="2C40FF" w:themeColor="accent6" w:themeTint="99"/>
        <w:bottom w:val="single" w:sz="4" w:space="0" w:color="2C40FF" w:themeColor="accent6" w:themeTint="99"/>
        <w:right w:val="single" w:sz="4" w:space="0" w:color="2C40FF" w:themeColor="accent6" w:themeTint="99"/>
        <w:insideH w:val="single" w:sz="4" w:space="0" w:color="2C40FF" w:themeColor="accent6" w:themeTint="99"/>
        <w:insideV w:val="single" w:sz="4" w:space="0" w:color="2C40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BFFF" w:themeFill="accent6" w:themeFillTint="33"/>
      </w:tcPr>
    </w:tblStylePr>
    <w:tblStylePr w:type="band1Horz">
      <w:tblPr/>
      <w:tcPr>
        <w:shd w:val="clear" w:color="auto" w:fill="B8BFFF" w:themeFill="accent6" w:themeFillTint="33"/>
      </w:tcPr>
    </w:tblStylePr>
    <w:tblStylePr w:type="neCell">
      <w:tblPr/>
      <w:tcPr>
        <w:tcBorders>
          <w:bottom w:val="single" w:sz="4" w:space="0" w:color="2C40FF" w:themeColor="accent6" w:themeTint="99"/>
        </w:tcBorders>
      </w:tcPr>
    </w:tblStylePr>
    <w:tblStylePr w:type="nwCell">
      <w:tblPr/>
      <w:tcPr>
        <w:tcBorders>
          <w:bottom w:val="single" w:sz="4" w:space="0" w:color="2C40FF" w:themeColor="accent6" w:themeTint="99"/>
        </w:tcBorders>
      </w:tcPr>
    </w:tblStylePr>
    <w:tblStylePr w:type="seCell">
      <w:tblPr/>
      <w:tcPr>
        <w:tcBorders>
          <w:top w:val="single" w:sz="4" w:space="0" w:color="2C40FF" w:themeColor="accent6" w:themeTint="99"/>
        </w:tcBorders>
      </w:tcPr>
    </w:tblStylePr>
    <w:tblStylePr w:type="swCell">
      <w:tblPr/>
      <w:tcPr>
        <w:tcBorders>
          <w:top w:val="single" w:sz="4" w:space="0" w:color="2C40FF" w:themeColor="accent6" w:themeTint="99"/>
        </w:tcBorders>
      </w:tcPr>
    </w:tblStylePr>
  </w:style>
  <w:style w:type="character" w:styleId="Hashtag">
    <w:name w:val="Hashtag"/>
    <w:basedOn w:val="DefaultParagraphFont"/>
    <w:uiPriority w:val="99"/>
    <w:semiHidden/>
    <w:rsid w:val="009637A8"/>
    <w:rPr>
      <w:color w:val="2B579A"/>
      <w:shd w:val="clear" w:color="auto" w:fill="E1DFDD"/>
    </w:rPr>
  </w:style>
  <w:style w:type="paragraph" w:styleId="Header">
    <w:name w:val="header"/>
    <w:basedOn w:val="Normalnsp"/>
    <w:link w:val="HeaderChar"/>
    <w:uiPriority w:val="99"/>
    <w:semiHidden/>
    <w:rsid w:val="00E170C7"/>
    <w:pPr>
      <w:tabs>
        <w:tab w:val="center" w:pos="4513"/>
        <w:tab w:val="right" w:pos="9026"/>
      </w:tabs>
    </w:pPr>
    <w:rPr>
      <w:color w:val="000000"/>
      <w:sz w:val="12"/>
    </w:rPr>
  </w:style>
  <w:style w:type="character" w:customStyle="1" w:styleId="HeaderChar">
    <w:name w:val="Header Char"/>
    <w:basedOn w:val="DefaultParagraphFont"/>
    <w:link w:val="Header"/>
    <w:uiPriority w:val="99"/>
    <w:semiHidden/>
    <w:rsid w:val="00780614"/>
    <w:rPr>
      <w:rFonts w:ascii="Nunito Light" w:hAnsi="Nunito Light" w:cs="Arial"/>
      <w:bCs/>
      <w:color w:val="000000"/>
      <w:sz w:val="12"/>
    </w:rPr>
  </w:style>
  <w:style w:type="character" w:styleId="HTMLAcronym">
    <w:name w:val="HTML Acronym"/>
    <w:basedOn w:val="DefaultParagraphFont"/>
    <w:uiPriority w:val="99"/>
    <w:semiHidden/>
    <w:rsid w:val="009637A8"/>
  </w:style>
  <w:style w:type="paragraph" w:styleId="HTMLAddress">
    <w:name w:val="HTML Address"/>
    <w:basedOn w:val="Normal"/>
    <w:link w:val="HTMLAddressChar"/>
    <w:uiPriority w:val="99"/>
    <w:semiHidden/>
    <w:rsid w:val="009637A8"/>
    <w:pPr>
      <w:spacing w:after="0"/>
    </w:pPr>
    <w:rPr>
      <w:i/>
      <w:iCs/>
    </w:rPr>
  </w:style>
  <w:style w:type="character" w:customStyle="1" w:styleId="HTMLAddressChar">
    <w:name w:val="HTML Address Char"/>
    <w:basedOn w:val="DefaultParagraphFont"/>
    <w:link w:val="HTMLAddress"/>
    <w:uiPriority w:val="99"/>
    <w:semiHidden/>
    <w:rsid w:val="00AD3AE6"/>
    <w:rPr>
      <w:rFonts w:ascii="Arial" w:hAnsi="Arial" w:cs="Arial"/>
      <w:bCs/>
      <w:i/>
      <w:iCs/>
    </w:rPr>
  </w:style>
  <w:style w:type="character" w:styleId="HTMLCite">
    <w:name w:val="HTML Cite"/>
    <w:basedOn w:val="DefaultParagraphFont"/>
    <w:uiPriority w:val="99"/>
    <w:semiHidden/>
    <w:rsid w:val="009637A8"/>
    <w:rPr>
      <w:i/>
      <w:iCs/>
    </w:rPr>
  </w:style>
  <w:style w:type="character" w:styleId="HTMLCode">
    <w:name w:val="HTML Code"/>
    <w:basedOn w:val="DefaultParagraphFont"/>
    <w:uiPriority w:val="99"/>
    <w:semiHidden/>
    <w:rsid w:val="009637A8"/>
    <w:rPr>
      <w:rFonts w:ascii="Nunito Light" w:hAnsi="Nunito Light" w:cs="Arial"/>
      <w:sz w:val="20"/>
      <w:szCs w:val="20"/>
    </w:rPr>
  </w:style>
  <w:style w:type="character" w:styleId="HTMLDefinition">
    <w:name w:val="HTML Definition"/>
    <w:basedOn w:val="DefaultParagraphFont"/>
    <w:uiPriority w:val="99"/>
    <w:semiHidden/>
    <w:rsid w:val="009637A8"/>
    <w:rPr>
      <w:i/>
      <w:iCs/>
    </w:rPr>
  </w:style>
  <w:style w:type="character" w:styleId="HTMLKeyboard">
    <w:name w:val="HTML Keyboard"/>
    <w:basedOn w:val="DefaultParagraphFont"/>
    <w:uiPriority w:val="99"/>
    <w:semiHidden/>
    <w:rsid w:val="009637A8"/>
    <w:rPr>
      <w:rFonts w:ascii="Nunito Light" w:hAnsi="Nunito Light" w:cs="Arial"/>
      <w:sz w:val="20"/>
      <w:szCs w:val="20"/>
    </w:rPr>
  </w:style>
  <w:style w:type="paragraph" w:styleId="HTMLPreformatted">
    <w:name w:val="HTML Preformatted"/>
    <w:basedOn w:val="Normal"/>
    <w:link w:val="HTMLPreformattedChar"/>
    <w:uiPriority w:val="99"/>
    <w:semiHidden/>
    <w:rsid w:val="009637A8"/>
    <w:pPr>
      <w:spacing w:after="0"/>
    </w:pPr>
    <w:rPr>
      <w:szCs w:val="20"/>
    </w:rPr>
  </w:style>
  <w:style w:type="character" w:customStyle="1" w:styleId="HTMLPreformattedChar">
    <w:name w:val="HTML Preformatted Char"/>
    <w:basedOn w:val="DefaultParagraphFont"/>
    <w:link w:val="HTMLPreformatted"/>
    <w:uiPriority w:val="99"/>
    <w:semiHidden/>
    <w:rsid w:val="00AD3AE6"/>
    <w:rPr>
      <w:rFonts w:ascii="Arial" w:hAnsi="Arial" w:cs="Arial"/>
      <w:bCs/>
      <w:sz w:val="20"/>
      <w:szCs w:val="20"/>
    </w:rPr>
  </w:style>
  <w:style w:type="character" w:styleId="HTMLSample">
    <w:name w:val="HTML Sample"/>
    <w:basedOn w:val="DefaultParagraphFont"/>
    <w:uiPriority w:val="99"/>
    <w:semiHidden/>
    <w:rsid w:val="009637A8"/>
    <w:rPr>
      <w:rFonts w:ascii="Nunito Light" w:hAnsi="Nunito Light" w:cs="Arial"/>
      <w:sz w:val="24"/>
      <w:szCs w:val="24"/>
    </w:rPr>
  </w:style>
  <w:style w:type="character" w:styleId="HTMLTypewriter">
    <w:name w:val="HTML Typewriter"/>
    <w:basedOn w:val="DefaultParagraphFont"/>
    <w:uiPriority w:val="99"/>
    <w:semiHidden/>
    <w:rsid w:val="009637A8"/>
    <w:rPr>
      <w:rFonts w:ascii="Nunito Light" w:hAnsi="Nunito Light" w:cs="Arial"/>
      <w:sz w:val="20"/>
      <w:szCs w:val="20"/>
    </w:rPr>
  </w:style>
  <w:style w:type="character" w:styleId="HTMLVariable">
    <w:name w:val="HTML Variable"/>
    <w:basedOn w:val="DefaultParagraphFont"/>
    <w:uiPriority w:val="99"/>
    <w:semiHidden/>
    <w:rsid w:val="009637A8"/>
    <w:rPr>
      <w:i/>
      <w:iCs/>
    </w:rPr>
  </w:style>
  <w:style w:type="character" w:styleId="Hyperlink">
    <w:name w:val="Hyperlink"/>
    <w:basedOn w:val="DefaultParagraphFont"/>
    <w:uiPriority w:val="99"/>
    <w:rsid w:val="004A4844"/>
    <w:rPr>
      <w:color w:val="0564C1"/>
      <w:u w:val="single"/>
    </w:rPr>
  </w:style>
  <w:style w:type="paragraph" w:styleId="Index1">
    <w:name w:val="index 1"/>
    <w:basedOn w:val="Normal"/>
    <w:next w:val="Normal"/>
    <w:autoRedefine/>
    <w:uiPriority w:val="99"/>
    <w:semiHidden/>
    <w:rsid w:val="009637A8"/>
    <w:pPr>
      <w:spacing w:after="0"/>
      <w:ind w:left="220" w:hanging="220"/>
    </w:pPr>
  </w:style>
  <w:style w:type="paragraph" w:styleId="Index2">
    <w:name w:val="index 2"/>
    <w:basedOn w:val="Normal"/>
    <w:next w:val="Normal"/>
    <w:autoRedefine/>
    <w:uiPriority w:val="99"/>
    <w:semiHidden/>
    <w:rsid w:val="009637A8"/>
    <w:pPr>
      <w:spacing w:after="0"/>
      <w:ind w:left="440" w:hanging="220"/>
    </w:pPr>
  </w:style>
  <w:style w:type="paragraph" w:styleId="Index3">
    <w:name w:val="index 3"/>
    <w:basedOn w:val="Normal"/>
    <w:next w:val="Normal"/>
    <w:autoRedefine/>
    <w:uiPriority w:val="99"/>
    <w:semiHidden/>
    <w:rsid w:val="009637A8"/>
    <w:pPr>
      <w:spacing w:after="0"/>
      <w:ind w:left="660" w:hanging="220"/>
    </w:pPr>
  </w:style>
  <w:style w:type="paragraph" w:styleId="Index4">
    <w:name w:val="index 4"/>
    <w:basedOn w:val="Normal"/>
    <w:next w:val="Normal"/>
    <w:autoRedefine/>
    <w:uiPriority w:val="99"/>
    <w:semiHidden/>
    <w:rsid w:val="009637A8"/>
    <w:pPr>
      <w:spacing w:after="0"/>
      <w:ind w:left="880" w:hanging="220"/>
    </w:pPr>
  </w:style>
  <w:style w:type="paragraph" w:styleId="Index5">
    <w:name w:val="index 5"/>
    <w:basedOn w:val="Normal"/>
    <w:next w:val="Normal"/>
    <w:autoRedefine/>
    <w:uiPriority w:val="99"/>
    <w:semiHidden/>
    <w:rsid w:val="009637A8"/>
    <w:pPr>
      <w:spacing w:after="0"/>
      <w:ind w:left="1100" w:hanging="220"/>
    </w:pPr>
  </w:style>
  <w:style w:type="paragraph" w:styleId="Index6">
    <w:name w:val="index 6"/>
    <w:basedOn w:val="Normal"/>
    <w:next w:val="Normal"/>
    <w:autoRedefine/>
    <w:uiPriority w:val="99"/>
    <w:semiHidden/>
    <w:rsid w:val="009637A8"/>
    <w:pPr>
      <w:spacing w:after="0"/>
      <w:ind w:left="1320" w:hanging="220"/>
    </w:pPr>
  </w:style>
  <w:style w:type="paragraph" w:styleId="Index7">
    <w:name w:val="index 7"/>
    <w:basedOn w:val="Normal"/>
    <w:next w:val="Normal"/>
    <w:autoRedefine/>
    <w:uiPriority w:val="99"/>
    <w:semiHidden/>
    <w:rsid w:val="009637A8"/>
    <w:pPr>
      <w:spacing w:after="0"/>
      <w:ind w:left="1540" w:hanging="220"/>
    </w:pPr>
  </w:style>
  <w:style w:type="paragraph" w:styleId="Index8">
    <w:name w:val="index 8"/>
    <w:basedOn w:val="Normal"/>
    <w:next w:val="Normal"/>
    <w:autoRedefine/>
    <w:uiPriority w:val="99"/>
    <w:semiHidden/>
    <w:rsid w:val="009637A8"/>
    <w:pPr>
      <w:spacing w:after="0"/>
      <w:ind w:left="1760" w:hanging="220"/>
    </w:pPr>
  </w:style>
  <w:style w:type="paragraph" w:styleId="Index9">
    <w:name w:val="index 9"/>
    <w:basedOn w:val="Normal"/>
    <w:next w:val="Normal"/>
    <w:autoRedefine/>
    <w:uiPriority w:val="99"/>
    <w:semiHidden/>
    <w:rsid w:val="009637A8"/>
    <w:pPr>
      <w:spacing w:after="0"/>
      <w:ind w:left="1980" w:hanging="220"/>
    </w:pPr>
  </w:style>
  <w:style w:type="paragraph" w:styleId="IndexHeading">
    <w:name w:val="index heading"/>
    <w:basedOn w:val="Normal"/>
    <w:next w:val="Index1"/>
    <w:uiPriority w:val="99"/>
    <w:semiHidden/>
    <w:rsid w:val="009637A8"/>
    <w:pPr>
      <w:spacing w:after="160" w:line="259" w:lineRule="auto"/>
    </w:pPr>
    <w:rPr>
      <w:rFonts w:eastAsiaTheme="majorEastAsia"/>
      <w:b/>
      <w:bCs w:val="0"/>
    </w:rPr>
  </w:style>
  <w:style w:type="character" w:styleId="IntenseEmphasis">
    <w:name w:val="Intense Emphasis"/>
    <w:basedOn w:val="DefaultParagraphFont"/>
    <w:uiPriority w:val="21"/>
    <w:semiHidden/>
    <w:qFormat/>
    <w:rsid w:val="009637A8"/>
    <w:rPr>
      <w:i/>
      <w:iCs/>
      <w:color w:val="4EB2A9" w:themeColor="accent1"/>
    </w:rPr>
  </w:style>
  <w:style w:type="paragraph" w:styleId="IntenseQuote">
    <w:name w:val="Intense Quote"/>
    <w:basedOn w:val="Normal"/>
    <w:next w:val="Normal"/>
    <w:link w:val="IntenseQuoteChar"/>
    <w:uiPriority w:val="30"/>
    <w:semiHidden/>
    <w:qFormat/>
    <w:rsid w:val="009637A8"/>
    <w:pPr>
      <w:pBdr>
        <w:top w:val="single" w:sz="4" w:space="10" w:color="4EB2A9" w:themeColor="accent1"/>
        <w:bottom w:val="single" w:sz="4" w:space="10" w:color="4EB2A9" w:themeColor="accent1"/>
      </w:pBdr>
      <w:spacing w:before="360" w:after="360" w:line="259" w:lineRule="auto"/>
      <w:ind w:left="864" w:right="864"/>
      <w:jc w:val="center"/>
    </w:pPr>
    <w:rPr>
      <w:i/>
      <w:iCs/>
      <w:color w:val="4EB2A9" w:themeColor="accent1"/>
    </w:rPr>
  </w:style>
  <w:style w:type="character" w:customStyle="1" w:styleId="IntenseQuoteChar">
    <w:name w:val="Intense Quote Char"/>
    <w:basedOn w:val="DefaultParagraphFont"/>
    <w:link w:val="IntenseQuote"/>
    <w:uiPriority w:val="30"/>
    <w:semiHidden/>
    <w:rsid w:val="00AD3AE6"/>
    <w:rPr>
      <w:rFonts w:ascii="Arial" w:hAnsi="Arial" w:cs="Arial"/>
      <w:bCs/>
      <w:i/>
      <w:iCs/>
      <w:color w:val="4EB2A9" w:themeColor="accent1"/>
    </w:rPr>
  </w:style>
  <w:style w:type="character" w:styleId="IntenseReference">
    <w:name w:val="Intense Reference"/>
    <w:basedOn w:val="DefaultParagraphFont"/>
    <w:uiPriority w:val="32"/>
    <w:semiHidden/>
    <w:qFormat/>
    <w:rsid w:val="009637A8"/>
    <w:rPr>
      <w:b/>
      <w:bCs/>
      <w:smallCaps/>
      <w:color w:val="4EB2A9" w:themeColor="accent1"/>
      <w:spacing w:val="5"/>
    </w:rPr>
  </w:style>
  <w:style w:type="table" w:styleId="LightGrid">
    <w:name w:val="Light Grid"/>
    <w:basedOn w:val="TableNormal"/>
    <w:uiPriority w:val="62"/>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637A8"/>
    <w:pPr>
      <w:spacing w:after="0" w:line="240" w:lineRule="auto"/>
    </w:pPr>
    <w:tblPr>
      <w:tblStyleRowBandSize w:val="1"/>
      <w:tblStyleColBandSize w:val="1"/>
      <w:tblBorders>
        <w:top w:val="single" w:sz="8" w:space="0" w:color="4EB2A9" w:themeColor="accent1"/>
        <w:left w:val="single" w:sz="8" w:space="0" w:color="4EB2A9" w:themeColor="accent1"/>
        <w:bottom w:val="single" w:sz="8" w:space="0" w:color="4EB2A9" w:themeColor="accent1"/>
        <w:right w:val="single" w:sz="8" w:space="0" w:color="4EB2A9" w:themeColor="accent1"/>
        <w:insideH w:val="single" w:sz="8" w:space="0" w:color="4EB2A9" w:themeColor="accent1"/>
        <w:insideV w:val="single" w:sz="8" w:space="0" w:color="4E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2A9" w:themeColor="accent1"/>
          <w:left w:val="single" w:sz="8" w:space="0" w:color="4EB2A9" w:themeColor="accent1"/>
          <w:bottom w:val="single" w:sz="18" w:space="0" w:color="4EB2A9" w:themeColor="accent1"/>
          <w:right w:val="single" w:sz="8" w:space="0" w:color="4EB2A9" w:themeColor="accent1"/>
          <w:insideH w:val="nil"/>
          <w:insideV w:val="single" w:sz="8" w:space="0" w:color="4E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2A9" w:themeColor="accent1"/>
          <w:left w:val="single" w:sz="8" w:space="0" w:color="4EB2A9" w:themeColor="accent1"/>
          <w:bottom w:val="single" w:sz="8" w:space="0" w:color="4EB2A9" w:themeColor="accent1"/>
          <w:right w:val="single" w:sz="8" w:space="0" w:color="4EB2A9" w:themeColor="accent1"/>
          <w:insideH w:val="nil"/>
          <w:insideV w:val="single" w:sz="8" w:space="0" w:color="4E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2A9" w:themeColor="accent1"/>
          <w:left w:val="single" w:sz="8" w:space="0" w:color="4EB2A9" w:themeColor="accent1"/>
          <w:bottom w:val="single" w:sz="8" w:space="0" w:color="4EB2A9" w:themeColor="accent1"/>
          <w:right w:val="single" w:sz="8" w:space="0" w:color="4EB2A9" w:themeColor="accent1"/>
        </w:tcBorders>
      </w:tcPr>
    </w:tblStylePr>
    <w:tblStylePr w:type="band1Vert">
      <w:tblPr/>
      <w:tcPr>
        <w:tcBorders>
          <w:top w:val="single" w:sz="8" w:space="0" w:color="4EB2A9" w:themeColor="accent1"/>
          <w:left w:val="single" w:sz="8" w:space="0" w:color="4EB2A9" w:themeColor="accent1"/>
          <w:bottom w:val="single" w:sz="8" w:space="0" w:color="4EB2A9" w:themeColor="accent1"/>
          <w:right w:val="single" w:sz="8" w:space="0" w:color="4EB2A9" w:themeColor="accent1"/>
        </w:tcBorders>
        <w:shd w:val="clear" w:color="auto" w:fill="D3ECE9" w:themeFill="accent1" w:themeFillTint="3F"/>
      </w:tcPr>
    </w:tblStylePr>
    <w:tblStylePr w:type="band1Horz">
      <w:tblPr/>
      <w:tcPr>
        <w:tcBorders>
          <w:top w:val="single" w:sz="8" w:space="0" w:color="4EB2A9" w:themeColor="accent1"/>
          <w:left w:val="single" w:sz="8" w:space="0" w:color="4EB2A9" w:themeColor="accent1"/>
          <w:bottom w:val="single" w:sz="8" w:space="0" w:color="4EB2A9" w:themeColor="accent1"/>
          <w:right w:val="single" w:sz="8" w:space="0" w:color="4EB2A9" w:themeColor="accent1"/>
          <w:insideV w:val="single" w:sz="8" w:space="0" w:color="4EB2A9" w:themeColor="accent1"/>
        </w:tcBorders>
        <w:shd w:val="clear" w:color="auto" w:fill="D3ECE9" w:themeFill="accent1" w:themeFillTint="3F"/>
      </w:tcPr>
    </w:tblStylePr>
    <w:tblStylePr w:type="band2Horz">
      <w:tblPr/>
      <w:tcPr>
        <w:tcBorders>
          <w:top w:val="single" w:sz="8" w:space="0" w:color="4EB2A9" w:themeColor="accent1"/>
          <w:left w:val="single" w:sz="8" w:space="0" w:color="4EB2A9" w:themeColor="accent1"/>
          <w:bottom w:val="single" w:sz="8" w:space="0" w:color="4EB2A9" w:themeColor="accent1"/>
          <w:right w:val="single" w:sz="8" w:space="0" w:color="4EB2A9" w:themeColor="accent1"/>
          <w:insideV w:val="single" w:sz="8" w:space="0" w:color="4EB2A9" w:themeColor="accent1"/>
        </w:tcBorders>
      </w:tcPr>
    </w:tblStylePr>
  </w:style>
  <w:style w:type="table" w:styleId="LightGrid-Accent2">
    <w:name w:val="Light Grid Accent 2"/>
    <w:basedOn w:val="TableNormal"/>
    <w:uiPriority w:val="62"/>
    <w:semiHidden/>
    <w:unhideWhenUsed/>
    <w:rsid w:val="009637A8"/>
    <w:pPr>
      <w:spacing w:after="0" w:line="240" w:lineRule="auto"/>
    </w:pPr>
    <w:tblPr>
      <w:tblStyleRowBandSize w:val="1"/>
      <w:tblStyleColBandSize w:val="1"/>
      <w:tblBorders>
        <w:top w:val="single" w:sz="8" w:space="0" w:color="9C5083" w:themeColor="accent2"/>
        <w:left w:val="single" w:sz="8" w:space="0" w:color="9C5083" w:themeColor="accent2"/>
        <w:bottom w:val="single" w:sz="8" w:space="0" w:color="9C5083" w:themeColor="accent2"/>
        <w:right w:val="single" w:sz="8" w:space="0" w:color="9C5083" w:themeColor="accent2"/>
        <w:insideH w:val="single" w:sz="8" w:space="0" w:color="9C5083" w:themeColor="accent2"/>
        <w:insideV w:val="single" w:sz="8" w:space="0" w:color="9C508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5083" w:themeColor="accent2"/>
          <w:left w:val="single" w:sz="8" w:space="0" w:color="9C5083" w:themeColor="accent2"/>
          <w:bottom w:val="single" w:sz="18" w:space="0" w:color="9C5083" w:themeColor="accent2"/>
          <w:right w:val="single" w:sz="8" w:space="0" w:color="9C5083" w:themeColor="accent2"/>
          <w:insideH w:val="nil"/>
          <w:insideV w:val="single" w:sz="8" w:space="0" w:color="9C508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5083" w:themeColor="accent2"/>
          <w:left w:val="single" w:sz="8" w:space="0" w:color="9C5083" w:themeColor="accent2"/>
          <w:bottom w:val="single" w:sz="8" w:space="0" w:color="9C5083" w:themeColor="accent2"/>
          <w:right w:val="single" w:sz="8" w:space="0" w:color="9C5083" w:themeColor="accent2"/>
          <w:insideH w:val="nil"/>
          <w:insideV w:val="single" w:sz="8" w:space="0" w:color="9C508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5083" w:themeColor="accent2"/>
          <w:left w:val="single" w:sz="8" w:space="0" w:color="9C5083" w:themeColor="accent2"/>
          <w:bottom w:val="single" w:sz="8" w:space="0" w:color="9C5083" w:themeColor="accent2"/>
          <w:right w:val="single" w:sz="8" w:space="0" w:color="9C5083" w:themeColor="accent2"/>
        </w:tcBorders>
      </w:tcPr>
    </w:tblStylePr>
    <w:tblStylePr w:type="band1Vert">
      <w:tblPr/>
      <w:tcPr>
        <w:tcBorders>
          <w:top w:val="single" w:sz="8" w:space="0" w:color="9C5083" w:themeColor="accent2"/>
          <w:left w:val="single" w:sz="8" w:space="0" w:color="9C5083" w:themeColor="accent2"/>
          <w:bottom w:val="single" w:sz="8" w:space="0" w:color="9C5083" w:themeColor="accent2"/>
          <w:right w:val="single" w:sz="8" w:space="0" w:color="9C5083" w:themeColor="accent2"/>
        </w:tcBorders>
        <w:shd w:val="clear" w:color="auto" w:fill="E8D2E0" w:themeFill="accent2" w:themeFillTint="3F"/>
      </w:tcPr>
    </w:tblStylePr>
    <w:tblStylePr w:type="band1Horz">
      <w:tblPr/>
      <w:tcPr>
        <w:tcBorders>
          <w:top w:val="single" w:sz="8" w:space="0" w:color="9C5083" w:themeColor="accent2"/>
          <w:left w:val="single" w:sz="8" w:space="0" w:color="9C5083" w:themeColor="accent2"/>
          <w:bottom w:val="single" w:sz="8" w:space="0" w:color="9C5083" w:themeColor="accent2"/>
          <w:right w:val="single" w:sz="8" w:space="0" w:color="9C5083" w:themeColor="accent2"/>
          <w:insideV w:val="single" w:sz="8" w:space="0" w:color="9C5083" w:themeColor="accent2"/>
        </w:tcBorders>
        <w:shd w:val="clear" w:color="auto" w:fill="E8D2E0" w:themeFill="accent2" w:themeFillTint="3F"/>
      </w:tcPr>
    </w:tblStylePr>
    <w:tblStylePr w:type="band2Horz">
      <w:tblPr/>
      <w:tcPr>
        <w:tcBorders>
          <w:top w:val="single" w:sz="8" w:space="0" w:color="9C5083" w:themeColor="accent2"/>
          <w:left w:val="single" w:sz="8" w:space="0" w:color="9C5083" w:themeColor="accent2"/>
          <w:bottom w:val="single" w:sz="8" w:space="0" w:color="9C5083" w:themeColor="accent2"/>
          <w:right w:val="single" w:sz="8" w:space="0" w:color="9C5083" w:themeColor="accent2"/>
          <w:insideV w:val="single" w:sz="8" w:space="0" w:color="9C5083" w:themeColor="accent2"/>
        </w:tcBorders>
      </w:tcPr>
    </w:tblStylePr>
  </w:style>
  <w:style w:type="table" w:styleId="LightGrid-Accent3">
    <w:name w:val="Light Grid Accent 3"/>
    <w:basedOn w:val="TableNormal"/>
    <w:uiPriority w:val="62"/>
    <w:semiHidden/>
    <w:unhideWhenUsed/>
    <w:rsid w:val="009637A8"/>
    <w:pPr>
      <w:spacing w:after="0" w:line="240" w:lineRule="auto"/>
    </w:pPr>
    <w:tblPr>
      <w:tblStyleRowBandSize w:val="1"/>
      <w:tblStyleColBandSize w:val="1"/>
      <w:tblBorders>
        <w:top w:val="single" w:sz="8" w:space="0" w:color="2B746F" w:themeColor="accent3"/>
        <w:left w:val="single" w:sz="8" w:space="0" w:color="2B746F" w:themeColor="accent3"/>
        <w:bottom w:val="single" w:sz="8" w:space="0" w:color="2B746F" w:themeColor="accent3"/>
        <w:right w:val="single" w:sz="8" w:space="0" w:color="2B746F" w:themeColor="accent3"/>
        <w:insideH w:val="single" w:sz="8" w:space="0" w:color="2B746F" w:themeColor="accent3"/>
        <w:insideV w:val="single" w:sz="8" w:space="0" w:color="2B74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746F" w:themeColor="accent3"/>
          <w:left w:val="single" w:sz="8" w:space="0" w:color="2B746F" w:themeColor="accent3"/>
          <w:bottom w:val="single" w:sz="18" w:space="0" w:color="2B746F" w:themeColor="accent3"/>
          <w:right w:val="single" w:sz="8" w:space="0" w:color="2B746F" w:themeColor="accent3"/>
          <w:insideH w:val="nil"/>
          <w:insideV w:val="single" w:sz="8" w:space="0" w:color="2B74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746F" w:themeColor="accent3"/>
          <w:left w:val="single" w:sz="8" w:space="0" w:color="2B746F" w:themeColor="accent3"/>
          <w:bottom w:val="single" w:sz="8" w:space="0" w:color="2B746F" w:themeColor="accent3"/>
          <w:right w:val="single" w:sz="8" w:space="0" w:color="2B746F" w:themeColor="accent3"/>
          <w:insideH w:val="nil"/>
          <w:insideV w:val="single" w:sz="8" w:space="0" w:color="2B74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746F" w:themeColor="accent3"/>
          <w:left w:val="single" w:sz="8" w:space="0" w:color="2B746F" w:themeColor="accent3"/>
          <w:bottom w:val="single" w:sz="8" w:space="0" w:color="2B746F" w:themeColor="accent3"/>
          <w:right w:val="single" w:sz="8" w:space="0" w:color="2B746F" w:themeColor="accent3"/>
        </w:tcBorders>
      </w:tcPr>
    </w:tblStylePr>
    <w:tblStylePr w:type="band1Vert">
      <w:tblPr/>
      <w:tcPr>
        <w:tcBorders>
          <w:top w:val="single" w:sz="8" w:space="0" w:color="2B746F" w:themeColor="accent3"/>
          <w:left w:val="single" w:sz="8" w:space="0" w:color="2B746F" w:themeColor="accent3"/>
          <w:bottom w:val="single" w:sz="8" w:space="0" w:color="2B746F" w:themeColor="accent3"/>
          <w:right w:val="single" w:sz="8" w:space="0" w:color="2B746F" w:themeColor="accent3"/>
        </w:tcBorders>
        <w:shd w:val="clear" w:color="auto" w:fill="BFE7E4" w:themeFill="accent3" w:themeFillTint="3F"/>
      </w:tcPr>
    </w:tblStylePr>
    <w:tblStylePr w:type="band1Horz">
      <w:tblPr/>
      <w:tcPr>
        <w:tcBorders>
          <w:top w:val="single" w:sz="8" w:space="0" w:color="2B746F" w:themeColor="accent3"/>
          <w:left w:val="single" w:sz="8" w:space="0" w:color="2B746F" w:themeColor="accent3"/>
          <w:bottom w:val="single" w:sz="8" w:space="0" w:color="2B746F" w:themeColor="accent3"/>
          <w:right w:val="single" w:sz="8" w:space="0" w:color="2B746F" w:themeColor="accent3"/>
          <w:insideV w:val="single" w:sz="8" w:space="0" w:color="2B746F" w:themeColor="accent3"/>
        </w:tcBorders>
        <w:shd w:val="clear" w:color="auto" w:fill="BFE7E4" w:themeFill="accent3" w:themeFillTint="3F"/>
      </w:tcPr>
    </w:tblStylePr>
    <w:tblStylePr w:type="band2Horz">
      <w:tblPr/>
      <w:tcPr>
        <w:tcBorders>
          <w:top w:val="single" w:sz="8" w:space="0" w:color="2B746F" w:themeColor="accent3"/>
          <w:left w:val="single" w:sz="8" w:space="0" w:color="2B746F" w:themeColor="accent3"/>
          <w:bottom w:val="single" w:sz="8" w:space="0" w:color="2B746F" w:themeColor="accent3"/>
          <w:right w:val="single" w:sz="8" w:space="0" w:color="2B746F" w:themeColor="accent3"/>
          <w:insideV w:val="single" w:sz="8" w:space="0" w:color="2B746F" w:themeColor="accent3"/>
        </w:tcBorders>
      </w:tcPr>
    </w:tblStylePr>
  </w:style>
  <w:style w:type="table" w:styleId="LightGrid-Accent4">
    <w:name w:val="Light Grid Accent 4"/>
    <w:basedOn w:val="TableNormal"/>
    <w:uiPriority w:val="62"/>
    <w:semiHidden/>
    <w:unhideWhenUsed/>
    <w:rsid w:val="009637A8"/>
    <w:pPr>
      <w:spacing w:after="0" w:line="240" w:lineRule="auto"/>
    </w:pPr>
    <w:tblPr>
      <w:tblStyleRowBandSize w:val="1"/>
      <w:tblStyleColBandSize w:val="1"/>
      <w:tblBorders>
        <w:top w:val="single" w:sz="8" w:space="0" w:color="A6CE39" w:themeColor="accent4"/>
        <w:left w:val="single" w:sz="8" w:space="0" w:color="A6CE39" w:themeColor="accent4"/>
        <w:bottom w:val="single" w:sz="8" w:space="0" w:color="A6CE39" w:themeColor="accent4"/>
        <w:right w:val="single" w:sz="8" w:space="0" w:color="A6CE39" w:themeColor="accent4"/>
        <w:insideH w:val="single" w:sz="8" w:space="0" w:color="A6CE39" w:themeColor="accent4"/>
        <w:insideV w:val="single" w:sz="8" w:space="0" w:color="A6CE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CE39" w:themeColor="accent4"/>
          <w:left w:val="single" w:sz="8" w:space="0" w:color="A6CE39" w:themeColor="accent4"/>
          <w:bottom w:val="single" w:sz="18" w:space="0" w:color="A6CE39" w:themeColor="accent4"/>
          <w:right w:val="single" w:sz="8" w:space="0" w:color="A6CE39" w:themeColor="accent4"/>
          <w:insideH w:val="nil"/>
          <w:insideV w:val="single" w:sz="8" w:space="0" w:color="A6CE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CE39" w:themeColor="accent4"/>
          <w:left w:val="single" w:sz="8" w:space="0" w:color="A6CE39" w:themeColor="accent4"/>
          <w:bottom w:val="single" w:sz="8" w:space="0" w:color="A6CE39" w:themeColor="accent4"/>
          <w:right w:val="single" w:sz="8" w:space="0" w:color="A6CE39" w:themeColor="accent4"/>
          <w:insideH w:val="nil"/>
          <w:insideV w:val="single" w:sz="8" w:space="0" w:color="A6CE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CE39" w:themeColor="accent4"/>
          <w:left w:val="single" w:sz="8" w:space="0" w:color="A6CE39" w:themeColor="accent4"/>
          <w:bottom w:val="single" w:sz="8" w:space="0" w:color="A6CE39" w:themeColor="accent4"/>
          <w:right w:val="single" w:sz="8" w:space="0" w:color="A6CE39" w:themeColor="accent4"/>
        </w:tcBorders>
      </w:tcPr>
    </w:tblStylePr>
    <w:tblStylePr w:type="band1Vert">
      <w:tblPr/>
      <w:tcPr>
        <w:tcBorders>
          <w:top w:val="single" w:sz="8" w:space="0" w:color="A6CE39" w:themeColor="accent4"/>
          <w:left w:val="single" w:sz="8" w:space="0" w:color="A6CE39" w:themeColor="accent4"/>
          <w:bottom w:val="single" w:sz="8" w:space="0" w:color="A6CE39" w:themeColor="accent4"/>
          <w:right w:val="single" w:sz="8" w:space="0" w:color="A6CE39" w:themeColor="accent4"/>
        </w:tcBorders>
        <w:shd w:val="clear" w:color="auto" w:fill="E8F2CD" w:themeFill="accent4" w:themeFillTint="3F"/>
      </w:tcPr>
    </w:tblStylePr>
    <w:tblStylePr w:type="band1Horz">
      <w:tblPr/>
      <w:tcPr>
        <w:tcBorders>
          <w:top w:val="single" w:sz="8" w:space="0" w:color="A6CE39" w:themeColor="accent4"/>
          <w:left w:val="single" w:sz="8" w:space="0" w:color="A6CE39" w:themeColor="accent4"/>
          <w:bottom w:val="single" w:sz="8" w:space="0" w:color="A6CE39" w:themeColor="accent4"/>
          <w:right w:val="single" w:sz="8" w:space="0" w:color="A6CE39" w:themeColor="accent4"/>
          <w:insideV w:val="single" w:sz="8" w:space="0" w:color="A6CE39" w:themeColor="accent4"/>
        </w:tcBorders>
        <w:shd w:val="clear" w:color="auto" w:fill="E8F2CD" w:themeFill="accent4" w:themeFillTint="3F"/>
      </w:tcPr>
    </w:tblStylePr>
    <w:tblStylePr w:type="band2Horz">
      <w:tblPr/>
      <w:tcPr>
        <w:tcBorders>
          <w:top w:val="single" w:sz="8" w:space="0" w:color="A6CE39" w:themeColor="accent4"/>
          <w:left w:val="single" w:sz="8" w:space="0" w:color="A6CE39" w:themeColor="accent4"/>
          <w:bottom w:val="single" w:sz="8" w:space="0" w:color="A6CE39" w:themeColor="accent4"/>
          <w:right w:val="single" w:sz="8" w:space="0" w:color="A6CE39" w:themeColor="accent4"/>
          <w:insideV w:val="single" w:sz="8" w:space="0" w:color="A6CE39" w:themeColor="accent4"/>
        </w:tcBorders>
      </w:tcPr>
    </w:tblStylePr>
  </w:style>
  <w:style w:type="table" w:styleId="LightGrid-Accent5">
    <w:name w:val="Light Grid Accent 5"/>
    <w:basedOn w:val="TableNormal"/>
    <w:uiPriority w:val="62"/>
    <w:semiHidden/>
    <w:unhideWhenUsed/>
    <w:rsid w:val="009637A8"/>
    <w:pPr>
      <w:spacing w:after="0" w:line="240" w:lineRule="auto"/>
    </w:pPr>
    <w:tblPr>
      <w:tblStyleRowBandSize w:val="1"/>
      <w:tblStyleColBandSize w:val="1"/>
      <w:tblBorders>
        <w:top w:val="single" w:sz="8" w:space="0" w:color="125A96" w:themeColor="accent5"/>
        <w:left w:val="single" w:sz="8" w:space="0" w:color="125A96" w:themeColor="accent5"/>
        <w:bottom w:val="single" w:sz="8" w:space="0" w:color="125A96" w:themeColor="accent5"/>
        <w:right w:val="single" w:sz="8" w:space="0" w:color="125A96" w:themeColor="accent5"/>
        <w:insideH w:val="single" w:sz="8" w:space="0" w:color="125A96" w:themeColor="accent5"/>
        <w:insideV w:val="single" w:sz="8" w:space="0" w:color="125A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5A96" w:themeColor="accent5"/>
          <w:left w:val="single" w:sz="8" w:space="0" w:color="125A96" w:themeColor="accent5"/>
          <w:bottom w:val="single" w:sz="18" w:space="0" w:color="125A96" w:themeColor="accent5"/>
          <w:right w:val="single" w:sz="8" w:space="0" w:color="125A96" w:themeColor="accent5"/>
          <w:insideH w:val="nil"/>
          <w:insideV w:val="single" w:sz="8" w:space="0" w:color="125A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5A96" w:themeColor="accent5"/>
          <w:left w:val="single" w:sz="8" w:space="0" w:color="125A96" w:themeColor="accent5"/>
          <w:bottom w:val="single" w:sz="8" w:space="0" w:color="125A96" w:themeColor="accent5"/>
          <w:right w:val="single" w:sz="8" w:space="0" w:color="125A96" w:themeColor="accent5"/>
          <w:insideH w:val="nil"/>
          <w:insideV w:val="single" w:sz="8" w:space="0" w:color="125A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5A96" w:themeColor="accent5"/>
          <w:left w:val="single" w:sz="8" w:space="0" w:color="125A96" w:themeColor="accent5"/>
          <w:bottom w:val="single" w:sz="8" w:space="0" w:color="125A96" w:themeColor="accent5"/>
          <w:right w:val="single" w:sz="8" w:space="0" w:color="125A96" w:themeColor="accent5"/>
        </w:tcBorders>
      </w:tcPr>
    </w:tblStylePr>
    <w:tblStylePr w:type="band1Vert">
      <w:tblPr/>
      <w:tcPr>
        <w:tcBorders>
          <w:top w:val="single" w:sz="8" w:space="0" w:color="125A96" w:themeColor="accent5"/>
          <w:left w:val="single" w:sz="8" w:space="0" w:color="125A96" w:themeColor="accent5"/>
          <w:bottom w:val="single" w:sz="8" w:space="0" w:color="125A96" w:themeColor="accent5"/>
          <w:right w:val="single" w:sz="8" w:space="0" w:color="125A96" w:themeColor="accent5"/>
        </w:tcBorders>
        <w:shd w:val="clear" w:color="auto" w:fill="B3D7F6" w:themeFill="accent5" w:themeFillTint="3F"/>
      </w:tcPr>
    </w:tblStylePr>
    <w:tblStylePr w:type="band1Horz">
      <w:tblPr/>
      <w:tcPr>
        <w:tcBorders>
          <w:top w:val="single" w:sz="8" w:space="0" w:color="125A96" w:themeColor="accent5"/>
          <w:left w:val="single" w:sz="8" w:space="0" w:color="125A96" w:themeColor="accent5"/>
          <w:bottom w:val="single" w:sz="8" w:space="0" w:color="125A96" w:themeColor="accent5"/>
          <w:right w:val="single" w:sz="8" w:space="0" w:color="125A96" w:themeColor="accent5"/>
          <w:insideV w:val="single" w:sz="8" w:space="0" w:color="125A96" w:themeColor="accent5"/>
        </w:tcBorders>
        <w:shd w:val="clear" w:color="auto" w:fill="B3D7F6" w:themeFill="accent5" w:themeFillTint="3F"/>
      </w:tcPr>
    </w:tblStylePr>
    <w:tblStylePr w:type="band2Horz">
      <w:tblPr/>
      <w:tcPr>
        <w:tcBorders>
          <w:top w:val="single" w:sz="8" w:space="0" w:color="125A96" w:themeColor="accent5"/>
          <w:left w:val="single" w:sz="8" w:space="0" w:color="125A96" w:themeColor="accent5"/>
          <w:bottom w:val="single" w:sz="8" w:space="0" w:color="125A96" w:themeColor="accent5"/>
          <w:right w:val="single" w:sz="8" w:space="0" w:color="125A96" w:themeColor="accent5"/>
          <w:insideV w:val="single" w:sz="8" w:space="0" w:color="125A96" w:themeColor="accent5"/>
        </w:tcBorders>
      </w:tcPr>
    </w:tblStylePr>
  </w:style>
  <w:style w:type="table" w:styleId="LightGrid-Accent6">
    <w:name w:val="Light Grid Accent 6"/>
    <w:basedOn w:val="TableNormal"/>
    <w:uiPriority w:val="62"/>
    <w:semiHidden/>
    <w:unhideWhenUsed/>
    <w:rsid w:val="009637A8"/>
    <w:pPr>
      <w:spacing w:after="0" w:line="240" w:lineRule="auto"/>
    </w:pPr>
    <w:tblPr>
      <w:tblStyleRowBandSize w:val="1"/>
      <w:tblStyleColBandSize w:val="1"/>
      <w:tblBorders>
        <w:top w:val="single" w:sz="8" w:space="0" w:color="000F9F" w:themeColor="accent6"/>
        <w:left w:val="single" w:sz="8" w:space="0" w:color="000F9F" w:themeColor="accent6"/>
        <w:bottom w:val="single" w:sz="8" w:space="0" w:color="000F9F" w:themeColor="accent6"/>
        <w:right w:val="single" w:sz="8" w:space="0" w:color="000F9F" w:themeColor="accent6"/>
        <w:insideH w:val="single" w:sz="8" w:space="0" w:color="000F9F" w:themeColor="accent6"/>
        <w:insideV w:val="single" w:sz="8" w:space="0" w:color="000F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9F" w:themeColor="accent6"/>
          <w:left w:val="single" w:sz="8" w:space="0" w:color="000F9F" w:themeColor="accent6"/>
          <w:bottom w:val="single" w:sz="18" w:space="0" w:color="000F9F" w:themeColor="accent6"/>
          <w:right w:val="single" w:sz="8" w:space="0" w:color="000F9F" w:themeColor="accent6"/>
          <w:insideH w:val="nil"/>
          <w:insideV w:val="single" w:sz="8" w:space="0" w:color="000F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9F" w:themeColor="accent6"/>
          <w:left w:val="single" w:sz="8" w:space="0" w:color="000F9F" w:themeColor="accent6"/>
          <w:bottom w:val="single" w:sz="8" w:space="0" w:color="000F9F" w:themeColor="accent6"/>
          <w:right w:val="single" w:sz="8" w:space="0" w:color="000F9F" w:themeColor="accent6"/>
          <w:insideH w:val="nil"/>
          <w:insideV w:val="single" w:sz="8" w:space="0" w:color="000F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9F" w:themeColor="accent6"/>
          <w:left w:val="single" w:sz="8" w:space="0" w:color="000F9F" w:themeColor="accent6"/>
          <w:bottom w:val="single" w:sz="8" w:space="0" w:color="000F9F" w:themeColor="accent6"/>
          <w:right w:val="single" w:sz="8" w:space="0" w:color="000F9F" w:themeColor="accent6"/>
        </w:tcBorders>
      </w:tcPr>
    </w:tblStylePr>
    <w:tblStylePr w:type="band1Vert">
      <w:tblPr/>
      <w:tcPr>
        <w:tcBorders>
          <w:top w:val="single" w:sz="8" w:space="0" w:color="000F9F" w:themeColor="accent6"/>
          <w:left w:val="single" w:sz="8" w:space="0" w:color="000F9F" w:themeColor="accent6"/>
          <w:bottom w:val="single" w:sz="8" w:space="0" w:color="000F9F" w:themeColor="accent6"/>
          <w:right w:val="single" w:sz="8" w:space="0" w:color="000F9F" w:themeColor="accent6"/>
        </w:tcBorders>
        <w:shd w:val="clear" w:color="auto" w:fill="A8B0FF" w:themeFill="accent6" w:themeFillTint="3F"/>
      </w:tcPr>
    </w:tblStylePr>
    <w:tblStylePr w:type="band1Horz">
      <w:tblPr/>
      <w:tcPr>
        <w:tcBorders>
          <w:top w:val="single" w:sz="8" w:space="0" w:color="000F9F" w:themeColor="accent6"/>
          <w:left w:val="single" w:sz="8" w:space="0" w:color="000F9F" w:themeColor="accent6"/>
          <w:bottom w:val="single" w:sz="8" w:space="0" w:color="000F9F" w:themeColor="accent6"/>
          <w:right w:val="single" w:sz="8" w:space="0" w:color="000F9F" w:themeColor="accent6"/>
          <w:insideV w:val="single" w:sz="8" w:space="0" w:color="000F9F" w:themeColor="accent6"/>
        </w:tcBorders>
        <w:shd w:val="clear" w:color="auto" w:fill="A8B0FF" w:themeFill="accent6" w:themeFillTint="3F"/>
      </w:tcPr>
    </w:tblStylePr>
    <w:tblStylePr w:type="band2Horz">
      <w:tblPr/>
      <w:tcPr>
        <w:tcBorders>
          <w:top w:val="single" w:sz="8" w:space="0" w:color="000F9F" w:themeColor="accent6"/>
          <w:left w:val="single" w:sz="8" w:space="0" w:color="000F9F" w:themeColor="accent6"/>
          <w:bottom w:val="single" w:sz="8" w:space="0" w:color="000F9F" w:themeColor="accent6"/>
          <w:right w:val="single" w:sz="8" w:space="0" w:color="000F9F" w:themeColor="accent6"/>
          <w:insideV w:val="single" w:sz="8" w:space="0" w:color="000F9F" w:themeColor="accent6"/>
        </w:tcBorders>
      </w:tcPr>
    </w:tblStylePr>
  </w:style>
  <w:style w:type="table" w:styleId="LightList">
    <w:name w:val="Light List"/>
    <w:basedOn w:val="TableNormal"/>
    <w:uiPriority w:val="61"/>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637A8"/>
    <w:pPr>
      <w:spacing w:after="0" w:line="240" w:lineRule="auto"/>
    </w:pPr>
    <w:tblPr>
      <w:tblStyleRowBandSize w:val="1"/>
      <w:tblStyleColBandSize w:val="1"/>
      <w:tblBorders>
        <w:top w:val="single" w:sz="8" w:space="0" w:color="4EB2A9" w:themeColor="accent1"/>
        <w:left w:val="single" w:sz="8" w:space="0" w:color="4EB2A9" w:themeColor="accent1"/>
        <w:bottom w:val="single" w:sz="8" w:space="0" w:color="4EB2A9" w:themeColor="accent1"/>
        <w:right w:val="single" w:sz="8" w:space="0" w:color="4EB2A9" w:themeColor="accent1"/>
      </w:tblBorders>
    </w:tblPr>
    <w:tblStylePr w:type="firstRow">
      <w:pPr>
        <w:spacing w:before="0" w:after="0" w:line="240" w:lineRule="auto"/>
      </w:pPr>
      <w:rPr>
        <w:b/>
        <w:bCs/>
        <w:color w:val="FFFFFF" w:themeColor="background1"/>
      </w:rPr>
      <w:tblPr/>
      <w:tcPr>
        <w:shd w:val="clear" w:color="auto" w:fill="4EB2A9" w:themeFill="accent1"/>
      </w:tcPr>
    </w:tblStylePr>
    <w:tblStylePr w:type="lastRow">
      <w:pPr>
        <w:spacing w:before="0" w:after="0" w:line="240" w:lineRule="auto"/>
      </w:pPr>
      <w:rPr>
        <w:b/>
        <w:bCs/>
      </w:rPr>
      <w:tblPr/>
      <w:tcPr>
        <w:tcBorders>
          <w:top w:val="double" w:sz="6" w:space="0" w:color="4EB2A9" w:themeColor="accent1"/>
          <w:left w:val="single" w:sz="8" w:space="0" w:color="4EB2A9" w:themeColor="accent1"/>
          <w:bottom w:val="single" w:sz="8" w:space="0" w:color="4EB2A9" w:themeColor="accent1"/>
          <w:right w:val="single" w:sz="8" w:space="0" w:color="4EB2A9" w:themeColor="accent1"/>
        </w:tcBorders>
      </w:tcPr>
    </w:tblStylePr>
    <w:tblStylePr w:type="firstCol">
      <w:rPr>
        <w:b/>
        <w:bCs/>
      </w:rPr>
    </w:tblStylePr>
    <w:tblStylePr w:type="lastCol">
      <w:rPr>
        <w:b/>
        <w:bCs/>
      </w:rPr>
    </w:tblStylePr>
    <w:tblStylePr w:type="band1Vert">
      <w:tblPr/>
      <w:tcPr>
        <w:tcBorders>
          <w:top w:val="single" w:sz="8" w:space="0" w:color="4EB2A9" w:themeColor="accent1"/>
          <w:left w:val="single" w:sz="8" w:space="0" w:color="4EB2A9" w:themeColor="accent1"/>
          <w:bottom w:val="single" w:sz="8" w:space="0" w:color="4EB2A9" w:themeColor="accent1"/>
          <w:right w:val="single" w:sz="8" w:space="0" w:color="4EB2A9" w:themeColor="accent1"/>
        </w:tcBorders>
      </w:tcPr>
    </w:tblStylePr>
    <w:tblStylePr w:type="band1Horz">
      <w:tblPr/>
      <w:tcPr>
        <w:tcBorders>
          <w:top w:val="single" w:sz="8" w:space="0" w:color="4EB2A9" w:themeColor="accent1"/>
          <w:left w:val="single" w:sz="8" w:space="0" w:color="4EB2A9" w:themeColor="accent1"/>
          <w:bottom w:val="single" w:sz="8" w:space="0" w:color="4EB2A9" w:themeColor="accent1"/>
          <w:right w:val="single" w:sz="8" w:space="0" w:color="4EB2A9" w:themeColor="accent1"/>
        </w:tcBorders>
      </w:tcPr>
    </w:tblStylePr>
  </w:style>
  <w:style w:type="table" w:styleId="LightList-Accent2">
    <w:name w:val="Light List Accent 2"/>
    <w:basedOn w:val="TableNormal"/>
    <w:uiPriority w:val="61"/>
    <w:semiHidden/>
    <w:unhideWhenUsed/>
    <w:rsid w:val="009637A8"/>
    <w:pPr>
      <w:spacing w:after="0" w:line="240" w:lineRule="auto"/>
    </w:pPr>
    <w:tblPr>
      <w:tblStyleRowBandSize w:val="1"/>
      <w:tblStyleColBandSize w:val="1"/>
      <w:tblBorders>
        <w:top w:val="single" w:sz="8" w:space="0" w:color="9C5083" w:themeColor="accent2"/>
        <w:left w:val="single" w:sz="8" w:space="0" w:color="9C5083" w:themeColor="accent2"/>
        <w:bottom w:val="single" w:sz="8" w:space="0" w:color="9C5083" w:themeColor="accent2"/>
        <w:right w:val="single" w:sz="8" w:space="0" w:color="9C5083" w:themeColor="accent2"/>
      </w:tblBorders>
    </w:tblPr>
    <w:tblStylePr w:type="firstRow">
      <w:pPr>
        <w:spacing w:before="0" w:after="0" w:line="240" w:lineRule="auto"/>
      </w:pPr>
      <w:rPr>
        <w:b/>
        <w:bCs/>
        <w:color w:val="FFFFFF" w:themeColor="background1"/>
      </w:rPr>
      <w:tblPr/>
      <w:tcPr>
        <w:shd w:val="clear" w:color="auto" w:fill="9C5083" w:themeFill="accent2"/>
      </w:tcPr>
    </w:tblStylePr>
    <w:tblStylePr w:type="lastRow">
      <w:pPr>
        <w:spacing w:before="0" w:after="0" w:line="240" w:lineRule="auto"/>
      </w:pPr>
      <w:rPr>
        <w:b/>
        <w:bCs/>
      </w:rPr>
      <w:tblPr/>
      <w:tcPr>
        <w:tcBorders>
          <w:top w:val="double" w:sz="6" w:space="0" w:color="9C5083" w:themeColor="accent2"/>
          <w:left w:val="single" w:sz="8" w:space="0" w:color="9C5083" w:themeColor="accent2"/>
          <w:bottom w:val="single" w:sz="8" w:space="0" w:color="9C5083" w:themeColor="accent2"/>
          <w:right w:val="single" w:sz="8" w:space="0" w:color="9C5083" w:themeColor="accent2"/>
        </w:tcBorders>
      </w:tcPr>
    </w:tblStylePr>
    <w:tblStylePr w:type="firstCol">
      <w:rPr>
        <w:b/>
        <w:bCs/>
      </w:rPr>
    </w:tblStylePr>
    <w:tblStylePr w:type="lastCol">
      <w:rPr>
        <w:b/>
        <w:bCs/>
      </w:rPr>
    </w:tblStylePr>
    <w:tblStylePr w:type="band1Vert">
      <w:tblPr/>
      <w:tcPr>
        <w:tcBorders>
          <w:top w:val="single" w:sz="8" w:space="0" w:color="9C5083" w:themeColor="accent2"/>
          <w:left w:val="single" w:sz="8" w:space="0" w:color="9C5083" w:themeColor="accent2"/>
          <w:bottom w:val="single" w:sz="8" w:space="0" w:color="9C5083" w:themeColor="accent2"/>
          <w:right w:val="single" w:sz="8" w:space="0" w:color="9C5083" w:themeColor="accent2"/>
        </w:tcBorders>
      </w:tcPr>
    </w:tblStylePr>
    <w:tblStylePr w:type="band1Horz">
      <w:tblPr/>
      <w:tcPr>
        <w:tcBorders>
          <w:top w:val="single" w:sz="8" w:space="0" w:color="9C5083" w:themeColor="accent2"/>
          <w:left w:val="single" w:sz="8" w:space="0" w:color="9C5083" w:themeColor="accent2"/>
          <w:bottom w:val="single" w:sz="8" w:space="0" w:color="9C5083" w:themeColor="accent2"/>
          <w:right w:val="single" w:sz="8" w:space="0" w:color="9C5083" w:themeColor="accent2"/>
        </w:tcBorders>
      </w:tcPr>
    </w:tblStylePr>
  </w:style>
  <w:style w:type="table" w:styleId="LightList-Accent3">
    <w:name w:val="Light List Accent 3"/>
    <w:basedOn w:val="TableNormal"/>
    <w:uiPriority w:val="61"/>
    <w:semiHidden/>
    <w:unhideWhenUsed/>
    <w:rsid w:val="009637A8"/>
    <w:pPr>
      <w:spacing w:after="0" w:line="240" w:lineRule="auto"/>
    </w:pPr>
    <w:tblPr>
      <w:tblStyleRowBandSize w:val="1"/>
      <w:tblStyleColBandSize w:val="1"/>
      <w:tblBorders>
        <w:top w:val="single" w:sz="8" w:space="0" w:color="2B746F" w:themeColor="accent3"/>
        <w:left w:val="single" w:sz="8" w:space="0" w:color="2B746F" w:themeColor="accent3"/>
        <w:bottom w:val="single" w:sz="8" w:space="0" w:color="2B746F" w:themeColor="accent3"/>
        <w:right w:val="single" w:sz="8" w:space="0" w:color="2B746F" w:themeColor="accent3"/>
      </w:tblBorders>
    </w:tblPr>
    <w:tblStylePr w:type="firstRow">
      <w:pPr>
        <w:spacing w:before="0" w:after="0" w:line="240" w:lineRule="auto"/>
      </w:pPr>
      <w:rPr>
        <w:b/>
        <w:bCs/>
        <w:color w:val="FFFFFF" w:themeColor="background1"/>
      </w:rPr>
      <w:tblPr/>
      <w:tcPr>
        <w:shd w:val="clear" w:color="auto" w:fill="2B746F" w:themeFill="accent3"/>
      </w:tcPr>
    </w:tblStylePr>
    <w:tblStylePr w:type="lastRow">
      <w:pPr>
        <w:spacing w:before="0" w:after="0" w:line="240" w:lineRule="auto"/>
      </w:pPr>
      <w:rPr>
        <w:b/>
        <w:bCs/>
      </w:rPr>
      <w:tblPr/>
      <w:tcPr>
        <w:tcBorders>
          <w:top w:val="double" w:sz="6" w:space="0" w:color="2B746F" w:themeColor="accent3"/>
          <w:left w:val="single" w:sz="8" w:space="0" w:color="2B746F" w:themeColor="accent3"/>
          <w:bottom w:val="single" w:sz="8" w:space="0" w:color="2B746F" w:themeColor="accent3"/>
          <w:right w:val="single" w:sz="8" w:space="0" w:color="2B746F" w:themeColor="accent3"/>
        </w:tcBorders>
      </w:tcPr>
    </w:tblStylePr>
    <w:tblStylePr w:type="firstCol">
      <w:rPr>
        <w:b/>
        <w:bCs/>
      </w:rPr>
    </w:tblStylePr>
    <w:tblStylePr w:type="lastCol">
      <w:rPr>
        <w:b/>
        <w:bCs/>
      </w:rPr>
    </w:tblStylePr>
    <w:tblStylePr w:type="band1Vert">
      <w:tblPr/>
      <w:tcPr>
        <w:tcBorders>
          <w:top w:val="single" w:sz="8" w:space="0" w:color="2B746F" w:themeColor="accent3"/>
          <w:left w:val="single" w:sz="8" w:space="0" w:color="2B746F" w:themeColor="accent3"/>
          <w:bottom w:val="single" w:sz="8" w:space="0" w:color="2B746F" w:themeColor="accent3"/>
          <w:right w:val="single" w:sz="8" w:space="0" w:color="2B746F" w:themeColor="accent3"/>
        </w:tcBorders>
      </w:tcPr>
    </w:tblStylePr>
    <w:tblStylePr w:type="band1Horz">
      <w:tblPr/>
      <w:tcPr>
        <w:tcBorders>
          <w:top w:val="single" w:sz="8" w:space="0" w:color="2B746F" w:themeColor="accent3"/>
          <w:left w:val="single" w:sz="8" w:space="0" w:color="2B746F" w:themeColor="accent3"/>
          <w:bottom w:val="single" w:sz="8" w:space="0" w:color="2B746F" w:themeColor="accent3"/>
          <w:right w:val="single" w:sz="8" w:space="0" w:color="2B746F" w:themeColor="accent3"/>
        </w:tcBorders>
      </w:tcPr>
    </w:tblStylePr>
  </w:style>
  <w:style w:type="table" w:styleId="LightList-Accent4">
    <w:name w:val="Light List Accent 4"/>
    <w:basedOn w:val="TableNormal"/>
    <w:uiPriority w:val="61"/>
    <w:semiHidden/>
    <w:unhideWhenUsed/>
    <w:rsid w:val="009637A8"/>
    <w:pPr>
      <w:spacing w:after="0" w:line="240" w:lineRule="auto"/>
    </w:pPr>
    <w:tblPr>
      <w:tblStyleRowBandSize w:val="1"/>
      <w:tblStyleColBandSize w:val="1"/>
      <w:tblBorders>
        <w:top w:val="single" w:sz="8" w:space="0" w:color="A6CE39" w:themeColor="accent4"/>
        <w:left w:val="single" w:sz="8" w:space="0" w:color="A6CE39" w:themeColor="accent4"/>
        <w:bottom w:val="single" w:sz="8" w:space="0" w:color="A6CE39" w:themeColor="accent4"/>
        <w:right w:val="single" w:sz="8" w:space="0" w:color="A6CE39" w:themeColor="accent4"/>
      </w:tblBorders>
    </w:tblPr>
    <w:tblStylePr w:type="firstRow">
      <w:pPr>
        <w:spacing w:before="0" w:after="0" w:line="240" w:lineRule="auto"/>
      </w:pPr>
      <w:rPr>
        <w:b/>
        <w:bCs/>
        <w:color w:val="FFFFFF" w:themeColor="background1"/>
      </w:rPr>
      <w:tblPr/>
      <w:tcPr>
        <w:shd w:val="clear" w:color="auto" w:fill="A6CE39" w:themeFill="accent4"/>
      </w:tcPr>
    </w:tblStylePr>
    <w:tblStylePr w:type="lastRow">
      <w:pPr>
        <w:spacing w:before="0" w:after="0" w:line="240" w:lineRule="auto"/>
      </w:pPr>
      <w:rPr>
        <w:b/>
        <w:bCs/>
      </w:rPr>
      <w:tblPr/>
      <w:tcPr>
        <w:tcBorders>
          <w:top w:val="double" w:sz="6" w:space="0" w:color="A6CE39" w:themeColor="accent4"/>
          <w:left w:val="single" w:sz="8" w:space="0" w:color="A6CE39" w:themeColor="accent4"/>
          <w:bottom w:val="single" w:sz="8" w:space="0" w:color="A6CE39" w:themeColor="accent4"/>
          <w:right w:val="single" w:sz="8" w:space="0" w:color="A6CE39" w:themeColor="accent4"/>
        </w:tcBorders>
      </w:tcPr>
    </w:tblStylePr>
    <w:tblStylePr w:type="firstCol">
      <w:rPr>
        <w:b/>
        <w:bCs/>
      </w:rPr>
    </w:tblStylePr>
    <w:tblStylePr w:type="lastCol">
      <w:rPr>
        <w:b/>
        <w:bCs/>
      </w:rPr>
    </w:tblStylePr>
    <w:tblStylePr w:type="band1Vert">
      <w:tblPr/>
      <w:tcPr>
        <w:tcBorders>
          <w:top w:val="single" w:sz="8" w:space="0" w:color="A6CE39" w:themeColor="accent4"/>
          <w:left w:val="single" w:sz="8" w:space="0" w:color="A6CE39" w:themeColor="accent4"/>
          <w:bottom w:val="single" w:sz="8" w:space="0" w:color="A6CE39" w:themeColor="accent4"/>
          <w:right w:val="single" w:sz="8" w:space="0" w:color="A6CE39" w:themeColor="accent4"/>
        </w:tcBorders>
      </w:tcPr>
    </w:tblStylePr>
    <w:tblStylePr w:type="band1Horz">
      <w:tblPr/>
      <w:tcPr>
        <w:tcBorders>
          <w:top w:val="single" w:sz="8" w:space="0" w:color="A6CE39" w:themeColor="accent4"/>
          <w:left w:val="single" w:sz="8" w:space="0" w:color="A6CE39" w:themeColor="accent4"/>
          <w:bottom w:val="single" w:sz="8" w:space="0" w:color="A6CE39" w:themeColor="accent4"/>
          <w:right w:val="single" w:sz="8" w:space="0" w:color="A6CE39" w:themeColor="accent4"/>
        </w:tcBorders>
      </w:tcPr>
    </w:tblStylePr>
  </w:style>
  <w:style w:type="table" w:styleId="LightList-Accent5">
    <w:name w:val="Light List Accent 5"/>
    <w:basedOn w:val="TableNormal"/>
    <w:uiPriority w:val="61"/>
    <w:semiHidden/>
    <w:unhideWhenUsed/>
    <w:rsid w:val="009637A8"/>
    <w:pPr>
      <w:spacing w:after="0" w:line="240" w:lineRule="auto"/>
    </w:pPr>
    <w:tblPr>
      <w:tblStyleRowBandSize w:val="1"/>
      <w:tblStyleColBandSize w:val="1"/>
      <w:tblBorders>
        <w:top w:val="single" w:sz="8" w:space="0" w:color="125A96" w:themeColor="accent5"/>
        <w:left w:val="single" w:sz="8" w:space="0" w:color="125A96" w:themeColor="accent5"/>
        <w:bottom w:val="single" w:sz="8" w:space="0" w:color="125A96" w:themeColor="accent5"/>
        <w:right w:val="single" w:sz="8" w:space="0" w:color="125A96" w:themeColor="accent5"/>
      </w:tblBorders>
    </w:tblPr>
    <w:tblStylePr w:type="firstRow">
      <w:pPr>
        <w:spacing w:before="0" w:after="0" w:line="240" w:lineRule="auto"/>
      </w:pPr>
      <w:rPr>
        <w:b/>
        <w:bCs/>
        <w:color w:val="FFFFFF" w:themeColor="background1"/>
      </w:rPr>
      <w:tblPr/>
      <w:tcPr>
        <w:shd w:val="clear" w:color="auto" w:fill="125A96" w:themeFill="accent5"/>
      </w:tcPr>
    </w:tblStylePr>
    <w:tblStylePr w:type="lastRow">
      <w:pPr>
        <w:spacing w:before="0" w:after="0" w:line="240" w:lineRule="auto"/>
      </w:pPr>
      <w:rPr>
        <w:b/>
        <w:bCs/>
      </w:rPr>
      <w:tblPr/>
      <w:tcPr>
        <w:tcBorders>
          <w:top w:val="double" w:sz="6" w:space="0" w:color="125A96" w:themeColor="accent5"/>
          <w:left w:val="single" w:sz="8" w:space="0" w:color="125A96" w:themeColor="accent5"/>
          <w:bottom w:val="single" w:sz="8" w:space="0" w:color="125A96" w:themeColor="accent5"/>
          <w:right w:val="single" w:sz="8" w:space="0" w:color="125A96" w:themeColor="accent5"/>
        </w:tcBorders>
      </w:tcPr>
    </w:tblStylePr>
    <w:tblStylePr w:type="firstCol">
      <w:rPr>
        <w:b/>
        <w:bCs/>
      </w:rPr>
    </w:tblStylePr>
    <w:tblStylePr w:type="lastCol">
      <w:rPr>
        <w:b/>
        <w:bCs/>
      </w:rPr>
    </w:tblStylePr>
    <w:tblStylePr w:type="band1Vert">
      <w:tblPr/>
      <w:tcPr>
        <w:tcBorders>
          <w:top w:val="single" w:sz="8" w:space="0" w:color="125A96" w:themeColor="accent5"/>
          <w:left w:val="single" w:sz="8" w:space="0" w:color="125A96" w:themeColor="accent5"/>
          <w:bottom w:val="single" w:sz="8" w:space="0" w:color="125A96" w:themeColor="accent5"/>
          <w:right w:val="single" w:sz="8" w:space="0" w:color="125A96" w:themeColor="accent5"/>
        </w:tcBorders>
      </w:tcPr>
    </w:tblStylePr>
    <w:tblStylePr w:type="band1Horz">
      <w:tblPr/>
      <w:tcPr>
        <w:tcBorders>
          <w:top w:val="single" w:sz="8" w:space="0" w:color="125A96" w:themeColor="accent5"/>
          <w:left w:val="single" w:sz="8" w:space="0" w:color="125A96" w:themeColor="accent5"/>
          <w:bottom w:val="single" w:sz="8" w:space="0" w:color="125A96" w:themeColor="accent5"/>
          <w:right w:val="single" w:sz="8" w:space="0" w:color="125A96" w:themeColor="accent5"/>
        </w:tcBorders>
      </w:tcPr>
    </w:tblStylePr>
  </w:style>
  <w:style w:type="table" w:styleId="LightList-Accent6">
    <w:name w:val="Light List Accent 6"/>
    <w:basedOn w:val="TableNormal"/>
    <w:uiPriority w:val="61"/>
    <w:semiHidden/>
    <w:unhideWhenUsed/>
    <w:rsid w:val="009637A8"/>
    <w:pPr>
      <w:spacing w:after="0" w:line="240" w:lineRule="auto"/>
    </w:pPr>
    <w:tblPr>
      <w:tblStyleRowBandSize w:val="1"/>
      <w:tblStyleColBandSize w:val="1"/>
      <w:tblBorders>
        <w:top w:val="single" w:sz="8" w:space="0" w:color="000F9F" w:themeColor="accent6"/>
        <w:left w:val="single" w:sz="8" w:space="0" w:color="000F9F" w:themeColor="accent6"/>
        <w:bottom w:val="single" w:sz="8" w:space="0" w:color="000F9F" w:themeColor="accent6"/>
        <w:right w:val="single" w:sz="8" w:space="0" w:color="000F9F" w:themeColor="accent6"/>
      </w:tblBorders>
    </w:tblPr>
    <w:tblStylePr w:type="firstRow">
      <w:pPr>
        <w:spacing w:before="0" w:after="0" w:line="240" w:lineRule="auto"/>
      </w:pPr>
      <w:rPr>
        <w:b/>
        <w:bCs/>
        <w:color w:val="FFFFFF" w:themeColor="background1"/>
      </w:rPr>
      <w:tblPr/>
      <w:tcPr>
        <w:shd w:val="clear" w:color="auto" w:fill="000F9F" w:themeFill="accent6"/>
      </w:tcPr>
    </w:tblStylePr>
    <w:tblStylePr w:type="lastRow">
      <w:pPr>
        <w:spacing w:before="0" w:after="0" w:line="240" w:lineRule="auto"/>
      </w:pPr>
      <w:rPr>
        <w:b/>
        <w:bCs/>
      </w:rPr>
      <w:tblPr/>
      <w:tcPr>
        <w:tcBorders>
          <w:top w:val="double" w:sz="6" w:space="0" w:color="000F9F" w:themeColor="accent6"/>
          <w:left w:val="single" w:sz="8" w:space="0" w:color="000F9F" w:themeColor="accent6"/>
          <w:bottom w:val="single" w:sz="8" w:space="0" w:color="000F9F" w:themeColor="accent6"/>
          <w:right w:val="single" w:sz="8" w:space="0" w:color="000F9F" w:themeColor="accent6"/>
        </w:tcBorders>
      </w:tcPr>
    </w:tblStylePr>
    <w:tblStylePr w:type="firstCol">
      <w:rPr>
        <w:b/>
        <w:bCs/>
      </w:rPr>
    </w:tblStylePr>
    <w:tblStylePr w:type="lastCol">
      <w:rPr>
        <w:b/>
        <w:bCs/>
      </w:rPr>
    </w:tblStylePr>
    <w:tblStylePr w:type="band1Vert">
      <w:tblPr/>
      <w:tcPr>
        <w:tcBorders>
          <w:top w:val="single" w:sz="8" w:space="0" w:color="000F9F" w:themeColor="accent6"/>
          <w:left w:val="single" w:sz="8" w:space="0" w:color="000F9F" w:themeColor="accent6"/>
          <w:bottom w:val="single" w:sz="8" w:space="0" w:color="000F9F" w:themeColor="accent6"/>
          <w:right w:val="single" w:sz="8" w:space="0" w:color="000F9F" w:themeColor="accent6"/>
        </w:tcBorders>
      </w:tcPr>
    </w:tblStylePr>
    <w:tblStylePr w:type="band1Horz">
      <w:tblPr/>
      <w:tcPr>
        <w:tcBorders>
          <w:top w:val="single" w:sz="8" w:space="0" w:color="000F9F" w:themeColor="accent6"/>
          <w:left w:val="single" w:sz="8" w:space="0" w:color="000F9F" w:themeColor="accent6"/>
          <w:bottom w:val="single" w:sz="8" w:space="0" w:color="000F9F" w:themeColor="accent6"/>
          <w:right w:val="single" w:sz="8" w:space="0" w:color="000F9F" w:themeColor="accent6"/>
        </w:tcBorders>
      </w:tcPr>
    </w:tblStylePr>
  </w:style>
  <w:style w:type="table" w:styleId="LightShading">
    <w:name w:val="Light Shading"/>
    <w:basedOn w:val="TableNormal"/>
    <w:uiPriority w:val="60"/>
    <w:semiHidden/>
    <w:unhideWhenUsed/>
    <w:rsid w:val="009637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637A8"/>
    <w:pPr>
      <w:spacing w:after="0" w:line="240" w:lineRule="auto"/>
    </w:pPr>
    <w:rPr>
      <w:color w:val="3A857E" w:themeColor="accent1" w:themeShade="BF"/>
    </w:rPr>
    <w:tblPr>
      <w:tblStyleRowBandSize w:val="1"/>
      <w:tblStyleColBandSize w:val="1"/>
      <w:tblBorders>
        <w:top w:val="single" w:sz="8" w:space="0" w:color="4EB2A9" w:themeColor="accent1"/>
        <w:bottom w:val="single" w:sz="8" w:space="0" w:color="4EB2A9" w:themeColor="accent1"/>
      </w:tblBorders>
    </w:tblPr>
    <w:tblStylePr w:type="firstRow">
      <w:pPr>
        <w:spacing w:before="0" w:after="0" w:line="240" w:lineRule="auto"/>
      </w:pPr>
      <w:rPr>
        <w:b/>
        <w:bCs/>
      </w:rPr>
      <w:tblPr/>
      <w:tcPr>
        <w:tcBorders>
          <w:top w:val="single" w:sz="8" w:space="0" w:color="4EB2A9" w:themeColor="accent1"/>
          <w:left w:val="nil"/>
          <w:bottom w:val="single" w:sz="8" w:space="0" w:color="4EB2A9" w:themeColor="accent1"/>
          <w:right w:val="nil"/>
          <w:insideH w:val="nil"/>
          <w:insideV w:val="nil"/>
        </w:tcBorders>
      </w:tcPr>
    </w:tblStylePr>
    <w:tblStylePr w:type="lastRow">
      <w:pPr>
        <w:spacing w:before="0" w:after="0" w:line="240" w:lineRule="auto"/>
      </w:pPr>
      <w:rPr>
        <w:b/>
        <w:bCs/>
      </w:rPr>
      <w:tblPr/>
      <w:tcPr>
        <w:tcBorders>
          <w:top w:val="single" w:sz="8" w:space="0" w:color="4EB2A9" w:themeColor="accent1"/>
          <w:left w:val="nil"/>
          <w:bottom w:val="single" w:sz="8" w:space="0" w:color="4E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E9" w:themeFill="accent1" w:themeFillTint="3F"/>
      </w:tcPr>
    </w:tblStylePr>
    <w:tblStylePr w:type="band1Horz">
      <w:tblPr/>
      <w:tcPr>
        <w:tcBorders>
          <w:left w:val="nil"/>
          <w:right w:val="nil"/>
          <w:insideH w:val="nil"/>
          <w:insideV w:val="nil"/>
        </w:tcBorders>
        <w:shd w:val="clear" w:color="auto" w:fill="D3ECE9" w:themeFill="accent1" w:themeFillTint="3F"/>
      </w:tcPr>
    </w:tblStylePr>
  </w:style>
  <w:style w:type="table" w:styleId="LightShading-Accent2">
    <w:name w:val="Light Shading Accent 2"/>
    <w:basedOn w:val="TableNormal"/>
    <w:uiPriority w:val="60"/>
    <w:semiHidden/>
    <w:unhideWhenUsed/>
    <w:rsid w:val="009637A8"/>
    <w:pPr>
      <w:spacing w:after="0" w:line="240" w:lineRule="auto"/>
    </w:pPr>
    <w:rPr>
      <w:color w:val="743C62" w:themeColor="accent2" w:themeShade="BF"/>
    </w:rPr>
    <w:tblPr>
      <w:tblStyleRowBandSize w:val="1"/>
      <w:tblStyleColBandSize w:val="1"/>
      <w:tblBorders>
        <w:top w:val="single" w:sz="8" w:space="0" w:color="9C5083" w:themeColor="accent2"/>
        <w:bottom w:val="single" w:sz="8" w:space="0" w:color="9C5083" w:themeColor="accent2"/>
      </w:tblBorders>
    </w:tblPr>
    <w:tblStylePr w:type="firstRow">
      <w:pPr>
        <w:spacing w:before="0" w:after="0" w:line="240" w:lineRule="auto"/>
      </w:pPr>
      <w:rPr>
        <w:b/>
        <w:bCs/>
      </w:rPr>
      <w:tblPr/>
      <w:tcPr>
        <w:tcBorders>
          <w:top w:val="single" w:sz="8" w:space="0" w:color="9C5083" w:themeColor="accent2"/>
          <w:left w:val="nil"/>
          <w:bottom w:val="single" w:sz="8" w:space="0" w:color="9C5083" w:themeColor="accent2"/>
          <w:right w:val="nil"/>
          <w:insideH w:val="nil"/>
          <w:insideV w:val="nil"/>
        </w:tcBorders>
      </w:tcPr>
    </w:tblStylePr>
    <w:tblStylePr w:type="lastRow">
      <w:pPr>
        <w:spacing w:before="0" w:after="0" w:line="240" w:lineRule="auto"/>
      </w:pPr>
      <w:rPr>
        <w:b/>
        <w:bCs/>
      </w:rPr>
      <w:tblPr/>
      <w:tcPr>
        <w:tcBorders>
          <w:top w:val="single" w:sz="8" w:space="0" w:color="9C5083" w:themeColor="accent2"/>
          <w:left w:val="nil"/>
          <w:bottom w:val="single" w:sz="8" w:space="0" w:color="9C508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2E0" w:themeFill="accent2" w:themeFillTint="3F"/>
      </w:tcPr>
    </w:tblStylePr>
    <w:tblStylePr w:type="band1Horz">
      <w:tblPr/>
      <w:tcPr>
        <w:tcBorders>
          <w:left w:val="nil"/>
          <w:right w:val="nil"/>
          <w:insideH w:val="nil"/>
          <w:insideV w:val="nil"/>
        </w:tcBorders>
        <w:shd w:val="clear" w:color="auto" w:fill="E8D2E0" w:themeFill="accent2" w:themeFillTint="3F"/>
      </w:tcPr>
    </w:tblStylePr>
  </w:style>
  <w:style w:type="table" w:styleId="LightShading-Accent3">
    <w:name w:val="Light Shading Accent 3"/>
    <w:basedOn w:val="TableNormal"/>
    <w:uiPriority w:val="60"/>
    <w:semiHidden/>
    <w:unhideWhenUsed/>
    <w:rsid w:val="009637A8"/>
    <w:pPr>
      <w:spacing w:after="0" w:line="240" w:lineRule="auto"/>
    </w:pPr>
    <w:rPr>
      <w:color w:val="205652" w:themeColor="accent3" w:themeShade="BF"/>
    </w:rPr>
    <w:tblPr>
      <w:tblStyleRowBandSize w:val="1"/>
      <w:tblStyleColBandSize w:val="1"/>
      <w:tblBorders>
        <w:top w:val="single" w:sz="8" w:space="0" w:color="2B746F" w:themeColor="accent3"/>
        <w:bottom w:val="single" w:sz="8" w:space="0" w:color="2B746F" w:themeColor="accent3"/>
      </w:tblBorders>
    </w:tblPr>
    <w:tblStylePr w:type="firstRow">
      <w:pPr>
        <w:spacing w:before="0" w:after="0" w:line="240" w:lineRule="auto"/>
      </w:pPr>
      <w:rPr>
        <w:b/>
        <w:bCs/>
      </w:rPr>
      <w:tblPr/>
      <w:tcPr>
        <w:tcBorders>
          <w:top w:val="single" w:sz="8" w:space="0" w:color="2B746F" w:themeColor="accent3"/>
          <w:left w:val="nil"/>
          <w:bottom w:val="single" w:sz="8" w:space="0" w:color="2B746F" w:themeColor="accent3"/>
          <w:right w:val="nil"/>
          <w:insideH w:val="nil"/>
          <w:insideV w:val="nil"/>
        </w:tcBorders>
      </w:tcPr>
    </w:tblStylePr>
    <w:tblStylePr w:type="lastRow">
      <w:pPr>
        <w:spacing w:before="0" w:after="0" w:line="240" w:lineRule="auto"/>
      </w:pPr>
      <w:rPr>
        <w:b/>
        <w:bCs/>
      </w:rPr>
      <w:tblPr/>
      <w:tcPr>
        <w:tcBorders>
          <w:top w:val="single" w:sz="8" w:space="0" w:color="2B746F" w:themeColor="accent3"/>
          <w:left w:val="nil"/>
          <w:bottom w:val="single" w:sz="8" w:space="0" w:color="2B74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7E4" w:themeFill="accent3" w:themeFillTint="3F"/>
      </w:tcPr>
    </w:tblStylePr>
    <w:tblStylePr w:type="band1Horz">
      <w:tblPr/>
      <w:tcPr>
        <w:tcBorders>
          <w:left w:val="nil"/>
          <w:right w:val="nil"/>
          <w:insideH w:val="nil"/>
          <w:insideV w:val="nil"/>
        </w:tcBorders>
        <w:shd w:val="clear" w:color="auto" w:fill="BFE7E4" w:themeFill="accent3" w:themeFillTint="3F"/>
      </w:tcPr>
    </w:tblStylePr>
  </w:style>
  <w:style w:type="table" w:styleId="LightShading-Accent4">
    <w:name w:val="Light Shading Accent 4"/>
    <w:basedOn w:val="TableNormal"/>
    <w:uiPriority w:val="60"/>
    <w:semiHidden/>
    <w:unhideWhenUsed/>
    <w:rsid w:val="009637A8"/>
    <w:pPr>
      <w:spacing w:after="0" w:line="240" w:lineRule="auto"/>
    </w:pPr>
    <w:rPr>
      <w:color w:val="7D9D27" w:themeColor="accent4" w:themeShade="BF"/>
    </w:rPr>
    <w:tblPr>
      <w:tblStyleRowBandSize w:val="1"/>
      <w:tblStyleColBandSize w:val="1"/>
      <w:tblBorders>
        <w:top w:val="single" w:sz="8" w:space="0" w:color="A6CE39" w:themeColor="accent4"/>
        <w:bottom w:val="single" w:sz="8" w:space="0" w:color="A6CE39" w:themeColor="accent4"/>
      </w:tblBorders>
    </w:tblPr>
    <w:tblStylePr w:type="firstRow">
      <w:pPr>
        <w:spacing w:before="0" w:after="0" w:line="240" w:lineRule="auto"/>
      </w:pPr>
      <w:rPr>
        <w:b/>
        <w:bCs/>
      </w:rPr>
      <w:tblPr/>
      <w:tcPr>
        <w:tcBorders>
          <w:top w:val="single" w:sz="8" w:space="0" w:color="A6CE39" w:themeColor="accent4"/>
          <w:left w:val="nil"/>
          <w:bottom w:val="single" w:sz="8" w:space="0" w:color="A6CE39" w:themeColor="accent4"/>
          <w:right w:val="nil"/>
          <w:insideH w:val="nil"/>
          <w:insideV w:val="nil"/>
        </w:tcBorders>
      </w:tcPr>
    </w:tblStylePr>
    <w:tblStylePr w:type="lastRow">
      <w:pPr>
        <w:spacing w:before="0" w:after="0" w:line="240" w:lineRule="auto"/>
      </w:pPr>
      <w:rPr>
        <w:b/>
        <w:bCs/>
      </w:rPr>
      <w:tblPr/>
      <w:tcPr>
        <w:tcBorders>
          <w:top w:val="single" w:sz="8" w:space="0" w:color="A6CE39" w:themeColor="accent4"/>
          <w:left w:val="nil"/>
          <w:bottom w:val="single" w:sz="8" w:space="0" w:color="A6CE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2CD" w:themeFill="accent4" w:themeFillTint="3F"/>
      </w:tcPr>
    </w:tblStylePr>
    <w:tblStylePr w:type="band1Horz">
      <w:tblPr/>
      <w:tcPr>
        <w:tcBorders>
          <w:left w:val="nil"/>
          <w:right w:val="nil"/>
          <w:insideH w:val="nil"/>
          <w:insideV w:val="nil"/>
        </w:tcBorders>
        <w:shd w:val="clear" w:color="auto" w:fill="E8F2CD" w:themeFill="accent4" w:themeFillTint="3F"/>
      </w:tcPr>
    </w:tblStylePr>
  </w:style>
  <w:style w:type="table" w:styleId="LightShading-Accent5">
    <w:name w:val="Light Shading Accent 5"/>
    <w:basedOn w:val="TableNormal"/>
    <w:uiPriority w:val="60"/>
    <w:semiHidden/>
    <w:unhideWhenUsed/>
    <w:rsid w:val="009637A8"/>
    <w:pPr>
      <w:spacing w:after="0" w:line="240" w:lineRule="auto"/>
    </w:pPr>
    <w:rPr>
      <w:color w:val="0D4370" w:themeColor="accent5" w:themeShade="BF"/>
    </w:rPr>
    <w:tblPr>
      <w:tblStyleRowBandSize w:val="1"/>
      <w:tblStyleColBandSize w:val="1"/>
      <w:tblBorders>
        <w:top w:val="single" w:sz="8" w:space="0" w:color="125A96" w:themeColor="accent5"/>
        <w:bottom w:val="single" w:sz="8" w:space="0" w:color="125A96" w:themeColor="accent5"/>
      </w:tblBorders>
    </w:tblPr>
    <w:tblStylePr w:type="firstRow">
      <w:pPr>
        <w:spacing w:before="0" w:after="0" w:line="240" w:lineRule="auto"/>
      </w:pPr>
      <w:rPr>
        <w:b/>
        <w:bCs/>
      </w:rPr>
      <w:tblPr/>
      <w:tcPr>
        <w:tcBorders>
          <w:top w:val="single" w:sz="8" w:space="0" w:color="125A96" w:themeColor="accent5"/>
          <w:left w:val="nil"/>
          <w:bottom w:val="single" w:sz="8" w:space="0" w:color="125A96" w:themeColor="accent5"/>
          <w:right w:val="nil"/>
          <w:insideH w:val="nil"/>
          <w:insideV w:val="nil"/>
        </w:tcBorders>
      </w:tcPr>
    </w:tblStylePr>
    <w:tblStylePr w:type="lastRow">
      <w:pPr>
        <w:spacing w:before="0" w:after="0" w:line="240" w:lineRule="auto"/>
      </w:pPr>
      <w:rPr>
        <w:b/>
        <w:bCs/>
      </w:rPr>
      <w:tblPr/>
      <w:tcPr>
        <w:tcBorders>
          <w:top w:val="single" w:sz="8" w:space="0" w:color="125A96" w:themeColor="accent5"/>
          <w:left w:val="nil"/>
          <w:bottom w:val="single" w:sz="8" w:space="0" w:color="125A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7F6" w:themeFill="accent5" w:themeFillTint="3F"/>
      </w:tcPr>
    </w:tblStylePr>
    <w:tblStylePr w:type="band1Horz">
      <w:tblPr/>
      <w:tcPr>
        <w:tcBorders>
          <w:left w:val="nil"/>
          <w:right w:val="nil"/>
          <w:insideH w:val="nil"/>
          <w:insideV w:val="nil"/>
        </w:tcBorders>
        <w:shd w:val="clear" w:color="auto" w:fill="B3D7F6" w:themeFill="accent5" w:themeFillTint="3F"/>
      </w:tcPr>
    </w:tblStylePr>
  </w:style>
  <w:style w:type="table" w:styleId="LightShading-Accent6">
    <w:name w:val="Light Shading Accent 6"/>
    <w:basedOn w:val="TableNormal"/>
    <w:uiPriority w:val="60"/>
    <w:semiHidden/>
    <w:unhideWhenUsed/>
    <w:rsid w:val="009637A8"/>
    <w:pPr>
      <w:spacing w:after="0" w:line="240" w:lineRule="auto"/>
    </w:pPr>
    <w:rPr>
      <w:color w:val="000B77" w:themeColor="accent6" w:themeShade="BF"/>
    </w:rPr>
    <w:tblPr>
      <w:tblStyleRowBandSize w:val="1"/>
      <w:tblStyleColBandSize w:val="1"/>
      <w:tblBorders>
        <w:top w:val="single" w:sz="8" w:space="0" w:color="000F9F" w:themeColor="accent6"/>
        <w:bottom w:val="single" w:sz="8" w:space="0" w:color="000F9F" w:themeColor="accent6"/>
      </w:tblBorders>
    </w:tblPr>
    <w:tblStylePr w:type="firstRow">
      <w:pPr>
        <w:spacing w:before="0" w:after="0" w:line="240" w:lineRule="auto"/>
      </w:pPr>
      <w:rPr>
        <w:b/>
        <w:bCs/>
      </w:rPr>
      <w:tblPr/>
      <w:tcPr>
        <w:tcBorders>
          <w:top w:val="single" w:sz="8" w:space="0" w:color="000F9F" w:themeColor="accent6"/>
          <w:left w:val="nil"/>
          <w:bottom w:val="single" w:sz="8" w:space="0" w:color="000F9F" w:themeColor="accent6"/>
          <w:right w:val="nil"/>
          <w:insideH w:val="nil"/>
          <w:insideV w:val="nil"/>
        </w:tcBorders>
      </w:tcPr>
    </w:tblStylePr>
    <w:tblStylePr w:type="lastRow">
      <w:pPr>
        <w:spacing w:before="0" w:after="0" w:line="240" w:lineRule="auto"/>
      </w:pPr>
      <w:rPr>
        <w:b/>
        <w:bCs/>
      </w:rPr>
      <w:tblPr/>
      <w:tcPr>
        <w:tcBorders>
          <w:top w:val="single" w:sz="8" w:space="0" w:color="000F9F" w:themeColor="accent6"/>
          <w:left w:val="nil"/>
          <w:bottom w:val="single" w:sz="8" w:space="0" w:color="000F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B0FF" w:themeFill="accent6" w:themeFillTint="3F"/>
      </w:tcPr>
    </w:tblStylePr>
    <w:tblStylePr w:type="band1Horz">
      <w:tblPr/>
      <w:tcPr>
        <w:tcBorders>
          <w:left w:val="nil"/>
          <w:right w:val="nil"/>
          <w:insideH w:val="nil"/>
          <w:insideV w:val="nil"/>
        </w:tcBorders>
        <w:shd w:val="clear" w:color="auto" w:fill="A8B0FF" w:themeFill="accent6" w:themeFillTint="3F"/>
      </w:tcPr>
    </w:tblStylePr>
  </w:style>
  <w:style w:type="character" w:styleId="LineNumber">
    <w:name w:val="line number"/>
    <w:basedOn w:val="DefaultParagraphFont"/>
    <w:uiPriority w:val="99"/>
    <w:semiHidden/>
    <w:rsid w:val="009637A8"/>
  </w:style>
  <w:style w:type="paragraph" w:styleId="List">
    <w:name w:val="List"/>
    <w:basedOn w:val="Normal"/>
    <w:uiPriority w:val="99"/>
    <w:semiHidden/>
    <w:rsid w:val="009637A8"/>
    <w:pPr>
      <w:spacing w:after="160" w:line="259" w:lineRule="auto"/>
      <w:ind w:left="283" w:hanging="283"/>
      <w:contextualSpacing/>
    </w:pPr>
  </w:style>
  <w:style w:type="paragraph" w:styleId="List2">
    <w:name w:val="List 2"/>
    <w:basedOn w:val="Normal"/>
    <w:uiPriority w:val="99"/>
    <w:semiHidden/>
    <w:rsid w:val="009637A8"/>
    <w:pPr>
      <w:spacing w:after="160" w:line="259" w:lineRule="auto"/>
      <w:ind w:left="566" w:hanging="283"/>
      <w:contextualSpacing/>
    </w:pPr>
  </w:style>
  <w:style w:type="paragraph" w:styleId="List3">
    <w:name w:val="List 3"/>
    <w:basedOn w:val="Normal"/>
    <w:uiPriority w:val="99"/>
    <w:semiHidden/>
    <w:rsid w:val="009637A8"/>
    <w:pPr>
      <w:spacing w:after="160" w:line="259" w:lineRule="auto"/>
      <w:ind w:left="849" w:hanging="283"/>
      <w:contextualSpacing/>
    </w:pPr>
  </w:style>
  <w:style w:type="paragraph" w:styleId="List4">
    <w:name w:val="List 4"/>
    <w:basedOn w:val="Normal"/>
    <w:uiPriority w:val="99"/>
    <w:semiHidden/>
    <w:rsid w:val="009637A8"/>
    <w:pPr>
      <w:spacing w:after="160" w:line="259" w:lineRule="auto"/>
      <w:ind w:left="1132" w:hanging="283"/>
      <w:contextualSpacing/>
    </w:pPr>
  </w:style>
  <w:style w:type="paragraph" w:styleId="List5">
    <w:name w:val="List 5"/>
    <w:basedOn w:val="Normal"/>
    <w:uiPriority w:val="99"/>
    <w:semiHidden/>
    <w:rsid w:val="009637A8"/>
    <w:pPr>
      <w:spacing w:after="160" w:line="259" w:lineRule="auto"/>
      <w:ind w:left="1415" w:hanging="283"/>
      <w:contextualSpacing/>
    </w:pPr>
  </w:style>
  <w:style w:type="paragraph" w:styleId="ListBullet">
    <w:name w:val="List Bullet"/>
    <w:basedOn w:val="Normal"/>
    <w:uiPriority w:val="99"/>
    <w:qFormat/>
    <w:rsid w:val="004F56DC"/>
    <w:pPr>
      <w:numPr>
        <w:numId w:val="13"/>
      </w:numPr>
      <w:spacing w:before="160" w:after="160"/>
    </w:pPr>
  </w:style>
  <w:style w:type="paragraph" w:styleId="ListBullet2">
    <w:name w:val="List Bullet 2"/>
    <w:basedOn w:val="Normal"/>
    <w:uiPriority w:val="99"/>
    <w:qFormat/>
    <w:rsid w:val="004F56DC"/>
    <w:pPr>
      <w:numPr>
        <w:ilvl w:val="1"/>
        <w:numId w:val="13"/>
      </w:numPr>
      <w:spacing w:before="160" w:after="80"/>
    </w:pPr>
  </w:style>
  <w:style w:type="paragraph" w:styleId="ListBullet3">
    <w:name w:val="List Bullet 3"/>
    <w:basedOn w:val="Normal"/>
    <w:uiPriority w:val="99"/>
    <w:qFormat/>
    <w:rsid w:val="00A0757D"/>
    <w:pPr>
      <w:numPr>
        <w:ilvl w:val="2"/>
        <w:numId w:val="13"/>
      </w:numPr>
      <w:spacing w:before="80" w:after="80"/>
    </w:pPr>
  </w:style>
  <w:style w:type="paragraph" w:styleId="ListBullet4">
    <w:name w:val="List Bullet 4"/>
    <w:basedOn w:val="Normal"/>
    <w:uiPriority w:val="99"/>
    <w:semiHidden/>
    <w:rsid w:val="009637A8"/>
    <w:pPr>
      <w:numPr>
        <w:numId w:val="4"/>
      </w:numPr>
      <w:spacing w:after="160" w:line="259" w:lineRule="auto"/>
      <w:contextualSpacing/>
    </w:pPr>
  </w:style>
  <w:style w:type="paragraph" w:styleId="ListBullet5">
    <w:name w:val="List Bullet 5"/>
    <w:basedOn w:val="Normal"/>
    <w:uiPriority w:val="99"/>
    <w:semiHidden/>
    <w:rsid w:val="009637A8"/>
    <w:pPr>
      <w:numPr>
        <w:numId w:val="5"/>
      </w:numPr>
      <w:spacing w:after="160" w:line="259" w:lineRule="auto"/>
      <w:contextualSpacing/>
    </w:pPr>
  </w:style>
  <w:style w:type="paragraph" w:styleId="ListContinue">
    <w:name w:val="List Continue"/>
    <w:basedOn w:val="Normal"/>
    <w:uiPriority w:val="99"/>
    <w:semiHidden/>
    <w:rsid w:val="009637A8"/>
    <w:pPr>
      <w:spacing w:line="259" w:lineRule="auto"/>
      <w:ind w:left="283"/>
      <w:contextualSpacing/>
    </w:pPr>
  </w:style>
  <w:style w:type="paragraph" w:styleId="ListContinue2">
    <w:name w:val="List Continue 2"/>
    <w:basedOn w:val="Normal"/>
    <w:uiPriority w:val="99"/>
    <w:semiHidden/>
    <w:rsid w:val="009637A8"/>
    <w:pPr>
      <w:spacing w:line="259" w:lineRule="auto"/>
      <w:ind w:left="566"/>
      <w:contextualSpacing/>
    </w:pPr>
  </w:style>
  <w:style w:type="paragraph" w:styleId="ListContinue3">
    <w:name w:val="List Continue 3"/>
    <w:basedOn w:val="Normal"/>
    <w:uiPriority w:val="99"/>
    <w:semiHidden/>
    <w:rsid w:val="009637A8"/>
    <w:pPr>
      <w:spacing w:line="259" w:lineRule="auto"/>
      <w:ind w:left="849"/>
      <w:contextualSpacing/>
    </w:pPr>
  </w:style>
  <w:style w:type="paragraph" w:styleId="ListContinue4">
    <w:name w:val="List Continue 4"/>
    <w:basedOn w:val="Normal"/>
    <w:uiPriority w:val="99"/>
    <w:semiHidden/>
    <w:rsid w:val="009637A8"/>
    <w:pPr>
      <w:spacing w:line="259" w:lineRule="auto"/>
      <w:ind w:left="1132"/>
      <w:contextualSpacing/>
    </w:pPr>
  </w:style>
  <w:style w:type="paragraph" w:styleId="ListContinue5">
    <w:name w:val="List Continue 5"/>
    <w:basedOn w:val="Normal"/>
    <w:uiPriority w:val="99"/>
    <w:semiHidden/>
    <w:rsid w:val="009637A8"/>
    <w:pPr>
      <w:spacing w:line="259" w:lineRule="auto"/>
      <w:ind w:left="1415"/>
      <w:contextualSpacing/>
    </w:pPr>
  </w:style>
  <w:style w:type="paragraph" w:styleId="ListNumber">
    <w:name w:val="List Number"/>
    <w:basedOn w:val="Normal"/>
    <w:uiPriority w:val="99"/>
    <w:qFormat/>
    <w:rsid w:val="00632D4C"/>
    <w:pPr>
      <w:numPr>
        <w:numId w:val="11"/>
      </w:numPr>
      <w:spacing w:before="160" w:after="160"/>
    </w:pPr>
  </w:style>
  <w:style w:type="paragraph" w:styleId="ListNumber2">
    <w:name w:val="List Number 2"/>
    <w:basedOn w:val="Normal"/>
    <w:uiPriority w:val="99"/>
    <w:qFormat/>
    <w:rsid w:val="00632D4C"/>
    <w:pPr>
      <w:numPr>
        <w:ilvl w:val="1"/>
        <w:numId w:val="11"/>
      </w:numPr>
      <w:spacing w:before="160" w:after="80"/>
    </w:pPr>
  </w:style>
  <w:style w:type="paragraph" w:styleId="ListNumber3">
    <w:name w:val="List Number 3"/>
    <w:basedOn w:val="Normal"/>
    <w:uiPriority w:val="99"/>
    <w:qFormat/>
    <w:rsid w:val="00707D31"/>
    <w:pPr>
      <w:numPr>
        <w:ilvl w:val="2"/>
        <w:numId w:val="11"/>
      </w:numPr>
      <w:spacing w:before="80" w:after="80"/>
    </w:pPr>
  </w:style>
  <w:style w:type="paragraph" w:styleId="ListNumber4">
    <w:name w:val="List Number 4"/>
    <w:basedOn w:val="Normal"/>
    <w:uiPriority w:val="99"/>
    <w:semiHidden/>
    <w:rsid w:val="009637A8"/>
    <w:pPr>
      <w:numPr>
        <w:numId w:val="6"/>
      </w:numPr>
      <w:spacing w:after="160" w:line="259" w:lineRule="auto"/>
      <w:contextualSpacing/>
    </w:pPr>
  </w:style>
  <w:style w:type="paragraph" w:styleId="ListNumber5">
    <w:name w:val="List Number 5"/>
    <w:basedOn w:val="Normal"/>
    <w:uiPriority w:val="99"/>
    <w:semiHidden/>
    <w:rsid w:val="009637A8"/>
    <w:pPr>
      <w:numPr>
        <w:numId w:val="7"/>
      </w:numPr>
      <w:spacing w:after="160" w:line="259" w:lineRule="auto"/>
      <w:contextualSpacing/>
    </w:pPr>
  </w:style>
  <w:style w:type="paragraph" w:styleId="ListParagraph">
    <w:name w:val="List Paragraph"/>
    <w:basedOn w:val="Normal"/>
    <w:uiPriority w:val="34"/>
    <w:semiHidden/>
    <w:qFormat/>
    <w:rsid w:val="009637A8"/>
    <w:pPr>
      <w:spacing w:after="160" w:line="259" w:lineRule="auto"/>
      <w:ind w:left="720"/>
      <w:contextualSpacing/>
    </w:pPr>
  </w:style>
  <w:style w:type="table" w:styleId="ListTable1Light">
    <w:name w:val="List Table 1 Light"/>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94D0CB" w:themeColor="accent1" w:themeTint="99"/>
        </w:tcBorders>
      </w:tcPr>
    </w:tblStylePr>
    <w:tblStylePr w:type="lastRow">
      <w:rPr>
        <w:b/>
        <w:bCs/>
      </w:rPr>
      <w:tblPr/>
      <w:tcPr>
        <w:tcBorders>
          <w:top w:val="single" w:sz="4" w:space="0" w:color="94D0CB" w:themeColor="accent1" w:themeTint="99"/>
        </w:tcBorders>
      </w:tcPr>
    </w:tblStylePr>
    <w:tblStylePr w:type="firstCol">
      <w:rPr>
        <w:b/>
        <w:bCs/>
      </w:rPr>
    </w:tblStylePr>
    <w:tblStylePr w:type="lastCol">
      <w:rPr>
        <w:b/>
        <w:bCs/>
      </w:rPr>
    </w:tblStylePr>
    <w:tblStylePr w:type="band1Vert">
      <w:tblPr/>
      <w:tcPr>
        <w:shd w:val="clear" w:color="auto" w:fill="DBEFED" w:themeFill="accent1" w:themeFillTint="33"/>
      </w:tcPr>
    </w:tblStylePr>
    <w:tblStylePr w:type="band1Horz">
      <w:tblPr/>
      <w:tcPr>
        <w:shd w:val="clear" w:color="auto" w:fill="DBEFED" w:themeFill="accent1" w:themeFillTint="33"/>
      </w:tcPr>
    </w:tblStylePr>
  </w:style>
  <w:style w:type="table" w:styleId="ListTable1Light-Accent2">
    <w:name w:val="List Table 1 Light Accent 2"/>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C792B5" w:themeColor="accent2" w:themeTint="99"/>
        </w:tcBorders>
      </w:tcPr>
    </w:tblStylePr>
    <w:tblStylePr w:type="lastRow">
      <w:rPr>
        <w:b/>
        <w:bCs/>
      </w:rPr>
      <w:tblPr/>
      <w:tcPr>
        <w:tcBorders>
          <w:top w:val="single" w:sz="4" w:space="0" w:color="C792B5" w:themeColor="accent2" w:themeTint="99"/>
        </w:tcBorders>
      </w:tcPr>
    </w:tblStylePr>
    <w:tblStylePr w:type="firstCol">
      <w:rPr>
        <w:b/>
        <w:bCs/>
      </w:rPr>
    </w:tblStylePr>
    <w:tblStylePr w:type="lastCol">
      <w:rPr>
        <w:b/>
        <w:bCs/>
      </w:rPr>
    </w:tblStylePr>
    <w:tblStylePr w:type="band1Vert">
      <w:tblPr/>
      <w:tcPr>
        <w:shd w:val="clear" w:color="auto" w:fill="ECDAE6" w:themeFill="accent2" w:themeFillTint="33"/>
      </w:tcPr>
    </w:tblStylePr>
    <w:tblStylePr w:type="band1Horz">
      <w:tblPr/>
      <w:tcPr>
        <w:shd w:val="clear" w:color="auto" w:fill="ECDAE6" w:themeFill="accent2" w:themeFillTint="33"/>
      </w:tcPr>
    </w:tblStylePr>
  </w:style>
  <w:style w:type="table" w:styleId="ListTable1Light-Accent3">
    <w:name w:val="List Table 1 Light Accent 3"/>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65C6BF" w:themeColor="accent3" w:themeTint="99"/>
        </w:tcBorders>
      </w:tcPr>
    </w:tblStylePr>
    <w:tblStylePr w:type="lastRow">
      <w:rPr>
        <w:b/>
        <w:bCs/>
      </w:rPr>
      <w:tblPr/>
      <w:tcPr>
        <w:tcBorders>
          <w:top w:val="single" w:sz="4" w:space="0" w:color="65C6BF" w:themeColor="accent3" w:themeTint="99"/>
        </w:tcBorders>
      </w:tcPr>
    </w:tblStylePr>
    <w:tblStylePr w:type="firstCol">
      <w:rPr>
        <w:b/>
        <w:bCs/>
      </w:rPr>
    </w:tblStylePr>
    <w:tblStylePr w:type="lastCol">
      <w:rPr>
        <w:b/>
        <w:bCs/>
      </w:rPr>
    </w:tblStylePr>
    <w:tblStylePr w:type="band1Vert">
      <w:tblPr/>
      <w:tcPr>
        <w:shd w:val="clear" w:color="auto" w:fill="CBECE9" w:themeFill="accent3" w:themeFillTint="33"/>
      </w:tcPr>
    </w:tblStylePr>
    <w:tblStylePr w:type="band1Horz">
      <w:tblPr/>
      <w:tcPr>
        <w:shd w:val="clear" w:color="auto" w:fill="CBECE9" w:themeFill="accent3" w:themeFillTint="33"/>
      </w:tcPr>
    </w:tblStylePr>
  </w:style>
  <w:style w:type="table" w:styleId="ListTable1Light-Accent4">
    <w:name w:val="List Table 1 Light Accent 4"/>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C9E188" w:themeColor="accent4" w:themeTint="99"/>
        </w:tcBorders>
      </w:tcPr>
    </w:tblStylePr>
    <w:tblStylePr w:type="lastRow">
      <w:rPr>
        <w:b/>
        <w:bCs/>
      </w:rPr>
      <w:tblPr/>
      <w:tcPr>
        <w:tcBorders>
          <w:top w:val="single" w:sz="4" w:space="0" w:color="C9E188" w:themeColor="accent4" w:themeTint="99"/>
        </w:tcBorders>
      </w:tcPr>
    </w:tblStylePr>
    <w:tblStylePr w:type="firstCol">
      <w:rPr>
        <w:b/>
        <w:bCs/>
      </w:rPr>
    </w:tblStylePr>
    <w:tblStylePr w:type="lastCol">
      <w:rPr>
        <w:b/>
        <w:bCs/>
      </w:rPr>
    </w:tblStylePr>
    <w:tblStylePr w:type="band1Vert">
      <w:tblPr/>
      <w:tcPr>
        <w:shd w:val="clear" w:color="auto" w:fill="EDF5D7" w:themeFill="accent4" w:themeFillTint="33"/>
      </w:tcPr>
    </w:tblStylePr>
    <w:tblStylePr w:type="band1Horz">
      <w:tblPr/>
      <w:tcPr>
        <w:shd w:val="clear" w:color="auto" w:fill="EDF5D7" w:themeFill="accent4" w:themeFillTint="33"/>
      </w:tcPr>
    </w:tblStylePr>
  </w:style>
  <w:style w:type="table" w:styleId="ListTable1Light-Accent5">
    <w:name w:val="List Table 1 Light Accent 5"/>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479FE9" w:themeColor="accent5" w:themeTint="99"/>
        </w:tcBorders>
      </w:tcPr>
    </w:tblStylePr>
    <w:tblStylePr w:type="lastRow">
      <w:rPr>
        <w:b/>
        <w:bCs/>
      </w:rPr>
      <w:tblPr/>
      <w:tcPr>
        <w:tcBorders>
          <w:top w:val="single" w:sz="4" w:space="0" w:color="479FE9" w:themeColor="accent5" w:themeTint="99"/>
        </w:tcBorders>
      </w:tcPr>
    </w:tblStylePr>
    <w:tblStylePr w:type="firstCol">
      <w:rPr>
        <w:b/>
        <w:bCs/>
      </w:rPr>
    </w:tblStylePr>
    <w:tblStylePr w:type="lastCol">
      <w:rPr>
        <w:b/>
        <w:bCs/>
      </w:rPr>
    </w:tblStylePr>
    <w:tblStylePr w:type="band1Vert">
      <w:tblPr/>
      <w:tcPr>
        <w:shd w:val="clear" w:color="auto" w:fill="C1DFF7" w:themeFill="accent5" w:themeFillTint="33"/>
      </w:tcPr>
    </w:tblStylePr>
    <w:tblStylePr w:type="band1Horz">
      <w:tblPr/>
      <w:tcPr>
        <w:shd w:val="clear" w:color="auto" w:fill="C1DFF7" w:themeFill="accent5" w:themeFillTint="33"/>
      </w:tcPr>
    </w:tblStylePr>
  </w:style>
  <w:style w:type="table" w:styleId="ListTable1Light-Accent6">
    <w:name w:val="List Table 1 Light Accent 6"/>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2C40FF" w:themeColor="accent6" w:themeTint="99"/>
        </w:tcBorders>
      </w:tcPr>
    </w:tblStylePr>
    <w:tblStylePr w:type="lastRow">
      <w:rPr>
        <w:b/>
        <w:bCs/>
      </w:rPr>
      <w:tblPr/>
      <w:tcPr>
        <w:tcBorders>
          <w:top w:val="single" w:sz="4" w:space="0" w:color="2C40FF" w:themeColor="accent6" w:themeTint="99"/>
        </w:tcBorders>
      </w:tcPr>
    </w:tblStylePr>
    <w:tblStylePr w:type="firstCol">
      <w:rPr>
        <w:b/>
        <w:bCs/>
      </w:rPr>
    </w:tblStylePr>
    <w:tblStylePr w:type="lastCol">
      <w:rPr>
        <w:b/>
        <w:bCs/>
      </w:rPr>
    </w:tblStylePr>
    <w:tblStylePr w:type="band1Vert">
      <w:tblPr/>
      <w:tcPr>
        <w:shd w:val="clear" w:color="auto" w:fill="B8BFFF" w:themeFill="accent6" w:themeFillTint="33"/>
      </w:tcPr>
    </w:tblStylePr>
    <w:tblStylePr w:type="band1Horz">
      <w:tblPr/>
      <w:tcPr>
        <w:shd w:val="clear" w:color="auto" w:fill="B8BFFF" w:themeFill="accent6" w:themeFillTint="33"/>
      </w:tcPr>
    </w:tblStylePr>
  </w:style>
  <w:style w:type="table" w:styleId="ListTable2">
    <w:name w:val="List Table 2"/>
    <w:basedOn w:val="TableNormal"/>
    <w:uiPriority w:val="47"/>
    <w:rsid w:val="009637A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637A8"/>
    <w:pPr>
      <w:spacing w:after="0" w:line="240" w:lineRule="auto"/>
    </w:pPr>
    <w:tblPr>
      <w:tblStyleRowBandSize w:val="1"/>
      <w:tblStyleColBandSize w:val="1"/>
      <w:tblBorders>
        <w:top w:val="single" w:sz="4" w:space="0" w:color="94D0CB" w:themeColor="accent1" w:themeTint="99"/>
        <w:bottom w:val="single" w:sz="4" w:space="0" w:color="94D0CB" w:themeColor="accent1" w:themeTint="99"/>
        <w:insideH w:val="single" w:sz="4" w:space="0" w:color="94D0C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ED" w:themeFill="accent1" w:themeFillTint="33"/>
      </w:tcPr>
    </w:tblStylePr>
    <w:tblStylePr w:type="band1Horz">
      <w:tblPr/>
      <w:tcPr>
        <w:shd w:val="clear" w:color="auto" w:fill="DBEFED" w:themeFill="accent1" w:themeFillTint="33"/>
      </w:tcPr>
    </w:tblStylePr>
  </w:style>
  <w:style w:type="table" w:styleId="ListTable2-Accent2">
    <w:name w:val="List Table 2 Accent 2"/>
    <w:basedOn w:val="TableNormal"/>
    <w:uiPriority w:val="47"/>
    <w:rsid w:val="009637A8"/>
    <w:pPr>
      <w:spacing w:after="0" w:line="240" w:lineRule="auto"/>
    </w:pPr>
    <w:tblPr>
      <w:tblStyleRowBandSize w:val="1"/>
      <w:tblStyleColBandSize w:val="1"/>
      <w:tblBorders>
        <w:top w:val="single" w:sz="4" w:space="0" w:color="C792B5" w:themeColor="accent2" w:themeTint="99"/>
        <w:bottom w:val="single" w:sz="4" w:space="0" w:color="C792B5" w:themeColor="accent2" w:themeTint="99"/>
        <w:insideH w:val="single" w:sz="4" w:space="0" w:color="C792B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DAE6" w:themeFill="accent2" w:themeFillTint="33"/>
      </w:tcPr>
    </w:tblStylePr>
    <w:tblStylePr w:type="band1Horz">
      <w:tblPr/>
      <w:tcPr>
        <w:shd w:val="clear" w:color="auto" w:fill="ECDAE6" w:themeFill="accent2" w:themeFillTint="33"/>
      </w:tcPr>
    </w:tblStylePr>
  </w:style>
  <w:style w:type="table" w:styleId="ListTable2-Accent3">
    <w:name w:val="List Table 2 Accent 3"/>
    <w:basedOn w:val="TableNormal"/>
    <w:uiPriority w:val="47"/>
    <w:rsid w:val="009637A8"/>
    <w:pPr>
      <w:spacing w:after="0" w:line="240" w:lineRule="auto"/>
    </w:pPr>
    <w:tblPr>
      <w:tblStyleRowBandSize w:val="1"/>
      <w:tblStyleColBandSize w:val="1"/>
      <w:tblBorders>
        <w:top w:val="single" w:sz="4" w:space="0" w:color="65C6BF" w:themeColor="accent3" w:themeTint="99"/>
        <w:bottom w:val="single" w:sz="4" w:space="0" w:color="65C6BF" w:themeColor="accent3" w:themeTint="99"/>
        <w:insideH w:val="single" w:sz="4" w:space="0" w:color="65C6B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ECE9" w:themeFill="accent3" w:themeFillTint="33"/>
      </w:tcPr>
    </w:tblStylePr>
    <w:tblStylePr w:type="band1Horz">
      <w:tblPr/>
      <w:tcPr>
        <w:shd w:val="clear" w:color="auto" w:fill="CBECE9" w:themeFill="accent3" w:themeFillTint="33"/>
      </w:tcPr>
    </w:tblStylePr>
  </w:style>
  <w:style w:type="table" w:styleId="ListTable2-Accent4">
    <w:name w:val="List Table 2 Accent 4"/>
    <w:basedOn w:val="TableNormal"/>
    <w:uiPriority w:val="47"/>
    <w:rsid w:val="009637A8"/>
    <w:pPr>
      <w:spacing w:after="0" w:line="240" w:lineRule="auto"/>
    </w:pPr>
    <w:tblPr>
      <w:tblStyleRowBandSize w:val="1"/>
      <w:tblStyleColBandSize w:val="1"/>
      <w:tblBorders>
        <w:top w:val="single" w:sz="4" w:space="0" w:color="C9E188" w:themeColor="accent4" w:themeTint="99"/>
        <w:bottom w:val="single" w:sz="4" w:space="0" w:color="C9E188" w:themeColor="accent4" w:themeTint="99"/>
        <w:insideH w:val="single" w:sz="4" w:space="0" w:color="C9E18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5D7" w:themeFill="accent4" w:themeFillTint="33"/>
      </w:tcPr>
    </w:tblStylePr>
    <w:tblStylePr w:type="band1Horz">
      <w:tblPr/>
      <w:tcPr>
        <w:shd w:val="clear" w:color="auto" w:fill="EDF5D7" w:themeFill="accent4" w:themeFillTint="33"/>
      </w:tcPr>
    </w:tblStylePr>
  </w:style>
  <w:style w:type="table" w:styleId="ListTable2-Accent5">
    <w:name w:val="List Table 2 Accent 5"/>
    <w:basedOn w:val="TableNormal"/>
    <w:uiPriority w:val="47"/>
    <w:rsid w:val="009637A8"/>
    <w:pPr>
      <w:spacing w:after="0" w:line="240" w:lineRule="auto"/>
    </w:pPr>
    <w:tblPr>
      <w:tblStyleRowBandSize w:val="1"/>
      <w:tblStyleColBandSize w:val="1"/>
      <w:tblBorders>
        <w:top w:val="single" w:sz="4" w:space="0" w:color="479FE9" w:themeColor="accent5" w:themeTint="99"/>
        <w:bottom w:val="single" w:sz="4" w:space="0" w:color="479FE9" w:themeColor="accent5" w:themeTint="99"/>
        <w:insideH w:val="single" w:sz="4" w:space="0" w:color="479FE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DFF7" w:themeFill="accent5" w:themeFillTint="33"/>
      </w:tcPr>
    </w:tblStylePr>
    <w:tblStylePr w:type="band1Horz">
      <w:tblPr/>
      <w:tcPr>
        <w:shd w:val="clear" w:color="auto" w:fill="C1DFF7" w:themeFill="accent5" w:themeFillTint="33"/>
      </w:tcPr>
    </w:tblStylePr>
  </w:style>
  <w:style w:type="table" w:styleId="ListTable2-Accent6">
    <w:name w:val="List Table 2 Accent 6"/>
    <w:basedOn w:val="TableNormal"/>
    <w:uiPriority w:val="47"/>
    <w:rsid w:val="009637A8"/>
    <w:pPr>
      <w:spacing w:after="0" w:line="240" w:lineRule="auto"/>
    </w:pPr>
    <w:tblPr>
      <w:tblStyleRowBandSize w:val="1"/>
      <w:tblStyleColBandSize w:val="1"/>
      <w:tblBorders>
        <w:top w:val="single" w:sz="4" w:space="0" w:color="2C40FF" w:themeColor="accent6" w:themeTint="99"/>
        <w:bottom w:val="single" w:sz="4" w:space="0" w:color="2C40FF" w:themeColor="accent6" w:themeTint="99"/>
        <w:insideH w:val="single" w:sz="4" w:space="0" w:color="2C40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BFFF" w:themeFill="accent6" w:themeFillTint="33"/>
      </w:tcPr>
    </w:tblStylePr>
    <w:tblStylePr w:type="band1Horz">
      <w:tblPr/>
      <w:tcPr>
        <w:shd w:val="clear" w:color="auto" w:fill="B8BFFF" w:themeFill="accent6" w:themeFillTint="33"/>
      </w:tcPr>
    </w:tblStylePr>
  </w:style>
  <w:style w:type="table" w:styleId="ListTable3">
    <w:name w:val="List Table 3"/>
    <w:basedOn w:val="TableNormal"/>
    <w:uiPriority w:val="48"/>
    <w:rsid w:val="009637A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637A8"/>
    <w:pPr>
      <w:spacing w:after="0" w:line="240" w:lineRule="auto"/>
    </w:pPr>
    <w:tblPr>
      <w:tblStyleRowBandSize w:val="1"/>
      <w:tblStyleColBandSize w:val="1"/>
      <w:tblBorders>
        <w:top w:val="single" w:sz="4" w:space="0" w:color="4EB2A9" w:themeColor="accent1"/>
        <w:left w:val="single" w:sz="4" w:space="0" w:color="4EB2A9" w:themeColor="accent1"/>
        <w:bottom w:val="single" w:sz="4" w:space="0" w:color="4EB2A9" w:themeColor="accent1"/>
        <w:right w:val="single" w:sz="4" w:space="0" w:color="4EB2A9" w:themeColor="accent1"/>
      </w:tblBorders>
    </w:tblPr>
    <w:tblStylePr w:type="firstRow">
      <w:rPr>
        <w:b/>
        <w:bCs/>
        <w:color w:val="FFFFFF" w:themeColor="background1"/>
      </w:rPr>
      <w:tblPr/>
      <w:tcPr>
        <w:shd w:val="clear" w:color="auto" w:fill="4EB2A9" w:themeFill="accent1"/>
      </w:tcPr>
    </w:tblStylePr>
    <w:tblStylePr w:type="lastRow">
      <w:rPr>
        <w:b/>
        <w:bCs/>
      </w:rPr>
      <w:tblPr/>
      <w:tcPr>
        <w:tcBorders>
          <w:top w:val="double" w:sz="4" w:space="0" w:color="4E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2A9" w:themeColor="accent1"/>
          <w:right w:val="single" w:sz="4" w:space="0" w:color="4EB2A9" w:themeColor="accent1"/>
        </w:tcBorders>
      </w:tcPr>
    </w:tblStylePr>
    <w:tblStylePr w:type="band1Horz">
      <w:tblPr/>
      <w:tcPr>
        <w:tcBorders>
          <w:top w:val="single" w:sz="4" w:space="0" w:color="4EB2A9" w:themeColor="accent1"/>
          <w:bottom w:val="single" w:sz="4" w:space="0" w:color="4E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2A9" w:themeColor="accent1"/>
          <w:left w:val="nil"/>
        </w:tcBorders>
      </w:tcPr>
    </w:tblStylePr>
    <w:tblStylePr w:type="swCell">
      <w:tblPr/>
      <w:tcPr>
        <w:tcBorders>
          <w:top w:val="double" w:sz="4" w:space="0" w:color="4EB2A9" w:themeColor="accent1"/>
          <w:right w:val="nil"/>
        </w:tcBorders>
      </w:tcPr>
    </w:tblStylePr>
  </w:style>
  <w:style w:type="table" w:styleId="ListTable3-Accent2">
    <w:name w:val="List Table 3 Accent 2"/>
    <w:basedOn w:val="TableNormal"/>
    <w:uiPriority w:val="48"/>
    <w:rsid w:val="009637A8"/>
    <w:pPr>
      <w:spacing w:after="0" w:line="240" w:lineRule="auto"/>
    </w:pPr>
    <w:tblPr>
      <w:tblStyleRowBandSize w:val="1"/>
      <w:tblStyleColBandSize w:val="1"/>
      <w:tblBorders>
        <w:top w:val="single" w:sz="4" w:space="0" w:color="9C5083" w:themeColor="accent2"/>
        <w:left w:val="single" w:sz="4" w:space="0" w:color="9C5083" w:themeColor="accent2"/>
        <w:bottom w:val="single" w:sz="4" w:space="0" w:color="9C5083" w:themeColor="accent2"/>
        <w:right w:val="single" w:sz="4" w:space="0" w:color="9C5083" w:themeColor="accent2"/>
      </w:tblBorders>
    </w:tblPr>
    <w:tblStylePr w:type="firstRow">
      <w:rPr>
        <w:b/>
        <w:bCs/>
        <w:color w:val="FFFFFF" w:themeColor="background1"/>
      </w:rPr>
      <w:tblPr/>
      <w:tcPr>
        <w:shd w:val="clear" w:color="auto" w:fill="9C5083" w:themeFill="accent2"/>
      </w:tcPr>
    </w:tblStylePr>
    <w:tblStylePr w:type="lastRow">
      <w:rPr>
        <w:b/>
        <w:bCs/>
      </w:rPr>
      <w:tblPr/>
      <w:tcPr>
        <w:tcBorders>
          <w:top w:val="double" w:sz="4" w:space="0" w:color="9C508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5083" w:themeColor="accent2"/>
          <w:right w:val="single" w:sz="4" w:space="0" w:color="9C5083" w:themeColor="accent2"/>
        </w:tcBorders>
      </w:tcPr>
    </w:tblStylePr>
    <w:tblStylePr w:type="band1Horz">
      <w:tblPr/>
      <w:tcPr>
        <w:tcBorders>
          <w:top w:val="single" w:sz="4" w:space="0" w:color="9C5083" w:themeColor="accent2"/>
          <w:bottom w:val="single" w:sz="4" w:space="0" w:color="9C508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5083" w:themeColor="accent2"/>
          <w:left w:val="nil"/>
        </w:tcBorders>
      </w:tcPr>
    </w:tblStylePr>
    <w:tblStylePr w:type="swCell">
      <w:tblPr/>
      <w:tcPr>
        <w:tcBorders>
          <w:top w:val="double" w:sz="4" w:space="0" w:color="9C5083" w:themeColor="accent2"/>
          <w:right w:val="nil"/>
        </w:tcBorders>
      </w:tcPr>
    </w:tblStylePr>
  </w:style>
  <w:style w:type="table" w:styleId="ListTable3-Accent3">
    <w:name w:val="List Table 3 Accent 3"/>
    <w:basedOn w:val="TableNormal"/>
    <w:uiPriority w:val="48"/>
    <w:rsid w:val="009637A8"/>
    <w:pPr>
      <w:spacing w:after="0" w:line="240" w:lineRule="auto"/>
    </w:pPr>
    <w:tblPr>
      <w:tblStyleRowBandSize w:val="1"/>
      <w:tblStyleColBandSize w:val="1"/>
      <w:tblBorders>
        <w:top w:val="single" w:sz="4" w:space="0" w:color="2B746F" w:themeColor="accent3"/>
        <w:left w:val="single" w:sz="4" w:space="0" w:color="2B746F" w:themeColor="accent3"/>
        <w:bottom w:val="single" w:sz="4" w:space="0" w:color="2B746F" w:themeColor="accent3"/>
        <w:right w:val="single" w:sz="4" w:space="0" w:color="2B746F" w:themeColor="accent3"/>
      </w:tblBorders>
    </w:tblPr>
    <w:tblStylePr w:type="firstRow">
      <w:rPr>
        <w:b/>
        <w:bCs/>
        <w:color w:val="FFFFFF" w:themeColor="background1"/>
      </w:rPr>
      <w:tblPr/>
      <w:tcPr>
        <w:shd w:val="clear" w:color="auto" w:fill="2B746F" w:themeFill="accent3"/>
      </w:tcPr>
    </w:tblStylePr>
    <w:tblStylePr w:type="lastRow">
      <w:rPr>
        <w:b/>
        <w:bCs/>
      </w:rPr>
      <w:tblPr/>
      <w:tcPr>
        <w:tcBorders>
          <w:top w:val="double" w:sz="4" w:space="0" w:color="2B74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746F" w:themeColor="accent3"/>
          <w:right w:val="single" w:sz="4" w:space="0" w:color="2B746F" w:themeColor="accent3"/>
        </w:tcBorders>
      </w:tcPr>
    </w:tblStylePr>
    <w:tblStylePr w:type="band1Horz">
      <w:tblPr/>
      <w:tcPr>
        <w:tcBorders>
          <w:top w:val="single" w:sz="4" w:space="0" w:color="2B746F" w:themeColor="accent3"/>
          <w:bottom w:val="single" w:sz="4" w:space="0" w:color="2B74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746F" w:themeColor="accent3"/>
          <w:left w:val="nil"/>
        </w:tcBorders>
      </w:tcPr>
    </w:tblStylePr>
    <w:tblStylePr w:type="swCell">
      <w:tblPr/>
      <w:tcPr>
        <w:tcBorders>
          <w:top w:val="double" w:sz="4" w:space="0" w:color="2B746F" w:themeColor="accent3"/>
          <w:right w:val="nil"/>
        </w:tcBorders>
      </w:tcPr>
    </w:tblStylePr>
  </w:style>
  <w:style w:type="table" w:styleId="ListTable3-Accent4">
    <w:name w:val="List Table 3 Accent 4"/>
    <w:basedOn w:val="TableNormal"/>
    <w:uiPriority w:val="48"/>
    <w:rsid w:val="009637A8"/>
    <w:pPr>
      <w:spacing w:after="0" w:line="240" w:lineRule="auto"/>
    </w:pPr>
    <w:tblPr>
      <w:tblStyleRowBandSize w:val="1"/>
      <w:tblStyleColBandSize w:val="1"/>
      <w:tblBorders>
        <w:top w:val="single" w:sz="4" w:space="0" w:color="A6CE39" w:themeColor="accent4"/>
        <w:left w:val="single" w:sz="4" w:space="0" w:color="A6CE39" w:themeColor="accent4"/>
        <w:bottom w:val="single" w:sz="4" w:space="0" w:color="A6CE39" w:themeColor="accent4"/>
        <w:right w:val="single" w:sz="4" w:space="0" w:color="A6CE39" w:themeColor="accent4"/>
      </w:tblBorders>
    </w:tblPr>
    <w:tblStylePr w:type="firstRow">
      <w:rPr>
        <w:b/>
        <w:bCs/>
        <w:color w:val="FFFFFF" w:themeColor="background1"/>
      </w:rPr>
      <w:tblPr/>
      <w:tcPr>
        <w:shd w:val="clear" w:color="auto" w:fill="A6CE39" w:themeFill="accent4"/>
      </w:tcPr>
    </w:tblStylePr>
    <w:tblStylePr w:type="lastRow">
      <w:rPr>
        <w:b/>
        <w:bCs/>
      </w:rPr>
      <w:tblPr/>
      <w:tcPr>
        <w:tcBorders>
          <w:top w:val="double" w:sz="4" w:space="0" w:color="A6CE3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CE39" w:themeColor="accent4"/>
          <w:right w:val="single" w:sz="4" w:space="0" w:color="A6CE39" w:themeColor="accent4"/>
        </w:tcBorders>
      </w:tcPr>
    </w:tblStylePr>
    <w:tblStylePr w:type="band1Horz">
      <w:tblPr/>
      <w:tcPr>
        <w:tcBorders>
          <w:top w:val="single" w:sz="4" w:space="0" w:color="A6CE39" w:themeColor="accent4"/>
          <w:bottom w:val="single" w:sz="4" w:space="0" w:color="A6CE3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CE39" w:themeColor="accent4"/>
          <w:left w:val="nil"/>
        </w:tcBorders>
      </w:tcPr>
    </w:tblStylePr>
    <w:tblStylePr w:type="swCell">
      <w:tblPr/>
      <w:tcPr>
        <w:tcBorders>
          <w:top w:val="double" w:sz="4" w:space="0" w:color="A6CE39" w:themeColor="accent4"/>
          <w:right w:val="nil"/>
        </w:tcBorders>
      </w:tcPr>
    </w:tblStylePr>
  </w:style>
  <w:style w:type="table" w:styleId="ListTable3-Accent5">
    <w:name w:val="List Table 3 Accent 5"/>
    <w:basedOn w:val="TableNormal"/>
    <w:uiPriority w:val="48"/>
    <w:rsid w:val="009637A8"/>
    <w:pPr>
      <w:spacing w:after="0" w:line="240" w:lineRule="auto"/>
    </w:pPr>
    <w:tblPr>
      <w:tblStyleRowBandSize w:val="1"/>
      <w:tblStyleColBandSize w:val="1"/>
      <w:tblBorders>
        <w:top w:val="single" w:sz="4" w:space="0" w:color="125A96" w:themeColor="accent5"/>
        <w:left w:val="single" w:sz="4" w:space="0" w:color="125A96" w:themeColor="accent5"/>
        <w:bottom w:val="single" w:sz="4" w:space="0" w:color="125A96" w:themeColor="accent5"/>
        <w:right w:val="single" w:sz="4" w:space="0" w:color="125A96" w:themeColor="accent5"/>
      </w:tblBorders>
    </w:tblPr>
    <w:tblStylePr w:type="firstRow">
      <w:rPr>
        <w:b/>
        <w:bCs/>
        <w:color w:val="FFFFFF" w:themeColor="background1"/>
      </w:rPr>
      <w:tblPr/>
      <w:tcPr>
        <w:shd w:val="clear" w:color="auto" w:fill="125A96" w:themeFill="accent5"/>
      </w:tcPr>
    </w:tblStylePr>
    <w:tblStylePr w:type="lastRow">
      <w:rPr>
        <w:b/>
        <w:bCs/>
      </w:rPr>
      <w:tblPr/>
      <w:tcPr>
        <w:tcBorders>
          <w:top w:val="double" w:sz="4" w:space="0" w:color="125A9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A96" w:themeColor="accent5"/>
          <w:right w:val="single" w:sz="4" w:space="0" w:color="125A96" w:themeColor="accent5"/>
        </w:tcBorders>
      </w:tcPr>
    </w:tblStylePr>
    <w:tblStylePr w:type="band1Horz">
      <w:tblPr/>
      <w:tcPr>
        <w:tcBorders>
          <w:top w:val="single" w:sz="4" w:space="0" w:color="125A96" w:themeColor="accent5"/>
          <w:bottom w:val="single" w:sz="4" w:space="0" w:color="125A9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A96" w:themeColor="accent5"/>
          <w:left w:val="nil"/>
        </w:tcBorders>
      </w:tcPr>
    </w:tblStylePr>
    <w:tblStylePr w:type="swCell">
      <w:tblPr/>
      <w:tcPr>
        <w:tcBorders>
          <w:top w:val="double" w:sz="4" w:space="0" w:color="125A96" w:themeColor="accent5"/>
          <w:right w:val="nil"/>
        </w:tcBorders>
      </w:tcPr>
    </w:tblStylePr>
  </w:style>
  <w:style w:type="table" w:styleId="ListTable3-Accent6">
    <w:name w:val="List Table 3 Accent 6"/>
    <w:basedOn w:val="TableNormal"/>
    <w:uiPriority w:val="48"/>
    <w:rsid w:val="009637A8"/>
    <w:pPr>
      <w:spacing w:after="0" w:line="240" w:lineRule="auto"/>
    </w:pPr>
    <w:tblPr>
      <w:tblStyleRowBandSize w:val="1"/>
      <w:tblStyleColBandSize w:val="1"/>
      <w:tblBorders>
        <w:top w:val="single" w:sz="4" w:space="0" w:color="000F9F" w:themeColor="accent6"/>
        <w:left w:val="single" w:sz="4" w:space="0" w:color="000F9F" w:themeColor="accent6"/>
        <w:bottom w:val="single" w:sz="4" w:space="0" w:color="000F9F" w:themeColor="accent6"/>
        <w:right w:val="single" w:sz="4" w:space="0" w:color="000F9F" w:themeColor="accent6"/>
      </w:tblBorders>
    </w:tblPr>
    <w:tblStylePr w:type="firstRow">
      <w:rPr>
        <w:b/>
        <w:bCs/>
        <w:color w:val="FFFFFF" w:themeColor="background1"/>
      </w:rPr>
      <w:tblPr/>
      <w:tcPr>
        <w:shd w:val="clear" w:color="auto" w:fill="000F9F" w:themeFill="accent6"/>
      </w:tcPr>
    </w:tblStylePr>
    <w:tblStylePr w:type="lastRow">
      <w:rPr>
        <w:b/>
        <w:bCs/>
      </w:rPr>
      <w:tblPr/>
      <w:tcPr>
        <w:tcBorders>
          <w:top w:val="double" w:sz="4" w:space="0" w:color="000F9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9F" w:themeColor="accent6"/>
          <w:right w:val="single" w:sz="4" w:space="0" w:color="000F9F" w:themeColor="accent6"/>
        </w:tcBorders>
      </w:tcPr>
    </w:tblStylePr>
    <w:tblStylePr w:type="band1Horz">
      <w:tblPr/>
      <w:tcPr>
        <w:tcBorders>
          <w:top w:val="single" w:sz="4" w:space="0" w:color="000F9F" w:themeColor="accent6"/>
          <w:bottom w:val="single" w:sz="4" w:space="0" w:color="000F9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9F" w:themeColor="accent6"/>
          <w:left w:val="nil"/>
        </w:tcBorders>
      </w:tcPr>
    </w:tblStylePr>
    <w:tblStylePr w:type="swCell">
      <w:tblPr/>
      <w:tcPr>
        <w:tcBorders>
          <w:top w:val="double" w:sz="4" w:space="0" w:color="000F9F" w:themeColor="accent6"/>
          <w:right w:val="nil"/>
        </w:tcBorders>
      </w:tcPr>
    </w:tblStylePr>
  </w:style>
  <w:style w:type="table" w:styleId="ListTable4">
    <w:name w:val="List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637A8"/>
    <w:pPr>
      <w:spacing w:after="0" w:line="240" w:lineRule="auto"/>
    </w:pPr>
    <w:tblPr>
      <w:tblStyleRowBandSize w:val="1"/>
      <w:tblStyleColBandSize w:val="1"/>
      <w:tblBorders>
        <w:top w:val="single" w:sz="4" w:space="0" w:color="94D0CB" w:themeColor="accent1" w:themeTint="99"/>
        <w:left w:val="single" w:sz="4" w:space="0" w:color="94D0CB" w:themeColor="accent1" w:themeTint="99"/>
        <w:bottom w:val="single" w:sz="4" w:space="0" w:color="94D0CB" w:themeColor="accent1" w:themeTint="99"/>
        <w:right w:val="single" w:sz="4" w:space="0" w:color="94D0CB" w:themeColor="accent1" w:themeTint="99"/>
        <w:insideH w:val="single" w:sz="4" w:space="0" w:color="94D0CB" w:themeColor="accent1" w:themeTint="99"/>
      </w:tblBorders>
    </w:tblPr>
    <w:tblStylePr w:type="firstRow">
      <w:rPr>
        <w:b/>
        <w:bCs/>
        <w:color w:val="FFFFFF" w:themeColor="background1"/>
      </w:rPr>
      <w:tblPr/>
      <w:tcPr>
        <w:tcBorders>
          <w:top w:val="single" w:sz="4" w:space="0" w:color="4EB2A9" w:themeColor="accent1"/>
          <w:left w:val="single" w:sz="4" w:space="0" w:color="4EB2A9" w:themeColor="accent1"/>
          <w:bottom w:val="single" w:sz="4" w:space="0" w:color="4EB2A9" w:themeColor="accent1"/>
          <w:right w:val="single" w:sz="4" w:space="0" w:color="4EB2A9" w:themeColor="accent1"/>
          <w:insideH w:val="nil"/>
        </w:tcBorders>
        <w:shd w:val="clear" w:color="auto" w:fill="4EB2A9" w:themeFill="accent1"/>
      </w:tcPr>
    </w:tblStylePr>
    <w:tblStylePr w:type="lastRow">
      <w:rPr>
        <w:b/>
        <w:bCs/>
      </w:rPr>
      <w:tblPr/>
      <w:tcPr>
        <w:tcBorders>
          <w:top w:val="double" w:sz="4" w:space="0" w:color="94D0CB" w:themeColor="accent1" w:themeTint="99"/>
        </w:tcBorders>
      </w:tcPr>
    </w:tblStylePr>
    <w:tblStylePr w:type="firstCol">
      <w:rPr>
        <w:b/>
        <w:bCs/>
      </w:rPr>
    </w:tblStylePr>
    <w:tblStylePr w:type="lastCol">
      <w:rPr>
        <w:b/>
        <w:bCs/>
      </w:rPr>
    </w:tblStylePr>
    <w:tblStylePr w:type="band1Vert">
      <w:tblPr/>
      <w:tcPr>
        <w:shd w:val="clear" w:color="auto" w:fill="DBEFED" w:themeFill="accent1" w:themeFillTint="33"/>
      </w:tcPr>
    </w:tblStylePr>
    <w:tblStylePr w:type="band1Horz">
      <w:tblPr/>
      <w:tcPr>
        <w:shd w:val="clear" w:color="auto" w:fill="DBEFED" w:themeFill="accent1" w:themeFillTint="33"/>
      </w:tcPr>
    </w:tblStylePr>
  </w:style>
  <w:style w:type="table" w:styleId="ListTable4-Accent2">
    <w:name w:val="List Table 4 Accent 2"/>
    <w:basedOn w:val="TableNormal"/>
    <w:uiPriority w:val="49"/>
    <w:rsid w:val="009637A8"/>
    <w:pPr>
      <w:spacing w:after="0" w:line="240" w:lineRule="auto"/>
    </w:pPr>
    <w:tblPr>
      <w:tblStyleRowBandSize w:val="1"/>
      <w:tblStyleColBandSize w:val="1"/>
      <w:tblBorders>
        <w:top w:val="single" w:sz="4" w:space="0" w:color="C792B5" w:themeColor="accent2" w:themeTint="99"/>
        <w:left w:val="single" w:sz="4" w:space="0" w:color="C792B5" w:themeColor="accent2" w:themeTint="99"/>
        <w:bottom w:val="single" w:sz="4" w:space="0" w:color="C792B5" w:themeColor="accent2" w:themeTint="99"/>
        <w:right w:val="single" w:sz="4" w:space="0" w:color="C792B5" w:themeColor="accent2" w:themeTint="99"/>
        <w:insideH w:val="single" w:sz="4" w:space="0" w:color="C792B5" w:themeColor="accent2" w:themeTint="99"/>
      </w:tblBorders>
    </w:tblPr>
    <w:tblStylePr w:type="firstRow">
      <w:rPr>
        <w:b/>
        <w:bCs/>
        <w:color w:val="FFFFFF" w:themeColor="background1"/>
      </w:rPr>
      <w:tblPr/>
      <w:tcPr>
        <w:tcBorders>
          <w:top w:val="single" w:sz="4" w:space="0" w:color="9C5083" w:themeColor="accent2"/>
          <w:left w:val="single" w:sz="4" w:space="0" w:color="9C5083" w:themeColor="accent2"/>
          <w:bottom w:val="single" w:sz="4" w:space="0" w:color="9C5083" w:themeColor="accent2"/>
          <w:right w:val="single" w:sz="4" w:space="0" w:color="9C5083" w:themeColor="accent2"/>
          <w:insideH w:val="nil"/>
        </w:tcBorders>
        <w:shd w:val="clear" w:color="auto" w:fill="9C5083" w:themeFill="accent2"/>
      </w:tcPr>
    </w:tblStylePr>
    <w:tblStylePr w:type="lastRow">
      <w:rPr>
        <w:b/>
        <w:bCs/>
      </w:rPr>
      <w:tblPr/>
      <w:tcPr>
        <w:tcBorders>
          <w:top w:val="double" w:sz="4" w:space="0" w:color="C792B5" w:themeColor="accent2" w:themeTint="99"/>
        </w:tcBorders>
      </w:tcPr>
    </w:tblStylePr>
    <w:tblStylePr w:type="firstCol">
      <w:rPr>
        <w:b/>
        <w:bCs/>
      </w:rPr>
    </w:tblStylePr>
    <w:tblStylePr w:type="lastCol">
      <w:rPr>
        <w:b/>
        <w:bCs/>
      </w:rPr>
    </w:tblStylePr>
    <w:tblStylePr w:type="band1Vert">
      <w:tblPr/>
      <w:tcPr>
        <w:shd w:val="clear" w:color="auto" w:fill="ECDAE6" w:themeFill="accent2" w:themeFillTint="33"/>
      </w:tcPr>
    </w:tblStylePr>
    <w:tblStylePr w:type="band1Horz">
      <w:tblPr/>
      <w:tcPr>
        <w:shd w:val="clear" w:color="auto" w:fill="ECDAE6" w:themeFill="accent2" w:themeFillTint="33"/>
      </w:tcPr>
    </w:tblStylePr>
  </w:style>
  <w:style w:type="table" w:styleId="ListTable4-Accent3">
    <w:name w:val="List Table 4 Accent 3"/>
    <w:basedOn w:val="TableNormal"/>
    <w:uiPriority w:val="49"/>
    <w:rsid w:val="009637A8"/>
    <w:pPr>
      <w:spacing w:after="0" w:line="240" w:lineRule="auto"/>
    </w:pPr>
    <w:tblPr>
      <w:tblStyleRowBandSize w:val="1"/>
      <w:tblStyleColBandSize w:val="1"/>
      <w:tblBorders>
        <w:top w:val="single" w:sz="4" w:space="0" w:color="65C6BF" w:themeColor="accent3" w:themeTint="99"/>
        <w:left w:val="single" w:sz="4" w:space="0" w:color="65C6BF" w:themeColor="accent3" w:themeTint="99"/>
        <w:bottom w:val="single" w:sz="4" w:space="0" w:color="65C6BF" w:themeColor="accent3" w:themeTint="99"/>
        <w:right w:val="single" w:sz="4" w:space="0" w:color="65C6BF" w:themeColor="accent3" w:themeTint="99"/>
        <w:insideH w:val="single" w:sz="4" w:space="0" w:color="65C6BF" w:themeColor="accent3" w:themeTint="99"/>
      </w:tblBorders>
    </w:tblPr>
    <w:tblStylePr w:type="firstRow">
      <w:rPr>
        <w:b/>
        <w:bCs/>
        <w:color w:val="FFFFFF" w:themeColor="background1"/>
      </w:rPr>
      <w:tblPr/>
      <w:tcPr>
        <w:tcBorders>
          <w:top w:val="single" w:sz="4" w:space="0" w:color="2B746F" w:themeColor="accent3"/>
          <w:left w:val="single" w:sz="4" w:space="0" w:color="2B746F" w:themeColor="accent3"/>
          <w:bottom w:val="single" w:sz="4" w:space="0" w:color="2B746F" w:themeColor="accent3"/>
          <w:right w:val="single" w:sz="4" w:space="0" w:color="2B746F" w:themeColor="accent3"/>
          <w:insideH w:val="nil"/>
        </w:tcBorders>
        <w:shd w:val="clear" w:color="auto" w:fill="2B746F" w:themeFill="accent3"/>
      </w:tcPr>
    </w:tblStylePr>
    <w:tblStylePr w:type="lastRow">
      <w:rPr>
        <w:b/>
        <w:bCs/>
      </w:rPr>
      <w:tblPr/>
      <w:tcPr>
        <w:tcBorders>
          <w:top w:val="double" w:sz="4" w:space="0" w:color="65C6BF" w:themeColor="accent3" w:themeTint="99"/>
        </w:tcBorders>
      </w:tcPr>
    </w:tblStylePr>
    <w:tblStylePr w:type="firstCol">
      <w:rPr>
        <w:b/>
        <w:bCs/>
      </w:rPr>
    </w:tblStylePr>
    <w:tblStylePr w:type="lastCol">
      <w:rPr>
        <w:b/>
        <w:bCs/>
      </w:rPr>
    </w:tblStylePr>
    <w:tblStylePr w:type="band1Vert">
      <w:tblPr/>
      <w:tcPr>
        <w:shd w:val="clear" w:color="auto" w:fill="CBECE9" w:themeFill="accent3" w:themeFillTint="33"/>
      </w:tcPr>
    </w:tblStylePr>
    <w:tblStylePr w:type="band1Horz">
      <w:tblPr/>
      <w:tcPr>
        <w:shd w:val="clear" w:color="auto" w:fill="CBECE9" w:themeFill="accent3" w:themeFillTint="33"/>
      </w:tcPr>
    </w:tblStylePr>
  </w:style>
  <w:style w:type="table" w:styleId="ListTable4-Accent4">
    <w:name w:val="List Table 4 Accent 4"/>
    <w:basedOn w:val="TableNormal"/>
    <w:uiPriority w:val="49"/>
    <w:rsid w:val="009637A8"/>
    <w:pPr>
      <w:spacing w:after="0" w:line="240" w:lineRule="auto"/>
    </w:pPr>
    <w:tblPr>
      <w:tblStyleRowBandSize w:val="1"/>
      <w:tblStyleColBandSize w:val="1"/>
      <w:tblBorders>
        <w:top w:val="single" w:sz="4" w:space="0" w:color="C9E188" w:themeColor="accent4" w:themeTint="99"/>
        <w:left w:val="single" w:sz="4" w:space="0" w:color="C9E188" w:themeColor="accent4" w:themeTint="99"/>
        <w:bottom w:val="single" w:sz="4" w:space="0" w:color="C9E188" w:themeColor="accent4" w:themeTint="99"/>
        <w:right w:val="single" w:sz="4" w:space="0" w:color="C9E188" w:themeColor="accent4" w:themeTint="99"/>
        <w:insideH w:val="single" w:sz="4" w:space="0" w:color="C9E188" w:themeColor="accent4" w:themeTint="99"/>
      </w:tblBorders>
    </w:tblPr>
    <w:tblStylePr w:type="firstRow">
      <w:rPr>
        <w:b/>
        <w:bCs/>
        <w:color w:val="FFFFFF" w:themeColor="background1"/>
      </w:rPr>
      <w:tblPr/>
      <w:tcPr>
        <w:tcBorders>
          <w:top w:val="single" w:sz="4" w:space="0" w:color="A6CE39" w:themeColor="accent4"/>
          <w:left w:val="single" w:sz="4" w:space="0" w:color="A6CE39" w:themeColor="accent4"/>
          <w:bottom w:val="single" w:sz="4" w:space="0" w:color="A6CE39" w:themeColor="accent4"/>
          <w:right w:val="single" w:sz="4" w:space="0" w:color="A6CE39" w:themeColor="accent4"/>
          <w:insideH w:val="nil"/>
        </w:tcBorders>
        <w:shd w:val="clear" w:color="auto" w:fill="A6CE39" w:themeFill="accent4"/>
      </w:tcPr>
    </w:tblStylePr>
    <w:tblStylePr w:type="lastRow">
      <w:rPr>
        <w:b/>
        <w:bCs/>
      </w:rPr>
      <w:tblPr/>
      <w:tcPr>
        <w:tcBorders>
          <w:top w:val="double" w:sz="4" w:space="0" w:color="C9E188" w:themeColor="accent4" w:themeTint="99"/>
        </w:tcBorders>
      </w:tcPr>
    </w:tblStylePr>
    <w:tblStylePr w:type="firstCol">
      <w:rPr>
        <w:b/>
        <w:bCs/>
      </w:rPr>
    </w:tblStylePr>
    <w:tblStylePr w:type="lastCol">
      <w:rPr>
        <w:b/>
        <w:bCs/>
      </w:rPr>
    </w:tblStylePr>
    <w:tblStylePr w:type="band1Vert">
      <w:tblPr/>
      <w:tcPr>
        <w:shd w:val="clear" w:color="auto" w:fill="EDF5D7" w:themeFill="accent4" w:themeFillTint="33"/>
      </w:tcPr>
    </w:tblStylePr>
    <w:tblStylePr w:type="band1Horz">
      <w:tblPr/>
      <w:tcPr>
        <w:shd w:val="clear" w:color="auto" w:fill="EDF5D7" w:themeFill="accent4" w:themeFillTint="33"/>
      </w:tcPr>
    </w:tblStylePr>
  </w:style>
  <w:style w:type="table" w:styleId="ListTable4-Accent5">
    <w:name w:val="List Table 4 Accent 5"/>
    <w:basedOn w:val="TableNormal"/>
    <w:uiPriority w:val="49"/>
    <w:rsid w:val="009637A8"/>
    <w:pPr>
      <w:spacing w:after="0" w:line="240" w:lineRule="auto"/>
    </w:pPr>
    <w:tblPr>
      <w:tblStyleRowBandSize w:val="1"/>
      <w:tblStyleColBandSize w:val="1"/>
      <w:tblBorders>
        <w:top w:val="single" w:sz="4" w:space="0" w:color="479FE9" w:themeColor="accent5" w:themeTint="99"/>
        <w:left w:val="single" w:sz="4" w:space="0" w:color="479FE9" w:themeColor="accent5" w:themeTint="99"/>
        <w:bottom w:val="single" w:sz="4" w:space="0" w:color="479FE9" w:themeColor="accent5" w:themeTint="99"/>
        <w:right w:val="single" w:sz="4" w:space="0" w:color="479FE9" w:themeColor="accent5" w:themeTint="99"/>
        <w:insideH w:val="single" w:sz="4" w:space="0" w:color="479FE9" w:themeColor="accent5" w:themeTint="99"/>
      </w:tblBorders>
    </w:tblPr>
    <w:tblStylePr w:type="firstRow">
      <w:rPr>
        <w:b/>
        <w:bCs/>
        <w:color w:val="FFFFFF" w:themeColor="background1"/>
      </w:rPr>
      <w:tblPr/>
      <w:tcPr>
        <w:tcBorders>
          <w:top w:val="single" w:sz="4" w:space="0" w:color="125A96" w:themeColor="accent5"/>
          <w:left w:val="single" w:sz="4" w:space="0" w:color="125A96" w:themeColor="accent5"/>
          <w:bottom w:val="single" w:sz="4" w:space="0" w:color="125A96" w:themeColor="accent5"/>
          <w:right w:val="single" w:sz="4" w:space="0" w:color="125A96" w:themeColor="accent5"/>
          <w:insideH w:val="nil"/>
        </w:tcBorders>
        <w:shd w:val="clear" w:color="auto" w:fill="125A96" w:themeFill="accent5"/>
      </w:tcPr>
    </w:tblStylePr>
    <w:tblStylePr w:type="lastRow">
      <w:rPr>
        <w:b/>
        <w:bCs/>
      </w:rPr>
      <w:tblPr/>
      <w:tcPr>
        <w:tcBorders>
          <w:top w:val="double" w:sz="4" w:space="0" w:color="479FE9" w:themeColor="accent5" w:themeTint="99"/>
        </w:tcBorders>
      </w:tcPr>
    </w:tblStylePr>
    <w:tblStylePr w:type="firstCol">
      <w:rPr>
        <w:b/>
        <w:bCs/>
      </w:rPr>
    </w:tblStylePr>
    <w:tblStylePr w:type="lastCol">
      <w:rPr>
        <w:b/>
        <w:bCs/>
      </w:rPr>
    </w:tblStylePr>
    <w:tblStylePr w:type="band1Vert">
      <w:tblPr/>
      <w:tcPr>
        <w:shd w:val="clear" w:color="auto" w:fill="C1DFF7" w:themeFill="accent5" w:themeFillTint="33"/>
      </w:tcPr>
    </w:tblStylePr>
    <w:tblStylePr w:type="band1Horz">
      <w:tblPr/>
      <w:tcPr>
        <w:shd w:val="clear" w:color="auto" w:fill="C1DFF7" w:themeFill="accent5" w:themeFillTint="33"/>
      </w:tcPr>
    </w:tblStylePr>
  </w:style>
  <w:style w:type="table" w:styleId="ListTable4-Accent6">
    <w:name w:val="List Table 4 Accent 6"/>
    <w:basedOn w:val="TableNormal"/>
    <w:uiPriority w:val="49"/>
    <w:rsid w:val="009637A8"/>
    <w:pPr>
      <w:spacing w:after="0" w:line="240" w:lineRule="auto"/>
    </w:pPr>
    <w:tblPr>
      <w:tblStyleRowBandSize w:val="1"/>
      <w:tblStyleColBandSize w:val="1"/>
      <w:tblBorders>
        <w:top w:val="single" w:sz="4" w:space="0" w:color="2C40FF" w:themeColor="accent6" w:themeTint="99"/>
        <w:left w:val="single" w:sz="4" w:space="0" w:color="2C40FF" w:themeColor="accent6" w:themeTint="99"/>
        <w:bottom w:val="single" w:sz="4" w:space="0" w:color="2C40FF" w:themeColor="accent6" w:themeTint="99"/>
        <w:right w:val="single" w:sz="4" w:space="0" w:color="2C40FF" w:themeColor="accent6" w:themeTint="99"/>
        <w:insideH w:val="single" w:sz="4" w:space="0" w:color="2C40FF" w:themeColor="accent6" w:themeTint="99"/>
      </w:tblBorders>
    </w:tblPr>
    <w:tblStylePr w:type="firstRow">
      <w:rPr>
        <w:b/>
        <w:bCs/>
        <w:color w:val="FFFFFF" w:themeColor="background1"/>
      </w:rPr>
      <w:tblPr/>
      <w:tcPr>
        <w:tcBorders>
          <w:top w:val="single" w:sz="4" w:space="0" w:color="000F9F" w:themeColor="accent6"/>
          <w:left w:val="single" w:sz="4" w:space="0" w:color="000F9F" w:themeColor="accent6"/>
          <w:bottom w:val="single" w:sz="4" w:space="0" w:color="000F9F" w:themeColor="accent6"/>
          <w:right w:val="single" w:sz="4" w:space="0" w:color="000F9F" w:themeColor="accent6"/>
          <w:insideH w:val="nil"/>
        </w:tcBorders>
        <w:shd w:val="clear" w:color="auto" w:fill="000F9F" w:themeFill="accent6"/>
      </w:tcPr>
    </w:tblStylePr>
    <w:tblStylePr w:type="lastRow">
      <w:rPr>
        <w:b/>
        <w:bCs/>
      </w:rPr>
      <w:tblPr/>
      <w:tcPr>
        <w:tcBorders>
          <w:top w:val="double" w:sz="4" w:space="0" w:color="2C40FF" w:themeColor="accent6" w:themeTint="99"/>
        </w:tcBorders>
      </w:tcPr>
    </w:tblStylePr>
    <w:tblStylePr w:type="firstCol">
      <w:rPr>
        <w:b/>
        <w:bCs/>
      </w:rPr>
    </w:tblStylePr>
    <w:tblStylePr w:type="lastCol">
      <w:rPr>
        <w:b/>
        <w:bCs/>
      </w:rPr>
    </w:tblStylePr>
    <w:tblStylePr w:type="band1Vert">
      <w:tblPr/>
      <w:tcPr>
        <w:shd w:val="clear" w:color="auto" w:fill="B8BFFF" w:themeFill="accent6" w:themeFillTint="33"/>
      </w:tcPr>
    </w:tblStylePr>
    <w:tblStylePr w:type="band1Horz">
      <w:tblPr/>
      <w:tcPr>
        <w:shd w:val="clear" w:color="auto" w:fill="B8BFFF" w:themeFill="accent6" w:themeFillTint="33"/>
      </w:tcPr>
    </w:tblStylePr>
  </w:style>
  <w:style w:type="table" w:styleId="ListTable5Dark">
    <w:name w:val="List Table 5 Dark"/>
    <w:basedOn w:val="TableNormal"/>
    <w:uiPriority w:val="50"/>
    <w:rsid w:val="009637A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637A8"/>
    <w:pPr>
      <w:spacing w:after="0" w:line="240" w:lineRule="auto"/>
    </w:pPr>
    <w:rPr>
      <w:color w:val="FFFFFF" w:themeColor="background1"/>
    </w:rPr>
    <w:tblPr>
      <w:tblStyleRowBandSize w:val="1"/>
      <w:tblStyleColBandSize w:val="1"/>
      <w:tblBorders>
        <w:top w:val="single" w:sz="24" w:space="0" w:color="4EB2A9" w:themeColor="accent1"/>
        <w:left w:val="single" w:sz="24" w:space="0" w:color="4EB2A9" w:themeColor="accent1"/>
        <w:bottom w:val="single" w:sz="24" w:space="0" w:color="4EB2A9" w:themeColor="accent1"/>
        <w:right w:val="single" w:sz="24" w:space="0" w:color="4EB2A9" w:themeColor="accent1"/>
      </w:tblBorders>
    </w:tblPr>
    <w:tcPr>
      <w:shd w:val="clear" w:color="auto" w:fill="4E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637A8"/>
    <w:pPr>
      <w:spacing w:after="0" w:line="240" w:lineRule="auto"/>
    </w:pPr>
    <w:rPr>
      <w:color w:val="FFFFFF" w:themeColor="background1"/>
    </w:rPr>
    <w:tblPr>
      <w:tblStyleRowBandSize w:val="1"/>
      <w:tblStyleColBandSize w:val="1"/>
      <w:tblBorders>
        <w:top w:val="single" w:sz="24" w:space="0" w:color="9C5083" w:themeColor="accent2"/>
        <w:left w:val="single" w:sz="24" w:space="0" w:color="9C5083" w:themeColor="accent2"/>
        <w:bottom w:val="single" w:sz="24" w:space="0" w:color="9C5083" w:themeColor="accent2"/>
        <w:right w:val="single" w:sz="24" w:space="0" w:color="9C5083" w:themeColor="accent2"/>
      </w:tblBorders>
    </w:tblPr>
    <w:tcPr>
      <w:shd w:val="clear" w:color="auto" w:fill="9C508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637A8"/>
    <w:pPr>
      <w:spacing w:after="0" w:line="240" w:lineRule="auto"/>
    </w:pPr>
    <w:rPr>
      <w:color w:val="FFFFFF" w:themeColor="background1"/>
    </w:rPr>
    <w:tblPr>
      <w:tblStyleRowBandSize w:val="1"/>
      <w:tblStyleColBandSize w:val="1"/>
      <w:tblBorders>
        <w:top w:val="single" w:sz="24" w:space="0" w:color="2B746F" w:themeColor="accent3"/>
        <w:left w:val="single" w:sz="24" w:space="0" w:color="2B746F" w:themeColor="accent3"/>
        <w:bottom w:val="single" w:sz="24" w:space="0" w:color="2B746F" w:themeColor="accent3"/>
        <w:right w:val="single" w:sz="24" w:space="0" w:color="2B746F" w:themeColor="accent3"/>
      </w:tblBorders>
    </w:tblPr>
    <w:tcPr>
      <w:shd w:val="clear" w:color="auto" w:fill="2B74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637A8"/>
    <w:pPr>
      <w:spacing w:after="0" w:line="240" w:lineRule="auto"/>
    </w:pPr>
    <w:rPr>
      <w:color w:val="FFFFFF" w:themeColor="background1"/>
    </w:rPr>
    <w:tblPr>
      <w:tblStyleRowBandSize w:val="1"/>
      <w:tblStyleColBandSize w:val="1"/>
      <w:tblBorders>
        <w:top w:val="single" w:sz="24" w:space="0" w:color="A6CE39" w:themeColor="accent4"/>
        <w:left w:val="single" w:sz="24" w:space="0" w:color="A6CE39" w:themeColor="accent4"/>
        <w:bottom w:val="single" w:sz="24" w:space="0" w:color="A6CE39" w:themeColor="accent4"/>
        <w:right w:val="single" w:sz="24" w:space="0" w:color="A6CE39" w:themeColor="accent4"/>
      </w:tblBorders>
    </w:tblPr>
    <w:tcPr>
      <w:shd w:val="clear" w:color="auto" w:fill="A6CE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637A8"/>
    <w:pPr>
      <w:spacing w:after="0" w:line="240" w:lineRule="auto"/>
    </w:pPr>
    <w:rPr>
      <w:color w:val="FFFFFF" w:themeColor="background1"/>
    </w:rPr>
    <w:tblPr>
      <w:tblStyleRowBandSize w:val="1"/>
      <w:tblStyleColBandSize w:val="1"/>
      <w:tblBorders>
        <w:top w:val="single" w:sz="24" w:space="0" w:color="125A96" w:themeColor="accent5"/>
        <w:left w:val="single" w:sz="24" w:space="0" w:color="125A96" w:themeColor="accent5"/>
        <w:bottom w:val="single" w:sz="24" w:space="0" w:color="125A96" w:themeColor="accent5"/>
        <w:right w:val="single" w:sz="24" w:space="0" w:color="125A96" w:themeColor="accent5"/>
      </w:tblBorders>
    </w:tblPr>
    <w:tcPr>
      <w:shd w:val="clear" w:color="auto" w:fill="125A9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637A8"/>
    <w:pPr>
      <w:spacing w:after="0" w:line="240" w:lineRule="auto"/>
    </w:pPr>
    <w:rPr>
      <w:color w:val="FFFFFF" w:themeColor="background1"/>
    </w:rPr>
    <w:tblPr>
      <w:tblStyleRowBandSize w:val="1"/>
      <w:tblStyleColBandSize w:val="1"/>
      <w:tblBorders>
        <w:top w:val="single" w:sz="24" w:space="0" w:color="000F9F" w:themeColor="accent6"/>
        <w:left w:val="single" w:sz="24" w:space="0" w:color="000F9F" w:themeColor="accent6"/>
        <w:bottom w:val="single" w:sz="24" w:space="0" w:color="000F9F" w:themeColor="accent6"/>
        <w:right w:val="single" w:sz="24" w:space="0" w:color="000F9F" w:themeColor="accent6"/>
      </w:tblBorders>
    </w:tblPr>
    <w:tcPr>
      <w:shd w:val="clear" w:color="auto" w:fill="000F9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637A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637A8"/>
    <w:pPr>
      <w:spacing w:after="0" w:line="240" w:lineRule="auto"/>
    </w:pPr>
    <w:rPr>
      <w:color w:val="3A857E" w:themeColor="accent1" w:themeShade="BF"/>
    </w:rPr>
    <w:tblPr>
      <w:tblStyleRowBandSize w:val="1"/>
      <w:tblStyleColBandSize w:val="1"/>
      <w:tblBorders>
        <w:top w:val="single" w:sz="4" w:space="0" w:color="4EB2A9" w:themeColor="accent1"/>
        <w:bottom w:val="single" w:sz="4" w:space="0" w:color="4EB2A9" w:themeColor="accent1"/>
      </w:tblBorders>
    </w:tblPr>
    <w:tblStylePr w:type="firstRow">
      <w:rPr>
        <w:b/>
        <w:bCs/>
      </w:rPr>
      <w:tblPr/>
      <w:tcPr>
        <w:tcBorders>
          <w:bottom w:val="single" w:sz="4" w:space="0" w:color="4EB2A9" w:themeColor="accent1"/>
        </w:tcBorders>
      </w:tcPr>
    </w:tblStylePr>
    <w:tblStylePr w:type="lastRow">
      <w:rPr>
        <w:b/>
        <w:bCs/>
      </w:rPr>
      <w:tblPr/>
      <w:tcPr>
        <w:tcBorders>
          <w:top w:val="double" w:sz="4" w:space="0" w:color="4EB2A9" w:themeColor="accent1"/>
        </w:tcBorders>
      </w:tcPr>
    </w:tblStylePr>
    <w:tblStylePr w:type="firstCol">
      <w:rPr>
        <w:b/>
        <w:bCs/>
      </w:rPr>
    </w:tblStylePr>
    <w:tblStylePr w:type="lastCol">
      <w:rPr>
        <w:b/>
        <w:bCs/>
      </w:rPr>
    </w:tblStylePr>
    <w:tblStylePr w:type="band1Vert">
      <w:tblPr/>
      <w:tcPr>
        <w:shd w:val="clear" w:color="auto" w:fill="DBEFED" w:themeFill="accent1" w:themeFillTint="33"/>
      </w:tcPr>
    </w:tblStylePr>
    <w:tblStylePr w:type="band1Horz">
      <w:tblPr/>
      <w:tcPr>
        <w:shd w:val="clear" w:color="auto" w:fill="DBEFED" w:themeFill="accent1" w:themeFillTint="33"/>
      </w:tcPr>
    </w:tblStylePr>
  </w:style>
  <w:style w:type="table" w:styleId="ListTable6Colorful-Accent2">
    <w:name w:val="List Table 6 Colorful Accent 2"/>
    <w:basedOn w:val="TableNormal"/>
    <w:uiPriority w:val="51"/>
    <w:rsid w:val="009637A8"/>
    <w:pPr>
      <w:spacing w:after="0" w:line="240" w:lineRule="auto"/>
    </w:pPr>
    <w:rPr>
      <w:color w:val="743C62" w:themeColor="accent2" w:themeShade="BF"/>
    </w:rPr>
    <w:tblPr>
      <w:tblStyleRowBandSize w:val="1"/>
      <w:tblStyleColBandSize w:val="1"/>
      <w:tblBorders>
        <w:top w:val="single" w:sz="4" w:space="0" w:color="9C5083" w:themeColor="accent2"/>
        <w:bottom w:val="single" w:sz="4" w:space="0" w:color="9C5083" w:themeColor="accent2"/>
      </w:tblBorders>
    </w:tblPr>
    <w:tblStylePr w:type="firstRow">
      <w:rPr>
        <w:b/>
        <w:bCs/>
      </w:rPr>
      <w:tblPr/>
      <w:tcPr>
        <w:tcBorders>
          <w:bottom w:val="single" w:sz="4" w:space="0" w:color="9C5083" w:themeColor="accent2"/>
        </w:tcBorders>
      </w:tcPr>
    </w:tblStylePr>
    <w:tblStylePr w:type="lastRow">
      <w:rPr>
        <w:b/>
        <w:bCs/>
      </w:rPr>
      <w:tblPr/>
      <w:tcPr>
        <w:tcBorders>
          <w:top w:val="double" w:sz="4" w:space="0" w:color="9C5083" w:themeColor="accent2"/>
        </w:tcBorders>
      </w:tcPr>
    </w:tblStylePr>
    <w:tblStylePr w:type="firstCol">
      <w:rPr>
        <w:b/>
        <w:bCs/>
      </w:rPr>
    </w:tblStylePr>
    <w:tblStylePr w:type="lastCol">
      <w:rPr>
        <w:b/>
        <w:bCs/>
      </w:rPr>
    </w:tblStylePr>
    <w:tblStylePr w:type="band1Vert">
      <w:tblPr/>
      <w:tcPr>
        <w:shd w:val="clear" w:color="auto" w:fill="ECDAE6" w:themeFill="accent2" w:themeFillTint="33"/>
      </w:tcPr>
    </w:tblStylePr>
    <w:tblStylePr w:type="band1Horz">
      <w:tblPr/>
      <w:tcPr>
        <w:shd w:val="clear" w:color="auto" w:fill="ECDAE6" w:themeFill="accent2" w:themeFillTint="33"/>
      </w:tcPr>
    </w:tblStylePr>
  </w:style>
  <w:style w:type="table" w:styleId="ListTable6Colorful-Accent3">
    <w:name w:val="List Table 6 Colorful Accent 3"/>
    <w:basedOn w:val="TableNormal"/>
    <w:uiPriority w:val="51"/>
    <w:rsid w:val="009637A8"/>
    <w:pPr>
      <w:spacing w:after="0" w:line="240" w:lineRule="auto"/>
    </w:pPr>
    <w:rPr>
      <w:color w:val="205652" w:themeColor="accent3" w:themeShade="BF"/>
    </w:rPr>
    <w:tblPr>
      <w:tblStyleRowBandSize w:val="1"/>
      <w:tblStyleColBandSize w:val="1"/>
      <w:tblBorders>
        <w:top w:val="single" w:sz="4" w:space="0" w:color="2B746F" w:themeColor="accent3"/>
        <w:bottom w:val="single" w:sz="4" w:space="0" w:color="2B746F" w:themeColor="accent3"/>
      </w:tblBorders>
    </w:tblPr>
    <w:tblStylePr w:type="firstRow">
      <w:rPr>
        <w:b/>
        <w:bCs/>
      </w:rPr>
      <w:tblPr/>
      <w:tcPr>
        <w:tcBorders>
          <w:bottom w:val="single" w:sz="4" w:space="0" w:color="2B746F" w:themeColor="accent3"/>
        </w:tcBorders>
      </w:tcPr>
    </w:tblStylePr>
    <w:tblStylePr w:type="lastRow">
      <w:rPr>
        <w:b/>
        <w:bCs/>
      </w:rPr>
      <w:tblPr/>
      <w:tcPr>
        <w:tcBorders>
          <w:top w:val="double" w:sz="4" w:space="0" w:color="2B746F" w:themeColor="accent3"/>
        </w:tcBorders>
      </w:tcPr>
    </w:tblStylePr>
    <w:tblStylePr w:type="firstCol">
      <w:rPr>
        <w:b/>
        <w:bCs/>
      </w:rPr>
    </w:tblStylePr>
    <w:tblStylePr w:type="lastCol">
      <w:rPr>
        <w:b/>
        <w:bCs/>
      </w:rPr>
    </w:tblStylePr>
    <w:tblStylePr w:type="band1Vert">
      <w:tblPr/>
      <w:tcPr>
        <w:shd w:val="clear" w:color="auto" w:fill="CBECE9" w:themeFill="accent3" w:themeFillTint="33"/>
      </w:tcPr>
    </w:tblStylePr>
    <w:tblStylePr w:type="band1Horz">
      <w:tblPr/>
      <w:tcPr>
        <w:shd w:val="clear" w:color="auto" w:fill="CBECE9" w:themeFill="accent3" w:themeFillTint="33"/>
      </w:tcPr>
    </w:tblStylePr>
  </w:style>
  <w:style w:type="table" w:styleId="ListTable6Colorful-Accent4">
    <w:name w:val="List Table 6 Colorful Accent 4"/>
    <w:basedOn w:val="TableNormal"/>
    <w:uiPriority w:val="51"/>
    <w:rsid w:val="009637A8"/>
    <w:pPr>
      <w:spacing w:after="0" w:line="240" w:lineRule="auto"/>
    </w:pPr>
    <w:rPr>
      <w:color w:val="7D9D27" w:themeColor="accent4" w:themeShade="BF"/>
    </w:rPr>
    <w:tblPr>
      <w:tblStyleRowBandSize w:val="1"/>
      <w:tblStyleColBandSize w:val="1"/>
      <w:tblBorders>
        <w:top w:val="single" w:sz="4" w:space="0" w:color="A6CE39" w:themeColor="accent4"/>
        <w:bottom w:val="single" w:sz="4" w:space="0" w:color="A6CE39" w:themeColor="accent4"/>
      </w:tblBorders>
    </w:tblPr>
    <w:tblStylePr w:type="firstRow">
      <w:rPr>
        <w:b/>
        <w:bCs/>
      </w:rPr>
      <w:tblPr/>
      <w:tcPr>
        <w:tcBorders>
          <w:bottom w:val="single" w:sz="4" w:space="0" w:color="A6CE39" w:themeColor="accent4"/>
        </w:tcBorders>
      </w:tcPr>
    </w:tblStylePr>
    <w:tblStylePr w:type="lastRow">
      <w:rPr>
        <w:b/>
        <w:bCs/>
      </w:rPr>
      <w:tblPr/>
      <w:tcPr>
        <w:tcBorders>
          <w:top w:val="double" w:sz="4" w:space="0" w:color="A6CE39" w:themeColor="accent4"/>
        </w:tcBorders>
      </w:tcPr>
    </w:tblStylePr>
    <w:tblStylePr w:type="firstCol">
      <w:rPr>
        <w:b/>
        <w:bCs/>
      </w:rPr>
    </w:tblStylePr>
    <w:tblStylePr w:type="lastCol">
      <w:rPr>
        <w:b/>
        <w:bCs/>
      </w:rPr>
    </w:tblStylePr>
    <w:tblStylePr w:type="band1Vert">
      <w:tblPr/>
      <w:tcPr>
        <w:shd w:val="clear" w:color="auto" w:fill="EDF5D7" w:themeFill="accent4" w:themeFillTint="33"/>
      </w:tcPr>
    </w:tblStylePr>
    <w:tblStylePr w:type="band1Horz">
      <w:tblPr/>
      <w:tcPr>
        <w:shd w:val="clear" w:color="auto" w:fill="EDF5D7" w:themeFill="accent4" w:themeFillTint="33"/>
      </w:tcPr>
    </w:tblStylePr>
  </w:style>
  <w:style w:type="table" w:styleId="ListTable6Colorful-Accent5">
    <w:name w:val="List Table 6 Colorful Accent 5"/>
    <w:basedOn w:val="TableNormal"/>
    <w:uiPriority w:val="51"/>
    <w:rsid w:val="009637A8"/>
    <w:pPr>
      <w:spacing w:after="0" w:line="240" w:lineRule="auto"/>
    </w:pPr>
    <w:rPr>
      <w:color w:val="0D4370" w:themeColor="accent5" w:themeShade="BF"/>
    </w:rPr>
    <w:tblPr>
      <w:tblStyleRowBandSize w:val="1"/>
      <w:tblStyleColBandSize w:val="1"/>
      <w:tblBorders>
        <w:top w:val="single" w:sz="4" w:space="0" w:color="125A96" w:themeColor="accent5"/>
        <w:bottom w:val="single" w:sz="4" w:space="0" w:color="125A96" w:themeColor="accent5"/>
      </w:tblBorders>
    </w:tblPr>
    <w:tblStylePr w:type="firstRow">
      <w:rPr>
        <w:b/>
        <w:bCs/>
      </w:rPr>
      <w:tblPr/>
      <w:tcPr>
        <w:tcBorders>
          <w:bottom w:val="single" w:sz="4" w:space="0" w:color="125A96" w:themeColor="accent5"/>
        </w:tcBorders>
      </w:tcPr>
    </w:tblStylePr>
    <w:tblStylePr w:type="lastRow">
      <w:rPr>
        <w:b/>
        <w:bCs/>
      </w:rPr>
      <w:tblPr/>
      <w:tcPr>
        <w:tcBorders>
          <w:top w:val="double" w:sz="4" w:space="0" w:color="125A96" w:themeColor="accent5"/>
        </w:tcBorders>
      </w:tcPr>
    </w:tblStylePr>
    <w:tblStylePr w:type="firstCol">
      <w:rPr>
        <w:b/>
        <w:bCs/>
      </w:rPr>
    </w:tblStylePr>
    <w:tblStylePr w:type="lastCol">
      <w:rPr>
        <w:b/>
        <w:bCs/>
      </w:rPr>
    </w:tblStylePr>
    <w:tblStylePr w:type="band1Vert">
      <w:tblPr/>
      <w:tcPr>
        <w:shd w:val="clear" w:color="auto" w:fill="C1DFF7" w:themeFill="accent5" w:themeFillTint="33"/>
      </w:tcPr>
    </w:tblStylePr>
    <w:tblStylePr w:type="band1Horz">
      <w:tblPr/>
      <w:tcPr>
        <w:shd w:val="clear" w:color="auto" w:fill="C1DFF7" w:themeFill="accent5" w:themeFillTint="33"/>
      </w:tcPr>
    </w:tblStylePr>
  </w:style>
  <w:style w:type="table" w:styleId="ListTable6Colorful-Accent6">
    <w:name w:val="List Table 6 Colorful Accent 6"/>
    <w:basedOn w:val="TableNormal"/>
    <w:uiPriority w:val="51"/>
    <w:rsid w:val="009637A8"/>
    <w:pPr>
      <w:spacing w:after="0" w:line="240" w:lineRule="auto"/>
    </w:pPr>
    <w:rPr>
      <w:color w:val="000B77" w:themeColor="accent6" w:themeShade="BF"/>
    </w:rPr>
    <w:tblPr>
      <w:tblStyleRowBandSize w:val="1"/>
      <w:tblStyleColBandSize w:val="1"/>
      <w:tblBorders>
        <w:top w:val="single" w:sz="4" w:space="0" w:color="000F9F" w:themeColor="accent6"/>
        <w:bottom w:val="single" w:sz="4" w:space="0" w:color="000F9F" w:themeColor="accent6"/>
      </w:tblBorders>
    </w:tblPr>
    <w:tblStylePr w:type="firstRow">
      <w:rPr>
        <w:b/>
        <w:bCs/>
      </w:rPr>
      <w:tblPr/>
      <w:tcPr>
        <w:tcBorders>
          <w:bottom w:val="single" w:sz="4" w:space="0" w:color="000F9F" w:themeColor="accent6"/>
        </w:tcBorders>
      </w:tcPr>
    </w:tblStylePr>
    <w:tblStylePr w:type="lastRow">
      <w:rPr>
        <w:b/>
        <w:bCs/>
      </w:rPr>
      <w:tblPr/>
      <w:tcPr>
        <w:tcBorders>
          <w:top w:val="double" w:sz="4" w:space="0" w:color="000F9F" w:themeColor="accent6"/>
        </w:tcBorders>
      </w:tcPr>
    </w:tblStylePr>
    <w:tblStylePr w:type="firstCol">
      <w:rPr>
        <w:b/>
        <w:bCs/>
      </w:rPr>
    </w:tblStylePr>
    <w:tblStylePr w:type="lastCol">
      <w:rPr>
        <w:b/>
        <w:bCs/>
      </w:rPr>
    </w:tblStylePr>
    <w:tblStylePr w:type="band1Vert">
      <w:tblPr/>
      <w:tcPr>
        <w:shd w:val="clear" w:color="auto" w:fill="B8BFFF" w:themeFill="accent6" w:themeFillTint="33"/>
      </w:tcPr>
    </w:tblStylePr>
    <w:tblStylePr w:type="band1Horz">
      <w:tblPr/>
      <w:tcPr>
        <w:shd w:val="clear" w:color="auto" w:fill="B8BFFF" w:themeFill="accent6" w:themeFillTint="33"/>
      </w:tcPr>
    </w:tblStylePr>
  </w:style>
  <w:style w:type="table" w:styleId="ListTable7Colorful">
    <w:name w:val="List Table 7 Colorful"/>
    <w:basedOn w:val="TableNormal"/>
    <w:uiPriority w:val="52"/>
    <w:rsid w:val="009637A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637A8"/>
    <w:pPr>
      <w:spacing w:after="0" w:line="240" w:lineRule="auto"/>
    </w:pPr>
    <w:rPr>
      <w:color w:val="3A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2A9" w:themeColor="accent1"/>
        </w:tcBorders>
        <w:shd w:val="clear" w:color="auto" w:fill="FFFFFF" w:themeFill="background1"/>
      </w:tcPr>
    </w:tblStylePr>
    <w:tblStylePr w:type="band1Vert">
      <w:tblPr/>
      <w:tcPr>
        <w:shd w:val="clear" w:color="auto" w:fill="DBEFED" w:themeFill="accent1" w:themeFillTint="33"/>
      </w:tcPr>
    </w:tblStylePr>
    <w:tblStylePr w:type="band1Horz">
      <w:tblPr/>
      <w:tcPr>
        <w:shd w:val="clear" w:color="auto" w:fill="DBEF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637A8"/>
    <w:pPr>
      <w:spacing w:after="0" w:line="240" w:lineRule="auto"/>
    </w:pPr>
    <w:rPr>
      <w:color w:val="743C6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508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508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508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5083" w:themeColor="accent2"/>
        </w:tcBorders>
        <w:shd w:val="clear" w:color="auto" w:fill="FFFFFF" w:themeFill="background1"/>
      </w:tcPr>
    </w:tblStylePr>
    <w:tblStylePr w:type="band1Vert">
      <w:tblPr/>
      <w:tcPr>
        <w:shd w:val="clear" w:color="auto" w:fill="ECDAE6" w:themeFill="accent2" w:themeFillTint="33"/>
      </w:tcPr>
    </w:tblStylePr>
    <w:tblStylePr w:type="band1Horz">
      <w:tblPr/>
      <w:tcPr>
        <w:shd w:val="clear" w:color="auto" w:fill="ECDAE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637A8"/>
    <w:pPr>
      <w:spacing w:after="0" w:line="240" w:lineRule="auto"/>
    </w:pPr>
    <w:rPr>
      <w:color w:val="2056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74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74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74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746F" w:themeColor="accent3"/>
        </w:tcBorders>
        <w:shd w:val="clear" w:color="auto" w:fill="FFFFFF" w:themeFill="background1"/>
      </w:tcPr>
    </w:tblStylePr>
    <w:tblStylePr w:type="band1Vert">
      <w:tblPr/>
      <w:tcPr>
        <w:shd w:val="clear" w:color="auto" w:fill="CBECE9" w:themeFill="accent3" w:themeFillTint="33"/>
      </w:tcPr>
    </w:tblStylePr>
    <w:tblStylePr w:type="band1Horz">
      <w:tblPr/>
      <w:tcPr>
        <w:shd w:val="clear" w:color="auto" w:fill="CBECE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637A8"/>
    <w:pPr>
      <w:spacing w:after="0" w:line="240" w:lineRule="auto"/>
    </w:pPr>
    <w:rPr>
      <w:color w:val="7D9D2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CE3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CE3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CE3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CE39" w:themeColor="accent4"/>
        </w:tcBorders>
        <w:shd w:val="clear" w:color="auto" w:fill="FFFFFF" w:themeFill="background1"/>
      </w:tcPr>
    </w:tblStylePr>
    <w:tblStylePr w:type="band1Vert">
      <w:tblPr/>
      <w:tcPr>
        <w:shd w:val="clear" w:color="auto" w:fill="EDF5D7" w:themeFill="accent4" w:themeFillTint="33"/>
      </w:tcPr>
    </w:tblStylePr>
    <w:tblStylePr w:type="band1Horz">
      <w:tblPr/>
      <w:tcPr>
        <w:shd w:val="clear" w:color="auto" w:fill="EDF5D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637A8"/>
    <w:pPr>
      <w:spacing w:after="0" w:line="240" w:lineRule="auto"/>
    </w:pPr>
    <w:rPr>
      <w:color w:val="0D437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5A9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5A9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5A9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5A96" w:themeColor="accent5"/>
        </w:tcBorders>
        <w:shd w:val="clear" w:color="auto" w:fill="FFFFFF" w:themeFill="background1"/>
      </w:tcPr>
    </w:tblStylePr>
    <w:tblStylePr w:type="band1Vert">
      <w:tblPr/>
      <w:tcPr>
        <w:shd w:val="clear" w:color="auto" w:fill="C1DFF7" w:themeFill="accent5" w:themeFillTint="33"/>
      </w:tcPr>
    </w:tblStylePr>
    <w:tblStylePr w:type="band1Horz">
      <w:tblPr/>
      <w:tcPr>
        <w:shd w:val="clear" w:color="auto" w:fill="C1DFF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637A8"/>
    <w:pPr>
      <w:spacing w:after="0" w:line="240" w:lineRule="auto"/>
    </w:pPr>
    <w:rPr>
      <w:color w:val="000B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9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9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9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9F" w:themeColor="accent6"/>
        </w:tcBorders>
        <w:shd w:val="clear" w:color="auto" w:fill="FFFFFF" w:themeFill="background1"/>
      </w:tcPr>
    </w:tblStylePr>
    <w:tblStylePr w:type="band1Vert">
      <w:tblPr/>
      <w:tcPr>
        <w:shd w:val="clear" w:color="auto" w:fill="B8BFFF" w:themeFill="accent6" w:themeFillTint="33"/>
      </w:tcPr>
    </w:tblStylePr>
    <w:tblStylePr w:type="band1Horz">
      <w:tblPr/>
      <w:tcPr>
        <w:shd w:val="clear" w:color="auto" w:fill="B8B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9637A8"/>
    <w:pPr>
      <w:tabs>
        <w:tab w:val="left" w:pos="480"/>
        <w:tab w:val="left" w:pos="960"/>
        <w:tab w:val="left" w:pos="1440"/>
        <w:tab w:val="left" w:pos="1920"/>
        <w:tab w:val="left" w:pos="2400"/>
        <w:tab w:val="left" w:pos="2880"/>
        <w:tab w:val="left" w:pos="3360"/>
        <w:tab w:val="left" w:pos="3840"/>
        <w:tab w:val="left" w:pos="4320"/>
      </w:tabs>
      <w:spacing w:after="0"/>
    </w:pPr>
    <w:rPr>
      <w:rFonts w:ascii="Nunito Light" w:hAnsi="Nunito Light" w:cs="Arial"/>
      <w:sz w:val="20"/>
      <w:szCs w:val="20"/>
    </w:rPr>
  </w:style>
  <w:style w:type="character" w:customStyle="1" w:styleId="MacroTextChar">
    <w:name w:val="Macro Text Char"/>
    <w:basedOn w:val="DefaultParagraphFont"/>
    <w:link w:val="MacroText"/>
    <w:uiPriority w:val="99"/>
    <w:semiHidden/>
    <w:rsid w:val="00AD3AE6"/>
    <w:rPr>
      <w:rFonts w:ascii="Nunito Light" w:hAnsi="Nunito Light" w:cs="Arial"/>
      <w:sz w:val="20"/>
      <w:szCs w:val="20"/>
    </w:rPr>
  </w:style>
  <w:style w:type="table" w:styleId="MediumGrid1">
    <w:name w:val="Medium Grid 1"/>
    <w:basedOn w:val="TableNormal"/>
    <w:uiPriority w:val="67"/>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637A8"/>
    <w:pPr>
      <w:spacing w:after="0" w:line="240" w:lineRule="auto"/>
    </w:pPr>
    <w:tblPr>
      <w:tblStyleRowBandSize w:val="1"/>
      <w:tblStyleColBandSize w:val="1"/>
      <w:tblBorders>
        <w:top w:val="single" w:sz="8" w:space="0" w:color="7AC5BE" w:themeColor="accent1" w:themeTint="BF"/>
        <w:left w:val="single" w:sz="8" w:space="0" w:color="7AC5BE" w:themeColor="accent1" w:themeTint="BF"/>
        <w:bottom w:val="single" w:sz="8" w:space="0" w:color="7AC5BE" w:themeColor="accent1" w:themeTint="BF"/>
        <w:right w:val="single" w:sz="8" w:space="0" w:color="7AC5BE" w:themeColor="accent1" w:themeTint="BF"/>
        <w:insideH w:val="single" w:sz="8" w:space="0" w:color="7AC5BE" w:themeColor="accent1" w:themeTint="BF"/>
        <w:insideV w:val="single" w:sz="8" w:space="0" w:color="7AC5BE" w:themeColor="accent1" w:themeTint="BF"/>
      </w:tblBorders>
    </w:tblPr>
    <w:tcPr>
      <w:shd w:val="clear" w:color="auto" w:fill="D3ECE9" w:themeFill="accent1" w:themeFillTint="3F"/>
    </w:tcPr>
    <w:tblStylePr w:type="firstRow">
      <w:rPr>
        <w:b/>
        <w:bCs/>
      </w:rPr>
    </w:tblStylePr>
    <w:tblStylePr w:type="lastRow">
      <w:rPr>
        <w:b/>
        <w:bCs/>
      </w:rPr>
      <w:tblPr/>
      <w:tcPr>
        <w:tcBorders>
          <w:top w:val="single" w:sz="18" w:space="0" w:color="7AC5BE" w:themeColor="accent1" w:themeTint="BF"/>
        </w:tcBorders>
      </w:tcPr>
    </w:tblStylePr>
    <w:tblStylePr w:type="firstCol">
      <w:rPr>
        <w:b/>
        <w:bCs/>
      </w:rPr>
    </w:tblStylePr>
    <w:tblStylePr w:type="lastCol">
      <w:rPr>
        <w:b/>
        <w:bCs/>
      </w:rPr>
    </w:tblStylePr>
    <w:tblStylePr w:type="band1Vert">
      <w:tblPr/>
      <w:tcPr>
        <w:shd w:val="clear" w:color="auto" w:fill="A6D8D4" w:themeFill="accent1" w:themeFillTint="7F"/>
      </w:tcPr>
    </w:tblStylePr>
    <w:tblStylePr w:type="band1Horz">
      <w:tblPr/>
      <w:tcPr>
        <w:shd w:val="clear" w:color="auto" w:fill="A6D8D4" w:themeFill="accent1" w:themeFillTint="7F"/>
      </w:tcPr>
    </w:tblStylePr>
  </w:style>
  <w:style w:type="table" w:styleId="MediumGrid1-Accent2">
    <w:name w:val="Medium Grid 1 Accent 2"/>
    <w:basedOn w:val="TableNormal"/>
    <w:uiPriority w:val="67"/>
    <w:semiHidden/>
    <w:unhideWhenUsed/>
    <w:rsid w:val="009637A8"/>
    <w:pPr>
      <w:spacing w:after="0" w:line="240" w:lineRule="auto"/>
    </w:pPr>
    <w:tblPr>
      <w:tblStyleRowBandSize w:val="1"/>
      <w:tblStyleColBandSize w:val="1"/>
      <w:tblBorders>
        <w:top w:val="single" w:sz="8" w:space="0" w:color="B977A3" w:themeColor="accent2" w:themeTint="BF"/>
        <w:left w:val="single" w:sz="8" w:space="0" w:color="B977A3" w:themeColor="accent2" w:themeTint="BF"/>
        <w:bottom w:val="single" w:sz="8" w:space="0" w:color="B977A3" w:themeColor="accent2" w:themeTint="BF"/>
        <w:right w:val="single" w:sz="8" w:space="0" w:color="B977A3" w:themeColor="accent2" w:themeTint="BF"/>
        <w:insideH w:val="single" w:sz="8" w:space="0" w:color="B977A3" w:themeColor="accent2" w:themeTint="BF"/>
        <w:insideV w:val="single" w:sz="8" w:space="0" w:color="B977A3" w:themeColor="accent2" w:themeTint="BF"/>
      </w:tblBorders>
    </w:tblPr>
    <w:tcPr>
      <w:shd w:val="clear" w:color="auto" w:fill="E8D2E0" w:themeFill="accent2" w:themeFillTint="3F"/>
    </w:tcPr>
    <w:tblStylePr w:type="firstRow">
      <w:rPr>
        <w:b/>
        <w:bCs/>
      </w:rPr>
    </w:tblStylePr>
    <w:tblStylePr w:type="lastRow">
      <w:rPr>
        <w:b/>
        <w:bCs/>
      </w:rPr>
      <w:tblPr/>
      <w:tcPr>
        <w:tcBorders>
          <w:top w:val="single" w:sz="18" w:space="0" w:color="B977A3" w:themeColor="accent2" w:themeTint="BF"/>
        </w:tcBorders>
      </w:tcPr>
    </w:tblStylePr>
    <w:tblStylePr w:type="firstCol">
      <w:rPr>
        <w:b/>
        <w:bCs/>
      </w:rPr>
    </w:tblStylePr>
    <w:tblStylePr w:type="lastCol">
      <w:rPr>
        <w:b/>
        <w:bCs/>
      </w:rPr>
    </w:tblStylePr>
    <w:tblStylePr w:type="band1Vert">
      <w:tblPr/>
      <w:tcPr>
        <w:shd w:val="clear" w:color="auto" w:fill="D0A4C2" w:themeFill="accent2" w:themeFillTint="7F"/>
      </w:tcPr>
    </w:tblStylePr>
    <w:tblStylePr w:type="band1Horz">
      <w:tblPr/>
      <w:tcPr>
        <w:shd w:val="clear" w:color="auto" w:fill="D0A4C2" w:themeFill="accent2" w:themeFillTint="7F"/>
      </w:tcPr>
    </w:tblStylePr>
  </w:style>
  <w:style w:type="table" w:styleId="MediumGrid1-Accent3">
    <w:name w:val="Medium Grid 1 Accent 3"/>
    <w:basedOn w:val="TableNormal"/>
    <w:uiPriority w:val="67"/>
    <w:semiHidden/>
    <w:unhideWhenUsed/>
    <w:rsid w:val="009637A8"/>
    <w:pPr>
      <w:spacing w:after="0" w:line="240" w:lineRule="auto"/>
    </w:pPr>
    <w:tblPr>
      <w:tblStyleRowBandSize w:val="1"/>
      <w:tblStyleColBandSize w:val="1"/>
      <w:tblBorders>
        <w:top w:val="single" w:sz="8" w:space="0" w:color="43B4AC" w:themeColor="accent3" w:themeTint="BF"/>
        <w:left w:val="single" w:sz="8" w:space="0" w:color="43B4AC" w:themeColor="accent3" w:themeTint="BF"/>
        <w:bottom w:val="single" w:sz="8" w:space="0" w:color="43B4AC" w:themeColor="accent3" w:themeTint="BF"/>
        <w:right w:val="single" w:sz="8" w:space="0" w:color="43B4AC" w:themeColor="accent3" w:themeTint="BF"/>
        <w:insideH w:val="single" w:sz="8" w:space="0" w:color="43B4AC" w:themeColor="accent3" w:themeTint="BF"/>
        <w:insideV w:val="single" w:sz="8" w:space="0" w:color="43B4AC" w:themeColor="accent3" w:themeTint="BF"/>
      </w:tblBorders>
    </w:tblPr>
    <w:tcPr>
      <w:shd w:val="clear" w:color="auto" w:fill="BFE7E4" w:themeFill="accent3" w:themeFillTint="3F"/>
    </w:tcPr>
    <w:tblStylePr w:type="firstRow">
      <w:rPr>
        <w:b/>
        <w:bCs/>
      </w:rPr>
    </w:tblStylePr>
    <w:tblStylePr w:type="lastRow">
      <w:rPr>
        <w:b/>
        <w:bCs/>
      </w:rPr>
      <w:tblPr/>
      <w:tcPr>
        <w:tcBorders>
          <w:top w:val="single" w:sz="18" w:space="0" w:color="43B4AC" w:themeColor="accent3" w:themeTint="BF"/>
        </w:tcBorders>
      </w:tcPr>
    </w:tblStylePr>
    <w:tblStylePr w:type="firstCol">
      <w:rPr>
        <w:b/>
        <w:bCs/>
      </w:rPr>
    </w:tblStylePr>
    <w:tblStylePr w:type="lastCol">
      <w:rPr>
        <w:b/>
        <w:bCs/>
      </w:rPr>
    </w:tblStylePr>
    <w:tblStylePr w:type="band1Vert">
      <w:tblPr/>
      <w:tcPr>
        <w:shd w:val="clear" w:color="auto" w:fill="7FCFC9" w:themeFill="accent3" w:themeFillTint="7F"/>
      </w:tcPr>
    </w:tblStylePr>
    <w:tblStylePr w:type="band1Horz">
      <w:tblPr/>
      <w:tcPr>
        <w:shd w:val="clear" w:color="auto" w:fill="7FCFC9" w:themeFill="accent3" w:themeFillTint="7F"/>
      </w:tcPr>
    </w:tblStylePr>
  </w:style>
  <w:style w:type="table" w:styleId="MediumGrid1-Accent4">
    <w:name w:val="Medium Grid 1 Accent 4"/>
    <w:basedOn w:val="TableNormal"/>
    <w:uiPriority w:val="67"/>
    <w:semiHidden/>
    <w:unhideWhenUsed/>
    <w:rsid w:val="009637A8"/>
    <w:pPr>
      <w:spacing w:after="0" w:line="240" w:lineRule="auto"/>
    </w:pPr>
    <w:tblPr>
      <w:tblStyleRowBandSize w:val="1"/>
      <w:tblStyleColBandSize w:val="1"/>
      <w:tblBorders>
        <w:top w:val="single" w:sz="8" w:space="0" w:color="BCDA6A" w:themeColor="accent4" w:themeTint="BF"/>
        <w:left w:val="single" w:sz="8" w:space="0" w:color="BCDA6A" w:themeColor="accent4" w:themeTint="BF"/>
        <w:bottom w:val="single" w:sz="8" w:space="0" w:color="BCDA6A" w:themeColor="accent4" w:themeTint="BF"/>
        <w:right w:val="single" w:sz="8" w:space="0" w:color="BCDA6A" w:themeColor="accent4" w:themeTint="BF"/>
        <w:insideH w:val="single" w:sz="8" w:space="0" w:color="BCDA6A" w:themeColor="accent4" w:themeTint="BF"/>
        <w:insideV w:val="single" w:sz="8" w:space="0" w:color="BCDA6A" w:themeColor="accent4" w:themeTint="BF"/>
      </w:tblBorders>
    </w:tblPr>
    <w:tcPr>
      <w:shd w:val="clear" w:color="auto" w:fill="E8F2CD" w:themeFill="accent4" w:themeFillTint="3F"/>
    </w:tcPr>
    <w:tblStylePr w:type="firstRow">
      <w:rPr>
        <w:b/>
        <w:bCs/>
      </w:rPr>
    </w:tblStylePr>
    <w:tblStylePr w:type="lastRow">
      <w:rPr>
        <w:b/>
        <w:bCs/>
      </w:rPr>
      <w:tblPr/>
      <w:tcPr>
        <w:tcBorders>
          <w:top w:val="single" w:sz="18" w:space="0" w:color="BCDA6A" w:themeColor="accent4" w:themeTint="BF"/>
        </w:tcBorders>
      </w:tcPr>
    </w:tblStylePr>
    <w:tblStylePr w:type="firstCol">
      <w:rPr>
        <w:b/>
        <w:bCs/>
      </w:rPr>
    </w:tblStylePr>
    <w:tblStylePr w:type="lastCol">
      <w:rPr>
        <w:b/>
        <w:bCs/>
      </w:rPr>
    </w:tblStylePr>
    <w:tblStylePr w:type="band1Vert">
      <w:tblPr/>
      <w:tcPr>
        <w:shd w:val="clear" w:color="auto" w:fill="D2E69C" w:themeFill="accent4" w:themeFillTint="7F"/>
      </w:tcPr>
    </w:tblStylePr>
    <w:tblStylePr w:type="band1Horz">
      <w:tblPr/>
      <w:tcPr>
        <w:shd w:val="clear" w:color="auto" w:fill="D2E69C" w:themeFill="accent4" w:themeFillTint="7F"/>
      </w:tcPr>
    </w:tblStylePr>
  </w:style>
  <w:style w:type="table" w:styleId="MediumGrid1-Accent5">
    <w:name w:val="Medium Grid 1 Accent 5"/>
    <w:basedOn w:val="TableNormal"/>
    <w:uiPriority w:val="67"/>
    <w:semiHidden/>
    <w:unhideWhenUsed/>
    <w:rsid w:val="009637A8"/>
    <w:pPr>
      <w:spacing w:after="0" w:line="240" w:lineRule="auto"/>
    </w:pPr>
    <w:tblPr>
      <w:tblStyleRowBandSize w:val="1"/>
      <w:tblStyleColBandSize w:val="1"/>
      <w:tblBorders>
        <w:top w:val="single" w:sz="8" w:space="0" w:color="1B87E2" w:themeColor="accent5" w:themeTint="BF"/>
        <w:left w:val="single" w:sz="8" w:space="0" w:color="1B87E2" w:themeColor="accent5" w:themeTint="BF"/>
        <w:bottom w:val="single" w:sz="8" w:space="0" w:color="1B87E2" w:themeColor="accent5" w:themeTint="BF"/>
        <w:right w:val="single" w:sz="8" w:space="0" w:color="1B87E2" w:themeColor="accent5" w:themeTint="BF"/>
        <w:insideH w:val="single" w:sz="8" w:space="0" w:color="1B87E2" w:themeColor="accent5" w:themeTint="BF"/>
        <w:insideV w:val="single" w:sz="8" w:space="0" w:color="1B87E2" w:themeColor="accent5" w:themeTint="BF"/>
      </w:tblBorders>
    </w:tblPr>
    <w:tcPr>
      <w:shd w:val="clear" w:color="auto" w:fill="B3D7F6" w:themeFill="accent5" w:themeFillTint="3F"/>
    </w:tcPr>
    <w:tblStylePr w:type="firstRow">
      <w:rPr>
        <w:b/>
        <w:bCs/>
      </w:rPr>
    </w:tblStylePr>
    <w:tblStylePr w:type="lastRow">
      <w:rPr>
        <w:b/>
        <w:bCs/>
      </w:rPr>
      <w:tblPr/>
      <w:tcPr>
        <w:tcBorders>
          <w:top w:val="single" w:sz="18" w:space="0" w:color="1B87E2" w:themeColor="accent5" w:themeTint="BF"/>
        </w:tcBorders>
      </w:tcPr>
    </w:tblStylePr>
    <w:tblStylePr w:type="firstCol">
      <w:rPr>
        <w:b/>
        <w:bCs/>
      </w:rPr>
    </w:tblStylePr>
    <w:tblStylePr w:type="lastCol">
      <w:rPr>
        <w:b/>
        <w:bCs/>
      </w:rPr>
    </w:tblStylePr>
    <w:tblStylePr w:type="band1Vert">
      <w:tblPr/>
      <w:tcPr>
        <w:shd w:val="clear" w:color="auto" w:fill="66AFEC" w:themeFill="accent5" w:themeFillTint="7F"/>
      </w:tcPr>
    </w:tblStylePr>
    <w:tblStylePr w:type="band1Horz">
      <w:tblPr/>
      <w:tcPr>
        <w:shd w:val="clear" w:color="auto" w:fill="66AFEC" w:themeFill="accent5" w:themeFillTint="7F"/>
      </w:tcPr>
    </w:tblStylePr>
  </w:style>
  <w:style w:type="table" w:styleId="MediumGrid1-Accent6">
    <w:name w:val="Medium Grid 1 Accent 6"/>
    <w:basedOn w:val="TableNormal"/>
    <w:uiPriority w:val="67"/>
    <w:semiHidden/>
    <w:unhideWhenUsed/>
    <w:rsid w:val="009637A8"/>
    <w:pPr>
      <w:spacing w:after="0" w:line="240" w:lineRule="auto"/>
    </w:pPr>
    <w:tblPr>
      <w:tblStyleRowBandSize w:val="1"/>
      <w:tblStyleColBandSize w:val="1"/>
      <w:tblBorders>
        <w:top w:val="single" w:sz="8" w:space="0" w:color="0017F7" w:themeColor="accent6" w:themeTint="BF"/>
        <w:left w:val="single" w:sz="8" w:space="0" w:color="0017F7" w:themeColor="accent6" w:themeTint="BF"/>
        <w:bottom w:val="single" w:sz="8" w:space="0" w:color="0017F7" w:themeColor="accent6" w:themeTint="BF"/>
        <w:right w:val="single" w:sz="8" w:space="0" w:color="0017F7" w:themeColor="accent6" w:themeTint="BF"/>
        <w:insideH w:val="single" w:sz="8" w:space="0" w:color="0017F7" w:themeColor="accent6" w:themeTint="BF"/>
        <w:insideV w:val="single" w:sz="8" w:space="0" w:color="0017F7" w:themeColor="accent6" w:themeTint="BF"/>
      </w:tblBorders>
    </w:tblPr>
    <w:tcPr>
      <w:shd w:val="clear" w:color="auto" w:fill="A8B0FF" w:themeFill="accent6" w:themeFillTint="3F"/>
    </w:tcPr>
    <w:tblStylePr w:type="firstRow">
      <w:rPr>
        <w:b/>
        <w:bCs/>
      </w:rPr>
    </w:tblStylePr>
    <w:tblStylePr w:type="lastRow">
      <w:rPr>
        <w:b/>
        <w:bCs/>
      </w:rPr>
      <w:tblPr/>
      <w:tcPr>
        <w:tcBorders>
          <w:top w:val="single" w:sz="18" w:space="0" w:color="0017F7" w:themeColor="accent6" w:themeTint="BF"/>
        </w:tcBorders>
      </w:tcPr>
    </w:tblStylePr>
    <w:tblStylePr w:type="firstCol">
      <w:rPr>
        <w:b/>
        <w:bCs/>
      </w:rPr>
    </w:tblStylePr>
    <w:tblStylePr w:type="lastCol">
      <w:rPr>
        <w:b/>
        <w:bCs/>
      </w:rPr>
    </w:tblStylePr>
    <w:tblStylePr w:type="band1Vert">
      <w:tblPr/>
      <w:tcPr>
        <w:shd w:val="clear" w:color="auto" w:fill="5060FF" w:themeFill="accent6" w:themeFillTint="7F"/>
      </w:tcPr>
    </w:tblStylePr>
    <w:tblStylePr w:type="band1Horz">
      <w:tblPr/>
      <w:tcPr>
        <w:shd w:val="clear" w:color="auto" w:fill="5060FF" w:themeFill="accent6" w:themeFillTint="7F"/>
      </w:tcPr>
    </w:tblStylePr>
  </w:style>
  <w:style w:type="table" w:styleId="MediumGrid2">
    <w:name w:val="Medium Grid 2"/>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4EB2A9" w:themeColor="accent1"/>
        <w:left w:val="single" w:sz="8" w:space="0" w:color="4EB2A9" w:themeColor="accent1"/>
        <w:bottom w:val="single" w:sz="8" w:space="0" w:color="4EB2A9" w:themeColor="accent1"/>
        <w:right w:val="single" w:sz="8" w:space="0" w:color="4EB2A9" w:themeColor="accent1"/>
        <w:insideH w:val="single" w:sz="8" w:space="0" w:color="4EB2A9" w:themeColor="accent1"/>
        <w:insideV w:val="single" w:sz="8" w:space="0" w:color="4EB2A9" w:themeColor="accent1"/>
      </w:tblBorders>
    </w:tblPr>
    <w:tcPr>
      <w:shd w:val="clear" w:color="auto" w:fill="D3ECE9" w:themeFill="accent1" w:themeFillTint="3F"/>
    </w:tcPr>
    <w:tblStylePr w:type="firstRow">
      <w:rPr>
        <w:b/>
        <w:bCs/>
        <w:color w:val="000000" w:themeColor="text1"/>
      </w:rPr>
      <w:tblPr/>
      <w:tcPr>
        <w:shd w:val="clear" w:color="auto" w:fill="EDF7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ED" w:themeFill="accent1" w:themeFillTint="33"/>
      </w:tcPr>
    </w:tblStylePr>
    <w:tblStylePr w:type="band1Vert">
      <w:tblPr/>
      <w:tcPr>
        <w:shd w:val="clear" w:color="auto" w:fill="A6D8D4" w:themeFill="accent1" w:themeFillTint="7F"/>
      </w:tcPr>
    </w:tblStylePr>
    <w:tblStylePr w:type="band1Horz">
      <w:tblPr/>
      <w:tcPr>
        <w:tcBorders>
          <w:insideH w:val="single" w:sz="6" w:space="0" w:color="4EB2A9" w:themeColor="accent1"/>
          <w:insideV w:val="single" w:sz="6" w:space="0" w:color="4EB2A9" w:themeColor="accent1"/>
        </w:tcBorders>
        <w:shd w:val="clear" w:color="auto" w:fill="A6D8D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9C5083" w:themeColor="accent2"/>
        <w:left w:val="single" w:sz="8" w:space="0" w:color="9C5083" w:themeColor="accent2"/>
        <w:bottom w:val="single" w:sz="8" w:space="0" w:color="9C5083" w:themeColor="accent2"/>
        <w:right w:val="single" w:sz="8" w:space="0" w:color="9C5083" w:themeColor="accent2"/>
        <w:insideH w:val="single" w:sz="8" w:space="0" w:color="9C5083" w:themeColor="accent2"/>
        <w:insideV w:val="single" w:sz="8" w:space="0" w:color="9C5083" w:themeColor="accent2"/>
      </w:tblBorders>
    </w:tblPr>
    <w:tcPr>
      <w:shd w:val="clear" w:color="auto" w:fill="E8D2E0" w:themeFill="accent2" w:themeFillTint="3F"/>
    </w:tcPr>
    <w:tblStylePr w:type="firstRow">
      <w:rPr>
        <w:b/>
        <w:bCs/>
        <w:color w:val="000000" w:themeColor="text1"/>
      </w:rPr>
      <w:tblPr/>
      <w:tcPr>
        <w:shd w:val="clear" w:color="auto" w:fill="F6ED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DAE6" w:themeFill="accent2" w:themeFillTint="33"/>
      </w:tcPr>
    </w:tblStylePr>
    <w:tblStylePr w:type="band1Vert">
      <w:tblPr/>
      <w:tcPr>
        <w:shd w:val="clear" w:color="auto" w:fill="D0A4C2" w:themeFill="accent2" w:themeFillTint="7F"/>
      </w:tcPr>
    </w:tblStylePr>
    <w:tblStylePr w:type="band1Horz">
      <w:tblPr/>
      <w:tcPr>
        <w:tcBorders>
          <w:insideH w:val="single" w:sz="6" w:space="0" w:color="9C5083" w:themeColor="accent2"/>
          <w:insideV w:val="single" w:sz="6" w:space="0" w:color="9C5083" w:themeColor="accent2"/>
        </w:tcBorders>
        <w:shd w:val="clear" w:color="auto" w:fill="D0A4C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2B746F" w:themeColor="accent3"/>
        <w:left w:val="single" w:sz="8" w:space="0" w:color="2B746F" w:themeColor="accent3"/>
        <w:bottom w:val="single" w:sz="8" w:space="0" w:color="2B746F" w:themeColor="accent3"/>
        <w:right w:val="single" w:sz="8" w:space="0" w:color="2B746F" w:themeColor="accent3"/>
        <w:insideH w:val="single" w:sz="8" w:space="0" w:color="2B746F" w:themeColor="accent3"/>
        <w:insideV w:val="single" w:sz="8" w:space="0" w:color="2B746F" w:themeColor="accent3"/>
      </w:tblBorders>
    </w:tblPr>
    <w:tcPr>
      <w:shd w:val="clear" w:color="auto" w:fill="BFE7E4" w:themeFill="accent3" w:themeFillTint="3F"/>
    </w:tcPr>
    <w:tblStylePr w:type="firstRow">
      <w:rPr>
        <w:b/>
        <w:bCs/>
        <w:color w:val="000000" w:themeColor="text1"/>
      </w:rPr>
      <w:tblPr/>
      <w:tcPr>
        <w:shd w:val="clear" w:color="auto" w:fill="E5F5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CE9" w:themeFill="accent3" w:themeFillTint="33"/>
      </w:tcPr>
    </w:tblStylePr>
    <w:tblStylePr w:type="band1Vert">
      <w:tblPr/>
      <w:tcPr>
        <w:shd w:val="clear" w:color="auto" w:fill="7FCFC9" w:themeFill="accent3" w:themeFillTint="7F"/>
      </w:tcPr>
    </w:tblStylePr>
    <w:tblStylePr w:type="band1Horz">
      <w:tblPr/>
      <w:tcPr>
        <w:tcBorders>
          <w:insideH w:val="single" w:sz="6" w:space="0" w:color="2B746F" w:themeColor="accent3"/>
          <w:insideV w:val="single" w:sz="6" w:space="0" w:color="2B746F" w:themeColor="accent3"/>
        </w:tcBorders>
        <w:shd w:val="clear" w:color="auto" w:fill="7FCFC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A6CE39" w:themeColor="accent4"/>
        <w:left w:val="single" w:sz="8" w:space="0" w:color="A6CE39" w:themeColor="accent4"/>
        <w:bottom w:val="single" w:sz="8" w:space="0" w:color="A6CE39" w:themeColor="accent4"/>
        <w:right w:val="single" w:sz="8" w:space="0" w:color="A6CE39" w:themeColor="accent4"/>
        <w:insideH w:val="single" w:sz="8" w:space="0" w:color="A6CE39" w:themeColor="accent4"/>
        <w:insideV w:val="single" w:sz="8" w:space="0" w:color="A6CE39" w:themeColor="accent4"/>
      </w:tblBorders>
    </w:tblPr>
    <w:tcPr>
      <w:shd w:val="clear" w:color="auto" w:fill="E8F2CD" w:themeFill="accent4" w:themeFillTint="3F"/>
    </w:tcPr>
    <w:tblStylePr w:type="firstRow">
      <w:rPr>
        <w:b/>
        <w:bCs/>
        <w:color w:val="000000" w:themeColor="text1"/>
      </w:rPr>
      <w:tblPr/>
      <w:tcPr>
        <w:shd w:val="clear" w:color="auto" w:fill="F6FA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5D7" w:themeFill="accent4" w:themeFillTint="33"/>
      </w:tcPr>
    </w:tblStylePr>
    <w:tblStylePr w:type="band1Vert">
      <w:tblPr/>
      <w:tcPr>
        <w:shd w:val="clear" w:color="auto" w:fill="D2E69C" w:themeFill="accent4" w:themeFillTint="7F"/>
      </w:tcPr>
    </w:tblStylePr>
    <w:tblStylePr w:type="band1Horz">
      <w:tblPr/>
      <w:tcPr>
        <w:tcBorders>
          <w:insideH w:val="single" w:sz="6" w:space="0" w:color="A6CE39" w:themeColor="accent4"/>
          <w:insideV w:val="single" w:sz="6" w:space="0" w:color="A6CE39" w:themeColor="accent4"/>
        </w:tcBorders>
        <w:shd w:val="clear" w:color="auto" w:fill="D2E69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125A96" w:themeColor="accent5"/>
        <w:left w:val="single" w:sz="8" w:space="0" w:color="125A96" w:themeColor="accent5"/>
        <w:bottom w:val="single" w:sz="8" w:space="0" w:color="125A96" w:themeColor="accent5"/>
        <w:right w:val="single" w:sz="8" w:space="0" w:color="125A96" w:themeColor="accent5"/>
        <w:insideH w:val="single" w:sz="8" w:space="0" w:color="125A96" w:themeColor="accent5"/>
        <w:insideV w:val="single" w:sz="8" w:space="0" w:color="125A96" w:themeColor="accent5"/>
      </w:tblBorders>
    </w:tblPr>
    <w:tcPr>
      <w:shd w:val="clear" w:color="auto" w:fill="B3D7F6" w:themeFill="accent5" w:themeFillTint="3F"/>
    </w:tcPr>
    <w:tblStylePr w:type="firstRow">
      <w:rPr>
        <w:b/>
        <w:bCs/>
        <w:color w:val="000000" w:themeColor="text1"/>
      </w:rPr>
      <w:tblPr/>
      <w:tcPr>
        <w:shd w:val="clear" w:color="auto" w:fill="E0EF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DFF7" w:themeFill="accent5" w:themeFillTint="33"/>
      </w:tcPr>
    </w:tblStylePr>
    <w:tblStylePr w:type="band1Vert">
      <w:tblPr/>
      <w:tcPr>
        <w:shd w:val="clear" w:color="auto" w:fill="66AFEC" w:themeFill="accent5" w:themeFillTint="7F"/>
      </w:tcPr>
    </w:tblStylePr>
    <w:tblStylePr w:type="band1Horz">
      <w:tblPr/>
      <w:tcPr>
        <w:tcBorders>
          <w:insideH w:val="single" w:sz="6" w:space="0" w:color="125A96" w:themeColor="accent5"/>
          <w:insideV w:val="single" w:sz="6" w:space="0" w:color="125A96" w:themeColor="accent5"/>
        </w:tcBorders>
        <w:shd w:val="clear" w:color="auto" w:fill="66AFE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0F9F" w:themeColor="accent6"/>
        <w:left w:val="single" w:sz="8" w:space="0" w:color="000F9F" w:themeColor="accent6"/>
        <w:bottom w:val="single" w:sz="8" w:space="0" w:color="000F9F" w:themeColor="accent6"/>
        <w:right w:val="single" w:sz="8" w:space="0" w:color="000F9F" w:themeColor="accent6"/>
        <w:insideH w:val="single" w:sz="8" w:space="0" w:color="000F9F" w:themeColor="accent6"/>
        <w:insideV w:val="single" w:sz="8" w:space="0" w:color="000F9F" w:themeColor="accent6"/>
      </w:tblBorders>
    </w:tblPr>
    <w:tcPr>
      <w:shd w:val="clear" w:color="auto" w:fill="A8B0FF" w:themeFill="accent6" w:themeFillTint="3F"/>
    </w:tcPr>
    <w:tblStylePr w:type="firstRow">
      <w:rPr>
        <w:b/>
        <w:bCs/>
        <w:color w:val="000000" w:themeColor="text1"/>
      </w:rPr>
      <w:tblPr/>
      <w:tcPr>
        <w:shd w:val="clear" w:color="auto" w:fill="DCD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BFFF" w:themeFill="accent6" w:themeFillTint="33"/>
      </w:tcPr>
    </w:tblStylePr>
    <w:tblStylePr w:type="band1Vert">
      <w:tblPr/>
      <w:tcPr>
        <w:shd w:val="clear" w:color="auto" w:fill="5060FF" w:themeFill="accent6" w:themeFillTint="7F"/>
      </w:tcPr>
    </w:tblStylePr>
    <w:tblStylePr w:type="band1Horz">
      <w:tblPr/>
      <w:tcPr>
        <w:tcBorders>
          <w:insideH w:val="single" w:sz="6" w:space="0" w:color="000F9F" w:themeColor="accent6"/>
          <w:insideV w:val="single" w:sz="6" w:space="0" w:color="000F9F" w:themeColor="accent6"/>
        </w:tcBorders>
        <w:shd w:val="clear" w:color="auto" w:fill="506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D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D4" w:themeFill="accent1" w:themeFillTint="7F"/>
      </w:tcPr>
    </w:tblStylePr>
  </w:style>
  <w:style w:type="table" w:styleId="MediumGrid3-Accent2">
    <w:name w:val="Medium Grid 3 Accent 2"/>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D2E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508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508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508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508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A4C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A4C2" w:themeFill="accent2" w:themeFillTint="7F"/>
      </w:tcPr>
    </w:tblStylePr>
  </w:style>
  <w:style w:type="table" w:styleId="MediumGrid3-Accent3">
    <w:name w:val="Medium Grid 3 Accent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E7E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74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74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74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74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CFC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FCFC9" w:themeFill="accent3" w:themeFillTint="7F"/>
      </w:tcPr>
    </w:tblStylePr>
  </w:style>
  <w:style w:type="table" w:styleId="MediumGrid3-Accent4">
    <w:name w:val="Medium Grid 3 Accent 4"/>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2C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CE3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CE3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CE3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CE3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E6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E69C" w:themeFill="accent4" w:themeFillTint="7F"/>
      </w:tcPr>
    </w:tblStylePr>
  </w:style>
  <w:style w:type="table" w:styleId="MediumGrid3-Accent5">
    <w:name w:val="Medium Grid 3 Accent 5"/>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5A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5A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5A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5A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A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AFEC" w:themeFill="accent5" w:themeFillTint="7F"/>
      </w:tcPr>
    </w:tblStylePr>
  </w:style>
  <w:style w:type="table" w:styleId="MediumGrid3-Accent6">
    <w:name w:val="Medium Grid 3 Accent 6"/>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B0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6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60FF" w:themeFill="accent6" w:themeFillTint="7F"/>
      </w:tcPr>
    </w:tblStylePr>
  </w:style>
  <w:style w:type="table" w:styleId="MediumList1">
    <w:name w:val="Medium List 1"/>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7369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4EB2A9" w:themeColor="accent1"/>
        <w:bottom w:val="single" w:sz="8" w:space="0" w:color="4EB2A9" w:themeColor="accent1"/>
      </w:tblBorders>
    </w:tblPr>
    <w:tblStylePr w:type="firstRow">
      <w:rPr>
        <w:rFonts w:asciiTheme="majorHAnsi" w:eastAsiaTheme="majorEastAsia" w:hAnsiTheme="majorHAnsi" w:cstheme="majorBidi"/>
      </w:rPr>
      <w:tblPr/>
      <w:tcPr>
        <w:tcBorders>
          <w:top w:val="nil"/>
          <w:bottom w:val="single" w:sz="8" w:space="0" w:color="4EB2A9" w:themeColor="accent1"/>
        </w:tcBorders>
      </w:tcPr>
    </w:tblStylePr>
    <w:tblStylePr w:type="lastRow">
      <w:rPr>
        <w:b/>
        <w:bCs/>
        <w:color w:val="273691" w:themeColor="text2"/>
      </w:rPr>
      <w:tblPr/>
      <w:tcPr>
        <w:tcBorders>
          <w:top w:val="single" w:sz="8" w:space="0" w:color="4EB2A9" w:themeColor="accent1"/>
          <w:bottom w:val="single" w:sz="8" w:space="0" w:color="4EB2A9" w:themeColor="accent1"/>
        </w:tcBorders>
      </w:tcPr>
    </w:tblStylePr>
    <w:tblStylePr w:type="firstCol">
      <w:rPr>
        <w:b/>
        <w:bCs/>
      </w:rPr>
    </w:tblStylePr>
    <w:tblStylePr w:type="lastCol">
      <w:rPr>
        <w:b/>
        <w:bCs/>
      </w:rPr>
      <w:tblPr/>
      <w:tcPr>
        <w:tcBorders>
          <w:top w:val="single" w:sz="8" w:space="0" w:color="4EB2A9" w:themeColor="accent1"/>
          <w:bottom w:val="single" w:sz="8" w:space="0" w:color="4EB2A9" w:themeColor="accent1"/>
        </w:tcBorders>
      </w:tcPr>
    </w:tblStylePr>
    <w:tblStylePr w:type="band1Vert">
      <w:tblPr/>
      <w:tcPr>
        <w:shd w:val="clear" w:color="auto" w:fill="D3ECE9" w:themeFill="accent1" w:themeFillTint="3F"/>
      </w:tcPr>
    </w:tblStylePr>
    <w:tblStylePr w:type="band1Horz">
      <w:tblPr/>
      <w:tcPr>
        <w:shd w:val="clear" w:color="auto" w:fill="D3ECE9" w:themeFill="accent1" w:themeFillTint="3F"/>
      </w:tcPr>
    </w:tblStylePr>
  </w:style>
  <w:style w:type="table" w:styleId="MediumList1-Accent2">
    <w:name w:val="Medium List 1 Accent 2"/>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9C5083" w:themeColor="accent2"/>
        <w:bottom w:val="single" w:sz="8" w:space="0" w:color="9C5083" w:themeColor="accent2"/>
      </w:tblBorders>
    </w:tblPr>
    <w:tblStylePr w:type="firstRow">
      <w:rPr>
        <w:rFonts w:asciiTheme="majorHAnsi" w:eastAsiaTheme="majorEastAsia" w:hAnsiTheme="majorHAnsi" w:cstheme="majorBidi"/>
      </w:rPr>
      <w:tblPr/>
      <w:tcPr>
        <w:tcBorders>
          <w:top w:val="nil"/>
          <w:bottom w:val="single" w:sz="8" w:space="0" w:color="9C5083" w:themeColor="accent2"/>
        </w:tcBorders>
      </w:tcPr>
    </w:tblStylePr>
    <w:tblStylePr w:type="lastRow">
      <w:rPr>
        <w:b/>
        <w:bCs/>
        <w:color w:val="273691" w:themeColor="text2"/>
      </w:rPr>
      <w:tblPr/>
      <w:tcPr>
        <w:tcBorders>
          <w:top w:val="single" w:sz="8" w:space="0" w:color="9C5083" w:themeColor="accent2"/>
          <w:bottom w:val="single" w:sz="8" w:space="0" w:color="9C5083" w:themeColor="accent2"/>
        </w:tcBorders>
      </w:tcPr>
    </w:tblStylePr>
    <w:tblStylePr w:type="firstCol">
      <w:rPr>
        <w:b/>
        <w:bCs/>
      </w:rPr>
    </w:tblStylePr>
    <w:tblStylePr w:type="lastCol">
      <w:rPr>
        <w:b/>
        <w:bCs/>
      </w:rPr>
      <w:tblPr/>
      <w:tcPr>
        <w:tcBorders>
          <w:top w:val="single" w:sz="8" w:space="0" w:color="9C5083" w:themeColor="accent2"/>
          <w:bottom w:val="single" w:sz="8" w:space="0" w:color="9C5083" w:themeColor="accent2"/>
        </w:tcBorders>
      </w:tcPr>
    </w:tblStylePr>
    <w:tblStylePr w:type="band1Vert">
      <w:tblPr/>
      <w:tcPr>
        <w:shd w:val="clear" w:color="auto" w:fill="E8D2E0" w:themeFill="accent2" w:themeFillTint="3F"/>
      </w:tcPr>
    </w:tblStylePr>
    <w:tblStylePr w:type="band1Horz">
      <w:tblPr/>
      <w:tcPr>
        <w:shd w:val="clear" w:color="auto" w:fill="E8D2E0" w:themeFill="accent2" w:themeFillTint="3F"/>
      </w:tcPr>
    </w:tblStylePr>
  </w:style>
  <w:style w:type="table" w:styleId="MediumList1-Accent3">
    <w:name w:val="Medium List 1 Accent 3"/>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2B746F" w:themeColor="accent3"/>
        <w:bottom w:val="single" w:sz="8" w:space="0" w:color="2B746F" w:themeColor="accent3"/>
      </w:tblBorders>
    </w:tblPr>
    <w:tblStylePr w:type="firstRow">
      <w:rPr>
        <w:rFonts w:asciiTheme="majorHAnsi" w:eastAsiaTheme="majorEastAsia" w:hAnsiTheme="majorHAnsi" w:cstheme="majorBidi"/>
      </w:rPr>
      <w:tblPr/>
      <w:tcPr>
        <w:tcBorders>
          <w:top w:val="nil"/>
          <w:bottom w:val="single" w:sz="8" w:space="0" w:color="2B746F" w:themeColor="accent3"/>
        </w:tcBorders>
      </w:tcPr>
    </w:tblStylePr>
    <w:tblStylePr w:type="lastRow">
      <w:rPr>
        <w:b/>
        <w:bCs/>
        <w:color w:val="273691" w:themeColor="text2"/>
      </w:rPr>
      <w:tblPr/>
      <w:tcPr>
        <w:tcBorders>
          <w:top w:val="single" w:sz="8" w:space="0" w:color="2B746F" w:themeColor="accent3"/>
          <w:bottom w:val="single" w:sz="8" w:space="0" w:color="2B746F" w:themeColor="accent3"/>
        </w:tcBorders>
      </w:tcPr>
    </w:tblStylePr>
    <w:tblStylePr w:type="firstCol">
      <w:rPr>
        <w:b/>
        <w:bCs/>
      </w:rPr>
    </w:tblStylePr>
    <w:tblStylePr w:type="lastCol">
      <w:rPr>
        <w:b/>
        <w:bCs/>
      </w:rPr>
      <w:tblPr/>
      <w:tcPr>
        <w:tcBorders>
          <w:top w:val="single" w:sz="8" w:space="0" w:color="2B746F" w:themeColor="accent3"/>
          <w:bottom w:val="single" w:sz="8" w:space="0" w:color="2B746F" w:themeColor="accent3"/>
        </w:tcBorders>
      </w:tcPr>
    </w:tblStylePr>
    <w:tblStylePr w:type="band1Vert">
      <w:tblPr/>
      <w:tcPr>
        <w:shd w:val="clear" w:color="auto" w:fill="BFE7E4" w:themeFill="accent3" w:themeFillTint="3F"/>
      </w:tcPr>
    </w:tblStylePr>
    <w:tblStylePr w:type="band1Horz">
      <w:tblPr/>
      <w:tcPr>
        <w:shd w:val="clear" w:color="auto" w:fill="BFE7E4" w:themeFill="accent3" w:themeFillTint="3F"/>
      </w:tcPr>
    </w:tblStylePr>
  </w:style>
  <w:style w:type="table" w:styleId="MediumList1-Accent4">
    <w:name w:val="Medium List 1 Accent 4"/>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A6CE39" w:themeColor="accent4"/>
        <w:bottom w:val="single" w:sz="8" w:space="0" w:color="A6CE39" w:themeColor="accent4"/>
      </w:tblBorders>
    </w:tblPr>
    <w:tblStylePr w:type="firstRow">
      <w:rPr>
        <w:rFonts w:asciiTheme="majorHAnsi" w:eastAsiaTheme="majorEastAsia" w:hAnsiTheme="majorHAnsi" w:cstheme="majorBidi"/>
      </w:rPr>
      <w:tblPr/>
      <w:tcPr>
        <w:tcBorders>
          <w:top w:val="nil"/>
          <w:bottom w:val="single" w:sz="8" w:space="0" w:color="A6CE39" w:themeColor="accent4"/>
        </w:tcBorders>
      </w:tcPr>
    </w:tblStylePr>
    <w:tblStylePr w:type="lastRow">
      <w:rPr>
        <w:b/>
        <w:bCs/>
        <w:color w:val="273691" w:themeColor="text2"/>
      </w:rPr>
      <w:tblPr/>
      <w:tcPr>
        <w:tcBorders>
          <w:top w:val="single" w:sz="8" w:space="0" w:color="A6CE39" w:themeColor="accent4"/>
          <w:bottom w:val="single" w:sz="8" w:space="0" w:color="A6CE39" w:themeColor="accent4"/>
        </w:tcBorders>
      </w:tcPr>
    </w:tblStylePr>
    <w:tblStylePr w:type="firstCol">
      <w:rPr>
        <w:b/>
        <w:bCs/>
      </w:rPr>
    </w:tblStylePr>
    <w:tblStylePr w:type="lastCol">
      <w:rPr>
        <w:b/>
        <w:bCs/>
      </w:rPr>
      <w:tblPr/>
      <w:tcPr>
        <w:tcBorders>
          <w:top w:val="single" w:sz="8" w:space="0" w:color="A6CE39" w:themeColor="accent4"/>
          <w:bottom w:val="single" w:sz="8" w:space="0" w:color="A6CE39" w:themeColor="accent4"/>
        </w:tcBorders>
      </w:tcPr>
    </w:tblStylePr>
    <w:tblStylePr w:type="band1Vert">
      <w:tblPr/>
      <w:tcPr>
        <w:shd w:val="clear" w:color="auto" w:fill="E8F2CD" w:themeFill="accent4" w:themeFillTint="3F"/>
      </w:tcPr>
    </w:tblStylePr>
    <w:tblStylePr w:type="band1Horz">
      <w:tblPr/>
      <w:tcPr>
        <w:shd w:val="clear" w:color="auto" w:fill="E8F2CD" w:themeFill="accent4" w:themeFillTint="3F"/>
      </w:tcPr>
    </w:tblStylePr>
  </w:style>
  <w:style w:type="table" w:styleId="MediumList1-Accent5">
    <w:name w:val="Medium List 1 Accent 5"/>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125A96" w:themeColor="accent5"/>
        <w:bottom w:val="single" w:sz="8" w:space="0" w:color="125A96" w:themeColor="accent5"/>
      </w:tblBorders>
    </w:tblPr>
    <w:tblStylePr w:type="firstRow">
      <w:rPr>
        <w:rFonts w:asciiTheme="majorHAnsi" w:eastAsiaTheme="majorEastAsia" w:hAnsiTheme="majorHAnsi" w:cstheme="majorBidi"/>
      </w:rPr>
      <w:tblPr/>
      <w:tcPr>
        <w:tcBorders>
          <w:top w:val="nil"/>
          <w:bottom w:val="single" w:sz="8" w:space="0" w:color="125A96" w:themeColor="accent5"/>
        </w:tcBorders>
      </w:tcPr>
    </w:tblStylePr>
    <w:tblStylePr w:type="lastRow">
      <w:rPr>
        <w:b/>
        <w:bCs/>
        <w:color w:val="273691" w:themeColor="text2"/>
      </w:rPr>
      <w:tblPr/>
      <w:tcPr>
        <w:tcBorders>
          <w:top w:val="single" w:sz="8" w:space="0" w:color="125A96" w:themeColor="accent5"/>
          <w:bottom w:val="single" w:sz="8" w:space="0" w:color="125A96" w:themeColor="accent5"/>
        </w:tcBorders>
      </w:tcPr>
    </w:tblStylePr>
    <w:tblStylePr w:type="firstCol">
      <w:rPr>
        <w:b/>
        <w:bCs/>
      </w:rPr>
    </w:tblStylePr>
    <w:tblStylePr w:type="lastCol">
      <w:rPr>
        <w:b/>
        <w:bCs/>
      </w:rPr>
      <w:tblPr/>
      <w:tcPr>
        <w:tcBorders>
          <w:top w:val="single" w:sz="8" w:space="0" w:color="125A96" w:themeColor="accent5"/>
          <w:bottom w:val="single" w:sz="8" w:space="0" w:color="125A96" w:themeColor="accent5"/>
        </w:tcBorders>
      </w:tcPr>
    </w:tblStylePr>
    <w:tblStylePr w:type="band1Vert">
      <w:tblPr/>
      <w:tcPr>
        <w:shd w:val="clear" w:color="auto" w:fill="B3D7F6" w:themeFill="accent5" w:themeFillTint="3F"/>
      </w:tcPr>
    </w:tblStylePr>
    <w:tblStylePr w:type="band1Horz">
      <w:tblPr/>
      <w:tcPr>
        <w:shd w:val="clear" w:color="auto" w:fill="B3D7F6" w:themeFill="accent5" w:themeFillTint="3F"/>
      </w:tcPr>
    </w:tblStylePr>
  </w:style>
  <w:style w:type="table" w:styleId="MediumList1-Accent6">
    <w:name w:val="Medium List 1 Accent 6"/>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000F9F" w:themeColor="accent6"/>
        <w:bottom w:val="single" w:sz="8" w:space="0" w:color="000F9F" w:themeColor="accent6"/>
      </w:tblBorders>
    </w:tblPr>
    <w:tblStylePr w:type="firstRow">
      <w:rPr>
        <w:rFonts w:asciiTheme="majorHAnsi" w:eastAsiaTheme="majorEastAsia" w:hAnsiTheme="majorHAnsi" w:cstheme="majorBidi"/>
      </w:rPr>
      <w:tblPr/>
      <w:tcPr>
        <w:tcBorders>
          <w:top w:val="nil"/>
          <w:bottom w:val="single" w:sz="8" w:space="0" w:color="000F9F" w:themeColor="accent6"/>
        </w:tcBorders>
      </w:tcPr>
    </w:tblStylePr>
    <w:tblStylePr w:type="lastRow">
      <w:rPr>
        <w:b/>
        <w:bCs/>
        <w:color w:val="273691" w:themeColor="text2"/>
      </w:rPr>
      <w:tblPr/>
      <w:tcPr>
        <w:tcBorders>
          <w:top w:val="single" w:sz="8" w:space="0" w:color="000F9F" w:themeColor="accent6"/>
          <w:bottom w:val="single" w:sz="8" w:space="0" w:color="000F9F" w:themeColor="accent6"/>
        </w:tcBorders>
      </w:tcPr>
    </w:tblStylePr>
    <w:tblStylePr w:type="firstCol">
      <w:rPr>
        <w:b/>
        <w:bCs/>
      </w:rPr>
    </w:tblStylePr>
    <w:tblStylePr w:type="lastCol">
      <w:rPr>
        <w:b/>
        <w:bCs/>
      </w:rPr>
      <w:tblPr/>
      <w:tcPr>
        <w:tcBorders>
          <w:top w:val="single" w:sz="8" w:space="0" w:color="000F9F" w:themeColor="accent6"/>
          <w:bottom w:val="single" w:sz="8" w:space="0" w:color="000F9F" w:themeColor="accent6"/>
        </w:tcBorders>
      </w:tcPr>
    </w:tblStylePr>
    <w:tblStylePr w:type="band1Vert">
      <w:tblPr/>
      <w:tcPr>
        <w:shd w:val="clear" w:color="auto" w:fill="A8B0FF" w:themeFill="accent6" w:themeFillTint="3F"/>
      </w:tcPr>
    </w:tblStylePr>
    <w:tblStylePr w:type="band1Horz">
      <w:tblPr/>
      <w:tcPr>
        <w:shd w:val="clear" w:color="auto" w:fill="A8B0FF" w:themeFill="accent6" w:themeFillTint="3F"/>
      </w:tcPr>
    </w:tblStylePr>
  </w:style>
  <w:style w:type="table" w:styleId="MediumList2">
    <w:name w:val="Medium List 2"/>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4EB2A9" w:themeColor="accent1"/>
        <w:left w:val="single" w:sz="8" w:space="0" w:color="4EB2A9" w:themeColor="accent1"/>
        <w:bottom w:val="single" w:sz="8" w:space="0" w:color="4EB2A9" w:themeColor="accent1"/>
        <w:right w:val="single" w:sz="8" w:space="0" w:color="4EB2A9" w:themeColor="accent1"/>
      </w:tblBorders>
    </w:tblPr>
    <w:tblStylePr w:type="firstRow">
      <w:rPr>
        <w:sz w:val="24"/>
        <w:szCs w:val="24"/>
      </w:rPr>
      <w:tblPr/>
      <w:tcPr>
        <w:tcBorders>
          <w:top w:val="nil"/>
          <w:left w:val="nil"/>
          <w:bottom w:val="single" w:sz="24" w:space="0" w:color="4EB2A9" w:themeColor="accent1"/>
          <w:right w:val="nil"/>
          <w:insideH w:val="nil"/>
          <w:insideV w:val="nil"/>
        </w:tcBorders>
        <w:shd w:val="clear" w:color="auto" w:fill="FFFFFF" w:themeFill="background1"/>
      </w:tcPr>
    </w:tblStylePr>
    <w:tblStylePr w:type="lastRow">
      <w:tblPr/>
      <w:tcPr>
        <w:tcBorders>
          <w:top w:val="single" w:sz="8" w:space="0" w:color="4E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2A9" w:themeColor="accent1"/>
          <w:insideH w:val="nil"/>
          <w:insideV w:val="nil"/>
        </w:tcBorders>
        <w:shd w:val="clear" w:color="auto" w:fill="FFFFFF" w:themeFill="background1"/>
      </w:tcPr>
    </w:tblStylePr>
    <w:tblStylePr w:type="lastCol">
      <w:tblPr/>
      <w:tcPr>
        <w:tcBorders>
          <w:top w:val="nil"/>
          <w:left w:val="single" w:sz="8" w:space="0" w:color="4E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E9" w:themeFill="accent1" w:themeFillTint="3F"/>
      </w:tcPr>
    </w:tblStylePr>
    <w:tblStylePr w:type="band1Horz">
      <w:tblPr/>
      <w:tcPr>
        <w:tcBorders>
          <w:top w:val="nil"/>
          <w:bottom w:val="nil"/>
          <w:insideH w:val="nil"/>
          <w:insideV w:val="nil"/>
        </w:tcBorders>
        <w:shd w:val="clear" w:color="auto" w:fill="D3EC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9C5083" w:themeColor="accent2"/>
        <w:left w:val="single" w:sz="8" w:space="0" w:color="9C5083" w:themeColor="accent2"/>
        <w:bottom w:val="single" w:sz="8" w:space="0" w:color="9C5083" w:themeColor="accent2"/>
        <w:right w:val="single" w:sz="8" w:space="0" w:color="9C5083" w:themeColor="accent2"/>
      </w:tblBorders>
    </w:tblPr>
    <w:tblStylePr w:type="firstRow">
      <w:rPr>
        <w:sz w:val="24"/>
        <w:szCs w:val="24"/>
      </w:rPr>
      <w:tblPr/>
      <w:tcPr>
        <w:tcBorders>
          <w:top w:val="nil"/>
          <w:left w:val="nil"/>
          <w:bottom w:val="single" w:sz="24" w:space="0" w:color="9C5083" w:themeColor="accent2"/>
          <w:right w:val="nil"/>
          <w:insideH w:val="nil"/>
          <w:insideV w:val="nil"/>
        </w:tcBorders>
        <w:shd w:val="clear" w:color="auto" w:fill="FFFFFF" w:themeFill="background1"/>
      </w:tcPr>
    </w:tblStylePr>
    <w:tblStylePr w:type="lastRow">
      <w:tblPr/>
      <w:tcPr>
        <w:tcBorders>
          <w:top w:val="single" w:sz="8" w:space="0" w:color="9C508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5083" w:themeColor="accent2"/>
          <w:insideH w:val="nil"/>
          <w:insideV w:val="nil"/>
        </w:tcBorders>
        <w:shd w:val="clear" w:color="auto" w:fill="FFFFFF" w:themeFill="background1"/>
      </w:tcPr>
    </w:tblStylePr>
    <w:tblStylePr w:type="lastCol">
      <w:tblPr/>
      <w:tcPr>
        <w:tcBorders>
          <w:top w:val="nil"/>
          <w:left w:val="single" w:sz="8" w:space="0" w:color="9C508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D2E0" w:themeFill="accent2" w:themeFillTint="3F"/>
      </w:tcPr>
    </w:tblStylePr>
    <w:tblStylePr w:type="band1Horz">
      <w:tblPr/>
      <w:tcPr>
        <w:tcBorders>
          <w:top w:val="nil"/>
          <w:bottom w:val="nil"/>
          <w:insideH w:val="nil"/>
          <w:insideV w:val="nil"/>
        </w:tcBorders>
        <w:shd w:val="clear" w:color="auto" w:fill="E8D2E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2B746F" w:themeColor="accent3"/>
        <w:left w:val="single" w:sz="8" w:space="0" w:color="2B746F" w:themeColor="accent3"/>
        <w:bottom w:val="single" w:sz="8" w:space="0" w:color="2B746F" w:themeColor="accent3"/>
        <w:right w:val="single" w:sz="8" w:space="0" w:color="2B746F" w:themeColor="accent3"/>
      </w:tblBorders>
    </w:tblPr>
    <w:tblStylePr w:type="firstRow">
      <w:rPr>
        <w:sz w:val="24"/>
        <w:szCs w:val="24"/>
      </w:rPr>
      <w:tblPr/>
      <w:tcPr>
        <w:tcBorders>
          <w:top w:val="nil"/>
          <w:left w:val="nil"/>
          <w:bottom w:val="single" w:sz="24" w:space="0" w:color="2B746F" w:themeColor="accent3"/>
          <w:right w:val="nil"/>
          <w:insideH w:val="nil"/>
          <w:insideV w:val="nil"/>
        </w:tcBorders>
        <w:shd w:val="clear" w:color="auto" w:fill="FFFFFF" w:themeFill="background1"/>
      </w:tcPr>
    </w:tblStylePr>
    <w:tblStylePr w:type="lastRow">
      <w:tblPr/>
      <w:tcPr>
        <w:tcBorders>
          <w:top w:val="single" w:sz="8" w:space="0" w:color="2B746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746F" w:themeColor="accent3"/>
          <w:insideH w:val="nil"/>
          <w:insideV w:val="nil"/>
        </w:tcBorders>
        <w:shd w:val="clear" w:color="auto" w:fill="FFFFFF" w:themeFill="background1"/>
      </w:tcPr>
    </w:tblStylePr>
    <w:tblStylePr w:type="lastCol">
      <w:tblPr/>
      <w:tcPr>
        <w:tcBorders>
          <w:top w:val="nil"/>
          <w:left w:val="single" w:sz="8" w:space="0" w:color="2B74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7E4" w:themeFill="accent3" w:themeFillTint="3F"/>
      </w:tcPr>
    </w:tblStylePr>
    <w:tblStylePr w:type="band1Horz">
      <w:tblPr/>
      <w:tcPr>
        <w:tcBorders>
          <w:top w:val="nil"/>
          <w:bottom w:val="nil"/>
          <w:insideH w:val="nil"/>
          <w:insideV w:val="nil"/>
        </w:tcBorders>
        <w:shd w:val="clear" w:color="auto" w:fill="BFE7E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A6CE39" w:themeColor="accent4"/>
        <w:left w:val="single" w:sz="8" w:space="0" w:color="A6CE39" w:themeColor="accent4"/>
        <w:bottom w:val="single" w:sz="8" w:space="0" w:color="A6CE39" w:themeColor="accent4"/>
        <w:right w:val="single" w:sz="8" w:space="0" w:color="A6CE39" w:themeColor="accent4"/>
      </w:tblBorders>
    </w:tblPr>
    <w:tblStylePr w:type="firstRow">
      <w:rPr>
        <w:sz w:val="24"/>
        <w:szCs w:val="24"/>
      </w:rPr>
      <w:tblPr/>
      <w:tcPr>
        <w:tcBorders>
          <w:top w:val="nil"/>
          <w:left w:val="nil"/>
          <w:bottom w:val="single" w:sz="24" w:space="0" w:color="A6CE39" w:themeColor="accent4"/>
          <w:right w:val="nil"/>
          <w:insideH w:val="nil"/>
          <w:insideV w:val="nil"/>
        </w:tcBorders>
        <w:shd w:val="clear" w:color="auto" w:fill="FFFFFF" w:themeFill="background1"/>
      </w:tcPr>
    </w:tblStylePr>
    <w:tblStylePr w:type="lastRow">
      <w:tblPr/>
      <w:tcPr>
        <w:tcBorders>
          <w:top w:val="single" w:sz="8" w:space="0" w:color="A6CE3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CE39" w:themeColor="accent4"/>
          <w:insideH w:val="nil"/>
          <w:insideV w:val="nil"/>
        </w:tcBorders>
        <w:shd w:val="clear" w:color="auto" w:fill="FFFFFF" w:themeFill="background1"/>
      </w:tcPr>
    </w:tblStylePr>
    <w:tblStylePr w:type="lastCol">
      <w:tblPr/>
      <w:tcPr>
        <w:tcBorders>
          <w:top w:val="nil"/>
          <w:left w:val="single" w:sz="8" w:space="0" w:color="A6CE3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2CD" w:themeFill="accent4" w:themeFillTint="3F"/>
      </w:tcPr>
    </w:tblStylePr>
    <w:tblStylePr w:type="band1Horz">
      <w:tblPr/>
      <w:tcPr>
        <w:tcBorders>
          <w:top w:val="nil"/>
          <w:bottom w:val="nil"/>
          <w:insideH w:val="nil"/>
          <w:insideV w:val="nil"/>
        </w:tcBorders>
        <w:shd w:val="clear" w:color="auto" w:fill="E8F2C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125A96" w:themeColor="accent5"/>
        <w:left w:val="single" w:sz="8" w:space="0" w:color="125A96" w:themeColor="accent5"/>
        <w:bottom w:val="single" w:sz="8" w:space="0" w:color="125A96" w:themeColor="accent5"/>
        <w:right w:val="single" w:sz="8" w:space="0" w:color="125A96" w:themeColor="accent5"/>
      </w:tblBorders>
    </w:tblPr>
    <w:tblStylePr w:type="firstRow">
      <w:rPr>
        <w:sz w:val="24"/>
        <w:szCs w:val="24"/>
      </w:rPr>
      <w:tblPr/>
      <w:tcPr>
        <w:tcBorders>
          <w:top w:val="nil"/>
          <w:left w:val="nil"/>
          <w:bottom w:val="single" w:sz="24" w:space="0" w:color="125A96" w:themeColor="accent5"/>
          <w:right w:val="nil"/>
          <w:insideH w:val="nil"/>
          <w:insideV w:val="nil"/>
        </w:tcBorders>
        <w:shd w:val="clear" w:color="auto" w:fill="FFFFFF" w:themeFill="background1"/>
      </w:tcPr>
    </w:tblStylePr>
    <w:tblStylePr w:type="lastRow">
      <w:tblPr/>
      <w:tcPr>
        <w:tcBorders>
          <w:top w:val="single" w:sz="8" w:space="0" w:color="125A9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5A96" w:themeColor="accent5"/>
          <w:insideH w:val="nil"/>
          <w:insideV w:val="nil"/>
        </w:tcBorders>
        <w:shd w:val="clear" w:color="auto" w:fill="FFFFFF" w:themeFill="background1"/>
      </w:tcPr>
    </w:tblStylePr>
    <w:tblStylePr w:type="lastCol">
      <w:tblPr/>
      <w:tcPr>
        <w:tcBorders>
          <w:top w:val="nil"/>
          <w:left w:val="single" w:sz="8" w:space="0" w:color="125A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7F6" w:themeFill="accent5" w:themeFillTint="3F"/>
      </w:tcPr>
    </w:tblStylePr>
    <w:tblStylePr w:type="band1Horz">
      <w:tblPr/>
      <w:tcPr>
        <w:tcBorders>
          <w:top w:val="nil"/>
          <w:bottom w:val="nil"/>
          <w:insideH w:val="nil"/>
          <w:insideV w:val="nil"/>
        </w:tcBorders>
        <w:shd w:val="clear" w:color="auto" w:fill="B3D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0F9F" w:themeColor="accent6"/>
        <w:left w:val="single" w:sz="8" w:space="0" w:color="000F9F" w:themeColor="accent6"/>
        <w:bottom w:val="single" w:sz="8" w:space="0" w:color="000F9F" w:themeColor="accent6"/>
        <w:right w:val="single" w:sz="8" w:space="0" w:color="000F9F" w:themeColor="accent6"/>
      </w:tblBorders>
    </w:tblPr>
    <w:tblStylePr w:type="firstRow">
      <w:rPr>
        <w:sz w:val="24"/>
        <w:szCs w:val="24"/>
      </w:rPr>
      <w:tblPr/>
      <w:tcPr>
        <w:tcBorders>
          <w:top w:val="nil"/>
          <w:left w:val="nil"/>
          <w:bottom w:val="single" w:sz="24" w:space="0" w:color="000F9F" w:themeColor="accent6"/>
          <w:right w:val="nil"/>
          <w:insideH w:val="nil"/>
          <w:insideV w:val="nil"/>
        </w:tcBorders>
        <w:shd w:val="clear" w:color="auto" w:fill="FFFFFF" w:themeFill="background1"/>
      </w:tcPr>
    </w:tblStylePr>
    <w:tblStylePr w:type="lastRow">
      <w:tblPr/>
      <w:tcPr>
        <w:tcBorders>
          <w:top w:val="single" w:sz="8" w:space="0" w:color="000F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9F" w:themeColor="accent6"/>
          <w:insideH w:val="nil"/>
          <w:insideV w:val="nil"/>
        </w:tcBorders>
        <w:shd w:val="clear" w:color="auto" w:fill="FFFFFF" w:themeFill="background1"/>
      </w:tcPr>
    </w:tblStylePr>
    <w:tblStylePr w:type="lastCol">
      <w:tblPr/>
      <w:tcPr>
        <w:tcBorders>
          <w:top w:val="nil"/>
          <w:left w:val="single" w:sz="8" w:space="0" w:color="000F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B0FF" w:themeFill="accent6" w:themeFillTint="3F"/>
      </w:tcPr>
    </w:tblStylePr>
    <w:tblStylePr w:type="band1Horz">
      <w:tblPr/>
      <w:tcPr>
        <w:tcBorders>
          <w:top w:val="nil"/>
          <w:bottom w:val="nil"/>
          <w:insideH w:val="nil"/>
          <w:insideV w:val="nil"/>
        </w:tcBorders>
        <w:shd w:val="clear" w:color="auto" w:fill="A8B0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637A8"/>
    <w:pPr>
      <w:spacing w:after="0" w:line="240" w:lineRule="auto"/>
    </w:pPr>
    <w:tblPr>
      <w:tblStyleRowBandSize w:val="1"/>
      <w:tblStyleColBandSize w:val="1"/>
      <w:tblBorders>
        <w:top w:val="single" w:sz="8" w:space="0" w:color="7AC5BE" w:themeColor="accent1" w:themeTint="BF"/>
        <w:left w:val="single" w:sz="8" w:space="0" w:color="7AC5BE" w:themeColor="accent1" w:themeTint="BF"/>
        <w:bottom w:val="single" w:sz="8" w:space="0" w:color="7AC5BE" w:themeColor="accent1" w:themeTint="BF"/>
        <w:right w:val="single" w:sz="8" w:space="0" w:color="7AC5BE" w:themeColor="accent1" w:themeTint="BF"/>
        <w:insideH w:val="single" w:sz="8" w:space="0" w:color="7AC5BE" w:themeColor="accent1" w:themeTint="BF"/>
      </w:tblBorders>
    </w:tblPr>
    <w:tblStylePr w:type="firstRow">
      <w:pPr>
        <w:spacing w:before="0" w:after="0" w:line="240" w:lineRule="auto"/>
      </w:pPr>
      <w:rPr>
        <w:b/>
        <w:bCs/>
        <w:color w:val="FFFFFF" w:themeColor="background1"/>
      </w:rPr>
      <w:tblPr/>
      <w:tcPr>
        <w:tcBorders>
          <w:top w:val="single" w:sz="8" w:space="0" w:color="7AC5BE" w:themeColor="accent1" w:themeTint="BF"/>
          <w:left w:val="single" w:sz="8" w:space="0" w:color="7AC5BE" w:themeColor="accent1" w:themeTint="BF"/>
          <w:bottom w:val="single" w:sz="8" w:space="0" w:color="7AC5BE" w:themeColor="accent1" w:themeTint="BF"/>
          <w:right w:val="single" w:sz="8" w:space="0" w:color="7AC5BE" w:themeColor="accent1" w:themeTint="BF"/>
          <w:insideH w:val="nil"/>
          <w:insideV w:val="nil"/>
        </w:tcBorders>
        <w:shd w:val="clear" w:color="auto" w:fill="4EB2A9" w:themeFill="accent1"/>
      </w:tcPr>
    </w:tblStylePr>
    <w:tblStylePr w:type="lastRow">
      <w:pPr>
        <w:spacing w:before="0" w:after="0" w:line="240" w:lineRule="auto"/>
      </w:pPr>
      <w:rPr>
        <w:b/>
        <w:bCs/>
      </w:rPr>
      <w:tblPr/>
      <w:tcPr>
        <w:tcBorders>
          <w:top w:val="double" w:sz="6" w:space="0" w:color="7AC5BE" w:themeColor="accent1" w:themeTint="BF"/>
          <w:left w:val="single" w:sz="8" w:space="0" w:color="7AC5BE" w:themeColor="accent1" w:themeTint="BF"/>
          <w:bottom w:val="single" w:sz="8" w:space="0" w:color="7AC5BE" w:themeColor="accent1" w:themeTint="BF"/>
          <w:right w:val="single" w:sz="8" w:space="0" w:color="7AC5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CE9" w:themeFill="accent1" w:themeFillTint="3F"/>
      </w:tcPr>
    </w:tblStylePr>
    <w:tblStylePr w:type="band1Horz">
      <w:tblPr/>
      <w:tcPr>
        <w:tcBorders>
          <w:insideH w:val="nil"/>
          <w:insideV w:val="nil"/>
        </w:tcBorders>
        <w:shd w:val="clear" w:color="auto" w:fill="D3EC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637A8"/>
    <w:pPr>
      <w:spacing w:after="0" w:line="240" w:lineRule="auto"/>
    </w:pPr>
    <w:tblPr>
      <w:tblStyleRowBandSize w:val="1"/>
      <w:tblStyleColBandSize w:val="1"/>
      <w:tblBorders>
        <w:top w:val="single" w:sz="8" w:space="0" w:color="B977A3" w:themeColor="accent2" w:themeTint="BF"/>
        <w:left w:val="single" w:sz="8" w:space="0" w:color="B977A3" w:themeColor="accent2" w:themeTint="BF"/>
        <w:bottom w:val="single" w:sz="8" w:space="0" w:color="B977A3" w:themeColor="accent2" w:themeTint="BF"/>
        <w:right w:val="single" w:sz="8" w:space="0" w:color="B977A3" w:themeColor="accent2" w:themeTint="BF"/>
        <w:insideH w:val="single" w:sz="8" w:space="0" w:color="B977A3" w:themeColor="accent2" w:themeTint="BF"/>
      </w:tblBorders>
    </w:tblPr>
    <w:tblStylePr w:type="firstRow">
      <w:pPr>
        <w:spacing w:before="0" w:after="0" w:line="240" w:lineRule="auto"/>
      </w:pPr>
      <w:rPr>
        <w:b/>
        <w:bCs/>
        <w:color w:val="FFFFFF" w:themeColor="background1"/>
      </w:rPr>
      <w:tblPr/>
      <w:tcPr>
        <w:tcBorders>
          <w:top w:val="single" w:sz="8" w:space="0" w:color="B977A3" w:themeColor="accent2" w:themeTint="BF"/>
          <w:left w:val="single" w:sz="8" w:space="0" w:color="B977A3" w:themeColor="accent2" w:themeTint="BF"/>
          <w:bottom w:val="single" w:sz="8" w:space="0" w:color="B977A3" w:themeColor="accent2" w:themeTint="BF"/>
          <w:right w:val="single" w:sz="8" w:space="0" w:color="B977A3" w:themeColor="accent2" w:themeTint="BF"/>
          <w:insideH w:val="nil"/>
          <w:insideV w:val="nil"/>
        </w:tcBorders>
        <w:shd w:val="clear" w:color="auto" w:fill="9C5083" w:themeFill="accent2"/>
      </w:tcPr>
    </w:tblStylePr>
    <w:tblStylePr w:type="lastRow">
      <w:pPr>
        <w:spacing w:before="0" w:after="0" w:line="240" w:lineRule="auto"/>
      </w:pPr>
      <w:rPr>
        <w:b/>
        <w:bCs/>
      </w:rPr>
      <w:tblPr/>
      <w:tcPr>
        <w:tcBorders>
          <w:top w:val="double" w:sz="6" w:space="0" w:color="B977A3" w:themeColor="accent2" w:themeTint="BF"/>
          <w:left w:val="single" w:sz="8" w:space="0" w:color="B977A3" w:themeColor="accent2" w:themeTint="BF"/>
          <w:bottom w:val="single" w:sz="8" w:space="0" w:color="B977A3" w:themeColor="accent2" w:themeTint="BF"/>
          <w:right w:val="single" w:sz="8" w:space="0" w:color="B977A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D2E0" w:themeFill="accent2" w:themeFillTint="3F"/>
      </w:tcPr>
    </w:tblStylePr>
    <w:tblStylePr w:type="band1Horz">
      <w:tblPr/>
      <w:tcPr>
        <w:tcBorders>
          <w:insideH w:val="nil"/>
          <w:insideV w:val="nil"/>
        </w:tcBorders>
        <w:shd w:val="clear" w:color="auto" w:fill="E8D2E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637A8"/>
    <w:pPr>
      <w:spacing w:after="0" w:line="240" w:lineRule="auto"/>
    </w:pPr>
    <w:tblPr>
      <w:tblStyleRowBandSize w:val="1"/>
      <w:tblStyleColBandSize w:val="1"/>
      <w:tblBorders>
        <w:top w:val="single" w:sz="8" w:space="0" w:color="43B4AC" w:themeColor="accent3" w:themeTint="BF"/>
        <w:left w:val="single" w:sz="8" w:space="0" w:color="43B4AC" w:themeColor="accent3" w:themeTint="BF"/>
        <w:bottom w:val="single" w:sz="8" w:space="0" w:color="43B4AC" w:themeColor="accent3" w:themeTint="BF"/>
        <w:right w:val="single" w:sz="8" w:space="0" w:color="43B4AC" w:themeColor="accent3" w:themeTint="BF"/>
        <w:insideH w:val="single" w:sz="8" w:space="0" w:color="43B4AC" w:themeColor="accent3" w:themeTint="BF"/>
      </w:tblBorders>
    </w:tblPr>
    <w:tblStylePr w:type="firstRow">
      <w:pPr>
        <w:spacing w:before="0" w:after="0" w:line="240" w:lineRule="auto"/>
      </w:pPr>
      <w:rPr>
        <w:b/>
        <w:bCs/>
        <w:color w:val="FFFFFF" w:themeColor="background1"/>
      </w:rPr>
      <w:tblPr/>
      <w:tcPr>
        <w:tcBorders>
          <w:top w:val="single" w:sz="8" w:space="0" w:color="43B4AC" w:themeColor="accent3" w:themeTint="BF"/>
          <w:left w:val="single" w:sz="8" w:space="0" w:color="43B4AC" w:themeColor="accent3" w:themeTint="BF"/>
          <w:bottom w:val="single" w:sz="8" w:space="0" w:color="43B4AC" w:themeColor="accent3" w:themeTint="BF"/>
          <w:right w:val="single" w:sz="8" w:space="0" w:color="43B4AC" w:themeColor="accent3" w:themeTint="BF"/>
          <w:insideH w:val="nil"/>
          <w:insideV w:val="nil"/>
        </w:tcBorders>
        <w:shd w:val="clear" w:color="auto" w:fill="2B746F" w:themeFill="accent3"/>
      </w:tcPr>
    </w:tblStylePr>
    <w:tblStylePr w:type="lastRow">
      <w:pPr>
        <w:spacing w:before="0" w:after="0" w:line="240" w:lineRule="auto"/>
      </w:pPr>
      <w:rPr>
        <w:b/>
        <w:bCs/>
      </w:rPr>
      <w:tblPr/>
      <w:tcPr>
        <w:tcBorders>
          <w:top w:val="double" w:sz="6" w:space="0" w:color="43B4AC" w:themeColor="accent3" w:themeTint="BF"/>
          <w:left w:val="single" w:sz="8" w:space="0" w:color="43B4AC" w:themeColor="accent3" w:themeTint="BF"/>
          <w:bottom w:val="single" w:sz="8" w:space="0" w:color="43B4AC" w:themeColor="accent3" w:themeTint="BF"/>
          <w:right w:val="single" w:sz="8" w:space="0" w:color="43B4AC" w:themeColor="accent3" w:themeTint="BF"/>
          <w:insideH w:val="nil"/>
          <w:insideV w:val="nil"/>
        </w:tcBorders>
      </w:tcPr>
    </w:tblStylePr>
    <w:tblStylePr w:type="firstCol">
      <w:rPr>
        <w:b/>
        <w:bCs/>
      </w:rPr>
    </w:tblStylePr>
    <w:tblStylePr w:type="lastCol">
      <w:rPr>
        <w:b/>
        <w:bCs/>
      </w:rPr>
    </w:tblStylePr>
    <w:tblStylePr w:type="band1Vert">
      <w:tblPr/>
      <w:tcPr>
        <w:shd w:val="clear" w:color="auto" w:fill="BFE7E4" w:themeFill="accent3" w:themeFillTint="3F"/>
      </w:tcPr>
    </w:tblStylePr>
    <w:tblStylePr w:type="band1Horz">
      <w:tblPr/>
      <w:tcPr>
        <w:tcBorders>
          <w:insideH w:val="nil"/>
          <w:insideV w:val="nil"/>
        </w:tcBorders>
        <w:shd w:val="clear" w:color="auto" w:fill="BFE7E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637A8"/>
    <w:pPr>
      <w:spacing w:after="0" w:line="240" w:lineRule="auto"/>
    </w:pPr>
    <w:tblPr>
      <w:tblStyleRowBandSize w:val="1"/>
      <w:tblStyleColBandSize w:val="1"/>
      <w:tblBorders>
        <w:top w:val="single" w:sz="8" w:space="0" w:color="BCDA6A" w:themeColor="accent4" w:themeTint="BF"/>
        <w:left w:val="single" w:sz="8" w:space="0" w:color="BCDA6A" w:themeColor="accent4" w:themeTint="BF"/>
        <w:bottom w:val="single" w:sz="8" w:space="0" w:color="BCDA6A" w:themeColor="accent4" w:themeTint="BF"/>
        <w:right w:val="single" w:sz="8" w:space="0" w:color="BCDA6A" w:themeColor="accent4" w:themeTint="BF"/>
        <w:insideH w:val="single" w:sz="8" w:space="0" w:color="BCDA6A" w:themeColor="accent4" w:themeTint="BF"/>
      </w:tblBorders>
    </w:tblPr>
    <w:tblStylePr w:type="firstRow">
      <w:pPr>
        <w:spacing w:before="0" w:after="0" w:line="240" w:lineRule="auto"/>
      </w:pPr>
      <w:rPr>
        <w:b/>
        <w:bCs/>
        <w:color w:val="FFFFFF" w:themeColor="background1"/>
      </w:rPr>
      <w:tblPr/>
      <w:tcPr>
        <w:tcBorders>
          <w:top w:val="single" w:sz="8" w:space="0" w:color="BCDA6A" w:themeColor="accent4" w:themeTint="BF"/>
          <w:left w:val="single" w:sz="8" w:space="0" w:color="BCDA6A" w:themeColor="accent4" w:themeTint="BF"/>
          <w:bottom w:val="single" w:sz="8" w:space="0" w:color="BCDA6A" w:themeColor="accent4" w:themeTint="BF"/>
          <w:right w:val="single" w:sz="8" w:space="0" w:color="BCDA6A" w:themeColor="accent4" w:themeTint="BF"/>
          <w:insideH w:val="nil"/>
          <w:insideV w:val="nil"/>
        </w:tcBorders>
        <w:shd w:val="clear" w:color="auto" w:fill="A6CE39" w:themeFill="accent4"/>
      </w:tcPr>
    </w:tblStylePr>
    <w:tblStylePr w:type="lastRow">
      <w:pPr>
        <w:spacing w:before="0" w:after="0" w:line="240" w:lineRule="auto"/>
      </w:pPr>
      <w:rPr>
        <w:b/>
        <w:bCs/>
      </w:rPr>
      <w:tblPr/>
      <w:tcPr>
        <w:tcBorders>
          <w:top w:val="double" w:sz="6" w:space="0" w:color="BCDA6A" w:themeColor="accent4" w:themeTint="BF"/>
          <w:left w:val="single" w:sz="8" w:space="0" w:color="BCDA6A" w:themeColor="accent4" w:themeTint="BF"/>
          <w:bottom w:val="single" w:sz="8" w:space="0" w:color="BCDA6A" w:themeColor="accent4" w:themeTint="BF"/>
          <w:right w:val="single" w:sz="8" w:space="0" w:color="BCDA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8F2CD" w:themeFill="accent4" w:themeFillTint="3F"/>
      </w:tcPr>
    </w:tblStylePr>
    <w:tblStylePr w:type="band1Horz">
      <w:tblPr/>
      <w:tcPr>
        <w:tcBorders>
          <w:insideH w:val="nil"/>
          <w:insideV w:val="nil"/>
        </w:tcBorders>
        <w:shd w:val="clear" w:color="auto" w:fill="E8F2C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637A8"/>
    <w:pPr>
      <w:spacing w:after="0" w:line="240" w:lineRule="auto"/>
    </w:pPr>
    <w:tblPr>
      <w:tblStyleRowBandSize w:val="1"/>
      <w:tblStyleColBandSize w:val="1"/>
      <w:tblBorders>
        <w:top w:val="single" w:sz="8" w:space="0" w:color="1B87E2" w:themeColor="accent5" w:themeTint="BF"/>
        <w:left w:val="single" w:sz="8" w:space="0" w:color="1B87E2" w:themeColor="accent5" w:themeTint="BF"/>
        <w:bottom w:val="single" w:sz="8" w:space="0" w:color="1B87E2" w:themeColor="accent5" w:themeTint="BF"/>
        <w:right w:val="single" w:sz="8" w:space="0" w:color="1B87E2" w:themeColor="accent5" w:themeTint="BF"/>
        <w:insideH w:val="single" w:sz="8" w:space="0" w:color="1B87E2" w:themeColor="accent5" w:themeTint="BF"/>
      </w:tblBorders>
    </w:tblPr>
    <w:tblStylePr w:type="firstRow">
      <w:pPr>
        <w:spacing w:before="0" w:after="0" w:line="240" w:lineRule="auto"/>
      </w:pPr>
      <w:rPr>
        <w:b/>
        <w:bCs/>
        <w:color w:val="FFFFFF" w:themeColor="background1"/>
      </w:rPr>
      <w:tblPr/>
      <w:tcPr>
        <w:tcBorders>
          <w:top w:val="single" w:sz="8" w:space="0" w:color="1B87E2" w:themeColor="accent5" w:themeTint="BF"/>
          <w:left w:val="single" w:sz="8" w:space="0" w:color="1B87E2" w:themeColor="accent5" w:themeTint="BF"/>
          <w:bottom w:val="single" w:sz="8" w:space="0" w:color="1B87E2" w:themeColor="accent5" w:themeTint="BF"/>
          <w:right w:val="single" w:sz="8" w:space="0" w:color="1B87E2" w:themeColor="accent5" w:themeTint="BF"/>
          <w:insideH w:val="nil"/>
          <w:insideV w:val="nil"/>
        </w:tcBorders>
        <w:shd w:val="clear" w:color="auto" w:fill="125A96" w:themeFill="accent5"/>
      </w:tcPr>
    </w:tblStylePr>
    <w:tblStylePr w:type="lastRow">
      <w:pPr>
        <w:spacing w:before="0" w:after="0" w:line="240" w:lineRule="auto"/>
      </w:pPr>
      <w:rPr>
        <w:b/>
        <w:bCs/>
      </w:rPr>
      <w:tblPr/>
      <w:tcPr>
        <w:tcBorders>
          <w:top w:val="double" w:sz="6" w:space="0" w:color="1B87E2" w:themeColor="accent5" w:themeTint="BF"/>
          <w:left w:val="single" w:sz="8" w:space="0" w:color="1B87E2" w:themeColor="accent5" w:themeTint="BF"/>
          <w:bottom w:val="single" w:sz="8" w:space="0" w:color="1B87E2" w:themeColor="accent5" w:themeTint="BF"/>
          <w:right w:val="single" w:sz="8" w:space="0" w:color="1B87E2" w:themeColor="accent5" w:themeTint="BF"/>
          <w:insideH w:val="nil"/>
          <w:insideV w:val="nil"/>
        </w:tcBorders>
      </w:tcPr>
    </w:tblStylePr>
    <w:tblStylePr w:type="firstCol">
      <w:rPr>
        <w:b/>
        <w:bCs/>
      </w:rPr>
    </w:tblStylePr>
    <w:tblStylePr w:type="lastCol">
      <w:rPr>
        <w:b/>
        <w:bCs/>
      </w:rPr>
    </w:tblStylePr>
    <w:tblStylePr w:type="band1Vert">
      <w:tblPr/>
      <w:tcPr>
        <w:shd w:val="clear" w:color="auto" w:fill="B3D7F6" w:themeFill="accent5" w:themeFillTint="3F"/>
      </w:tcPr>
    </w:tblStylePr>
    <w:tblStylePr w:type="band1Horz">
      <w:tblPr/>
      <w:tcPr>
        <w:tcBorders>
          <w:insideH w:val="nil"/>
          <w:insideV w:val="nil"/>
        </w:tcBorders>
        <w:shd w:val="clear" w:color="auto" w:fill="B3D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637A8"/>
    <w:pPr>
      <w:spacing w:after="0" w:line="240" w:lineRule="auto"/>
    </w:pPr>
    <w:tblPr>
      <w:tblStyleRowBandSize w:val="1"/>
      <w:tblStyleColBandSize w:val="1"/>
      <w:tblBorders>
        <w:top w:val="single" w:sz="8" w:space="0" w:color="0017F7" w:themeColor="accent6" w:themeTint="BF"/>
        <w:left w:val="single" w:sz="8" w:space="0" w:color="0017F7" w:themeColor="accent6" w:themeTint="BF"/>
        <w:bottom w:val="single" w:sz="8" w:space="0" w:color="0017F7" w:themeColor="accent6" w:themeTint="BF"/>
        <w:right w:val="single" w:sz="8" w:space="0" w:color="0017F7" w:themeColor="accent6" w:themeTint="BF"/>
        <w:insideH w:val="single" w:sz="8" w:space="0" w:color="0017F7" w:themeColor="accent6" w:themeTint="BF"/>
      </w:tblBorders>
    </w:tblPr>
    <w:tblStylePr w:type="firstRow">
      <w:pPr>
        <w:spacing w:before="0" w:after="0" w:line="240" w:lineRule="auto"/>
      </w:pPr>
      <w:rPr>
        <w:b/>
        <w:bCs/>
        <w:color w:val="FFFFFF" w:themeColor="background1"/>
      </w:rPr>
      <w:tblPr/>
      <w:tcPr>
        <w:tcBorders>
          <w:top w:val="single" w:sz="8" w:space="0" w:color="0017F7" w:themeColor="accent6" w:themeTint="BF"/>
          <w:left w:val="single" w:sz="8" w:space="0" w:color="0017F7" w:themeColor="accent6" w:themeTint="BF"/>
          <w:bottom w:val="single" w:sz="8" w:space="0" w:color="0017F7" w:themeColor="accent6" w:themeTint="BF"/>
          <w:right w:val="single" w:sz="8" w:space="0" w:color="0017F7" w:themeColor="accent6" w:themeTint="BF"/>
          <w:insideH w:val="nil"/>
          <w:insideV w:val="nil"/>
        </w:tcBorders>
        <w:shd w:val="clear" w:color="auto" w:fill="000F9F" w:themeFill="accent6"/>
      </w:tcPr>
    </w:tblStylePr>
    <w:tblStylePr w:type="lastRow">
      <w:pPr>
        <w:spacing w:before="0" w:after="0" w:line="240" w:lineRule="auto"/>
      </w:pPr>
      <w:rPr>
        <w:b/>
        <w:bCs/>
      </w:rPr>
      <w:tblPr/>
      <w:tcPr>
        <w:tcBorders>
          <w:top w:val="double" w:sz="6" w:space="0" w:color="0017F7" w:themeColor="accent6" w:themeTint="BF"/>
          <w:left w:val="single" w:sz="8" w:space="0" w:color="0017F7" w:themeColor="accent6" w:themeTint="BF"/>
          <w:bottom w:val="single" w:sz="8" w:space="0" w:color="0017F7" w:themeColor="accent6" w:themeTint="BF"/>
          <w:right w:val="single" w:sz="8" w:space="0" w:color="0017F7" w:themeColor="accent6" w:themeTint="BF"/>
          <w:insideH w:val="nil"/>
          <w:insideV w:val="nil"/>
        </w:tcBorders>
      </w:tcPr>
    </w:tblStylePr>
    <w:tblStylePr w:type="firstCol">
      <w:rPr>
        <w:b/>
        <w:bCs/>
      </w:rPr>
    </w:tblStylePr>
    <w:tblStylePr w:type="lastCol">
      <w:rPr>
        <w:b/>
        <w:bCs/>
      </w:rPr>
    </w:tblStylePr>
    <w:tblStylePr w:type="band1Vert">
      <w:tblPr/>
      <w:tcPr>
        <w:shd w:val="clear" w:color="auto" w:fill="A8B0FF" w:themeFill="accent6" w:themeFillTint="3F"/>
      </w:tcPr>
    </w:tblStylePr>
    <w:tblStylePr w:type="band1Horz">
      <w:tblPr/>
      <w:tcPr>
        <w:tcBorders>
          <w:insideH w:val="nil"/>
          <w:insideV w:val="nil"/>
        </w:tcBorders>
        <w:shd w:val="clear" w:color="auto" w:fill="A8B0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B2A9" w:themeFill="accent1"/>
      </w:tcPr>
    </w:tblStylePr>
    <w:tblStylePr w:type="lastCol">
      <w:rPr>
        <w:b/>
        <w:bCs/>
        <w:color w:val="FFFFFF" w:themeColor="background1"/>
      </w:rPr>
      <w:tblPr/>
      <w:tcPr>
        <w:tcBorders>
          <w:left w:val="nil"/>
          <w:right w:val="nil"/>
          <w:insideH w:val="nil"/>
          <w:insideV w:val="nil"/>
        </w:tcBorders>
        <w:shd w:val="clear" w:color="auto" w:fill="4E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508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5083" w:themeFill="accent2"/>
      </w:tcPr>
    </w:tblStylePr>
    <w:tblStylePr w:type="lastCol">
      <w:rPr>
        <w:b/>
        <w:bCs/>
        <w:color w:val="FFFFFF" w:themeColor="background1"/>
      </w:rPr>
      <w:tblPr/>
      <w:tcPr>
        <w:tcBorders>
          <w:left w:val="nil"/>
          <w:right w:val="nil"/>
          <w:insideH w:val="nil"/>
          <w:insideV w:val="nil"/>
        </w:tcBorders>
        <w:shd w:val="clear" w:color="auto" w:fill="9C508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74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746F" w:themeFill="accent3"/>
      </w:tcPr>
    </w:tblStylePr>
    <w:tblStylePr w:type="lastCol">
      <w:rPr>
        <w:b/>
        <w:bCs/>
        <w:color w:val="FFFFFF" w:themeColor="background1"/>
      </w:rPr>
      <w:tblPr/>
      <w:tcPr>
        <w:tcBorders>
          <w:left w:val="nil"/>
          <w:right w:val="nil"/>
          <w:insideH w:val="nil"/>
          <w:insideV w:val="nil"/>
        </w:tcBorders>
        <w:shd w:val="clear" w:color="auto" w:fill="2B74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CE3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CE39" w:themeFill="accent4"/>
      </w:tcPr>
    </w:tblStylePr>
    <w:tblStylePr w:type="lastCol">
      <w:rPr>
        <w:b/>
        <w:bCs/>
        <w:color w:val="FFFFFF" w:themeColor="background1"/>
      </w:rPr>
      <w:tblPr/>
      <w:tcPr>
        <w:tcBorders>
          <w:left w:val="nil"/>
          <w:right w:val="nil"/>
          <w:insideH w:val="nil"/>
          <w:insideV w:val="nil"/>
        </w:tcBorders>
        <w:shd w:val="clear" w:color="auto" w:fill="A6CE3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5A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25A96" w:themeFill="accent5"/>
      </w:tcPr>
    </w:tblStylePr>
    <w:tblStylePr w:type="lastCol">
      <w:rPr>
        <w:b/>
        <w:bCs/>
        <w:color w:val="FFFFFF" w:themeColor="background1"/>
      </w:rPr>
      <w:tblPr/>
      <w:tcPr>
        <w:tcBorders>
          <w:left w:val="nil"/>
          <w:right w:val="nil"/>
          <w:insideH w:val="nil"/>
          <w:insideV w:val="nil"/>
        </w:tcBorders>
        <w:shd w:val="clear" w:color="auto" w:fill="125A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F9F" w:themeFill="accent6"/>
      </w:tcPr>
    </w:tblStylePr>
    <w:tblStylePr w:type="lastCol">
      <w:rPr>
        <w:b/>
        <w:bCs/>
        <w:color w:val="FFFFFF" w:themeColor="background1"/>
      </w:rPr>
      <w:tblPr/>
      <w:tcPr>
        <w:tcBorders>
          <w:left w:val="nil"/>
          <w:right w:val="nil"/>
          <w:insideH w:val="nil"/>
          <w:insideV w:val="nil"/>
        </w:tcBorders>
        <w:shd w:val="clear" w:color="auto" w:fill="000F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9637A8"/>
    <w:rPr>
      <w:color w:val="2B579A"/>
      <w:shd w:val="clear" w:color="auto" w:fill="E1DFDD"/>
    </w:rPr>
  </w:style>
  <w:style w:type="paragraph" w:styleId="MessageHeader">
    <w:name w:val="Message Header"/>
    <w:basedOn w:val="Normal"/>
    <w:link w:val="MessageHeaderChar"/>
    <w:uiPriority w:val="99"/>
    <w:semiHidden/>
    <w:rsid w:val="009637A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AD3AE6"/>
    <w:rPr>
      <w:rFonts w:ascii="Arial" w:eastAsiaTheme="majorEastAsia" w:hAnsi="Arial" w:cs="Arial"/>
      <w:bCs/>
      <w:sz w:val="24"/>
      <w:szCs w:val="24"/>
      <w:shd w:val="pct20" w:color="auto" w:fill="auto"/>
    </w:rPr>
  </w:style>
  <w:style w:type="paragraph" w:styleId="NoSpacing">
    <w:name w:val="No Spacing"/>
    <w:uiPriority w:val="1"/>
    <w:semiHidden/>
    <w:qFormat/>
    <w:rsid w:val="009637A8"/>
    <w:pPr>
      <w:spacing w:after="0" w:line="240" w:lineRule="auto"/>
    </w:pPr>
    <w:rPr>
      <w:rFonts w:ascii="Nunito Light" w:hAnsi="Nunito Light" w:cs="Arial"/>
    </w:rPr>
  </w:style>
  <w:style w:type="paragraph" w:styleId="NormalWeb">
    <w:name w:val="Normal (Web)"/>
    <w:basedOn w:val="Normal"/>
    <w:uiPriority w:val="99"/>
    <w:semiHidden/>
    <w:rsid w:val="009637A8"/>
    <w:pPr>
      <w:spacing w:after="160" w:line="259" w:lineRule="auto"/>
    </w:pPr>
    <w:rPr>
      <w:sz w:val="24"/>
      <w:szCs w:val="24"/>
    </w:rPr>
  </w:style>
  <w:style w:type="paragraph" w:styleId="NormalIndent">
    <w:name w:val="Normal Indent"/>
    <w:basedOn w:val="Normal"/>
    <w:uiPriority w:val="99"/>
    <w:semiHidden/>
    <w:rsid w:val="009637A8"/>
    <w:pPr>
      <w:spacing w:after="160" w:line="259" w:lineRule="auto"/>
      <w:ind w:left="720"/>
    </w:pPr>
  </w:style>
  <w:style w:type="paragraph" w:styleId="NoteHeading">
    <w:name w:val="Note Heading"/>
    <w:basedOn w:val="Normal"/>
    <w:next w:val="Normal"/>
    <w:link w:val="NoteHeadingChar"/>
    <w:uiPriority w:val="99"/>
    <w:semiHidden/>
    <w:rsid w:val="009637A8"/>
    <w:pPr>
      <w:spacing w:after="0"/>
    </w:pPr>
  </w:style>
  <w:style w:type="character" w:customStyle="1" w:styleId="NoteHeadingChar">
    <w:name w:val="Note Heading Char"/>
    <w:basedOn w:val="DefaultParagraphFont"/>
    <w:link w:val="NoteHeading"/>
    <w:uiPriority w:val="99"/>
    <w:semiHidden/>
    <w:rsid w:val="00AD3AE6"/>
    <w:rPr>
      <w:rFonts w:ascii="Arial" w:hAnsi="Arial" w:cs="Arial"/>
      <w:bCs/>
    </w:rPr>
  </w:style>
  <w:style w:type="character" w:styleId="PageNumber">
    <w:name w:val="page number"/>
    <w:basedOn w:val="DefaultParagraphFont"/>
    <w:uiPriority w:val="99"/>
    <w:semiHidden/>
    <w:rsid w:val="009637A8"/>
  </w:style>
  <w:style w:type="character" w:styleId="PlaceholderText">
    <w:name w:val="Placeholder Text"/>
    <w:basedOn w:val="DefaultParagraphFont"/>
    <w:uiPriority w:val="99"/>
    <w:semiHidden/>
    <w:rsid w:val="009637A8"/>
    <w:rPr>
      <w:color w:val="808080"/>
    </w:rPr>
  </w:style>
  <w:style w:type="table" w:styleId="PlainTable1">
    <w:name w:val="Plain Table 1"/>
    <w:basedOn w:val="TableNormal"/>
    <w:uiPriority w:val="41"/>
    <w:rsid w:val="009637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637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37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37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9637A8"/>
    <w:pPr>
      <w:spacing w:after="0"/>
    </w:pPr>
    <w:rPr>
      <w:sz w:val="21"/>
      <w:szCs w:val="21"/>
    </w:rPr>
  </w:style>
  <w:style w:type="character" w:customStyle="1" w:styleId="PlainTextChar">
    <w:name w:val="Plain Text Char"/>
    <w:basedOn w:val="DefaultParagraphFont"/>
    <w:link w:val="PlainText"/>
    <w:uiPriority w:val="99"/>
    <w:semiHidden/>
    <w:rsid w:val="00AD3AE6"/>
    <w:rPr>
      <w:rFonts w:ascii="Arial" w:hAnsi="Arial" w:cs="Arial"/>
      <w:bCs/>
      <w:sz w:val="21"/>
      <w:szCs w:val="21"/>
    </w:rPr>
  </w:style>
  <w:style w:type="paragraph" w:styleId="Quote">
    <w:name w:val="Quote"/>
    <w:basedOn w:val="Normal"/>
    <w:next w:val="Normal"/>
    <w:link w:val="QuoteChar"/>
    <w:uiPriority w:val="29"/>
    <w:semiHidden/>
    <w:qFormat/>
    <w:rsid w:val="009637A8"/>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D3AE6"/>
    <w:rPr>
      <w:rFonts w:ascii="Arial" w:hAnsi="Arial" w:cs="Arial"/>
      <w:bCs/>
      <w:i/>
      <w:iCs/>
      <w:color w:val="404040" w:themeColor="text1" w:themeTint="BF"/>
    </w:rPr>
  </w:style>
  <w:style w:type="paragraph" w:styleId="Salutation">
    <w:name w:val="Salutation"/>
    <w:basedOn w:val="Normal"/>
    <w:next w:val="Normal"/>
    <w:link w:val="SalutationChar"/>
    <w:uiPriority w:val="99"/>
    <w:semiHidden/>
    <w:rsid w:val="009637A8"/>
    <w:pPr>
      <w:spacing w:after="160" w:line="259" w:lineRule="auto"/>
    </w:pPr>
  </w:style>
  <w:style w:type="character" w:customStyle="1" w:styleId="SalutationChar">
    <w:name w:val="Salutation Char"/>
    <w:basedOn w:val="DefaultParagraphFont"/>
    <w:link w:val="Salutation"/>
    <w:uiPriority w:val="99"/>
    <w:semiHidden/>
    <w:rsid w:val="00AD3AE6"/>
    <w:rPr>
      <w:rFonts w:ascii="Arial" w:hAnsi="Arial" w:cs="Arial"/>
      <w:bCs/>
    </w:rPr>
  </w:style>
  <w:style w:type="paragraph" w:styleId="Signature">
    <w:name w:val="Signature"/>
    <w:basedOn w:val="Normal"/>
    <w:link w:val="SignatureChar"/>
    <w:uiPriority w:val="99"/>
    <w:semiHidden/>
    <w:rsid w:val="009637A8"/>
    <w:pPr>
      <w:spacing w:after="0"/>
      <w:ind w:left="4252"/>
    </w:pPr>
  </w:style>
  <w:style w:type="character" w:customStyle="1" w:styleId="SignatureChar">
    <w:name w:val="Signature Char"/>
    <w:basedOn w:val="DefaultParagraphFont"/>
    <w:link w:val="Signature"/>
    <w:uiPriority w:val="99"/>
    <w:semiHidden/>
    <w:rsid w:val="00AD3AE6"/>
    <w:rPr>
      <w:rFonts w:ascii="Arial" w:hAnsi="Arial" w:cs="Arial"/>
      <w:bCs/>
    </w:rPr>
  </w:style>
  <w:style w:type="character" w:styleId="SmartHyperlink">
    <w:name w:val="Smart Hyperlink"/>
    <w:basedOn w:val="DefaultParagraphFont"/>
    <w:uiPriority w:val="99"/>
    <w:semiHidden/>
    <w:rsid w:val="009637A8"/>
    <w:rPr>
      <w:u w:val="dotted"/>
    </w:rPr>
  </w:style>
  <w:style w:type="character" w:styleId="SmartLink">
    <w:name w:val="Smart Link"/>
    <w:basedOn w:val="DefaultParagraphFont"/>
    <w:uiPriority w:val="99"/>
    <w:semiHidden/>
    <w:rsid w:val="009637A8"/>
    <w:rPr>
      <w:color w:val="0000FF"/>
      <w:u w:val="single"/>
      <w:shd w:val="clear" w:color="auto" w:fill="F3F2F1"/>
    </w:rPr>
  </w:style>
  <w:style w:type="character" w:styleId="Strong">
    <w:name w:val="Strong"/>
    <w:basedOn w:val="DefaultParagraphFont"/>
    <w:uiPriority w:val="22"/>
    <w:semiHidden/>
    <w:qFormat/>
    <w:rsid w:val="009637A8"/>
    <w:rPr>
      <w:b/>
      <w:bCs/>
    </w:rPr>
  </w:style>
  <w:style w:type="paragraph" w:styleId="Subtitle">
    <w:name w:val="Subtitle"/>
    <w:basedOn w:val="Normal"/>
    <w:next w:val="Normal"/>
    <w:link w:val="SubtitleChar"/>
    <w:uiPriority w:val="11"/>
    <w:semiHidden/>
    <w:qFormat/>
    <w:rsid w:val="009637A8"/>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AD3AE6"/>
    <w:rPr>
      <w:rFonts w:ascii="Arial" w:eastAsiaTheme="minorEastAsia" w:hAnsi="Arial" w:cs="Arial"/>
      <w:bCs/>
      <w:color w:val="5A5A5A" w:themeColor="text1" w:themeTint="A5"/>
      <w:spacing w:val="15"/>
    </w:rPr>
  </w:style>
  <w:style w:type="character" w:styleId="SubtleEmphasis">
    <w:name w:val="Subtle Emphasis"/>
    <w:basedOn w:val="DefaultParagraphFont"/>
    <w:uiPriority w:val="19"/>
    <w:semiHidden/>
    <w:qFormat/>
    <w:rsid w:val="009637A8"/>
    <w:rPr>
      <w:i/>
      <w:iCs/>
      <w:color w:val="404040" w:themeColor="text1" w:themeTint="BF"/>
    </w:rPr>
  </w:style>
  <w:style w:type="character" w:styleId="SubtleReference">
    <w:name w:val="Subtle Reference"/>
    <w:basedOn w:val="DefaultParagraphFont"/>
    <w:uiPriority w:val="31"/>
    <w:semiHidden/>
    <w:qFormat/>
    <w:rsid w:val="009637A8"/>
    <w:rPr>
      <w:smallCaps/>
      <w:color w:val="5A5A5A" w:themeColor="text1" w:themeTint="A5"/>
    </w:rPr>
  </w:style>
  <w:style w:type="table" w:styleId="Table3Deffects1">
    <w:name w:val="Table 3D effects 1"/>
    <w:basedOn w:val="TableNormal"/>
    <w:uiPriority w:val="99"/>
    <w:semiHidden/>
    <w:unhideWhenUsed/>
    <w:rsid w:val="009637A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637A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637A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637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637A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637A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637A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637A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637A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637A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637A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637A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637A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637A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637A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96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637A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637A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637A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637A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637A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637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637A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637A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637A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637A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9637A8"/>
    <w:pPr>
      <w:spacing w:after="0" w:line="259" w:lineRule="auto"/>
      <w:ind w:left="220" w:hanging="220"/>
    </w:pPr>
  </w:style>
  <w:style w:type="paragraph" w:styleId="TableofFigures">
    <w:name w:val="table of figures"/>
    <w:basedOn w:val="Normal"/>
    <w:next w:val="Normal"/>
    <w:autoRedefine/>
    <w:uiPriority w:val="99"/>
    <w:semiHidden/>
    <w:rsid w:val="00E972D4"/>
    <w:pPr>
      <w:tabs>
        <w:tab w:val="left" w:pos="1068"/>
        <w:tab w:val="right" w:pos="8760"/>
      </w:tabs>
      <w:spacing w:after="0" w:line="259" w:lineRule="auto"/>
      <w:ind w:left="1068" w:right="1143" w:hanging="1068"/>
    </w:pPr>
  </w:style>
  <w:style w:type="table" w:styleId="TableProfessional">
    <w:name w:val="Table Professional"/>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637A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637A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637A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637A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63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637A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637A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637A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9637A8"/>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semiHidden/>
    <w:rsid w:val="00AD3AE6"/>
    <w:rPr>
      <w:rFonts w:ascii="Arial" w:eastAsiaTheme="majorEastAsia" w:hAnsi="Arial" w:cs="Arial"/>
      <w:bCs/>
      <w:spacing w:val="-10"/>
      <w:kern w:val="28"/>
      <w:sz w:val="56"/>
      <w:szCs w:val="56"/>
    </w:rPr>
  </w:style>
  <w:style w:type="paragraph" w:styleId="TOAHeading">
    <w:name w:val="toa heading"/>
    <w:basedOn w:val="Normal"/>
    <w:next w:val="Normal"/>
    <w:uiPriority w:val="99"/>
    <w:semiHidden/>
    <w:rsid w:val="009637A8"/>
    <w:pPr>
      <w:spacing w:after="160" w:line="259" w:lineRule="auto"/>
    </w:pPr>
    <w:rPr>
      <w:rFonts w:eastAsiaTheme="majorEastAsia"/>
      <w:b/>
      <w:bCs w:val="0"/>
      <w:sz w:val="24"/>
      <w:szCs w:val="24"/>
    </w:rPr>
  </w:style>
  <w:style w:type="paragraph" w:styleId="TOC1">
    <w:name w:val="toc 1"/>
    <w:basedOn w:val="Normalnsp"/>
    <w:autoRedefine/>
    <w:uiPriority w:val="39"/>
    <w:rsid w:val="00F305D1"/>
    <w:pPr>
      <w:pBdr>
        <w:bottom w:val="single" w:sz="4" w:space="1" w:color="auto"/>
        <w:between w:val="single" w:sz="4" w:space="1" w:color="auto"/>
      </w:pBdr>
      <w:tabs>
        <w:tab w:val="left" w:pos="600"/>
        <w:tab w:val="right" w:pos="8749"/>
      </w:tabs>
      <w:spacing w:before="120" w:line="280" w:lineRule="exact"/>
      <w:ind w:left="612" w:right="276" w:hanging="612"/>
    </w:pPr>
    <w:rPr>
      <w:rFonts w:ascii="Nunito ExtraLight" w:hAnsi="Nunito ExtraLight"/>
      <w:caps/>
      <w:noProof/>
      <w:color w:val="000000" w:themeColor="text1"/>
      <w:sz w:val="24"/>
    </w:rPr>
  </w:style>
  <w:style w:type="paragraph" w:styleId="TOC2">
    <w:name w:val="toc 2"/>
    <w:basedOn w:val="Normalnsp"/>
    <w:autoRedefine/>
    <w:uiPriority w:val="39"/>
    <w:rsid w:val="00F737AF"/>
    <w:pPr>
      <w:tabs>
        <w:tab w:val="left" w:pos="1582"/>
        <w:tab w:val="right" w:leader="dot" w:pos="8721"/>
      </w:tabs>
      <w:spacing w:before="60" w:after="60"/>
      <w:ind w:left="1316" w:right="1132" w:hanging="714"/>
      <w:contextualSpacing/>
    </w:pPr>
    <w:rPr>
      <w:caps/>
      <w:noProof/>
    </w:rPr>
  </w:style>
  <w:style w:type="paragraph" w:styleId="TOC3">
    <w:name w:val="toc 3"/>
    <w:basedOn w:val="Normal"/>
    <w:next w:val="Normal"/>
    <w:autoRedefine/>
    <w:uiPriority w:val="39"/>
    <w:rsid w:val="009B5F2E"/>
    <w:pPr>
      <w:tabs>
        <w:tab w:val="left" w:pos="2156"/>
        <w:tab w:val="right" w:leader="dot" w:pos="8721"/>
      </w:tabs>
      <w:spacing w:before="60" w:after="60" w:line="240" w:lineRule="auto"/>
      <w:ind w:left="2156" w:right="1134" w:hanging="798"/>
      <w:contextualSpacing/>
    </w:pPr>
    <w:rPr>
      <w:noProof/>
    </w:rPr>
  </w:style>
  <w:style w:type="paragraph" w:styleId="TOC4">
    <w:name w:val="toc 4"/>
    <w:basedOn w:val="Normal"/>
    <w:next w:val="Normal"/>
    <w:autoRedefine/>
    <w:uiPriority w:val="39"/>
    <w:semiHidden/>
    <w:rsid w:val="00095CAA"/>
    <w:pPr>
      <w:tabs>
        <w:tab w:val="right" w:pos="8748"/>
      </w:tabs>
      <w:spacing w:after="100" w:line="259" w:lineRule="auto"/>
      <w:ind w:left="1560" w:right="1143"/>
    </w:pPr>
    <w:rPr>
      <w:noProof/>
    </w:rPr>
  </w:style>
  <w:style w:type="paragraph" w:styleId="TOC5">
    <w:name w:val="toc 5"/>
    <w:basedOn w:val="Normal"/>
    <w:next w:val="Normal"/>
    <w:autoRedefine/>
    <w:uiPriority w:val="39"/>
    <w:semiHidden/>
    <w:rsid w:val="009637A8"/>
    <w:pPr>
      <w:spacing w:after="100" w:line="259" w:lineRule="auto"/>
      <w:ind w:left="880"/>
    </w:pPr>
  </w:style>
  <w:style w:type="paragraph" w:styleId="TOC6">
    <w:name w:val="toc 6"/>
    <w:basedOn w:val="Normal"/>
    <w:next w:val="Normal"/>
    <w:autoRedefine/>
    <w:uiPriority w:val="39"/>
    <w:semiHidden/>
    <w:rsid w:val="009637A8"/>
    <w:pPr>
      <w:spacing w:after="100" w:line="259" w:lineRule="auto"/>
      <w:ind w:left="1100"/>
    </w:pPr>
  </w:style>
  <w:style w:type="paragraph" w:styleId="TOC7">
    <w:name w:val="toc 7"/>
    <w:basedOn w:val="Normal"/>
    <w:next w:val="Normal"/>
    <w:autoRedefine/>
    <w:uiPriority w:val="39"/>
    <w:semiHidden/>
    <w:rsid w:val="009637A8"/>
    <w:pPr>
      <w:spacing w:after="100" w:line="259" w:lineRule="auto"/>
      <w:ind w:left="1320"/>
    </w:pPr>
  </w:style>
  <w:style w:type="paragraph" w:styleId="TOC8">
    <w:name w:val="toc 8"/>
    <w:basedOn w:val="Normal"/>
    <w:next w:val="Normal"/>
    <w:autoRedefine/>
    <w:uiPriority w:val="39"/>
    <w:semiHidden/>
    <w:rsid w:val="009637A8"/>
    <w:pPr>
      <w:spacing w:after="100" w:line="259" w:lineRule="auto"/>
      <w:ind w:left="1540"/>
    </w:pPr>
  </w:style>
  <w:style w:type="paragraph" w:styleId="TOC9">
    <w:name w:val="toc 9"/>
    <w:basedOn w:val="Normal"/>
    <w:next w:val="Normal"/>
    <w:autoRedefine/>
    <w:uiPriority w:val="39"/>
    <w:semiHidden/>
    <w:rsid w:val="009637A8"/>
    <w:pPr>
      <w:spacing w:after="100" w:line="259" w:lineRule="auto"/>
      <w:ind w:left="1760"/>
    </w:pPr>
  </w:style>
  <w:style w:type="paragraph" w:styleId="TOCHeading">
    <w:name w:val="TOC Heading"/>
    <w:basedOn w:val="Heading1"/>
    <w:next w:val="Normal"/>
    <w:uiPriority w:val="39"/>
    <w:qFormat/>
    <w:rsid w:val="009637A8"/>
    <w:pPr>
      <w:ind w:firstLine="0"/>
      <w:outlineLvl w:val="9"/>
    </w:pPr>
  </w:style>
  <w:style w:type="character" w:styleId="UnresolvedMention">
    <w:name w:val="Unresolved Mention"/>
    <w:basedOn w:val="DefaultParagraphFont"/>
    <w:uiPriority w:val="99"/>
    <w:semiHidden/>
    <w:rsid w:val="009637A8"/>
    <w:rPr>
      <w:color w:val="605E5C"/>
      <w:shd w:val="clear" w:color="auto" w:fill="E1DFDD"/>
    </w:rPr>
  </w:style>
  <w:style w:type="numbering" w:customStyle="1" w:styleId="lstStyleBullets">
    <w:name w:val="lstStyle_Bullets"/>
    <w:uiPriority w:val="99"/>
    <w:rsid w:val="00BC2547"/>
    <w:pPr>
      <w:numPr>
        <w:numId w:val="9"/>
      </w:numPr>
    </w:pPr>
  </w:style>
  <w:style w:type="numbering" w:customStyle="1" w:styleId="lstStyleListNumber">
    <w:name w:val="lstStyle_ListNumber"/>
    <w:next w:val="NoList"/>
    <w:uiPriority w:val="99"/>
    <w:rsid w:val="004443BB"/>
    <w:pPr>
      <w:numPr>
        <w:numId w:val="10"/>
      </w:numPr>
    </w:pPr>
  </w:style>
  <w:style w:type="paragraph" w:customStyle="1" w:styleId="HeaderInformation">
    <w:name w:val="Header Information"/>
    <w:basedOn w:val="Header"/>
    <w:semiHidden/>
    <w:qFormat/>
    <w:rsid w:val="00935C64"/>
    <w:pPr>
      <w:spacing w:line="290" w:lineRule="exact"/>
    </w:pPr>
    <w:rPr>
      <w:bCs w:val="0"/>
      <w:sz w:val="24"/>
    </w:rPr>
  </w:style>
  <w:style w:type="paragraph" w:customStyle="1" w:styleId="Normalrgb">
    <w:name w:val="Normal rgb"/>
    <w:basedOn w:val="Normal"/>
    <w:semiHidden/>
    <w:qFormat/>
    <w:rsid w:val="000B392A"/>
    <w:pPr>
      <w:spacing w:after="0" w:line="240" w:lineRule="auto"/>
    </w:pPr>
    <w:rPr>
      <w:bCs w:val="0"/>
      <w:color w:val="000E9F"/>
    </w:rPr>
  </w:style>
  <w:style w:type="paragraph" w:customStyle="1" w:styleId="spacer">
    <w:name w:val="spacer"/>
    <w:basedOn w:val="Normalnsp"/>
    <w:semiHidden/>
    <w:qFormat/>
    <w:rsid w:val="009C2EDA"/>
    <w:rPr>
      <w:sz w:val="6"/>
    </w:rPr>
  </w:style>
  <w:style w:type="paragraph" w:customStyle="1" w:styleId="PageNum">
    <w:name w:val="PageNum"/>
    <w:basedOn w:val="Footer"/>
    <w:semiHidden/>
    <w:qFormat/>
    <w:rsid w:val="005F4203"/>
    <w:pPr>
      <w:spacing w:line="240" w:lineRule="auto"/>
      <w:jc w:val="right"/>
    </w:pPr>
    <w:rPr>
      <w:color w:val="000000"/>
      <w:spacing w:val="0"/>
      <w:sz w:val="16"/>
    </w:rPr>
  </w:style>
  <w:style w:type="paragraph" w:customStyle="1" w:styleId="FooterInformation">
    <w:name w:val="Footer Information"/>
    <w:basedOn w:val="Footer"/>
    <w:semiHidden/>
    <w:qFormat/>
    <w:rsid w:val="00935C64"/>
    <w:rPr>
      <w:color w:val="000000"/>
      <w:sz w:val="20"/>
    </w:rPr>
  </w:style>
  <w:style w:type="paragraph" w:customStyle="1" w:styleId="ISAABNFooter">
    <w:name w:val="ISA ABN (Footer)"/>
    <w:basedOn w:val="Footer"/>
    <w:semiHidden/>
    <w:qFormat/>
    <w:rsid w:val="000D3B13"/>
    <w:pPr>
      <w:jc w:val="right"/>
    </w:pPr>
  </w:style>
  <w:style w:type="paragraph" w:customStyle="1" w:styleId="ReportCompanyDetails">
    <w:name w:val="Report Company Details"/>
    <w:basedOn w:val="Normal"/>
    <w:semiHidden/>
    <w:qFormat/>
    <w:rsid w:val="006B4AEB"/>
    <w:pPr>
      <w:spacing w:after="0" w:line="600" w:lineRule="exact"/>
    </w:pPr>
    <w:rPr>
      <w:color w:val="FFFFFF"/>
      <w:sz w:val="72"/>
    </w:rPr>
  </w:style>
  <w:style w:type="paragraph" w:customStyle="1" w:styleId="Normalnsp">
    <w:name w:val="Normal (nsp)"/>
    <w:basedOn w:val="Normal"/>
    <w:semiHidden/>
    <w:qFormat/>
    <w:rsid w:val="00FB7530"/>
    <w:pPr>
      <w:spacing w:before="0" w:after="0" w:line="240" w:lineRule="auto"/>
    </w:pPr>
  </w:style>
  <w:style w:type="paragraph" w:customStyle="1" w:styleId="TOC1Narrow">
    <w:name w:val="TOC 1 (Narrow)"/>
    <w:basedOn w:val="TOC1"/>
    <w:semiHidden/>
    <w:qFormat/>
    <w:rsid w:val="00BE7982"/>
    <w:pPr>
      <w:tabs>
        <w:tab w:val="right" w:pos="6230"/>
      </w:tabs>
      <w:ind w:right="936"/>
    </w:pPr>
  </w:style>
  <w:style w:type="paragraph" w:customStyle="1" w:styleId="TOC2Narrow">
    <w:name w:val="TOC 2 (Narrow)"/>
    <w:basedOn w:val="TOC2"/>
    <w:semiHidden/>
    <w:qFormat/>
    <w:rsid w:val="00BE7982"/>
    <w:pPr>
      <w:tabs>
        <w:tab w:val="right" w:pos="6231"/>
      </w:tabs>
      <w:ind w:right="936"/>
    </w:pPr>
  </w:style>
  <w:style w:type="paragraph" w:customStyle="1" w:styleId="ISAIntroLime">
    <w:name w:val="ISA Intro (Lime)"/>
    <w:basedOn w:val="Normalnsp"/>
    <w:qFormat/>
    <w:rsid w:val="00F61D5F"/>
    <w:pPr>
      <w:spacing w:before="120" w:after="300" w:line="280" w:lineRule="exact"/>
    </w:pPr>
    <w:rPr>
      <w:rFonts w:ascii="Nunito" w:hAnsi="Nunito"/>
      <w:color w:val="A6CD39"/>
      <w:sz w:val="24"/>
    </w:rPr>
  </w:style>
  <w:style w:type="paragraph" w:customStyle="1" w:styleId="HeaderLogoISAlarge">
    <w:name w:val="Header (Logo ISA large)"/>
    <w:basedOn w:val="Normalnsp"/>
    <w:semiHidden/>
    <w:qFormat/>
    <w:rsid w:val="00164B50"/>
    <w:pPr>
      <w:spacing w:line="220" w:lineRule="exact"/>
    </w:pPr>
    <w:rPr>
      <w:rFonts w:ascii="Nunito SemiBold" w:hAnsi="Nunito SemiBold"/>
      <w:caps/>
      <w:spacing w:val="-8"/>
      <w:sz w:val="24"/>
    </w:rPr>
  </w:style>
  <w:style w:type="paragraph" w:customStyle="1" w:styleId="ISADocHeadingFollower">
    <w:name w:val="ISA Doc Heading (Follower)"/>
    <w:basedOn w:val="Normalrgb"/>
    <w:semiHidden/>
    <w:qFormat/>
    <w:rsid w:val="00B63125"/>
    <w:pPr>
      <w:spacing w:before="0" w:line="230" w:lineRule="exact"/>
    </w:pPr>
    <w:rPr>
      <w:rFonts w:ascii="Nunito" w:hAnsi="Nunito"/>
      <w:caps/>
      <w:spacing w:val="-4"/>
    </w:rPr>
  </w:style>
  <w:style w:type="paragraph" w:customStyle="1" w:styleId="ISAAddress">
    <w:name w:val="ISA Address"/>
    <w:basedOn w:val="Normalnsp"/>
    <w:semiHidden/>
    <w:qFormat/>
    <w:rsid w:val="008E3411"/>
    <w:pPr>
      <w:spacing w:after="54" w:line="180" w:lineRule="exact"/>
    </w:pPr>
    <w:rPr>
      <w:caps/>
      <w:spacing w:val="-2"/>
      <w:sz w:val="16"/>
    </w:rPr>
  </w:style>
  <w:style w:type="paragraph" w:customStyle="1" w:styleId="HeaderLogoISASmall">
    <w:name w:val="Header (Logo ISA Small)"/>
    <w:basedOn w:val="Header"/>
    <w:semiHidden/>
    <w:qFormat/>
    <w:rsid w:val="00B63125"/>
    <w:pPr>
      <w:spacing w:before="24" w:line="120" w:lineRule="exact"/>
      <w:contextualSpacing/>
    </w:pPr>
    <w:rPr>
      <w:rFonts w:ascii="Nunito SemiBold" w:hAnsi="Nunito SemiBold"/>
      <w:spacing w:val="-4"/>
    </w:rPr>
  </w:style>
  <w:style w:type="paragraph" w:customStyle="1" w:styleId="ChapterTitle">
    <w:name w:val="Chapter Title"/>
    <w:basedOn w:val="Normalrgb"/>
    <w:semiHidden/>
    <w:qFormat/>
    <w:rsid w:val="00F70A79"/>
    <w:pPr>
      <w:spacing w:before="40" w:line="480" w:lineRule="exact"/>
    </w:pPr>
    <w:rPr>
      <w:rFonts w:ascii="Nunito" w:hAnsi="Nunito"/>
      <w:caps/>
      <w:color w:val="273691" w:themeColor="text2"/>
      <w:spacing w:val="-8"/>
      <w:sz w:val="48"/>
    </w:rPr>
  </w:style>
  <w:style w:type="table" w:customStyle="1" w:styleId="ISAPlainTable">
    <w:name w:val="ISA Plain Table"/>
    <w:basedOn w:val="TableNormal"/>
    <w:uiPriority w:val="99"/>
    <w:rsid w:val="00EB1EDB"/>
    <w:pPr>
      <w:spacing w:before="40" w:after="28" w:line="240" w:lineRule="auto"/>
    </w:pPr>
    <w:rPr>
      <w:rFonts w:ascii="Nunito Light" w:hAnsi="Nunito Light"/>
      <w:sz w:val="20"/>
    </w:rPr>
    <w:tblPr>
      <w:tblBorders>
        <w:top w:val="single" w:sz="4" w:space="0" w:color="000000" w:themeColor="text1"/>
        <w:bottom w:val="single" w:sz="4" w:space="0" w:color="000000" w:themeColor="text1"/>
        <w:insideH w:val="single" w:sz="4" w:space="0" w:color="000000" w:themeColor="text1"/>
      </w:tblBorders>
      <w:tblCellMar>
        <w:left w:w="0" w:type="dxa"/>
        <w:right w:w="40" w:type="dxa"/>
      </w:tblCellMar>
    </w:tblPr>
    <w:trPr>
      <w:cantSplit/>
    </w:trPr>
    <w:tblStylePr w:type="firstRow">
      <w:rPr>
        <w:rFonts w:ascii="Nunito ExtraLight" w:hAnsi="Nunito ExtraLight"/>
        <w:b w:val="0"/>
        <w:i w:val="0"/>
        <w:color w:val="273691" w:themeColor="text2"/>
        <w:sz w:val="18"/>
      </w:rPr>
    </w:tblStylePr>
  </w:style>
  <w:style w:type="table" w:customStyle="1" w:styleId="ISAPlainTablenoborder">
    <w:name w:val="ISA Plain Table (no border)"/>
    <w:basedOn w:val="TableGridLight"/>
    <w:uiPriority w:val="99"/>
    <w:rsid w:val="00F37D5C"/>
    <w:rPr>
      <w:rFonts w:ascii="Nunito Light" w:hAnsi="Nunito Light"/>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40" w:type="dxa"/>
      </w:tblCellMar>
    </w:tblPr>
  </w:style>
  <w:style w:type="paragraph" w:customStyle="1" w:styleId="ISAIntroAqua">
    <w:name w:val="ISA Intro (Aqua)"/>
    <w:basedOn w:val="ISAIntroLime"/>
    <w:qFormat/>
    <w:rsid w:val="00F61D5F"/>
    <w:rPr>
      <w:color w:val="4EB1A9"/>
    </w:rPr>
  </w:style>
  <w:style w:type="paragraph" w:customStyle="1" w:styleId="ISAIntroPlum">
    <w:name w:val="ISA Intro (Plum)"/>
    <w:basedOn w:val="ISAIntroLime"/>
    <w:qFormat/>
    <w:rsid w:val="00F61D5F"/>
    <w:rPr>
      <w:color w:val="9C4F83"/>
    </w:rPr>
  </w:style>
  <w:style w:type="paragraph" w:customStyle="1" w:styleId="DocTitleDetail">
    <w:name w:val="Doc Title Detail"/>
    <w:basedOn w:val="Normalnsp"/>
    <w:next w:val="DocTitleDetailDate"/>
    <w:qFormat/>
    <w:rsid w:val="002C103B"/>
    <w:pPr>
      <w:spacing w:before="180" w:line="240" w:lineRule="exact"/>
      <w:contextualSpacing/>
    </w:pPr>
    <w:rPr>
      <w:rFonts w:ascii="Nunito SemiBold" w:hAnsi="Nunito SemiBold"/>
      <w:caps/>
      <w:spacing w:val="-10"/>
      <w:sz w:val="24"/>
    </w:rPr>
  </w:style>
  <w:style w:type="numbering" w:customStyle="1" w:styleId="lstStyleHeadings">
    <w:name w:val="lstStyle_Headings"/>
    <w:uiPriority w:val="99"/>
    <w:rsid w:val="00D73DD6"/>
    <w:pPr>
      <w:numPr>
        <w:numId w:val="12"/>
      </w:numPr>
    </w:pPr>
  </w:style>
  <w:style w:type="paragraph" w:customStyle="1" w:styleId="Normal11">
    <w:name w:val="Normal 1.1"/>
    <w:basedOn w:val="Normal"/>
    <w:semiHidden/>
    <w:qFormat/>
    <w:rsid w:val="00F70A79"/>
  </w:style>
  <w:style w:type="paragraph" w:customStyle="1" w:styleId="Normal111">
    <w:name w:val="Normal 1.1.1"/>
    <w:basedOn w:val="Normal"/>
    <w:qFormat/>
    <w:rsid w:val="00C15728"/>
    <w:pPr>
      <w:ind w:left="612" w:hanging="612"/>
    </w:pPr>
  </w:style>
  <w:style w:type="paragraph" w:customStyle="1" w:styleId="Normal1111">
    <w:name w:val="Normal 1.1.1.1"/>
    <w:basedOn w:val="Normal"/>
    <w:qFormat/>
    <w:rsid w:val="00C15728"/>
    <w:pPr>
      <w:ind w:left="1418" w:hanging="806"/>
    </w:pPr>
  </w:style>
  <w:style w:type="numbering" w:customStyle="1" w:styleId="lstStylenumberedParas">
    <w:name w:val="lstStyle_numberedParas"/>
    <w:uiPriority w:val="99"/>
    <w:rsid w:val="00C15728"/>
    <w:pPr>
      <w:numPr>
        <w:numId w:val="14"/>
      </w:numPr>
    </w:pPr>
  </w:style>
  <w:style w:type="paragraph" w:customStyle="1" w:styleId="ISAPicture">
    <w:name w:val="ISA Picture"/>
    <w:basedOn w:val="Normal"/>
    <w:semiHidden/>
    <w:qFormat/>
    <w:rsid w:val="00574450"/>
    <w:pPr>
      <w:keepNext/>
      <w:keepLines/>
      <w:spacing w:before="0" w:after="0" w:line="240" w:lineRule="auto"/>
    </w:pPr>
    <w:rPr>
      <w:noProof/>
      <w:sz w:val="16"/>
    </w:rPr>
  </w:style>
  <w:style w:type="paragraph" w:customStyle="1" w:styleId="ISATblTitle">
    <w:name w:val="ISA Tbl Title"/>
    <w:basedOn w:val="Normal"/>
    <w:qFormat/>
    <w:rsid w:val="00E2314E"/>
    <w:pPr>
      <w:keepNext/>
      <w:spacing w:before="40" w:after="40" w:line="240" w:lineRule="auto"/>
    </w:pPr>
    <w:rPr>
      <w:rFonts w:ascii="Nunito" w:hAnsi="Nunito"/>
      <w:b/>
      <w:caps/>
      <w:color w:val="273691" w:themeColor="text2"/>
      <w:sz w:val="16"/>
    </w:rPr>
  </w:style>
  <w:style w:type="paragraph" w:customStyle="1" w:styleId="ISATblContents">
    <w:name w:val="ISA Tbl Contents"/>
    <w:basedOn w:val="Normal"/>
    <w:qFormat/>
    <w:rsid w:val="00E2314E"/>
    <w:pPr>
      <w:spacing w:before="44" w:after="40" w:line="240" w:lineRule="auto"/>
    </w:pPr>
    <w:rPr>
      <w:rFonts w:ascii="Nunito" w:hAnsi="Nunito"/>
      <w:sz w:val="16"/>
    </w:rPr>
  </w:style>
  <w:style w:type="paragraph" w:customStyle="1" w:styleId="Heading1unnumbered">
    <w:name w:val="Heading 1 (unnumbered)"/>
    <w:basedOn w:val="Normal"/>
    <w:semiHidden/>
    <w:qFormat/>
    <w:rsid w:val="00F76F0D"/>
    <w:pPr>
      <w:pBdr>
        <w:bottom w:val="single" w:sz="4" w:space="1" w:color="auto"/>
      </w:pBdr>
      <w:spacing w:before="324" w:after="172" w:line="240" w:lineRule="auto"/>
    </w:pPr>
    <w:rPr>
      <w:rFonts w:ascii="Nunito" w:hAnsi="Nunito"/>
      <w:b/>
      <w:caps/>
      <w:color w:val="273591"/>
      <w:sz w:val="18"/>
    </w:rPr>
  </w:style>
  <w:style w:type="paragraph" w:customStyle="1" w:styleId="ListBulletAlignedwith111">
    <w:name w:val="List Bullet Aligned with 1.1.1"/>
    <w:basedOn w:val="Normalnsp"/>
    <w:qFormat/>
    <w:rsid w:val="00395181"/>
    <w:pPr>
      <w:numPr>
        <w:numId w:val="18"/>
      </w:numPr>
      <w:spacing w:before="52" w:after="120" w:line="202" w:lineRule="auto"/>
    </w:pPr>
  </w:style>
  <w:style w:type="paragraph" w:customStyle="1" w:styleId="ListBulletAlignedwith1111">
    <w:name w:val="List Bullet Aligned with 1.1.1.1"/>
    <w:basedOn w:val="Normalnsp"/>
    <w:qFormat/>
    <w:rsid w:val="00395181"/>
    <w:pPr>
      <w:numPr>
        <w:ilvl w:val="1"/>
        <w:numId w:val="18"/>
      </w:numPr>
      <w:spacing w:before="52" w:after="120" w:line="202" w:lineRule="auto"/>
    </w:pPr>
  </w:style>
  <w:style w:type="paragraph" w:customStyle="1" w:styleId="ListBulletAlignedwith1111Alt">
    <w:name w:val="List Bullet Aligned with 1.1.1.1 Alt"/>
    <w:basedOn w:val="Normalnsp"/>
    <w:qFormat/>
    <w:rsid w:val="00395181"/>
    <w:pPr>
      <w:numPr>
        <w:ilvl w:val="2"/>
        <w:numId w:val="18"/>
      </w:numPr>
      <w:spacing w:before="52" w:after="120" w:line="202" w:lineRule="auto"/>
    </w:pPr>
  </w:style>
  <w:style w:type="paragraph" w:customStyle="1" w:styleId="ListNumberAlignedwith111">
    <w:name w:val="List Number Aligned with 1.1.1"/>
    <w:basedOn w:val="Normalnsp"/>
    <w:qFormat/>
    <w:rsid w:val="00273C69"/>
    <w:pPr>
      <w:numPr>
        <w:numId w:val="19"/>
      </w:numPr>
      <w:spacing w:before="52" w:after="120" w:line="202" w:lineRule="auto"/>
    </w:pPr>
  </w:style>
  <w:style w:type="paragraph" w:customStyle="1" w:styleId="ListNumberAlignedwith1111">
    <w:name w:val="List Number Aligned with 1.1.1.1"/>
    <w:basedOn w:val="Normalnsp"/>
    <w:qFormat/>
    <w:rsid w:val="00273C69"/>
    <w:pPr>
      <w:numPr>
        <w:ilvl w:val="1"/>
        <w:numId w:val="19"/>
      </w:numPr>
      <w:spacing w:before="52" w:after="120" w:line="202" w:lineRule="auto"/>
    </w:pPr>
  </w:style>
  <w:style w:type="paragraph" w:customStyle="1" w:styleId="ListNumberAlignedwith1111Alt">
    <w:name w:val="List Number Aligned with 1.1.1.1 Alt"/>
    <w:basedOn w:val="Normalnsp"/>
    <w:qFormat/>
    <w:rsid w:val="00273C69"/>
    <w:pPr>
      <w:numPr>
        <w:ilvl w:val="2"/>
        <w:numId w:val="19"/>
      </w:numPr>
      <w:spacing w:before="52" w:after="120" w:line="202" w:lineRule="auto"/>
    </w:pPr>
  </w:style>
  <w:style w:type="numbering" w:customStyle="1" w:styleId="lstStyleBulletsISAindented">
    <w:name w:val="lstStyle_Bullets_ISA_indented"/>
    <w:uiPriority w:val="99"/>
    <w:rsid w:val="00395181"/>
    <w:pPr>
      <w:numPr>
        <w:numId w:val="15"/>
      </w:numPr>
    </w:pPr>
  </w:style>
  <w:style w:type="numbering" w:customStyle="1" w:styleId="lstStyleNumberISAindented">
    <w:name w:val="lstStyle_Number_ISA_indented"/>
    <w:uiPriority w:val="99"/>
    <w:rsid w:val="00273C69"/>
    <w:pPr>
      <w:numPr>
        <w:numId w:val="16"/>
      </w:numPr>
    </w:pPr>
  </w:style>
  <w:style w:type="paragraph" w:customStyle="1" w:styleId="HeaderChapterName">
    <w:name w:val="Header (Chapter Name)"/>
    <w:basedOn w:val="Header"/>
    <w:semiHidden/>
    <w:qFormat/>
    <w:rsid w:val="005F4203"/>
    <w:pPr>
      <w:jc w:val="right"/>
    </w:pPr>
    <w:rPr>
      <w:caps/>
      <w:sz w:val="16"/>
    </w:rPr>
  </w:style>
  <w:style w:type="paragraph" w:customStyle="1" w:styleId="HeaderISA">
    <w:name w:val="Header (ISA)"/>
    <w:basedOn w:val="Header"/>
    <w:semiHidden/>
    <w:qFormat/>
    <w:rsid w:val="005F4203"/>
    <w:rPr>
      <w:rFonts w:ascii="Nunito" w:hAnsi="Nunito"/>
      <w:b/>
      <w:color w:val="273591"/>
      <w:sz w:val="16"/>
    </w:rPr>
  </w:style>
  <w:style w:type="paragraph" w:customStyle="1" w:styleId="FooterDate">
    <w:name w:val="Footer (Date)"/>
    <w:basedOn w:val="Footer"/>
    <w:semiHidden/>
    <w:qFormat/>
    <w:rsid w:val="005F4203"/>
    <w:pPr>
      <w:spacing w:line="240" w:lineRule="auto"/>
      <w:jc w:val="right"/>
    </w:pPr>
    <w:rPr>
      <w:spacing w:val="0"/>
    </w:rPr>
  </w:style>
  <w:style w:type="paragraph" w:customStyle="1" w:styleId="ISATopOfPage">
    <w:name w:val="ISA Top Of Page"/>
    <w:basedOn w:val="Normal"/>
    <w:qFormat/>
    <w:rsid w:val="005F4203"/>
    <w:pPr>
      <w:keepNext/>
      <w:pageBreakBefore/>
      <w:spacing w:before="0" w:after="0" w:line="240" w:lineRule="auto"/>
    </w:pPr>
    <w:rPr>
      <w:sz w:val="12"/>
    </w:rPr>
  </w:style>
  <w:style w:type="paragraph" w:customStyle="1" w:styleId="ISAChptNumber">
    <w:name w:val="ISA Chpt Number"/>
    <w:basedOn w:val="Normal"/>
    <w:semiHidden/>
    <w:qFormat/>
    <w:rsid w:val="00AF585C"/>
    <w:pPr>
      <w:framePr w:hSpace="180" w:wrap="around" w:hAnchor="margin" w:y="1"/>
      <w:spacing w:before="0" w:after="0" w:line="1160" w:lineRule="exact"/>
      <w:suppressOverlap/>
      <w:jc w:val="right"/>
    </w:pPr>
    <w:rPr>
      <w:rFonts w:ascii="Nunito ExtraLight" w:hAnsi="Nunito ExtraLight"/>
      <w:position w:val="-14"/>
      <w:sz w:val="120"/>
    </w:rPr>
  </w:style>
  <w:style w:type="paragraph" w:customStyle="1" w:styleId="ISATableofFiguresHeading">
    <w:name w:val="ISA Table of Figures Heading"/>
    <w:basedOn w:val="Normal"/>
    <w:semiHidden/>
    <w:qFormat/>
    <w:rsid w:val="00E972D4"/>
    <w:pPr>
      <w:spacing w:before="80" w:after="40" w:line="240" w:lineRule="auto"/>
    </w:pPr>
    <w:rPr>
      <w:b/>
      <w:bCs w:val="0"/>
      <w:caps/>
      <w:szCs w:val="20"/>
    </w:rPr>
  </w:style>
  <w:style w:type="paragraph" w:customStyle="1" w:styleId="DocTitle">
    <w:name w:val="Doc Title"/>
    <w:basedOn w:val="Normal"/>
    <w:next w:val="DocTitleSubTitle"/>
    <w:qFormat/>
    <w:rsid w:val="00C15728"/>
    <w:pPr>
      <w:spacing w:before="48" w:after="0" w:line="400" w:lineRule="exact"/>
      <w:jc w:val="right"/>
    </w:pPr>
    <w:rPr>
      <w:rFonts w:ascii="Nunito SemiBold" w:hAnsi="Nunito SemiBold"/>
      <w:bCs w:val="0"/>
      <w:caps/>
      <w:color w:val="auto"/>
      <w:spacing w:val="-12"/>
      <w:sz w:val="40"/>
    </w:rPr>
  </w:style>
  <w:style w:type="paragraph" w:customStyle="1" w:styleId="DocTitleSubTitle">
    <w:name w:val="Doc Title (Sub Title)"/>
    <w:basedOn w:val="Normalnsp"/>
    <w:next w:val="DocTitleDetail"/>
    <w:qFormat/>
    <w:rsid w:val="0080120B"/>
    <w:pPr>
      <w:spacing w:before="40" w:line="400" w:lineRule="exact"/>
    </w:pPr>
    <w:rPr>
      <w:rFonts w:ascii="Nunito SemiBold" w:hAnsi="Nunito SemiBold"/>
      <w:caps/>
      <w:color w:val="FFFFFF"/>
      <w:spacing w:val="-12"/>
      <w:sz w:val="40"/>
    </w:rPr>
  </w:style>
  <w:style w:type="paragraph" w:customStyle="1" w:styleId="DocTitleDetailDate">
    <w:name w:val="Doc Title Detail (Date)"/>
    <w:basedOn w:val="Normalnsp"/>
    <w:qFormat/>
    <w:rsid w:val="00F76C5E"/>
    <w:pPr>
      <w:spacing w:before="88" w:line="240" w:lineRule="exact"/>
      <w:contextualSpacing/>
    </w:pPr>
    <w:rPr>
      <w:color w:val="000000" w:themeColor="text1"/>
      <w:spacing w:val="-8"/>
      <w:sz w:val="24"/>
    </w:rPr>
  </w:style>
  <w:style w:type="paragraph" w:customStyle="1" w:styleId="ISADividerIntro">
    <w:name w:val="ISA Divider Intro"/>
    <w:basedOn w:val="Normalnsp"/>
    <w:qFormat/>
    <w:rsid w:val="00374782"/>
    <w:pPr>
      <w:spacing w:line="360" w:lineRule="exact"/>
      <w:ind w:right="33"/>
    </w:pPr>
    <w:rPr>
      <w:rFonts w:ascii="Nunito" w:hAnsi="Nunito"/>
      <w:color w:val="FFFEFF"/>
      <w:sz w:val="36"/>
    </w:rPr>
  </w:style>
  <w:style w:type="paragraph" w:customStyle="1" w:styleId="ISADividerAppid">
    <w:name w:val="ISA Divider App id"/>
    <w:basedOn w:val="ISADividerId"/>
    <w:semiHidden/>
    <w:qFormat/>
    <w:rsid w:val="00374782"/>
    <w:pPr>
      <w:jc w:val="center"/>
    </w:pPr>
  </w:style>
  <w:style w:type="paragraph" w:customStyle="1" w:styleId="Heading1Ap">
    <w:name w:val="Heading 1 (Ap)"/>
    <w:basedOn w:val="Normal"/>
    <w:qFormat/>
    <w:rsid w:val="00F81076"/>
    <w:pPr>
      <w:keepNext/>
      <w:numPr>
        <w:numId w:val="21"/>
      </w:numPr>
      <w:spacing w:before="0" w:after="0" w:line="1080" w:lineRule="exact"/>
      <w:ind w:hanging="278"/>
      <w:contextualSpacing/>
    </w:pPr>
    <w:rPr>
      <w:rFonts w:ascii="Nunito ExtraLight" w:hAnsi="Nunito ExtraLight"/>
      <w:caps/>
      <w:spacing w:val="-12"/>
      <w:position w:val="-8"/>
      <w:sz w:val="108"/>
    </w:rPr>
  </w:style>
  <w:style w:type="numbering" w:customStyle="1" w:styleId="lstStyleHeadingAp">
    <w:name w:val="lstStyle_Heading_Ap"/>
    <w:uiPriority w:val="99"/>
    <w:rsid w:val="00F81076"/>
    <w:pPr>
      <w:numPr>
        <w:numId w:val="20"/>
      </w:numPr>
    </w:pPr>
  </w:style>
  <w:style w:type="paragraph" w:customStyle="1" w:styleId="Heading2Ap">
    <w:name w:val="Heading 2 (Ap)"/>
    <w:basedOn w:val="Normal"/>
    <w:qFormat/>
    <w:rsid w:val="001A4054"/>
    <w:pPr>
      <w:keepNext/>
      <w:keepLines/>
      <w:pBdr>
        <w:bottom w:val="single" w:sz="4" w:space="1" w:color="auto"/>
      </w:pBdr>
      <w:spacing w:before="80" w:line="240" w:lineRule="auto"/>
    </w:pPr>
    <w:rPr>
      <w:rFonts w:ascii="Nunito ExtraLight" w:hAnsi="Nunito ExtraLight"/>
      <w:caps/>
      <w:sz w:val="28"/>
    </w:rPr>
  </w:style>
  <w:style w:type="paragraph" w:customStyle="1" w:styleId="ISACoverPageLine">
    <w:name w:val="ISA CoverPage Line"/>
    <w:basedOn w:val="Normal"/>
    <w:semiHidden/>
    <w:qFormat/>
    <w:rsid w:val="000B461C"/>
    <w:pPr>
      <w:pBdr>
        <w:top w:val="single" w:sz="4" w:space="1" w:color="FFFEFF"/>
      </w:pBdr>
      <w:spacing w:before="0" w:after="0" w:line="240" w:lineRule="auto"/>
    </w:pPr>
    <w:rPr>
      <w:sz w:val="4"/>
    </w:rPr>
  </w:style>
  <w:style w:type="paragraph" w:customStyle="1" w:styleId="ISADividerId">
    <w:name w:val="ISA Divider Id"/>
    <w:basedOn w:val="Normalnsp"/>
    <w:semiHidden/>
    <w:qFormat/>
    <w:rsid w:val="00374782"/>
    <w:pPr>
      <w:spacing w:line="2200" w:lineRule="exact"/>
      <w:jc w:val="right"/>
    </w:pPr>
    <w:rPr>
      <w:rFonts w:ascii="Nunito" w:hAnsi="Nunito"/>
      <w:color w:val="FFFEFF"/>
      <w:position w:val="-24"/>
      <w:sz w:val="220"/>
    </w:rPr>
  </w:style>
  <w:style w:type="paragraph" w:customStyle="1" w:styleId="ISADividerTitle">
    <w:name w:val="ISA Divider Title"/>
    <w:basedOn w:val="Normalnsp"/>
    <w:qFormat/>
    <w:rsid w:val="00374782"/>
    <w:pPr>
      <w:spacing w:line="1040" w:lineRule="exact"/>
      <w:contextualSpacing/>
    </w:pPr>
    <w:rPr>
      <w:rFonts w:ascii="Nunito ExtraLight" w:hAnsi="Nunito ExtraLight"/>
      <w:caps/>
      <w:spacing w:val="-12"/>
      <w:position w:val="-8"/>
      <w:sz w:val="108"/>
    </w:rPr>
  </w:style>
  <w:style w:type="paragraph" w:styleId="Revision">
    <w:name w:val="Revision"/>
    <w:hidden/>
    <w:uiPriority w:val="99"/>
    <w:semiHidden/>
    <w:rsid w:val="00926E68"/>
    <w:pPr>
      <w:spacing w:after="0" w:line="240" w:lineRule="auto"/>
    </w:pPr>
    <w:rPr>
      <w:rFonts w:ascii="Nunito Light" w:hAnsi="Nunito Light" w:cs="Arial"/>
      <w:bCs/>
      <w:color w:val="0001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85647">
      <w:bodyDiv w:val="1"/>
      <w:marLeft w:val="0"/>
      <w:marRight w:val="0"/>
      <w:marTop w:val="0"/>
      <w:marBottom w:val="0"/>
      <w:divBdr>
        <w:top w:val="none" w:sz="0" w:space="0" w:color="auto"/>
        <w:left w:val="none" w:sz="0" w:space="0" w:color="auto"/>
        <w:bottom w:val="none" w:sz="0" w:space="0" w:color="auto"/>
        <w:right w:val="none" w:sz="0" w:space="0" w:color="auto"/>
      </w:divBdr>
    </w:div>
    <w:div w:id="1252740985">
      <w:bodyDiv w:val="1"/>
      <w:marLeft w:val="0"/>
      <w:marRight w:val="0"/>
      <w:marTop w:val="0"/>
      <w:marBottom w:val="0"/>
      <w:divBdr>
        <w:top w:val="none" w:sz="0" w:space="0" w:color="auto"/>
        <w:left w:val="none" w:sz="0" w:space="0" w:color="auto"/>
        <w:bottom w:val="none" w:sz="0" w:space="0" w:color="auto"/>
        <w:right w:val="none" w:sz="0" w:space="0" w:color="auto"/>
      </w:divBdr>
    </w:div>
    <w:div w:id="1580209209">
      <w:bodyDiv w:val="1"/>
      <w:marLeft w:val="0"/>
      <w:marRight w:val="0"/>
      <w:marTop w:val="0"/>
      <w:marBottom w:val="0"/>
      <w:divBdr>
        <w:top w:val="none" w:sz="0" w:space="0" w:color="auto"/>
        <w:left w:val="none" w:sz="0" w:space="0" w:color="auto"/>
        <w:bottom w:val="none" w:sz="0" w:space="0" w:color="auto"/>
        <w:right w:val="none" w:sz="0" w:space="0" w:color="auto"/>
      </w:divBdr>
      <w:divsChild>
        <w:div w:id="387606638">
          <w:marLeft w:val="0"/>
          <w:marRight w:val="0"/>
          <w:marTop w:val="0"/>
          <w:marBottom w:val="0"/>
          <w:divBdr>
            <w:top w:val="none" w:sz="0" w:space="0" w:color="auto"/>
            <w:left w:val="none" w:sz="0" w:space="0" w:color="auto"/>
            <w:bottom w:val="none" w:sz="0" w:space="0" w:color="auto"/>
            <w:right w:val="none" w:sz="0" w:space="0" w:color="auto"/>
          </w:divBdr>
          <w:divsChild>
            <w:div w:id="1477409467">
              <w:marLeft w:val="0"/>
              <w:marRight w:val="0"/>
              <w:marTop w:val="0"/>
              <w:marBottom w:val="0"/>
              <w:divBdr>
                <w:top w:val="none" w:sz="0" w:space="0" w:color="auto"/>
                <w:left w:val="none" w:sz="0" w:space="0" w:color="auto"/>
                <w:bottom w:val="none" w:sz="0" w:space="0" w:color="auto"/>
                <w:right w:val="none" w:sz="0" w:space="0" w:color="auto"/>
              </w:divBdr>
              <w:divsChild>
                <w:div w:id="16746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429110">
      <w:bodyDiv w:val="1"/>
      <w:marLeft w:val="0"/>
      <w:marRight w:val="0"/>
      <w:marTop w:val="0"/>
      <w:marBottom w:val="0"/>
      <w:divBdr>
        <w:top w:val="none" w:sz="0" w:space="0" w:color="auto"/>
        <w:left w:val="none" w:sz="0" w:space="0" w:color="auto"/>
        <w:bottom w:val="none" w:sz="0" w:space="0" w:color="auto"/>
        <w:right w:val="none" w:sz="0" w:space="0" w:color="auto"/>
      </w:divBdr>
    </w:div>
    <w:div w:id="1683359993">
      <w:bodyDiv w:val="1"/>
      <w:marLeft w:val="0"/>
      <w:marRight w:val="0"/>
      <w:marTop w:val="0"/>
      <w:marBottom w:val="0"/>
      <w:divBdr>
        <w:top w:val="none" w:sz="0" w:space="0" w:color="auto"/>
        <w:left w:val="none" w:sz="0" w:space="0" w:color="auto"/>
        <w:bottom w:val="none" w:sz="0" w:space="0" w:color="auto"/>
        <w:right w:val="none" w:sz="0" w:space="0" w:color="auto"/>
      </w:divBdr>
    </w:div>
    <w:div w:id="19556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hyperlink" Target="https://creativecommons.org/licenses/by/4.0/" TargetMode="Externa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8.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isa.edu.au/documents/the-social-contribution-of-independent-schools-in-australia/" TargetMode="External"/><Relationship Id="rId3" Type="http://schemas.openxmlformats.org/officeDocument/2006/relationships/hyperlink" Target="https://www.pc.gov.au/__data/assets/pdf_file/0004/375817/sub299-philanthropy.pdf" TargetMode="External"/><Relationship Id="rId7" Type="http://schemas.openxmlformats.org/officeDocument/2006/relationships/hyperlink" Target="https://www.pc.gov.au/inquiries/completed/productivity/interim5-learning/productivity-interim5-learning.pdf" TargetMode="External"/><Relationship Id="rId2" Type="http://schemas.openxmlformats.org/officeDocument/2006/relationships/hyperlink" Target="https://www.pc.gov.au/__data/assets/pdf_file/0005/375827/sub301-philanthropy.pdf" TargetMode="External"/><Relationship Id="rId1" Type="http://schemas.openxmlformats.org/officeDocument/2006/relationships/hyperlink" Target="https://www.pc.gov.au/inquiries/current/philanthropy/terms-of-reference" TargetMode="External"/><Relationship Id="rId6" Type="http://schemas.openxmlformats.org/officeDocument/2006/relationships/hyperlink" Target="https://isa.edu.au/documents/the-social-contribution-of-independent-schools-in-australia/" TargetMode="External"/><Relationship Id="rId5" Type="http://schemas.openxmlformats.org/officeDocument/2006/relationships/hyperlink" Target="https://www.pc.gov.au/__data/assets/pdf_file/0010/375814/sub297-philanthropy.pdf" TargetMode="External"/><Relationship Id="rId4" Type="http://schemas.openxmlformats.org/officeDocument/2006/relationships/hyperlink" Target="https://www.pc.gov.au/__data/assets/pdf_file/0011/372989/sub284-philanthropy.pdf" TargetMode="External"/><Relationship Id="rId9" Type="http://schemas.openxmlformats.org/officeDocument/2006/relationships/hyperlink" Target="https://aus01.safelinks.protection.outlook.com/?url=https%3A%2F%2Fwww.education.gov.au%2Fdownload%2F1307%2Freview-funding-schooling-final-report-december-2011%2F1280%2Fdocument%2Fpdf&amp;data=05%7C02%7Ccaroline.miller%40isa.edu.au%7Cb8a8630554284fd8985108dc1ad0eb77%7C1a14ef7250154b69b71284b2a8d30c2e%7C0%7C0%7C638414732163270256%7CUnknown%7CTWFpbGZsb3d8eyJWIjoiMC4wLjAwMDAiLCJQIjoiV2luMzIiLCJBTiI6Ik1haWwiLCJXVCI6Mn0%3D%7C3000%7C%7C%7C&amp;sdata=5FhICzfonXsFX%2BSHAynZs8ITLTU6HDeAJsViwglLIUw%3D&amp;reserved=0"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ISA Australia">
  <a:themeElements>
    <a:clrScheme name="Independent Schools Australia 02">
      <a:dk1>
        <a:srgbClr val="000000"/>
      </a:dk1>
      <a:lt1>
        <a:sysClr val="window" lastClr="FFFFFF"/>
      </a:lt1>
      <a:dk2>
        <a:srgbClr val="273691"/>
      </a:dk2>
      <a:lt2>
        <a:srgbClr val="938E94"/>
      </a:lt2>
      <a:accent1>
        <a:srgbClr val="4EB2A9"/>
      </a:accent1>
      <a:accent2>
        <a:srgbClr val="9C5083"/>
      </a:accent2>
      <a:accent3>
        <a:srgbClr val="2B746F"/>
      </a:accent3>
      <a:accent4>
        <a:srgbClr val="A6CE39"/>
      </a:accent4>
      <a:accent5>
        <a:srgbClr val="125A96"/>
      </a:accent5>
      <a:accent6>
        <a:srgbClr val="000F9F"/>
      </a:accent6>
      <a:hlink>
        <a:srgbClr val="0563C1"/>
      </a:hlink>
      <a:folHlink>
        <a:srgbClr val="954F72"/>
      </a:folHlink>
    </a:clrScheme>
    <a:fontScheme name="ISA Australia">
      <a:majorFont>
        <a:latin typeface="Nunito"/>
        <a:ea typeface=""/>
        <a:cs typeface=""/>
      </a:majorFont>
      <a:minorFont>
        <a:latin typeface="Nunit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0" tIns="0" rIns="0" bIns="0" rtlCol="0">
        <a:spAutoFit/>
      </a:bodyPr>
      <a:lstStyle>
        <a:defPPr algn="l">
          <a:defRPr sz="1900" smtClean="0">
            <a:latin typeface="Nunito" pitchFamily="2" charset="0"/>
          </a:defRPr>
        </a:defPPr>
      </a:lstStyle>
    </a:txDef>
  </a:objectDefaults>
  <a:extraClrSchemeLst/>
  <a:extLst>
    <a:ext uri="{05A4C25C-085E-4340-85A3-A5531E510DB2}">
      <thm15:themeFamily xmlns:thm15="http://schemas.microsoft.com/office/thememl/2012/main" name="ISAAusTheme" id="{7B5A84B4-8EED-4CC6-9684-6E5CC44D1D35}" vid="{5A59EDF3-91D1-4883-83FA-62A6490781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TaxCatchAll xmlns="20393cdf-440a-4521-8f19-00ba43423d00">
      <Value>1</Value>
    </TaxCatchAll>
    <SharedWithUsers xmlns="20393cdf-440a-4521-8f19-00ba43423d00">
      <UserInfo>
        <DisplayName>Andrew Donaldson</DisplayName>
        <AccountId>11</AccountId>
        <AccountType/>
      </UserInfo>
      <UserInfo>
        <DisplayName>Graham Catt</DisplayName>
        <AccountId>4908</AccountId>
        <AccountType/>
      </UserInfo>
      <UserInfo>
        <DisplayName>Karl Fahey</DisplayName>
        <AccountId>15</AccountId>
        <AccountType/>
      </UserInfo>
      <UserInfo>
        <DisplayName>Tracey Taylor</DisplayName>
        <AccountId>3039</AccountId>
        <AccountType/>
      </UserInfo>
      <UserInfo>
        <DisplayName>Caroline Miller</DisplayName>
        <AccountId>14</AccountId>
        <AccountType/>
      </UserInfo>
      <UserInfo>
        <DisplayName>Gemma Daley</DisplayName>
        <AccountId>7375</AccountId>
        <AccountType/>
      </UserInfo>
      <UserInfo>
        <DisplayName>Ruth Underwood</DisplayName>
        <AccountId>24</AccountId>
        <AccountType/>
      </UserInfo>
    </SharedWithUsers>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_Flow_SignoffStatus xmlns="3d385984-9344-419b-a80b-49c06a2bdab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a7ef830522c0d04c4cd9b7c531c06f60">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44800aa1ec4903ccdd2269969b71d538"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E750F7A-5CA8-4F60-908D-D2B2EECEC2BF}">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customXml/itemProps2.xml><?xml version="1.0" encoding="utf-8"?>
<ds:datastoreItem xmlns:ds="http://schemas.openxmlformats.org/officeDocument/2006/customXml" ds:itemID="{922BF8AC-1FA6-4D92-AE2E-4D10E346A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69EFBA-A395-4764-B9E0-39317E3E219B}">
  <ds:schemaRefs>
    <ds:schemaRef ds:uri="http://schemas.openxmlformats.org/officeDocument/2006/bibliography"/>
  </ds:schemaRefs>
</ds:datastoreItem>
</file>

<file path=customXml/itemProps4.xml><?xml version="1.0" encoding="utf-8"?>
<ds:datastoreItem xmlns:ds="http://schemas.openxmlformats.org/officeDocument/2006/customXml" ds:itemID="{C35B8061-6893-44C9-B8F6-28DE77A63B47}">
  <ds:schemaRefs>
    <ds:schemaRef ds:uri="http://schemas.microsoft.com/sharepoint/v3/contenttype/forms"/>
  </ds:schemaRefs>
</ds:datastoreItem>
</file>

<file path=customXml/itemProps5.xml><?xml version="1.0" encoding="utf-8"?>
<ds:datastoreItem xmlns:ds="http://schemas.openxmlformats.org/officeDocument/2006/customXml" ds:itemID="{E3889469-C077-4761-B189-8ECF962E1A8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14</Pages>
  <Words>6142</Words>
  <Characters>35011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Submission 572 - Independent Schools Australia - Philanthropy - Public inquiry</vt:lpstr>
    </vt:vector>
  </TitlesOfParts>
  <Company>Independent Schools Australia</Company>
  <LinksUpToDate>false</LinksUpToDate>
  <CharactersWithSpaces>41071</CharactersWithSpaces>
  <SharedDoc>false</SharedDoc>
  <HLinks>
    <vt:vector size="174" baseType="variant">
      <vt:variant>
        <vt:i4>1048633</vt:i4>
      </vt:variant>
      <vt:variant>
        <vt:i4>101</vt:i4>
      </vt:variant>
      <vt:variant>
        <vt:i4>0</vt:i4>
      </vt:variant>
      <vt:variant>
        <vt:i4>5</vt:i4>
      </vt:variant>
      <vt:variant>
        <vt:lpwstr/>
      </vt:variant>
      <vt:variant>
        <vt:lpwstr>_Toc158236360</vt:lpwstr>
      </vt:variant>
      <vt:variant>
        <vt:i4>1245241</vt:i4>
      </vt:variant>
      <vt:variant>
        <vt:i4>95</vt:i4>
      </vt:variant>
      <vt:variant>
        <vt:i4>0</vt:i4>
      </vt:variant>
      <vt:variant>
        <vt:i4>5</vt:i4>
      </vt:variant>
      <vt:variant>
        <vt:lpwstr/>
      </vt:variant>
      <vt:variant>
        <vt:lpwstr>_Toc158236359</vt:lpwstr>
      </vt:variant>
      <vt:variant>
        <vt:i4>1245241</vt:i4>
      </vt:variant>
      <vt:variant>
        <vt:i4>89</vt:i4>
      </vt:variant>
      <vt:variant>
        <vt:i4>0</vt:i4>
      </vt:variant>
      <vt:variant>
        <vt:i4>5</vt:i4>
      </vt:variant>
      <vt:variant>
        <vt:lpwstr/>
      </vt:variant>
      <vt:variant>
        <vt:lpwstr>_Toc158236358</vt:lpwstr>
      </vt:variant>
      <vt:variant>
        <vt:i4>1245241</vt:i4>
      </vt:variant>
      <vt:variant>
        <vt:i4>83</vt:i4>
      </vt:variant>
      <vt:variant>
        <vt:i4>0</vt:i4>
      </vt:variant>
      <vt:variant>
        <vt:i4>5</vt:i4>
      </vt:variant>
      <vt:variant>
        <vt:lpwstr/>
      </vt:variant>
      <vt:variant>
        <vt:lpwstr>_Toc158236357</vt:lpwstr>
      </vt:variant>
      <vt:variant>
        <vt:i4>1245241</vt:i4>
      </vt:variant>
      <vt:variant>
        <vt:i4>77</vt:i4>
      </vt:variant>
      <vt:variant>
        <vt:i4>0</vt:i4>
      </vt:variant>
      <vt:variant>
        <vt:i4>5</vt:i4>
      </vt:variant>
      <vt:variant>
        <vt:lpwstr/>
      </vt:variant>
      <vt:variant>
        <vt:lpwstr>_Toc158236356</vt:lpwstr>
      </vt:variant>
      <vt:variant>
        <vt:i4>1245241</vt:i4>
      </vt:variant>
      <vt:variant>
        <vt:i4>71</vt:i4>
      </vt:variant>
      <vt:variant>
        <vt:i4>0</vt:i4>
      </vt:variant>
      <vt:variant>
        <vt:i4>5</vt:i4>
      </vt:variant>
      <vt:variant>
        <vt:lpwstr/>
      </vt:variant>
      <vt:variant>
        <vt:lpwstr>_Toc158236355</vt:lpwstr>
      </vt:variant>
      <vt:variant>
        <vt:i4>1245241</vt:i4>
      </vt:variant>
      <vt:variant>
        <vt:i4>65</vt:i4>
      </vt:variant>
      <vt:variant>
        <vt:i4>0</vt:i4>
      </vt:variant>
      <vt:variant>
        <vt:i4>5</vt:i4>
      </vt:variant>
      <vt:variant>
        <vt:lpwstr/>
      </vt:variant>
      <vt:variant>
        <vt:lpwstr>_Toc158236354</vt:lpwstr>
      </vt:variant>
      <vt:variant>
        <vt:i4>1245241</vt:i4>
      </vt:variant>
      <vt:variant>
        <vt:i4>59</vt:i4>
      </vt:variant>
      <vt:variant>
        <vt:i4>0</vt:i4>
      </vt:variant>
      <vt:variant>
        <vt:i4>5</vt:i4>
      </vt:variant>
      <vt:variant>
        <vt:lpwstr/>
      </vt:variant>
      <vt:variant>
        <vt:lpwstr>_Toc158236353</vt:lpwstr>
      </vt:variant>
      <vt:variant>
        <vt:i4>1245241</vt:i4>
      </vt:variant>
      <vt:variant>
        <vt:i4>53</vt:i4>
      </vt:variant>
      <vt:variant>
        <vt:i4>0</vt:i4>
      </vt:variant>
      <vt:variant>
        <vt:i4>5</vt:i4>
      </vt:variant>
      <vt:variant>
        <vt:lpwstr/>
      </vt:variant>
      <vt:variant>
        <vt:lpwstr>_Toc158236352</vt:lpwstr>
      </vt:variant>
      <vt:variant>
        <vt:i4>1245241</vt:i4>
      </vt:variant>
      <vt:variant>
        <vt:i4>47</vt:i4>
      </vt:variant>
      <vt:variant>
        <vt:i4>0</vt:i4>
      </vt:variant>
      <vt:variant>
        <vt:i4>5</vt:i4>
      </vt:variant>
      <vt:variant>
        <vt:lpwstr/>
      </vt:variant>
      <vt:variant>
        <vt:lpwstr>_Toc158236351</vt:lpwstr>
      </vt:variant>
      <vt:variant>
        <vt:i4>1245241</vt:i4>
      </vt:variant>
      <vt:variant>
        <vt:i4>41</vt:i4>
      </vt:variant>
      <vt:variant>
        <vt:i4>0</vt:i4>
      </vt:variant>
      <vt:variant>
        <vt:i4>5</vt:i4>
      </vt:variant>
      <vt:variant>
        <vt:lpwstr/>
      </vt:variant>
      <vt:variant>
        <vt:lpwstr>_Toc158236350</vt:lpwstr>
      </vt:variant>
      <vt:variant>
        <vt:i4>1179705</vt:i4>
      </vt:variant>
      <vt:variant>
        <vt:i4>35</vt:i4>
      </vt:variant>
      <vt:variant>
        <vt:i4>0</vt:i4>
      </vt:variant>
      <vt:variant>
        <vt:i4>5</vt:i4>
      </vt:variant>
      <vt:variant>
        <vt:lpwstr/>
      </vt:variant>
      <vt:variant>
        <vt:lpwstr>_Toc158236349</vt:lpwstr>
      </vt:variant>
      <vt:variant>
        <vt:i4>1179705</vt:i4>
      </vt:variant>
      <vt:variant>
        <vt:i4>29</vt:i4>
      </vt:variant>
      <vt:variant>
        <vt:i4>0</vt:i4>
      </vt:variant>
      <vt:variant>
        <vt:i4>5</vt:i4>
      </vt:variant>
      <vt:variant>
        <vt:lpwstr/>
      </vt:variant>
      <vt:variant>
        <vt:lpwstr>_Toc158236348</vt:lpwstr>
      </vt:variant>
      <vt:variant>
        <vt:i4>1179705</vt:i4>
      </vt:variant>
      <vt:variant>
        <vt:i4>23</vt:i4>
      </vt:variant>
      <vt:variant>
        <vt:i4>0</vt:i4>
      </vt:variant>
      <vt:variant>
        <vt:i4>5</vt:i4>
      </vt:variant>
      <vt:variant>
        <vt:lpwstr/>
      </vt:variant>
      <vt:variant>
        <vt:lpwstr>_Toc158236347</vt:lpwstr>
      </vt:variant>
      <vt:variant>
        <vt:i4>1179705</vt:i4>
      </vt:variant>
      <vt:variant>
        <vt:i4>17</vt:i4>
      </vt:variant>
      <vt:variant>
        <vt:i4>0</vt:i4>
      </vt:variant>
      <vt:variant>
        <vt:i4>5</vt:i4>
      </vt:variant>
      <vt:variant>
        <vt:lpwstr/>
      </vt:variant>
      <vt:variant>
        <vt:lpwstr>_Toc158236346</vt:lpwstr>
      </vt:variant>
      <vt:variant>
        <vt:i4>1179705</vt:i4>
      </vt:variant>
      <vt:variant>
        <vt:i4>11</vt:i4>
      </vt:variant>
      <vt:variant>
        <vt:i4>0</vt:i4>
      </vt:variant>
      <vt:variant>
        <vt:i4>5</vt:i4>
      </vt:variant>
      <vt:variant>
        <vt:lpwstr/>
      </vt:variant>
      <vt:variant>
        <vt:lpwstr>_Toc158236345</vt:lpwstr>
      </vt:variant>
      <vt:variant>
        <vt:i4>1179705</vt:i4>
      </vt:variant>
      <vt:variant>
        <vt:i4>5</vt:i4>
      </vt:variant>
      <vt:variant>
        <vt:i4>0</vt:i4>
      </vt:variant>
      <vt:variant>
        <vt:i4>5</vt:i4>
      </vt:variant>
      <vt:variant>
        <vt:lpwstr/>
      </vt:variant>
      <vt:variant>
        <vt:lpwstr>_Toc158236344</vt:lpwstr>
      </vt:variant>
      <vt:variant>
        <vt:i4>5308424</vt:i4>
      </vt:variant>
      <vt:variant>
        <vt:i4>0</vt:i4>
      </vt:variant>
      <vt:variant>
        <vt:i4>0</vt:i4>
      </vt:variant>
      <vt:variant>
        <vt:i4>5</vt:i4>
      </vt:variant>
      <vt:variant>
        <vt:lpwstr>https://creativecommons.org/licenses/by/4.0/</vt:lpwstr>
      </vt:variant>
      <vt:variant>
        <vt:lpwstr/>
      </vt:variant>
      <vt:variant>
        <vt:i4>3145780</vt:i4>
      </vt:variant>
      <vt:variant>
        <vt:i4>30</vt:i4>
      </vt:variant>
      <vt:variant>
        <vt:i4>0</vt:i4>
      </vt:variant>
      <vt:variant>
        <vt:i4>5</vt:i4>
      </vt:variant>
      <vt:variant>
        <vt:lpwstr>https://aus01.safelinks.protection.outlook.com/?url=https%3A%2F%2Fwww.education.gov.au%2Fdownload%2F1307%2Freview-funding-schooling-final-report-december-2011%2F1280%2Fdocument%2Fpdf&amp;data=05%7C02%7Ccaroline.miller%40isa.edu.au%7Cb8a8630554284fd8985108dc1ad0eb77%7C1a14ef7250154b69b71284b2a8d30c2e%7C0%7C0%7C638414732163270256%7CUnknown%7CTWFpbGZsb3d8eyJWIjoiMC4wLjAwMDAiLCJQIjoiV2luMzIiLCJBTiI6Ik1haWwiLCJXVCI6Mn0%3D%7C3000%7C%7C%7C&amp;sdata=5FhICzfonXsFX%2BSHAynZs8ITLTU6HDeAJsViwglLIUw%3D&amp;reserved=0</vt:lpwstr>
      </vt:variant>
      <vt:variant>
        <vt:lpwstr/>
      </vt:variant>
      <vt:variant>
        <vt:i4>3145780</vt:i4>
      </vt:variant>
      <vt:variant>
        <vt:i4>27</vt:i4>
      </vt:variant>
      <vt:variant>
        <vt:i4>0</vt:i4>
      </vt:variant>
      <vt:variant>
        <vt:i4>5</vt:i4>
      </vt:variant>
      <vt:variant>
        <vt:lpwstr>https://aus01.safelinks.protection.outlook.com/?url=https%3A%2F%2Fwww.education.gov.au%2Fdownload%2F1307%2Freview-funding-schooling-final-report-december-2011%2F1280%2Fdocument%2Fpdf&amp;data=05%7C02%7Ccaroline.miller%40isa.edu.au%7Cb8a8630554284fd8985108dc1ad0eb77%7C1a14ef7250154b69b71284b2a8d30c2e%7C0%7C0%7C638414732163270256%7CUnknown%7CTWFpbGZsb3d8eyJWIjoiMC4wLjAwMDAiLCJQIjoiV2luMzIiLCJBTiI6Ik1haWwiLCJXVCI6Mn0%3D%7C3000%7C%7C%7C&amp;sdata=5FhICzfonXsFX%2BSHAynZs8ITLTU6HDeAJsViwglLIUw%3D&amp;reserved=0</vt:lpwstr>
      </vt:variant>
      <vt:variant>
        <vt:lpwstr/>
      </vt:variant>
      <vt:variant>
        <vt:i4>786456</vt:i4>
      </vt:variant>
      <vt:variant>
        <vt:i4>24</vt:i4>
      </vt:variant>
      <vt:variant>
        <vt:i4>0</vt:i4>
      </vt:variant>
      <vt:variant>
        <vt:i4>5</vt:i4>
      </vt:variant>
      <vt:variant>
        <vt:lpwstr>https://isa.edu.au/documents/the-social-contribution-of-independent-schools-in-australia/</vt:lpwstr>
      </vt:variant>
      <vt:variant>
        <vt:lpwstr/>
      </vt:variant>
      <vt:variant>
        <vt:i4>8126527</vt:i4>
      </vt:variant>
      <vt:variant>
        <vt:i4>21</vt:i4>
      </vt:variant>
      <vt:variant>
        <vt:i4>0</vt:i4>
      </vt:variant>
      <vt:variant>
        <vt:i4>5</vt:i4>
      </vt:variant>
      <vt:variant>
        <vt:lpwstr>https://www.pc.gov.au/inquiries/completed/productivity/interim5-learning/productivity-interim5-learning.pdf</vt:lpwstr>
      </vt:variant>
      <vt:variant>
        <vt:lpwstr/>
      </vt:variant>
      <vt:variant>
        <vt:i4>786456</vt:i4>
      </vt:variant>
      <vt:variant>
        <vt:i4>18</vt:i4>
      </vt:variant>
      <vt:variant>
        <vt:i4>0</vt:i4>
      </vt:variant>
      <vt:variant>
        <vt:i4>5</vt:i4>
      </vt:variant>
      <vt:variant>
        <vt:lpwstr>https://isa.edu.au/documents/the-social-contribution-of-independent-schools-in-australia/</vt:lpwstr>
      </vt:variant>
      <vt:variant>
        <vt:lpwstr/>
      </vt:variant>
      <vt:variant>
        <vt:i4>786456</vt:i4>
      </vt:variant>
      <vt:variant>
        <vt:i4>15</vt:i4>
      </vt:variant>
      <vt:variant>
        <vt:i4>0</vt:i4>
      </vt:variant>
      <vt:variant>
        <vt:i4>5</vt:i4>
      </vt:variant>
      <vt:variant>
        <vt:lpwstr>https://isa.edu.au/documents/the-social-contribution-of-independent-schools-in-australia/</vt:lpwstr>
      </vt:variant>
      <vt:variant>
        <vt:lpwstr/>
      </vt:variant>
      <vt:variant>
        <vt:i4>4653104</vt:i4>
      </vt:variant>
      <vt:variant>
        <vt:i4>12</vt:i4>
      </vt:variant>
      <vt:variant>
        <vt:i4>0</vt:i4>
      </vt:variant>
      <vt:variant>
        <vt:i4>5</vt:i4>
      </vt:variant>
      <vt:variant>
        <vt:lpwstr>https://www.pc.gov.au/__data/assets/pdf_file/0010/375814/sub297-philanthropy.pdf</vt:lpwstr>
      </vt:variant>
      <vt:variant>
        <vt:lpwstr/>
      </vt:variant>
      <vt:variant>
        <vt:i4>4849724</vt:i4>
      </vt:variant>
      <vt:variant>
        <vt:i4>9</vt:i4>
      </vt:variant>
      <vt:variant>
        <vt:i4>0</vt:i4>
      </vt:variant>
      <vt:variant>
        <vt:i4>5</vt:i4>
      </vt:variant>
      <vt:variant>
        <vt:lpwstr>https://www.pc.gov.au/__data/assets/pdf_file/0011/372989/sub284-philanthropy.pdf</vt:lpwstr>
      </vt:variant>
      <vt:variant>
        <vt:lpwstr/>
      </vt:variant>
      <vt:variant>
        <vt:i4>4522042</vt:i4>
      </vt:variant>
      <vt:variant>
        <vt:i4>6</vt:i4>
      </vt:variant>
      <vt:variant>
        <vt:i4>0</vt:i4>
      </vt:variant>
      <vt:variant>
        <vt:i4>5</vt:i4>
      </vt:variant>
      <vt:variant>
        <vt:lpwstr>https://www.pc.gov.au/__data/assets/pdf_file/0004/375817/sub299-philanthropy.pdf</vt:lpwstr>
      </vt:variant>
      <vt:variant>
        <vt:lpwstr/>
      </vt:variant>
      <vt:variant>
        <vt:i4>4980785</vt:i4>
      </vt:variant>
      <vt:variant>
        <vt:i4>3</vt:i4>
      </vt:variant>
      <vt:variant>
        <vt:i4>0</vt:i4>
      </vt:variant>
      <vt:variant>
        <vt:i4>5</vt:i4>
      </vt:variant>
      <vt:variant>
        <vt:lpwstr>https://www.pc.gov.au/__data/assets/pdf_file/0005/375827/sub301-philanthropy.pdf</vt:lpwstr>
      </vt:variant>
      <vt:variant>
        <vt:lpwstr/>
      </vt:variant>
      <vt:variant>
        <vt:i4>3407915</vt:i4>
      </vt:variant>
      <vt:variant>
        <vt:i4>0</vt:i4>
      </vt:variant>
      <vt:variant>
        <vt:i4>0</vt:i4>
      </vt:variant>
      <vt:variant>
        <vt:i4>5</vt:i4>
      </vt:variant>
      <vt:variant>
        <vt:lpwstr>https://www.pc.gov.au/inquiries/current/philanthropy/terms-of-reference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572 - Independent Schools Australia - Philanthropy - Public inquiry</dc:title>
  <dc:subject/>
  <dc:creator>Independent Schools Australia</dc:creator>
  <cp:keywords/>
  <dc:description/>
  <cp:lastModifiedBy>Bianca Dobson</cp:lastModifiedBy>
  <cp:revision>44</cp:revision>
  <cp:lastPrinted>2024-02-27T06:19:00Z</cp:lastPrinted>
  <dcterms:created xsi:type="dcterms:W3CDTF">2024-02-09T19:10:00Z</dcterms:created>
  <dcterms:modified xsi:type="dcterms:W3CDTF">2024-02-27T06:20:00Z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 365">
    <vt:lpwstr>20211207</vt:lpwstr>
  </property>
  <property fmtid="{D5CDD505-2E9C-101B-9397-08002B2CF9AE}" pid="3" name="vers">
    <vt:lpwstr>15p00</vt:lpwstr>
  </property>
  <property fmtid="{D5CDD505-2E9C-101B-9397-08002B2CF9AE}" pid="4" name="ContentTypeId">
    <vt:lpwstr>0x010100701643EB437E814B9F804656CD4347FE</vt:lpwstr>
  </property>
  <property fmtid="{D5CDD505-2E9C-101B-9397-08002B2CF9AE}" pid="5" name="MediaServiceImageTags">
    <vt:lpwstr/>
  </property>
  <property fmtid="{D5CDD505-2E9C-101B-9397-08002B2CF9AE}" pid="6" name="GrammarlyDocumentId">
    <vt:lpwstr>b77c43312874775cccf18d6693ca852087e92672d1fb5d1454b81ff8e85434e0</vt:lpwstr>
  </property>
  <property fmtid="{D5CDD505-2E9C-101B-9397-08002B2CF9AE}" pid="7" name="RevIMBCS">
    <vt:lpwstr>1;#Unclassified|3955eeb1-2d18-4582-aeb2-00144ec3aaf5</vt:lpwstr>
  </property>
  <property fmtid="{D5CDD505-2E9C-101B-9397-08002B2CF9AE}" pid="8" name="MSIP_Label_c1f2b1ce-4212-46db-a901-dd8453f57141_Enabled">
    <vt:lpwstr>true</vt:lpwstr>
  </property>
  <property fmtid="{D5CDD505-2E9C-101B-9397-08002B2CF9AE}" pid="9" name="MSIP_Label_c1f2b1ce-4212-46db-a901-dd8453f57141_SetDate">
    <vt:lpwstr>2024-02-27T06:18:02Z</vt:lpwstr>
  </property>
  <property fmtid="{D5CDD505-2E9C-101B-9397-08002B2CF9AE}" pid="10" name="MSIP_Label_c1f2b1ce-4212-46db-a901-dd8453f57141_Method">
    <vt:lpwstr>Privileged</vt:lpwstr>
  </property>
  <property fmtid="{D5CDD505-2E9C-101B-9397-08002B2CF9AE}" pid="11" name="MSIP_Label_c1f2b1ce-4212-46db-a901-dd8453f57141_Name">
    <vt:lpwstr>Publish</vt:lpwstr>
  </property>
  <property fmtid="{D5CDD505-2E9C-101B-9397-08002B2CF9AE}" pid="12" name="MSIP_Label_c1f2b1ce-4212-46db-a901-dd8453f57141_SiteId">
    <vt:lpwstr>29f9330b-c0fe-4244-830e-ba9f275d6c34</vt:lpwstr>
  </property>
  <property fmtid="{D5CDD505-2E9C-101B-9397-08002B2CF9AE}" pid="13" name="MSIP_Label_c1f2b1ce-4212-46db-a901-dd8453f57141_ActionId">
    <vt:lpwstr>0732eaaa-f7b6-442e-82cd-b53db3b5df7a</vt:lpwstr>
  </property>
  <property fmtid="{D5CDD505-2E9C-101B-9397-08002B2CF9AE}" pid="14" name="MSIP_Label_c1f2b1ce-4212-46db-a901-dd8453f57141_ContentBits">
    <vt:lpwstr>0</vt:lpwstr>
  </property>
</Properties>
</file>