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A16F5" w14:textId="77777777" w:rsidR="00EA114B" w:rsidRDefault="00EA114B" w:rsidP="004C6A08">
      <w:pPr>
        <w:ind w:left="0" w:right="3"/>
        <w:jc w:val="both"/>
        <w:rPr>
          <w:rFonts w:ascii="Times New Roman" w:hAnsi="Times New Roman" w:cs="Times New Roman"/>
          <w:sz w:val="24"/>
          <w:szCs w:val="24"/>
        </w:rPr>
      </w:pPr>
    </w:p>
    <w:p w14:paraId="362A16F6" w14:textId="77777777" w:rsidR="0037202E" w:rsidRDefault="0037202E" w:rsidP="004C6A08">
      <w:pPr>
        <w:ind w:left="0" w:right="3"/>
        <w:jc w:val="both"/>
        <w:rPr>
          <w:rFonts w:ascii="Times New Roman" w:hAnsi="Times New Roman" w:cs="Times New Roman"/>
          <w:sz w:val="24"/>
          <w:szCs w:val="24"/>
        </w:rPr>
      </w:pPr>
    </w:p>
    <w:p w14:paraId="362A16F7" w14:textId="77777777" w:rsidR="00A22633" w:rsidRDefault="00A22633" w:rsidP="0037202E">
      <w:pPr>
        <w:shd w:val="clear" w:color="auto" w:fill="FFFFFF"/>
        <w:spacing w:before="40"/>
        <w:ind w:left="0" w:right="0"/>
        <w:jc w:val="center"/>
        <w:rPr>
          <w:rFonts w:asciiTheme="minorHAnsi" w:hAnsiTheme="minorHAnsi" w:cs="Arial"/>
          <w:b/>
          <w:bCs/>
          <w:color w:val="000000"/>
          <w:sz w:val="28"/>
          <w:szCs w:val="28"/>
          <w:u w:val="single"/>
          <w:lang w:eastAsia="en-AU"/>
        </w:rPr>
      </w:pPr>
    </w:p>
    <w:p w14:paraId="362A16F8" w14:textId="77777777" w:rsidR="0037202E" w:rsidRDefault="0037202E" w:rsidP="0037202E">
      <w:pPr>
        <w:shd w:val="clear" w:color="auto" w:fill="FFFFFF"/>
        <w:spacing w:before="40"/>
        <w:ind w:left="0" w:right="0"/>
        <w:jc w:val="center"/>
        <w:rPr>
          <w:rFonts w:asciiTheme="minorHAnsi" w:hAnsiTheme="minorHAnsi" w:cs="Arial"/>
          <w:b/>
          <w:bCs/>
          <w:color w:val="000000"/>
          <w:sz w:val="28"/>
          <w:szCs w:val="28"/>
          <w:u w:val="single"/>
          <w:lang w:eastAsia="en-AU"/>
        </w:rPr>
      </w:pPr>
      <w:r>
        <w:rPr>
          <w:rFonts w:asciiTheme="minorHAnsi" w:hAnsiTheme="minorHAnsi" w:cs="Arial"/>
          <w:b/>
          <w:bCs/>
          <w:color w:val="000000"/>
          <w:sz w:val="28"/>
          <w:szCs w:val="28"/>
          <w:u w:val="single"/>
          <w:lang w:eastAsia="en-AU"/>
        </w:rPr>
        <w:t>VMDA submission to the Productivity Commission</w:t>
      </w:r>
    </w:p>
    <w:p w14:paraId="362A16F9" w14:textId="77777777" w:rsidR="0037202E" w:rsidRDefault="0037202E" w:rsidP="0037202E">
      <w:pPr>
        <w:shd w:val="clear" w:color="auto" w:fill="FFFFFF"/>
        <w:spacing w:before="40"/>
        <w:ind w:left="0" w:right="0"/>
        <w:jc w:val="center"/>
        <w:rPr>
          <w:rFonts w:asciiTheme="minorHAnsi" w:hAnsiTheme="minorHAnsi" w:cs="Arial"/>
          <w:b/>
          <w:bCs/>
          <w:color w:val="000000"/>
          <w:sz w:val="28"/>
          <w:szCs w:val="28"/>
          <w:u w:val="single"/>
          <w:lang w:eastAsia="en-AU"/>
        </w:rPr>
      </w:pPr>
    </w:p>
    <w:p w14:paraId="362A16FA" w14:textId="77777777" w:rsidR="0037202E" w:rsidRDefault="0037202E" w:rsidP="0037202E">
      <w:pPr>
        <w:shd w:val="clear" w:color="auto" w:fill="FFFFFF"/>
        <w:spacing w:before="40"/>
        <w:ind w:left="0" w:right="0"/>
        <w:jc w:val="center"/>
        <w:rPr>
          <w:rFonts w:asciiTheme="minorHAnsi" w:hAnsiTheme="minorHAnsi" w:cs="Arial"/>
          <w:b/>
          <w:bCs/>
          <w:color w:val="000000"/>
          <w:sz w:val="28"/>
          <w:szCs w:val="28"/>
          <w:u w:val="single"/>
          <w:lang w:eastAsia="en-AU"/>
        </w:rPr>
      </w:pPr>
      <w:r>
        <w:rPr>
          <w:rFonts w:asciiTheme="minorHAnsi" w:hAnsiTheme="minorHAnsi" w:cs="Arial"/>
          <w:b/>
          <w:bCs/>
          <w:color w:val="000000"/>
          <w:sz w:val="28"/>
          <w:szCs w:val="28"/>
          <w:u w:val="single"/>
          <w:lang w:eastAsia="en-AU"/>
        </w:rPr>
        <w:t>Regulation of Australian Agriculture</w:t>
      </w:r>
    </w:p>
    <w:p w14:paraId="362A16FB" w14:textId="77777777" w:rsidR="0037202E" w:rsidRDefault="0037202E" w:rsidP="0037202E">
      <w:pPr>
        <w:shd w:val="clear" w:color="auto" w:fill="FFFFFF"/>
        <w:spacing w:before="40"/>
        <w:ind w:left="0" w:right="0"/>
        <w:jc w:val="center"/>
        <w:rPr>
          <w:rFonts w:asciiTheme="minorHAnsi" w:hAnsiTheme="minorHAnsi" w:cs="Arial"/>
          <w:b/>
          <w:bCs/>
          <w:color w:val="000000"/>
          <w:sz w:val="28"/>
          <w:szCs w:val="28"/>
          <w:u w:val="single"/>
          <w:lang w:eastAsia="en-AU"/>
        </w:rPr>
      </w:pPr>
    </w:p>
    <w:p w14:paraId="362A16FC" w14:textId="77777777" w:rsidR="0037202E" w:rsidRDefault="0037202E" w:rsidP="0037202E">
      <w:pPr>
        <w:shd w:val="clear" w:color="auto" w:fill="FFFFFF"/>
        <w:spacing w:before="40"/>
        <w:ind w:left="0" w:right="0"/>
        <w:jc w:val="center"/>
        <w:rPr>
          <w:rFonts w:asciiTheme="minorHAnsi" w:hAnsiTheme="minorHAnsi" w:cs="Arial"/>
          <w:b/>
          <w:bCs/>
          <w:color w:val="000000"/>
          <w:sz w:val="28"/>
          <w:szCs w:val="28"/>
          <w:u w:val="single"/>
          <w:lang w:eastAsia="en-AU"/>
        </w:rPr>
      </w:pPr>
      <w:r>
        <w:rPr>
          <w:rFonts w:asciiTheme="minorHAnsi" w:hAnsiTheme="minorHAnsi" w:cs="Arial"/>
          <w:b/>
          <w:bCs/>
          <w:color w:val="000000"/>
          <w:sz w:val="28"/>
          <w:szCs w:val="28"/>
          <w:u w:val="single"/>
          <w:lang w:eastAsia="en-AU"/>
        </w:rPr>
        <w:t>March 2016</w:t>
      </w:r>
    </w:p>
    <w:p w14:paraId="362A16FD" w14:textId="77777777" w:rsidR="0037202E" w:rsidRDefault="0037202E" w:rsidP="0037202E">
      <w:pPr>
        <w:shd w:val="clear" w:color="auto" w:fill="FFFFFF"/>
        <w:spacing w:before="40"/>
        <w:ind w:left="0" w:right="0"/>
        <w:jc w:val="center"/>
        <w:rPr>
          <w:rFonts w:asciiTheme="minorHAnsi" w:hAnsiTheme="minorHAnsi" w:cs="Arial"/>
          <w:b/>
          <w:bCs/>
          <w:color w:val="000000"/>
          <w:sz w:val="28"/>
          <w:szCs w:val="28"/>
          <w:u w:val="single"/>
          <w:lang w:eastAsia="en-AU"/>
        </w:rPr>
      </w:pPr>
    </w:p>
    <w:p w14:paraId="362A16FE" w14:textId="77777777" w:rsidR="00A22633" w:rsidRDefault="00A22633" w:rsidP="0037202E">
      <w:pPr>
        <w:shd w:val="clear" w:color="auto" w:fill="FFFFFF"/>
        <w:spacing w:before="40"/>
        <w:ind w:left="0" w:right="0"/>
        <w:rPr>
          <w:rFonts w:asciiTheme="minorHAnsi" w:hAnsiTheme="minorHAnsi" w:cs="Arial"/>
          <w:b/>
          <w:bCs/>
          <w:color w:val="000000"/>
          <w:sz w:val="24"/>
          <w:szCs w:val="24"/>
          <w:u w:val="single"/>
          <w:lang w:eastAsia="en-AU"/>
        </w:rPr>
      </w:pPr>
    </w:p>
    <w:p w14:paraId="362A16FF" w14:textId="77777777" w:rsidR="00A22633" w:rsidRDefault="00A22633" w:rsidP="0037202E">
      <w:pPr>
        <w:shd w:val="clear" w:color="auto" w:fill="FFFFFF"/>
        <w:spacing w:before="40"/>
        <w:ind w:left="0" w:right="0"/>
        <w:rPr>
          <w:rFonts w:asciiTheme="minorHAnsi" w:hAnsiTheme="minorHAnsi" w:cs="Arial"/>
          <w:b/>
          <w:bCs/>
          <w:color w:val="000000"/>
          <w:sz w:val="24"/>
          <w:szCs w:val="24"/>
          <w:u w:val="single"/>
          <w:lang w:eastAsia="en-AU"/>
        </w:rPr>
      </w:pPr>
    </w:p>
    <w:p w14:paraId="362A1700" w14:textId="77777777" w:rsidR="0037202E" w:rsidRPr="00136F1E" w:rsidRDefault="0037202E" w:rsidP="0037202E">
      <w:pPr>
        <w:shd w:val="clear" w:color="auto" w:fill="FFFFFF"/>
        <w:spacing w:before="40"/>
        <w:ind w:left="0" w:right="0"/>
        <w:rPr>
          <w:rFonts w:asciiTheme="minorHAnsi" w:hAnsiTheme="minorHAnsi" w:cs="Arial"/>
          <w:b/>
          <w:bCs/>
          <w:color w:val="000000"/>
          <w:sz w:val="24"/>
          <w:szCs w:val="24"/>
          <w:u w:val="single"/>
          <w:lang w:eastAsia="en-AU"/>
        </w:rPr>
      </w:pPr>
      <w:r w:rsidRPr="00136F1E">
        <w:rPr>
          <w:rFonts w:asciiTheme="minorHAnsi" w:hAnsiTheme="minorHAnsi" w:cs="Arial"/>
          <w:b/>
          <w:bCs/>
          <w:color w:val="000000"/>
          <w:sz w:val="24"/>
          <w:szCs w:val="24"/>
          <w:u w:val="single"/>
          <w:lang w:eastAsia="en-AU"/>
        </w:rPr>
        <w:t>Summary:</w:t>
      </w:r>
    </w:p>
    <w:p w14:paraId="362A1701" w14:textId="77777777" w:rsidR="0037202E" w:rsidRPr="00136F1E" w:rsidRDefault="0037202E" w:rsidP="0037202E">
      <w:pPr>
        <w:shd w:val="clear" w:color="auto" w:fill="FFFFFF"/>
        <w:spacing w:before="40"/>
        <w:ind w:left="0" w:right="0"/>
        <w:rPr>
          <w:rFonts w:asciiTheme="minorHAnsi" w:hAnsiTheme="minorHAnsi" w:cs="Arial"/>
          <w:b/>
          <w:bCs/>
          <w:color w:val="000000"/>
          <w:sz w:val="24"/>
          <w:szCs w:val="24"/>
          <w:u w:val="single"/>
          <w:lang w:eastAsia="en-AU"/>
        </w:rPr>
      </w:pPr>
    </w:p>
    <w:p w14:paraId="362A1702" w14:textId="77777777" w:rsidR="0037202E" w:rsidRDefault="0037202E" w:rsidP="0037202E">
      <w:pPr>
        <w:pStyle w:val="NoSpacing"/>
        <w:ind w:left="0"/>
        <w:rPr>
          <w:rFonts w:asciiTheme="minorHAnsi" w:hAnsiTheme="minorHAnsi"/>
          <w:sz w:val="24"/>
          <w:szCs w:val="24"/>
          <w:lang w:eastAsia="en-AU"/>
        </w:rPr>
      </w:pPr>
      <w:r w:rsidRPr="00136F1E">
        <w:rPr>
          <w:rFonts w:asciiTheme="minorHAnsi" w:hAnsiTheme="minorHAnsi"/>
          <w:sz w:val="24"/>
          <w:szCs w:val="24"/>
          <w:lang w:eastAsia="en-AU"/>
        </w:rPr>
        <w:t>The importance of veterinary medicines to Australian agriculture and therefore to the Australian economy and our community, cannot be overstated.</w:t>
      </w:r>
    </w:p>
    <w:p w14:paraId="362A1703" w14:textId="77777777" w:rsidR="0037202E" w:rsidRDefault="0037202E" w:rsidP="0037202E">
      <w:pPr>
        <w:pStyle w:val="NoSpacing"/>
        <w:ind w:left="0"/>
        <w:rPr>
          <w:rFonts w:asciiTheme="minorHAnsi" w:hAnsiTheme="minorHAnsi"/>
          <w:sz w:val="24"/>
          <w:szCs w:val="24"/>
          <w:lang w:eastAsia="en-AU"/>
        </w:rPr>
      </w:pPr>
    </w:p>
    <w:p w14:paraId="362A1704" w14:textId="77777777" w:rsidR="0037202E" w:rsidRDefault="0037202E" w:rsidP="0037202E">
      <w:pPr>
        <w:pStyle w:val="NoSpacing"/>
        <w:ind w:left="0"/>
        <w:rPr>
          <w:rFonts w:asciiTheme="minorHAnsi" w:hAnsiTheme="minorHAnsi"/>
          <w:sz w:val="24"/>
          <w:szCs w:val="24"/>
          <w:lang w:eastAsia="en-AU"/>
        </w:rPr>
      </w:pPr>
      <w:r>
        <w:rPr>
          <w:rFonts w:asciiTheme="minorHAnsi" w:hAnsiTheme="minorHAnsi"/>
          <w:sz w:val="24"/>
          <w:szCs w:val="24"/>
          <w:lang w:eastAsia="en-AU"/>
        </w:rPr>
        <w:t>The continued availability of safe, innovative and effective animal health products across the farming</w:t>
      </w:r>
      <w:r w:rsidR="000F1FC5">
        <w:rPr>
          <w:rFonts w:asciiTheme="minorHAnsi" w:hAnsiTheme="minorHAnsi"/>
          <w:sz w:val="24"/>
          <w:szCs w:val="24"/>
          <w:lang w:eastAsia="en-AU"/>
        </w:rPr>
        <w:t xml:space="preserve"> (extensive and intensive)</w:t>
      </w:r>
      <w:r>
        <w:rPr>
          <w:rFonts w:asciiTheme="minorHAnsi" w:hAnsiTheme="minorHAnsi"/>
          <w:sz w:val="24"/>
          <w:szCs w:val="24"/>
          <w:lang w:eastAsia="en-AU"/>
        </w:rPr>
        <w:t>, equine and companion animal sectors</w:t>
      </w:r>
      <w:r w:rsidR="000F1FC5">
        <w:rPr>
          <w:rFonts w:asciiTheme="minorHAnsi" w:hAnsiTheme="minorHAnsi"/>
          <w:sz w:val="24"/>
          <w:szCs w:val="24"/>
          <w:lang w:eastAsia="en-AU"/>
        </w:rPr>
        <w:t>,</w:t>
      </w:r>
      <w:r>
        <w:rPr>
          <w:rFonts w:asciiTheme="minorHAnsi" w:hAnsiTheme="minorHAnsi"/>
          <w:sz w:val="24"/>
          <w:szCs w:val="24"/>
          <w:lang w:eastAsia="en-AU"/>
        </w:rPr>
        <w:t xml:space="preserve"> depends upon a robust regulatory system that supports the development of such products and their timely introduction to the market.</w:t>
      </w:r>
    </w:p>
    <w:p w14:paraId="362A1705" w14:textId="77777777" w:rsidR="0037202E" w:rsidRDefault="0037202E" w:rsidP="0037202E">
      <w:pPr>
        <w:pStyle w:val="NoSpacing"/>
        <w:ind w:left="0"/>
        <w:rPr>
          <w:rFonts w:asciiTheme="minorHAnsi" w:hAnsiTheme="minorHAnsi"/>
          <w:sz w:val="24"/>
          <w:szCs w:val="24"/>
          <w:lang w:eastAsia="en-AU"/>
        </w:rPr>
      </w:pPr>
    </w:p>
    <w:p w14:paraId="362A1706" w14:textId="77777777" w:rsidR="0037202E" w:rsidRDefault="0037202E" w:rsidP="0037202E">
      <w:pPr>
        <w:pStyle w:val="NoSpacing"/>
        <w:ind w:left="0"/>
        <w:rPr>
          <w:rFonts w:asciiTheme="minorHAnsi" w:hAnsiTheme="minorHAnsi"/>
          <w:sz w:val="24"/>
          <w:szCs w:val="24"/>
          <w:lang w:eastAsia="en-AU"/>
        </w:rPr>
      </w:pPr>
      <w:r>
        <w:rPr>
          <w:rFonts w:asciiTheme="minorHAnsi" w:hAnsiTheme="minorHAnsi"/>
          <w:sz w:val="24"/>
          <w:szCs w:val="24"/>
          <w:lang w:eastAsia="en-AU"/>
        </w:rPr>
        <w:t>With long lead times in product development and the subsequent evaluation of registration applications, it is vital that the process is transparent and the service to the animal health communities is delivered in an efficient and effective manner.</w:t>
      </w:r>
    </w:p>
    <w:p w14:paraId="362A1707" w14:textId="77777777" w:rsidR="0037202E" w:rsidRDefault="0037202E" w:rsidP="0037202E">
      <w:pPr>
        <w:pStyle w:val="NoSpacing"/>
        <w:ind w:left="0"/>
        <w:rPr>
          <w:rFonts w:asciiTheme="minorHAnsi" w:hAnsiTheme="minorHAnsi"/>
          <w:sz w:val="24"/>
          <w:szCs w:val="24"/>
          <w:lang w:eastAsia="en-AU"/>
        </w:rPr>
      </w:pPr>
    </w:p>
    <w:p w14:paraId="362A1708" w14:textId="77777777" w:rsidR="0037202E" w:rsidRDefault="0037202E" w:rsidP="0037202E">
      <w:pPr>
        <w:pStyle w:val="NoSpacing"/>
        <w:ind w:left="0"/>
        <w:rPr>
          <w:rFonts w:asciiTheme="minorHAnsi" w:hAnsiTheme="minorHAnsi"/>
          <w:sz w:val="24"/>
          <w:szCs w:val="24"/>
          <w:lang w:eastAsia="en-AU"/>
        </w:rPr>
      </w:pPr>
      <w:r>
        <w:rPr>
          <w:rFonts w:asciiTheme="minorHAnsi" w:hAnsiTheme="minorHAnsi"/>
          <w:sz w:val="24"/>
          <w:szCs w:val="24"/>
          <w:lang w:eastAsia="en-AU"/>
        </w:rPr>
        <w:t>The VMDA liaises closely with the Australian Pesticides and Veterinary Medicines Authority (APVMA), the Department of Agriculture, and other relevant bodies involved in the regulation of this sector.  It is our position that in recent times the regulatory activities of the agencies involved have become overly complex, less transparent, and significantly inefficient.  Further, while costs have risen and are proposed to increase again in the immediate future, service delivery has not kept pace with these costs, resulting in unwarranted costs for manufacturers and registrants that eventually have an adverse impact upon the users of products, including of course, farmers.</w:t>
      </w:r>
    </w:p>
    <w:p w14:paraId="362A1709" w14:textId="77777777" w:rsidR="00A22633" w:rsidRDefault="00A22633" w:rsidP="0037202E">
      <w:pPr>
        <w:pStyle w:val="NoSpacing"/>
        <w:ind w:left="0"/>
        <w:rPr>
          <w:rFonts w:asciiTheme="minorHAnsi" w:hAnsiTheme="minorHAnsi"/>
          <w:sz w:val="24"/>
          <w:szCs w:val="24"/>
          <w:lang w:eastAsia="en-AU"/>
        </w:rPr>
      </w:pPr>
    </w:p>
    <w:p w14:paraId="362A170A" w14:textId="77777777" w:rsidR="00A22633" w:rsidRDefault="00A22633" w:rsidP="0037202E">
      <w:pPr>
        <w:pStyle w:val="NoSpacing"/>
        <w:ind w:left="0"/>
        <w:rPr>
          <w:rFonts w:asciiTheme="minorHAnsi" w:hAnsiTheme="minorHAnsi"/>
          <w:sz w:val="24"/>
          <w:szCs w:val="24"/>
          <w:lang w:eastAsia="en-AU"/>
        </w:rPr>
      </w:pPr>
      <w:r>
        <w:rPr>
          <w:rFonts w:asciiTheme="minorHAnsi" w:hAnsiTheme="minorHAnsi"/>
          <w:sz w:val="24"/>
          <w:szCs w:val="24"/>
          <w:lang w:eastAsia="en-AU"/>
        </w:rPr>
        <w:t>This submission will address those aspects of the regulation of veterinary medicines that we believe require remediation, as well as commenting upon the approach of the regulator to its functions and the perceived lack of understanding of the adverse consequences of some of its actions, inclu</w:t>
      </w:r>
      <w:r w:rsidR="000F1FC5">
        <w:rPr>
          <w:rFonts w:asciiTheme="minorHAnsi" w:hAnsiTheme="minorHAnsi"/>
          <w:sz w:val="24"/>
          <w:szCs w:val="24"/>
          <w:lang w:eastAsia="en-AU"/>
        </w:rPr>
        <w:t xml:space="preserve">ding the increasing tendency </w:t>
      </w:r>
      <w:proofErr w:type="gramStart"/>
      <w:r w:rsidR="000F1FC5">
        <w:rPr>
          <w:rFonts w:asciiTheme="minorHAnsi" w:hAnsiTheme="minorHAnsi"/>
          <w:sz w:val="24"/>
          <w:szCs w:val="24"/>
          <w:lang w:eastAsia="en-AU"/>
        </w:rPr>
        <w:t xml:space="preserve">to </w:t>
      </w:r>
      <w:r>
        <w:rPr>
          <w:rFonts w:asciiTheme="minorHAnsi" w:hAnsiTheme="minorHAnsi"/>
          <w:sz w:val="24"/>
          <w:szCs w:val="24"/>
          <w:lang w:eastAsia="en-AU"/>
        </w:rPr>
        <w:t>‘re</w:t>
      </w:r>
      <w:proofErr w:type="gramEnd"/>
      <w:r>
        <w:rPr>
          <w:rFonts w:asciiTheme="minorHAnsi" w:hAnsiTheme="minorHAnsi"/>
          <w:sz w:val="24"/>
          <w:szCs w:val="24"/>
          <w:lang w:eastAsia="en-AU"/>
        </w:rPr>
        <w:t>-interpret’ its legislation and/or regulations and guidelines, and its aversion to genuine risk assessment and management.</w:t>
      </w:r>
    </w:p>
    <w:p w14:paraId="362A170B" w14:textId="77777777" w:rsidR="00A22633" w:rsidRDefault="00A22633" w:rsidP="0037202E">
      <w:pPr>
        <w:pStyle w:val="NoSpacing"/>
        <w:ind w:left="0"/>
        <w:rPr>
          <w:rFonts w:asciiTheme="minorHAnsi" w:hAnsiTheme="minorHAnsi"/>
          <w:sz w:val="24"/>
          <w:szCs w:val="24"/>
          <w:lang w:eastAsia="en-AU"/>
        </w:rPr>
      </w:pPr>
    </w:p>
    <w:p w14:paraId="362A170C" w14:textId="77777777" w:rsidR="00A22633" w:rsidRDefault="00A22633" w:rsidP="0037202E">
      <w:pPr>
        <w:pStyle w:val="NoSpacing"/>
        <w:ind w:left="0"/>
        <w:rPr>
          <w:rFonts w:asciiTheme="minorHAnsi" w:hAnsiTheme="minorHAnsi"/>
          <w:sz w:val="24"/>
          <w:szCs w:val="24"/>
          <w:lang w:eastAsia="en-AU"/>
        </w:rPr>
      </w:pPr>
    </w:p>
    <w:p w14:paraId="362A170D" w14:textId="77777777" w:rsidR="00A22633" w:rsidRDefault="00A22633" w:rsidP="0037202E">
      <w:pPr>
        <w:pStyle w:val="NoSpacing"/>
        <w:ind w:left="0"/>
        <w:rPr>
          <w:rFonts w:asciiTheme="minorHAnsi" w:hAnsiTheme="minorHAnsi"/>
          <w:sz w:val="24"/>
          <w:szCs w:val="24"/>
          <w:lang w:eastAsia="en-AU"/>
        </w:rPr>
      </w:pPr>
    </w:p>
    <w:p w14:paraId="362A170E" w14:textId="77777777" w:rsidR="00A22633" w:rsidRPr="00297377" w:rsidRDefault="00A22633" w:rsidP="0037202E">
      <w:pPr>
        <w:pStyle w:val="NoSpacing"/>
        <w:ind w:left="0"/>
        <w:rPr>
          <w:rFonts w:asciiTheme="minorHAnsi" w:hAnsiTheme="minorHAnsi"/>
          <w:b/>
          <w:sz w:val="28"/>
          <w:szCs w:val="28"/>
          <w:u w:val="single"/>
          <w:lang w:eastAsia="en-AU"/>
        </w:rPr>
      </w:pPr>
      <w:r w:rsidRPr="00297377">
        <w:rPr>
          <w:rFonts w:asciiTheme="minorHAnsi" w:hAnsiTheme="minorHAnsi"/>
          <w:b/>
          <w:sz w:val="28"/>
          <w:szCs w:val="28"/>
          <w:u w:val="single"/>
          <w:lang w:eastAsia="en-AU"/>
        </w:rPr>
        <w:lastRenderedPageBreak/>
        <w:t>Risk Assessment and Management:</w:t>
      </w:r>
    </w:p>
    <w:p w14:paraId="362A170F" w14:textId="77777777" w:rsidR="00A22633" w:rsidRDefault="00A22633" w:rsidP="0037202E">
      <w:pPr>
        <w:pStyle w:val="NoSpacing"/>
        <w:ind w:left="0"/>
        <w:rPr>
          <w:rFonts w:asciiTheme="minorHAnsi" w:hAnsiTheme="minorHAnsi"/>
          <w:b/>
          <w:sz w:val="24"/>
          <w:szCs w:val="24"/>
          <w:u w:val="single"/>
          <w:lang w:eastAsia="en-AU"/>
        </w:rPr>
      </w:pPr>
    </w:p>
    <w:p w14:paraId="362A1710" w14:textId="77777777" w:rsidR="00A22633" w:rsidRDefault="00A22633" w:rsidP="0037202E">
      <w:pPr>
        <w:pStyle w:val="NoSpacing"/>
        <w:ind w:left="0"/>
        <w:rPr>
          <w:rFonts w:asciiTheme="minorHAnsi" w:hAnsiTheme="minorHAnsi"/>
          <w:sz w:val="24"/>
          <w:szCs w:val="24"/>
          <w:lang w:eastAsia="en-AU"/>
        </w:rPr>
      </w:pPr>
      <w:r>
        <w:rPr>
          <w:rFonts w:asciiTheme="minorHAnsi" w:hAnsiTheme="minorHAnsi"/>
          <w:sz w:val="24"/>
          <w:szCs w:val="24"/>
          <w:lang w:eastAsia="en-AU"/>
        </w:rPr>
        <w:t xml:space="preserve">The APVMA has long had an aversion to accepting and managing risk, even for products that have been </w:t>
      </w:r>
      <w:r w:rsidR="00810692">
        <w:rPr>
          <w:rFonts w:asciiTheme="minorHAnsi" w:hAnsiTheme="minorHAnsi"/>
          <w:sz w:val="24"/>
          <w:szCs w:val="24"/>
          <w:lang w:eastAsia="en-AU"/>
        </w:rPr>
        <w:t>clearly identified as ‘low risk’ in many sectors including human medicine (e.g. nutraceuticals such as glucosamine, chondroitin etc.).</w:t>
      </w:r>
    </w:p>
    <w:p w14:paraId="362A1711" w14:textId="77777777" w:rsidR="00810692" w:rsidRDefault="00810692" w:rsidP="0037202E">
      <w:pPr>
        <w:pStyle w:val="NoSpacing"/>
        <w:ind w:left="0"/>
        <w:rPr>
          <w:rFonts w:asciiTheme="minorHAnsi" w:hAnsiTheme="minorHAnsi"/>
          <w:sz w:val="24"/>
          <w:szCs w:val="24"/>
          <w:lang w:eastAsia="en-AU"/>
        </w:rPr>
      </w:pPr>
    </w:p>
    <w:p w14:paraId="362A1712" w14:textId="77777777" w:rsidR="00810692" w:rsidRDefault="00810692" w:rsidP="0037202E">
      <w:pPr>
        <w:pStyle w:val="NoSpacing"/>
        <w:ind w:left="0"/>
        <w:rPr>
          <w:rFonts w:asciiTheme="minorHAnsi" w:hAnsiTheme="minorHAnsi"/>
          <w:sz w:val="24"/>
          <w:szCs w:val="24"/>
          <w:lang w:eastAsia="en-AU"/>
        </w:rPr>
      </w:pPr>
      <w:r>
        <w:rPr>
          <w:rFonts w:asciiTheme="minorHAnsi" w:hAnsiTheme="minorHAnsi"/>
          <w:sz w:val="24"/>
          <w:szCs w:val="24"/>
          <w:lang w:eastAsia="en-AU"/>
        </w:rPr>
        <w:t xml:space="preserve">While the APVMA has developed a Listed Registration scheme for some of these products, its approach and that of the Department of Agriculture has been inconsistent and impractical.  The current work with the University of Melbourne </w:t>
      </w:r>
      <w:r>
        <w:rPr>
          <w:rFonts w:asciiTheme="minorHAnsi" w:hAnsiTheme="minorHAnsi"/>
          <w:b/>
          <w:sz w:val="24"/>
          <w:szCs w:val="24"/>
          <w:lang w:eastAsia="en-AU"/>
        </w:rPr>
        <w:t>Centre for Excellence for Biosecurity Risk Analysis (CEBRA)</w:t>
      </w:r>
      <w:r>
        <w:rPr>
          <w:rFonts w:asciiTheme="minorHAnsi" w:hAnsiTheme="minorHAnsi"/>
          <w:sz w:val="24"/>
          <w:szCs w:val="24"/>
          <w:lang w:eastAsia="en-AU"/>
        </w:rPr>
        <w:t xml:space="preserve"> to develop a risk assessment tool is a positive step, but has been bound up in the APVMA’s historically risk averse attitude. So far 18 months of allocation of resources to this project has produced only simplistic examples of what may be achieved in this area and a positive approach</w:t>
      </w:r>
      <w:r w:rsidR="00D15452">
        <w:rPr>
          <w:rFonts w:asciiTheme="minorHAnsi" w:hAnsiTheme="minorHAnsi"/>
          <w:sz w:val="24"/>
          <w:szCs w:val="24"/>
          <w:lang w:eastAsia="en-AU"/>
        </w:rPr>
        <w:t xml:space="preserve"> is needed to develop a genuine risk management process that will result in the ready availability of low risk products to the community with a cost-effective approach to evaluation and registration.</w:t>
      </w:r>
    </w:p>
    <w:p w14:paraId="362A1713" w14:textId="77777777" w:rsidR="00D15452" w:rsidRDefault="00D15452" w:rsidP="0037202E">
      <w:pPr>
        <w:pStyle w:val="NoSpacing"/>
        <w:ind w:left="0"/>
        <w:rPr>
          <w:rFonts w:asciiTheme="minorHAnsi" w:hAnsiTheme="minorHAnsi"/>
          <w:sz w:val="24"/>
          <w:szCs w:val="24"/>
          <w:lang w:eastAsia="en-AU"/>
        </w:rPr>
      </w:pPr>
    </w:p>
    <w:p w14:paraId="362A1714" w14:textId="77777777" w:rsidR="00D15452" w:rsidRDefault="00D15452" w:rsidP="0037202E">
      <w:pPr>
        <w:pStyle w:val="NoSpacing"/>
        <w:ind w:left="0"/>
        <w:rPr>
          <w:rFonts w:asciiTheme="minorHAnsi" w:hAnsiTheme="minorHAnsi"/>
          <w:b/>
          <w:sz w:val="24"/>
          <w:szCs w:val="24"/>
          <w:lang w:eastAsia="en-AU"/>
        </w:rPr>
      </w:pPr>
      <w:r w:rsidRPr="00D15452">
        <w:rPr>
          <w:rFonts w:asciiTheme="minorHAnsi" w:hAnsiTheme="minorHAnsi"/>
          <w:b/>
          <w:sz w:val="24"/>
          <w:szCs w:val="24"/>
          <w:lang w:eastAsia="en-AU"/>
        </w:rPr>
        <w:t>Recommendation:</w:t>
      </w:r>
    </w:p>
    <w:p w14:paraId="362A1715" w14:textId="77777777" w:rsidR="00D15452" w:rsidRDefault="00D15452" w:rsidP="0037202E">
      <w:pPr>
        <w:pStyle w:val="NoSpacing"/>
        <w:ind w:left="0"/>
        <w:rPr>
          <w:rFonts w:asciiTheme="minorHAnsi" w:hAnsiTheme="minorHAnsi"/>
          <w:b/>
          <w:sz w:val="24"/>
          <w:szCs w:val="24"/>
          <w:lang w:eastAsia="en-AU"/>
        </w:rPr>
      </w:pPr>
    </w:p>
    <w:p w14:paraId="362A1716" w14:textId="77777777" w:rsidR="00D15452" w:rsidRDefault="00D15452" w:rsidP="0037202E">
      <w:pPr>
        <w:pStyle w:val="NoSpacing"/>
        <w:ind w:left="0"/>
        <w:rPr>
          <w:rFonts w:asciiTheme="minorHAnsi" w:hAnsiTheme="minorHAnsi"/>
          <w:sz w:val="24"/>
          <w:szCs w:val="24"/>
          <w:lang w:eastAsia="en-AU"/>
        </w:rPr>
      </w:pPr>
      <w:r>
        <w:rPr>
          <w:rFonts w:asciiTheme="minorHAnsi" w:hAnsiTheme="minorHAnsi"/>
          <w:sz w:val="24"/>
          <w:szCs w:val="24"/>
          <w:lang w:eastAsia="en-AU"/>
        </w:rPr>
        <w:t>That the APVMA and CEBRA accelerate their process and in particular:</w:t>
      </w:r>
    </w:p>
    <w:p w14:paraId="362A1717" w14:textId="77777777" w:rsidR="00D15452" w:rsidRDefault="00D15452" w:rsidP="00D15452">
      <w:pPr>
        <w:pStyle w:val="NoSpacing"/>
        <w:numPr>
          <w:ilvl w:val="0"/>
          <w:numId w:val="19"/>
        </w:numPr>
        <w:rPr>
          <w:rFonts w:asciiTheme="minorHAnsi" w:hAnsiTheme="minorHAnsi"/>
          <w:sz w:val="24"/>
          <w:szCs w:val="24"/>
          <w:lang w:eastAsia="en-AU"/>
        </w:rPr>
      </w:pPr>
      <w:proofErr w:type="spellStart"/>
      <w:r>
        <w:rPr>
          <w:rFonts w:asciiTheme="minorHAnsi" w:hAnsiTheme="minorHAnsi"/>
          <w:sz w:val="24"/>
          <w:szCs w:val="24"/>
          <w:lang w:eastAsia="en-AU"/>
        </w:rPr>
        <w:t>Utilise</w:t>
      </w:r>
      <w:proofErr w:type="spellEnd"/>
      <w:r>
        <w:rPr>
          <w:rFonts w:asciiTheme="minorHAnsi" w:hAnsiTheme="minorHAnsi"/>
          <w:sz w:val="24"/>
          <w:szCs w:val="24"/>
          <w:lang w:eastAsia="en-AU"/>
        </w:rPr>
        <w:t xml:space="preserve"> ‘Generally </w:t>
      </w:r>
      <w:proofErr w:type="spellStart"/>
      <w:r>
        <w:rPr>
          <w:rFonts w:asciiTheme="minorHAnsi" w:hAnsiTheme="minorHAnsi"/>
          <w:sz w:val="24"/>
          <w:szCs w:val="24"/>
          <w:lang w:eastAsia="en-AU"/>
        </w:rPr>
        <w:t>Recognised</w:t>
      </w:r>
      <w:proofErr w:type="spellEnd"/>
      <w:r>
        <w:rPr>
          <w:rFonts w:asciiTheme="minorHAnsi" w:hAnsiTheme="minorHAnsi"/>
          <w:sz w:val="24"/>
          <w:szCs w:val="24"/>
          <w:lang w:eastAsia="en-AU"/>
        </w:rPr>
        <w:t xml:space="preserve"> </w:t>
      </w:r>
      <w:proofErr w:type="gramStart"/>
      <w:r>
        <w:rPr>
          <w:rFonts w:asciiTheme="minorHAnsi" w:hAnsiTheme="minorHAnsi"/>
          <w:sz w:val="24"/>
          <w:szCs w:val="24"/>
          <w:lang w:eastAsia="en-AU"/>
        </w:rPr>
        <w:t>As</w:t>
      </w:r>
      <w:proofErr w:type="gramEnd"/>
      <w:r>
        <w:rPr>
          <w:rFonts w:asciiTheme="minorHAnsi" w:hAnsiTheme="minorHAnsi"/>
          <w:sz w:val="24"/>
          <w:szCs w:val="24"/>
          <w:lang w:eastAsia="en-AU"/>
        </w:rPr>
        <w:t xml:space="preserve"> Safe (GRAS) lists available from trusted regulators around the world including in the human health field.</w:t>
      </w:r>
    </w:p>
    <w:p w14:paraId="362A1718" w14:textId="77777777" w:rsidR="006B2FBD" w:rsidRDefault="00D15452" w:rsidP="006B2FBD">
      <w:pPr>
        <w:pStyle w:val="NoSpacing"/>
        <w:numPr>
          <w:ilvl w:val="0"/>
          <w:numId w:val="19"/>
        </w:numPr>
        <w:rPr>
          <w:rFonts w:asciiTheme="minorHAnsi" w:hAnsiTheme="minorHAnsi"/>
          <w:sz w:val="24"/>
          <w:szCs w:val="24"/>
          <w:lang w:eastAsia="en-AU"/>
        </w:rPr>
      </w:pPr>
      <w:r>
        <w:rPr>
          <w:rFonts w:asciiTheme="minorHAnsi" w:hAnsiTheme="minorHAnsi"/>
          <w:sz w:val="24"/>
          <w:szCs w:val="24"/>
          <w:lang w:eastAsia="en-AU"/>
        </w:rPr>
        <w:t xml:space="preserve">Develop Standards with the assistance of industry, to identify safe and effective formulations that can be </w:t>
      </w:r>
      <w:proofErr w:type="spellStart"/>
      <w:r>
        <w:rPr>
          <w:rFonts w:asciiTheme="minorHAnsi" w:hAnsiTheme="minorHAnsi"/>
          <w:sz w:val="24"/>
          <w:szCs w:val="24"/>
          <w:lang w:eastAsia="en-AU"/>
        </w:rPr>
        <w:t>utilised</w:t>
      </w:r>
      <w:proofErr w:type="spellEnd"/>
      <w:r>
        <w:rPr>
          <w:rFonts w:asciiTheme="minorHAnsi" w:hAnsiTheme="minorHAnsi"/>
          <w:sz w:val="24"/>
          <w:szCs w:val="24"/>
          <w:lang w:eastAsia="en-AU"/>
        </w:rPr>
        <w:t xml:space="preserve"> for formulation of products containing known active ingredients that have a history of safe and effective us</w:t>
      </w:r>
      <w:r w:rsidR="006B2FBD">
        <w:rPr>
          <w:rFonts w:asciiTheme="minorHAnsi" w:hAnsiTheme="minorHAnsi"/>
          <w:sz w:val="24"/>
          <w:szCs w:val="24"/>
          <w:lang w:eastAsia="en-AU"/>
        </w:rPr>
        <w:t xml:space="preserve">e.  Examples include tablet and paste </w:t>
      </w:r>
      <w:r>
        <w:rPr>
          <w:rFonts w:asciiTheme="minorHAnsi" w:hAnsiTheme="minorHAnsi"/>
          <w:sz w:val="24"/>
          <w:szCs w:val="24"/>
          <w:lang w:eastAsia="en-AU"/>
        </w:rPr>
        <w:t>formulations</w:t>
      </w:r>
      <w:r w:rsidR="006B2FBD">
        <w:rPr>
          <w:rFonts w:asciiTheme="minorHAnsi" w:hAnsiTheme="minorHAnsi"/>
          <w:sz w:val="24"/>
          <w:szCs w:val="24"/>
          <w:lang w:eastAsia="en-AU"/>
        </w:rPr>
        <w:t xml:space="preserve"> that would avoid the need for extensive assessment and evaluation by the APVMA.</w:t>
      </w:r>
    </w:p>
    <w:p w14:paraId="362A1719" w14:textId="77777777" w:rsidR="00F13EEC" w:rsidRDefault="00F13EEC" w:rsidP="006B2FBD">
      <w:pPr>
        <w:pStyle w:val="NoSpacing"/>
        <w:numPr>
          <w:ilvl w:val="0"/>
          <w:numId w:val="19"/>
        </w:numPr>
        <w:rPr>
          <w:rFonts w:asciiTheme="minorHAnsi" w:hAnsiTheme="minorHAnsi"/>
          <w:sz w:val="24"/>
          <w:szCs w:val="24"/>
          <w:lang w:eastAsia="en-AU"/>
        </w:rPr>
      </w:pPr>
      <w:r>
        <w:rPr>
          <w:rFonts w:asciiTheme="minorHAnsi" w:hAnsiTheme="minorHAnsi"/>
          <w:sz w:val="24"/>
          <w:szCs w:val="24"/>
          <w:lang w:eastAsia="en-AU"/>
        </w:rPr>
        <w:t>Include Self-Assessment for products that meet the above criteria.</w:t>
      </w:r>
    </w:p>
    <w:p w14:paraId="362A171A" w14:textId="77777777" w:rsidR="006B2FBD" w:rsidRDefault="006B2FBD" w:rsidP="006B2FBD">
      <w:pPr>
        <w:pStyle w:val="NoSpacing"/>
        <w:ind w:left="0"/>
        <w:rPr>
          <w:rFonts w:asciiTheme="minorHAnsi" w:hAnsiTheme="minorHAnsi"/>
          <w:sz w:val="24"/>
          <w:szCs w:val="24"/>
          <w:lang w:eastAsia="en-AU"/>
        </w:rPr>
      </w:pPr>
    </w:p>
    <w:p w14:paraId="362A171B" w14:textId="77777777" w:rsidR="006B2FBD" w:rsidRPr="00297377" w:rsidRDefault="006B2FBD" w:rsidP="006B2FBD">
      <w:pPr>
        <w:pStyle w:val="NoSpacing"/>
        <w:ind w:left="0"/>
        <w:rPr>
          <w:rFonts w:asciiTheme="minorHAnsi" w:hAnsiTheme="minorHAnsi"/>
          <w:b/>
          <w:sz w:val="28"/>
          <w:szCs w:val="28"/>
          <w:u w:val="single"/>
          <w:lang w:eastAsia="en-AU"/>
        </w:rPr>
      </w:pPr>
      <w:r w:rsidRPr="00297377">
        <w:rPr>
          <w:rFonts w:asciiTheme="minorHAnsi" w:hAnsiTheme="minorHAnsi"/>
          <w:b/>
          <w:sz w:val="28"/>
          <w:szCs w:val="28"/>
          <w:u w:val="single"/>
          <w:lang w:eastAsia="en-AU"/>
        </w:rPr>
        <w:t>Office of the Gene Technology Regulator:</w:t>
      </w:r>
    </w:p>
    <w:p w14:paraId="362A171C" w14:textId="77777777" w:rsidR="006B2FBD" w:rsidRDefault="006B2FBD" w:rsidP="006B2FBD">
      <w:pPr>
        <w:pStyle w:val="NoSpacing"/>
        <w:ind w:left="0"/>
        <w:rPr>
          <w:rFonts w:asciiTheme="minorHAnsi" w:hAnsiTheme="minorHAnsi"/>
          <w:b/>
          <w:sz w:val="24"/>
          <w:szCs w:val="24"/>
          <w:u w:val="single"/>
          <w:lang w:eastAsia="en-AU"/>
        </w:rPr>
      </w:pPr>
    </w:p>
    <w:p w14:paraId="362A171D" w14:textId="77777777" w:rsidR="006B2FBD" w:rsidRDefault="00C64379" w:rsidP="006B2FBD">
      <w:pPr>
        <w:pStyle w:val="NoSpacing"/>
        <w:ind w:left="0"/>
        <w:rPr>
          <w:rFonts w:asciiTheme="minorHAnsi" w:hAnsiTheme="minorHAnsi"/>
          <w:sz w:val="24"/>
          <w:szCs w:val="24"/>
          <w:lang w:eastAsia="en-AU"/>
        </w:rPr>
      </w:pPr>
      <w:r>
        <w:rPr>
          <w:rFonts w:asciiTheme="minorHAnsi" w:hAnsiTheme="minorHAnsi"/>
          <w:sz w:val="24"/>
          <w:szCs w:val="24"/>
          <w:lang w:eastAsia="en-AU"/>
        </w:rPr>
        <w:t xml:space="preserve">The assessment of veterinary vaccines by both the APVMA and OGTR is a genuine example of double regulation for no benefit, and incurs substantial unnecessary costs and delays.  </w:t>
      </w:r>
    </w:p>
    <w:p w14:paraId="362A171E" w14:textId="77777777" w:rsidR="00C64379" w:rsidRDefault="00C64379" w:rsidP="006B2FBD">
      <w:pPr>
        <w:pStyle w:val="NoSpacing"/>
        <w:ind w:left="0"/>
        <w:rPr>
          <w:rFonts w:asciiTheme="minorHAnsi" w:hAnsiTheme="minorHAnsi"/>
          <w:sz w:val="24"/>
          <w:szCs w:val="24"/>
          <w:lang w:eastAsia="en-AU"/>
        </w:rPr>
      </w:pPr>
    </w:p>
    <w:p w14:paraId="362A171F" w14:textId="77777777" w:rsidR="00C64379" w:rsidRPr="00C64379" w:rsidRDefault="00C64379" w:rsidP="00C64379">
      <w:pPr>
        <w:ind w:left="0"/>
        <w:rPr>
          <w:rFonts w:asciiTheme="minorHAnsi" w:hAnsiTheme="minorHAnsi" w:cs="Times New Roman"/>
          <w:sz w:val="24"/>
          <w:szCs w:val="24"/>
        </w:rPr>
      </w:pPr>
      <w:r>
        <w:rPr>
          <w:rFonts w:asciiTheme="minorHAnsi" w:hAnsiTheme="minorHAnsi"/>
          <w:sz w:val="24"/>
          <w:szCs w:val="24"/>
          <w:lang w:eastAsia="en-AU"/>
        </w:rPr>
        <w:t xml:space="preserve">The VMDA provided a submission in September 2014 to </w:t>
      </w:r>
      <w:r w:rsidRPr="00C64379">
        <w:rPr>
          <w:rFonts w:asciiTheme="minorHAnsi" w:hAnsiTheme="minorHAnsi" w:cs="Times New Roman"/>
          <w:sz w:val="24"/>
          <w:szCs w:val="24"/>
        </w:rPr>
        <w:t xml:space="preserve">the Legislative and Governance Forum on Gene Technology regarding overlap in the regulation of veterinary vaccines produced using gene technology. </w:t>
      </w:r>
      <w:r>
        <w:rPr>
          <w:rFonts w:asciiTheme="minorHAnsi" w:hAnsiTheme="minorHAnsi" w:cs="Times New Roman"/>
          <w:sz w:val="24"/>
          <w:szCs w:val="24"/>
        </w:rPr>
        <w:t>A copy of this submission is attached.</w:t>
      </w:r>
    </w:p>
    <w:p w14:paraId="362A1720" w14:textId="77777777" w:rsidR="00C64379" w:rsidRDefault="00C64379" w:rsidP="0037202E">
      <w:pPr>
        <w:pStyle w:val="NoSpacing"/>
        <w:ind w:left="0"/>
        <w:rPr>
          <w:rFonts w:asciiTheme="minorHAnsi" w:hAnsiTheme="minorHAnsi"/>
          <w:sz w:val="24"/>
          <w:szCs w:val="24"/>
          <w:lang w:eastAsia="en-AU"/>
        </w:rPr>
      </w:pPr>
    </w:p>
    <w:p w14:paraId="362A1721" w14:textId="77777777" w:rsidR="00C64379" w:rsidRPr="00C64379" w:rsidRDefault="00C64379" w:rsidP="00C64379">
      <w:pPr>
        <w:ind w:left="0"/>
        <w:rPr>
          <w:rFonts w:asciiTheme="minorHAnsi" w:hAnsiTheme="minorHAnsi" w:cs="Arial"/>
          <w:sz w:val="24"/>
          <w:szCs w:val="24"/>
        </w:rPr>
      </w:pPr>
      <w:r w:rsidRPr="00C64379">
        <w:rPr>
          <w:rFonts w:asciiTheme="minorHAnsi" w:hAnsiTheme="minorHAnsi" w:cs="Arial"/>
          <w:sz w:val="24"/>
          <w:szCs w:val="24"/>
        </w:rPr>
        <w:t xml:space="preserve">The VMDA proposes that veterinary vaccines be excluded from regulation under the </w:t>
      </w:r>
      <w:r w:rsidRPr="00C64379">
        <w:rPr>
          <w:rFonts w:asciiTheme="minorHAnsi" w:hAnsiTheme="minorHAnsi" w:cs="Arial"/>
          <w:i/>
          <w:sz w:val="24"/>
          <w:szCs w:val="24"/>
        </w:rPr>
        <w:t>GT Act</w:t>
      </w:r>
      <w:r w:rsidRPr="00C64379">
        <w:rPr>
          <w:rFonts w:asciiTheme="minorHAnsi" w:hAnsiTheme="minorHAnsi" w:cs="Arial"/>
          <w:sz w:val="24"/>
          <w:szCs w:val="24"/>
        </w:rPr>
        <w:t xml:space="preserve"> and be assessed and approved once under the </w:t>
      </w:r>
      <w:r w:rsidRPr="00C64379">
        <w:rPr>
          <w:rFonts w:asciiTheme="minorHAnsi" w:hAnsiTheme="minorHAnsi" w:cs="Arial"/>
          <w:i/>
          <w:sz w:val="24"/>
          <w:szCs w:val="24"/>
        </w:rPr>
        <w:t xml:space="preserve">Agricultural and Veterinary Chemicals Code Act 1994 </w:t>
      </w:r>
      <w:r w:rsidRPr="00C64379">
        <w:rPr>
          <w:rFonts w:asciiTheme="minorHAnsi" w:hAnsiTheme="minorHAnsi" w:cs="Arial"/>
          <w:sz w:val="24"/>
          <w:szCs w:val="24"/>
        </w:rPr>
        <w:t>by the Australian Pesticides and Veterinary Medicines Authority (APVMA).</w:t>
      </w:r>
      <w:r w:rsidR="00297377">
        <w:rPr>
          <w:rFonts w:asciiTheme="minorHAnsi" w:hAnsiTheme="minorHAnsi" w:cs="Arial"/>
          <w:sz w:val="24"/>
          <w:szCs w:val="24"/>
        </w:rPr>
        <w:t xml:space="preserve">  The Department of Health, the Department of Agriculture, and the APVMA have indicated that they would support this approach.  The OGTR</w:t>
      </w:r>
      <w:r w:rsidR="00B708AB">
        <w:rPr>
          <w:rFonts w:asciiTheme="minorHAnsi" w:hAnsiTheme="minorHAnsi" w:cs="Arial"/>
          <w:sz w:val="24"/>
          <w:szCs w:val="24"/>
        </w:rPr>
        <w:t xml:space="preserve"> is opposed.</w:t>
      </w:r>
    </w:p>
    <w:p w14:paraId="362A1722" w14:textId="77777777" w:rsidR="00C64379" w:rsidRPr="00C64379" w:rsidRDefault="00C64379" w:rsidP="00C64379">
      <w:pPr>
        <w:ind w:left="0"/>
        <w:rPr>
          <w:rFonts w:asciiTheme="minorHAnsi" w:hAnsiTheme="minorHAnsi" w:cs="Arial"/>
          <w:sz w:val="24"/>
          <w:szCs w:val="24"/>
        </w:rPr>
      </w:pPr>
    </w:p>
    <w:p w14:paraId="362A1723" w14:textId="77777777" w:rsidR="00C64379" w:rsidRPr="00297377" w:rsidRDefault="00C64379" w:rsidP="00C64379">
      <w:pPr>
        <w:ind w:left="0"/>
        <w:rPr>
          <w:rFonts w:asciiTheme="minorHAnsi" w:hAnsiTheme="minorHAnsi" w:cs="Arial"/>
          <w:b/>
          <w:i/>
          <w:sz w:val="24"/>
          <w:szCs w:val="24"/>
        </w:rPr>
      </w:pPr>
      <w:r w:rsidRPr="00C64379">
        <w:rPr>
          <w:rFonts w:asciiTheme="minorHAnsi" w:hAnsiTheme="minorHAnsi" w:cs="Arial"/>
          <w:sz w:val="24"/>
          <w:szCs w:val="24"/>
        </w:rPr>
        <w:lastRenderedPageBreak/>
        <w:t xml:space="preserve">There is no clear dividing line between GM and non-GM vaccine organisms that can be </w:t>
      </w:r>
      <w:proofErr w:type="spellStart"/>
      <w:r w:rsidRPr="00C64379">
        <w:rPr>
          <w:rFonts w:asciiTheme="minorHAnsi" w:hAnsiTheme="minorHAnsi" w:cs="Arial"/>
          <w:sz w:val="24"/>
          <w:szCs w:val="24"/>
        </w:rPr>
        <w:t>formalised</w:t>
      </w:r>
      <w:proofErr w:type="spellEnd"/>
      <w:r w:rsidRPr="00C64379">
        <w:rPr>
          <w:rFonts w:asciiTheme="minorHAnsi" w:hAnsiTheme="minorHAnsi" w:cs="Arial"/>
          <w:sz w:val="24"/>
          <w:szCs w:val="24"/>
        </w:rPr>
        <w:t xml:space="preserve"> in legislation. </w:t>
      </w:r>
      <w:r w:rsidR="00297377">
        <w:rPr>
          <w:rFonts w:asciiTheme="minorHAnsi" w:hAnsiTheme="minorHAnsi" w:cs="Arial"/>
          <w:sz w:val="24"/>
          <w:szCs w:val="24"/>
        </w:rPr>
        <w:t xml:space="preserve"> </w:t>
      </w:r>
      <w:r>
        <w:rPr>
          <w:rFonts w:asciiTheme="minorHAnsi" w:hAnsiTheme="minorHAnsi" w:cs="Arial"/>
          <w:sz w:val="24"/>
          <w:szCs w:val="24"/>
        </w:rPr>
        <w:t>R</w:t>
      </w:r>
      <w:r w:rsidRPr="00C64379">
        <w:rPr>
          <w:rFonts w:asciiTheme="minorHAnsi" w:hAnsiTheme="minorHAnsi" w:cs="Arial"/>
          <w:sz w:val="24"/>
          <w:szCs w:val="24"/>
        </w:rPr>
        <w:t xml:space="preserve">egulation based on the method used to create the vaccine organism is not necessary. All veterinary vaccine organisms, whether captured by the </w:t>
      </w:r>
      <w:r w:rsidRPr="00C64379">
        <w:rPr>
          <w:rFonts w:asciiTheme="minorHAnsi" w:hAnsiTheme="minorHAnsi" w:cs="Arial"/>
          <w:i/>
          <w:sz w:val="24"/>
          <w:szCs w:val="24"/>
        </w:rPr>
        <w:t>GT Act</w:t>
      </w:r>
      <w:r w:rsidRPr="00C64379">
        <w:rPr>
          <w:rFonts w:asciiTheme="minorHAnsi" w:hAnsiTheme="minorHAnsi" w:cs="Arial"/>
          <w:sz w:val="24"/>
          <w:szCs w:val="24"/>
        </w:rPr>
        <w:t xml:space="preserve"> or not, are subject to assessment and registration by the APVMA</w:t>
      </w:r>
      <w:r w:rsidRPr="00C64379">
        <w:rPr>
          <w:rFonts w:asciiTheme="minorHAnsi" w:hAnsiTheme="minorHAnsi" w:cs="Arial"/>
          <w:i/>
          <w:sz w:val="24"/>
          <w:szCs w:val="24"/>
        </w:rPr>
        <w:t xml:space="preserve"> </w:t>
      </w:r>
      <w:r w:rsidRPr="00C64379">
        <w:rPr>
          <w:rFonts w:asciiTheme="minorHAnsi" w:hAnsiTheme="minorHAnsi" w:cs="Arial"/>
          <w:sz w:val="24"/>
          <w:szCs w:val="24"/>
        </w:rPr>
        <w:t>under the</w:t>
      </w:r>
      <w:r w:rsidRPr="00C64379">
        <w:rPr>
          <w:rFonts w:asciiTheme="minorHAnsi" w:hAnsiTheme="minorHAnsi" w:cs="Arial"/>
          <w:i/>
          <w:sz w:val="24"/>
          <w:szCs w:val="24"/>
        </w:rPr>
        <w:t xml:space="preserve"> Agricultural and Veterinary Chemicals Code Act 1994</w:t>
      </w:r>
      <w:r w:rsidRPr="00C64379">
        <w:rPr>
          <w:rFonts w:asciiTheme="minorHAnsi" w:hAnsiTheme="minorHAnsi" w:cs="Arial"/>
          <w:sz w:val="24"/>
          <w:szCs w:val="24"/>
        </w:rPr>
        <w:t xml:space="preserve">. Assessment by the APVMA includes assessment of risks to the environment and to people that are also assessed by the </w:t>
      </w:r>
      <w:r w:rsidRPr="00C64379">
        <w:rPr>
          <w:rFonts w:asciiTheme="minorHAnsi" w:hAnsiTheme="minorHAnsi" w:cs="Arial"/>
          <w:i/>
          <w:sz w:val="24"/>
          <w:szCs w:val="24"/>
        </w:rPr>
        <w:t>Gene Technology Regulator</w:t>
      </w:r>
      <w:r w:rsidRPr="00C64379">
        <w:rPr>
          <w:rFonts w:asciiTheme="minorHAnsi" w:hAnsiTheme="minorHAnsi" w:cs="Arial"/>
          <w:sz w:val="24"/>
          <w:szCs w:val="24"/>
        </w:rPr>
        <w:t xml:space="preserve"> under the </w:t>
      </w:r>
      <w:r w:rsidRPr="00C64379">
        <w:rPr>
          <w:rFonts w:asciiTheme="minorHAnsi" w:hAnsiTheme="minorHAnsi" w:cs="Arial"/>
          <w:i/>
          <w:sz w:val="24"/>
          <w:szCs w:val="24"/>
        </w:rPr>
        <w:t>GT Act</w:t>
      </w:r>
      <w:r w:rsidRPr="00C64379">
        <w:rPr>
          <w:rFonts w:asciiTheme="minorHAnsi" w:hAnsiTheme="minorHAnsi" w:cs="Arial"/>
          <w:sz w:val="24"/>
          <w:szCs w:val="24"/>
        </w:rPr>
        <w:t xml:space="preserve">. Safety in these areas must be demonstrated experimentally following established international guidelines before any approval may be issued for field trials or for commercial release. The overlap between the issues assessed under the Gene Technology Act 2000 and the Agricultural and Veterinary Chemicals Code Act 1994 are described in detail in the attached paper titled </w:t>
      </w:r>
      <w:r w:rsidRPr="00297377">
        <w:rPr>
          <w:rFonts w:asciiTheme="minorHAnsi" w:hAnsiTheme="minorHAnsi" w:cs="Arial"/>
          <w:b/>
          <w:i/>
          <w:sz w:val="24"/>
          <w:szCs w:val="24"/>
        </w:rPr>
        <w:t>Submission to the Legislative and Governance Forum on Gene Technology Regarding Overlap in the Regulation of Vaccines Produced using Gene Technology.</w:t>
      </w:r>
    </w:p>
    <w:p w14:paraId="362A1724" w14:textId="77777777" w:rsidR="00C64379" w:rsidRPr="00C64379" w:rsidRDefault="00C64379" w:rsidP="00C64379">
      <w:pPr>
        <w:ind w:left="0"/>
        <w:rPr>
          <w:rFonts w:asciiTheme="minorHAnsi" w:hAnsiTheme="minorHAnsi" w:cs="Arial"/>
          <w:sz w:val="24"/>
          <w:szCs w:val="24"/>
        </w:rPr>
      </w:pPr>
    </w:p>
    <w:p w14:paraId="362A1725" w14:textId="77777777" w:rsidR="00C64379" w:rsidRPr="00C64379" w:rsidRDefault="00C64379" w:rsidP="00C64379">
      <w:pPr>
        <w:ind w:left="0"/>
        <w:rPr>
          <w:rFonts w:asciiTheme="minorHAnsi" w:hAnsiTheme="minorHAnsi" w:cs="Arial"/>
          <w:sz w:val="24"/>
          <w:szCs w:val="24"/>
        </w:rPr>
      </w:pPr>
      <w:r w:rsidRPr="00C64379">
        <w:rPr>
          <w:rFonts w:asciiTheme="minorHAnsi" w:hAnsiTheme="minorHAnsi" w:cs="Arial"/>
          <w:sz w:val="24"/>
          <w:szCs w:val="24"/>
        </w:rPr>
        <w:t xml:space="preserve">The process of embarking on field trials and proceeding to an application for registration of a veterinary vaccine is long and entails significant investment. </w:t>
      </w:r>
      <w:r w:rsidR="00297377">
        <w:rPr>
          <w:rFonts w:asciiTheme="minorHAnsi" w:hAnsiTheme="minorHAnsi" w:cs="Arial"/>
          <w:sz w:val="24"/>
          <w:szCs w:val="24"/>
        </w:rPr>
        <w:t>It</w:t>
      </w:r>
      <w:r w:rsidR="00297377" w:rsidRPr="00C64379">
        <w:rPr>
          <w:rFonts w:asciiTheme="minorHAnsi" w:hAnsiTheme="minorHAnsi" w:cs="Arial"/>
          <w:sz w:val="24"/>
          <w:szCs w:val="24"/>
        </w:rPr>
        <w:t xml:space="preserve"> is estimated by one of our members that to comply with the OGTR DIR requirements </w:t>
      </w:r>
      <w:r w:rsidR="00297377" w:rsidRPr="00297377">
        <w:rPr>
          <w:rFonts w:asciiTheme="minorHAnsi" w:hAnsiTheme="minorHAnsi" w:cs="Arial"/>
          <w:sz w:val="24"/>
          <w:szCs w:val="24"/>
          <w:u w:val="single"/>
        </w:rPr>
        <w:t>over and above the cost of APVMA requirements</w:t>
      </w:r>
      <w:r w:rsidR="00297377" w:rsidRPr="00C64379">
        <w:rPr>
          <w:rFonts w:asciiTheme="minorHAnsi" w:hAnsiTheme="minorHAnsi" w:cs="Arial"/>
          <w:sz w:val="24"/>
          <w:szCs w:val="24"/>
        </w:rPr>
        <w:t xml:space="preserve"> is &gt; A$2 million/product for a vaccine used in intensively farmed food animals. Even more critically, it unnecessarily adds years to the regulatory process which equates to both a financial cost and proje</w:t>
      </w:r>
      <w:r w:rsidR="00297377">
        <w:rPr>
          <w:rFonts w:asciiTheme="minorHAnsi" w:hAnsiTheme="minorHAnsi" w:cs="Arial"/>
          <w:sz w:val="24"/>
          <w:szCs w:val="24"/>
        </w:rPr>
        <w:t xml:space="preserve">ct risk. </w:t>
      </w:r>
      <w:r w:rsidRPr="00C64379">
        <w:rPr>
          <w:rFonts w:asciiTheme="minorHAnsi" w:hAnsiTheme="minorHAnsi" w:cs="Arial"/>
          <w:sz w:val="24"/>
          <w:szCs w:val="24"/>
        </w:rPr>
        <w:t xml:space="preserve">To require assessment and approval by a second authority introduces a level of uncertainty that discourages manufacturers from proposing products that would be subject to this double assessment and approval, stifling innovation and reducing the number and range of products available to Australian primary producers. This is attested to by the fact that at present there are no veterinary vaccines captured by the </w:t>
      </w:r>
      <w:r w:rsidRPr="00C64379">
        <w:rPr>
          <w:rFonts w:asciiTheme="minorHAnsi" w:hAnsiTheme="minorHAnsi" w:cs="Arial"/>
          <w:i/>
          <w:sz w:val="24"/>
          <w:szCs w:val="24"/>
        </w:rPr>
        <w:t>Gene Technology Act</w:t>
      </w:r>
      <w:r w:rsidRPr="00C64379">
        <w:rPr>
          <w:rFonts w:asciiTheme="minorHAnsi" w:hAnsiTheme="minorHAnsi" w:cs="Arial"/>
          <w:sz w:val="24"/>
          <w:szCs w:val="24"/>
        </w:rPr>
        <w:t xml:space="preserve"> that have been licensed for sale in Australia, while such vaccines form the majority of live vaccines currently in use in the USA and in Europe. </w:t>
      </w:r>
    </w:p>
    <w:p w14:paraId="362A1726" w14:textId="77777777" w:rsidR="00C64379" w:rsidRPr="00C64379" w:rsidRDefault="00C64379" w:rsidP="00C64379">
      <w:pPr>
        <w:ind w:left="0"/>
        <w:rPr>
          <w:rFonts w:asciiTheme="minorHAnsi" w:hAnsiTheme="minorHAnsi" w:cs="Arial"/>
          <w:sz w:val="24"/>
          <w:szCs w:val="24"/>
        </w:rPr>
      </w:pPr>
    </w:p>
    <w:p w14:paraId="362A1727" w14:textId="77777777" w:rsidR="00297377" w:rsidRPr="00297377" w:rsidRDefault="00297377" w:rsidP="00C64379">
      <w:pPr>
        <w:ind w:left="0"/>
        <w:rPr>
          <w:rFonts w:asciiTheme="minorHAnsi" w:hAnsiTheme="minorHAnsi" w:cs="Arial"/>
          <w:b/>
          <w:sz w:val="24"/>
          <w:szCs w:val="24"/>
        </w:rPr>
      </w:pPr>
      <w:r w:rsidRPr="00297377">
        <w:rPr>
          <w:rFonts w:asciiTheme="minorHAnsi" w:hAnsiTheme="minorHAnsi" w:cs="Arial"/>
          <w:b/>
          <w:sz w:val="24"/>
          <w:szCs w:val="24"/>
        </w:rPr>
        <w:t>Recommendation:</w:t>
      </w:r>
    </w:p>
    <w:p w14:paraId="362A1728" w14:textId="77777777" w:rsidR="00297377" w:rsidRDefault="00297377" w:rsidP="00C64379">
      <w:pPr>
        <w:ind w:left="0"/>
        <w:rPr>
          <w:rFonts w:asciiTheme="minorHAnsi" w:hAnsiTheme="minorHAnsi" w:cs="Arial"/>
          <w:sz w:val="24"/>
          <w:szCs w:val="24"/>
        </w:rPr>
      </w:pPr>
    </w:p>
    <w:p w14:paraId="362A1729" w14:textId="77777777" w:rsidR="00C64379" w:rsidRDefault="00C64379" w:rsidP="00C64379">
      <w:pPr>
        <w:ind w:left="0"/>
        <w:rPr>
          <w:rFonts w:asciiTheme="minorHAnsi" w:hAnsiTheme="minorHAnsi" w:cs="Arial"/>
          <w:sz w:val="24"/>
          <w:szCs w:val="24"/>
        </w:rPr>
      </w:pPr>
      <w:r w:rsidRPr="00C64379">
        <w:rPr>
          <w:rFonts w:asciiTheme="minorHAnsi" w:hAnsiTheme="minorHAnsi" w:cs="Arial"/>
          <w:sz w:val="24"/>
          <w:szCs w:val="24"/>
        </w:rPr>
        <w:t xml:space="preserve">To reduce uncertainty and the cost of developing and registering in Australia new GM vaccine products, the VMDA proposes that veterinary vaccines be excluded from regulation under the </w:t>
      </w:r>
      <w:r w:rsidRPr="00C64379">
        <w:rPr>
          <w:rFonts w:asciiTheme="minorHAnsi" w:hAnsiTheme="minorHAnsi" w:cs="Arial"/>
          <w:i/>
          <w:sz w:val="24"/>
          <w:szCs w:val="24"/>
        </w:rPr>
        <w:t>GT Act</w:t>
      </w:r>
      <w:r w:rsidRPr="00C64379">
        <w:rPr>
          <w:rFonts w:asciiTheme="minorHAnsi" w:hAnsiTheme="minorHAnsi" w:cs="Arial"/>
          <w:sz w:val="24"/>
          <w:szCs w:val="24"/>
        </w:rPr>
        <w:t xml:space="preserve"> and be assessed and approved only once under the </w:t>
      </w:r>
      <w:r w:rsidRPr="00C64379">
        <w:rPr>
          <w:rFonts w:asciiTheme="minorHAnsi" w:hAnsiTheme="minorHAnsi" w:cs="Arial"/>
          <w:i/>
          <w:sz w:val="24"/>
          <w:szCs w:val="24"/>
        </w:rPr>
        <w:t xml:space="preserve">Agricultural and Veterinary Chemicals Code Act 1994 </w:t>
      </w:r>
      <w:r w:rsidRPr="00C64379">
        <w:rPr>
          <w:rFonts w:asciiTheme="minorHAnsi" w:hAnsiTheme="minorHAnsi" w:cs="Arial"/>
          <w:sz w:val="24"/>
          <w:szCs w:val="24"/>
        </w:rPr>
        <w:t xml:space="preserve">by the Australian Pesticides and Veterinary Medicines Authority (APVMA). This would not result in increased risk of harm to people or the environment, as these risks would still be managed via a scientifically rigorous assessment process. </w:t>
      </w:r>
    </w:p>
    <w:p w14:paraId="362A172A" w14:textId="77777777" w:rsidR="00F13EEC" w:rsidRDefault="00F13EEC" w:rsidP="00C64379">
      <w:pPr>
        <w:ind w:left="0"/>
        <w:rPr>
          <w:rFonts w:asciiTheme="minorHAnsi" w:hAnsiTheme="minorHAnsi" w:cs="Arial"/>
          <w:sz w:val="24"/>
          <w:szCs w:val="24"/>
        </w:rPr>
      </w:pPr>
    </w:p>
    <w:p w14:paraId="362A172B" w14:textId="77777777" w:rsidR="00F13EEC" w:rsidRDefault="00F13EEC" w:rsidP="00C64379">
      <w:pPr>
        <w:ind w:left="0"/>
        <w:rPr>
          <w:rFonts w:asciiTheme="minorHAnsi" w:hAnsiTheme="minorHAnsi" w:cs="Arial"/>
          <w:b/>
          <w:sz w:val="28"/>
          <w:szCs w:val="28"/>
          <w:u w:val="single"/>
        </w:rPr>
      </w:pPr>
      <w:r>
        <w:rPr>
          <w:rFonts w:asciiTheme="minorHAnsi" w:hAnsiTheme="minorHAnsi" w:cs="Arial"/>
          <w:b/>
          <w:sz w:val="28"/>
          <w:szCs w:val="28"/>
          <w:u w:val="single"/>
        </w:rPr>
        <w:t>Alignment with New Zealand:</w:t>
      </w:r>
    </w:p>
    <w:p w14:paraId="362A172C" w14:textId="77777777" w:rsidR="00F13EEC" w:rsidRDefault="00F13EEC" w:rsidP="00C64379">
      <w:pPr>
        <w:ind w:left="0"/>
        <w:rPr>
          <w:rFonts w:asciiTheme="minorHAnsi" w:hAnsiTheme="minorHAnsi" w:cs="Arial"/>
          <w:b/>
          <w:sz w:val="28"/>
          <w:szCs w:val="28"/>
          <w:u w:val="single"/>
        </w:rPr>
      </w:pPr>
    </w:p>
    <w:p w14:paraId="362A172D" w14:textId="77777777" w:rsidR="00F13EEC" w:rsidRDefault="00F13EEC" w:rsidP="00C64379">
      <w:pPr>
        <w:ind w:left="0"/>
        <w:rPr>
          <w:rFonts w:asciiTheme="minorHAnsi" w:hAnsiTheme="minorHAnsi" w:cs="Arial"/>
          <w:sz w:val="24"/>
          <w:szCs w:val="24"/>
        </w:rPr>
      </w:pPr>
      <w:r>
        <w:rPr>
          <w:rFonts w:asciiTheme="minorHAnsi" w:hAnsiTheme="minorHAnsi" w:cs="Arial"/>
          <w:sz w:val="24"/>
          <w:szCs w:val="24"/>
        </w:rPr>
        <w:t>The agricultural, equine and companion animal markets in Australia and New Zealand are mostly similar, with the exceptions of certain diseases and pathogens that can be clearly identified.</w:t>
      </w:r>
    </w:p>
    <w:p w14:paraId="362A172E" w14:textId="77777777" w:rsidR="00C02D30" w:rsidRDefault="00C02D30" w:rsidP="00C64379">
      <w:pPr>
        <w:ind w:left="0"/>
        <w:rPr>
          <w:rFonts w:asciiTheme="minorHAnsi" w:hAnsiTheme="minorHAnsi" w:cs="Arial"/>
          <w:sz w:val="24"/>
          <w:szCs w:val="24"/>
        </w:rPr>
      </w:pPr>
    </w:p>
    <w:p w14:paraId="362A172F" w14:textId="77777777" w:rsidR="003A3C7B" w:rsidRDefault="00C02D30" w:rsidP="00C64379">
      <w:pPr>
        <w:ind w:left="0"/>
        <w:rPr>
          <w:rFonts w:asciiTheme="minorHAnsi" w:hAnsiTheme="minorHAnsi" w:cs="Arial"/>
          <w:sz w:val="24"/>
          <w:szCs w:val="24"/>
        </w:rPr>
      </w:pPr>
      <w:r>
        <w:rPr>
          <w:rFonts w:asciiTheme="minorHAnsi" w:hAnsiTheme="minorHAnsi" w:cs="Arial"/>
          <w:sz w:val="24"/>
          <w:szCs w:val="24"/>
        </w:rPr>
        <w:t xml:space="preserve">The APVMA and New Zealand’s regulator (ACVM) have regular contact and most registered products are common to both.  There is however a significant difference in the attitude, processes and efficiency of the two regulators.  </w:t>
      </w:r>
    </w:p>
    <w:p w14:paraId="362A1730" w14:textId="77777777" w:rsidR="00C02D30" w:rsidRDefault="00C02D30" w:rsidP="00C64379">
      <w:pPr>
        <w:ind w:left="0"/>
        <w:rPr>
          <w:rFonts w:asciiTheme="minorHAnsi" w:hAnsiTheme="minorHAnsi" w:cs="Arial"/>
          <w:sz w:val="24"/>
          <w:szCs w:val="24"/>
        </w:rPr>
      </w:pPr>
      <w:r>
        <w:rPr>
          <w:rFonts w:asciiTheme="minorHAnsi" w:hAnsiTheme="minorHAnsi" w:cs="Arial"/>
          <w:sz w:val="24"/>
          <w:szCs w:val="24"/>
        </w:rPr>
        <w:lastRenderedPageBreak/>
        <w:t>NZ for example has a target for assessments of 40 business days (currently averaging 65 days and the ACVM advises that it is ‘embarrassed’ by this failure to meet targets), whereas the APVMA’s minimum</w:t>
      </w:r>
      <w:r w:rsidR="003A3C7B">
        <w:rPr>
          <w:rFonts w:asciiTheme="minorHAnsi" w:hAnsiTheme="minorHAnsi" w:cs="Arial"/>
          <w:sz w:val="24"/>
          <w:szCs w:val="24"/>
        </w:rPr>
        <w:t xml:space="preserve"> statutory period</w:t>
      </w:r>
      <w:r>
        <w:rPr>
          <w:rFonts w:asciiTheme="minorHAnsi" w:hAnsiTheme="minorHAnsi" w:cs="Arial"/>
          <w:sz w:val="24"/>
          <w:szCs w:val="24"/>
        </w:rPr>
        <w:t xml:space="preserve"> is 90 days plus one month preliminary assessment for a simple ‘repack’ </w:t>
      </w:r>
      <w:r w:rsidR="003A3C7B">
        <w:rPr>
          <w:rFonts w:asciiTheme="minorHAnsi" w:hAnsiTheme="minorHAnsi" w:cs="Arial"/>
          <w:sz w:val="24"/>
          <w:szCs w:val="24"/>
        </w:rPr>
        <w:t>(</w:t>
      </w:r>
      <w:r>
        <w:rPr>
          <w:rFonts w:asciiTheme="minorHAnsi" w:hAnsiTheme="minorHAnsi" w:cs="Arial"/>
          <w:sz w:val="24"/>
          <w:szCs w:val="24"/>
        </w:rPr>
        <w:t>that is</w:t>
      </w:r>
      <w:r w:rsidR="003A3C7B">
        <w:rPr>
          <w:rFonts w:asciiTheme="minorHAnsi" w:hAnsiTheme="minorHAnsi" w:cs="Arial"/>
          <w:sz w:val="24"/>
          <w:szCs w:val="24"/>
        </w:rPr>
        <w:t xml:space="preserve"> a direct copy of an existing product manufactured by the same company in the same facility with an identical label).  Even a closely similar’ product under Item 6</w:t>
      </w:r>
      <w:r>
        <w:rPr>
          <w:rFonts w:asciiTheme="minorHAnsi" w:hAnsiTheme="minorHAnsi" w:cs="Arial"/>
          <w:sz w:val="24"/>
          <w:szCs w:val="24"/>
        </w:rPr>
        <w:t xml:space="preserve"> </w:t>
      </w:r>
      <w:r w:rsidR="003A3C7B">
        <w:rPr>
          <w:rFonts w:asciiTheme="minorHAnsi" w:hAnsiTheme="minorHAnsi" w:cs="Arial"/>
          <w:sz w:val="24"/>
          <w:szCs w:val="24"/>
        </w:rPr>
        <w:t xml:space="preserve">with approval from the original registrant to access and use their formulation is an 8 month period plus the one month preliminary assessment period. More complex applications of course take much longer and the APVMA consistently </w:t>
      </w:r>
      <w:r>
        <w:rPr>
          <w:rFonts w:asciiTheme="minorHAnsi" w:hAnsiTheme="minorHAnsi" w:cs="Arial"/>
          <w:sz w:val="24"/>
          <w:szCs w:val="24"/>
        </w:rPr>
        <w:t>fail</w:t>
      </w:r>
      <w:r w:rsidR="003A3C7B">
        <w:rPr>
          <w:rFonts w:asciiTheme="minorHAnsi" w:hAnsiTheme="minorHAnsi" w:cs="Arial"/>
          <w:sz w:val="24"/>
          <w:szCs w:val="24"/>
        </w:rPr>
        <w:t>s</w:t>
      </w:r>
      <w:r>
        <w:rPr>
          <w:rFonts w:asciiTheme="minorHAnsi" w:hAnsiTheme="minorHAnsi" w:cs="Arial"/>
          <w:sz w:val="24"/>
          <w:szCs w:val="24"/>
        </w:rPr>
        <w:t xml:space="preserve"> to meet</w:t>
      </w:r>
      <w:r w:rsidR="003A3C7B">
        <w:rPr>
          <w:rFonts w:asciiTheme="minorHAnsi" w:hAnsiTheme="minorHAnsi" w:cs="Arial"/>
          <w:sz w:val="24"/>
          <w:szCs w:val="24"/>
        </w:rPr>
        <w:t xml:space="preserve"> even</w:t>
      </w:r>
      <w:r>
        <w:rPr>
          <w:rFonts w:asciiTheme="minorHAnsi" w:hAnsiTheme="minorHAnsi" w:cs="Arial"/>
          <w:sz w:val="24"/>
          <w:szCs w:val="24"/>
        </w:rPr>
        <w:t xml:space="preserve"> these targets.  ‘Embarrassment’ does not appear to be in the APVMA’s lexicon.</w:t>
      </w:r>
    </w:p>
    <w:p w14:paraId="362A1731" w14:textId="77777777" w:rsidR="005333FF" w:rsidRDefault="005333FF" w:rsidP="00C64379">
      <w:pPr>
        <w:ind w:left="0"/>
        <w:rPr>
          <w:rFonts w:asciiTheme="minorHAnsi" w:hAnsiTheme="minorHAnsi" w:cs="Arial"/>
          <w:sz w:val="24"/>
          <w:szCs w:val="24"/>
        </w:rPr>
      </w:pPr>
    </w:p>
    <w:p w14:paraId="362A1732" w14:textId="77777777" w:rsidR="005333FF" w:rsidRDefault="005333FF" w:rsidP="00C64379">
      <w:pPr>
        <w:ind w:left="0"/>
        <w:rPr>
          <w:rFonts w:asciiTheme="minorHAnsi" w:hAnsiTheme="minorHAnsi" w:cs="Arial"/>
          <w:sz w:val="24"/>
          <w:szCs w:val="24"/>
        </w:rPr>
      </w:pPr>
      <w:r>
        <w:rPr>
          <w:rFonts w:asciiTheme="minorHAnsi" w:hAnsiTheme="minorHAnsi" w:cs="Arial"/>
          <w:sz w:val="24"/>
          <w:szCs w:val="24"/>
        </w:rPr>
        <w:t>New Zealand also has positive and progressive attitudes in the following areas of regulation of veterinary medicines:</w:t>
      </w:r>
    </w:p>
    <w:p w14:paraId="362A1733" w14:textId="77777777" w:rsidR="005333FF" w:rsidRDefault="00F76D33" w:rsidP="005333FF">
      <w:pPr>
        <w:pStyle w:val="ListParagraph"/>
        <w:numPr>
          <w:ilvl w:val="0"/>
          <w:numId w:val="20"/>
        </w:numPr>
        <w:rPr>
          <w:rFonts w:asciiTheme="minorHAnsi" w:hAnsiTheme="minorHAnsi" w:cs="Arial"/>
          <w:sz w:val="24"/>
          <w:szCs w:val="24"/>
        </w:rPr>
      </w:pPr>
      <w:r>
        <w:rPr>
          <w:rFonts w:asciiTheme="minorHAnsi" w:hAnsiTheme="minorHAnsi" w:cs="Arial"/>
          <w:sz w:val="24"/>
          <w:szCs w:val="24"/>
        </w:rPr>
        <w:t>Low risk products where they look only at those aspects that are of concern and have blanket exemptions in place for a range of product categories.</w:t>
      </w:r>
    </w:p>
    <w:p w14:paraId="362A1734" w14:textId="77777777" w:rsidR="00F76D33" w:rsidRDefault="00F76D33" w:rsidP="005333FF">
      <w:pPr>
        <w:pStyle w:val="ListParagraph"/>
        <w:numPr>
          <w:ilvl w:val="0"/>
          <w:numId w:val="20"/>
        </w:numPr>
        <w:rPr>
          <w:rFonts w:asciiTheme="minorHAnsi" w:hAnsiTheme="minorHAnsi" w:cs="Arial"/>
          <w:sz w:val="24"/>
          <w:szCs w:val="24"/>
        </w:rPr>
      </w:pPr>
      <w:r>
        <w:rPr>
          <w:rFonts w:asciiTheme="minorHAnsi" w:hAnsiTheme="minorHAnsi" w:cs="Arial"/>
          <w:sz w:val="24"/>
          <w:szCs w:val="24"/>
        </w:rPr>
        <w:t>Clear legislation compelling the regulator to use all information at their disposal for the purposed of assessing a product.</w:t>
      </w:r>
    </w:p>
    <w:p w14:paraId="362A1735" w14:textId="77777777" w:rsidR="00F76D33" w:rsidRDefault="00F76D33" w:rsidP="005333FF">
      <w:pPr>
        <w:pStyle w:val="ListParagraph"/>
        <w:numPr>
          <w:ilvl w:val="0"/>
          <w:numId w:val="20"/>
        </w:numPr>
        <w:rPr>
          <w:rFonts w:asciiTheme="minorHAnsi" w:hAnsiTheme="minorHAnsi" w:cs="Arial"/>
          <w:sz w:val="24"/>
          <w:szCs w:val="24"/>
        </w:rPr>
      </w:pPr>
      <w:r>
        <w:rPr>
          <w:rFonts w:asciiTheme="minorHAnsi" w:hAnsiTheme="minorHAnsi" w:cs="Arial"/>
          <w:sz w:val="24"/>
          <w:szCs w:val="24"/>
        </w:rPr>
        <w:t>Negotiated MRA with EU whereas the APVMA claims that this is ‘difficult’ and may take 10 years, adding impediments and costs for local registrants attempting to export to Europe.</w:t>
      </w:r>
    </w:p>
    <w:p w14:paraId="362A1736" w14:textId="77777777" w:rsidR="00F76D33" w:rsidRDefault="0078326F" w:rsidP="005333FF">
      <w:pPr>
        <w:pStyle w:val="ListParagraph"/>
        <w:numPr>
          <w:ilvl w:val="0"/>
          <w:numId w:val="20"/>
        </w:numPr>
        <w:rPr>
          <w:rFonts w:asciiTheme="minorHAnsi" w:hAnsiTheme="minorHAnsi" w:cs="Arial"/>
          <w:sz w:val="24"/>
          <w:szCs w:val="24"/>
        </w:rPr>
      </w:pPr>
      <w:r>
        <w:rPr>
          <w:rFonts w:asciiTheme="minorHAnsi" w:hAnsiTheme="minorHAnsi" w:cs="Arial"/>
          <w:sz w:val="24"/>
          <w:szCs w:val="24"/>
        </w:rPr>
        <w:t>Application costs in the range of $2-10k, significantly lower than Australia.</w:t>
      </w:r>
    </w:p>
    <w:p w14:paraId="362A1737" w14:textId="77777777" w:rsidR="0078326F" w:rsidRDefault="0078326F" w:rsidP="005333FF">
      <w:pPr>
        <w:pStyle w:val="ListParagraph"/>
        <w:numPr>
          <w:ilvl w:val="0"/>
          <w:numId w:val="20"/>
        </w:numPr>
        <w:rPr>
          <w:rFonts w:asciiTheme="minorHAnsi" w:hAnsiTheme="minorHAnsi" w:cs="Arial"/>
          <w:sz w:val="24"/>
          <w:szCs w:val="24"/>
        </w:rPr>
      </w:pPr>
      <w:r>
        <w:rPr>
          <w:rFonts w:asciiTheme="minorHAnsi" w:hAnsiTheme="minorHAnsi" w:cs="Arial"/>
          <w:sz w:val="24"/>
          <w:szCs w:val="24"/>
        </w:rPr>
        <w:t>Use of contract external assessors selected and paid for by applicants from an approved panel.  The APVMA has been ‘talking’ about this for several years without any progress to implementation.</w:t>
      </w:r>
    </w:p>
    <w:p w14:paraId="362A1738" w14:textId="77777777" w:rsidR="0078326F" w:rsidRDefault="0078326F" w:rsidP="0078326F">
      <w:pPr>
        <w:ind w:left="0"/>
        <w:rPr>
          <w:rFonts w:asciiTheme="minorHAnsi" w:hAnsiTheme="minorHAnsi" w:cs="Arial"/>
          <w:sz w:val="24"/>
          <w:szCs w:val="24"/>
        </w:rPr>
      </w:pPr>
    </w:p>
    <w:p w14:paraId="362A1739" w14:textId="77777777" w:rsidR="0078326F" w:rsidRDefault="0078326F" w:rsidP="0078326F">
      <w:pPr>
        <w:ind w:left="0"/>
        <w:rPr>
          <w:rFonts w:asciiTheme="minorHAnsi" w:hAnsiTheme="minorHAnsi" w:cs="Arial"/>
          <w:sz w:val="24"/>
          <w:szCs w:val="24"/>
        </w:rPr>
      </w:pPr>
      <w:r>
        <w:rPr>
          <w:rFonts w:asciiTheme="minorHAnsi" w:hAnsiTheme="minorHAnsi" w:cs="Arial"/>
          <w:sz w:val="24"/>
          <w:szCs w:val="24"/>
        </w:rPr>
        <w:t>Add to these points the positive attitude of the New Zealand government in assisting their export-involved industries, rather than acting as a ‘gatekeeper’ as the APVMA does.</w:t>
      </w:r>
    </w:p>
    <w:p w14:paraId="362A173A" w14:textId="77777777" w:rsidR="0078326F" w:rsidRDefault="0078326F" w:rsidP="0078326F">
      <w:pPr>
        <w:ind w:left="0"/>
        <w:rPr>
          <w:rFonts w:asciiTheme="minorHAnsi" w:hAnsiTheme="minorHAnsi" w:cs="Arial"/>
          <w:sz w:val="24"/>
          <w:szCs w:val="24"/>
        </w:rPr>
      </w:pPr>
    </w:p>
    <w:p w14:paraId="362A173B" w14:textId="77777777" w:rsidR="0078326F" w:rsidRDefault="0078326F" w:rsidP="0078326F">
      <w:pPr>
        <w:ind w:left="0"/>
        <w:rPr>
          <w:rFonts w:asciiTheme="minorHAnsi" w:hAnsiTheme="minorHAnsi" w:cs="Arial"/>
          <w:b/>
          <w:sz w:val="24"/>
          <w:szCs w:val="24"/>
        </w:rPr>
      </w:pPr>
      <w:r>
        <w:rPr>
          <w:rFonts w:asciiTheme="minorHAnsi" w:hAnsiTheme="minorHAnsi" w:cs="Arial"/>
          <w:b/>
          <w:sz w:val="24"/>
          <w:szCs w:val="24"/>
        </w:rPr>
        <w:t>Recommendation:</w:t>
      </w:r>
    </w:p>
    <w:p w14:paraId="362A173C" w14:textId="77777777" w:rsidR="0078326F" w:rsidRDefault="0078326F" w:rsidP="0078326F">
      <w:pPr>
        <w:ind w:left="0"/>
        <w:rPr>
          <w:rFonts w:asciiTheme="minorHAnsi" w:hAnsiTheme="minorHAnsi" w:cs="Arial"/>
          <w:b/>
          <w:sz w:val="24"/>
          <w:szCs w:val="24"/>
        </w:rPr>
      </w:pPr>
    </w:p>
    <w:p w14:paraId="362A173D" w14:textId="77777777" w:rsidR="0078326F" w:rsidRDefault="0078326F" w:rsidP="0078326F">
      <w:pPr>
        <w:ind w:left="0"/>
        <w:rPr>
          <w:rFonts w:asciiTheme="minorHAnsi" w:hAnsiTheme="minorHAnsi" w:cs="Arial"/>
          <w:sz w:val="24"/>
          <w:szCs w:val="24"/>
        </w:rPr>
      </w:pPr>
      <w:r>
        <w:rPr>
          <w:rFonts w:asciiTheme="minorHAnsi" w:hAnsiTheme="minorHAnsi" w:cs="Arial"/>
          <w:sz w:val="24"/>
          <w:szCs w:val="24"/>
        </w:rPr>
        <w:t xml:space="preserve">That the New Zealand model for veterinary medicine registration is applied where applicable to the activities of the APVMA and that the APVMA be required to demonstrate reasons why the more progressive and cooperative </w:t>
      </w:r>
      <w:r>
        <w:rPr>
          <w:rFonts w:asciiTheme="minorHAnsi" w:hAnsiTheme="minorHAnsi" w:cs="Arial"/>
          <w:sz w:val="24"/>
          <w:szCs w:val="24"/>
          <w:u w:val="single"/>
        </w:rPr>
        <w:t>cannot</w:t>
      </w:r>
      <w:r>
        <w:rPr>
          <w:rFonts w:asciiTheme="minorHAnsi" w:hAnsiTheme="minorHAnsi" w:cs="Arial"/>
          <w:sz w:val="24"/>
          <w:szCs w:val="24"/>
        </w:rPr>
        <w:t xml:space="preserve"> be implemented in Australia, rather than to constantly search for and put in place ‘roadblocks’.</w:t>
      </w:r>
    </w:p>
    <w:p w14:paraId="362A173E" w14:textId="77777777" w:rsidR="0078326F" w:rsidRDefault="0078326F" w:rsidP="0078326F">
      <w:pPr>
        <w:ind w:left="0"/>
        <w:rPr>
          <w:rFonts w:asciiTheme="minorHAnsi" w:hAnsiTheme="minorHAnsi" w:cs="Arial"/>
          <w:sz w:val="24"/>
          <w:szCs w:val="24"/>
        </w:rPr>
      </w:pPr>
    </w:p>
    <w:p w14:paraId="362A173F" w14:textId="77777777" w:rsidR="00B21B63" w:rsidRDefault="00B21B63" w:rsidP="0078326F">
      <w:pPr>
        <w:ind w:left="0"/>
        <w:rPr>
          <w:rFonts w:asciiTheme="minorHAnsi" w:hAnsiTheme="minorHAnsi" w:cs="Arial"/>
          <w:b/>
          <w:sz w:val="28"/>
          <w:szCs w:val="28"/>
          <w:u w:val="single"/>
        </w:rPr>
      </w:pPr>
      <w:proofErr w:type="spellStart"/>
      <w:r>
        <w:rPr>
          <w:rFonts w:asciiTheme="minorHAnsi" w:hAnsiTheme="minorHAnsi" w:cs="Arial"/>
          <w:b/>
          <w:sz w:val="28"/>
          <w:szCs w:val="28"/>
          <w:u w:val="single"/>
        </w:rPr>
        <w:t>AgVet</w:t>
      </w:r>
      <w:proofErr w:type="spellEnd"/>
      <w:r>
        <w:rPr>
          <w:rFonts w:asciiTheme="minorHAnsi" w:hAnsiTheme="minorHAnsi" w:cs="Arial"/>
          <w:b/>
          <w:sz w:val="28"/>
          <w:szCs w:val="28"/>
          <w:u w:val="single"/>
        </w:rPr>
        <w:t xml:space="preserve"> Chemical Legislative Reforms:</w:t>
      </w:r>
    </w:p>
    <w:p w14:paraId="362A1740" w14:textId="77777777" w:rsidR="005314BD" w:rsidRDefault="005314BD" w:rsidP="0078326F">
      <w:pPr>
        <w:ind w:left="0"/>
        <w:rPr>
          <w:rFonts w:asciiTheme="minorHAnsi" w:hAnsiTheme="minorHAnsi" w:cs="Arial"/>
          <w:b/>
          <w:sz w:val="28"/>
          <w:szCs w:val="28"/>
          <w:u w:val="single"/>
        </w:rPr>
      </w:pPr>
    </w:p>
    <w:p w14:paraId="362A1741" w14:textId="77777777" w:rsidR="005314BD" w:rsidRPr="00635F10" w:rsidRDefault="005314BD" w:rsidP="005314BD">
      <w:pPr>
        <w:ind w:left="0"/>
        <w:rPr>
          <w:rFonts w:asciiTheme="minorHAnsi" w:hAnsiTheme="minorHAnsi" w:cs="Arial"/>
          <w:sz w:val="24"/>
          <w:szCs w:val="24"/>
        </w:rPr>
      </w:pPr>
      <w:r w:rsidRPr="00635F10">
        <w:rPr>
          <w:rFonts w:asciiTheme="minorHAnsi" w:hAnsiTheme="minorHAnsi" w:cs="Arial"/>
          <w:sz w:val="24"/>
          <w:szCs w:val="24"/>
        </w:rPr>
        <w:t>There are important reforms needed immediately to streamline the assessment of agricultural and veterinary chemical products and active constituents in Australia that are not currently included in the reforms proposed and progressed by the Department of Agriculture and Water Resources (the Department). These reform</w:t>
      </w:r>
      <w:r w:rsidR="00635F10" w:rsidRPr="00635F10">
        <w:rPr>
          <w:rFonts w:asciiTheme="minorHAnsi" w:hAnsiTheme="minorHAnsi" w:cs="Arial"/>
          <w:sz w:val="24"/>
          <w:szCs w:val="24"/>
        </w:rPr>
        <w:t>s generally have the support of industry.</w:t>
      </w:r>
    </w:p>
    <w:p w14:paraId="362A1742" w14:textId="77777777" w:rsidR="005314BD" w:rsidRPr="005314BD" w:rsidRDefault="005314BD" w:rsidP="005314BD">
      <w:pPr>
        <w:ind w:left="0"/>
        <w:rPr>
          <w:rFonts w:asciiTheme="minorHAnsi" w:hAnsiTheme="minorHAnsi" w:cs="Arial"/>
          <w:sz w:val="28"/>
          <w:szCs w:val="28"/>
        </w:rPr>
      </w:pPr>
    </w:p>
    <w:p w14:paraId="362A1743" w14:textId="77777777" w:rsidR="00635F10" w:rsidRDefault="00635F10" w:rsidP="005314BD">
      <w:pPr>
        <w:ind w:left="0"/>
        <w:rPr>
          <w:rFonts w:asciiTheme="minorHAnsi" w:hAnsiTheme="minorHAnsi" w:cs="Arial"/>
          <w:sz w:val="28"/>
          <w:szCs w:val="28"/>
        </w:rPr>
      </w:pPr>
    </w:p>
    <w:p w14:paraId="362A1744" w14:textId="77777777" w:rsidR="00635F10" w:rsidRDefault="00635F10" w:rsidP="005314BD">
      <w:pPr>
        <w:ind w:left="0"/>
        <w:rPr>
          <w:rFonts w:asciiTheme="minorHAnsi" w:hAnsiTheme="minorHAnsi" w:cs="Arial"/>
          <w:sz w:val="28"/>
          <w:szCs w:val="28"/>
        </w:rPr>
      </w:pPr>
    </w:p>
    <w:p w14:paraId="362A1745" w14:textId="77777777" w:rsidR="005314BD" w:rsidRPr="00635F10" w:rsidRDefault="005314BD" w:rsidP="005314BD">
      <w:pPr>
        <w:ind w:left="0"/>
        <w:rPr>
          <w:rFonts w:asciiTheme="minorHAnsi" w:hAnsiTheme="minorHAnsi" w:cs="Arial"/>
          <w:b/>
          <w:sz w:val="24"/>
          <w:szCs w:val="24"/>
        </w:rPr>
      </w:pPr>
      <w:r w:rsidRPr="00635F10">
        <w:rPr>
          <w:rFonts w:asciiTheme="minorHAnsi" w:hAnsiTheme="minorHAnsi" w:cs="Arial"/>
          <w:b/>
          <w:sz w:val="24"/>
          <w:szCs w:val="24"/>
        </w:rPr>
        <w:lastRenderedPageBreak/>
        <w:t>Annua</w:t>
      </w:r>
      <w:r w:rsidR="00635F10">
        <w:rPr>
          <w:rFonts w:asciiTheme="minorHAnsi" w:hAnsiTheme="minorHAnsi" w:cs="Arial"/>
          <w:b/>
          <w:sz w:val="24"/>
          <w:szCs w:val="24"/>
        </w:rPr>
        <w:t>l Return on Active Constituents:</w:t>
      </w:r>
    </w:p>
    <w:p w14:paraId="362A1746" w14:textId="77777777" w:rsidR="005314BD" w:rsidRPr="005314BD" w:rsidRDefault="005314BD" w:rsidP="005314BD">
      <w:pPr>
        <w:ind w:left="0"/>
        <w:rPr>
          <w:rFonts w:asciiTheme="minorHAnsi" w:hAnsiTheme="minorHAnsi" w:cs="Arial"/>
          <w:sz w:val="28"/>
          <w:szCs w:val="28"/>
        </w:rPr>
      </w:pPr>
    </w:p>
    <w:p w14:paraId="362A1747" w14:textId="77777777" w:rsidR="00635F10" w:rsidRPr="00635F10" w:rsidRDefault="005314BD" w:rsidP="005314BD">
      <w:pPr>
        <w:ind w:left="0"/>
        <w:rPr>
          <w:rFonts w:asciiTheme="minorHAnsi" w:hAnsiTheme="minorHAnsi" w:cs="Arial"/>
          <w:sz w:val="24"/>
          <w:szCs w:val="24"/>
        </w:rPr>
      </w:pPr>
      <w:r w:rsidRPr="00635F10">
        <w:rPr>
          <w:rFonts w:asciiTheme="minorHAnsi" w:hAnsiTheme="minorHAnsi" w:cs="Arial"/>
          <w:sz w:val="24"/>
          <w:szCs w:val="24"/>
        </w:rPr>
        <w:t>The APVMA on behalf</w:t>
      </w:r>
      <w:r w:rsidR="00635F10" w:rsidRPr="00635F10">
        <w:rPr>
          <w:rFonts w:asciiTheme="minorHAnsi" w:hAnsiTheme="minorHAnsi" w:cs="Arial"/>
          <w:sz w:val="24"/>
          <w:szCs w:val="24"/>
        </w:rPr>
        <w:t xml:space="preserve"> of</w:t>
      </w:r>
      <w:r w:rsidRPr="00635F10">
        <w:rPr>
          <w:rFonts w:asciiTheme="minorHAnsi" w:hAnsiTheme="minorHAnsi" w:cs="Arial"/>
          <w:sz w:val="24"/>
          <w:szCs w:val="24"/>
        </w:rPr>
        <w:t xml:space="preserve"> and at the direction of the Department will require registrants and holders to report on amounts of active constituents imported, manufactured and exported each financial year, commencing</w:t>
      </w:r>
      <w:r w:rsidR="00635F10" w:rsidRPr="00635F10">
        <w:rPr>
          <w:rFonts w:asciiTheme="minorHAnsi" w:hAnsiTheme="minorHAnsi" w:cs="Arial"/>
          <w:sz w:val="24"/>
          <w:szCs w:val="24"/>
        </w:rPr>
        <w:t xml:space="preserve"> </w:t>
      </w:r>
      <w:r w:rsidRPr="00635F10">
        <w:rPr>
          <w:rFonts w:asciiTheme="minorHAnsi" w:hAnsiTheme="minorHAnsi" w:cs="Arial"/>
          <w:sz w:val="24"/>
          <w:szCs w:val="24"/>
        </w:rPr>
        <w:t xml:space="preserve">with the financial year 2015–16. </w:t>
      </w:r>
    </w:p>
    <w:p w14:paraId="362A1748" w14:textId="77777777" w:rsidR="00635F10" w:rsidRPr="00635F10" w:rsidRDefault="00635F10" w:rsidP="005314BD">
      <w:pPr>
        <w:ind w:left="0"/>
        <w:rPr>
          <w:rFonts w:asciiTheme="minorHAnsi" w:hAnsiTheme="minorHAnsi" w:cs="Arial"/>
          <w:sz w:val="24"/>
          <w:szCs w:val="24"/>
        </w:rPr>
      </w:pPr>
    </w:p>
    <w:p w14:paraId="362A1749" w14:textId="77777777" w:rsidR="00635F10" w:rsidRPr="00635F10" w:rsidRDefault="005314BD" w:rsidP="005314BD">
      <w:pPr>
        <w:ind w:left="0"/>
        <w:rPr>
          <w:rFonts w:asciiTheme="minorHAnsi" w:hAnsiTheme="minorHAnsi" w:cs="Arial"/>
          <w:sz w:val="24"/>
          <w:szCs w:val="24"/>
        </w:rPr>
      </w:pPr>
      <w:r w:rsidRPr="00635F10">
        <w:rPr>
          <w:rFonts w:asciiTheme="minorHAnsi" w:hAnsiTheme="minorHAnsi" w:cs="Arial"/>
          <w:sz w:val="24"/>
          <w:szCs w:val="24"/>
        </w:rPr>
        <w:t xml:space="preserve">This is as a result of section 69E of the Agricultural and Veterinary Chemicals (Administration) Act 1992 which has been in place since 1995, but has not been enforced by the APVMA since 2006. Data to be passed to the Department by the APVMA will not specifically identify holders or intentionally disclose confidential commercial information. However, considering the limited number of manufacturers in Australia, Industry believes that it may not be possible to achieve this. </w:t>
      </w:r>
    </w:p>
    <w:p w14:paraId="362A174A" w14:textId="77777777" w:rsidR="00635F10" w:rsidRPr="00635F10" w:rsidRDefault="00635F10" w:rsidP="005314BD">
      <w:pPr>
        <w:ind w:left="0"/>
        <w:rPr>
          <w:rFonts w:asciiTheme="minorHAnsi" w:hAnsiTheme="minorHAnsi" w:cs="Arial"/>
          <w:sz w:val="24"/>
          <w:szCs w:val="24"/>
        </w:rPr>
      </w:pPr>
    </w:p>
    <w:p w14:paraId="362A174B" w14:textId="77777777" w:rsidR="005314BD" w:rsidRPr="00635F10" w:rsidRDefault="005314BD" w:rsidP="005314BD">
      <w:pPr>
        <w:ind w:left="0"/>
        <w:rPr>
          <w:rFonts w:asciiTheme="minorHAnsi" w:hAnsiTheme="minorHAnsi" w:cs="Arial"/>
          <w:sz w:val="24"/>
          <w:szCs w:val="24"/>
        </w:rPr>
      </w:pPr>
      <w:r w:rsidRPr="00635F10">
        <w:rPr>
          <w:rFonts w:asciiTheme="minorHAnsi" w:hAnsiTheme="minorHAnsi" w:cs="Arial"/>
          <w:sz w:val="24"/>
          <w:szCs w:val="24"/>
        </w:rPr>
        <w:t>Industr</w:t>
      </w:r>
      <w:r w:rsidR="00635F10" w:rsidRPr="00635F10">
        <w:rPr>
          <w:rFonts w:asciiTheme="minorHAnsi" w:hAnsiTheme="minorHAnsi" w:cs="Arial"/>
          <w:sz w:val="24"/>
          <w:szCs w:val="24"/>
        </w:rPr>
        <w:t>y contends that this</w:t>
      </w:r>
      <w:r w:rsidRPr="00635F10">
        <w:rPr>
          <w:rFonts w:asciiTheme="minorHAnsi" w:hAnsiTheme="minorHAnsi" w:cs="Arial"/>
          <w:sz w:val="24"/>
          <w:szCs w:val="24"/>
        </w:rPr>
        <w:t xml:space="preserve"> is an unnecessary regulatory burden and should be removed immediately. </w:t>
      </w:r>
      <w:r w:rsidR="00635F10" w:rsidRPr="00635F10">
        <w:rPr>
          <w:rFonts w:asciiTheme="minorHAnsi" w:hAnsiTheme="minorHAnsi" w:cs="Arial"/>
          <w:sz w:val="24"/>
          <w:szCs w:val="24"/>
        </w:rPr>
        <w:t xml:space="preserve">Further, because of the lack of accurate ‘starting’ data due to the APVMA not regulating many companies involved in the chain of importing and distribution, subsequent data are meaningless.  </w:t>
      </w:r>
      <w:r w:rsidRPr="00635F10">
        <w:rPr>
          <w:rFonts w:asciiTheme="minorHAnsi" w:hAnsiTheme="minorHAnsi" w:cs="Arial"/>
          <w:sz w:val="24"/>
          <w:szCs w:val="24"/>
        </w:rPr>
        <w:t xml:space="preserve">The information has not been collected by the APVMA since 2009, signifying that it is not relevant or useful and even if a reasonable justification for its collection can be manufactured, there are vastly better alternative sources of information that are readily available, such as sales data already generated annually by the APVMA. </w:t>
      </w:r>
    </w:p>
    <w:p w14:paraId="362A174C" w14:textId="77777777" w:rsidR="005314BD" w:rsidRPr="005314BD" w:rsidRDefault="005314BD" w:rsidP="005314BD">
      <w:pPr>
        <w:ind w:left="0"/>
        <w:rPr>
          <w:rFonts w:asciiTheme="minorHAnsi" w:hAnsiTheme="minorHAnsi" w:cs="Arial"/>
          <w:sz w:val="28"/>
          <w:szCs w:val="28"/>
        </w:rPr>
      </w:pPr>
    </w:p>
    <w:p w14:paraId="362A174D" w14:textId="77777777" w:rsidR="00C102B6" w:rsidRPr="00C102B6" w:rsidRDefault="005314BD" w:rsidP="005314BD">
      <w:pPr>
        <w:ind w:left="0"/>
        <w:rPr>
          <w:rFonts w:asciiTheme="minorHAnsi" w:hAnsiTheme="minorHAnsi" w:cs="Arial"/>
          <w:b/>
          <w:sz w:val="24"/>
          <w:szCs w:val="24"/>
        </w:rPr>
      </w:pPr>
      <w:r w:rsidRPr="00C102B6">
        <w:rPr>
          <w:rFonts w:asciiTheme="minorHAnsi" w:hAnsiTheme="minorHAnsi" w:cs="Arial"/>
          <w:b/>
          <w:sz w:val="24"/>
          <w:szCs w:val="24"/>
        </w:rPr>
        <w:t>Mechanisms to facilitate participation by all registrants and/or holders in generating data for active constituents and registered products that are placed under reconsideration</w:t>
      </w:r>
      <w:r w:rsidR="00C102B6" w:rsidRPr="00C102B6">
        <w:rPr>
          <w:rFonts w:asciiTheme="minorHAnsi" w:hAnsiTheme="minorHAnsi" w:cs="Arial"/>
          <w:b/>
          <w:sz w:val="24"/>
          <w:szCs w:val="24"/>
        </w:rPr>
        <w:t>:</w:t>
      </w:r>
    </w:p>
    <w:p w14:paraId="362A174E" w14:textId="77777777" w:rsidR="00C102B6" w:rsidRDefault="00C102B6" w:rsidP="005314BD">
      <w:pPr>
        <w:ind w:left="0"/>
        <w:rPr>
          <w:rFonts w:asciiTheme="minorHAnsi" w:hAnsiTheme="minorHAnsi" w:cs="Arial"/>
          <w:b/>
          <w:sz w:val="28"/>
          <w:szCs w:val="28"/>
        </w:rPr>
      </w:pPr>
    </w:p>
    <w:p w14:paraId="362A174F" w14:textId="77777777" w:rsidR="005314BD" w:rsidRPr="00C102B6" w:rsidRDefault="005314BD" w:rsidP="005314BD">
      <w:pPr>
        <w:ind w:left="0"/>
        <w:rPr>
          <w:rFonts w:asciiTheme="minorHAnsi" w:hAnsiTheme="minorHAnsi" w:cs="Arial"/>
          <w:sz w:val="24"/>
          <w:szCs w:val="24"/>
        </w:rPr>
      </w:pPr>
      <w:r w:rsidRPr="00C102B6">
        <w:rPr>
          <w:rFonts w:asciiTheme="minorHAnsi" w:hAnsiTheme="minorHAnsi" w:cs="Arial"/>
          <w:sz w:val="24"/>
          <w:szCs w:val="24"/>
        </w:rPr>
        <w:t>Industry supports measures to facilitate a more effective reconsideration process and key to this is the introduction of a mechanism to encourage all approval holders and product registrants to participate in data generation activities at an early stage of the reconsideration process. This will ensure those that benefit from the potential continued registration of an active constituent or chemical product are invested into the outcome. Removing incentives to delay decisions to generate additional data would also provide additional</w:t>
      </w:r>
      <w:r w:rsidR="00635F10" w:rsidRPr="00C102B6">
        <w:rPr>
          <w:rFonts w:asciiTheme="minorHAnsi" w:hAnsiTheme="minorHAnsi" w:cs="Arial"/>
          <w:sz w:val="24"/>
          <w:szCs w:val="24"/>
        </w:rPr>
        <w:t xml:space="preserve"> </w:t>
      </w:r>
      <w:r w:rsidRPr="00C102B6">
        <w:rPr>
          <w:rFonts w:asciiTheme="minorHAnsi" w:hAnsiTheme="minorHAnsi" w:cs="Arial"/>
          <w:sz w:val="24"/>
          <w:szCs w:val="24"/>
        </w:rPr>
        <w:t xml:space="preserve">benefit. </w:t>
      </w:r>
    </w:p>
    <w:p w14:paraId="362A1750" w14:textId="77777777" w:rsidR="005314BD" w:rsidRPr="005314BD" w:rsidRDefault="005314BD" w:rsidP="005314BD">
      <w:pPr>
        <w:ind w:left="0"/>
        <w:rPr>
          <w:rFonts w:asciiTheme="minorHAnsi" w:hAnsiTheme="minorHAnsi" w:cs="Arial"/>
          <w:sz w:val="28"/>
          <w:szCs w:val="28"/>
        </w:rPr>
      </w:pPr>
    </w:p>
    <w:p w14:paraId="362A1751" w14:textId="77777777" w:rsidR="00C102B6" w:rsidRPr="00C102B6" w:rsidRDefault="005314BD" w:rsidP="005314BD">
      <w:pPr>
        <w:ind w:left="0"/>
        <w:rPr>
          <w:rFonts w:asciiTheme="minorHAnsi" w:hAnsiTheme="minorHAnsi" w:cs="Arial"/>
          <w:b/>
          <w:sz w:val="24"/>
          <w:szCs w:val="24"/>
        </w:rPr>
      </w:pPr>
      <w:r w:rsidRPr="00C102B6">
        <w:rPr>
          <w:rFonts w:asciiTheme="minorHAnsi" w:hAnsiTheme="minorHAnsi" w:cs="Arial"/>
          <w:b/>
          <w:sz w:val="24"/>
          <w:szCs w:val="24"/>
        </w:rPr>
        <w:t>Provisional registration</w:t>
      </w:r>
      <w:r w:rsidR="00C102B6" w:rsidRPr="00C102B6">
        <w:rPr>
          <w:rFonts w:asciiTheme="minorHAnsi" w:hAnsiTheme="minorHAnsi" w:cs="Arial"/>
          <w:b/>
          <w:sz w:val="24"/>
          <w:szCs w:val="24"/>
        </w:rPr>
        <w:t>:</w:t>
      </w:r>
    </w:p>
    <w:p w14:paraId="362A1752" w14:textId="77777777" w:rsidR="00C102B6" w:rsidRDefault="00C102B6" w:rsidP="005314BD">
      <w:pPr>
        <w:ind w:left="0"/>
        <w:rPr>
          <w:rFonts w:asciiTheme="minorHAnsi" w:hAnsiTheme="minorHAnsi" w:cs="Arial"/>
          <w:sz w:val="28"/>
          <w:szCs w:val="28"/>
        </w:rPr>
      </w:pPr>
    </w:p>
    <w:p w14:paraId="362A1753" w14:textId="77777777" w:rsidR="00C102B6" w:rsidRPr="00C102B6" w:rsidRDefault="005314BD" w:rsidP="005314BD">
      <w:pPr>
        <w:ind w:left="0"/>
        <w:rPr>
          <w:rFonts w:asciiTheme="minorHAnsi" w:hAnsiTheme="minorHAnsi" w:cs="Arial"/>
          <w:sz w:val="24"/>
          <w:szCs w:val="24"/>
        </w:rPr>
      </w:pPr>
      <w:r w:rsidRPr="00C102B6">
        <w:rPr>
          <w:rFonts w:asciiTheme="minorHAnsi" w:hAnsiTheme="minorHAnsi" w:cs="Arial"/>
          <w:sz w:val="24"/>
          <w:szCs w:val="24"/>
        </w:rPr>
        <w:t xml:space="preserve">The introduction of provisional registration would enable Australian farmers’ access to vital tools to control weeds, pests and diseases while outstanding data requirements addressing lower regulatory risk requirements are completed. </w:t>
      </w:r>
    </w:p>
    <w:p w14:paraId="362A1754" w14:textId="77777777" w:rsidR="00C102B6" w:rsidRPr="00C102B6" w:rsidRDefault="00C102B6" w:rsidP="005314BD">
      <w:pPr>
        <w:ind w:left="0"/>
        <w:rPr>
          <w:rFonts w:asciiTheme="minorHAnsi" w:hAnsiTheme="minorHAnsi" w:cs="Arial"/>
          <w:sz w:val="24"/>
          <w:szCs w:val="24"/>
        </w:rPr>
      </w:pPr>
    </w:p>
    <w:p w14:paraId="362A1755" w14:textId="77777777" w:rsidR="005314BD" w:rsidRPr="00C102B6" w:rsidRDefault="005314BD" w:rsidP="005314BD">
      <w:pPr>
        <w:ind w:left="0"/>
        <w:rPr>
          <w:rFonts w:asciiTheme="minorHAnsi" w:hAnsiTheme="minorHAnsi" w:cs="Arial"/>
          <w:sz w:val="24"/>
          <w:szCs w:val="24"/>
        </w:rPr>
      </w:pPr>
      <w:r w:rsidRPr="00C102B6">
        <w:rPr>
          <w:rFonts w:asciiTheme="minorHAnsi" w:hAnsiTheme="minorHAnsi" w:cs="Arial"/>
          <w:sz w:val="24"/>
          <w:szCs w:val="24"/>
        </w:rPr>
        <w:t xml:space="preserve">As it is currently legislated, all data in support of an application for registration must be submitted at the time of application. This forces the situation where all data generation must be completed before an application can be submitted resulting in lengthy delays to the introduction of desperately needed tools for Australian farmers. Legislative amendments to enable provisional registration would allow certain lower regulatory risk data, such as stability data to extend shelf-life, to be generated and </w:t>
      </w:r>
      <w:r w:rsidRPr="00C102B6">
        <w:rPr>
          <w:rFonts w:asciiTheme="minorHAnsi" w:hAnsiTheme="minorHAnsi" w:cs="Arial"/>
          <w:sz w:val="24"/>
          <w:szCs w:val="24"/>
        </w:rPr>
        <w:lastRenderedPageBreak/>
        <w:t xml:space="preserve">submitted after the product has been introduced to the market and the benefits </w:t>
      </w:r>
      <w:proofErr w:type="spellStart"/>
      <w:r w:rsidRPr="00C102B6">
        <w:rPr>
          <w:rFonts w:asciiTheme="minorHAnsi" w:hAnsiTheme="minorHAnsi" w:cs="Arial"/>
          <w:sz w:val="24"/>
          <w:szCs w:val="24"/>
        </w:rPr>
        <w:t>realised</w:t>
      </w:r>
      <w:proofErr w:type="spellEnd"/>
      <w:r w:rsidRPr="00C102B6">
        <w:rPr>
          <w:rFonts w:asciiTheme="minorHAnsi" w:hAnsiTheme="minorHAnsi" w:cs="Arial"/>
          <w:sz w:val="24"/>
          <w:szCs w:val="24"/>
        </w:rPr>
        <w:t xml:space="preserve"> by Australian </w:t>
      </w:r>
      <w:r w:rsidR="00C102B6">
        <w:rPr>
          <w:rFonts w:asciiTheme="minorHAnsi" w:hAnsiTheme="minorHAnsi" w:cs="Arial"/>
          <w:sz w:val="24"/>
          <w:szCs w:val="24"/>
        </w:rPr>
        <w:t>farmers and the community in general.</w:t>
      </w:r>
    </w:p>
    <w:p w14:paraId="362A1756" w14:textId="77777777" w:rsidR="00B21B63" w:rsidRPr="00C102B6" w:rsidRDefault="00B21B63" w:rsidP="0078326F">
      <w:pPr>
        <w:ind w:left="0"/>
        <w:rPr>
          <w:rFonts w:asciiTheme="minorHAnsi" w:hAnsiTheme="minorHAnsi" w:cs="Arial"/>
          <w:b/>
          <w:sz w:val="24"/>
          <w:szCs w:val="24"/>
          <w:u w:val="single"/>
        </w:rPr>
      </w:pPr>
    </w:p>
    <w:p w14:paraId="362A1757" w14:textId="77777777" w:rsidR="0078326F" w:rsidRPr="0078326F" w:rsidRDefault="0078326F" w:rsidP="0078326F">
      <w:pPr>
        <w:ind w:left="0"/>
        <w:rPr>
          <w:rFonts w:asciiTheme="minorHAnsi" w:hAnsiTheme="minorHAnsi" w:cs="Arial"/>
          <w:b/>
          <w:sz w:val="24"/>
          <w:szCs w:val="24"/>
        </w:rPr>
      </w:pPr>
    </w:p>
    <w:p w14:paraId="362A1758" w14:textId="77777777" w:rsidR="003A3C7B" w:rsidRDefault="00B21B63" w:rsidP="00C64379">
      <w:pPr>
        <w:ind w:left="0"/>
        <w:rPr>
          <w:rFonts w:asciiTheme="minorHAnsi" w:hAnsiTheme="minorHAnsi" w:cs="Arial"/>
          <w:b/>
          <w:sz w:val="28"/>
          <w:szCs w:val="28"/>
          <w:u w:val="single"/>
        </w:rPr>
      </w:pPr>
      <w:r>
        <w:rPr>
          <w:rFonts w:asciiTheme="minorHAnsi" w:hAnsiTheme="minorHAnsi" w:cs="Arial"/>
          <w:b/>
          <w:sz w:val="28"/>
          <w:szCs w:val="28"/>
          <w:u w:val="single"/>
        </w:rPr>
        <w:t>Cost Recovery:</w:t>
      </w:r>
    </w:p>
    <w:p w14:paraId="362A1759" w14:textId="77777777" w:rsidR="00B21B63" w:rsidRDefault="00B21B63" w:rsidP="00C64379">
      <w:pPr>
        <w:ind w:left="0"/>
        <w:rPr>
          <w:rFonts w:asciiTheme="minorHAnsi" w:hAnsiTheme="minorHAnsi" w:cs="Arial"/>
          <w:b/>
          <w:sz w:val="28"/>
          <w:szCs w:val="28"/>
          <w:u w:val="single"/>
        </w:rPr>
      </w:pPr>
    </w:p>
    <w:p w14:paraId="362A175A" w14:textId="77777777" w:rsidR="00B21B63" w:rsidRDefault="007101DC" w:rsidP="00C64379">
      <w:pPr>
        <w:ind w:left="0"/>
        <w:rPr>
          <w:rFonts w:asciiTheme="minorHAnsi" w:hAnsiTheme="minorHAnsi" w:cs="Arial"/>
          <w:sz w:val="24"/>
          <w:szCs w:val="24"/>
        </w:rPr>
      </w:pPr>
      <w:r>
        <w:rPr>
          <w:rFonts w:asciiTheme="minorHAnsi" w:hAnsiTheme="minorHAnsi" w:cs="Arial"/>
          <w:sz w:val="24"/>
          <w:szCs w:val="24"/>
        </w:rPr>
        <w:t xml:space="preserve">The 2012 First Principles Cost Recovery Review (as yet not finalized) is focused on ‘tweaking’ the previous arrangements.   Currently </w:t>
      </w:r>
      <w:r w:rsidR="00B21B63">
        <w:rPr>
          <w:rFonts w:asciiTheme="minorHAnsi" w:hAnsiTheme="minorHAnsi" w:cs="Arial"/>
          <w:sz w:val="24"/>
          <w:szCs w:val="24"/>
        </w:rPr>
        <w:t>100% recovery of the operating costs of the APVMA</w:t>
      </w:r>
      <w:r>
        <w:rPr>
          <w:rFonts w:asciiTheme="minorHAnsi" w:hAnsiTheme="minorHAnsi" w:cs="Arial"/>
          <w:sz w:val="24"/>
          <w:szCs w:val="24"/>
        </w:rPr>
        <w:t xml:space="preserve"> is from industry</w:t>
      </w:r>
      <w:r w:rsidR="00B21B63">
        <w:rPr>
          <w:rFonts w:asciiTheme="minorHAnsi" w:hAnsiTheme="minorHAnsi" w:cs="Arial"/>
          <w:sz w:val="24"/>
          <w:szCs w:val="24"/>
        </w:rPr>
        <w:t xml:space="preserve"> with the exception of minor amounts allocated for ‘public interest’ activities.</w:t>
      </w:r>
    </w:p>
    <w:p w14:paraId="362A175B" w14:textId="77777777" w:rsidR="00B21B63" w:rsidRDefault="00B21B63" w:rsidP="00C64379">
      <w:pPr>
        <w:ind w:left="0"/>
        <w:rPr>
          <w:rFonts w:asciiTheme="minorHAnsi" w:hAnsiTheme="minorHAnsi" w:cs="Arial"/>
          <w:sz w:val="24"/>
          <w:szCs w:val="24"/>
        </w:rPr>
      </w:pPr>
    </w:p>
    <w:p w14:paraId="362A175C" w14:textId="77777777" w:rsidR="00B21B63" w:rsidRDefault="006228C3" w:rsidP="00C64379">
      <w:pPr>
        <w:ind w:left="0"/>
        <w:rPr>
          <w:rFonts w:asciiTheme="minorHAnsi" w:hAnsiTheme="minorHAnsi" w:cs="Arial"/>
          <w:sz w:val="24"/>
          <w:szCs w:val="24"/>
        </w:rPr>
      </w:pPr>
      <w:r>
        <w:rPr>
          <w:rFonts w:asciiTheme="minorHAnsi" w:hAnsiTheme="minorHAnsi" w:cs="Arial"/>
          <w:sz w:val="24"/>
          <w:szCs w:val="24"/>
        </w:rPr>
        <w:t>The present structure provides for</w:t>
      </w:r>
      <w:r w:rsidR="00B21B63">
        <w:rPr>
          <w:rFonts w:asciiTheme="minorHAnsi" w:hAnsiTheme="minorHAnsi" w:cs="Arial"/>
          <w:sz w:val="24"/>
          <w:szCs w:val="24"/>
        </w:rPr>
        <w:t xml:space="preserve"> 40% recovery via up front applicati</w:t>
      </w:r>
      <w:r>
        <w:rPr>
          <w:rFonts w:asciiTheme="minorHAnsi" w:hAnsiTheme="minorHAnsi" w:cs="Arial"/>
          <w:sz w:val="24"/>
          <w:szCs w:val="24"/>
        </w:rPr>
        <w:t xml:space="preserve">on fees and </w:t>
      </w:r>
      <w:r w:rsidR="00B21B63">
        <w:rPr>
          <w:rFonts w:asciiTheme="minorHAnsi" w:hAnsiTheme="minorHAnsi" w:cs="Arial"/>
          <w:sz w:val="24"/>
          <w:szCs w:val="24"/>
        </w:rPr>
        <w:t>other specific fees such as Manufacturers Licensing</w:t>
      </w:r>
      <w:r>
        <w:rPr>
          <w:rFonts w:asciiTheme="minorHAnsi" w:hAnsiTheme="minorHAnsi" w:cs="Arial"/>
          <w:sz w:val="24"/>
          <w:szCs w:val="24"/>
        </w:rPr>
        <w:t>, with the sales levy providing the balancing revenue.</w:t>
      </w:r>
    </w:p>
    <w:p w14:paraId="362A175D" w14:textId="77777777" w:rsidR="006228C3" w:rsidRDefault="006228C3" w:rsidP="00C64379">
      <w:pPr>
        <w:ind w:left="0"/>
        <w:rPr>
          <w:rFonts w:asciiTheme="minorHAnsi" w:hAnsiTheme="minorHAnsi" w:cs="Arial"/>
          <w:sz w:val="24"/>
          <w:szCs w:val="24"/>
        </w:rPr>
      </w:pPr>
    </w:p>
    <w:p w14:paraId="362A175E" w14:textId="77777777" w:rsidR="006228C3" w:rsidRDefault="006228C3" w:rsidP="00C64379">
      <w:pPr>
        <w:ind w:left="0"/>
        <w:rPr>
          <w:rFonts w:asciiTheme="minorHAnsi" w:hAnsiTheme="minorHAnsi" w:cs="Arial"/>
          <w:sz w:val="24"/>
          <w:szCs w:val="24"/>
        </w:rPr>
      </w:pPr>
      <w:r>
        <w:rPr>
          <w:rFonts w:asciiTheme="minorHAnsi" w:hAnsiTheme="minorHAnsi" w:cs="Arial"/>
          <w:sz w:val="24"/>
          <w:szCs w:val="24"/>
        </w:rPr>
        <w:t>It has been suggested that there should be 100% recovery of costs from application fees either u</w:t>
      </w:r>
      <w:r w:rsidR="005314BD">
        <w:rPr>
          <w:rFonts w:asciiTheme="minorHAnsi" w:hAnsiTheme="minorHAnsi" w:cs="Arial"/>
          <w:sz w:val="24"/>
          <w:szCs w:val="24"/>
        </w:rPr>
        <w:t>p</w:t>
      </w:r>
      <w:r>
        <w:rPr>
          <w:rFonts w:asciiTheme="minorHAnsi" w:hAnsiTheme="minorHAnsi" w:cs="Arial"/>
          <w:sz w:val="24"/>
          <w:szCs w:val="24"/>
        </w:rPr>
        <w:t>front or via progressive payments spread over several years.</w:t>
      </w:r>
    </w:p>
    <w:p w14:paraId="362A175F" w14:textId="77777777" w:rsidR="006228C3" w:rsidRDefault="006228C3" w:rsidP="00C64379">
      <w:pPr>
        <w:ind w:left="0"/>
        <w:rPr>
          <w:rFonts w:asciiTheme="minorHAnsi" w:hAnsiTheme="minorHAnsi" w:cs="Arial"/>
          <w:sz w:val="24"/>
          <w:szCs w:val="24"/>
        </w:rPr>
      </w:pPr>
    </w:p>
    <w:p w14:paraId="362A1760" w14:textId="77777777" w:rsidR="006228C3" w:rsidRDefault="006228C3" w:rsidP="00C64379">
      <w:pPr>
        <w:ind w:left="0"/>
        <w:rPr>
          <w:rFonts w:asciiTheme="minorHAnsi" w:hAnsiTheme="minorHAnsi" w:cs="Arial"/>
          <w:sz w:val="24"/>
          <w:szCs w:val="24"/>
        </w:rPr>
      </w:pPr>
      <w:r>
        <w:rPr>
          <w:rFonts w:asciiTheme="minorHAnsi" w:hAnsiTheme="minorHAnsi" w:cs="Arial"/>
          <w:sz w:val="24"/>
          <w:szCs w:val="24"/>
        </w:rPr>
        <w:t>This approach risks stifling innovation, especially by local manufacturers and registrants because of the inefficiency of the regulator and the consequent excessive costs applied unnecessarily to assessments.  The costs for product development are al</w:t>
      </w:r>
      <w:r w:rsidR="005314BD">
        <w:rPr>
          <w:rFonts w:asciiTheme="minorHAnsi" w:hAnsiTheme="minorHAnsi" w:cs="Arial"/>
          <w:sz w:val="24"/>
          <w:szCs w:val="24"/>
        </w:rPr>
        <w:t>ready high, and a subsequent full up</w:t>
      </w:r>
      <w:r>
        <w:rPr>
          <w:rFonts w:asciiTheme="minorHAnsi" w:hAnsiTheme="minorHAnsi" w:cs="Arial"/>
          <w:sz w:val="24"/>
          <w:szCs w:val="24"/>
        </w:rPr>
        <w:t>front fee would be an imposition that local industry will have difficulty in sustaining.</w:t>
      </w:r>
    </w:p>
    <w:p w14:paraId="362A1761" w14:textId="77777777" w:rsidR="007101DC" w:rsidRDefault="007101DC" w:rsidP="00C64379">
      <w:pPr>
        <w:ind w:left="0"/>
        <w:rPr>
          <w:rFonts w:asciiTheme="minorHAnsi" w:hAnsiTheme="minorHAnsi" w:cs="Arial"/>
          <w:sz w:val="24"/>
          <w:szCs w:val="24"/>
        </w:rPr>
      </w:pPr>
    </w:p>
    <w:p w14:paraId="362A1762" w14:textId="77777777" w:rsidR="007101DC" w:rsidRDefault="007101DC" w:rsidP="00C64379">
      <w:pPr>
        <w:ind w:left="0"/>
        <w:rPr>
          <w:rFonts w:asciiTheme="minorHAnsi" w:hAnsiTheme="minorHAnsi" w:cs="Arial"/>
          <w:sz w:val="24"/>
          <w:szCs w:val="24"/>
        </w:rPr>
      </w:pPr>
      <w:r>
        <w:rPr>
          <w:rFonts w:asciiTheme="minorHAnsi" w:hAnsiTheme="minorHAnsi" w:cs="Arial"/>
          <w:sz w:val="24"/>
          <w:szCs w:val="24"/>
        </w:rPr>
        <w:t>This approach also ignores the ongoing costs associated with the maintenance of the re</w:t>
      </w:r>
      <w:r w:rsidR="005314BD">
        <w:rPr>
          <w:rFonts w:asciiTheme="minorHAnsi" w:hAnsiTheme="minorHAnsi" w:cs="Arial"/>
          <w:sz w:val="24"/>
          <w:szCs w:val="24"/>
        </w:rPr>
        <w:t>gulatory system, the</w:t>
      </w:r>
      <w:r>
        <w:rPr>
          <w:rFonts w:asciiTheme="minorHAnsi" w:hAnsiTheme="minorHAnsi" w:cs="Arial"/>
          <w:sz w:val="24"/>
          <w:szCs w:val="24"/>
        </w:rPr>
        <w:t xml:space="preserve"> involvement</w:t>
      </w:r>
      <w:r w:rsidR="005314BD">
        <w:rPr>
          <w:rFonts w:asciiTheme="minorHAnsi" w:hAnsiTheme="minorHAnsi" w:cs="Arial"/>
          <w:sz w:val="24"/>
          <w:szCs w:val="24"/>
        </w:rPr>
        <w:t xml:space="preserve"> of the APVMA</w:t>
      </w:r>
      <w:r>
        <w:rPr>
          <w:rFonts w:asciiTheme="minorHAnsi" w:hAnsiTheme="minorHAnsi" w:cs="Arial"/>
          <w:sz w:val="24"/>
          <w:szCs w:val="24"/>
        </w:rPr>
        <w:t xml:space="preserve"> in stewardship of </w:t>
      </w:r>
      <w:proofErr w:type="spellStart"/>
      <w:r>
        <w:rPr>
          <w:rFonts w:asciiTheme="minorHAnsi" w:hAnsiTheme="minorHAnsi" w:cs="Arial"/>
          <w:sz w:val="24"/>
          <w:szCs w:val="24"/>
        </w:rPr>
        <w:t>AgVet</w:t>
      </w:r>
      <w:proofErr w:type="spellEnd"/>
      <w:r>
        <w:rPr>
          <w:rFonts w:asciiTheme="minorHAnsi" w:hAnsiTheme="minorHAnsi" w:cs="Arial"/>
          <w:sz w:val="24"/>
          <w:szCs w:val="24"/>
        </w:rPr>
        <w:t xml:space="preserve"> Chemicals throughout their lifetime, and the extensive public interest and overall economic benefits to Australia from its agricultural and animal health activities.</w:t>
      </w:r>
    </w:p>
    <w:p w14:paraId="362A1763" w14:textId="77777777" w:rsidR="007101DC" w:rsidRDefault="007101DC" w:rsidP="00C64379">
      <w:pPr>
        <w:ind w:left="0"/>
        <w:rPr>
          <w:rFonts w:asciiTheme="minorHAnsi" w:hAnsiTheme="minorHAnsi" w:cs="Arial"/>
          <w:sz w:val="24"/>
          <w:szCs w:val="24"/>
        </w:rPr>
      </w:pPr>
    </w:p>
    <w:p w14:paraId="362A1764" w14:textId="77777777" w:rsidR="007101DC" w:rsidRDefault="007101DC" w:rsidP="00C64379">
      <w:pPr>
        <w:ind w:left="0"/>
        <w:rPr>
          <w:rFonts w:asciiTheme="minorHAnsi" w:hAnsiTheme="minorHAnsi" w:cs="Arial"/>
          <w:b/>
          <w:sz w:val="24"/>
          <w:szCs w:val="24"/>
        </w:rPr>
      </w:pPr>
      <w:r>
        <w:rPr>
          <w:rFonts w:asciiTheme="minorHAnsi" w:hAnsiTheme="minorHAnsi" w:cs="Arial"/>
          <w:b/>
          <w:sz w:val="24"/>
          <w:szCs w:val="24"/>
        </w:rPr>
        <w:t>Recommendation:</w:t>
      </w:r>
    </w:p>
    <w:p w14:paraId="362A1765" w14:textId="77777777" w:rsidR="007101DC" w:rsidRDefault="007101DC" w:rsidP="00C64379">
      <w:pPr>
        <w:ind w:left="0"/>
        <w:rPr>
          <w:rFonts w:asciiTheme="minorHAnsi" w:hAnsiTheme="minorHAnsi" w:cs="Arial"/>
          <w:b/>
          <w:sz w:val="24"/>
          <w:szCs w:val="24"/>
        </w:rPr>
      </w:pPr>
    </w:p>
    <w:p w14:paraId="362A1766" w14:textId="77777777" w:rsidR="007101DC" w:rsidRPr="007101DC" w:rsidRDefault="007101DC" w:rsidP="00C64379">
      <w:pPr>
        <w:ind w:left="0"/>
        <w:rPr>
          <w:rFonts w:asciiTheme="minorHAnsi" w:hAnsiTheme="minorHAnsi" w:cs="Arial"/>
          <w:sz w:val="24"/>
          <w:szCs w:val="24"/>
        </w:rPr>
      </w:pPr>
      <w:r>
        <w:rPr>
          <w:rFonts w:asciiTheme="minorHAnsi" w:hAnsiTheme="minorHAnsi" w:cs="Arial"/>
          <w:sz w:val="24"/>
          <w:szCs w:val="24"/>
        </w:rPr>
        <w:t xml:space="preserve">That the Cost Recovery </w:t>
      </w:r>
      <w:r w:rsidR="005314BD">
        <w:rPr>
          <w:rFonts w:asciiTheme="minorHAnsi" w:hAnsiTheme="minorHAnsi" w:cs="Arial"/>
          <w:sz w:val="24"/>
          <w:szCs w:val="24"/>
        </w:rPr>
        <w:t>framework is reconsidered so as to spread the costs across the lifetime of products, and across the wider Australian economy, to reflect a genuine ‘user pays’ approach.</w:t>
      </w:r>
    </w:p>
    <w:p w14:paraId="362A1767" w14:textId="77777777" w:rsidR="00B21B63" w:rsidRDefault="00B21B63" w:rsidP="00C64379">
      <w:pPr>
        <w:ind w:left="0"/>
        <w:rPr>
          <w:rFonts w:asciiTheme="minorHAnsi" w:hAnsiTheme="minorHAnsi" w:cs="Arial"/>
          <w:b/>
          <w:sz w:val="28"/>
          <w:szCs w:val="28"/>
          <w:u w:val="single"/>
        </w:rPr>
      </w:pPr>
    </w:p>
    <w:p w14:paraId="362A1768" w14:textId="77777777" w:rsidR="00055A62" w:rsidRDefault="00055A62" w:rsidP="00C64379">
      <w:pPr>
        <w:ind w:left="0"/>
        <w:rPr>
          <w:rFonts w:asciiTheme="minorHAnsi" w:hAnsiTheme="minorHAnsi" w:cs="Arial"/>
          <w:b/>
          <w:sz w:val="24"/>
          <w:szCs w:val="24"/>
        </w:rPr>
      </w:pPr>
    </w:p>
    <w:p w14:paraId="362A1769" w14:textId="77777777" w:rsidR="00055A62" w:rsidRDefault="00055A62" w:rsidP="00C64379">
      <w:pPr>
        <w:ind w:left="0"/>
        <w:rPr>
          <w:rFonts w:asciiTheme="minorHAnsi" w:hAnsiTheme="minorHAnsi" w:cs="Arial"/>
          <w:b/>
          <w:sz w:val="24"/>
          <w:szCs w:val="24"/>
        </w:rPr>
      </w:pPr>
    </w:p>
    <w:p w14:paraId="362A176A" w14:textId="77777777" w:rsidR="00055A62" w:rsidRDefault="00055A62" w:rsidP="00C64379">
      <w:pPr>
        <w:ind w:left="0"/>
        <w:rPr>
          <w:rFonts w:asciiTheme="minorHAnsi" w:hAnsiTheme="minorHAnsi" w:cs="Arial"/>
          <w:b/>
          <w:sz w:val="24"/>
          <w:szCs w:val="24"/>
        </w:rPr>
      </w:pPr>
    </w:p>
    <w:p w14:paraId="362A176B" w14:textId="77777777" w:rsidR="00C02D30" w:rsidRPr="00055A62" w:rsidRDefault="00055A62" w:rsidP="00C64379">
      <w:pPr>
        <w:ind w:left="0"/>
        <w:rPr>
          <w:rFonts w:asciiTheme="minorHAnsi" w:hAnsiTheme="minorHAnsi" w:cs="Arial"/>
          <w:b/>
          <w:sz w:val="24"/>
          <w:szCs w:val="24"/>
        </w:rPr>
      </w:pPr>
      <w:r w:rsidRPr="00055A62">
        <w:rPr>
          <w:rFonts w:asciiTheme="minorHAnsi" w:hAnsiTheme="minorHAnsi" w:cs="Arial"/>
          <w:b/>
          <w:sz w:val="24"/>
          <w:szCs w:val="24"/>
        </w:rPr>
        <w:t>The Veterinary Manufacturers and Distributors Association</w:t>
      </w:r>
    </w:p>
    <w:p w14:paraId="362A176C" w14:textId="77777777" w:rsidR="00055A62" w:rsidRPr="00055A62" w:rsidRDefault="00055A62" w:rsidP="00C64379">
      <w:pPr>
        <w:ind w:left="0"/>
        <w:rPr>
          <w:rFonts w:asciiTheme="minorHAnsi" w:hAnsiTheme="minorHAnsi" w:cs="Arial"/>
          <w:b/>
          <w:sz w:val="24"/>
          <w:szCs w:val="24"/>
        </w:rPr>
      </w:pPr>
      <w:r w:rsidRPr="00055A62">
        <w:rPr>
          <w:rFonts w:asciiTheme="minorHAnsi" w:hAnsiTheme="minorHAnsi" w:cs="Arial"/>
          <w:b/>
          <w:sz w:val="24"/>
          <w:szCs w:val="24"/>
        </w:rPr>
        <w:t>March 2016</w:t>
      </w:r>
    </w:p>
    <w:p w14:paraId="362A176D" w14:textId="77777777" w:rsidR="00C02D30" w:rsidRPr="00055A62" w:rsidRDefault="00C02D30" w:rsidP="00C64379">
      <w:pPr>
        <w:ind w:left="0"/>
        <w:rPr>
          <w:rFonts w:asciiTheme="minorHAnsi" w:hAnsiTheme="minorHAnsi" w:cs="Arial"/>
          <w:b/>
          <w:sz w:val="24"/>
          <w:szCs w:val="24"/>
        </w:rPr>
      </w:pPr>
      <w:r w:rsidRPr="00055A62">
        <w:rPr>
          <w:rFonts w:asciiTheme="minorHAnsi" w:hAnsiTheme="minorHAnsi" w:cs="Arial"/>
          <w:b/>
          <w:sz w:val="24"/>
          <w:szCs w:val="24"/>
        </w:rPr>
        <w:t xml:space="preserve"> </w:t>
      </w:r>
    </w:p>
    <w:p w14:paraId="362A1777" w14:textId="77777777" w:rsidR="004E7D6E" w:rsidRDefault="004E7D6E" w:rsidP="004C6A08">
      <w:pPr>
        <w:ind w:left="0" w:right="3"/>
        <w:jc w:val="both"/>
        <w:rPr>
          <w:rFonts w:ascii="Times New Roman" w:hAnsi="Times New Roman" w:cs="Times New Roman"/>
          <w:sz w:val="24"/>
          <w:szCs w:val="24"/>
        </w:rPr>
      </w:pPr>
      <w:bookmarkStart w:id="0" w:name="_GoBack"/>
      <w:bookmarkEnd w:id="0"/>
    </w:p>
    <w:sectPr w:rsidR="004E7D6E" w:rsidSect="004C6A08">
      <w:headerReference w:type="default" r:id="rId14"/>
      <w:footerReference w:type="default" r:id="rId15"/>
      <w:headerReference w:type="first" r:id="rId16"/>
      <w:pgSz w:w="11907" w:h="16840" w:code="9"/>
      <w:pgMar w:top="1134" w:right="907" w:bottom="907" w:left="1758" w:header="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A177A" w14:textId="77777777" w:rsidR="008A7E6E" w:rsidRDefault="008A7E6E">
      <w:r>
        <w:separator/>
      </w:r>
    </w:p>
  </w:endnote>
  <w:endnote w:type="continuationSeparator" w:id="0">
    <w:p w14:paraId="362A177B" w14:textId="77777777" w:rsidR="008A7E6E" w:rsidRDefault="008A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Engravers MT">
    <w:panose1 w:val="020907070805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A177E" w14:textId="77777777" w:rsidR="004A5C7F" w:rsidRDefault="004A5C7F"/>
  <w:p w14:paraId="362A177F" w14:textId="77777777" w:rsidR="004A5C7F" w:rsidRDefault="004A5C7F"/>
  <w:p w14:paraId="362A1780" w14:textId="77777777" w:rsidR="004A5C7F" w:rsidRDefault="004A5C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A1778" w14:textId="77777777" w:rsidR="008A7E6E" w:rsidRDefault="008A7E6E">
      <w:r>
        <w:separator/>
      </w:r>
    </w:p>
  </w:footnote>
  <w:footnote w:type="continuationSeparator" w:id="0">
    <w:p w14:paraId="362A1779" w14:textId="77777777" w:rsidR="008A7E6E" w:rsidRDefault="008A7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A177C" w14:textId="77777777" w:rsidR="008519B9" w:rsidRDefault="00DE5C44" w:rsidP="00031042">
    <w:pPr>
      <w:pStyle w:val="Header"/>
      <w:framePr w:wrap="auto" w:vAnchor="text" w:hAnchor="margin" w:xAlign="center" w:y="1"/>
      <w:rPr>
        <w:rStyle w:val="PageNumber"/>
        <w:rFonts w:cs="Franklin Gothic Medium"/>
      </w:rPr>
    </w:pPr>
    <w:r>
      <w:rPr>
        <w:rStyle w:val="PageNumber"/>
        <w:rFonts w:cs="Franklin Gothic Medium"/>
      </w:rPr>
      <w:fldChar w:fldCharType="begin"/>
    </w:r>
    <w:r w:rsidR="008519B9">
      <w:rPr>
        <w:rStyle w:val="PageNumber"/>
        <w:rFonts w:cs="Franklin Gothic Medium"/>
      </w:rPr>
      <w:instrText xml:space="preserve">PAGE  </w:instrText>
    </w:r>
    <w:r>
      <w:rPr>
        <w:rStyle w:val="PageNumber"/>
        <w:rFonts w:cs="Franklin Gothic Medium"/>
      </w:rPr>
      <w:fldChar w:fldCharType="separate"/>
    </w:r>
    <w:r w:rsidR="00991A16">
      <w:rPr>
        <w:rStyle w:val="PageNumber"/>
        <w:rFonts w:cs="Franklin Gothic Medium"/>
        <w:noProof/>
      </w:rPr>
      <w:t>6</w:t>
    </w:r>
    <w:r>
      <w:rPr>
        <w:rStyle w:val="PageNumber"/>
        <w:rFonts w:cs="Franklin Gothic Medium"/>
      </w:rPr>
      <w:fldChar w:fldCharType="end"/>
    </w:r>
  </w:p>
  <w:p w14:paraId="362A177D" w14:textId="77777777" w:rsidR="008519B9" w:rsidRDefault="008519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A1781" w14:textId="77777777" w:rsidR="00BD60C9" w:rsidRDefault="00024E77" w:rsidP="00024E77">
    <w:pPr>
      <w:pStyle w:val="Header"/>
      <w:ind w:left="-1797"/>
    </w:pPr>
    <w:r>
      <w:rPr>
        <w:noProof/>
      </w:rPr>
      <w:ptab w:relativeTo="margin" w:alignment="left" w:leader="none"/>
    </w:r>
    <w:r>
      <w:rPr>
        <w:noProof/>
        <w:lang w:val="en-AU" w:eastAsia="en-AU"/>
      </w:rPr>
      <w:drawing>
        <wp:inline distT="0" distB="0" distL="0" distR="0" wp14:anchorId="362A1782" wp14:editId="362A1783">
          <wp:extent cx="7515107" cy="1257300"/>
          <wp:effectExtent l="19050" t="0" r="0" b="0"/>
          <wp:docPr id="4" name="Picture 3" descr="VM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DA.jpg"/>
                  <pic:cNvPicPr/>
                </pic:nvPicPr>
                <pic:blipFill>
                  <a:blip r:embed="rId1"/>
                  <a:stretch>
                    <a:fillRect/>
                  </a:stretch>
                </pic:blipFill>
                <pic:spPr>
                  <a:xfrm>
                    <a:off x="0" y="0"/>
                    <a:ext cx="7546420" cy="1262539"/>
                  </a:xfrm>
                  <a:prstGeom prst="rect">
                    <a:avLst/>
                  </a:prstGeom>
                </pic:spPr>
              </pic:pic>
            </a:graphicData>
          </a:graphic>
        </wp:inline>
      </w:drawing>
    </w:r>
    <w:r>
      <w:rPr>
        <w:noProof/>
      </w:rPr>
      <w:ptab w:relativeTo="margin" w:alignment="lef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463"/>
    <w:multiLevelType w:val="hybridMultilevel"/>
    <w:tmpl w:val="B8D09010"/>
    <w:lvl w:ilvl="0" w:tplc="540CE570">
      <w:start w:val="1"/>
      <w:numFmt w:val="bullet"/>
      <w:lvlText w:val="•"/>
      <w:lvlJc w:val="left"/>
      <w:pPr>
        <w:tabs>
          <w:tab w:val="num" w:pos="720"/>
        </w:tabs>
        <w:ind w:left="720" w:hanging="360"/>
      </w:pPr>
      <w:rPr>
        <w:rFonts w:ascii="Times New Roman" w:hAnsi="Times New Roman" w:hint="default"/>
      </w:rPr>
    </w:lvl>
    <w:lvl w:ilvl="1" w:tplc="81147AA0" w:tentative="1">
      <w:start w:val="1"/>
      <w:numFmt w:val="bullet"/>
      <w:lvlText w:val="•"/>
      <w:lvlJc w:val="left"/>
      <w:pPr>
        <w:tabs>
          <w:tab w:val="num" w:pos="1440"/>
        </w:tabs>
        <w:ind w:left="1440" w:hanging="360"/>
      </w:pPr>
      <w:rPr>
        <w:rFonts w:ascii="Times New Roman" w:hAnsi="Times New Roman" w:hint="default"/>
      </w:rPr>
    </w:lvl>
    <w:lvl w:ilvl="2" w:tplc="EE864880" w:tentative="1">
      <w:start w:val="1"/>
      <w:numFmt w:val="bullet"/>
      <w:lvlText w:val="•"/>
      <w:lvlJc w:val="left"/>
      <w:pPr>
        <w:tabs>
          <w:tab w:val="num" w:pos="2160"/>
        </w:tabs>
        <w:ind w:left="2160" w:hanging="360"/>
      </w:pPr>
      <w:rPr>
        <w:rFonts w:ascii="Times New Roman" w:hAnsi="Times New Roman" w:hint="default"/>
      </w:rPr>
    </w:lvl>
    <w:lvl w:ilvl="3" w:tplc="AE2C8026" w:tentative="1">
      <w:start w:val="1"/>
      <w:numFmt w:val="bullet"/>
      <w:lvlText w:val="•"/>
      <w:lvlJc w:val="left"/>
      <w:pPr>
        <w:tabs>
          <w:tab w:val="num" w:pos="2880"/>
        </w:tabs>
        <w:ind w:left="2880" w:hanging="360"/>
      </w:pPr>
      <w:rPr>
        <w:rFonts w:ascii="Times New Roman" w:hAnsi="Times New Roman" w:hint="default"/>
      </w:rPr>
    </w:lvl>
    <w:lvl w:ilvl="4" w:tplc="D8AE192C" w:tentative="1">
      <w:start w:val="1"/>
      <w:numFmt w:val="bullet"/>
      <w:lvlText w:val="•"/>
      <w:lvlJc w:val="left"/>
      <w:pPr>
        <w:tabs>
          <w:tab w:val="num" w:pos="3600"/>
        </w:tabs>
        <w:ind w:left="3600" w:hanging="360"/>
      </w:pPr>
      <w:rPr>
        <w:rFonts w:ascii="Times New Roman" w:hAnsi="Times New Roman" w:hint="default"/>
      </w:rPr>
    </w:lvl>
    <w:lvl w:ilvl="5" w:tplc="27AA3344" w:tentative="1">
      <w:start w:val="1"/>
      <w:numFmt w:val="bullet"/>
      <w:lvlText w:val="•"/>
      <w:lvlJc w:val="left"/>
      <w:pPr>
        <w:tabs>
          <w:tab w:val="num" w:pos="4320"/>
        </w:tabs>
        <w:ind w:left="4320" w:hanging="360"/>
      </w:pPr>
      <w:rPr>
        <w:rFonts w:ascii="Times New Roman" w:hAnsi="Times New Roman" w:hint="default"/>
      </w:rPr>
    </w:lvl>
    <w:lvl w:ilvl="6" w:tplc="07ACC468" w:tentative="1">
      <w:start w:val="1"/>
      <w:numFmt w:val="bullet"/>
      <w:lvlText w:val="•"/>
      <w:lvlJc w:val="left"/>
      <w:pPr>
        <w:tabs>
          <w:tab w:val="num" w:pos="5040"/>
        </w:tabs>
        <w:ind w:left="5040" w:hanging="360"/>
      </w:pPr>
      <w:rPr>
        <w:rFonts w:ascii="Times New Roman" w:hAnsi="Times New Roman" w:hint="default"/>
      </w:rPr>
    </w:lvl>
    <w:lvl w:ilvl="7" w:tplc="84260CEC" w:tentative="1">
      <w:start w:val="1"/>
      <w:numFmt w:val="bullet"/>
      <w:lvlText w:val="•"/>
      <w:lvlJc w:val="left"/>
      <w:pPr>
        <w:tabs>
          <w:tab w:val="num" w:pos="5760"/>
        </w:tabs>
        <w:ind w:left="5760" w:hanging="360"/>
      </w:pPr>
      <w:rPr>
        <w:rFonts w:ascii="Times New Roman" w:hAnsi="Times New Roman" w:hint="default"/>
      </w:rPr>
    </w:lvl>
    <w:lvl w:ilvl="8" w:tplc="0F40712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49D76E6"/>
    <w:multiLevelType w:val="hybridMultilevel"/>
    <w:tmpl w:val="42FAE8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A3F0E48"/>
    <w:multiLevelType w:val="hybridMultilevel"/>
    <w:tmpl w:val="3D148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1747DF2"/>
    <w:multiLevelType w:val="hybridMultilevel"/>
    <w:tmpl w:val="1F86D9D8"/>
    <w:lvl w:ilvl="0" w:tplc="04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start w:val="1"/>
      <w:numFmt w:val="bullet"/>
      <w:lvlText w:val=""/>
      <w:lvlJc w:val="left"/>
      <w:pPr>
        <w:tabs>
          <w:tab w:val="num" w:pos="3600"/>
        </w:tabs>
        <w:ind w:left="3600" w:hanging="360"/>
      </w:pPr>
      <w:rPr>
        <w:rFonts w:ascii="Symbol" w:hAnsi="Symbol" w:hint="default"/>
      </w:rPr>
    </w:lvl>
    <w:lvl w:ilvl="4" w:tplc="0C090003">
      <w:start w:val="1"/>
      <w:numFmt w:val="bullet"/>
      <w:lvlText w:val="o"/>
      <w:lvlJc w:val="left"/>
      <w:pPr>
        <w:tabs>
          <w:tab w:val="num" w:pos="4320"/>
        </w:tabs>
        <w:ind w:left="4320" w:hanging="360"/>
      </w:pPr>
      <w:rPr>
        <w:rFonts w:ascii="Courier New" w:hAnsi="Courier New" w:hint="default"/>
      </w:rPr>
    </w:lvl>
    <w:lvl w:ilvl="5" w:tplc="0C090005">
      <w:start w:val="1"/>
      <w:numFmt w:val="bullet"/>
      <w:lvlText w:val=""/>
      <w:lvlJc w:val="left"/>
      <w:pPr>
        <w:tabs>
          <w:tab w:val="num" w:pos="5040"/>
        </w:tabs>
        <w:ind w:left="5040" w:hanging="360"/>
      </w:pPr>
      <w:rPr>
        <w:rFonts w:ascii="Wingdings" w:hAnsi="Wingdings" w:hint="default"/>
      </w:rPr>
    </w:lvl>
    <w:lvl w:ilvl="6" w:tplc="0C090001">
      <w:start w:val="1"/>
      <w:numFmt w:val="bullet"/>
      <w:lvlText w:val=""/>
      <w:lvlJc w:val="left"/>
      <w:pPr>
        <w:tabs>
          <w:tab w:val="num" w:pos="5760"/>
        </w:tabs>
        <w:ind w:left="5760" w:hanging="360"/>
      </w:pPr>
      <w:rPr>
        <w:rFonts w:ascii="Symbol" w:hAnsi="Symbol" w:hint="default"/>
      </w:rPr>
    </w:lvl>
    <w:lvl w:ilvl="7" w:tplc="0C090003">
      <w:start w:val="1"/>
      <w:numFmt w:val="bullet"/>
      <w:lvlText w:val="o"/>
      <w:lvlJc w:val="left"/>
      <w:pPr>
        <w:tabs>
          <w:tab w:val="num" w:pos="6480"/>
        </w:tabs>
        <w:ind w:left="6480" w:hanging="360"/>
      </w:pPr>
      <w:rPr>
        <w:rFonts w:ascii="Courier New" w:hAnsi="Courier New" w:hint="default"/>
      </w:rPr>
    </w:lvl>
    <w:lvl w:ilvl="8" w:tplc="0C090005">
      <w:start w:val="1"/>
      <w:numFmt w:val="bullet"/>
      <w:lvlText w:val=""/>
      <w:lvlJc w:val="left"/>
      <w:pPr>
        <w:tabs>
          <w:tab w:val="num" w:pos="7200"/>
        </w:tabs>
        <w:ind w:left="7200" w:hanging="360"/>
      </w:pPr>
      <w:rPr>
        <w:rFonts w:ascii="Wingdings" w:hAnsi="Wingdings" w:hint="default"/>
      </w:rPr>
    </w:lvl>
  </w:abstractNum>
  <w:abstractNum w:abstractNumId="4">
    <w:nsid w:val="3A5D46F7"/>
    <w:multiLevelType w:val="hybridMultilevel"/>
    <w:tmpl w:val="5B2C2B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A5F1BD4"/>
    <w:multiLevelType w:val="hybridMultilevel"/>
    <w:tmpl w:val="99943F48"/>
    <w:lvl w:ilvl="0" w:tplc="FAB0C352">
      <w:start w:val="1"/>
      <w:numFmt w:val="bullet"/>
      <w:lvlText w:val="•"/>
      <w:lvlJc w:val="left"/>
      <w:pPr>
        <w:tabs>
          <w:tab w:val="num" w:pos="720"/>
        </w:tabs>
        <w:ind w:left="720" w:hanging="360"/>
      </w:pPr>
      <w:rPr>
        <w:rFonts w:ascii="Times New Roman" w:hAnsi="Times New Roman" w:hint="default"/>
      </w:rPr>
    </w:lvl>
    <w:lvl w:ilvl="1" w:tplc="C42AF888">
      <w:start w:val="160"/>
      <w:numFmt w:val="bullet"/>
      <w:lvlText w:val="–"/>
      <w:lvlJc w:val="left"/>
      <w:pPr>
        <w:tabs>
          <w:tab w:val="num" w:pos="1440"/>
        </w:tabs>
        <w:ind w:left="1440" w:hanging="360"/>
      </w:pPr>
      <w:rPr>
        <w:rFonts w:ascii="Times New Roman" w:hAnsi="Times New Roman" w:hint="default"/>
      </w:rPr>
    </w:lvl>
    <w:lvl w:ilvl="2" w:tplc="177A02F2">
      <w:start w:val="160"/>
      <w:numFmt w:val="bullet"/>
      <w:lvlText w:val="•"/>
      <w:lvlJc w:val="left"/>
      <w:pPr>
        <w:tabs>
          <w:tab w:val="num" w:pos="2160"/>
        </w:tabs>
        <w:ind w:left="2160" w:hanging="360"/>
      </w:pPr>
      <w:rPr>
        <w:rFonts w:ascii="Times New Roman" w:hAnsi="Times New Roman" w:hint="default"/>
      </w:rPr>
    </w:lvl>
    <w:lvl w:ilvl="3" w:tplc="649ADF9C" w:tentative="1">
      <w:start w:val="1"/>
      <w:numFmt w:val="bullet"/>
      <w:lvlText w:val="•"/>
      <w:lvlJc w:val="left"/>
      <w:pPr>
        <w:tabs>
          <w:tab w:val="num" w:pos="2880"/>
        </w:tabs>
        <w:ind w:left="2880" w:hanging="360"/>
      </w:pPr>
      <w:rPr>
        <w:rFonts w:ascii="Times New Roman" w:hAnsi="Times New Roman" w:hint="default"/>
      </w:rPr>
    </w:lvl>
    <w:lvl w:ilvl="4" w:tplc="23B66CEA" w:tentative="1">
      <w:start w:val="1"/>
      <w:numFmt w:val="bullet"/>
      <w:lvlText w:val="•"/>
      <w:lvlJc w:val="left"/>
      <w:pPr>
        <w:tabs>
          <w:tab w:val="num" w:pos="3600"/>
        </w:tabs>
        <w:ind w:left="3600" w:hanging="360"/>
      </w:pPr>
      <w:rPr>
        <w:rFonts w:ascii="Times New Roman" w:hAnsi="Times New Roman" w:hint="default"/>
      </w:rPr>
    </w:lvl>
    <w:lvl w:ilvl="5" w:tplc="C2B8C5DA" w:tentative="1">
      <w:start w:val="1"/>
      <w:numFmt w:val="bullet"/>
      <w:lvlText w:val="•"/>
      <w:lvlJc w:val="left"/>
      <w:pPr>
        <w:tabs>
          <w:tab w:val="num" w:pos="4320"/>
        </w:tabs>
        <w:ind w:left="4320" w:hanging="360"/>
      </w:pPr>
      <w:rPr>
        <w:rFonts w:ascii="Times New Roman" w:hAnsi="Times New Roman" w:hint="default"/>
      </w:rPr>
    </w:lvl>
    <w:lvl w:ilvl="6" w:tplc="D15A0ECE" w:tentative="1">
      <w:start w:val="1"/>
      <w:numFmt w:val="bullet"/>
      <w:lvlText w:val="•"/>
      <w:lvlJc w:val="left"/>
      <w:pPr>
        <w:tabs>
          <w:tab w:val="num" w:pos="5040"/>
        </w:tabs>
        <w:ind w:left="5040" w:hanging="360"/>
      </w:pPr>
      <w:rPr>
        <w:rFonts w:ascii="Times New Roman" w:hAnsi="Times New Roman" w:hint="default"/>
      </w:rPr>
    </w:lvl>
    <w:lvl w:ilvl="7" w:tplc="42622620" w:tentative="1">
      <w:start w:val="1"/>
      <w:numFmt w:val="bullet"/>
      <w:lvlText w:val="•"/>
      <w:lvlJc w:val="left"/>
      <w:pPr>
        <w:tabs>
          <w:tab w:val="num" w:pos="5760"/>
        </w:tabs>
        <w:ind w:left="5760" w:hanging="360"/>
      </w:pPr>
      <w:rPr>
        <w:rFonts w:ascii="Times New Roman" w:hAnsi="Times New Roman" w:hint="default"/>
      </w:rPr>
    </w:lvl>
    <w:lvl w:ilvl="8" w:tplc="F19C6EDC" w:tentative="1">
      <w:start w:val="1"/>
      <w:numFmt w:val="bullet"/>
      <w:lvlText w:val="•"/>
      <w:lvlJc w:val="left"/>
      <w:pPr>
        <w:tabs>
          <w:tab w:val="num" w:pos="6480"/>
        </w:tabs>
        <w:ind w:left="6480" w:hanging="360"/>
      </w:pPr>
      <w:rPr>
        <w:rFonts w:ascii="Times New Roman" w:hAnsi="Times New Roman" w:hint="default"/>
      </w:rPr>
    </w:lvl>
  </w:abstractNum>
  <w:abstractNum w:abstractNumId="6">
    <w:nsid w:val="3AC83C94"/>
    <w:multiLevelType w:val="hybridMultilevel"/>
    <w:tmpl w:val="D0B07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C804C66"/>
    <w:multiLevelType w:val="hybridMultilevel"/>
    <w:tmpl w:val="36B08584"/>
    <w:lvl w:ilvl="0" w:tplc="9538F54E">
      <w:start w:val="1"/>
      <w:numFmt w:val="bullet"/>
      <w:lvlText w:val="•"/>
      <w:lvlJc w:val="left"/>
      <w:pPr>
        <w:tabs>
          <w:tab w:val="num" w:pos="720"/>
        </w:tabs>
        <w:ind w:left="720" w:hanging="360"/>
      </w:pPr>
      <w:rPr>
        <w:rFonts w:ascii="Times New Roman" w:hAnsi="Times New Roman" w:hint="default"/>
      </w:rPr>
    </w:lvl>
    <w:lvl w:ilvl="1" w:tplc="52A26232">
      <w:start w:val="160"/>
      <w:numFmt w:val="bullet"/>
      <w:lvlText w:val="–"/>
      <w:lvlJc w:val="left"/>
      <w:pPr>
        <w:tabs>
          <w:tab w:val="num" w:pos="1440"/>
        </w:tabs>
        <w:ind w:left="1440" w:hanging="360"/>
      </w:pPr>
      <w:rPr>
        <w:rFonts w:ascii="Times New Roman" w:hAnsi="Times New Roman" w:hint="default"/>
      </w:rPr>
    </w:lvl>
    <w:lvl w:ilvl="2" w:tplc="7DB85846" w:tentative="1">
      <w:start w:val="1"/>
      <w:numFmt w:val="bullet"/>
      <w:lvlText w:val="•"/>
      <w:lvlJc w:val="left"/>
      <w:pPr>
        <w:tabs>
          <w:tab w:val="num" w:pos="2160"/>
        </w:tabs>
        <w:ind w:left="2160" w:hanging="360"/>
      </w:pPr>
      <w:rPr>
        <w:rFonts w:ascii="Times New Roman" w:hAnsi="Times New Roman" w:hint="default"/>
      </w:rPr>
    </w:lvl>
    <w:lvl w:ilvl="3" w:tplc="0610D110" w:tentative="1">
      <w:start w:val="1"/>
      <w:numFmt w:val="bullet"/>
      <w:lvlText w:val="•"/>
      <w:lvlJc w:val="left"/>
      <w:pPr>
        <w:tabs>
          <w:tab w:val="num" w:pos="2880"/>
        </w:tabs>
        <w:ind w:left="2880" w:hanging="360"/>
      </w:pPr>
      <w:rPr>
        <w:rFonts w:ascii="Times New Roman" w:hAnsi="Times New Roman" w:hint="default"/>
      </w:rPr>
    </w:lvl>
    <w:lvl w:ilvl="4" w:tplc="FB769A3E" w:tentative="1">
      <w:start w:val="1"/>
      <w:numFmt w:val="bullet"/>
      <w:lvlText w:val="•"/>
      <w:lvlJc w:val="left"/>
      <w:pPr>
        <w:tabs>
          <w:tab w:val="num" w:pos="3600"/>
        </w:tabs>
        <w:ind w:left="3600" w:hanging="360"/>
      </w:pPr>
      <w:rPr>
        <w:rFonts w:ascii="Times New Roman" w:hAnsi="Times New Roman" w:hint="default"/>
      </w:rPr>
    </w:lvl>
    <w:lvl w:ilvl="5" w:tplc="AD38BF40" w:tentative="1">
      <w:start w:val="1"/>
      <w:numFmt w:val="bullet"/>
      <w:lvlText w:val="•"/>
      <w:lvlJc w:val="left"/>
      <w:pPr>
        <w:tabs>
          <w:tab w:val="num" w:pos="4320"/>
        </w:tabs>
        <w:ind w:left="4320" w:hanging="360"/>
      </w:pPr>
      <w:rPr>
        <w:rFonts w:ascii="Times New Roman" w:hAnsi="Times New Roman" w:hint="default"/>
      </w:rPr>
    </w:lvl>
    <w:lvl w:ilvl="6" w:tplc="9F062586" w:tentative="1">
      <w:start w:val="1"/>
      <w:numFmt w:val="bullet"/>
      <w:lvlText w:val="•"/>
      <w:lvlJc w:val="left"/>
      <w:pPr>
        <w:tabs>
          <w:tab w:val="num" w:pos="5040"/>
        </w:tabs>
        <w:ind w:left="5040" w:hanging="360"/>
      </w:pPr>
      <w:rPr>
        <w:rFonts w:ascii="Times New Roman" w:hAnsi="Times New Roman" w:hint="default"/>
      </w:rPr>
    </w:lvl>
    <w:lvl w:ilvl="7" w:tplc="FBAEF514" w:tentative="1">
      <w:start w:val="1"/>
      <w:numFmt w:val="bullet"/>
      <w:lvlText w:val="•"/>
      <w:lvlJc w:val="left"/>
      <w:pPr>
        <w:tabs>
          <w:tab w:val="num" w:pos="5760"/>
        </w:tabs>
        <w:ind w:left="5760" w:hanging="360"/>
      </w:pPr>
      <w:rPr>
        <w:rFonts w:ascii="Times New Roman" w:hAnsi="Times New Roman" w:hint="default"/>
      </w:rPr>
    </w:lvl>
    <w:lvl w:ilvl="8" w:tplc="C764BD2A" w:tentative="1">
      <w:start w:val="1"/>
      <w:numFmt w:val="bullet"/>
      <w:lvlText w:val="•"/>
      <w:lvlJc w:val="left"/>
      <w:pPr>
        <w:tabs>
          <w:tab w:val="num" w:pos="6480"/>
        </w:tabs>
        <w:ind w:left="6480" w:hanging="360"/>
      </w:pPr>
      <w:rPr>
        <w:rFonts w:ascii="Times New Roman" w:hAnsi="Times New Roman" w:hint="default"/>
      </w:rPr>
    </w:lvl>
  </w:abstractNum>
  <w:abstractNum w:abstractNumId="8">
    <w:nsid w:val="3D3D0B38"/>
    <w:multiLevelType w:val="multilevel"/>
    <w:tmpl w:val="038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EA6BE2"/>
    <w:multiLevelType w:val="multilevel"/>
    <w:tmpl w:val="07E67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DB5905"/>
    <w:multiLevelType w:val="hybridMultilevel"/>
    <w:tmpl w:val="5A2A8708"/>
    <w:lvl w:ilvl="0" w:tplc="84F4E68E">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nsid w:val="48D72171"/>
    <w:multiLevelType w:val="hybridMultilevel"/>
    <w:tmpl w:val="55BC9B82"/>
    <w:lvl w:ilvl="0" w:tplc="59E65E8A">
      <w:start w:val="1"/>
      <w:numFmt w:val="bullet"/>
      <w:lvlText w:val="•"/>
      <w:lvlJc w:val="left"/>
      <w:pPr>
        <w:tabs>
          <w:tab w:val="num" w:pos="720"/>
        </w:tabs>
        <w:ind w:left="720" w:hanging="360"/>
      </w:pPr>
      <w:rPr>
        <w:rFonts w:ascii="Times New Roman" w:hAnsi="Times New Roman" w:hint="default"/>
      </w:rPr>
    </w:lvl>
    <w:lvl w:ilvl="1" w:tplc="3154BA68" w:tentative="1">
      <w:start w:val="1"/>
      <w:numFmt w:val="bullet"/>
      <w:lvlText w:val="•"/>
      <w:lvlJc w:val="left"/>
      <w:pPr>
        <w:tabs>
          <w:tab w:val="num" w:pos="1440"/>
        </w:tabs>
        <w:ind w:left="1440" w:hanging="360"/>
      </w:pPr>
      <w:rPr>
        <w:rFonts w:ascii="Times New Roman" w:hAnsi="Times New Roman" w:hint="default"/>
      </w:rPr>
    </w:lvl>
    <w:lvl w:ilvl="2" w:tplc="BD5C0F24" w:tentative="1">
      <w:start w:val="1"/>
      <w:numFmt w:val="bullet"/>
      <w:lvlText w:val="•"/>
      <w:lvlJc w:val="left"/>
      <w:pPr>
        <w:tabs>
          <w:tab w:val="num" w:pos="2160"/>
        </w:tabs>
        <w:ind w:left="2160" w:hanging="360"/>
      </w:pPr>
      <w:rPr>
        <w:rFonts w:ascii="Times New Roman" w:hAnsi="Times New Roman" w:hint="default"/>
      </w:rPr>
    </w:lvl>
    <w:lvl w:ilvl="3" w:tplc="546C1FBE" w:tentative="1">
      <w:start w:val="1"/>
      <w:numFmt w:val="bullet"/>
      <w:lvlText w:val="•"/>
      <w:lvlJc w:val="left"/>
      <w:pPr>
        <w:tabs>
          <w:tab w:val="num" w:pos="2880"/>
        </w:tabs>
        <w:ind w:left="2880" w:hanging="360"/>
      </w:pPr>
      <w:rPr>
        <w:rFonts w:ascii="Times New Roman" w:hAnsi="Times New Roman" w:hint="default"/>
      </w:rPr>
    </w:lvl>
    <w:lvl w:ilvl="4" w:tplc="28FA7BB0" w:tentative="1">
      <w:start w:val="1"/>
      <w:numFmt w:val="bullet"/>
      <w:lvlText w:val="•"/>
      <w:lvlJc w:val="left"/>
      <w:pPr>
        <w:tabs>
          <w:tab w:val="num" w:pos="3600"/>
        </w:tabs>
        <w:ind w:left="3600" w:hanging="360"/>
      </w:pPr>
      <w:rPr>
        <w:rFonts w:ascii="Times New Roman" w:hAnsi="Times New Roman" w:hint="default"/>
      </w:rPr>
    </w:lvl>
    <w:lvl w:ilvl="5" w:tplc="A95CD11C" w:tentative="1">
      <w:start w:val="1"/>
      <w:numFmt w:val="bullet"/>
      <w:lvlText w:val="•"/>
      <w:lvlJc w:val="left"/>
      <w:pPr>
        <w:tabs>
          <w:tab w:val="num" w:pos="4320"/>
        </w:tabs>
        <w:ind w:left="4320" w:hanging="360"/>
      </w:pPr>
      <w:rPr>
        <w:rFonts w:ascii="Times New Roman" w:hAnsi="Times New Roman" w:hint="default"/>
      </w:rPr>
    </w:lvl>
    <w:lvl w:ilvl="6" w:tplc="9B687EB4" w:tentative="1">
      <w:start w:val="1"/>
      <w:numFmt w:val="bullet"/>
      <w:lvlText w:val="•"/>
      <w:lvlJc w:val="left"/>
      <w:pPr>
        <w:tabs>
          <w:tab w:val="num" w:pos="5040"/>
        </w:tabs>
        <w:ind w:left="5040" w:hanging="360"/>
      </w:pPr>
      <w:rPr>
        <w:rFonts w:ascii="Times New Roman" w:hAnsi="Times New Roman" w:hint="default"/>
      </w:rPr>
    </w:lvl>
    <w:lvl w:ilvl="7" w:tplc="4A70435A" w:tentative="1">
      <w:start w:val="1"/>
      <w:numFmt w:val="bullet"/>
      <w:lvlText w:val="•"/>
      <w:lvlJc w:val="left"/>
      <w:pPr>
        <w:tabs>
          <w:tab w:val="num" w:pos="5760"/>
        </w:tabs>
        <w:ind w:left="5760" w:hanging="360"/>
      </w:pPr>
      <w:rPr>
        <w:rFonts w:ascii="Times New Roman" w:hAnsi="Times New Roman" w:hint="default"/>
      </w:rPr>
    </w:lvl>
    <w:lvl w:ilvl="8" w:tplc="285E2BF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E234D61"/>
    <w:multiLevelType w:val="multilevel"/>
    <w:tmpl w:val="AC6A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682E84"/>
    <w:multiLevelType w:val="multilevel"/>
    <w:tmpl w:val="77209F06"/>
    <w:lvl w:ilvl="0">
      <w:start w:val="1"/>
      <w:numFmt w:val="bullet"/>
      <w:lvlText w:val=""/>
      <w:lvlJc w:val="left"/>
      <w:pPr>
        <w:tabs>
          <w:tab w:val="num" w:pos="-60"/>
        </w:tabs>
        <w:ind w:left="-60" w:hanging="360"/>
      </w:pPr>
      <w:rPr>
        <w:rFonts w:ascii="Symbol" w:hAnsi="Symbol" w:hint="default"/>
        <w:sz w:val="20"/>
      </w:rPr>
    </w:lvl>
    <w:lvl w:ilvl="1" w:tentative="1">
      <w:start w:val="1"/>
      <w:numFmt w:val="bullet"/>
      <w:lvlText w:val="o"/>
      <w:lvlJc w:val="left"/>
      <w:pPr>
        <w:tabs>
          <w:tab w:val="num" w:pos="660"/>
        </w:tabs>
        <w:ind w:left="660" w:hanging="360"/>
      </w:pPr>
      <w:rPr>
        <w:rFonts w:ascii="Courier New" w:hAnsi="Courier New" w:hint="default"/>
        <w:sz w:val="20"/>
      </w:rPr>
    </w:lvl>
    <w:lvl w:ilvl="2" w:tentative="1">
      <w:start w:val="1"/>
      <w:numFmt w:val="bullet"/>
      <w:lvlText w:val=""/>
      <w:lvlJc w:val="left"/>
      <w:pPr>
        <w:tabs>
          <w:tab w:val="num" w:pos="1380"/>
        </w:tabs>
        <w:ind w:left="1380" w:hanging="360"/>
      </w:pPr>
      <w:rPr>
        <w:rFonts w:ascii="Wingdings" w:hAnsi="Wingdings" w:hint="default"/>
        <w:sz w:val="20"/>
      </w:rPr>
    </w:lvl>
    <w:lvl w:ilvl="3" w:tentative="1">
      <w:start w:val="1"/>
      <w:numFmt w:val="bullet"/>
      <w:lvlText w:val=""/>
      <w:lvlJc w:val="left"/>
      <w:pPr>
        <w:tabs>
          <w:tab w:val="num" w:pos="2100"/>
        </w:tabs>
        <w:ind w:left="2100" w:hanging="360"/>
      </w:pPr>
      <w:rPr>
        <w:rFonts w:ascii="Wingdings" w:hAnsi="Wingdings" w:hint="default"/>
        <w:sz w:val="20"/>
      </w:rPr>
    </w:lvl>
    <w:lvl w:ilvl="4" w:tentative="1">
      <w:start w:val="1"/>
      <w:numFmt w:val="bullet"/>
      <w:lvlText w:val=""/>
      <w:lvlJc w:val="left"/>
      <w:pPr>
        <w:tabs>
          <w:tab w:val="num" w:pos="2820"/>
        </w:tabs>
        <w:ind w:left="2820" w:hanging="360"/>
      </w:pPr>
      <w:rPr>
        <w:rFonts w:ascii="Wingdings" w:hAnsi="Wingdings" w:hint="default"/>
        <w:sz w:val="20"/>
      </w:rPr>
    </w:lvl>
    <w:lvl w:ilvl="5" w:tentative="1">
      <w:start w:val="1"/>
      <w:numFmt w:val="bullet"/>
      <w:lvlText w:val=""/>
      <w:lvlJc w:val="left"/>
      <w:pPr>
        <w:tabs>
          <w:tab w:val="num" w:pos="3540"/>
        </w:tabs>
        <w:ind w:left="3540" w:hanging="360"/>
      </w:pPr>
      <w:rPr>
        <w:rFonts w:ascii="Wingdings" w:hAnsi="Wingdings" w:hint="default"/>
        <w:sz w:val="20"/>
      </w:rPr>
    </w:lvl>
    <w:lvl w:ilvl="6" w:tentative="1">
      <w:start w:val="1"/>
      <w:numFmt w:val="bullet"/>
      <w:lvlText w:val=""/>
      <w:lvlJc w:val="left"/>
      <w:pPr>
        <w:tabs>
          <w:tab w:val="num" w:pos="4260"/>
        </w:tabs>
        <w:ind w:left="4260" w:hanging="360"/>
      </w:pPr>
      <w:rPr>
        <w:rFonts w:ascii="Wingdings" w:hAnsi="Wingdings" w:hint="default"/>
        <w:sz w:val="20"/>
      </w:rPr>
    </w:lvl>
    <w:lvl w:ilvl="7" w:tentative="1">
      <w:start w:val="1"/>
      <w:numFmt w:val="bullet"/>
      <w:lvlText w:val=""/>
      <w:lvlJc w:val="left"/>
      <w:pPr>
        <w:tabs>
          <w:tab w:val="num" w:pos="4980"/>
        </w:tabs>
        <w:ind w:left="4980" w:hanging="360"/>
      </w:pPr>
      <w:rPr>
        <w:rFonts w:ascii="Wingdings" w:hAnsi="Wingdings" w:hint="default"/>
        <w:sz w:val="20"/>
      </w:rPr>
    </w:lvl>
    <w:lvl w:ilvl="8" w:tentative="1">
      <w:start w:val="1"/>
      <w:numFmt w:val="bullet"/>
      <w:lvlText w:val=""/>
      <w:lvlJc w:val="left"/>
      <w:pPr>
        <w:tabs>
          <w:tab w:val="num" w:pos="5700"/>
        </w:tabs>
        <w:ind w:left="5700" w:hanging="360"/>
      </w:pPr>
      <w:rPr>
        <w:rFonts w:ascii="Wingdings" w:hAnsi="Wingdings" w:hint="default"/>
        <w:sz w:val="20"/>
      </w:rPr>
    </w:lvl>
  </w:abstractNum>
  <w:abstractNum w:abstractNumId="14">
    <w:nsid w:val="57DA0E30"/>
    <w:multiLevelType w:val="hybridMultilevel"/>
    <w:tmpl w:val="F01E7054"/>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nsid w:val="59845356"/>
    <w:multiLevelType w:val="hybridMultilevel"/>
    <w:tmpl w:val="A4C47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B226A7F"/>
    <w:multiLevelType w:val="hybridMultilevel"/>
    <w:tmpl w:val="5D7001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4E62929"/>
    <w:multiLevelType w:val="hybridMultilevel"/>
    <w:tmpl w:val="A57C02AA"/>
    <w:lvl w:ilvl="0" w:tplc="8CF4D1E4">
      <w:start w:val="1"/>
      <w:numFmt w:val="bullet"/>
      <w:lvlText w:val="•"/>
      <w:lvlJc w:val="left"/>
      <w:pPr>
        <w:tabs>
          <w:tab w:val="num" w:pos="720"/>
        </w:tabs>
        <w:ind w:left="720" w:hanging="360"/>
      </w:pPr>
      <w:rPr>
        <w:rFonts w:ascii="Times New Roman" w:hAnsi="Times New Roman" w:hint="default"/>
      </w:rPr>
    </w:lvl>
    <w:lvl w:ilvl="1" w:tplc="A4B645D2" w:tentative="1">
      <w:start w:val="1"/>
      <w:numFmt w:val="bullet"/>
      <w:lvlText w:val="•"/>
      <w:lvlJc w:val="left"/>
      <w:pPr>
        <w:tabs>
          <w:tab w:val="num" w:pos="1440"/>
        </w:tabs>
        <w:ind w:left="1440" w:hanging="360"/>
      </w:pPr>
      <w:rPr>
        <w:rFonts w:ascii="Times New Roman" w:hAnsi="Times New Roman" w:hint="default"/>
      </w:rPr>
    </w:lvl>
    <w:lvl w:ilvl="2" w:tplc="E012AE30" w:tentative="1">
      <w:start w:val="1"/>
      <w:numFmt w:val="bullet"/>
      <w:lvlText w:val="•"/>
      <w:lvlJc w:val="left"/>
      <w:pPr>
        <w:tabs>
          <w:tab w:val="num" w:pos="2160"/>
        </w:tabs>
        <w:ind w:left="2160" w:hanging="360"/>
      </w:pPr>
      <w:rPr>
        <w:rFonts w:ascii="Times New Roman" w:hAnsi="Times New Roman" w:hint="default"/>
      </w:rPr>
    </w:lvl>
    <w:lvl w:ilvl="3" w:tplc="197040F6" w:tentative="1">
      <w:start w:val="1"/>
      <w:numFmt w:val="bullet"/>
      <w:lvlText w:val="•"/>
      <w:lvlJc w:val="left"/>
      <w:pPr>
        <w:tabs>
          <w:tab w:val="num" w:pos="2880"/>
        </w:tabs>
        <w:ind w:left="2880" w:hanging="360"/>
      </w:pPr>
      <w:rPr>
        <w:rFonts w:ascii="Times New Roman" w:hAnsi="Times New Roman" w:hint="default"/>
      </w:rPr>
    </w:lvl>
    <w:lvl w:ilvl="4" w:tplc="8FD681CC" w:tentative="1">
      <w:start w:val="1"/>
      <w:numFmt w:val="bullet"/>
      <w:lvlText w:val="•"/>
      <w:lvlJc w:val="left"/>
      <w:pPr>
        <w:tabs>
          <w:tab w:val="num" w:pos="3600"/>
        </w:tabs>
        <w:ind w:left="3600" w:hanging="360"/>
      </w:pPr>
      <w:rPr>
        <w:rFonts w:ascii="Times New Roman" w:hAnsi="Times New Roman" w:hint="default"/>
      </w:rPr>
    </w:lvl>
    <w:lvl w:ilvl="5" w:tplc="DED050BE" w:tentative="1">
      <w:start w:val="1"/>
      <w:numFmt w:val="bullet"/>
      <w:lvlText w:val="•"/>
      <w:lvlJc w:val="left"/>
      <w:pPr>
        <w:tabs>
          <w:tab w:val="num" w:pos="4320"/>
        </w:tabs>
        <w:ind w:left="4320" w:hanging="360"/>
      </w:pPr>
      <w:rPr>
        <w:rFonts w:ascii="Times New Roman" w:hAnsi="Times New Roman" w:hint="default"/>
      </w:rPr>
    </w:lvl>
    <w:lvl w:ilvl="6" w:tplc="E20EEECE" w:tentative="1">
      <w:start w:val="1"/>
      <w:numFmt w:val="bullet"/>
      <w:lvlText w:val="•"/>
      <w:lvlJc w:val="left"/>
      <w:pPr>
        <w:tabs>
          <w:tab w:val="num" w:pos="5040"/>
        </w:tabs>
        <w:ind w:left="5040" w:hanging="360"/>
      </w:pPr>
      <w:rPr>
        <w:rFonts w:ascii="Times New Roman" w:hAnsi="Times New Roman" w:hint="default"/>
      </w:rPr>
    </w:lvl>
    <w:lvl w:ilvl="7" w:tplc="0BF89020" w:tentative="1">
      <w:start w:val="1"/>
      <w:numFmt w:val="bullet"/>
      <w:lvlText w:val="•"/>
      <w:lvlJc w:val="left"/>
      <w:pPr>
        <w:tabs>
          <w:tab w:val="num" w:pos="5760"/>
        </w:tabs>
        <w:ind w:left="5760" w:hanging="360"/>
      </w:pPr>
      <w:rPr>
        <w:rFonts w:ascii="Times New Roman" w:hAnsi="Times New Roman" w:hint="default"/>
      </w:rPr>
    </w:lvl>
    <w:lvl w:ilvl="8" w:tplc="C2C801D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FF963C4"/>
    <w:multiLevelType w:val="hybridMultilevel"/>
    <w:tmpl w:val="62BE90DC"/>
    <w:lvl w:ilvl="0" w:tplc="B87AA992">
      <w:start w:val="1"/>
      <w:numFmt w:val="bullet"/>
      <w:lvlText w:val="•"/>
      <w:lvlJc w:val="left"/>
      <w:pPr>
        <w:tabs>
          <w:tab w:val="num" w:pos="720"/>
        </w:tabs>
        <w:ind w:left="720" w:hanging="360"/>
      </w:pPr>
      <w:rPr>
        <w:rFonts w:ascii="Times New Roman" w:hAnsi="Times New Roman" w:hint="default"/>
      </w:rPr>
    </w:lvl>
    <w:lvl w:ilvl="1" w:tplc="BCFEDFEA" w:tentative="1">
      <w:start w:val="1"/>
      <w:numFmt w:val="bullet"/>
      <w:lvlText w:val="•"/>
      <w:lvlJc w:val="left"/>
      <w:pPr>
        <w:tabs>
          <w:tab w:val="num" w:pos="1440"/>
        </w:tabs>
        <w:ind w:left="1440" w:hanging="360"/>
      </w:pPr>
      <w:rPr>
        <w:rFonts w:ascii="Times New Roman" w:hAnsi="Times New Roman" w:hint="default"/>
      </w:rPr>
    </w:lvl>
    <w:lvl w:ilvl="2" w:tplc="A0E6432E" w:tentative="1">
      <w:start w:val="1"/>
      <w:numFmt w:val="bullet"/>
      <w:lvlText w:val="•"/>
      <w:lvlJc w:val="left"/>
      <w:pPr>
        <w:tabs>
          <w:tab w:val="num" w:pos="2160"/>
        </w:tabs>
        <w:ind w:left="2160" w:hanging="360"/>
      </w:pPr>
      <w:rPr>
        <w:rFonts w:ascii="Times New Roman" w:hAnsi="Times New Roman" w:hint="default"/>
      </w:rPr>
    </w:lvl>
    <w:lvl w:ilvl="3" w:tplc="8F88C7A0" w:tentative="1">
      <w:start w:val="1"/>
      <w:numFmt w:val="bullet"/>
      <w:lvlText w:val="•"/>
      <w:lvlJc w:val="left"/>
      <w:pPr>
        <w:tabs>
          <w:tab w:val="num" w:pos="2880"/>
        </w:tabs>
        <w:ind w:left="2880" w:hanging="360"/>
      </w:pPr>
      <w:rPr>
        <w:rFonts w:ascii="Times New Roman" w:hAnsi="Times New Roman" w:hint="default"/>
      </w:rPr>
    </w:lvl>
    <w:lvl w:ilvl="4" w:tplc="D5800866" w:tentative="1">
      <w:start w:val="1"/>
      <w:numFmt w:val="bullet"/>
      <w:lvlText w:val="•"/>
      <w:lvlJc w:val="left"/>
      <w:pPr>
        <w:tabs>
          <w:tab w:val="num" w:pos="3600"/>
        </w:tabs>
        <w:ind w:left="3600" w:hanging="360"/>
      </w:pPr>
      <w:rPr>
        <w:rFonts w:ascii="Times New Roman" w:hAnsi="Times New Roman" w:hint="default"/>
      </w:rPr>
    </w:lvl>
    <w:lvl w:ilvl="5" w:tplc="95E60C22" w:tentative="1">
      <w:start w:val="1"/>
      <w:numFmt w:val="bullet"/>
      <w:lvlText w:val="•"/>
      <w:lvlJc w:val="left"/>
      <w:pPr>
        <w:tabs>
          <w:tab w:val="num" w:pos="4320"/>
        </w:tabs>
        <w:ind w:left="4320" w:hanging="360"/>
      </w:pPr>
      <w:rPr>
        <w:rFonts w:ascii="Times New Roman" w:hAnsi="Times New Roman" w:hint="default"/>
      </w:rPr>
    </w:lvl>
    <w:lvl w:ilvl="6" w:tplc="E20EEFCE" w:tentative="1">
      <w:start w:val="1"/>
      <w:numFmt w:val="bullet"/>
      <w:lvlText w:val="•"/>
      <w:lvlJc w:val="left"/>
      <w:pPr>
        <w:tabs>
          <w:tab w:val="num" w:pos="5040"/>
        </w:tabs>
        <w:ind w:left="5040" w:hanging="360"/>
      </w:pPr>
      <w:rPr>
        <w:rFonts w:ascii="Times New Roman" w:hAnsi="Times New Roman" w:hint="default"/>
      </w:rPr>
    </w:lvl>
    <w:lvl w:ilvl="7" w:tplc="5EE884FE" w:tentative="1">
      <w:start w:val="1"/>
      <w:numFmt w:val="bullet"/>
      <w:lvlText w:val="•"/>
      <w:lvlJc w:val="left"/>
      <w:pPr>
        <w:tabs>
          <w:tab w:val="num" w:pos="5760"/>
        </w:tabs>
        <w:ind w:left="5760" w:hanging="360"/>
      </w:pPr>
      <w:rPr>
        <w:rFonts w:ascii="Times New Roman" w:hAnsi="Times New Roman" w:hint="default"/>
      </w:rPr>
    </w:lvl>
    <w:lvl w:ilvl="8" w:tplc="A540FED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2DC3A03"/>
    <w:multiLevelType w:val="hybridMultilevel"/>
    <w:tmpl w:val="1B7016C6"/>
    <w:lvl w:ilvl="0" w:tplc="47702B66">
      <w:start w:val="1"/>
      <w:numFmt w:val="lowerRoman"/>
      <w:lvlText w:val="(%1)"/>
      <w:lvlJc w:val="left"/>
      <w:pPr>
        <w:tabs>
          <w:tab w:val="num" w:pos="1800"/>
        </w:tabs>
        <w:ind w:left="1800" w:hanging="720"/>
      </w:pPr>
      <w:rPr>
        <w:rFonts w:cs="Times New Roman" w:hint="default"/>
      </w:rPr>
    </w:lvl>
    <w:lvl w:ilvl="1" w:tplc="0409000B">
      <w:start w:val="1"/>
      <w:numFmt w:val="bullet"/>
      <w:lvlText w:val=""/>
      <w:lvlJc w:val="left"/>
      <w:pPr>
        <w:tabs>
          <w:tab w:val="num" w:pos="2160"/>
        </w:tabs>
        <w:ind w:left="2160" w:hanging="360"/>
      </w:pPr>
      <w:rPr>
        <w:rFonts w:ascii="Wingdings" w:hAnsi="Wingdings"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num w:numId="1">
    <w:abstractNumId w:val="10"/>
  </w:num>
  <w:num w:numId="2">
    <w:abstractNumId w:val="14"/>
  </w:num>
  <w:num w:numId="3">
    <w:abstractNumId w:val="19"/>
  </w:num>
  <w:num w:numId="4">
    <w:abstractNumId w:val="1"/>
  </w:num>
  <w:num w:numId="5">
    <w:abstractNumId w:val="6"/>
  </w:num>
  <w:num w:numId="6">
    <w:abstractNumId w:val="3"/>
  </w:num>
  <w:num w:numId="7">
    <w:abstractNumId w:val="16"/>
  </w:num>
  <w:num w:numId="8">
    <w:abstractNumId w:val="13"/>
  </w:num>
  <w:num w:numId="9">
    <w:abstractNumId w:val="8"/>
  </w:num>
  <w:num w:numId="10">
    <w:abstractNumId w:val="12"/>
  </w:num>
  <w:num w:numId="11">
    <w:abstractNumId w:val="9"/>
  </w:num>
  <w:num w:numId="12">
    <w:abstractNumId w:val="4"/>
  </w:num>
  <w:num w:numId="13">
    <w:abstractNumId w:val="0"/>
  </w:num>
  <w:num w:numId="14">
    <w:abstractNumId w:val="11"/>
  </w:num>
  <w:num w:numId="15">
    <w:abstractNumId w:val="7"/>
  </w:num>
  <w:num w:numId="16">
    <w:abstractNumId w:val="5"/>
  </w:num>
  <w:num w:numId="17">
    <w:abstractNumId w:val="17"/>
  </w:num>
  <w:num w:numId="18">
    <w:abstractNumId w:val="18"/>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80"/>
    <w:rsid w:val="0001536D"/>
    <w:rsid w:val="00024E77"/>
    <w:rsid w:val="00031042"/>
    <w:rsid w:val="00036BAF"/>
    <w:rsid w:val="00055A62"/>
    <w:rsid w:val="00062E83"/>
    <w:rsid w:val="000C1782"/>
    <w:rsid w:val="000C66CC"/>
    <w:rsid w:val="000C7C48"/>
    <w:rsid w:val="000E732B"/>
    <w:rsid w:val="000F0C57"/>
    <w:rsid w:val="000F1FC5"/>
    <w:rsid w:val="00136757"/>
    <w:rsid w:val="0019748F"/>
    <w:rsid w:val="001B47BF"/>
    <w:rsid w:val="001C51BC"/>
    <w:rsid w:val="00206402"/>
    <w:rsid w:val="0024681C"/>
    <w:rsid w:val="00282325"/>
    <w:rsid w:val="00297377"/>
    <w:rsid w:val="002A3ED1"/>
    <w:rsid w:val="002A6777"/>
    <w:rsid w:val="002B189C"/>
    <w:rsid w:val="002E5986"/>
    <w:rsid w:val="002F6242"/>
    <w:rsid w:val="003053D8"/>
    <w:rsid w:val="003124CB"/>
    <w:rsid w:val="00362CA1"/>
    <w:rsid w:val="00370672"/>
    <w:rsid w:val="0037202E"/>
    <w:rsid w:val="003722D8"/>
    <w:rsid w:val="003A3C7B"/>
    <w:rsid w:val="003A79F4"/>
    <w:rsid w:val="003D39F9"/>
    <w:rsid w:val="003E3300"/>
    <w:rsid w:val="003F4BFF"/>
    <w:rsid w:val="00476FD0"/>
    <w:rsid w:val="0049151A"/>
    <w:rsid w:val="004A5C7F"/>
    <w:rsid w:val="004B172A"/>
    <w:rsid w:val="004C6A08"/>
    <w:rsid w:val="004D6D9A"/>
    <w:rsid w:val="004E001B"/>
    <w:rsid w:val="004E5567"/>
    <w:rsid w:val="004E7D6E"/>
    <w:rsid w:val="00523673"/>
    <w:rsid w:val="005314BD"/>
    <w:rsid w:val="005333FF"/>
    <w:rsid w:val="005A6B56"/>
    <w:rsid w:val="005D21D5"/>
    <w:rsid w:val="005E4FD7"/>
    <w:rsid w:val="006228C3"/>
    <w:rsid w:val="00630B7A"/>
    <w:rsid w:val="00635F10"/>
    <w:rsid w:val="0066174F"/>
    <w:rsid w:val="00683561"/>
    <w:rsid w:val="006B2FBD"/>
    <w:rsid w:val="007101DC"/>
    <w:rsid w:val="00715C1D"/>
    <w:rsid w:val="007178C2"/>
    <w:rsid w:val="00727A6E"/>
    <w:rsid w:val="007319CB"/>
    <w:rsid w:val="0075539B"/>
    <w:rsid w:val="007804DA"/>
    <w:rsid w:val="007811A3"/>
    <w:rsid w:val="00782FF2"/>
    <w:rsid w:val="0078326F"/>
    <w:rsid w:val="00785816"/>
    <w:rsid w:val="007A61AF"/>
    <w:rsid w:val="00810692"/>
    <w:rsid w:val="00812381"/>
    <w:rsid w:val="008519B9"/>
    <w:rsid w:val="00896A42"/>
    <w:rsid w:val="008A7E6E"/>
    <w:rsid w:val="008C112B"/>
    <w:rsid w:val="008D259D"/>
    <w:rsid w:val="009110C1"/>
    <w:rsid w:val="009230E6"/>
    <w:rsid w:val="00926EE2"/>
    <w:rsid w:val="00945755"/>
    <w:rsid w:val="0096714E"/>
    <w:rsid w:val="00991A16"/>
    <w:rsid w:val="009E363C"/>
    <w:rsid w:val="009E43F9"/>
    <w:rsid w:val="009E7850"/>
    <w:rsid w:val="00A13721"/>
    <w:rsid w:val="00A22633"/>
    <w:rsid w:val="00A242E0"/>
    <w:rsid w:val="00A777C2"/>
    <w:rsid w:val="00A959FC"/>
    <w:rsid w:val="00AA7F6D"/>
    <w:rsid w:val="00AC4C55"/>
    <w:rsid w:val="00AD1986"/>
    <w:rsid w:val="00AD239D"/>
    <w:rsid w:val="00AE65DB"/>
    <w:rsid w:val="00B21B63"/>
    <w:rsid w:val="00B37F2F"/>
    <w:rsid w:val="00B42306"/>
    <w:rsid w:val="00B708AB"/>
    <w:rsid w:val="00B74E62"/>
    <w:rsid w:val="00BB1F2E"/>
    <w:rsid w:val="00BB2C57"/>
    <w:rsid w:val="00BB313F"/>
    <w:rsid w:val="00BC11BD"/>
    <w:rsid w:val="00BD07E1"/>
    <w:rsid w:val="00BD60C9"/>
    <w:rsid w:val="00BE39B7"/>
    <w:rsid w:val="00BF4C3E"/>
    <w:rsid w:val="00C02D30"/>
    <w:rsid w:val="00C102B6"/>
    <w:rsid w:val="00C37EE2"/>
    <w:rsid w:val="00C432FD"/>
    <w:rsid w:val="00C63FAC"/>
    <w:rsid w:val="00C64379"/>
    <w:rsid w:val="00C76837"/>
    <w:rsid w:val="00CE4A00"/>
    <w:rsid w:val="00D15452"/>
    <w:rsid w:val="00D16370"/>
    <w:rsid w:val="00DC0E4C"/>
    <w:rsid w:val="00DE08A2"/>
    <w:rsid w:val="00DE5C44"/>
    <w:rsid w:val="00DE5F1F"/>
    <w:rsid w:val="00E00688"/>
    <w:rsid w:val="00E02271"/>
    <w:rsid w:val="00E345F7"/>
    <w:rsid w:val="00E44880"/>
    <w:rsid w:val="00E632CD"/>
    <w:rsid w:val="00EA114B"/>
    <w:rsid w:val="00EB6BF9"/>
    <w:rsid w:val="00EF441D"/>
    <w:rsid w:val="00EF62E7"/>
    <w:rsid w:val="00F12544"/>
    <w:rsid w:val="00F13EEC"/>
    <w:rsid w:val="00F16B6A"/>
    <w:rsid w:val="00F17E84"/>
    <w:rsid w:val="00F243AA"/>
    <w:rsid w:val="00F45DD0"/>
    <w:rsid w:val="00F76D33"/>
    <w:rsid w:val="00FC6B28"/>
    <w:rsid w:val="00FF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62A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Body Text 2" w:unhideWhenUsed="0"/>
    <w:lsdException w:name="Block Text" w:unhideWhenUsed="0"/>
    <w:lsdException w:name="Strong" w:semiHidden="0" w:unhideWhenUsed="0" w:qFormat="1"/>
    <w:lsdException w:name="Emphasis" w:semiHidden="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28"/>
    <w:pPr>
      <w:spacing w:after="0" w:line="240" w:lineRule="auto"/>
      <w:ind w:left="720" w:right="720"/>
    </w:pPr>
    <w:rPr>
      <w:rFonts w:ascii="Franklin Gothic Medium" w:hAnsi="Franklin Gothic Medium" w:cs="Franklin Gothic Medium"/>
      <w:lang w:val="en-US" w:eastAsia="en-US"/>
    </w:rPr>
  </w:style>
  <w:style w:type="paragraph" w:styleId="Heading1">
    <w:name w:val="heading 1"/>
    <w:basedOn w:val="Normal"/>
    <w:next w:val="Normal"/>
    <w:link w:val="Heading1Char"/>
    <w:uiPriority w:val="99"/>
    <w:qFormat/>
    <w:rsid w:val="00A777C2"/>
    <w:pPr>
      <w:keepNext/>
      <w:ind w:left="0" w:right="0"/>
      <w:outlineLvl w:val="0"/>
    </w:pPr>
    <w:rPr>
      <w:b/>
      <w:bCs/>
      <w:sz w:val="20"/>
      <w:szCs w:val="20"/>
    </w:rPr>
  </w:style>
  <w:style w:type="paragraph" w:styleId="Heading2">
    <w:name w:val="heading 2"/>
    <w:basedOn w:val="Normal"/>
    <w:next w:val="Normal"/>
    <w:link w:val="Heading2Char"/>
    <w:uiPriority w:val="9"/>
    <w:semiHidden/>
    <w:unhideWhenUsed/>
    <w:qFormat/>
    <w:rsid w:val="000F0C57"/>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2325"/>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0F0C57"/>
    <w:rPr>
      <w:rFonts w:asciiTheme="majorHAnsi" w:eastAsiaTheme="majorEastAsia" w:hAnsiTheme="majorHAnsi" w:cstheme="majorBidi"/>
      <w:b/>
      <w:bCs/>
      <w:i/>
      <w:iCs/>
      <w:sz w:val="28"/>
      <w:szCs w:val="28"/>
      <w:lang w:val="en-US" w:eastAsia="en-US"/>
    </w:rPr>
  </w:style>
  <w:style w:type="paragraph" w:styleId="Header">
    <w:name w:val="header"/>
    <w:basedOn w:val="Normal"/>
    <w:link w:val="HeaderChar"/>
    <w:uiPriority w:val="99"/>
    <w:rsid w:val="00FC6B28"/>
    <w:pPr>
      <w:tabs>
        <w:tab w:val="center" w:pos="4320"/>
        <w:tab w:val="right" w:pos="8640"/>
      </w:tabs>
    </w:pPr>
  </w:style>
  <w:style w:type="character" w:customStyle="1" w:styleId="HeaderChar">
    <w:name w:val="Header Char"/>
    <w:basedOn w:val="DefaultParagraphFont"/>
    <w:link w:val="Header"/>
    <w:uiPriority w:val="99"/>
    <w:semiHidden/>
    <w:locked/>
    <w:rsid w:val="00282325"/>
    <w:rPr>
      <w:rFonts w:ascii="Franklin Gothic Medium" w:hAnsi="Franklin Gothic Medium" w:cs="Franklin Gothic Medium"/>
      <w:lang w:val="en-US" w:eastAsia="en-US"/>
    </w:rPr>
  </w:style>
  <w:style w:type="paragraph" w:styleId="Date">
    <w:name w:val="Date"/>
    <w:basedOn w:val="Normal"/>
    <w:next w:val="Normal"/>
    <w:link w:val="DateChar"/>
    <w:uiPriority w:val="99"/>
    <w:rsid w:val="00FC6B28"/>
  </w:style>
  <w:style w:type="character" w:customStyle="1" w:styleId="DateChar">
    <w:name w:val="Date Char"/>
    <w:basedOn w:val="DefaultParagraphFont"/>
    <w:link w:val="Date"/>
    <w:uiPriority w:val="99"/>
    <w:semiHidden/>
    <w:locked/>
    <w:rsid w:val="00282325"/>
    <w:rPr>
      <w:rFonts w:ascii="Franklin Gothic Medium" w:hAnsi="Franklin Gothic Medium" w:cs="Franklin Gothic Medium"/>
      <w:lang w:val="en-US" w:eastAsia="en-US"/>
    </w:rPr>
  </w:style>
  <w:style w:type="paragraph" w:customStyle="1" w:styleId="ReturnAddressName">
    <w:name w:val="Return Address Name"/>
    <w:basedOn w:val="Normal"/>
    <w:uiPriority w:val="99"/>
    <w:rsid w:val="00FC6B28"/>
    <w:pPr>
      <w:ind w:left="0" w:right="3600"/>
      <w:jc w:val="right"/>
    </w:pPr>
    <w:rPr>
      <w:rFonts w:ascii="Engravers MT" w:hAnsi="Engravers MT" w:cs="Engravers MT"/>
      <w:color w:val="99CCFF"/>
      <w:spacing w:val="20"/>
      <w:sz w:val="28"/>
      <w:szCs w:val="28"/>
    </w:rPr>
  </w:style>
  <w:style w:type="paragraph" w:styleId="Footer">
    <w:name w:val="footer"/>
    <w:basedOn w:val="Normal"/>
    <w:link w:val="FooterChar"/>
    <w:uiPriority w:val="99"/>
    <w:rsid w:val="00E632CD"/>
    <w:pPr>
      <w:tabs>
        <w:tab w:val="center" w:pos="4320"/>
        <w:tab w:val="right" w:pos="8640"/>
      </w:tabs>
    </w:pPr>
  </w:style>
  <w:style w:type="character" w:customStyle="1" w:styleId="FooterChar">
    <w:name w:val="Footer Char"/>
    <w:basedOn w:val="DefaultParagraphFont"/>
    <w:link w:val="Footer"/>
    <w:uiPriority w:val="99"/>
    <w:semiHidden/>
    <w:locked/>
    <w:rsid w:val="00282325"/>
    <w:rPr>
      <w:rFonts w:ascii="Franklin Gothic Medium" w:hAnsi="Franklin Gothic Medium" w:cs="Franklin Gothic Medium"/>
      <w:lang w:val="en-US" w:eastAsia="en-US"/>
    </w:rPr>
  </w:style>
  <w:style w:type="paragraph" w:styleId="BalloonText">
    <w:name w:val="Balloon Text"/>
    <w:basedOn w:val="Normal"/>
    <w:link w:val="BalloonTextChar"/>
    <w:uiPriority w:val="99"/>
    <w:semiHidden/>
    <w:rsid w:val="008C11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2325"/>
    <w:rPr>
      <w:rFonts w:ascii="Tahoma" w:hAnsi="Tahoma" w:cs="Tahoma"/>
      <w:sz w:val="16"/>
      <w:szCs w:val="16"/>
      <w:lang w:val="en-US" w:eastAsia="en-US"/>
    </w:rPr>
  </w:style>
  <w:style w:type="paragraph" w:styleId="BlockText">
    <w:name w:val="Block Text"/>
    <w:basedOn w:val="Normal"/>
    <w:uiPriority w:val="99"/>
    <w:rsid w:val="007804DA"/>
    <w:pPr>
      <w:tabs>
        <w:tab w:val="left" w:pos="2160"/>
      </w:tabs>
      <w:spacing w:line="220" w:lineRule="exact"/>
      <w:ind w:left="2160" w:right="1018"/>
    </w:pPr>
  </w:style>
  <w:style w:type="character" w:styleId="PageNumber">
    <w:name w:val="page number"/>
    <w:basedOn w:val="DefaultParagraphFont"/>
    <w:uiPriority w:val="99"/>
    <w:rsid w:val="008519B9"/>
    <w:rPr>
      <w:rFonts w:cs="Times New Roman"/>
    </w:rPr>
  </w:style>
  <w:style w:type="paragraph" w:styleId="BodyText2">
    <w:name w:val="Body Text 2"/>
    <w:basedOn w:val="Normal"/>
    <w:link w:val="BodyText2Char"/>
    <w:uiPriority w:val="99"/>
    <w:rsid w:val="00A777C2"/>
    <w:pPr>
      <w:ind w:left="60" w:right="0"/>
    </w:pPr>
    <w:rPr>
      <w:sz w:val="24"/>
      <w:szCs w:val="24"/>
    </w:rPr>
  </w:style>
  <w:style w:type="character" w:customStyle="1" w:styleId="BodyText2Char">
    <w:name w:val="Body Text 2 Char"/>
    <w:basedOn w:val="DefaultParagraphFont"/>
    <w:link w:val="BodyText2"/>
    <w:uiPriority w:val="99"/>
    <w:semiHidden/>
    <w:locked/>
    <w:rsid w:val="00282325"/>
    <w:rPr>
      <w:rFonts w:ascii="Franklin Gothic Medium" w:hAnsi="Franklin Gothic Medium" w:cs="Franklin Gothic Medium"/>
      <w:lang w:val="en-US" w:eastAsia="en-US"/>
    </w:rPr>
  </w:style>
  <w:style w:type="paragraph" w:styleId="DocumentMap">
    <w:name w:val="Document Map"/>
    <w:basedOn w:val="Normal"/>
    <w:link w:val="DocumentMapChar"/>
    <w:uiPriority w:val="99"/>
    <w:semiHidden/>
    <w:rsid w:val="000C7C4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82325"/>
    <w:rPr>
      <w:rFonts w:ascii="Tahoma" w:hAnsi="Tahoma" w:cs="Tahoma"/>
      <w:sz w:val="16"/>
      <w:szCs w:val="16"/>
      <w:lang w:val="en-US" w:eastAsia="en-US"/>
    </w:rPr>
  </w:style>
  <w:style w:type="character" w:styleId="Strong">
    <w:name w:val="Strong"/>
    <w:basedOn w:val="DefaultParagraphFont"/>
    <w:uiPriority w:val="99"/>
    <w:qFormat/>
    <w:rsid w:val="00523673"/>
    <w:rPr>
      <w:rFonts w:cs="Times New Roman"/>
      <w:b/>
      <w:bCs/>
    </w:rPr>
  </w:style>
  <w:style w:type="character" w:styleId="Emphasis">
    <w:name w:val="Emphasis"/>
    <w:basedOn w:val="DefaultParagraphFont"/>
    <w:uiPriority w:val="99"/>
    <w:qFormat/>
    <w:rsid w:val="00523673"/>
    <w:rPr>
      <w:rFonts w:cs="Times New Roman"/>
      <w:i/>
      <w:iCs/>
    </w:rPr>
  </w:style>
  <w:style w:type="paragraph" w:styleId="NormalWeb">
    <w:name w:val="Normal (Web)"/>
    <w:basedOn w:val="Normal"/>
    <w:uiPriority w:val="99"/>
    <w:rsid w:val="00523673"/>
    <w:pPr>
      <w:spacing w:before="100" w:beforeAutospacing="1" w:after="100" w:afterAutospacing="1"/>
      <w:ind w:left="0" w:right="0"/>
    </w:pPr>
    <w:rPr>
      <w:sz w:val="24"/>
      <w:szCs w:val="24"/>
    </w:rPr>
  </w:style>
  <w:style w:type="character" w:styleId="Hyperlink">
    <w:name w:val="Hyperlink"/>
    <w:basedOn w:val="DefaultParagraphFont"/>
    <w:uiPriority w:val="99"/>
    <w:unhideWhenUsed/>
    <w:rsid w:val="005A6B56"/>
    <w:rPr>
      <w:rFonts w:cs="Times New Roman"/>
      <w:color w:val="0000FF" w:themeColor="hyperlink"/>
      <w:u w:val="single"/>
    </w:rPr>
  </w:style>
  <w:style w:type="paragraph" w:styleId="NoSpacing">
    <w:name w:val="No Spacing"/>
    <w:uiPriority w:val="1"/>
    <w:qFormat/>
    <w:rsid w:val="0037202E"/>
    <w:pPr>
      <w:spacing w:after="0" w:line="240" w:lineRule="auto"/>
      <w:ind w:left="720" w:right="720"/>
    </w:pPr>
    <w:rPr>
      <w:rFonts w:ascii="Franklin Gothic Medium" w:hAnsi="Franklin Gothic Medium" w:cs="Franklin Gothic Medium"/>
      <w:lang w:val="en-US" w:eastAsia="en-US"/>
    </w:rPr>
  </w:style>
  <w:style w:type="paragraph" w:styleId="ListParagraph">
    <w:name w:val="List Paragraph"/>
    <w:basedOn w:val="Normal"/>
    <w:uiPriority w:val="34"/>
    <w:qFormat/>
    <w:rsid w:val="005333FF"/>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Body Text 2" w:unhideWhenUsed="0"/>
    <w:lsdException w:name="Block Text" w:unhideWhenUsed="0"/>
    <w:lsdException w:name="Strong" w:semiHidden="0" w:unhideWhenUsed="0" w:qFormat="1"/>
    <w:lsdException w:name="Emphasis" w:semiHidden="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28"/>
    <w:pPr>
      <w:spacing w:after="0" w:line="240" w:lineRule="auto"/>
      <w:ind w:left="720" w:right="720"/>
    </w:pPr>
    <w:rPr>
      <w:rFonts w:ascii="Franklin Gothic Medium" w:hAnsi="Franklin Gothic Medium" w:cs="Franklin Gothic Medium"/>
      <w:lang w:val="en-US" w:eastAsia="en-US"/>
    </w:rPr>
  </w:style>
  <w:style w:type="paragraph" w:styleId="Heading1">
    <w:name w:val="heading 1"/>
    <w:basedOn w:val="Normal"/>
    <w:next w:val="Normal"/>
    <w:link w:val="Heading1Char"/>
    <w:uiPriority w:val="99"/>
    <w:qFormat/>
    <w:rsid w:val="00A777C2"/>
    <w:pPr>
      <w:keepNext/>
      <w:ind w:left="0" w:right="0"/>
      <w:outlineLvl w:val="0"/>
    </w:pPr>
    <w:rPr>
      <w:b/>
      <w:bCs/>
      <w:sz w:val="20"/>
      <w:szCs w:val="20"/>
    </w:rPr>
  </w:style>
  <w:style w:type="paragraph" w:styleId="Heading2">
    <w:name w:val="heading 2"/>
    <w:basedOn w:val="Normal"/>
    <w:next w:val="Normal"/>
    <w:link w:val="Heading2Char"/>
    <w:uiPriority w:val="9"/>
    <w:semiHidden/>
    <w:unhideWhenUsed/>
    <w:qFormat/>
    <w:rsid w:val="000F0C57"/>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2325"/>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0F0C57"/>
    <w:rPr>
      <w:rFonts w:asciiTheme="majorHAnsi" w:eastAsiaTheme="majorEastAsia" w:hAnsiTheme="majorHAnsi" w:cstheme="majorBidi"/>
      <w:b/>
      <w:bCs/>
      <w:i/>
      <w:iCs/>
      <w:sz w:val="28"/>
      <w:szCs w:val="28"/>
      <w:lang w:val="en-US" w:eastAsia="en-US"/>
    </w:rPr>
  </w:style>
  <w:style w:type="paragraph" w:styleId="Header">
    <w:name w:val="header"/>
    <w:basedOn w:val="Normal"/>
    <w:link w:val="HeaderChar"/>
    <w:uiPriority w:val="99"/>
    <w:rsid w:val="00FC6B28"/>
    <w:pPr>
      <w:tabs>
        <w:tab w:val="center" w:pos="4320"/>
        <w:tab w:val="right" w:pos="8640"/>
      </w:tabs>
    </w:pPr>
  </w:style>
  <w:style w:type="character" w:customStyle="1" w:styleId="HeaderChar">
    <w:name w:val="Header Char"/>
    <w:basedOn w:val="DefaultParagraphFont"/>
    <w:link w:val="Header"/>
    <w:uiPriority w:val="99"/>
    <w:semiHidden/>
    <w:locked/>
    <w:rsid w:val="00282325"/>
    <w:rPr>
      <w:rFonts w:ascii="Franklin Gothic Medium" w:hAnsi="Franklin Gothic Medium" w:cs="Franklin Gothic Medium"/>
      <w:lang w:val="en-US" w:eastAsia="en-US"/>
    </w:rPr>
  </w:style>
  <w:style w:type="paragraph" w:styleId="Date">
    <w:name w:val="Date"/>
    <w:basedOn w:val="Normal"/>
    <w:next w:val="Normal"/>
    <w:link w:val="DateChar"/>
    <w:uiPriority w:val="99"/>
    <w:rsid w:val="00FC6B28"/>
  </w:style>
  <w:style w:type="character" w:customStyle="1" w:styleId="DateChar">
    <w:name w:val="Date Char"/>
    <w:basedOn w:val="DefaultParagraphFont"/>
    <w:link w:val="Date"/>
    <w:uiPriority w:val="99"/>
    <w:semiHidden/>
    <w:locked/>
    <w:rsid w:val="00282325"/>
    <w:rPr>
      <w:rFonts w:ascii="Franklin Gothic Medium" w:hAnsi="Franklin Gothic Medium" w:cs="Franklin Gothic Medium"/>
      <w:lang w:val="en-US" w:eastAsia="en-US"/>
    </w:rPr>
  </w:style>
  <w:style w:type="paragraph" w:customStyle="1" w:styleId="ReturnAddressName">
    <w:name w:val="Return Address Name"/>
    <w:basedOn w:val="Normal"/>
    <w:uiPriority w:val="99"/>
    <w:rsid w:val="00FC6B28"/>
    <w:pPr>
      <w:ind w:left="0" w:right="3600"/>
      <w:jc w:val="right"/>
    </w:pPr>
    <w:rPr>
      <w:rFonts w:ascii="Engravers MT" w:hAnsi="Engravers MT" w:cs="Engravers MT"/>
      <w:color w:val="99CCFF"/>
      <w:spacing w:val="20"/>
      <w:sz w:val="28"/>
      <w:szCs w:val="28"/>
    </w:rPr>
  </w:style>
  <w:style w:type="paragraph" w:styleId="Footer">
    <w:name w:val="footer"/>
    <w:basedOn w:val="Normal"/>
    <w:link w:val="FooterChar"/>
    <w:uiPriority w:val="99"/>
    <w:rsid w:val="00E632CD"/>
    <w:pPr>
      <w:tabs>
        <w:tab w:val="center" w:pos="4320"/>
        <w:tab w:val="right" w:pos="8640"/>
      </w:tabs>
    </w:pPr>
  </w:style>
  <w:style w:type="character" w:customStyle="1" w:styleId="FooterChar">
    <w:name w:val="Footer Char"/>
    <w:basedOn w:val="DefaultParagraphFont"/>
    <w:link w:val="Footer"/>
    <w:uiPriority w:val="99"/>
    <w:semiHidden/>
    <w:locked/>
    <w:rsid w:val="00282325"/>
    <w:rPr>
      <w:rFonts w:ascii="Franklin Gothic Medium" w:hAnsi="Franklin Gothic Medium" w:cs="Franklin Gothic Medium"/>
      <w:lang w:val="en-US" w:eastAsia="en-US"/>
    </w:rPr>
  </w:style>
  <w:style w:type="paragraph" w:styleId="BalloonText">
    <w:name w:val="Balloon Text"/>
    <w:basedOn w:val="Normal"/>
    <w:link w:val="BalloonTextChar"/>
    <w:uiPriority w:val="99"/>
    <w:semiHidden/>
    <w:rsid w:val="008C11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2325"/>
    <w:rPr>
      <w:rFonts w:ascii="Tahoma" w:hAnsi="Tahoma" w:cs="Tahoma"/>
      <w:sz w:val="16"/>
      <w:szCs w:val="16"/>
      <w:lang w:val="en-US" w:eastAsia="en-US"/>
    </w:rPr>
  </w:style>
  <w:style w:type="paragraph" w:styleId="BlockText">
    <w:name w:val="Block Text"/>
    <w:basedOn w:val="Normal"/>
    <w:uiPriority w:val="99"/>
    <w:rsid w:val="007804DA"/>
    <w:pPr>
      <w:tabs>
        <w:tab w:val="left" w:pos="2160"/>
      </w:tabs>
      <w:spacing w:line="220" w:lineRule="exact"/>
      <w:ind w:left="2160" w:right="1018"/>
    </w:pPr>
  </w:style>
  <w:style w:type="character" w:styleId="PageNumber">
    <w:name w:val="page number"/>
    <w:basedOn w:val="DefaultParagraphFont"/>
    <w:uiPriority w:val="99"/>
    <w:rsid w:val="008519B9"/>
    <w:rPr>
      <w:rFonts w:cs="Times New Roman"/>
    </w:rPr>
  </w:style>
  <w:style w:type="paragraph" w:styleId="BodyText2">
    <w:name w:val="Body Text 2"/>
    <w:basedOn w:val="Normal"/>
    <w:link w:val="BodyText2Char"/>
    <w:uiPriority w:val="99"/>
    <w:rsid w:val="00A777C2"/>
    <w:pPr>
      <w:ind w:left="60" w:right="0"/>
    </w:pPr>
    <w:rPr>
      <w:sz w:val="24"/>
      <w:szCs w:val="24"/>
    </w:rPr>
  </w:style>
  <w:style w:type="character" w:customStyle="1" w:styleId="BodyText2Char">
    <w:name w:val="Body Text 2 Char"/>
    <w:basedOn w:val="DefaultParagraphFont"/>
    <w:link w:val="BodyText2"/>
    <w:uiPriority w:val="99"/>
    <w:semiHidden/>
    <w:locked/>
    <w:rsid w:val="00282325"/>
    <w:rPr>
      <w:rFonts w:ascii="Franklin Gothic Medium" w:hAnsi="Franklin Gothic Medium" w:cs="Franklin Gothic Medium"/>
      <w:lang w:val="en-US" w:eastAsia="en-US"/>
    </w:rPr>
  </w:style>
  <w:style w:type="paragraph" w:styleId="DocumentMap">
    <w:name w:val="Document Map"/>
    <w:basedOn w:val="Normal"/>
    <w:link w:val="DocumentMapChar"/>
    <w:uiPriority w:val="99"/>
    <w:semiHidden/>
    <w:rsid w:val="000C7C4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82325"/>
    <w:rPr>
      <w:rFonts w:ascii="Tahoma" w:hAnsi="Tahoma" w:cs="Tahoma"/>
      <w:sz w:val="16"/>
      <w:szCs w:val="16"/>
      <w:lang w:val="en-US" w:eastAsia="en-US"/>
    </w:rPr>
  </w:style>
  <w:style w:type="character" w:styleId="Strong">
    <w:name w:val="Strong"/>
    <w:basedOn w:val="DefaultParagraphFont"/>
    <w:uiPriority w:val="99"/>
    <w:qFormat/>
    <w:rsid w:val="00523673"/>
    <w:rPr>
      <w:rFonts w:cs="Times New Roman"/>
      <w:b/>
      <w:bCs/>
    </w:rPr>
  </w:style>
  <w:style w:type="character" w:styleId="Emphasis">
    <w:name w:val="Emphasis"/>
    <w:basedOn w:val="DefaultParagraphFont"/>
    <w:uiPriority w:val="99"/>
    <w:qFormat/>
    <w:rsid w:val="00523673"/>
    <w:rPr>
      <w:rFonts w:cs="Times New Roman"/>
      <w:i/>
      <w:iCs/>
    </w:rPr>
  </w:style>
  <w:style w:type="paragraph" w:styleId="NormalWeb">
    <w:name w:val="Normal (Web)"/>
    <w:basedOn w:val="Normal"/>
    <w:uiPriority w:val="99"/>
    <w:rsid w:val="00523673"/>
    <w:pPr>
      <w:spacing w:before="100" w:beforeAutospacing="1" w:after="100" w:afterAutospacing="1"/>
      <w:ind w:left="0" w:right="0"/>
    </w:pPr>
    <w:rPr>
      <w:sz w:val="24"/>
      <w:szCs w:val="24"/>
    </w:rPr>
  </w:style>
  <w:style w:type="character" w:styleId="Hyperlink">
    <w:name w:val="Hyperlink"/>
    <w:basedOn w:val="DefaultParagraphFont"/>
    <w:uiPriority w:val="99"/>
    <w:unhideWhenUsed/>
    <w:rsid w:val="005A6B56"/>
    <w:rPr>
      <w:rFonts w:cs="Times New Roman"/>
      <w:color w:val="0000FF" w:themeColor="hyperlink"/>
      <w:u w:val="single"/>
    </w:rPr>
  </w:style>
  <w:style w:type="paragraph" w:styleId="NoSpacing">
    <w:name w:val="No Spacing"/>
    <w:uiPriority w:val="1"/>
    <w:qFormat/>
    <w:rsid w:val="0037202E"/>
    <w:pPr>
      <w:spacing w:after="0" w:line="240" w:lineRule="auto"/>
      <w:ind w:left="720" w:right="720"/>
    </w:pPr>
    <w:rPr>
      <w:rFonts w:ascii="Franklin Gothic Medium" w:hAnsi="Franklin Gothic Medium" w:cs="Franklin Gothic Medium"/>
      <w:lang w:val="en-US" w:eastAsia="en-US"/>
    </w:rPr>
  </w:style>
  <w:style w:type="paragraph" w:styleId="ListParagraph">
    <w:name w:val="List Paragraph"/>
    <w:basedOn w:val="Normal"/>
    <w:uiPriority w:val="34"/>
    <w:qFormat/>
    <w:rsid w:val="005333F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70589">
      <w:marLeft w:val="750"/>
      <w:marRight w:val="0"/>
      <w:marTop w:val="2025"/>
      <w:marBottom w:val="0"/>
      <w:divBdr>
        <w:top w:val="none" w:sz="0" w:space="0" w:color="auto"/>
        <w:left w:val="none" w:sz="0" w:space="0" w:color="auto"/>
        <w:bottom w:val="none" w:sz="0" w:space="0" w:color="auto"/>
        <w:right w:val="none" w:sz="0" w:space="0" w:color="auto"/>
      </w:divBdr>
      <w:divsChild>
        <w:div w:id="1884170587">
          <w:marLeft w:val="0"/>
          <w:marRight w:val="0"/>
          <w:marTop w:val="0"/>
          <w:marBottom w:val="0"/>
          <w:divBdr>
            <w:top w:val="none" w:sz="0" w:space="0" w:color="auto"/>
            <w:left w:val="none" w:sz="0" w:space="0" w:color="auto"/>
            <w:bottom w:val="none" w:sz="0" w:space="0" w:color="auto"/>
            <w:right w:val="none" w:sz="0" w:space="0" w:color="auto"/>
          </w:divBdr>
        </w:div>
        <w:div w:id="1884170588">
          <w:marLeft w:val="0"/>
          <w:marRight w:val="0"/>
          <w:marTop w:val="0"/>
          <w:marBottom w:val="0"/>
          <w:divBdr>
            <w:top w:val="none" w:sz="0" w:space="0" w:color="auto"/>
            <w:left w:val="none" w:sz="0" w:space="0" w:color="auto"/>
            <w:bottom w:val="none" w:sz="0" w:space="0" w:color="auto"/>
            <w:right w:val="none" w:sz="0" w:space="0" w:color="auto"/>
          </w:divBdr>
          <w:divsChild>
            <w:div w:id="1884170607">
              <w:marLeft w:val="0"/>
              <w:marRight w:val="0"/>
              <w:marTop w:val="0"/>
              <w:marBottom w:val="0"/>
              <w:divBdr>
                <w:top w:val="none" w:sz="0" w:space="0" w:color="auto"/>
                <w:left w:val="none" w:sz="0" w:space="0" w:color="auto"/>
                <w:bottom w:val="none" w:sz="0" w:space="0" w:color="auto"/>
                <w:right w:val="none" w:sz="0" w:space="0" w:color="auto"/>
              </w:divBdr>
              <w:divsChild>
                <w:div w:id="18841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594">
          <w:marLeft w:val="720"/>
          <w:marRight w:val="0"/>
          <w:marTop w:val="100"/>
          <w:marBottom w:val="100"/>
          <w:divBdr>
            <w:top w:val="none" w:sz="0" w:space="0" w:color="auto"/>
            <w:left w:val="none" w:sz="0" w:space="0" w:color="auto"/>
            <w:bottom w:val="none" w:sz="0" w:space="0" w:color="auto"/>
            <w:right w:val="none" w:sz="0" w:space="0" w:color="auto"/>
          </w:divBdr>
          <w:divsChild>
            <w:div w:id="1884170617">
              <w:marLeft w:val="0"/>
              <w:marRight w:val="0"/>
              <w:marTop w:val="0"/>
              <w:marBottom w:val="0"/>
              <w:divBdr>
                <w:top w:val="none" w:sz="0" w:space="0" w:color="auto"/>
                <w:left w:val="none" w:sz="0" w:space="0" w:color="auto"/>
                <w:bottom w:val="none" w:sz="0" w:space="0" w:color="auto"/>
                <w:right w:val="none" w:sz="0" w:space="0" w:color="auto"/>
              </w:divBdr>
            </w:div>
          </w:divsChild>
        </w:div>
        <w:div w:id="1884170595">
          <w:marLeft w:val="0"/>
          <w:marRight w:val="0"/>
          <w:marTop w:val="0"/>
          <w:marBottom w:val="0"/>
          <w:divBdr>
            <w:top w:val="none" w:sz="0" w:space="0" w:color="auto"/>
            <w:left w:val="none" w:sz="0" w:space="0" w:color="auto"/>
            <w:bottom w:val="none" w:sz="0" w:space="0" w:color="auto"/>
            <w:right w:val="none" w:sz="0" w:space="0" w:color="auto"/>
          </w:divBdr>
        </w:div>
        <w:div w:id="1884170598">
          <w:marLeft w:val="720"/>
          <w:marRight w:val="0"/>
          <w:marTop w:val="100"/>
          <w:marBottom w:val="100"/>
          <w:divBdr>
            <w:top w:val="none" w:sz="0" w:space="0" w:color="auto"/>
            <w:left w:val="none" w:sz="0" w:space="0" w:color="auto"/>
            <w:bottom w:val="none" w:sz="0" w:space="0" w:color="auto"/>
            <w:right w:val="none" w:sz="0" w:space="0" w:color="auto"/>
          </w:divBdr>
          <w:divsChild>
            <w:div w:id="1884170614">
              <w:marLeft w:val="0"/>
              <w:marRight w:val="0"/>
              <w:marTop w:val="0"/>
              <w:marBottom w:val="0"/>
              <w:divBdr>
                <w:top w:val="none" w:sz="0" w:space="0" w:color="auto"/>
                <w:left w:val="none" w:sz="0" w:space="0" w:color="auto"/>
                <w:bottom w:val="none" w:sz="0" w:space="0" w:color="auto"/>
                <w:right w:val="none" w:sz="0" w:space="0" w:color="auto"/>
              </w:divBdr>
              <w:divsChild>
                <w:div w:id="1884170600">
                  <w:marLeft w:val="0"/>
                  <w:marRight w:val="0"/>
                  <w:marTop w:val="0"/>
                  <w:marBottom w:val="0"/>
                  <w:divBdr>
                    <w:top w:val="none" w:sz="0" w:space="0" w:color="auto"/>
                    <w:left w:val="none" w:sz="0" w:space="0" w:color="auto"/>
                    <w:bottom w:val="none" w:sz="0" w:space="0" w:color="auto"/>
                    <w:right w:val="none" w:sz="0" w:space="0" w:color="auto"/>
                  </w:divBdr>
                </w:div>
                <w:div w:id="1884170613">
                  <w:marLeft w:val="0"/>
                  <w:marRight w:val="0"/>
                  <w:marTop w:val="0"/>
                  <w:marBottom w:val="0"/>
                  <w:divBdr>
                    <w:top w:val="none" w:sz="0" w:space="0" w:color="auto"/>
                    <w:left w:val="none" w:sz="0" w:space="0" w:color="auto"/>
                    <w:bottom w:val="none" w:sz="0" w:space="0" w:color="auto"/>
                    <w:right w:val="none" w:sz="0" w:space="0" w:color="auto"/>
                  </w:divBdr>
                </w:div>
                <w:div w:id="1884170618">
                  <w:marLeft w:val="0"/>
                  <w:marRight w:val="0"/>
                  <w:marTop w:val="0"/>
                  <w:marBottom w:val="0"/>
                  <w:divBdr>
                    <w:top w:val="none" w:sz="0" w:space="0" w:color="auto"/>
                    <w:left w:val="none" w:sz="0" w:space="0" w:color="auto"/>
                    <w:bottom w:val="none" w:sz="0" w:space="0" w:color="auto"/>
                    <w:right w:val="none" w:sz="0" w:space="0" w:color="auto"/>
                  </w:divBdr>
                </w:div>
                <w:div w:id="18841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02">
          <w:marLeft w:val="0"/>
          <w:marRight w:val="0"/>
          <w:marTop w:val="0"/>
          <w:marBottom w:val="0"/>
          <w:divBdr>
            <w:top w:val="none" w:sz="0" w:space="0" w:color="auto"/>
            <w:left w:val="none" w:sz="0" w:space="0" w:color="auto"/>
            <w:bottom w:val="none" w:sz="0" w:space="0" w:color="auto"/>
            <w:right w:val="none" w:sz="0" w:space="0" w:color="auto"/>
          </w:divBdr>
        </w:div>
        <w:div w:id="1884170603">
          <w:marLeft w:val="720"/>
          <w:marRight w:val="0"/>
          <w:marTop w:val="100"/>
          <w:marBottom w:val="100"/>
          <w:divBdr>
            <w:top w:val="none" w:sz="0" w:space="0" w:color="auto"/>
            <w:left w:val="none" w:sz="0" w:space="0" w:color="auto"/>
            <w:bottom w:val="none" w:sz="0" w:space="0" w:color="auto"/>
            <w:right w:val="none" w:sz="0" w:space="0" w:color="auto"/>
          </w:divBdr>
          <w:divsChild>
            <w:div w:id="1884170596">
              <w:marLeft w:val="0"/>
              <w:marRight w:val="0"/>
              <w:marTop w:val="0"/>
              <w:marBottom w:val="0"/>
              <w:divBdr>
                <w:top w:val="none" w:sz="0" w:space="0" w:color="auto"/>
                <w:left w:val="none" w:sz="0" w:space="0" w:color="auto"/>
                <w:bottom w:val="none" w:sz="0" w:space="0" w:color="auto"/>
                <w:right w:val="none" w:sz="0" w:space="0" w:color="auto"/>
              </w:divBdr>
            </w:div>
            <w:div w:id="1884170641">
              <w:marLeft w:val="0"/>
              <w:marRight w:val="0"/>
              <w:marTop w:val="0"/>
              <w:marBottom w:val="0"/>
              <w:divBdr>
                <w:top w:val="none" w:sz="0" w:space="0" w:color="auto"/>
                <w:left w:val="none" w:sz="0" w:space="0" w:color="auto"/>
                <w:bottom w:val="none" w:sz="0" w:space="0" w:color="auto"/>
                <w:right w:val="none" w:sz="0" w:space="0" w:color="auto"/>
              </w:divBdr>
            </w:div>
          </w:divsChild>
        </w:div>
        <w:div w:id="1884170615">
          <w:marLeft w:val="720"/>
          <w:marRight w:val="0"/>
          <w:marTop w:val="100"/>
          <w:marBottom w:val="100"/>
          <w:divBdr>
            <w:top w:val="none" w:sz="0" w:space="0" w:color="auto"/>
            <w:left w:val="none" w:sz="0" w:space="0" w:color="auto"/>
            <w:bottom w:val="none" w:sz="0" w:space="0" w:color="auto"/>
            <w:right w:val="none" w:sz="0" w:space="0" w:color="auto"/>
          </w:divBdr>
          <w:divsChild>
            <w:div w:id="1884170591">
              <w:marLeft w:val="0"/>
              <w:marRight w:val="0"/>
              <w:marTop w:val="0"/>
              <w:marBottom w:val="0"/>
              <w:divBdr>
                <w:top w:val="none" w:sz="0" w:space="0" w:color="auto"/>
                <w:left w:val="none" w:sz="0" w:space="0" w:color="auto"/>
                <w:bottom w:val="none" w:sz="0" w:space="0" w:color="auto"/>
                <w:right w:val="none" w:sz="0" w:space="0" w:color="auto"/>
              </w:divBdr>
            </w:div>
            <w:div w:id="1884170597">
              <w:marLeft w:val="0"/>
              <w:marRight w:val="0"/>
              <w:marTop w:val="0"/>
              <w:marBottom w:val="0"/>
              <w:divBdr>
                <w:top w:val="none" w:sz="0" w:space="0" w:color="auto"/>
                <w:left w:val="none" w:sz="0" w:space="0" w:color="auto"/>
                <w:bottom w:val="none" w:sz="0" w:space="0" w:color="auto"/>
                <w:right w:val="none" w:sz="0" w:space="0" w:color="auto"/>
              </w:divBdr>
            </w:div>
            <w:div w:id="1884170624">
              <w:marLeft w:val="0"/>
              <w:marRight w:val="0"/>
              <w:marTop w:val="0"/>
              <w:marBottom w:val="0"/>
              <w:divBdr>
                <w:top w:val="none" w:sz="0" w:space="0" w:color="auto"/>
                <w:left w:val="none" w:sz="0" w:space="0" w:color="auto"/>
                <w:bottom w:val="none" w:sz="0" w:space="0" w:color="auto"/>
                <w:right w:val="none" w:sz="0" w:space="0" w:color="auto"/>
              </w:divBdr>
            </w:div>
            <w:div w:id="1884170630">
              <w:marLeft w:val="0"/>
              <w:marRight w:val="0"/>
              <w:marTop w:val="0"/>
              <w:marBottom w:val="0"/>
              <w:divBdr>
                <w:top w:val="none" w:sz="0" w:space="0" w:color="auto"/>
                <w:left w:val="none" w:sz="0" w:space="0" w:color="auto"/>
                <w:bottom w:val="none" w:sz="0" w:space="0" w:color="auto"/>
                <w:right w:val="none" w:sz="0" w:space="0" w:color="auto"/>
              </w:divBdr>
            </w:div>
          </w:divsChild>
        </w:div>
        <w:div w:id="1884170621">
          <w:marLeft w:val="0"/>
          <w:marRight w:val="0"/>
          <w:marTop w:val="0"/>
          <w:marBottom w:val="0"/>
          <w:divBdr>
            <w:top w:val="none" w:sz="0" w:space="0" w:color="auto"/>
            <w:left w:val="none" w:sz="0" w:space="0" w:color="auto"/>
            <w:bottom w:val="none" w:sz="0" w:space="0" w:color="auto"/>
            <w:right w:val="none" w:sz="0" w:space="0" w:color="auto"/>
          </w:divBdr>
        </w:div>
        <w:div w:id="1884170622">
          <w:marLeft w:val="0"/>
          <w:marRight w:val="0"/>
          <w:marTop w:val="0"/>
          <w:marBottom w:val="0"/>
          <w:divBdr>
            <w:top w:val="none" w:sz="0" w:space="0" w:color="auto"/>
            <w:left w:val="none" w:sz="0" w:space="0" w:color="auto"/>
            <w:bottom w:val="none" w:sz="0" w:space="0" w:color="auto"/>
            <w:right w:val="none" w:sz="0" w:space="0" w:color="auto"/>
          </w:divBdr>
        </w:div>
        <w:div w:id="1884170623">
          <w:marLeft w:val="0"/>
          <w:marRight w:val="0"/>
          <w:marTop w:val="0"/>
          <w:marBottom w:val="0"/>
          <w:divBdr>
            <w:top w:val="none" w:sz="0" w:space="0" w:color="auto"/>
            <w:left w:val="none" w:sz="0" w:space="0" w:color="auto"/>
            <w:bottom w:val="none" w:sz="0" w:space="0" w:color="auto"/>
            <w:right w:val="none" w:sz="0" w:space="0" w:color="auto"/>
          </w:divBdr>
        </w:div>
        <w:div w:id="1884170634">
          <w:marLeft w:val="0"/>
          <w:marRight w:val="0"/>
          <w:marTop w:val="0"/>
          <w:marBottom w:val="0"/>
          <w:divBdr>
            <w:top w:val="none" w:sz="0" w:space="0" w:color="auto"/>
            <w:left w:val="none" w:sz="0" w:space="0" w:color="auto"/>
            <w:bottom w:val="none" w:sz="0" w:space="0" w:color="auto"/>
            <w:right w:val="none" w:sz="0" w:space="0" w:color="auto"/>
          </w:divBdr>
        </w:div>
        <w:div w:id="1884170643">
          <w:marLeft w:val="0"/>
          <w:marRight w:val="0"/>
          <w:marTop w:val="0"/>
          <w:marBottom w:val="0"/>
          <w:divBdr>
            <w:top w:val="none" w:sz="0" w:space="0" w:color="auto"/>
            <w:left w:val="none" w:sz="0" w:space="0" w:color="auto"/>
            <w:bottom w:val="none" w:sz="0" w:space="0" w:color="auto"/>
            <w:right w:val="none" w:sz="0" w:space="0" w:color="auto"/>
          </w:divBdr>
        </w:div>
      </w:divsChild>
    </w:div>
    <w:div w:id="1884170601">
      <w:marLeft w:val="0"/>
      <w:marRight w:val="0"/>
      <w:marTop w:val="0"/>
      <w:marBottom w:val="0"/>
      <w:divBdr>
        <w:top w:val="none" w:sz="0" w:space="0" w:color="auto"/>
        <w:left w:val="none" w:sz="0" w:space="0" w:color="auto"/>
        <w:bottom w:val="none" w:sz="0" w:space="0" w:color="auto"/>
        <w:right w:val="none" w:sz="0" w:space="0" w:color="auto"/>
      </w:divBdr>
      <w:divsChild>
        <w:div w:id="1884170620">
          <w:marLeft w:val="0"/>
          <w:marRight w:val="0"/>
          <w:marTop w:val="0"/>
          <w:marBottom w:val="0"/>
          <w:divBdr>
            <w:top w:val="none" w:sz="0" w:space="0" w:color="auto"/>
            <w:left w:val="none" w:sz="0" w:space="0" w:color="auto"/>
            <w:bottom w:val="none" w:sz="0" w:space="0" w:color="auto"/>
            <w:right w:val="none" w:sz="0" w:space="0" w:color="auto"/>
          </w:divBdr>
          <w:divsChild>
            <w:div w:id="18841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06">
      <w:marLeft w:val="0"/>
      <w:marRight w:val="0"/>
      <w:marTop w:val="0"/>
      <w:marBottom w:val="0"/>
      <w:divBdr>
        <w:top w:val="none" w:sz="0" w:space="0" w:color="auto"/>
        <w:left w:val="none" w:sz="0" w:space="0" w:color="auto"/>
        <w:bottom w:val="none" w:sz="0" w:space="0" w:color="auto"/>
        <w:right w:val="none" w:sz="0" w:space="0" w:color="auto"/>
      </w:divBdr>
      <w:divsChild>
        <w:div w:id="1884170626">
          <w:marLeft w:val="0"/>
          <w:marRight w:val="0"/>
          <w:marTop w:val="0"/>
          <w:marBottom w:val="0"/>
          <w:divBdr>
            <w:top w:val="none" w:sz="0" w:space="0" w:color="auto"/>
            <w:left w:val="none" w:sz="0" w:space="0" w:color="auto"/>
            <w:bottom w:val="none" w:sz="0" w:space="0" w:color="auto"/>
            <w:right w:val="none" w:sz="0" w:space="0" w:color="auto"/>
          </w:divBdr>
          <w:divsChild>
            <w:div w:id="1884170610">
              <w:marLeft w:val="0"/>
              <w:marRight w:val="0"/>
              <w:marTop w:val="0"/>
              <w:marBottom w:val="0"/>
              <w:divBdr>
                <w:top w:val="none" w:sz="0" w:space="0" w:color="auto"/>
                <w:left w:val="none" w:sz="0" w:space="0" w:color="auto"/>
                <w:bottom w:val="none" w:sz="0" w:space="0" w:color="auto"/>
                <w:right w:val="none" w:sz="0" w:space="0" w:color="auto"/>
              </w:divBdr>
            </w:div>
            <w:div w:id="18841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16">
      <w:marLeft w:val="0"/>
      <w:marRight w:val="0"/>
      <w:marTop w:val="0"/>
      <w:marBottom w:val="0"/>
      <w:divBdr>
        <w:top w:val="none" w:sz="0" w:space="0" w:color="auto"/>
        <w:left w:val="none" w:sz="0" w:space="0" w:color="auto"/>
        <w:bottom w:val="none" w:sz="0" w:space="0" w:color="auto"/>
        <w:right w:val="none" w:sz="0" w:space="0" w:color="auto"/>
      </w:divBdr>
      <w:divsChild>
        <w:div w:id="1884170585">
          <w:marLeft w:val="0"/>
          <w:marRight w:val="0"/>
          <w:marTop w:val="0"/>
          <w:marBottom w:val="0"/>
          <w:divBdr>
            <w:top w:val="none" w:sz="0" w:space="0" w:color="auto"/>
            <w:left w:val="none" w:sz="0" w:space="0" w:color="auto"/>
            <w:bottom w:val="none" w:sz="0" w:space="0" w:color="auto"/>
            <w:right w:val="none" w:sz="0" w:space="0" w:color="auto"/>
          </w:divBdr>
          <w:divsChild>
            <w:div w:id="1884170609">
              <w:marLeft w:val="0"/>
              <w:marRight w:val="0"/>
              <w:marTop w:val="0"/>
              <w:marBottom w:val="0"/>
              <w:divBdr>
                <w:top w:val="none" w:sz="0" w:space="0" w:color="auto"/>
                <w:left w:val="none" w:sz="0" w:space="0" w:color="auto"/>
                <w:bottom w:val="none" w:sz="0" w:space="0" w:color="auto"/>
                <w:right w:val="none" w:sz="0" w:space="0" w:color="auto"/>
              </w:divBdr>
            </w:div>
            <w:div w:id="1884170612">
              <w:marLeft w:val="0"/>
              <w:marRight w:val="0"/>
              <w:marTop w:val="0"/>
              <w:marBottom w:val="0"/>
              <w:divBdr>
                <w:top w:val="none" w:sz="0" w:space="0" w:color="auto"/>
                <w:left w:val="none" w:sz="0" w:space="0" w:color="auto"/>
                <w:bottom w:val="none" w:sz="0" w:space="0" w:color="auto"/>
                <w:right w:val="none" w:sz="0" w:space="0" w:color="auto"/>
              </w:divBdr>
            </w:div>
            <w:div w:id="18841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25">
      <w:marLeft w:val="750"/>
      <w:marRight w:val="0"/>
      <w:marTop w:val="2025"/>
      <w:marBottom w:val="0"/>
      <w:divBdr>
        <w:top w:val="none" w:sz="0" w:space="0" w:color="auto"/>
        <w:left w:val="none" w:sz="0" w:space="0" w:color="auto"/>
        <w:bottom w:val="none" w:sz="0" w:space="0" w:color="auto"/>
        <w:right w:val="none" w:sz="0" w:space="0" w:color="auto"/>
      </w:divBdr>
      <w:divsChild>
        <w:div w:id="1884170628">
          <w:marLeft w:val="720"/>
          <w:marRight w:val="0"/>
          <w:marTop w:val="100"/>
          <w:marBottom w:val="100"/>
          <w:divBdr>
            <w:top w:val="none" w:sz="0" w:space="0" w:color="auto"/>
            <w:left w:val="none" w:sz="0" w:space="0" w:color="auto"/>
            <w:bottom w:val="none" w:sz="0" w:space="0" w:color="auto"/>
            <w:right w:val="none" w:sz="0" w:space="0" w:color="auto"/>
          </w:divBdr>
          <w:divsChild>
            <w:div w:id="1884170640">
              <w:marLeft w:val="0"/>
              <w:marRight w:val="0"/>
              <w:marTop w:val="0"/>
              <w:marBottom w:val="0"/>
              <w:divBdr>
                <w:top w:val="none" w:sz="0" w:space="0" w:color="auto"/>
                <w:left w:val="none" w:sz="0" w:space="0" w:color="auto"/>
                <w:bottom w:val="none" w:sz="0" w:space="0" w:color="auto"/>
                <w:right w:val="none" w:sz="0" w:space="0" w:color="auto"/>
              </w:divBdr>
            </w:div>
          </w:divsChild>
        </w:div>
        <w:div w:id="1884170636">
          <w:marLeft w:val="720"/>
          <w:marRight w:val="0"/>
          <w:marTop w:val="100"/>
          <w:marBottom w:val="100"/>
          <w:divBdr>
            <w:top w:val="none" w:sz="0" w:space="0" w:color="auto"/>
            <w:left w:val="none" w:sz="0" w:space="0" w:color="auto"/>
            <w:bottom w:val="none" w:sz="0" w:space="0" w:color="auto"/>
            <w:right w:val="none" w:sz="0" w:space="0" w:color="auto"/>
          </w:divBdr>
          <w:divsChild>
            <w:div w:id="18841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32">
      <w:marLeft w:val="0"/>
      <w:marRight w:val="0"/>
      <w:marTop w:val="0"/>
      <w:marBottom w:val="0"/>
      <w:divBdr>
        <w:top w:val="none" w:sz="0" w:space="0" w:color="auto"/>
        <w:left w:val="none" w:sz="0" w:space="0" w:color="auto"/>
        <w:bottom w:val="none" w:sz="0" w:space="0" w:color="auto"/>
        <w:right w:val="none" w:sz="0" w:space="0" w:color="auto"/>
      </w:divBdr>
      <w:divsChild>
        <w:div w:id="1884170604">
          <w:marLeft w:val="0"/>
          <w:marRight w:val="0"/>
          <w:marTop w:val="0"/>
          <w:marBottom w:val="0"/>
          <w:divBdr>
            <w:top w:val="none" w:sz="0" w:space="0" w:color="auto"/>
            <w:left w:val="none" w:sz="0" w:space="0" w:color="auto"/>
            <w:bottom w:val="none" w:sz="0" w:space="0" w:color="auto"/>
            <w:right w:val="none" w:sz="0" w:space="0" w:color="auto"/>
          </w:divBdr>
          <w:divsChild>
            <w:div w:id="1884170599">
              <w:marLeft w:val="0"/>
              <w:marRight w:val="0"/>
              <w:marTop w:val="0"/>
              <w:marBottom w:val="0"/>
              <w:divBdr>
                <w:top w:val="none" w:sz="0" w:space="0" w:color="auto"/>
                <w:left w:val="none" w:sz="0" w:space="0" w:color="auto"/>
                <w:bottom w:val="none" w:sz="0" w:space="0" w:color="auto"/>
                <w:right w:val="none" w:sz="0" w:space="0" w:color="auto"/>
              </w:divBdr>
            </w:div>
            <w:div w:id="1884170627">
              <w:marLeft w:val="0"/>
              <w:marRight w:val="0"/>
              <w:marTop w:val="0"/>
              <w:marBottom w:val="0"/>
              <w:divBdr>
                <w:top w:val="none" w:sz="0" w:space="0" w:color="auto"/>
                <w:left w:val="none" w:sz="0" w:space="0" w:color="auto"/>
                <w:bottom w:val="none" w:sz="0" w:space="0" w:color="auto"/>
                <w:right w:val="none" w:sz="0" w:space="0" w:color="auto"/>
              </w:divBdr>
            </w:div>
            <w:div w:id="18841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33">
      <w:marLeft w:val="0"/>
      <w:marRight w:val="0"/>
      <w:marTop w:val="0"/>
      <w:marBottom w:val="0"/>
      <w:divBdr>
        <w:top w:val="none" w:sz="0" w:space="0" w:color="auto"/>
        <w:left w:val="none" w:sz="0" w:space="0" w:color="auto"/>
        <w:bottom w:val="none" w:sz="0" w:space="0" w:color="auto"/>
        <w:right w:val="none" w:sz="0" w:space="0" w:color="auto"/>
      </w:divBdr>
      <w:divsChild>
        <w:div w:id="1884170593">
          <w:marLeft w:val="0"/>
          <w:marRight w:val="0"/>
          <w:marTop w:val="0"/>
          <w:marBottom w:val="0"/>
          <w:divBdr>
            <w:top w:val="none" w:sz="0" w:space="0" w:color="auto"/>
            <w:left w:val="none" w:sz="0" w:space="0" w:color="auto"/>
            <w:bottom w:val="none" w:sz="0" w:space="0" w:color="auto"/>
            <w:right w:val="none" w:sz="0" w:space="0" w:color="auto"/>
          </w:divBdr>
          <w:divsChild>
            <w:div w:id="1884170605">
              <w:marLeft w:val="0"/>
              <w:marRight w:val="0"/>
              <w:marTop w:val="0"/>
              <w:marBottom w:val="0"/>
              <w:divBdr>
                <w:top w:val="none" w:sz="0" w:space="0" w:color="auto"/>
                <w:left w:val="none" w:sz="0" w:space="0" w:color="auto"/>
                <w:bottom w:val="none" w:sz="0" w:space="0" w:color="auto"/>
                <w:right w:val="none" w:sz="0" w:space="0" w:color="auto"/>
              </w:divBdr>
            </w:div>
            <w:div w:id="1884170611">
              <w:marLeft w:val="0"/>
              <w:marRight w:val="0"/>
              <w:marTop w:val="0"/>
              <w:marBottom w:val="0"/>
              <w:divBdr>
                <w:top w:val="none" w:sz="0" w:space="0" w:color="auto"/>
                <w:left w:val="none" w:sz="0" w:space="0" w:color="auto"/>
                <w:bottom w:val="none" w:sz="0" w:space="0" w:color="auto"/>
                <w:right w:val="none" w:sz="0" w:space="0" w:color="auto"/>
              </w:divBdr>
            </w:div>
            <w:div w:id="1884170619">
              <w:marLeft w:val="0"/>
              <w:marRight w:val="0"/>
              <w:marTop w:val="0"/>
              <w:marBottom w:val="0"/>
              <w:divBdr>
                <w:top w:val="none" w:sz="0" w:space="0" w:color="auto"/>
                <w:left w:val="none" w:sz="0" w:space="0" w:color="auto"/>
                <w:bottom w:val="none" w:sz="0" w:space="0" w:color="auto"/>
                <w:right w:val="none" w:sz="0" w:space="0" w:color="auto"/>
              </w:divBdr>
            </w:div>
            <w:div w:id="1884170629">
              <w:marLeft w:val="0"/>
              <w:marRight w:val="0"/>
              <w:marTop w:val="0"/>
              <w:marBottom w:val="0"/>
              <w:divBdr>
                <w:top w:val="none" w:sz="0" w:space="0" w:color="auto"/>
                <w:left w:val="none" w:sz="0" w:space="0" w:color="auto"/>
                <w:bottom w:val="none" w:sz="0" w:space="0" w:color="auto"/>
                <w:right w:val="none" w:sz="0" w:space="0" w:color="auto"/>
              </w:divBdr>
            </w:div>
            <w:div w:id="18841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35">
      <w:marLeft w:val="0"/>
      <w:marRight w:val="0"/>
      <w:marTop w:val="0"/>
      <w:marBottom w:val="0"/>
      <w:divBdr>
        <w:top w:val="none" w:sz="0" w:space="0" w:color="auto"/>
        <w:left w:val="none" w:sz="0" w:space="0" w:color="auto"/>
        <w:bottom w:val="none" w:sz="0" w:space="0" w:color="auto"/>
        <w:right w:val="none" w:sz="0" w:space="0" w:color="auto"/>
      </w:divBdr>
      <w:divsChild>
        <w:div w:id="1884170586">
          <w:marLeft w:val="0"/>
          <w:marRight w:val="0"/>
          <w:marTop w:val="0"/>
          <w:marBottom w:val="0"/>
          <w:divBdr>
            <w:top w:val="none" w:sz="0" w:space="0" w:color="auto"/>
            <w:left w:val="none" w:sz="0" w:space="0" w:color="auto"/>
            <w:bottom w:val="none" w:sz="0" w:space="0" w:color="auto"/>
            <w:right w:val="none" w:sz="0" w:space="0" w:color="auto"/>
          </w:divBdr>
        </w:div>
      </w:divsChild>
    </w:div>
    <w:div w:id="1884170644">
      <w:marLeft w:val="0"/>
      <w:marRight w:val="0"/>
      <w:marTop w:val="0"/>
      <w:marBottom w:val="0"/>
      <w:divBdr>
        <w:top w:val="none" w:sz="0" w:space="0" w:color="auto"/>
        <w:left w:val="none" w:sz="0" w:space="0" w:color="auto"/>
        <w:bottom w:val="none" w:sz="0" w:space="0" w:color="auto"/>
        <w:right w:val="none" w:sz="0" w:space="0" w:color="auto"/>
      </w:divBdr>
    </w:div>
    <w:div w:id="1884170645">
      <w:marLeft w:val="0"/>
      <w:marRight w:val="0"/>
      <w:marTop w:val="0"/>
      <w:marBottom w:val="0"/>
      <w:divBdr>
        <w:top w:val="none" w:sz="0" w:space="0" w:color="auto"/>
        <w:left w:val="none" w:sz="0" w:space="0" w:color="auto"/>
        <w:bottom w:val="none" w:sz="0" w:space="0" w:color="auto"/>
        <w:right w:val="none" w:sz="0" w:space="0" w:color="auto"/>
      </w:divBdr>
    </w:div>
    <w:div w:id="1884170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Info xmlns="http://schemas.microsoft.com/office/infopath/2007/PartnerControls">
          <TermName xmlns="http://schemas.microsoft.com/office/infopath/2007/PartnerControls">VMDA</TermName>
          <TermId xmlns="http://schemas.microsoft.com/office/infopath/2007/PartnerControls">91a7924c-dc7b-410a-9f1f-336afa7b2c5e</TermId>
        </TermInfo>
        <TermInfo xmlns="http://schemas.microsoft.com/office/infopath/2007/PartnerControls">
          <TermName xmlns="http://schemas.microsoft.com/office/infopath/2007/PartnerControls">Agricultural regulation</TermName>
          <TermId xmlns="http://schemas.microsoft.com/office/infopath/2007/PartnerControls">6939d54a-a3bd-4fb4-9318-ad8d4c658817</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3393</Value>
      <Value>1028</Value>
      <Value>1896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fa7b52cf0e5a7ef6c7c8915f8bb257c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6a189ebf11cf2771a8bfac8c7ca6188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CBF2718D-EE0A-4551-9E18-18A62FA13B74}">
  <ds:schemaRefs>
    <ds:schemaRef ds:uri="Microsoft.SharePoint.Taxonomy.ContentTypeSync"/>
  </ds:schemaRefs>
</ds:datastoreItem>
</file>

<file path=customXml/itemProps2.xml><?xml version="1.0" encoding="utf-8"?>
<ds:datastoreItem xmlns:ds="http://schemas.openxmlformats.org/officeDocument/2006/customXml" ds:itemID="{F0E0831A-4F2C-405B-8EAA-8AA809CA338C}">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3f4bcce7-ac1a-4c9d-aa3e-7e77695652db"/>
    <ds:schemaRef ds:uri="http://schemas.microsoft.com/office/infopath/2007/PartnerControls"/>
    <ds:schemaRef ds:uri="http://schemas.openxmlformats.org/package/2006/metadata/core-properties"/>
    <ds:schemaRef ds:uri="8044c801-d84b-4ee1-a77e-678f8dcdee17"/>
    <ds:schemaRef ds:uri="http://purl.org/dc/dcmitype/"/>
  </ds:schemaRefs>
</ds:datastoreItem>
</file>

<file path=customXml/itemProps3.xml><?xml version="1.0" encoding="utf-8"?>
<ds:datastoreItem xmlns:ds="http://schemas.openxmlformats.org/officeDocument/2006/customXml" ds:itemID="{60A3AA7D-4B13-4F8C-980C-A1FC26A9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029650-5D4C-4213-9729-A4332FD577A4}">
  <ds:schemaRefs>
    <ds:schemaRef ds:uri="http://schemas.microsoft.com/sharepoint/v3/contenttype/forms"/>
  </ds:schemaRefs>
</ds:datastoreItem>
</file>

<file path=customXml/itemProps5.xml><?xml version="1.0" encoding="utf-8"?>
<ds:datastoreItem xmlns:ds="http://schemas.openxmlformats.org/officeDocument/2006/customXml" ds:itemID="{E70E4C53-9D9C-4E1C-9270-78E6E1D7FCC7}">
  <ds:schemaRefs>
    <ds:schemaRef ds:uri="http://schemas.microsoft.com/sharepoint/events"/>
  </ds:schemaRefs>
</ds:datastoreItem>
</file>

<file path=customXml/itemProps6.xml><?xml version="1.0" encoding="utf-8"?>
<ds:datastoreItem xmlns:ds="http://schemas.openxmlformats.org/officeDocument/2006/customXml" ds:itemID="{934442B9-7E90-4C54-AF00-CF720AF84AF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2233</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Sub079 - Veterinary Manufacturers and Distributors Association (VMDA)</vt:lpstr>
    </vt:vector>
  </TitlesOfParts>
  <Company>The Veterinary Manufacturers and Distributors Association (VMDA)</Company>
  <LinksUpToDate>false</LinksUpToDate>
  <CharactersWithSpaces>14833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79 - The Veterinary Manufacturers and Distributors Association (VMDA) - Regulation of Agriculture - Public inquiry</dc:title>
  <dc:creator>The Veterinary Manufacturers and Distributors Association (VMDA)</dc:creator>
  <cp:keywords>VMDA; Agricultural regulation; Submission</cp:keywords>
  <cp:lastModifiedBy>Pimperl, Mark</cp:lastModifiedBy>
  <cp:revision>3</cp:revision>
  <cp:lastPrinted>2012-03-06T06:31:00Z</cp:lastPrinted>
  <dcterms:created xsi:type="dcterms:W3CDTF">2016-03-31T06:33:00Z</dcterms:created>
  <dcterms:modified xsi:type="dcterms:W3CDTF">2016-04-08T05:05:00Z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15300</vt:r8>
  </property>
  <property fmtid="{D5CDD505-2E9C-101B-9397-08002B2CF9AE}" pid="4" name="TaxKeyword">
    <vt:lpwstr>1896;#Submission|00a3de12-c040-4c7e-b1cd-c67634c5e564;#3393;#VMDA|91a7924c-dc7b-410a-9f1f-336afa7b2c5e;#1028;#Agricultural regulation|6939d54a-a3bd-4fb4-9318-ad8d4c658817</vt:lpwstr>
  </property>
  <property fmtid="{D5CDD505-2E9C-101B-9397-08002B2CF9AE}" pid="5" name="Record Tag">
    <vt:lpwstr>139;#Submissions|c6e0dbf8-5444-433c-844d-d567dd519a05</vt:lpwstr>
  </property>
</Properties>
</file>