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71C" w:rsidRDefault="0041171C" w:rsidP="0041171C">
      <w:pPr>
        <w:pStyle w:val="NoSpacing"/>
        <w:spacing w:after="120"/>
        <w:jc w:val="right"/>
        <w:rPr>
          <w:rFonts w:cs="Arial"/>
          <w:b/>
          <w:sz w:val="28"/>
          <w:szCs w:val="28"/>
        </w:rPr>
      </w:pPr>
      <w:r w:rsidRPr="00AE152E">
        <w:rPr>
          <w:noProof/>
          <w:lang w:eastAsia="en-AU"/>
        </w:rPr>
        <w:drawing>
          <wp:inline distT="0" distB="0" distL="0" distR="0" wp14:anchorId="36672DEF" wp14:editId="2F59FE32">
            <wp:extent cx="2006600" cy="520438"/>
            <wp:effectExtent l="0" t="0" r="0" b="0"/>
            <wp:docPr id="1" name="Picture 1" descr="C:\Users\ABF\AppData\Local\Microsoft\Windows\Temporary Internet Files\Content.Outlook\T3ZKFKJP\ABF Logo_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F\AppData\Local\Microsoft\Windows\Temporary Internet Files\Content.Outlook\T3ZKFKJP\ABF Logo_High R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3657" cy="532643"/>
                    </a:xfrm>
                    <a:prstGeom prst="rect">
                      <a:avLst/>
                    </a:prstGeom>
                    <a:noFill/>
                    <a:ln>
                      <a:noFill/>
                    </a:ln>
                  </pic:spPr>
                </pic:pic>
              </a:graphicData>
            </a:graphic>
          </wp:inline>
        </w:drawing>
      </w:r>
    </w:p>
    <w:p w:rsidR="002656AC" w:rsidRDefault="0041171C" w:rsidP="007629C0">
      <w:pPr>
        <w:pStyle w:val="NoSpacing"/>
        <w:spacing w:before="120" w:after="120"/>
        <w:jc w:val="center"/>
        <w:rPr>
          <w:rFonts w:cs="Arial"/>
          <w:b/>
          <w:sz w:val="28"/>
          <w:szCs w:val="28"/>
        </w:rPr>
      </w:pPr>
      <w:r>
        <w:rPr>
          <w:rFonts w:cs="Arial"/>
          <w:b/>
          <w:sz w:val="28"/>
          <w:szCs w:val="28"/>
        </w:rPr>
        <w:t xml:space="preserve">ABF response to Productivity Commission </w:t>
      </w:r>
      <w:r w:rsidR="002656AC">
        <w:rPr>
          <w:rFonts w:cs="Arial"/>
          <w:b/>
          <w:sz w:val="28"/>
          <w:szCs w:val="28"/>
        </w:rPr>
        <w:t>Issues Paper:</w:t>
      </w:r>
    </w:p>
    <w:p w:rsidR="0041171C" w:rsidRDefault="002656AC" w:rsidP="007629C0">
      <w:pPr>
        <w:pStyle w:val="NoSpacing"/>
        <w:spacing w:before="120" w:after="120"/>
        <w:jc w:val="center"/>
        <w:rPr>
          <w:rFonts w:cs="Arial"/>
          <w:b/>
          <w:sz w:val="28"/>
          <w:szCs w:val="28"/>
        </w:rPr>
      </w:pPr>
      <w:r>
        <w:rPr>
          <w:rFonts w:cs="Arial"/>
          <w:b/>
          <w:sz w:val="28"/>
          <w:szCs w:val="28"/>
        </w:rPr>
        <w:t>Human Services – Identifying Sectors for reform</w:t>
      </w:r>
    </w:p>
    <w:p w:rsidR="0041171C" w:rsidRDefault="003D4678" w:rsidP="0041171C">
      <w:pPr>
        <w:pStyle w:val="NoSpacing"/>
        <w:spacing w:before="120" w:after="120"/>
        <w:jc w:val="center"/>
        <w:rPr>
          <w:rFonts w:cs="Arial"/>
          <w:b/>
          <w:sz w:val="28"/>
          <w:szCs w:val="28"/>
        </w:rPr>
      </w:pPr>
      <w:r>
        <w:rPr>
          <w:rFonts w:cs="Arial"/>
          <w:b/>
          <w:sz w:val="28"/>
          <w:szCs w:val="28"/>
        </w:rPr>
        <w:t>July</w:t>
      </w:r>
      <w:r w:rsidR="0041171C">
        <w:rPr>
          <w:rFonts w:cs="Arial"/>
          <w:b/>
          <w:sz w:val="28"/>
          <w:szCs w:val="28"/>
        </w:rPr>
        <w:t xml:space="preserve"> 2016</w:t>
      </w:r>
    </w:p>
    <w:p w:rsidR="0041171C" w:rsidRPr="006014B1" w:rsidRDefault="0041171C" w:rsidP="0041171C">
      <w:pPr>
        <w:pStyle w:val="NoSpacing"/>
        <w:spacing w:before="360" w:after="120"/>
        <w:rPr>
          <w:rFonts w:cs="Arial"/>
          <w:b/>
          <w:sz w:val="28"/>
          <w:szCs w:val="28"/>
        </w:rPr>
      </w:pPr>
      <w:r w:rsidRPr="006014B1">
        <w:rPr>
          <w:rFonts w:cs="Arial"/>
          <w:b/>
          <w:sz w:val="28"/>
          <w:szCs w:val="28"/>
        </w:rPr>
        <w:t>About the Australian Blindness F</w:t>
      </w:r>
      <w:bookmarkStart w:id="0" w:name="_GoBack"/>
      <w:bookmarkEnd w:id="0"/>
      <w:r w:rsidRPr="006014B1">
        <w:rPr>
          <w:rFonts w:cs="Arial"/>
          <w:b/>
          <w:sz w:val="28"/>
          <w:szCs w:val="28"/>
        </w:rPr>
        <w:t>orum</w:t>
      </w:r>
    </w:p>
    <w:p w:rsidR="0041171C" w:rsidRPr="00222F12" w:rsidRDefault="0041171C" w:rsidP="0041171C">
      <w:pPr>
        <w:pStyle w:val="NoSpacing"/>
        <w:spacing w:before="120" w:after="120"/>
        <w:rPr>
          <w:rFonts w:cs="Arial"/>
          <w:szCs w:val="24"/>
        </w:rPr>
      </w:pPr>
      <w:r>
        <w:rPr>
          <w:rFonts w:cs="Arial"/>
          <w:szCs w:val="24"/>
        </w:rPr>
        <w:t>The Australian Blindness Forum</w:t>
      </w:r>
      <w:r w:rsidRPr="00222F12">
        <w:rPr>
          <w:rFonts w:cs="Arial"/>
          <w:szCs w:val="24"/>
        </w:rPr>
        <w:t xml:space="preserve"> is the peak body representing </w:t>
      </w:r>
      <w:r>
        <w:rPr>
          <w:rFonts w:cs="Arial"/>
          <w:szCs w:val="24"/>
        </w:rPr>
        <w:t xml:space="preserve">blindness, low vision and </w:t>
      </w:r>
      <w:r w:rsidRPr="00222F12">
        <w:rPr>
          <w:rFonts w:cs="Arial"/>
          <w:szCs w:val="24"/>
        </w:rPr>
        <w:t>rehabilitation in the blindness sector.</w:t>
      </w:r>
      <w:r>
        <w:rPr>
          <w:rFonts w:cs="Arial"/>
          <w:szCs w:val="24"/>
        </w:rPr>
        <w:t xml:space="preserve"> ABF</w:t>
      </w:r>
      <w:r w:rsidRPr="00222F12">
        <w:rPr>
          <w:rFonts w:cs="Arial"/>
          <w:szCs w:val="24"/>
        </w:rPr>
        <w:t xml:space="preserve"> was formed in 1992 and is funded only by its members. ABF is an Australian public company limited by guarantee and governed by a Board of Directors.</w:t>
      </w:r>
      <w:r>
        <w:rPr>
          <w:rFonts w:cs="Arial"/>
          <w:szCs w:val="24"/>
        </w:rPr>
        <w:t xml:space="preserve"> </w:t>
      </w:r>
    </w:p>
    <w:p w:rsidR="0041171C" w:rsidRPr="00FD343E" w:rsidRDefault="00FD343E" w:rsidP="00FD343E">
      <w:pPr>
        <w:spacing w:before="120" w:after="200" w:line="240" w:lineRule="auto"/>
        <w:rPr>
          <w:rFonts w:ascii="Arial" w:hAnsi="Arial" w:cs="Arial"/>
          <w:sz w:val="24"/>
          <w:szCs w:val="24"/>
        </w:rPr>
      </w:pPr>
      <w:r w:rsidRPr="00FD343E">
        <w:rPr>
          <w:rFonts w:ascii="Arial" w:hAnsi="Arial" w:cs="Arial"/>
          <w:sz w:val="24"/>
          <w:szCs w:val="24"/>
        </w:rPr>
        <w:t>Membership of ABF is open to any organisation that has as its primary objects the provision of services to people who are blind or vision impaired, or whose activities are substantially connected with the welfare of people who are blind or vision impaired</w:t>
      </w:r>
      <w:r>
        <w:rPr>
          <w:rFonts w:ascii="Arial" w:hAnsi="Arial" w:cs="Arial"/>
          <w:sz w:val="24"/>
          <w:szCs w:val="24"/>
        </w:rPr>
        <w:t xml:space="preserve">. </w:t>
      </w:r>
      <w:r w:rsidRPr="00FD343E">
        <w:rPr>
          <w:rFonts w:ascii="Arial" w:hAnsi="Arial" w:cs="Arial"/>
          <w:sz w:val="24"/>
          <w:szCs w:val="24"/>
        </w:rPr>
        <w:t>ABF is represented in every state and territory of Australia. All major organisations providing services to Australians who are blind or vision impaired are members of ABF.</w:t>
      </w:r>
    </w:p>
    <w:p w:rsidR="0041171C" w:rsidRDefault="0041171C" w:rsidP="0041171C">
      <w:pPr>
        <w:pStyle w:val="NoSpacing"/>
        <w:spacing w:before="120" w:after="120"/>
        <w:rPr>
          <w:rFonts w:cs="Arial"/>
          <w:szCs w:val="24"/>
        </w:rPr>
      </w:pPr>
      <w:r w:rsidRPr="00222F12">
        <w:rPr>
          <w:rFonts w:cs="Arial"/>
          <w:szCs w:val="24"/>
        </w:rPr>
        <w:t>As Australia’s representative to the World Blind Union, the ABF has strong connections with the international blind and vision impaired community.</w:t>
      </w:r>
      <w:r>
        <w:rPr>
          <w:rFonts w:cs="Arial"/>
          <w:szCs w:val="24"/>
        </w:rPr>
        <w:t xml:space="preserve"> </w:t>
      </w:r>
    </w:p>
    <w:p w:rsidR="0041171C" w:rsidRDefault="0041171C" w:rsidP="0041171C">
      <w:pPr>
        <w:pStyle w:val="NoSpacing"/>
        <w:spacing w:before="120" w:after="120"/>
        <w:rPr>
          <w:rFonts w:cs="Arial"/>
          <w:szCs w:val="24"/>
        </w:rPr>
      </w:pPr>
      <w:r>
        <w:rPr>
          <w:rFonts w:cs="Arial"/>
          <w:szCs w:val="24"/>
        </w:rPr>
        <w:t>ABF</w:t>
      </w:r>
      <w:r w:rsidRPr="00222F12">
        <w:rPr>
          <w:rFonts w:cs="Arial"/>
          <w:szCs w:val="24"/>
        </w:rPr>
        <w:t xml:space="preserve"> comprises </w:t>
      </w:r>
      <w:r>
        <w:rPr>
          <w:rFonts w:cs="Arial"/>
          <w:szCs w:val="24"/>
        </w:rPr>
        <w:t>15</w:t>
      </w:r>
      <w:r w:rsidRPr="00222F12">
        <w:rPr>
          <w:rFonts w:cs="Arial"/>
          <w:szCs w:val="24"/>
        </w:rPr>
        <w:t xml:space="preserve"> blindness sector </w:t>
      </w:r>
      <w:r>
        <w:rPr>
          <w:rFonts w:cs="Arial"/>
          <w:szCs w:val="24"/>
        </w:rPr>
        <w:t>organisations</w:t>
      </w:r>
      <w:r w:rsidRPr="00222F12">
        <w:rPr>
          <w:rFonts w:cs="Arial"/>
          <w:szCs w:val="24"/>
        </w:rPr>
        <w:t xml:space="preserve"> whose expertise and knowled</w:t>
      </w:r>
      <w:r>
        <w:rPr>
          <w:rFonts w:cs="Arial"/>
          <w:szCs w:val="24"/>
        </w:rPr>
        <w:t>ge are</w:t>
      </w:r>
      <w:r w:rsidRPr="00222F12">
        <w:rPr>
          <w:rFonts w:cs="Arial"/>
          <w:szCs w:val="24"/>
        </w:rPr>
        <w:t xml:space="preserve"> reflected in the following comments.</w:t>
      </w:r>
    </w:p>
    <w:p w:rsidR="0041171C" w:rsidRPr="00C64614" w:rsidRDefault="0041171C" w:rsidP="0041171C">
      <w:pPr>
        <w:pStyle w:val="NoSpacing"/>
        <w:spacing w:after="120"/>
        <w:rPr>
          <w:rFonts w:cs="Arial"/>
          <w:b/>
          <w:sz w:val="28"/>
          <w:szCs w:val="28"/>
        </w:rPr>
      </w:pPr>
      <w:r>
        <w:rPr>
          <w:rFonts w:cs="Arial"/>
          <w:b/>
          <w:sz w:val="28"/>
          <w:szCs w:val="28"/>
        </w:rPr>
        <w:t>Background</w:t>
      </w:r>
    </w:p>
    <w:p w:rsidR="0041171C" w:rsidRDefault="0041171C" w:rsidP="00AE218A">
      <w:pPr>
        <w:rPr>
          <w:rFonts w:ascii="Arial" w:hAnsi="Arial" w:cs="Arial"/>
          <w:sz w:val="24"/>
          <w:szCs w:val="24"/>
        </w:rPr>
      </w:pPr>
      <w:r w:rsidRPr="002B043F">
        <w:rPr>
          <w:rFonts w:ascii="Arial" w:hAnsi="Arial" w:cs="Arial"/>
          <w:sz w:val="24"/>
          <w:szCs w:val="24"/>
        </w:rPr>
        <w:t xml:space="preserve">ABF appreciates the opportunity to provide a response to the </w:t>
      </w:r>
      <w:r w:rsidR="00AE218A" w:rsidRPr="00AE218A">
        <w:rPr>
          <w:rFonts w:ascii="Arial" w:hAnsi="Arial" w:cs="Arial"/>
          <w:sz w:val="24"/>
          <w:szCs w:val="24"/>
        </w:rPr>
        <w:t>Produc</w:t>
      </w:r>
      <w:r w:rsidR="00AE218A">
        <w:rPr>
          <w:rFonts w:ascii="Arial" w:hAnsi="Arial" w:cs="Arial"/>
          <w:sz w:val="24"/>
          <w:szCs w:val="24"/>
        </w:rPr>
        <w:t>t</w:t>
      </w:r>
      <w:r w:rsidR="00167B83">
        <w:rPr>
          <w:rFonts w:ascii="Arial" w:hAnsi="Arial" w:cs="Arial"/>
          <w:sz w:val="24"/>
          <w:szCs w:val="24"/>
        </w:rPr>
        <w:t>ivity Commission Issues Paper: Human Services – Identifying s</w:t>
      </w:r>
      <w:r w:rsidR="00AE218A" w:rsidRPr="00AE218A">
        <w:rPr>
          <w:rFonts w:ascii="Arial" w:hAnsi="Arial" w:cs="Arial"/>
          <w:sz w:val="24"/>
          <w:szCs w:val="24"/>
        </w:rPr>
        <w:t>ectors for reform</w:t>
      </w:r>
      <w:r w:rsidR="00AE218A">
        <w:rPr>
          <w:rFonts w:ascii="Arial" w:hAnsi="Arial" w:cs="Arial"/>
          <w:sz w:val="24"/>
          <w:szCs w:val="24"/>
        </w:rPr>
        <w:t xml:space="preserve"> (Issues Paper)</w:t>
      </w:r>
      <w:r>
        <w:rPr>
          <w:rFonts w:ascii="Arial" w:hAnsi="Arial" w:cs="Arial"/>
          <w:sz w:val="24"/>
          <w:szCs w:val="24"/>
        </w:rPr>
        <w:t>.</w:t>
      </w:r>
    </w:p>
    <w:p w:rsidR="007A0651" w:rsidRDefault="007A0651" w:rsidP="00AE218A">
      <w:pPr>
        <w:rPr>
          <w:rFonts w:ascii="Arial" w:hAnsi="Arial" w:cs="Arial"/>
          <w:sz w:val="24"/>
          <w:szCs w:val="24"/>
        </w:rPr>
      </w:pPr>
      <w:r>
        <w:rPr>
          <w:rFonts w:ascii="Arial" w:hAnsi="Arial" w:cs="Arial"/>
          <w:sz w:val="24"/>
          <w:szCs w:val="24"/>
        </w:rPr>
        <w:t>ABF understands that the purpose of this first stage of the PC Inquiry into Human Services is to identify services within the human services sector that are best suited to the introduction of greater competition, contestability and user choices.</w:t>
      </w:r>
    </w:p>
    <w:p w:rsidR="00F23711" w:rsidRPr="00F23711" w:rsidRDefault="00F23711" w:rsidP="00F23711">
      <w:pPr>
        <w:pStyle w:val="ListParagraph"/>
        <w:spacing w:before="120" w:after="120"/>
        <w:ind w:left="0"/>
        <w:contextualSpacing w:val="0"/>
        <w:rPr>
          <w:rFonts w:ascii="Arial" w:hAnsi="Arial"/>
          <w:b/>
          <w:szCs w:val="20"/>
          <w:lang w:val="en-AU"/>
        </w:rPr>
      </w:pPr>
      <w:r>
        <w:rPr>
          <w:rFonts w:ascii="Arial" w:hAnsi="Arial"/>
          <w:szCs w:val="20"/>
          <w:lang w:val="en-AU"/>
        </w:rPr>
        <w:t xml:space="preserve">ABF notes in the Issues Paper it was stated that the </w:t>
      </w:r>
      <w:r w:rsidRPr="008534D3">
        <w:rPr>
          <w:rFonts w:ascii="Arial" w:hAnsi="Arial"/>
          <w:i/>
          <w:szCs w:val="20"/>
          <w:lang w:val="en-AU"/>
        </w:rPr>
        <w:t>Competition Policy Review</w:t>
      </w:r>
      <w:r>
        <w:rPr>
          <w:rFonts w:ascii="Arial" w:hAnsi="Arial"/>
          <w:szCs w:val="20"/>
          <w:lang w:val="en-AU"/>
        </w:rPr>
        <w:t xml:space="preserve"> recommended that ‘governments should, wherever possible, put user choice at the heart of human services delivery as users are best placed to make choices about the services they need’</w:t>
      </w:r>
      <w:r>
        <w:rPr>
          <w:rStyle w:val="FootnoteReference"/>
          <w:rFonts w:ascii="Arial" w:hAnsi="Arial"/>
          <w:szCs w:val="20"/>
          <w:lang w:val="en-AU"/>
        </w:rPr>
        <w:footnoteReference w:id="1"/>
      </w:r>
      <w:r>
        <w:rPr>
          <w:rFonts w:ascii="Arial" w:hAnsi="Arial"/>
          <w:szCs w:val="20"/>
          <w:lang w:val="en-AU"/>
        </w:rPr>
        <w:t>. ABF supports this statement but submits that it is imper</w:t>
      </w:r>
      <w:r w:rsidR="001207E4">
        <w:rPr>
          <w:rFonts w:ascii="Arial" w:hAnsi="Arial"/>
          <w:szCs w:val="20"/>
          <w:lang w:val="en-AU"/>
        </w:rPr>
        <w:t>ative that in order for users or</w:t>
      </w:r>
      <w:r>
        <w:rPr>
          <w:rFonts w:ascii="Arial" w:hAnsi="Arial"/>
          <w:szCs w:val="20"/>
          <w:lang w:val="en-AU"/>
        </w:rPr>
        <w:t xml:space="preserve"> consumers to be able to make a choice about the human services they require</w:t>
      </w:r>
      <w:r w:rsidRPr="00762949">
        <w:rPr>
          <w:rFonts w:ascii="Arial" w:hAnsi="Arial"/>
          <w:b/>
          <w:szCs w:val="20"/>
          <w:lang w:val="en-AU"/>
        </w:rPr>
        <w:t>, they need to be able to access all relevant information in the format of their choice</w:t>
      </w:r>
      <w:r>
        <w:rPr>
          <w:rFonts w:ascii="Arial" w:hAnsi="Arial"/>
          <w:b/>
          <w:szCs w:val="20"/>
          <w:lang w:val="en-AU"/>
        </w:rPr>
        <w:t>.</w:t>
      </w:r>
    </w:p>
    <w:p w:rsidR="0045539B" w:rsidRDefault="00F23711" w:rsidP="000B7770">
      <w:pPr>
        <w:spacing w:after="0" w:line="240" w:lineRule="auto"/>
        <w:rPr>
          <w:rFonts w:ascii="Arial" w:eastAsia="Times New Roman" w:hAnsi="Arial" w:cs="Times New Roman"/>
          <w:sz w:val="24"/>
          <w:szCs w:val="20"/>
        </w:rPr>
      </w:pPr>
      <w:r w:rsidRPr="00C0439D">
        <w:rPr>
          <w:rFonts w:ascii="Arial" w:eastAsia="Times New Roman" w:hAnsi="Arial" w:cs="Times New Roman"/>
          <w:sz w:val="24"/>
          <w:szCs w:val="20"/>
        </w:rPr>
        <w:t>ABF and its member organisations believe that, in accordance with the United Nations Convention on the Rights of</w:t>
      </w:r>
      <w:r>
        <w:rPr>
          <w:rFonts w:ascii="Arial" w:eastAsia="Times New Roman" w:hAnsi="Arial" w:cs="Times New Roman"/>
          <w:sz w:val="24"/>
          <w:szCs w:val="20"/>
        </w:rPr>
        <w:t xml:space="preserve"> Persons with Disabilities, the</w:t>
      </w:r>
      <w:r w:rsidRPr="00C0439D">
        <w:rPr>
          <w:rFonts w:ascii="Arial" w:eastAsia="Times New Roman" w:hAnsi="Arial" w:cs="Times New Roman"/>
          <w:sz w:val="24"/>
          <w:szCs w:val="20"/>
        </w:rPr>
        <w:t xml:space="preserve"> </w:t>
      </w:r>
      <w:r w:rsidRPr="00C0439D">
        <w:rPr>
          <w:rFonts w:ascii="Arial" w:eastAsia="Times New Roman" w:hAnsi="Arial" w:cs="Times New Roman"/>
          <w:i/>
          <w:sz w:val="24"/>
          <w:szCs w:val="20"/>
        </w:rPr>
        <w:t>Disability Services Act</w:t>
      </w:r>
      <w:r>
        <w:rPr>
          <w:rFonts w:ascii="Arial" w:eastAsia="Times New Roman" w:hAnsi="Arial" w:cs="Times New Roman"/>
          <w:i/>
          <w:sz w:val="24"/>
          <w:szCs w:val="20"/>
        </w:rPr>
        <w:t xml:space="preserve"> 1986</w:t>
      </w:r>
      <w:r w:rsidRPr="00C0439D">
        <w:rPr>
          <w:rFonts w:ascii="Arial" w:eastAsia="Times New Roman" w:hAnsi="Arial" w:cs="Times New Roman"/>
          <w:i/>
          <w:sz w:val="24"/>
          <w:szCs w:val="20"/>
        </w:rPr>
        <w:t>,</w:t>
      </w:r>
      <w:r>
        <w:rPr>
          <w:rFonts w:ascii="Arial" w:eastAsia="Times New Roman" w:hAnsi="Arial" w:cs="Times New Roman"/>
          <w:sz w:val="24"/>
          <w:szCs w:val="20"/>
        </w:rPr>
        <w:t xml:space="preserve"> the</w:t>
      </w:r>
      <w:r w:rsidRPr="00C0439D">
        <w:rPr>
          <w:rFonts w:ascii="Arial" w:eastAsia="Times New Roman" w:hAnsi="Arial" w:cs="Times New Roman"/>
          <w:sz w:val="24"/>
          <w:szCs w:val="20"/>
        </w:rPr>
        <w:t xml:space="preserve"> </w:t>
      </w:r>
      <w:r w:rsidRPr="00C0439D">
        <w:rPr>
          <w:rFonts w:ascii="Arial" w:eastAsia="Times New Roman" w:hAnsi="Arial" w:cs="Times New Roman"/>
          <w:i/>
          <w:sz w:val="24"/>
          <w:szCs w:val="20"/>
        </w:rPr>
        <w:t>Disability Discrimination Act</w:t>
      </w:r>
      <w:r>
        <w:rPr>
          <w:rFonts w:ascii="Arial" w:eastAsia="Times New Roman" w:hAnsi="Arial" w:cs="Times New Roman"/>
          <w:i/>
          <w:sz w:val="24"/>
          <w:szCs w:val="20"/>
        </w:rPr>
        <w:t xml:space="preserve"> 1992</w:t>
      </w:r>
      <w:r w:rsidRPr="00C0439D">
        <w:rPr>
          <w:rFonts w:ascii="Arial" w:eastAsia="Times New Roman" w:hAnsi="Arial" w:cs="Times New Roman"/>
          <w:sz w:val="24"/>
          <w:szCs w:val="20"/>
        </w:rPr>
        <w:t xml:space="preserve"> and basic human rights, people who are blind or vision impaired are entitled to the same access to information and </w:t>
      </w:r>
      <w:r w:rsidRPr="00C0439D">
        <w:rPr>
          <w:rFonts w:ascii="Arial" w:eastAsia="Times New Roman" w:hAnsi="Arial" w:cs="Times New Roman"/>
          <w:sz w:val="24"/>
          <w:szCs w:val="20"/>
        </w:rPr>
        <w:lastRenderedPageBreak/>
        <w:t>materials as all Australians.</w:t>
      </w:r>
      <w:r w:rsidR="000B7770">
        <w:rPr>
          <w:rFonts w:ascii="Arial" w:eastAsia="Times New Roman" w:hAnsi="Arial" w:cs="Times New Roman"/>
          <w:sz w:val="24"/>
          <w:szCs w:val="20"/>
        </w:rPr>
        <w:t xml:space="preserve"> </w:t>
      </w:r>
      <w:r w:rsidR="0045539B" w:rsidRPr="00E83EAB">
        <w:rPr>
          <w:rFonts w:ascii="Arial" w:eastAsia="Times New Roman" w:hAnsi="Arial" w:cs="Times New Roman"/>
          <w:sz w:val="24"/>
          <w:szCs w:val="20"/>
        </w:rPr>
        <w:t>The UNCRPD specifically recognises (under</w:t>
      </w:r>
      <w:r w:rsidR="000B7770">
        <w:rPr>
          <w:rFonts w:ascii="Arial" w:eastAsia="Times New Roman" w:hAnsi="Arial" w:cs="Times New Roman"/>
          <w:sz w:val="24"/>
          <w:szCs w:val="20"/>
        </w:rPr>
        <w:t xml:space="preserve"> Article 9</w:t>
      </w:r>
      <w:hyperlink r:id="rId16" w:history="1"/>
      <w:r w:rsidR="00E83EAB" w:rsidRPr="00E83EAB">
        <w:rPr>
          <w:rStyle w:val="FootnoteReference"/>
          <w:rFonts w:ascii="Arial" w:eastAsia="Times New Roman" w:hAnsi="Arial" w:cs="Times New Roman"/>
          <w:color w:val="0563C1" w:themeColor="hyperlink"/>
          <w:sz w:val="24"/>
          <w:szCs w:val="20"/>
          <w:u w:val="single"/>
        </w:rPr>
        <w:footnoteReference w:id="2"/>
      </w:r>
      <w:r w:rsidR="000B7770">
        <w:rPr>
          <w:rFonts w:ascii="Arial" w:eastAsia="Times New Roman" w:hAnsi="Arial" w:cs="Times New Roman"/>
          <w:sz w:val="24"/>
          <w:szCs w:val="20"/>
        </w:rPr>
        <w:t xml:space="preserve"> and Article 21</w:t>
      </w:r>
      <w:r w:rsidR="00E83EAB" w:rsidRPr="00E83EAB">
        <w:rPr>
          <w:rStyle w:val="FootnoteReference"/>
          <w:rFonts w:ascii="Arial" w:eastAsia="Times New Roman" w:hAnsi="Arial" w:cs="Times New Roman"/>
          <w:color w:val="0563C1" w:themeColor="hyperlink"/>
          <w:sz w:val="24"/>
          <w:szCs w:val="20"/>
          <w:u w:val="single"/>
        </w:rPr>
        <w:footnoteReference w:id="3"/>
      </w:r>
      <w:r w:rsidR="0045539B" w:rsidRPr="00E83EAB">
        <w:rPr>
          <w:rFonts w:ascii="Arial" w:eastAsia="Times New Roman" w:hAnsi="Arial" w:cs="Times New Roman"/>
          <w:sz w:val="24"/>
          <w:szCs w:val="20"/>
        </w:rPr>
        <w:t>) that access to information, communications and services (including the internet) is a human right.</w:t>
      </w:r>
    </w:p>
    <w:p w:rsidR="00F23711" w:rsidRPr="00C0439D" w:rsidRDefault="00F23711" w:rsidP="00F23711">
      <w:pPr>
        <w:spacing w:before="120" w:after="0" w:line="240" w:lineRule="auto"/>
        <w:rPr>
          <w:rFonts w:ascii="Arial" w:eastAsia="Times New Roman" w:hAnsi="Arial" w:cs="Times New Roman"/>
          <w:sz w:val="24"/>
          <w:szCs w:val="20"/>
        </w:rPr>
      </w:pPr>
      <w:r w:rsidRPr="00C0439D">
        <w:rPr>
          <w:rFonts w:ascii="Arial" w:eastAsia="Times New Roman" w:hAnsi="Arial" w:cs="Times New Roman"/>
          <w:sz w:val="24"/>
          <w:szCs w:val="20"/>
        </w:rPr>
        <w:t>Equitable access to information and materials is vital to the acquisition of literacy and numeracy and to the ability to participate in recreation, community activities, education and training, employment and daily living.</w:t>
      </w:r>
    </w:p>
    <w:p w:rsidR="00F23711" w:rsidRPr="00F23711" w:rsidRDefault="00F23711" w:rsidP="00F23711">
      <w:pPr>
        <w:spacing w:before="120" w:after="0" w:line="240" w:lineRule="auto"/>
        <w:rPr>
          <w:rFonts w:ascii="Arial" w:eastAsia="Times New Roman" w:hAnsi="Arial" w:cs="Times New Roman"/>
          <w:color w:val="000000"/>
          <w:sz w:val="24"/>
          <w:szCs w:val="20"/>
        </w:rPr>
      </w:pPr>
      <w:r w:rsidRPr="00C0439D">
        <w:rPr>
          <w:rFonts w:ascii="Arial" w:eastAsia="Times New Roman" w:hAnsi="Arial" w:cs="Times New Roman"/>
          <w:sz w:val="24"/>
          <w:szCs w:val="20"/>
        </w:rPr>
        <w:t xml:space="preserve">Changing technology has made equitable access to information and materials attainable in a timely manner. To optimise the benefits of this, </w:t>
      </w:r>
      <w:r w:rsidRPr="00C0439D">
        <w:rPr>
          <w:rFonts w:ascii="Arial" w:eastAsia="Times New Roman" w:hAnsi="Arial" w:cs="Times New Roman"/>
          <w:color w:val="000000"/>
          <w:sz w:val="24"/>
          <w:szCs w:val="20"/>
        </w:rPr>
        <w:t>there is a need for legislative, technological and financial barriers to information access to be overcome.</w:t>
      </w:r>
    </w:p>
    <w:p w:rsidR="00B84475" w:rsidRDefault="00762949" w:rsidP="0041171C">
      <w:pPr>
        <w:pStyle w:val="ListParagraph"/>
        <w:spacing w:before="120" w:after="120"/>
        <w:ind w:left="0"/>
        <w:contextualSpacing w:val="0"/>
        <w:rPr>
          <w:rFonts w:ascii="Arial" w:hAnsi="Arial"/>
          <w:szCs w:val="20"/>
          <w:lang w:val="en-AU"/>
        </w:rPr>
      </w:pPr>
      <w:r>
        <w:rPr>
          <w:rFonts w:ascii="Arial" w:hAnsi="Arial"/>
          <w:szCs w:val="20"/>
          <w:lang w:val="en-AU"/>
        </w:rPr>
        <w:t>ABF ma</w:t>
      </w:r>
      <w:r w:rsidR="0075583F">
        <w:rPr>
          <w:rFonts w:ascii="Arial" w:hAnsi="Arial"/>
          <w:szCs w:val="20"/>
          <w:lang w:val="en-AU"/>
        </w:rPr>
        <w:t xml:space="preserve">kes the following comments as an overarching </w:t>
      </w:r>
      <w:r>
        <w:rPr>
          <w:rFonts w:ascii="Arial" w:hAnsi="Arial"/>
          <w:szCs w:val="20"/>
          <w:lang w:val="en-AU"/>
        </w:rPr>
        <w:t>comment for the</w:t>
      </w:r>
      <w:r w:rsidR="0075583F">
        <w:rPr>
          <w:rFonts w:ascii="Arial" w:hAnsi="Arial"/>
          <w:szCs w:val="20"/>
          <w:lang w:val="en-AU"/>
        </w:rPr>
        <w:t xml:space="preserve"> PC to consider in its inquiry. </w:t>
      </w:r>
    </w:p>
    <w:p w:rsidR="00762949" w:rsidRDefault="00762949" w:rsidP="0041171C">
      <w:pPr>
        <w:pStyle w:val="ListParagraph"/>
        <w:spacing w:before="120" w:after="120"/>
        <w:ind w:left="0"/>
        <w:contextualSpacing w:val="0"/>
        <w:rPr>
          <w:rFonts w:ascii="Arial" w:hAnsi="Arial"/>
          <w:szCs w:val="20"/>
          <w:lang w:val="en-AU"/>
        </w:rPr>
      </w:pPr>
      <w:r w:rsidRPr="00A13497">
        <w:rPr>
          <w:rFonts w:ascii="Arial" w:hAnsi="Arial"/>
          <w:b/>
          <w:szCs w:val="20"/>
          <w:lang w:val="en-AU"/>
        </w:rPr>
        <w:t xml:space="preserve">Ultimately, </w:t>
      </w:r>
      <w:r w:rsidR="0075583F" w:rsidRPr="00A13497">
        <w:rPr>
          <w:rFonts w:ascii="Arial" w:hAnsi="Arial"/>
          <w:b/>
          <w:szCs w:val="20"/>
          <w:lang w:val="en-AU"/>
        </w:rPr>
        <w:t xml:space="preserve">ABF is of the view that </w:t>
      </w:r>
      <w:r w:rsidR="00167B83" w:rsidRPr="00A13497">
        <w:rPr>
          <w:rFonts w:ascii="Arial" w:hAnsi="Arial"/>
          <w:b/>
          <w:szCs w:val="20"/>
          <w:lang w:val="en-AU"/>
        </w:rPr>
        <w:t xml:space="preserve">those </w:t>
      </w:r>
      <w:r w:rsidRPr="00A13497">
        <w:rPr>
          <w:rFonts w:ascii="Arial" w:hAnsi="Arial"/>
          <w:b/>
          <w:szCs w:val="20"/>
          <w:lang w:val="en-AU"/>
        </w:rPr>
        <w:t xml:space="preserve">human services that can improve access to information for people with disability, such as people who are blind or vision impaired, </w:t>
      </w:r>
      <w:r w:rsidR="0075583F" w:rsidRPr="00A13497">
        <w:rPr>
          <w:rFonts w:ascii="Arial" w:hAnsi="Arial"/>
          <w:b/>
          <w:szCs w:val="20"/>
          <w:lang w:val="en-AU"/>
        </w:rPr>
        <w:t>will be best suited to the increased application of competition, contestability and, most importantly, informed user choice</w:t>
      </w:r>
      <w:r w:rsidR="0075583F">
        <w:rPr>
          <w:rFonts w:ascii="Arial" w:hAnsi="Arial"/>
          <w:szCs w:val="20"/>
          <w:lang w:val="en-AU"/>
        </w:rPr>
        <w:t>.</w:t>
      </w:r>
    </w:p>
    <w:p w:rsidR="00E90BDA" w:rsidRPr="00176C74" w:rsidRDefault="00176C74" w:rsidP="00583D6D">
      <w:pPr>
        <w:pStyle w:val="ListParagraph"/>
        <w:spacing w:before="240" w:after="120"/>
        <w:ind w:left="0"/>
        <w:contextualSpacing w:val="0"/>
        <w:rPr>
          <w:rFonts w:ascii="Arial" w:hAnsi="Arial"/>
          <w:b/>
          <w:bCs/>
          <w:sz w:val="28"/>
          <w:szCs w:val="28"/>
          <w:lang w:val="en-AU"/>
        </w:rPr>
      </w:pPr>
      <w:bookmarkStart w:id="1" w:name="_Toc145132521"/>
      <w:bookmarkStart w:id="2" w:name="_Toc147563703"/>
      <w:r w:rsidRPr="00176C74">
        <w:rPr>
          <w:rFonts w:ascii="Arial" w:hAnsi="Arial"/>
          <w:b/>
          <w:bCs/>
          <w:sz w:val="28"/>
          <w:szCs w:val="28"/>
          <w:lang w:val="en-AU"/>
        </w:rPr>
        <w:t>Access to information</w:t>
      </w:r>
      <w:bookmarkEnd w:id="1"/>
      <w:bookmarkEnd w:id="2"/>
    </w:p>
    <w:p w:rsidR="00661147" w:rsidRDefault="00661147" w:rsidP="00661147">
      <w:pPr>
        <w:pStyle w:val="ListParagraph"/>
        <w:spacing w:before="120" w:after="120"/>
        <w:ind w:left="0"/>
        <w:contextualSpacing w:val="0"/>
        <w:rPr>
          <w:rFonts w:ascii="Arial" w:hAnsi="Arial"/>
          <w:szCs w:val="20"/>
          <w:lang w:val="en-AU"/>
        </w:rPr>
      </w:pPr>
      <w:r>
        <w:rPr>
          <w:rFonts w:ascii="Arial" w:hAnsi="Arial"/>
          <w:szCs w:val="20"/>
          <w:lang w:val="en-AU"/>
        </w:rPr>
        <w:t xml:space="preserve">People who are blind or vision impaired are consumers of many human services including health, education, community services, job services, social housing, aged care and disability services. </w:t>
      </w:r>
    </w:p>
    <w:p w:rsidR="00176C74" w:rsidRPr="00135E9C" w:rsidRDefault="00661147" w:rsidP="00E90BDA">
      <w:pPr>
        <w:pStyle w:val="ListParagraph"/>
        <w:spacing w:before="120" w:after="120"/>
        <w:ind w:left="0"/>
        <w:contextualSpacing w:val="0"/>
        <w:rPr>
          <w:rFonts w:ascii="Arial" w:hAnsi="Arial"/>
          <w:szCs w:val="20"/>
        </w:rPr>
      </w:pPr>
      <w:r>
        <w:rPr>
          <w:rFonts w:ascii="Arial" w:hAnsi="Arial"/>
          <w:szCs w:val="20"/>
          <w:lang w:val="en-AU"/>
        </w:rPr>
        <w:t xml:space="preserve">As stated above, there is increasing discussion about </w:t>
      </w:r>
      <w:r w:rsidRPr="00E90BDA">
        <w:rPr>
          <w:rFonts w:ascii="Arial" w:hAnsi="Arial"/>
          <w:szCs w:val="20"/>
          <w:lang w:val="en-AU"/>
        </w:rPr>
        <w:t xml:space="preserve">the importance of people being informed consumers of </w:t>
      </w:r>
      <w:r>
        <w:rPr>
          <w:rFonts w:ascii="Arial" w:hAnsi="Arial"/>
          <w:szCs w:val="20"/>
          <w:lang w:val="en-AU"/>
        </w:rPr>
        <w:t>human</w:t>
      </w:r>
      <w:r w:rsidRPr="00E90BDA">
        <w:rPr>
          <w:rFonts w:ascii="Arial" w:hAnsi="Arial"/>
          <w:szCs w:val="20"/>
          <w:lang w:val="en-AU"/>
        </w:rPr>
        <w:t xml:space="preserve"> services. The concept of </w:t>
      </w:r>
      <w:r>
        <w:rPr>
          <w:rFonts w:ascii="Arial" w:hAnsi="Arial"/>
          <w:szCs w:val="20"/>
          <w:lang w:val="en-AU"/>
        </w:rPr>
        <w:t>an informed consumer</w:t>
      </w:r>
      <w:r w:rsidRPr="00E90BDA">
        <w:rPr>
          <w:rFonts w:ascii="Arial" w:hAnsi="Arial"/>
          <w:szCs w:val="20"/>
          <w:lang w:val="en-AU"/>
        </w:rPr>
        <w:t xml:space="preserve"> relies on free and open access to relevant information; however, this is something which is routinely denied to </w:t>
      </w:r>
      <w:r>
        <w:rPr>
          <w:rFonts w:ascii="Arial" w:hAnsi="Arial"/>
          <w:szCs w:val="20"/>
          <w:lang w:val="en-AU"/>
        </w:rPr>
        <w:t>people who are blind or vision impaired</w:t>
      </w:r>
      <w:r w:rsidRPr="00E90BDA">
        <w:rPr>
          <w:rFonts w:ascii="Arial" w:hAnsi="Arial"/>
          <w:szCs w:val="20"/>
          <w:lang w:val="en-AU"/>
        </w:rPr>
        <w:t xml:space="preserve">. </w:t>
      </w:r>
      <w:r w:rsidR="00A475EB" w:rsidRPr="00A475EB">
        <w:rPr>
          <w:rFonts w:ascii="Arial" w:hAnsi="Arial"/>
          <w:szCs w:val="20"/>
        </w:rPr>
        <w:t>People who are blind or vision impaired face many barriers in independently accessing information and materials. These barriers include physical facilities, inaccessible websites and a lack of materials in alternative formats.</w:t>
      </w:r>
    </w:p>
    <w:p w:rsidR="00176C74" w:rsidRPr="00E82EED" w:rsidRDefault="00A13497" w:rsidP="00E90BDA">
      <w:pPr>
        <w:pStyle w:val="ListParagraph"/>
        <w:spacing w:before="120" w:after="120"/>
        <w:ind w:left="0"/>
        <w:contextualSpacing w:val="0"/>
        <w:rPr>
          <w:rFonts w:ascii="Arial" w:hAnsi="Arial"/>
          <w:b/>
          <w:lang w:val="en-AU"/>
        </w:rPr>
      </w:pPr>
      <w:r>
        <w:rPr>
          <w:rFonts w:ascii="Arial" w:hAnsi="Arial"/>
          <w:b/>
          <w:lang w:val="en-AU"/>
        </w:rPr>
        <w:t>Recommendations</w:t>
      </w:r>
    </w:p>
    <w:p w:rsidR="00135E9C" w:rsidRDefault="00135E9C" w:rsidP="00135E9C">
      <w:pPr>
        <w:pStyle w:val="ListParagraph"/>
        <w:spacing w:before="120" w:after="120"/>
        <w:ind w:left="0"/>
        <w:contextualSpacing w:val="0"/>
        <w:rPr>
          <w:rFonts w:ascii="Arial" w:hAnsi="Arial"/>
          <w:szCs w:val="20"/>
          <w:lang w:val="en-AU"/>
        </w:rPr>
      </w:pPr>
      <w:r>
        <w:rPr>
          <w:rFonts w:ascii="Arial" w:hAnsi="Arial"/>
          <w:szCs w:val="20"/>
          <w:lang w:val="en-AU"/>
        </w:rPr>
        <w:t>All human services need to ensure there are no barriers to people who are blind or vision impaired accessing information and materials. This includes</w:t>
      </w:r>
      <w:r w:rsidR="003E4B28">
        <w:rPr>
          <w:rFonts w:ascii="Arial" w:hAnsi="Arial"/>
          <w:szCs w:val="20"/>
          <w:lang w:val="en-AU"/>
        </w:rPr>
        <w:t xml:space="preserve"> ensuring the following</w:t>
      </w:r>
      <w:r>
        <w:rPr>
          <w:rFonts w:ascii="Arial" w:hAnsi="Arial"/>
          <w:szCs w:val="20"/>
          <w:lang w:val="en-AU"/>
        </w:rPr>
        <w:t>:</w:t>
      </w:r>
    </w:p>
    <w:p w:rsidR="00135E9C" w:rsidRPr="00106A1A" w:rsidRDefault="00135E9C" w:rsidP="00106A1A">
      <w:pPr>
        <w:pStyle w:val="ListParagraph"/>
        <w:numPr>
          <w:ilvl w:val="0"/>
          <w:numId w:val="10"/>
        </w:numPr>
        <w:spacing w:before="120" w:after="120"/>
        <w:ind w:left="360"/>
        <w:contextualSpacing w:val="0"/>
        <w:rPr>
          <w:rFonts w:ascii="Arial" w:hAnsi="Arial"/>
          <w:szCs w:val="20"/>
        </w:rPr>
      </w:pPr>
      <w:r w:rsidRPr="003E4B28">
        <w:rPr>
          <w:rFonts w:ascii="Arial" w:hAnsi="Arial"/>
          <w:b/>
          <w:szCs w:val="20"/>
          <w:lang w:val="en-AU"/>
        </w:rPr>
        <w:t>accessible materials</w:t>
      </w:r>
      <w:r w:rsidR="00C73772">
        <w:rPr>
          <w:rFonts w:ascii="Arial" w:hAnsi="Arial"/>
          <w:szCs w:val="20"/>
          <w:lang w:val="en-AU"/>
        </w:rPr>
        <w:t xml:space="preserve"> – providing materials in an individual’s format of choice</w:t>
      </w:r>
      <w:r w:rsidR="001207E4">
        <w:rPr>
          <w:rFonts w:ascii="Arial" w:hAnsi="Arial"/>
          <w:szCs w:val="20"/>
          <w:lang w:val="en-AU"/>
        </w:rPr>
        <w:t>.</w:t>
      </w:r>
      <w:r w:rsidR="00C73772">
        <w:rPr>
          <w:rFonts w:ascii="Arial" w:hAnsi="Arial"/>
          <w:szCs w:val="20"/>
          <w:lang w:val="en-AU"/>
        </w:rPr>
        <w:t xml:space="preserve"> </w:t>
      </w:r>
      <w:r w:rsidR="00C73772" w:rsidRPr="00C73772">
        <w:rPr>
          <w:rFonts w:ascii="Arial" w:hAnsi="Arial"/>
          <w:szCs w:val="20"/>
        </w:rPr>
        <w:t xml:space="preserve">Alternative formats are those that enable a person who is blind or vision impaired to access written materials, for example, </w:t>
      </w:r>
      <w:r w:rsidR="00C73772">
        <w:rPr>
          <w:rFonts w:ascii="Arial" w:hAnsi="Arial"/>
          <w:szCs w:val="20"/>
        </w:rPr>
        <w:t xml:space="preserve">through </w:t>
      </w:r>
      <w:r w:rsidR="00A13497">
        <w:rPr>
          <w:rFonts w:ascii="Arial" w:hAnsi="Arial"/>
          <w:szCs w:val="20"/>
        </w:rPr>
        <w:t xml:space="preserve">audio, large print, Braille, </w:t>
      </w:r>
      <w:r w:rsidR="00C73772" w:rsidRPr="00C73772">
        <w:rPr>
          <w:rFonts w:ascii="Arial" w:hAnsi="Arial"/>
          <w:szCs w:val="20"/>
        </w:rPr>
        <w:t>electronic media and audio description.</w:t>
      </w:r>
    </w:p>
    <w:p w:rsidR="00C40110" w:rsidRPr="00C40110" w:rsidRDefault="00135E9C" w:rsidP="00106A1A">
      <w:pPr>
        <w:pStyle w:val="ListParagraph"/>
        <w:numPr>
          <w:ilvl w:val="0"/>
          <w:numId w:val="10"/>
        </w:numPr>
        <w:spacing w:before="120" w:after="120"/>
        <w:ind w:left="360"/>
        <w:contextualSpacing w:val="0"/>
        <w:rPr>
          <w:rFonts w:ascii="Arial" w:hAnsi="Arial"/>
          <w:szCs w:val="20"/>
          <w:lang w:val="en-AU"/>
        </w:rPr>
      </w:pPr>
      <w:r w:rsidRPr="003E4B28">
        <w:rPr>
          <w:rFonts w:ascii="Arial" w:hAnsi="Arial"/>
          <w:b/>
          <w:szCs w:val="20"/>
          <w:lang w:val="en-AU"/>
        </w:rPr>
        <w:t>accessible websites</w:t>
      </w:r>
      <w:r>
        <w:rPr>
          <w:rFonts w:ascii="Arial" w:hAnsi="Arial"/>
          <w:szCs w:val="20"/>
          <w:lang w:val="en-AU"/>
        </w:rPr>
        <w:t xml:space="preserve"> – ensuring all websites comply with Web Content Accessibility Guidelines 2.0</w:t>
      </w:r>
      <w:r w:rsidR="00711C57">
        <w:rPr>
          <w:rFonts w:ascii="Arial" w:hAnsi="Arial"/>
          <w:szCs w:val="20"/>
          <w:lang w:val="en-AU"/>
        </w:rPr>
        <w:t xml:space="preserve"> endorsed by the Australian Government in 2010. These guidelines provide a </w:t>
      </w:r>
      <w:r w:rsidR="00711C57" w:rsidRPr="00711C57">
        <w:rPr>
          <w:rFonts w:ascii="Arial" w:hAnsi="Arial"/>
          <w:szCs w:val="20"/>
          <w:lang w:val="en-AU"/>
        </w:rPr>
        <w:t>standard to apply in making the web accessible to people with disability and older people</w:t>
      </w:r>
      <w:r w:rsidR="00711C57">
        <w:rPr>
          <w:rFonts w:ascii="Arial" w:hAnsi="Arial"/>
          <w:szCs w:val="20"/>
          <w:lang w:val="en-AU"/>
        </w:rPr>
        <w:t>.</w:t>
      </w:r>
      <w:r w:rsidR="00C40110">
        <w:rPr>
          <w:rFonts w:ascii="Arial" w:hAnsi="Arial"/>
          <w:szCs w:val="20"/>
          <w:lang w:val="en-AU"/>
        </w:rPr>
        <w:t xml:space="preserve"> </w:t>
      </w:r>
      <w:r w:rsidR="001207E4">
        <w:rPr>
          <w:rFonts w:ascii="Arial" w:hAnsi="Arial"/>
          <w:szCs w:val="20"/>
          <w:lang w:val="en-AU"/>
        </w:rPr>
        <w:t>In addition, a</w:t>
      </w:r>
      <w:r w:rsidR="00C40110">
        <w:rPr>
          <w:rFonts w:ascii="Arial" w:hAnsi="Arial"/>
          <w:szCs w:val="20"/>
          <w:lang w:val="en-AU"/>
        </w:rPr>
        <w:t xml:space="preserve">ny materials or forms on </w:t>
      </w:r>
      <w:r w:rsidR="00C40110">
        <w:rPr>
          <w:rFonts w:ascii="Arial" w:hAnsi="Arial"/>
          <w:szCs w:val="20"/>
          <w:lang w:val="en-AU"/>
        </w:rPr>
        <w:lastRenderedPageBreak/>
        <w:t>websites also need to have “printables” – that is printable documents should the consumer prefer to access the material that way.</w:t>
      </w:r>
    </w:p>
    <w:p w:rsidR="00C40110" w:rsidRDefault="00C40110" w:rsidP="00106A1A">
      <w:pPr>
        <w:pStyle w:val="ListParagraph"/>
        <w:numPr>
          <w:ilvl w:val="0"/>
          <w:numId w:val="10"/>
        </w:numPr>
        <w:spacing w:before="120" w:after="120"/>
        <w:ind w:left="360"/>
        <w:contextualSpacing w:val="0"/>
        <w:rPr>
          <w:rFonts w:ascii="Arial" w:hAnsi="Arial"/>
          <w:szCs w:val="20"/>
          <w:lang w:val="en-AU"/>
        </w:rPr>
      </w:pPr>
      <w:r w:rsidRPr="003E4B28">
        <w:rPr>
          <w:rFonts w:ascii="Arial" w:hAnsi="Arial"/>
          <w:b/>
          <w:szCs w:val="20"/>
          <w:lang w:val="en-AU"/>
        </w:rPr>
        <w:t>accessible software</w:t>
      </w:r>
      <w:r>
        <w:rPr>
          <w:rFonts w:ascii="Arial" w:hAnsi="Arial"/>
          <w:szCs w:val="20"/>
          <w:lang w:val="en-AU"/>
        </w:rPr>
        <w:t xml:space="preserve"> – any software that is used or required to be used by a consumer must be accessible to those who are blind or vision impaired</w:t>
      </w:r>
      <w:r w:rsidR="00A13497">
        <w:rPr>
          <w:rFonts w:ascii="Arial" w:hAnsi="Arial"/>
          <w:szCs w:val="20"/>
          <w:lang w:val="en-AU"/>
        </w:rPr>
        <w:t>.</w:t>
      </w:r>
    </w:p>
    <w:p w:rsidR="00545AB5" w:rsidRPr="00106A1A" w:rsidRDefault="003E4B28" w:rsidP="00106A1A">
      <w:pPr>
        <w:pStyle w:val="ListParagraph"/>
        <w:numPr>
          <w:ilvl w:val="0"/>
          <w:numId w:val="10"/>
        </w:numPr>
        <w:spacing w:before="120" w:after="120"/>
        <w:ind w:left="360"/>
        <w:contextualSpacing w:val="0"/>
        <w:rPr>
          <w:rFonts w:ascii="Arial" w:hAnsi="Arial"/>
          <w:szCs w:val="20"/>
          <w:lang w:val="en-AU"/>
        </w:rPr>
      </w:pPr>
      <w:r w:rsidRPr="003E4B28">
        <w:rPr>
          <w:rFonts w:ascii="Arial" w:hAnsi="Arial"/>
          <w:b/>
          <w:szCs w:val="20"/>
          <w:lang w:val="en-AU"/>
        </w:rPr>
        <w:t xml:space="preserve">accessible </w:t>
      </w:r>
      <w:r w:rsidR="00C40110" w:rsidRPr="003E4B28">
        <w:rPr>
          <w:rFonts w:ascii="Arial" w:hAnsi="Arial"/>
          <w:b/>
          <w:szCs w:val="20"/>
          <w:lang w:val="en-AU"/>
        </w:rPr>
        <w:t>online services or payments</w:t>
      </w:r>
      <w:r w:rsidR="00C40110">
        <w:rPr>
          <w:rFonts w:ascii="Arial" w:hAnsi="Arial"/>
          <w:szCs w:val="20"/>
          <w:lang w:val="en-AU"/>
        </w:rPr>
        <w:t xml:space="preserve"> – </w:t>
      </w:r>
      <w:r w:rsidR="00A13497">
        <w:rPr>
          <w:rFonts w:ascii="Arial" w:hAnsi="Arial"/>
          <w:szCs w:val="20"/>
          <w:lang w:val="en-AU"/>
        </w:rPr>
        <w:t xml:space="preserve">human </w:t>
      </w:r>
      <w:r w:rsidR="001207E4">
        <w:rPr>
          <w:rFonts w:ascii="Arial" w:hAnsi="Arial"/>
          <w:szCs w:val="20"/>
          <w:lang w:val="en-AU"/>
        </w:rPr>
        <w:t xml:space="preserve">services </w:t>
      </w:r>
      <w:r w:rsidR="00C40110">
        <w:rPr>
          <w:rFonts w:ascii="Arial" w:hAnsi="Arial"/>
          <w:szCs w:val="20"/>
        </w:rPr>
        <w:t>n</w:t>
      </w:r>
      <w:r w:rsidR="00545AB5" w:rsidRPr="00C40110">
        <w:rPr>
          <w:rFonts w:ascii="Arial" w:hAnsi="Arial"/>
          <w:szCs w:val="20"/>
        </w:rPr>
        <w:t xml:space="preserve">eed to </w:t>
      </w:r>
      <w:r w:rsidR="00A13497">
        <w:rPr>
          <w:rFonts w:ascii="Arial" w:hAnsi="Arial"/>
          <w:szCs w:val="20"/>
        </w:rPr>
        <w:t>ensure there are no barriers to</w:t>
      </w:r>
      <w:r w:rsidR="00545AB5" w:rsidRPr="00C40110">
        <w:rPr>
          <w:rFonts w:ascii="Arial" w:hAnsi="Arial"/>
          <w:szCs w:val="20"/>
        </w:rPr>
        <w:t xml:space="preserve"> people </w:t>
      </w:r>
      <w:r w:rsidR="00C40110">
        <w:rPr>
          <w:rFonts w:ascii="Arial" w:hAnsi="Arial"/>
          <w:szCs w:val="20"/>
        </w:rPr>
        <w:t xml:space="preserve">making or </w:t>
      </w:r>
      <w:r w:rsidR="00545AB5" w:rsidRPr="00C40110">
        <w:rPr>
          <w:rFonts w:ascii="Arial" w:hAnsi="Arial"/>
          <w:szCs w:val="20"/>
        </w:rPr>
        <w:t>accepting payments or information</w:t>
      </w:r>
      <w:r w:rsidR="00C40110">
        <w:rPr>
          <w:rFonts w:ascii="Arial" w:hAnsi="Arial"/>
          <w:szCs w:val="20"/>
        </w:rPr>
        <w:t xml:space="preserve"> online</w:t>
      </w:r>
      <w:r w:rsidR="00545AB5" w:rsidRPr="00C40110">
        <w:rPr>
          <w:rFonts w:ascii="Arial" w:hAnsi="Arial"/>
          <w:szCs w:val="20"/>
        </w:rPr>
        <w:t xml:space="preserve">. </w:t>
      </w:r>
      <w:r w:rsidR="00C40110">
        <w:rPr>
          <w:rFonts w:ascii="Arial" w:hAnsi="Arial"/>
          <w:szCs w:val="20"/>
        </w:rPr>
        <w:t>It is important that organisations also have hard copy or telephone options, particularly for someone who is blind or vision impaired of an older generation who may not be comfortable with online services.</w:t>
      </w:r>
    </w:p>
    <w:p w:rsidR="00545AB5" w:rsidRPr="00106A1A" w:rsidRDefault="00E82EED" w:rsidP="009D26BD">
      <w:pPr>
        <w:pStyle w:val="ListParagraph"/>
        <w:spacing w:before="240" w:after="120"/>
        <w:ind w:left="0"/>
        <w:contextualSpacing w:val="0"/>
        <w:rPr>
          <w:rFonts w:ascii="Arial" w:hAnsi="Arial"/>
          <w:b/>
          <w:sz w:val="28"/>
          <w:szCs w:val="28"/>
          <w:lang w:val="en-AU"/>
        </w:rPr>
      </w:pPr>
      <w:r w:rsidRPr="00106A1A">
        <w:rPr>
          <w:rFonts w:ascii="Arial" w:hAnsi="Arial"/>
          <w:b/>
          <w:sz w:val="28"/>
          <w:szCs w:val="28"/>
          <w:lang w:val="en-AU"/>
        </w:rPr>
        <w:t xml:space="preserve">Government Procurement </w:t>
      </w:r>
    </w:p>
    <w:p w:rsidR="00106A1A" w:rsidRPr="00106A1A" w:rsidRDefault="00106A1A" w:rsidP="00106A1A">
      <w:pPr>
        <w:pStyle w:val="ListParagraph"/>
        <w:spacing w:before="120" w:after="120"/>
        <w:ind w:left="0"/>
        <w:contextualSpacing w:val="0"/>
        <w:rPr>
          <w:rFonts w:ascii="Arial" w:hAnsi="Arial"/>
          <w:b/>
          <w:szCs w:val="20"/>
          <w:lang w:val="en-AU"/>
        </w:rPr>
      </w:pPr>
      <w:r w:rsidRPr="00106A1A">
        <w:rPr>
          <w:rFonts w:ascii="Arial" w:hAnsi="Arial"/>
          <w:b/>
          <w:szCs w:val="20"/>
          <w:lang w:val="en-AU"/>
        </w:rPr>
        <w:t>Digital Service Standard</w:t>
      </w:r>
    </w:p>
    <w:p w:rsidR="00193FEB" w:rsidRDefault="00193FEB" w:rsidP="00106A1A">
      <w:pPr>
        <w:pStyle w:val="ListParagraph"/>
        <w:spacing w:before="120" w:after="120"/>
        <w:ind w:left="0"/>
        <w:contextualSpacing w:val="0"/>
        <w:rPr>
          <w:rFonts w:ascii="Arial" w:hAnsi="Arial"/>
          <w:szCs w:val="20"/>
          <w:lang w:val="en-AU"/>
        </w:rPr>
      </w:pPr>
      <w:r>
        <w:rPr>
          <w:rFonts w:ascii="Arial" w:hAnsi="Arial"/>
          <w:szCs w:val="20"/>
          <w:lang w:val="en-AU"/>
        </w:rPr>
        <w:t>ABF notes that the Digital Transformation Office released a Digital Service Standard in May 2016</w:t>
      </w:r>
      <w:r>
        <w:rPr>
          <w:rStyle w:val="FootnoteReference"/>
          <w:rFonts w:ascii="Arial" w:hAnsi="Arial"/>
          <w:szCs w:val="20"/>
          <w:lang w:val="en-AU"/>
        </w:rPr>
        <w:footnoteReference w:id="4"/>
      </w:r>
      <w:r>
        <w:rPr>
          <w:rFonts w:ascii="Arial" w:hAnsi="Arial"/>
          <w:szCs w:val="20"/>
          <w:lang w:val="en-AU"/>
        </w:rPr>
        <w:t xml:space="preserve"> that applies to all new or redesigned government services. Accessibility is one of the key standards listed in this document. </w:t>
      </w:r>
    </w:p>
    <w:p w:rsidR="00106A1A" w:rsidRDefault="00106A1A" w:rsidP="00106A1A">
      <w:pPr>
        <w:pStyle w:val="ListParagraph"/>
        <w:spacing w:before="120" w:after="120"/>
        <w:ind w:left="0"/>
        <w:contextualSpacing w:val="0"/>
        <w:rPr>
          <w:rFonts w:ascii="Arial" w:hAnsi="Arial"/>
          <w:szCs w:val="20"/>
          <w:lang w:val="en-AU"/>
        </w:rPr>
      </w:pPr>
      <w:r w:rsidRPr="00106A1A">
        <w:rPr>
          <w:rFonts w:ascii="Arial" w:hAnsi="Arial"/>
          <w:b/>
          <w:szCs w:val="20"/>
          <w:lang w:val="en-AU"/>
        </w:rPr>
        <w:t xml:space="preserve">Item 9 </w:t>
      </w:r>
      <w:r>
        <w:rPr>
          <w:rFonts w:ascii="Arial" w:hAnsi="Arial"/>
          <w:szCs w:val="20"/>
          <w:lang w:val="en-AU"/>
        </w:rPr>
        <w:t>of the standard says:</w:t>
      </w:r>
    </w:p>
    <w:p w:rsidR="00106A1A" w:rsidRPr="00106A1A" w:rsidRDefault="00106A1A" w:rsidP="00106A1A">
      <w:pPr>
        <w:pStyle w:val="ListParagraph"/>
        <w:spacing w:before="120" w:after="120"/>
        <w:ind w:left="360"/>
        <w:contextualSpacing w:val="0"/>
        <w:rPr>
          <w:rFonts w:ascii="Arial" w:hAnsi="Arial"/>
          <w:i/>
          <w:szCs w:val="20"/>
          <w:lang w:val="en-AU"/>
        </w:rPr>
      </w:pPr>
      <w:r w:rsidRPr="00106A1A">
        <w:rPr>
          <w:rFonts w:ascii="Arial" w:hAnsi="Arial"/>
          <w:i/>
          <w:szCs w:val="20"/>
          <w:lang w:val="en-AU"/>
        </w:rPr>
        <w:t>‘Make it accessible’ – Ensure the service is accessible to all users regardless of their ability and environment.</w:t>
      </w:r>
    </w:p>
    <w:p w:rsidR="00106A1A" w:rsidRDefault="00106A1A" w:rsidP="00106A1A">
      <w:pPr>
        <w:pStyle w:val="ListParagraph"/>
        <w:spacing w:before="120" w:after="120"/>
        <w:ind w:left="0"/>
        <w:contextualSpacing w:val="0"/>
        <w:rPr>
          <w:rFonts w:ascii="Arial" w:hAnsi="Arial"/>
          <w:szCs w:val="20"/>
          <w:lang w:val="en-AU"/>
        </w:rPr>
      </w:pPr>
      <w:r>
        <w:rPr>
          <w:rFonts w:ascii="Arial" w:hAnsi="Arial"/>
          <w:szCs w:val="20"/>
          <w:lang w:val="en-AU"/>
        </w:rPr>
        <w:t>This standard needs to be applied to all human services in Australia and compliance with this standard, as a minimum, would constitute improved human services through improved quality, equity, efficiency, responsiveness and accountability.</w:t>
      </w:r>
    </w:p>
    <w:p w:rsidR="00176C74" w:rsidRPr="004B4E59" w:rsidRDefault="00176C74" w:rsidP="00176C74">
      <w:pPr>
        <w:pStyle w:val="ListParagraph"/>
        <w:spacing w:before="120" w:after="120"/>
        <w:ind w:left="0"/>
        <w:contextualSpacing w:val="0"/>
        <w:rPr>
          <w:rFonts w:ascii="Arial" w:hAnsi="Arial"/>
          <w:b/>
        </w:rPr>
      </w:pPr>
      <w:r w:rsidRPr="004B4E59">
        <w:rPr>
          <w:rFonts w:ascii="Arial" w:hAnsi="Arial"/>
          <w:b/>
        </w:rPr>
        <w:t>Universal design</w:t>
      </w:r>
    </w:p>
    <w:p w:rsidR="00176C74" w:rsidRPr="000E6D01" w:rsidRDefault="00D3093E" w:rsidP="000E6D01">
      <w:pPr>
        <w:rPr>
          <w:rFonts w:ascii="Arial" w:hAnsi="Arial" w:cs="Arial"/>
          <w:sz w:val="24"/>
          <w:szCs w:val="24"/>
        </w:rPr>
      </w:pPr>
      <w:r>
        <w:rPr>
          <w:rFonts w:ascii="Arial" w:hAnsi="Arial" w:cs="Arial"/>
          <w:sz w:val="24"/>
          <w:szCs w:val="24"/>
        </w:rPr>
        <w:t>Promotion of Universal D</w:t>
      </w:r>
      <w:r w:rsidR="00176C74" w:rsidRPr="004B4E59">
        <w:rPr>
          <w:rFonts w:ascii="Arial" w:hAnsi="Arial" w:cs="Arial"/>
          <w:sz w:val="24"/>
          <w:szCs w:val="24"/>
        </w:rPr>
        <w:t xml:space="preserve">esign is also required </w:t>
      </w:r>
      <w:r w:rsidR="00106A1A">
        <w:rPr>
          <w:rFonts w:ascii="Arial" w:hAnsi="Arial" w:cs="Arial"/>
          <w:sz w:val="24"/>
          <w:szCs w:val="24"/>
        </w:rPr>
        <w:t xml:space="preserve">across all sectors of society. </w:t>
      </w:r>
      <w:r>
        <w:rPr>
          <w:rFonts w:ascii="Arial" w:hAnsi="Arial" w:cs="Arial"/>
          <w:sz w:val="24"/>
          <w:szCs w:val="24"/>
        </w:rPr>
        <w:t>Universal D</w:t>
      </w:r>
      <w:r w:rsidR="00176C74" w:rsidRPr="004B4E59">
        <w:rPr>
          <w:rFonts w:ascii="Arial" w:hAnsi="Arial" w:cs="Arial"/>
          <w:sz w:val="24"/>
          <w:szCs w:val="24"/>
        </w:rPr>
        <w:t>esign principles improve access and reduce need for specialist adaptive support and/or costly retro-fittin</w:t>
      </w:r>
      <w:r w:rsidR="001207E4">
        <w:rPr>
          <w:rFonts w:ascii="Arial" w:hAnsi="Arial" w:cs="Arial"/>
          <w:sz w:val="24"/>
          <w:szCs w:val="24"/>
        </w:rPr>
        <w:t>g</w:t>
      </w:r>
      <w:r w:rsidR="00176C74" w:rsidRPr="004B4E59">
        <w:rPr>
          <w:rFonts w:ascii="Arial" w:hAnsi="Arial" w:cs="Arial"/>
          <w:sz w:val="24"/>
          <w:szCs w:val="24"/>
        </w:rPr>
        <w:t>.</w:t>
      </w:r>
      <w:r w:rsidR="000E6D01">
        <w:rPr>
          <w:rFonts w:ascii="Arial" w:hAnsi="Arial" w:cs="Arial"/>
          <w:sz w:val="24"/>
          <w:szCs w:val="24"/>
        </w:rPr>
        <w:t xml:space="preserve"> </w:t>
      </w:r>
      <w:r w:rsidR="00176C74" w:rsidRPr="000E6D01">
        <w:rPr>
          <w:rFonts w:ascii="Arial" w:hAnsi="Arial"/>
          <w:sz w:val="24"/>
          <w:szCs w:val="24"/>
        </w:rPr>
        <w:t xml:space="preserve">ABF notes the </w:t>
      </w:r>
      <w:r w:rsidR="00176C74" w:rsidRPr="000E6D01">
        <w:rPr>
          <w:rFonts w:ascii="Arial" w:hAnsi="Arial"/>
          <w:i/>
          <w:sz w:val="24"/>
          <w:szCs w:val="24"/>
        </w:rPr>
        <w:t>National Disability Strategy 2010-2020</w:t>
      </w:r>
      <w:r w:rsidR="00176C74" w:rsidRPr="000E6D01">
        <w:rPr>
          <w:rFonts w:ascii="Arial" w:hAnsi="Arial"/>
          <w:sz w:val="24"/>
          <w:szCs w:val="24"/>
        </w:rPr>
        <w:t xml:space="preserve"> explicitly states that one of its Areas for Future Action is </w:t>
      </w:r>
    </w:p>
    <w:p w:rsidR="00176C74" w:rsidRPr="004B4E59" w:rsidRDefault="00176C74" w:rsidP="00176C74">
      <w:pPr>
        <w:pStyle w:val="ListParagraph"/>
        <w:spacing w:before="120" w:after="120"/>
        <w:ind w:left="0"/>
        <w:contextualSpacing w:val="0"/>
        <w:rPr>
          <w:rFonts w:ascii="Arial" w:hAnsi="Arial"/>
          <w:szCs w:val="20"/>
        </w:rPr>
      </w:pPr>
      <w:r w:rsidRPr="004B4E59">
        <w:rPr>
          <w:rFonts w:ascii="Arial" w:hAnsi="Arial"/>
          <w:i/>
          <w:szCs w:val="20"/>
        </w:rPr>
        <w:t>“1.7</w:t>
      </w:r>
      <w:r w:rsidRPr="004B4E59">
        <w:rPr>
          <w:rFonts w:ascii="Arial" w:hAnsi="Arial"/>
          <w:i/>
          <w:szCs w:val="20"/>
        </w:rPr>
        <w:tab/>
        <w:t>Promote principles of universal design principles in procurement”</w:t>
      </w:r>
      <w:r>
        <w:rPr>
          <w:rStyle w:val="FootnoteReference"/>
          <w:rFonts w:ascii="Arial" w:hAnsi="Arial"/>
          <w:i/>
          <w:szCs w:val="20"/>
        </w:rPr>
        <w:footnoteReference w:id="5"/>
      </w:r>
    </w:p>
    <w:p w:rsidR="00176C74" w:rsidRDefault="00852744" w:rsidP="0041171C">
      <w:pPr>
        <w:pStyle w:val="ListParagraph"/>
        <w:spacing w:before="120" w:after="120"/>
        <w:ind w:left="0"/>
        <w:contextualSpacing w:val="0"/>
        <w:rPr>
          <w:rFonts w:ascii="Arial" w:hAnsi="Arial"/>
          <w:szCs w:val="20"/>
        </w:rPr>
      </w:pPr>
      <w:r>
        <w:rPr>
          <w:rFonts w:ascii="Arial" w:hAnsi="Arial"/>
          <w:szCs w:val="20"/>
        </w:rPr>
        <w:t>I</w:t>
      </w:r>
      <w:r w:rsidR="00176C74" w:rsidRPr="001A1603">
        <w:rPr>
          <w:rFonts w:ascii="Arial" w:hAnsi="Arial"/>
          <w:szCs w:val="20"/>
        </w:rPr>
        <w:t xml:space="preserve">n order to encourage </w:t>
      </w:r>
      <w:r>
        <w:rPr>
          <w:rFonts w:ascii="Arial" w:hAnsi="Arial"/>
          <w:szCs w:val="20"/>
        </w:rPr>
        <w:t>universal</w:t>
      </w:r>
      <w:r w:rsidR="00176C74" w:rsidRPr="001A1603">
        <w:rPr>
          <w:rFonts w:ascii="Arial" w:hAnsi="Arial"/>
          <w:szCs w:val="20"/>
        </w:rPr>
        <w:t xml:space="preserve"> design</w:t>
      </w:r>
      <w:r w:rsidR="00106A1A">
        <w:rPr>
          <w:rFonts w:ascii="Arial" w:hAnsi="Arial"/>
          <w:szCs w:val="20"/>
        </w:rPr>
        <w:t>, it is imperative</w:t>
      </w:r>
      <w:r w:rsidR="00176C74" w:rsidRPr="001A1603">
        <w:rPr>
          <w:rFonts w:ascii="Arial" w:hAnsi="Arial"/>
          <w:szCs w:val="20"/>
        </w:rPr>
        <w:t xml:space="preserve"> that Government adopt a procurement policy that any equipment, software systems or facilities purchased, rented or leased </w:t>
      </w:r>
      <w:r>
        <w:rPr>
          <w:rFonts w:ascii="Arial" w:hAnsi="Arial"/>
          <w:szCs w:val="20"/>
        </w:rPr>
        <w:t xml:space="preserve">for human services </w:t>
      </w:r>
      <w:r w:rsidR="00176C74" w:rsidRPr="001A1603">
        <w:rPr>
          <w:rFonts w:ascii="Arial" w:hAnsi="Arial"/>
          <w:szCs w:val="20"/>
        </w:rPr>
        <w:t>are accessible to people who are blind or vision impaired.</w:t>
      </w:r>
      <w:r>
        <w:rPr>
          <w:rFonts w:ascii="Arial" w:hAnsi="Arial"/>
          <w:szCs w:val="20"/>
        </w:rPr>
        <w:t xml:space="preserve"> This will ensure improved human services.</w:t>
      </w:r>
      <w:r w:rsidR="00C4592A" w:rsidRPr="00C4592A">
        <w:rPr>
          <w:rStyle w:val="FootnoteReference"/>
          <w:rFonts w:ascii="Arial" w:hAnsi="Arial"/>
          <w:szCs w:val="20"/>
        </w:rPr>
        <w:t xml:space="preserve"> </w:t>
      </w:r>
      <w:r w:rsidR="00C4592A">
        <w:rPr>
          <w:rStyle w:val="FootnoteReference"/>
          <w:rFonts w:ascii="Arial" w:hAnsi="Arial"/>
          <w:szCs w:val="20"/>
        </w:rPr>
        <w:footnoteReference w:id="6"/>
      </w:r>
    </w:p>
    <w:p w:rsidR="0041171C" w:rsidRPr="00B84475" w:rsidRDefault="00B84475" w:rsidP="006F7575">
      <w:pPr>
        <w:pStyle w:val="ListParagraph"/>
        <w:spacing w:before="240" w:after="120"/>
        <w:ind w:left="0"/>
        <w:contextualSpacing w:val="0"/>
        <w:rPr>
          <w:rFonts w:ascii="Arial" w:hAnsi="Arial"/>
          <w:b/>
          <w:sz w:val="28"/>
          <w:szCs w:val="28"/>
        </w:rPr>
      </w:pPr>
      <w:r w:rsidRPr="00B84475">
        <w:rPr>
          <w:rFonts w:ascii="Arial" w:hAnsi="Arial"/>
          <w:b/>
          <w:sz w:val="28"/>
          <w:szCs w:val="28"/>
        </w:rPr>
        <w:t>Further consultation</w:t>
      </w:r>
    </w:p>
    <w:p w:rsidR="00852744" w:rsidRDefault="00852744" w:rsidP="0041171C">
      <w:pPr>
        <w:pStyle w:val="ListParagraph"/>
        <w:spacing w:before="120" w:after="120"/>
        <w:ind w:left="0"/>
        <w:contextualSpacing w:val="0"/>
        <w:rPr>
          <w:rFonts w:ascii="Arial" w:hAnsi="Arial"/>
          <w:szCs w:val="20"/>
        </w:rPr>
      </w:pPr>
      <w:r>
        <w:rPr>
          <w:rFonts w:ascii="Arial" w:hAnsi="Arial"/>
          <w:szCs w:val="20"/>
        </w:rPr>
        <w:t>ABF recommends the PC consults with a variety of groups on the needs of people with disability within the human services sector. This would include</w:t>
      </w:r>
      <w:r w:rsidR="006F7575">
        <w:rPr>
          <w:rFonts w:ascii="Arial" w:hAnsi="Arial"/>
          <w:szCs w:val="20"/>
        </w:rPr>
        <w:t xml:space="preserve"> consulting</w:t>
      </w:r>
      <w:r>
        <w:rPr>
          <w:rFonts w:ascii="Arial" w:hAnsi="Arial"/>
          <w:szCs w:val="20"/>
        </w:rPr>
        <w:t>:</w:t>
      </w:r>
    </w:p>
    <w:p w:rsidR="00852744" w:rsidRDefault="006F7575" w:rsidP="00852744">
      <w:pPr>
        <w:pStyle w:val="ListParagraph"/>
        <w:numPr>
          <w:ilvl w:val="0"/>
          <w:numId w:val="11"/>
        </w:numPr>
        <w:spacing w:before="120" w:after="120"/>
        <w:contextualSpacing w:val="0"/>
        <w:rPr>
          <w:rFonts w:ascii="Arial" w:hAnsi="Arial"/>
          <w:szCs w:val="20"/>
        </w:rPr>
      </w:pPr>
      <w:r>
        <w:rPr>
          <w:rFonts w:ascii="Arial" w:hAnsi="Arial"/>
          <w:szCs w:val="20"/>
        </w:rPr>
        <w:t>consumer interest groups including disability groups</w:t>
      </w:r>
    </w:p>
    <w:p w:rsidR="003F3B22" w:rsidRPr="00B84475" w:rsidRDefault="006F7575" w:rsidP="0041171C">
      <w:pPr>
        <w:pStyle w:val="ListParagraph"/>
        <w:numPr>
          <w:ilvl w:val="0"/>
          <w:numId w:val="11"/>
        </w:numPr>
        <w:spacing w:before="120" w:after="120"/>
        <w:contextualSpacing w:val="0"/>
        <w:rPr>
          <w:rFonts w:ascii="Arial" w:hAnsi="Arial"/>
          <w:szCs w:val="20"/>
        </w:rPr>
      </w:pPr>
      <w:r>
        <w:rPr>
          <w:rFonts w:ascii="Arial" w:hAnsi="Arial"/>
          <w:szCs w:val="20"/>
        </w:rPr>
        <w:t>accessibility experts</w:t>
      </w:r>
      <w:r w:rsidR="00887EE6">
        <w:rPr>
          <w:rFonts w:ascii="Arial" w:hAnsi="Arial"/>
          <w:szCs w:val="20"/>
        </w:rPr>
        <w:t>.</w:t>
      </w:r>
    </w:p>
    <w:sectPr w:rsidR="003F3B22" w:rsidRPr="00B8447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CBA" w:rsidRDefault="00EF1CBA" w:rsidP="004B4E59">
      <w:pPr>
        <w:spacing w:after="0" w:line="240" w:lineRule="auto"/>
      </w:pPr>
      <w:r>
        <w:separator/>
      </w:r>
    </w:p>
  </w:endnote>
  <w:endnote w:type="continuationSeparator" w:id="0">
    <w:p w:rsidR="00EF1CBA" w:rsidRDefault="00EF1CBA" w:rsidP="004B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145658"/>
      <w:docPartObj>
        <w:docPartGallery w:val="Page Numbers (Bottom of Page)"/>
        <w:docPartUnique/>
      </w:docPartObj>
    </w:sdtPr>
    <w:sdtEndPr>
      <w:rPr>
        <w:noProof/>
      </w:rPr>
    </w:sdtEndPr>
    <w:sdtContent>
      <w:p w:rsidR="00340D2F" w:rsidRDefault="00340D2F">
        <w:pPr>
          <w:pStyle w:val="Footer"/>
          <w:jc w:val="right"/>
        </w:pPr>
        <w:r>
          <w:fldChar w:fldCharType="begin"/>
        </w:r>
        <w:r>
          <w:instrText xml:space="preserve"> PAGE   \* MERGEFORMAT </w:instrText>
        </w:r>
        <w:r>
          <w:fldChar w:fldCharType="separate"/>
        </w:r>
        <w:r w:rsidR="00C62A8D">
          <w:rPr>
            <w:noProof/>
          </w:rPr>
          <w:t>1</w:t>
        </w:r>
        <w:r>
          <w:rPr>
            <w:noProof/>
          </w:rPr>
          <w:fldChar w:fldCharType="end"/>
        </w:r>
      </w:p>
    </w:sdtContent>
  </w:sdt>
  <w:p w:rsidR="00340D2F" w:rsidRDefault="00340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CBA" w:rsidRDefault="00EF1CBA" w:rsidP="004B4E59">
      <w:pPr>
        <w:spacing w:after="0" w:line="240" w:lineRule="auto"/>
      </w:pPr>
      <w:r>
        <w:separator/>
      </w:r>
    </w:p>
  </w:footnote>
  <w:footnote w:type="continuationSeparator" w:id="0">
    <w:p w:rsidR="00EF1CBA" w:rsidRDefault="00EF1CBA" w:rsidP="004B4E59">
      <w:pPr>
        <w:spacing w:after="0" w:line="240" w:lineRule="auto"/>
      </w:pPr>
      <w:r>
        <w:continuationSeparator/>
      </w:r>
    </w:p>
  </w:footnote>
  <w:footnote w:id="1">
    <w:p w:rsidR="00F23711" w:rsidRDefault="00F23711" w:rsidP="00F23711">
      <w:pPr>
        <w:pStyle w:val="FootnoteText"/>
      </w:pPr>
      <w:r>
        <w:rPr>
          <w:rStyle w:val="FootnoteReference"/>
        </w:rPr>
        <w:footnoteRef/>
      </w:r>
      <w:r>
        <w:rPr>
          <w:rStyle w:val="FootnoteReference"/>
        </w:rPr>
        <w:footnoteRef/>
      </w:r>
      <w:r>
        <w:t xml:space="preserve"> Productivity Commission Issues Paper – Human Services: Identifying sectors for reform June 2016, p. 1</w:t>
      </w:r>
    </w:p>
  </w:footnote>
  <w:footnote w:id="2">
    <w:p w:rsidR="00E83EAB" w:rsidRDefault="00E83EAB">
      <w:pPr>
        <w:pStyle w:val="FootnoteText"/>
      </w:pPr>
      <w:r>
        <w:rPr>
          <w:rStyle w:val="FootnoteReference"/>
        </w:rPr>
        <w:footnoteRef/>
      </w:r>
      <w:r w:rsidR="007629C0">
        <w:t xml:space="preserve">United Nations Convention on the Rights of Persons with Disability, Article 9, </w:t>
      </w:r>
      <w:r>
        <w:t xml:space="preserve"> </w:t>
      </w:r>
      <w:hyperlink r:id="rId1" w:history="1">
        <w:r w:rsidRPr="00E459CD">
          <w:rPr>
            <w:rStyle w:val="Hyperlink"/>
          </w:rPr>
          <w:t>https://www.un.org/development/desa/disabilities/convention-on-the-rights-of-persons-with-disabilities/article-9-accessibility.html</w:t>
        </w:r>
      </w:hyperlink>
      <w:r>
        <w:t xml:space="preserve"> </w:t>
      </w:r>
    </w:p>
  </w:footnote>
  <w:footnote w:id="3">
    <w:p w:rsidR="00E83EAB" w:rsidRDefault="00E83EAB">
      <w:pPr>
        <w:pStyle w:val="FootnoteText"/>
      </w:pPr>
      <w:r>
        <w:rPr>
          <w:rStyle w:val="FootnoteReference"/>
        </w:rPr>
        <w:footnoteRef/>
      </w:r>
      <w:r>
        <w:t xml:space="preserve"> </w:t>
      </w:r>
      <w:r w:rsidR="007629C0">
        <w:t xml:space="preserve">United Nations Convention on the Rights of Persons with Disability, Article 21, </w:t>
      </w:r>
      <w:hyperlink r:id="rId2" w:history="1">
        <w:r w:rsidRPr="00E459CD">
          <w:rPr>
            <w:rStyle w:val="Hyperlink"/>
          </w:rPr>
          <w:t>https://www.un.org/development/desa/disabilities/convention-on-the-rights-of-persons-with-disabilities/article-21-freedom-of-expression-and-opinion-and-access-to-information.html</w:t>
        </w:r>
      </w:hyperlink>
      <w:r>
        <w:t xml:space="preserve"> </w:t>
      </w:r>
    </w:p>
  </w:footnote>
  <w:footnote w:id="4">
    <w:p w:rsidR="00193FEB" w:rsidRDefault="00193FEB">
      <w:pPr>
        <w:pStyle w:val="FootnoteText"/>
      </w:pPr>
      <w:r>
        <w:rPr>
          <w:rStyle w:val="FootnoteReference"/>
        </w:rPr>
        <w:footnoteRef/>
      </w:r>
      <w:r>
        <w:t xml:space="preserve"> Digital Transformation Office, Digital Services Standard, </w:t>
      </w:r>
      <w:hyperlink r:id="rId3" w:history="1">
        <w:r w:rsidRPr="001F3462">
          <w:rPr>
            <w:rStyle w:val="Hyperlink"/>
          </w:rPr>
          <w:t>https://www.dto.gov.au/standard/</w:t>
        </w:r>
      </w:hyperlink>
      <w:r>
        <w:t xml:space="preserve"> </w:t>
      </w:r>
    </w:p>
  </w:footnote>
  <w:footnote w:id="5">
    <w:p w:rsidR="00176C74" w:rsidRDefault="00176C74" w:rsidP="00176C74">
      <w:pPr>
        <w:pStyle w:val="FootnoteText"/>
      </w:pPr>
      <w:r>
        <w:rPr>
          <w:rStyle w:val="FootnoteReference"/>
        </w:rPr>
        <w:footnoteRef/>
      </w:r>
      <w:r>
        <w:t xml:space="preserve"> National Disability Strategy 2010-2020, p.35, Commonwealth of Australia, Canberra, </w:t>
      </w:r>
      <w:hyperlink r:id="rId4" w:history="1">
        <w:r w:rsidRPr="00BD7D16">
          <w:rPr>
            <w:rStyle w:val="Hyperlink"/>
          </w:rPr>
          <w:t>https://www.dss.gov.au/our-responsibilities/disability-and-carers/publications-articles/policy-research/national-disability-strategy-2010-2020</w:t>
        </w:r>
      </w:hyperlink>
      <w:r>
        <w:t xml:space="preserve"> </w:t>
      </w:r>
    </w:p>
  </w:footnote>
  <w:footnote w:id="6">
    <w:p w:rsidR="00C4592A" w:rsidRPr="00A13497" w:rsidRDefault="00C4592A" w:rsidP="00C4592A">
      <w:pPr>
        <w:pStyle w:val="FootnoteText"/>
        <w:rPr>
          <w:lang w:val="en-US"/>
        </w:rPr>
      </w:pPr>
      <w:r>
        <w:rPr>
          <w:rStyle w:val="FootnoteReference"/>
        </w:rPr>
        <w:footnoteRef/>
      </w:r>
      <w:r>
        <w:t xml:space="preserve"> </w:t>
      </w:r>
      <w:r w:rsidRPr="00A13497">
        <w:rPr>
          <w:lang w:val="en-US"/>
        </w:rPr>
        <w:t xml:space="preserve">Further information about Universal Design can be found at: </w:t>
      </w:r>
      <w:hyperlink r:id="rId5" w:history="1">
        <w:r w:rsidRPr="00A13497">
          <w:rPr>
            <w:rStyle w:val="Hyperlink"/>
            <w:lang w:val="en-US"/>
          </w:rPr>
          <w:t>http://universaldesignaustralia.net.au/</w:t>
        </w:r>
      </w:hyperlink>
      <w:r w:rsidRPr="00A13497">
        <w:rPr>
          <w:lang w:val="en-US"/>
        </w:rPr>
        <w:t>.</w:t>
      </w:r>
    </w:p>
    <w:p w:rsidR="00C4592A" w:rsidRDefault="00C4592A" w:rsidP="00C459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2625"/>
    <w:multiLevelType w:val="hybridMultilevel"/>
    <w:tmpl w:val="37B8F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A01DFB"/>
    <w:multiLevelType w:val="hybridMultilevel"/>
    <w:tmpl w:val="B7ACD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C42517"/>
    <w:multiLevelType w:val="hybridMultilevel"/>
    <w:tmpl w:val="551CA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FF16262"/>
    <w:multiLevelType w:val="hybridMultilevel"/>
    <w:tmpl w:val="17CC5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70E6322"/>
    <w:multiLevelType w:val="hybridMultilevel"/>
    <w:tmpl w:val="4106E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F8D1A61"/>
    <w:multiLevelType w:val="hybridMultilevel"/>
    <w:tmpl w:val="88BAEB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7E11CA"/>
    <w:multiLevelType w:val="hybridMultilevel"/>
    <w:tmpl w:val="266C7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68F5C0F"/>
    <w:multiLevelType w:val="hybridMultilevel"/>
    <w:tmpl w:val="FD2A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FC17DB3"/>
    <w:multiLevelType w:val="hybridMultilevel"/>
    <w:tmpl w:val="C8620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64A3D30"/>
    <w:multiLevelType w:val="hybridMultilevel"/>
    <w:tmpl w:val="19A67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A130F51"/>
    <w:multiLevelType w:val="hybridMultilevel"/>
    <w:tmpl w:val="AE8CC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8"/>
  </w:num>
  <w:num w:numId="5">
    <w:abstractNumId w:val="10"/>
  </w:num>
  <w:num w:numId="6">
    <w:abstractNumId w:val="3"/>
  </w:num>
  <w:num w:numId="7">
    <w:abstractNumId w:val="2"/>
  </w:num>
  <w:num w:numId="8">
    <w:abstractNumId w:val="4"/>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1C"/>
    <w:rsid w:val="00003C60"/>
    <w:rsid w:val="000152E3"/>
    <w:rsid w:val="000413F0"/>
    <w:rsid w:val="00051BB9"/>
    <w:rsid w:val="00056005"/>
    <w:rsid w:val="000628BF"/>
    <w:rsid w:val="0008221C"/>
    <w:rsid w:val="000B4338"/>
    <w:rsid w:val="000B7770"/>
    <w:rsid w:val="000C61A6"/>
    <w:rsid w:val="000C6FEF"/>
    <w:rsid w:val="000E6D01"/>
    <w:rsid w:val="000E79F3"/>
    <w:rsid w:val="000F0F6A"/>
    <w:rsid w:val="00100C47"/>
    <w:rsid w:val="00106A1A"/>
    <w:rsid w:val="00106AC3"/>
    <w:rsid w:val="00112BF1"/>
    <w:rsid w:val="001207E4"/>
    <w:rsid w:val="001210E9"/>
    <w:rsid w:val="00121264"/>
    <w:rsid w:val="00123F35"/>
    <w:rsid w:val="00126606"/>
    <w:rsid w:val="00135E9C"/>
    <w:rsid w:val="00147AE8"/>
    <w:rsid w:val="001513E6"/>
    <w:rsid w:val="001619DC"/>
    <w:rsid w:val="0016694A"/>
    <w:rsid w:val="00167B83"/>
    <w:rsid w:val="00176C74"/>
    <w:rsid w:val="00177812"/>
    <w:rsid w:val="0018212A"/>
    <w:rsid w:val="001923C9"/>
    <w:rsid w:val="00193FEB"/>
    <w:rsid w:val="00197152"/>
    <w:rsid w:val="00197EBD"/>
    <w:rsid w:val="001A2BC5"/>
    <w:rsid w:val="001C679E"/>
    <w:rsid w:val="00201D91"/>
    <w:rsid w:val="00213329"/>
    <w:rsid w:val="00220459"/>
    <w:rsid w:val="002315E4"/>
    <w:rsid w:val="00234BE8"/>
    <w:rsid w:val="00237C56"/>
    <w:rsid w:val="002440F2"/>
    <w:rsid w:val="00251DF3"/>
    <w:rsid w:val="00253EA8"/>
    <w:rsid w:val="00257015"/>
    <w:rsid w:val="00257854"/>
    <w:rsid w:val="00260DDE"/>
    <w:rsid w:val="002656AC"/>
    <w:rsid w:val="00273FC4"/>
    <w:rsid w:val="00284C5F"/>
    <w:rsid w:val="00292114"/>
    <w:rsid w:val="00294D97"/>
    <w:rsid w:val="002954DC"/>
    <w:rsid w:val="002A4881"/>
    <w:rsid w:val="002C5B3F"/>
    <w:rsid w:val="002E0161"/>
    <w:rsid w:val="002E5716"/>
    <w:rsid w:val="002E6F68"/>
    <w:rsid w:val="002F53D5"/>
    <w:rsid w:val="00300A2E"/>
    <w:rsid w:val="0030178E"/>
    <w:rsid w:val="003041F0"/>
    <w:rsid w:val="00310371"/>
    <w:rsid w:val="00340D2F"/>
    <w:rsid w:val="00346375"/>
    <w:rsid w:val="003508EF"/>
    <w:rsid w:val="003669DF"/>
    <w:rsid w:val="003700C3"/>
    <w:rsid w:val="003704EE"/>
    <w:rsid w:val="0037486A"/>
    <w:rsid w:val="00375F64"/>
    <w:rsid w:val="00386948"/>
    <w:rsid w:val="00395190"/>
    <w:rsid w:val="003A4854"/>
    <w:rsid w:val="003D4678"/>
    <w:rsid w:val="003E4B28"/>
    <w:rsid w:val="003F0E8E"/>
    <w:rsid w:val="003F3B22"/>
    <w:rsid w:val="00401981"/>
    <w:rsid w:val="00401DD7"/>
    <w:rsid w:val="004066DB"/>
    <w:rsid w:val="0041171C"/>
    <w:rsid w:val="00421904"/>
    <w:rsid w:val="00421DF9"/>
    <w:rsid w:val="00422FEC"/>
    <w:rsid w:val="00425775"/>
    <w:rsid w:val="004320AD"/>
    <w:rsid w:val="00437199"/>
    <w:rsid w:val="0045539B"/>
    <w:rsid w:val="00457DF0"/>
    <w:rsid w:val="00471C0E"/>
    <w:rsid w:val="00475A74"/>
    <w:rsid w:val="004966E4"/>
    <w:rsid w:val="004A0C40"/>
    <w:rsid w:val="004A2E13"/>
    <w:rsid w:val="004B4256"/>
    <w:rsid w:val="004B478D"/>
    <w:rsid w:val="004B4E59"/>
    <w:rsid w:val="004D0C57"/>
    <w:rsid w:val="004D4291"/>
    <w:rsid w:val="004E24A9"/>
    <w:rsid w:val="004F585E"/>
    <w:rsid w:val="004F5F2F"/>
    <w:rsid w:val="005007D0"/>
    <w:rsid w:val="0050252A"/>
    <w:rsid w:val="00514104"/>
    <w:rsid w:val="00514B06"/>
    <w:rsid w:val="00545AB5"/>
    <w:rsid w:val="005466F3"/>
    <w:rsid w:val="00550940"/>
    <w:rsid w:val="00552E7F"/>
    <w:rsid w:val="005607A8"/>
    <w:rsid w:val="005714BE"/>
    <w:rsid w:val="00580A96"/>
    <w:rsid w:val="00583D6D"/>
    <w:rsid w:val="00586FF7"/>
    <w:rsid w:val="00593637"/>
    <w:rsid w:val="005A59FF"/>
    <w:rsid w:val="005A6287"/>
    <w:rsid w:val="005B023D"/>
    <w:rsid w:val="005B1F53"/>
    <w:rsid w:val="005B3AA7"/>
    <w:rsid w:val="005C0579"/>
    <w:rsid w:val="005D29C7"/>
    <w:rsid w:val="005E2127"/>
    <w:rsid w:val="005E7420"/>
    <w:rsid w:val="005F2057"/>
    <w:rsid w:val="005F25AA"/>
    <w:rsid w:val="00600D2C"/>
    <w:rsid w:val="006073F8"/>
    <w:rsid w:val="006152C1"/>
    <w:rsid w:val="00620B66"/>
    <w:rsid w:val="00623DF9"/>
    <w:rsid w:val="0062636D"/>
    <w:rsid w:val="0062773D"/>
    <w:rsid w:val="00627FD0"/>
    <w:rsid w:val="00633A22"/>
    <w:rsid w:val="00635236"/>
    <w:rsid w:val="00650337"/>
    <w:rsid w:val="00661147"/>
    <w:rsid w:val="0067444D"/>
    <w:rsid w:val="00677FF0"/>
    <w:rsid w:val="006A0998"/>
    <w:rsid w:val="006A1F40"/>
    <w:rsid w:val="006C1675"/>
    <w:rsid w:val="006D5459"/>
    <w:rsid w:val="006F3153"/>
    <w:rsid w:val="006F7575"/>
    <w:rsid w:val="00700D7D"/>
    <w:rsid w:val="00704065"/>
    <w:rsid w:val="00711C57"/>
    <w:rsid w:val="007136F6"/>
    <w:rsid w:val="007257C4"/>
    <w:rsid w:val="007264FF"/>
    <w:rsid w:val="00736883"/>
    <w:rsid w:val="00742B3F"/>
    <w:rsid w:val="00743269"/>
    <w:rsid w:val="0075583F"/>
    <w:rsid w:val="00762949"/>
    <w:rsid w:val="007629C0"/>
    <w:rsid w:val="00780BE5"/>
    <w:rsid w:val="0078454B"/>
    <w:rsid w:val="007A0651"/>
    <w:rsid w:val="007A7F04"/>
    <w:rsid w:val="007C4C19"/>
    <w:rsid w:val="007D2205"/>
    <w:rsid w:val="007F2530"/>
    <w:rsid w:val="007F49D3"/>
    <w:rsid w:val="00815DDF"/>
    <w:rsid w:val="0081738C"/>
    <w:rsid w:val="00820D95"/>
    <w:rsid w:val="008259E7"/>
    <w:rsid w:val="00825BD5"/>
    <w:rsid w:val="00834EB3"/>
    <w:rsid w:val="00836AED"/>
    <w:rsid w:val="00852744"/>
    <w:rsid w:val="008534D3"/>
    <w:rsid w:val="00861B90"/>
    <w:rsid w:val="00872A31"/>
    <w:rsid w:val="00881500"/>
    <w:rsid w:val="00886BC4"/>
    <w:rsid w:val="00887EE6"/>
    <w:rsid w:val="00892B39"/>
    <w:rsid w:val="008941C0"/>
    <w:rsid w:val="008943CF"/>
    <w:rsid w:val="008A1F55"/>
    <w:rsid w:val="008C7666"/>
    <w:rsid w:val="008E69B4"/>
    <w:rsid w:val="008F3556"/>
    <w:rsid w:val="00904391"/>
    <w:rsid w:val="00907BED"/>
    <w:rsid w:val="00914475"/>
    <w:rsid w:val="00915ADE"/>
    <w:rsid w:val="00916953"/>
    <w:rsid w:val="00917D1D"/>
    <w:rsid w:val="00925186"/>
    <w:rsid w:val="0092614D"/>
    <w:rsid w:val="00934AB0"/>
    <w:rsid w:val="00935F76"/>
    <w:rsid w:val="00936C33"/>
    <w:rsid w:val="009374F8"/>
    <w:rsid w:val="00946DEE"/>
    <w:rsid w:val="00947D12"/>
    <w:rsid w:val="009639C8"/>
    <w:rsid w:val="00986B44"/>
    <w:rsid w:val="00986C64"/>
    <w:rsid w:val="00996894"/>
    <w:rsid w:val="009D26BD"/>
    <w:rsid w:val="009D2E86"/>
    <w:rsid w:val="009D6D3A"/>
    <w:rsid w:val="009D744E"/>
    <w:rsid w:val="009E300B"/>
    <w:rsid w:val="009E37A1"/>
    <w:rsid w:val="009F4B8F"/>
    <w:rsid w:val="00A06FAC"/>
    <w:rsid w:val="00A13497"/>
    <w:rsid w:val="00A24296"/>
    <w:rsid w:val="00A37501"/>
    <w:rsid w:val="00A4004F"/>
    <w:rsid w:val="00A475EB"/>
    <w:rsid w:val="00A47718"/>
    <w:rsid w:val="00A5249B"/>
    <w:rsid w:val="00A5360F"/>
    <w:rsid w:val="00A53D58"/>
    <w:rsid w:val="00A72F59"/>
    <w:rsid w:val="00A745B9"/>
    <w:rsid w:val="00A80DD2"/>
    <w:rsid w:val="00A86F27"/>
    <w:rsid w:val="00AA0904"/>
    <w:rsid w:val="00AA68D6"/>
    <w:rsid w:val="00AB64B1"/>
    <w:rsid w:val="00AD6D49"/>
    <w:rsid w:val="00AE218A"/>
    <w:rsid w:val="00AE68E7"/>
    <w:rsid w:val="00B14865"/>
    <w:rsid w:val="00B173AD"/>
    <w:rsid w:val="00B23DF6"/>
    <w:rsid w:val="00B24A46"/>
    <w:rsid w:val="00B25924"/>
    <w:rsid w:val="00B27CD8"/>
    <w:rsid w:val="00B32B8E"/>
    <w:rsid w:val="00B51434"/>
    <w:rsid w:val="00B64E42"/>
    <w:rsid w:val="00B70C1C"/>
    <w:rsid w:val="00B82091"/>
    <w:rsid w:val="00B8307F"/>
    <w:rsid w:val="00B83DF5"/>
    <w:rsid w:val="00B84475"/>
    <w:rsid w:val="00B86183"/>
    <w:rsid w:val="00B86ABF"/>
    <w:rsid w:val="00B87FBF"/>
    <w:rsid w:val="00B9254E"/>
    <w:rsid w:val="00B93395"/>
    <w:rsid w:val="00B96BD3"/>
    <w:rsid w:val="00BA0C89"/>
    <w:rsid w:val="00BA10D2"/>
    <w:rsid w:val="00BA6F5F"/>
    <w:rsid w:val="00BB1D83"/>
    <w:rsid w:val="00BD6BC2"/>
    <w:rsid w:val="00BE09BD"/>
    <w:rsid w:val="00C1095A"/>
    <w:rsid w:val="00C1455E"/>
    <w:rsid w:val="00C14CE3"/>
    <w:rsid w:val="00C15396"/>
    <w:rsid w:val="00C24819"/>
    <w:rsid w:val="00C34D6A"/>
    <w:rsid w:val="00C40110"/>
    <w:rsid w:val="00C4592A"/>
    <w:rsid w:val="00C624A3"/>
    <w:rsid w:val="00C62A8D"/>
    <w:rsid w:val="00C632B7"/>
    <w:rsid w:val="00C7305F"/>
    <w:rsid w:val="00C73772"/>
    <w:rsid w:val="00C7507F"/>
    <w:rsid w:val="00C77D82"/>
    <w:rsid w:val="00C80808"/>
    <w:rsid w:val="00CA24D6"/>
    <w:rsid w:val="00CA3620"/>
    <w:rsid w:val="00CB115D"/>
    <w:rsid w:val="00CC1497"/>
    <w:rsid w:val="00CC560A"/>
    <w:rsid w:val="00CD655D"/>
    <w:rsid w:val="00CE3A4A"/>
    <w:rsid w:val="00CF24AC"/>
    <w:rsid w:val="00D01318"/>
    <w:rsid w:val="00D017B0"/>
    <w:rsid w:val="00D03EAF"/>
    <w:rsid w:val="00D13A31"/>
    <w:rsid w:val="00D13F28"/>
    <w:rsid w:val="00D22391"/>
    <w:rsid w:val="00D23503"/>
    <w:rsid w:val="00D26064"/>
    <w:rsid w:val="00D3093E"/>
    <w:rsid w:val="00D33E6D"/>
    <w:rsid w:val="00D350E6"/>
    <w:rsid w:val="00D442A6"/>
    <w:rsid w:val="00D45863"/>
    <w:rsid w:val="00D6174A"/>
    <w:rsid w:val="00D678E1"/>
    <w:rsid w:val="00D80126"/>
    <w:rsid w:val="00D80807"/>
    <w:rsid w:val="00D91FC7"/>
    <w:rsid w:val="00D93F23"/>
    <w:rsid w:val="00DB7968"/>
    <w:rsid w:val="00DC047E"/>
    <w:rsid w:val="00DC20CB"/>
    <w:rsid w:val="00DC3F05"/>
    <w:rsid w:val="00DC471A"/>
    <w:rsid w:val="00DD40F5"/>
    <w:rsid w:val="00E02273"/>
    <w:rsid w:val="00E12C7E"/>
    <w:rsid w:val="00E2217B"/>
    <w:rsid w:val="00E22C45"/>
    <w:rsid w:val="00E332E5"/>
    <w:rsid w:val="00E405F4"/>
    <w:rsid w:val="00E51311"/>
    <w:rsid w:val="00E631B7"/>
    <w:rsid w:val="00E66F6C"/>
    <w:rsid w:val="00E7262D"/>
    <w:rsid w:val="00E72DE5"/>
    <w:rsid w:val="00E82EED"/>
    <w:rsid w:val="00E83EAB"/>
    <w:rsid w:val="00E90BDA"/>
    <w:rsid w:val="00E953F5"/>
    <w:rsid w:val="00E97400"/>
    <w:rsid w:val="00EB1796"/>
    <w:rsid w:val="00EB2187"/>
    <w:rsid w:val="00EB5384"/>
    <w:rsid w:val="00EB5587"/>
    <w:rsid w:val="00ED165D"/>
    <w:rsid w:val="00ED5FAD"/>
    <w:rsid w:val="00EE1F8A"/>
    <w:rsid w:val="00EE1FB1"/>
    <w:rsid w:val="00EF0B63"/>
    <w:rsid w:val="00EF1CBA"/>
    <w:rsid w:val="00EF31BE"/>
    <w:rsid w:val="00EF5E85"/>
    <w:rsid w:val="00F056CA"/>
    <w:rsid w:val="00F11CD8"/>
    <w:rsid w:val="00F13980"/>
    <w:rsid w:val="00F148A7"/>
    <w:rsid w:val="00F14B03"/>
    <w:rsid w:val="00F22CEC"/>
    <w:rsid w:val="00F23711"/>
    <w:rsid w:val="00F43354"/>
    <w:rsid w:val="00F458A5"/>
    <w:rsid w:val="00F462E2"/>
    <w:rsid w:val="00F50153"/>
    <w:rsid w:val="00F504CD"/>
    <w:rsid w:val="00F61A89"/>
    <w:rsid w:val="00F761FF"/>
    <w:rsid w:val="00F7708E"/>
    <w:rsid w:val="00F83EFF"/>
    <w:rsid w:val="00F864B7"/>
    <w:rsid w:val="00F97968"/>
    <w:rsid w:val="00FA5F3E"/>
    <w:rsid w:val="00FC1FFC"/>
    <w:rsid w:val="00FD343E"/>
    <w:rsid w:val="00FD5001"/>
    <w:rsid w:val="00FE52AA"/>
    <w:rsid w:val="00FE6A90"/>
    <w:rsid w:val="00FF0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71C"/>
    <w:pPr>
      <w:spacing w:after="0" w:line="240" w:lineRule="auto"/>
      <w:ind w:left="720"/>
      <w:contextualSpacing/>
    </w:pPr>
    <w:rPr>
      <w:rFonts w:ascii="Times New Roman" w:eastAsia="Times New Roman" w:hAnsi="Times New Roman" w:cs="Times New Roman"/>
      <w:sz w:val="24"/>
      <w:szCs w:val="24"/>
      <w:lang w:val="en-US"/>
    </w:rPr>
  </w:style>
  <w:style w:type="paragraph" w:styleId="NoSpacing">
    <w:name w:val="No Spacing"/>
    <w:basedOn w:val="Normal"/>
    <w:link w:val="NoSpacingChar"/>
    <w:uiPriority w:val="1"/>
    <w:qFormat/>
    <w:rsid w:val="0041171C"/>
    <w:pPr>
      <w:spacing w:before="240" w:after="0" w:line="240" w:lineRule="auto"/>
    </w:pPr>
    <w:rPr>
      <w:rFonts w:ascii="Arial" w:eastAsia="Times New Roman" w:hAnsi="Arial" w:cs="Times New Roman"/>
      <w:sz w:val="24"/>
      <w:szCs w:val="20"/>
    </w:rPr>
  </w:style>
  <w:style w:type="character" w:customStyle="1" w:styleId="NoSpacingChar">
    <w:name w:val="No Spacing Char"/>
    <w:basedOn w:val="DefaultParagraphFont"/>
    <w:link w:val="NoSpacing"/>
    <w:uiPriority w:val="1"/>
    <w:rsid w:val="0041171C"/>
    <w:rPr>
      <w:rFonts w:ascii="Arial" w:eastAsia="Times New Roman" w:hAnsi="Arial" w:cs="Times New Roman"/>
      <w:sz w:val="24"/>
      <w:szCs w:val="20"/>
    </w:rPr>
  </w:style>
  <w:style w:type="paragraph" w:styleId="FootnoteText">
    <w:name w:val="footnote text"/>
    <w:basedOn w:val="Normal"/>
    <w:link w:val="FootnoteTextChar"/>
    <w:uiPriority w:val="99"/>
    <w:semiHidden/>
    <w:unhideWhenUsed/>
    <w:rsid w:val="004B4E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E59"/>
    <w:rPr>
      <w:sz w:val="20"/>
      <w:szCs w:val="20"/>
    </w:rPr>
  </w:style>
  <w:style w:type="character" w:styleId="FootnoteReference">
    <w:name w:val="footnote reference"/>
    <w:basedOn w:val="DefaultParagraphFont"/>
    <w:uiPriority w:val="99"/>
    <w:semiHidden/>
    <w:unhideWhenUsed/>
    <w:rsid w:val="004B4E59"/>
    <w:rPr>
      <w:vertAlign w:val="superscript"/>
    </w:rPr>
  </w:style>
  <w:style w:type="character" w:styleId="Hyperlink">
    <w:name w:val="Hyperlink"/>
    <w:basedOn w:val="DefaultParagraphFont"/>
    <w:uiPriority w:val="99"/>
    <w:unhideWhenUsed/>
    <w:rsid w:val="004B4E59"/>
    <w:rPr>
      <w:color w:val="0563C1" w:themeColor="hyperlink"/>
      <w:u w:val="single"/>
    </w:rPr>
  </w:style>
  <w:style w:type="character" w:styleId="FollowedHyperlink">
    <w:name w:val="FollowedHyperlink"/>
    <w:basedOn w:val="DefaultParagraphFont"/>
    <w:uiPriority w:val="99"/>
    <w:semiHidden/>
    <w:unhideWhenUsed/>
    <w:rsid w:val="007A0651"/>
    <w:rPr>
      <w:color w:val="954F72" w:themeColor="followedHyperlink"/>
      <w:u w:val="single"/>
    </w:rPr>
  </w:style>
  <w:style w:type="paragraph" w:styleId="Header">
    <w:name w:val="header"/>
    <w:basedOn w:val="Normal"/>
    <w:link w:val="HeaderChar"/>
    <w:uiPriority w:val="99"/>
    <w:unhideWhenUsed/>
    <w:rsid w:val="00340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D2F"/>
  </w:style>
  <w:style w:type="paragraph" w:styleId="Footer">
    <w:name w:val="footer"/>
    <w:basedOn w:val="Normal"/>
    <w:link w:val="FooterChar"/>
    <w:uiPriority w:val="99"/>
    <w:unhideWhenUsed/>
    <w:rsid w:val="00340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D2F"/>
  </w:style>
  <w:style w:type="paragraph" w:styleId="BalloonText">
    <w:name w:val="Balloon Text"/>
    <w:basedOn w:val="Normal"/>
    <w:link w:val="BalloonTextChar"/>
    <w:uiPriority w:val="99"/>
    <w:semiHidden/>
    <w:unhideWhenUsed/>
    <w:rsid w:val="00C62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71C"/>
    <w:pPr>
      <w:spacing w:after="0" w:line="240" w:lineRule="auto"/>
      <w:ind w:left="720"/>
      <w:contextualSpacing/>
    </w:pPr>
    <w:rPr>
      <w:rFonts w:ascii="Times New Roman" w:eastAsia="Times New Roman" w:hAnsi="Times New Roman" w:cs="Times New Roman"/>
      <w:sz w:val="24"/>
      <w:szCs w:val="24"/>
      <w:lang w:val="en-US"/>
    </w:rPr>
  </w:style>
  <w:style w:type="paragraph" w:styleId="NoSpacing">
    <w:name w:val="No Spacing"/>
    <w:basedOn w:val="Normal"/>
    <w:link w:val="NoSpacingChar"/>
    <w:uiPriority w:val="1"/>
    <w:qFormat/>
    <w:rsid w:val="0041171C"/>
    <w:pPr>
      <w:spacing w:before="240" w:after="0" w:line="240" w:lineRule="auto"/>
    </w:pPr>
    <w:rPr>
      <w:rFonts w:ascii="Arial" w:eastAsia="Times New Roman" w:hAnsi="Arial" w:cs="Times New Roman"/>
      <w:sz w:val="24"/>
      <w:szCs w:val="20"/>
    </w:rPr>
  </w:style>
  <w:style w:type="character" w:customStyle="1" w:styleId="NoSpacingChar">
    <w:name w:val="No Spacing Char"/>
    <w:basedOn w:val="DefaultParagraphFont"/>
    <w:link w:val="NoSpacing"/>
    <w:uiPriority w:val="1"/>
    <w:rsid w:val="0041171C"/>
    <w:rPr>
      <w:rFonts w:ascii="Arial" w:eastAsia="Times New Roman" w:hAnsi="Arial" w:cs="Times New Roman"/>
      <w:sz w:val="24"/>
      <w:szCs w:val="20"/>
    </w:rPr>
  </w:style>
  <w:style w:type="paragraph" w:styleId="FootnoteText">
    <w:name w:val="footnote text"/>
    <w:basedOn w:val="Normal"/>
    <w:link w:val="FootnoteTextChar"/>
    <w:uiPriority w:val="99"/>
    <w:semiHidden/>
    <w:unhideWhenUsed/>
    <w:rsid w:val="004B4E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E59"/>
    <w:rPr>
      <w:sz w:val="20"/>
      <w:szCs w:val="20"/>
    </w:rPr>
  </w:style>
  <w:style w:type="character" w:styleId="FootnoteReference">
    <w:name w:val="footnote reference"/>
    <w:basedOn w:val="DefaultParagraphFont"/>
    <w:uiPriority w:val="99"/>
    <w:semiHidden/>
    <w:unhideWhenUsed/>
    <w:rsid w:val="004B4E59"/>
    <w:rPr>
      <w:vertAlign w:val="superscript"/>
    </w:rPr>
  </w:style>
  <w:style w:type="character" w:styleId="Hyperlink">
    <w:name w:val="Hyperlink"/>
    <w:basedOn w:val="DefaultParagraphFont"/>
    <w:uiPriority w:val="99"/>
    <w:unhideWhenUsed/>
    <w:rsid w:val="004B4E59"/>
    <w:rPr>
      <w:color w:val="0563C1" w:themeColor="hyperlink"/>
      <w:u w:val="single"/>
    </w:rPr>
  </w:style>
  <w:style w:type="character" w:styleId="FollowedHyperlink">
    <w:name w:val="FollowedHyperlink"/>
    <w:basedOn w:val="DefaultParagraphFont"/>
    <w:uiPriority w:val="99"/>
    <w:semiHidden/>
    <w:unhideWhenUsed/>
    <w:rsid w:val="007A0651"/>
    <w:rPr>
      <w:color w:val="954F72" w:themeColor="followedHyperlink"/>
      <w:u w:val="single"/>
    </w:rPr>
  </w:style>
  <w:style w:type="paragraph" w:styleId="Header">
    <w:name w:val="header"/>
    <w:basedOn w:val="Normal"/>
    <w:link w:val="HeaderChar"/>
    <w:uiPriority w:val="99"/>
    <w:unhideWhenUsed/>
    <w:rsid w:val="00340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D2F"/>
  </w:style>
  <w:style w:type="paragraph" w:styleId="Footer">
    <w:name w:val="footer"/>
    <w:basedOn w:val="Normal"/>
    <w:link w:val="FooterChar"/>
    <w:uiPriority w:val="99"/>
    <w:unhideWhenUsed/>
    <w:rsid w:val="00340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D2F"/>
  </w:style>
  <w:style w:type="paragraph" w:styleId="BalloonText">
    <w:name w:val="Balloon Text"/>
    <w:basedOn w:val="Normal"/>
    <w:link w:val="BalloonTextChar"/>
    <w:uiPriority w:val="99"/>
    <w:semiHidden/>
    <w:unhideWhenUsed/>
    <w:rsid w:val="00C62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org/development/desa/disabilities/convention-on-the-rights-of-persons-with-disabilities/article-9-accessibility.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dto.gov.au/standard/" TargetMode="External"/><Relationship Id="rId2" Type="http://schemas.openxmlformats.org/officeDocument/2006/relationships/hyperlink" Target="https://www.un.org/development/desa/disabilities/convention-on-the-rights-of-persons-with-disabilities/article-21-freedom-of-expression-and-opinion-and-access-to-information.html" TargetMode="External"/><Relationship Id="rId1" Type="http://schemas.openxmlformats.org/officeDocument/2006/relationships/hyperlink" Target="https://www.un.org/development/desa/disabilities/convention-on-the-rights-of-persons-with-disabilities/article-9-accessibility.html" TargetMode="External"/><Relationship Id="rId5" Type="http://schemas.openxmlformats.org/officeDocument/2006/relationships/hyperlink" Target="http://universaldesignaustralia.net.au/" TargetMode="External"/><Relationship Id="rId4" Type="http://schemas.openxmlformats.org/officeDocument/2006/relationships/hyperlink" Target="https://www.dss.gov.au/our-responsibilities/disability-and-carers/publications-articles/policy-research/national-disability-strategy-201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Value>138</Value>
      <Value>3339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48C78-B5F5-44DF-96B3-CDF553C82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903FF-4823-4D21-A9E7-54ECE1133975}">
  <ds:schemaRef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8044c801-d84b-4ee1-a77e-678f8dcdee17"/>
    <ds:schemaRef ds:uri="3f4bcce7-ac1a-4c9d-aa3e-7e77695652db"/>
    <ds:schemaRef ds:uri="http://schemas.microsoft.com/office/2006/metadata/properties"/>
  </ds:schemaRefs>
</ds:datastoreItem>
</file>

<file path=customXml/itemProps3.xml><?xml version="1.0" encoding="utf-8"?>
<ds:datastoreItem xmlns:ds="http://schemas.openxmlformats.org/officeDocument/2006/customXml" ds:itemID="{2F6EEA3D-FD77-4815-A224-F69BF7F7A254}">
  <ds:schemaRefs>
    <ds:schemaRef ds:uri="http://schemas.microsoft.com/sharepoint/v3/contenttype/forms"/>
  </ds:schemaRefs>
</ds:datastoreItem>
</file>

<file path=customXml/itemProps4.xml><?xml version="1.0" encoding="utf-8"?>
<ds:datastoreItem xmlns:ds="http://schemas.openxmlformats.org/officeDocument/2006/customXml" ds:itemID="{4A5E510E-C64D-4CBF-BFEF-EA113A97F59F}">
  <ds:schemaRefs>
    <ds:schemaRef ds:uri="http://schemas.microsoft.com/sharepoint/events"/>
  </ds:schemaRefs>
</ds:datastoreItem>
</file>

<file path=customXml/itemProps5.xml><?xml version="1.0" encoding="utf-8"?>
<ds:datastoreItem xmlns:ds="http://schemas.openxmlformats.org/officeDocument/2006/customXml" ds:itemID="{276DD18D-D97B-49C2-B1C0-F978EBF6C266}">
  <ds:schemaRefs>
    <ds:schemaRef ds:uri="http://schemas.microsoft.com/office/2006/metadata/customXsn"/>
  </ds:schemaRefs>
</ds:datastoreItem>
</file>

<file path=customXml/itemProps6.xml><?xml version="1.0" encoding="utf-8"?>
<ds:datastoreItem xmlns:ds="http://schemas.openxmlformats.org/officeDocument/2006/customXml" ds:itemID="{1023F5FF-50D2-437E-81FF-9CE3B864BFD8}">
  <ds:schemaRefs>
    <ds:schemaRef ds:uri="Microsoft.SharePoint.Taxonomy.ContentTypeSync"/>
  </ds:schemaRefs>
</ds:datastoreItem>
</file>

<file path=customXml/itemProps7.xml><?xml version="1.0" encoding="utf-8"?>
<ds:datastoreItem xmlns:ds="http://schemas.openxmlformats.org/officeDocument/2006/customXml" ds:itemID="{1CF0F627-9FC6-4AFD-9CE2-0366286F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125 - Australian Blindness Forum - Identifying Sectors for Reform - 1st Stage of the Human Services public inquiry</vt:lpstr>
    </vt:vector>
  </TitlesOfParts>
  <Company>Australian Blindness Forum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125 - Australian Blindness Forum - Identifying Sectors for Reform - 1st Stage of the Human Services public inquiry</dc:title>
  <dc:subject/>
  <dc:creator>Australian Blindness Forum </dc:creator>
  <cp:keywords>Human Services; Submission</cp:keywords>
  <dc:description/>
  <cp:lastModifiedBy>Productivity Commission</cp:lastModifiedBy>
  <cp:revision>56</cp:revision>
  <dcterms:created xsi:type="dcterms:W3CDTF">2016-07-14T04:33:00Z</dcterms:created>
  <dcterms:modified xsi:type="dcterms:W3CDTF">2016-08-02T02:58:00Z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1896;#Submission|00a3de12-c040-4c7e-b1cd-c67634c5e564;#3339;#Human Services|756e7d2d-0bf7-4c44-8c9f-e2c0daeed112</vt:lpwstr>
  </property>
  <property fmtid="{D5CDD505-2E9C-101B-9397-08002B2CF9AE}" pid="6" name="Retain">
    <vt:lpwstr>138;#Reference Only|923c7a19-3b10-4b1a-aa53-490b73d512fc</vt:lpwstr>
  </property>
</Properties>
</file>