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14" w:rsidRPr="00A51D1A" w:rsidRDefault="004D049B" w:rsidP="00A51D1A">
      <w:pPr>
        <w:pStyle w:val="ACMAReportTitle"/>
      </w:pPr>
      <w:r>
        <w:t>Australian Communications and Media Authority submission</w:t>
      </w:r>
    </w:p>
    <w:p w:rsidR="00F06E14" w:rsidRDefault="004D049B" w:rsidP="00F06E14">
      <w:pPr>
        <w:pStyle w:val="ACMAReportSubTitle"/>
      </w:pPr>
      <w:r>
        <w:t xml:space="preserve">Response to </w:t>
      </w:r>
      <w:r w:rsidR="00B3375D">
        <w:t xml:space="preserve">the </w:t>
      </w:r>
      <w:r>
        <w:t xml:space="preserve">Productivity Commission draft inquiry report </w:t>
      </w:r>
      <w:r w:rsidR="00F67B29">
        <w:t xml:space="preserve">into </w:t>
      </w:r>
      <w:r>
        <w:t xml:space="preserve">the </w:t>
      </w:r>
      <w:r w:rsidR="00AF57EE">
        <w:t>t</w:t>
      </w:r>
      <w:r>
        <w:t xml:space="preserve">elecommunications Universal Service Obligation </w:t>
      </w:r>
    </w:p>
    <w:p w:rsidR="00F06E14" w:rsidRDefault="004D049B" w:rsidP="00D47AEB">
      <w:pPr>
        <w:pStyle w:val="ACMAReportDate"/>
        <w:spacing w:after="720"/>
      </w:pPr>
      <w:r>
        <w:t>february 2017</w:t>
      </w:r>
    </w:p>
    <w:p w:rsidR="00C97736" w:rsidRPr="000D76E0" w:rsidRDefault="00C97736" w:rsidP="0041071D">
      <w:pPr>
        <w:rPr>
          <w:rFonts w:cs="Arial"/>
        </w:rPr>
      </w:pPr>
    </w:p>
    <w:p w:rsidR="00C97736" w:rsidRPr="000D76E0" w:rsidRDefault="00C97736" w:rsidP="0041071D">
      <w:pPr>
        <w:rPr>
          <w:rFonts w:cs="Arial"/>
        </w:rPr>
        <w:sectPr w:rsidR="00C97736" w:rsidRPr="000D76E0" w:rsidSect="004F556E">
          <w:headerReference w:type="default" r:id="rId15"/>
          <w:footerReference w:type="default" r:id="rId16"/>
          <w:headerReference w:type="first" r:id="rId17"/>
          <w:pgSz w:w="11906" w:h="16838" w:code="9"/>
          <w:pgMar w:top="3924" w:right="1797" w:bottom="1440" w:left="1134" w:header="709" w:footer="454" w:gutter="0"/>
          <w:cols w:space="708"/>
          <w:docGrid w:linePitch="360"/>
        </w:sectPr>
      </w:pPr>
    </w:p>
    <w:p w:rsidR="0005011A" w:rsidRPr="00F44F3A" w:rsidRDefault="0005011A" w:rsidP="00FC07B9">
      <w:pPr>
        <w:pStyle w:val="ACMACorporateAddressHeader"/>
      </w:pPr>
      <w:r w:rsidRPr="00F44F3A">
        <w:lastRenderedPageBreak/>
        <w:t>Canberra</w:t>
      </w:r>
    </w:p>
    <w:p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rsidR="0005011A" w:rsidRPr="00FC07B9" w:rsidRDefault="0005011A" w:rsidP="00FC07B9">
      <w:pPr>
        <w:pStyle w:val="ACMACorporateAddresses"/>
      </w:pPr>
      <w:r w:rsidRPr="00FC07B9">
        <w:t>PO Box 78</w:t>
      </w:r>
      <w:r w:rsidRPr="00FC07B9">
        <w:br/>
        <w:t>Belconnen ACT 2616</w:t>
      </w:r>
    </w:p>
    <w:p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rsidR="0005011A" w:rsidRPr="00F44F3A" w:rsidRDefault="0005011A" w:rsidP="00FC07B9">
      <w:pPr>
        <w:pStyle w:val="ACMACorporateAddressHeader"/>
      </w:pPr>
      <w:r w:rsidRPr="00F44F3A">
        <w:t>Melbourne</w:t>
      </w:r>
    </w:p>
    <w:p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rsidR="0005011A" w:rsidRPr="00F44F3A" w:rsidRDefault="0005011A" w:rsidP="00FC07B9">
      <w:pPr>
        <w:pStyle w:val="ACMACorporateAddresses"/>
      </w:pPr>
      <w:r w:rsidRPr="00F44F3A">
        <w:t>PO Box 13112</w:t>
      </w:r>
      <w:r w:rsidRPr="00F44F3A">
        <w:br/>
        <w:t xml:space="preserve">Law Courts </w:t>
      </w:r>
      <w:r w:rsidRPr="00F44F3A">
        <w:br/>
        <w:t>Melbourne VIC 8010</w:t>
      </w:r>
    </w:p>
    <w:p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rsidR="0005011A" w:rsidRPr="00F44F3A" w:rsidRDefault="0005011A" w:rsidP="00FC07B9">
      <w:pPr>
        <w:pStyle w:val="ACMACorporateAddressHeader"/>
      </w:pPr>
      <w:r w:rsidRPr="00F44F3A">
        <w:t>Sydney</w:t>
      </w:r>
    </w:p>
    <w:p w:rsidR="0005011A" w:rsidRPr="00F44F3A" w:rsidRDefault="0005011A" w:rsidP="00FC07B9">
      <w:pPr>
        <w:pStyle w:val="ACMACorporateAddresses"/>
      </w:pPr>
      <w:r w:rsidRPr="00F44F3A">
        <w:t xml:space="preserve">Level 5 </w:t>
      </w:r>
      <w:r w:rsidRPr="00F44F3A">
        <w:br/>
        <w:t>The Bay Centre</w:t>
      </w:r>
      <w:r w:rsidRPr="00F44F3A">
        <w:br/>
        <w:t xml:space="preserve">65 </w:t>
      </w:r>
      <w:proofErr w:type="spellStart"/>
      <w:r w:rsidRPr="00F44F3A">
        <w:t>Pirrama</w:t>
      </w:r>
      <w:proofErr w:type="spellEnd"/>
      <w:r w:rsidRPr="00F44F3A">
        <w:t xml:space="preserve"> Road </w:t>
      </w:r>
      <w:r w:rsidRPr="00F44F3A">
        <w:br/>
        <w:t>Pyrmont NSW</w:t>
      </w:r>
    </w:p>
    <w:p w:rsidR="0005011A" w:rsidRPr="00F44F3A" w:rsidRDefault="0005011A" w:rsidP="00FC07B9">
      <w:pPr>
        <w:pStyle w:val="ACMACorporateAddresses"/>
      </w:pPr>
      <w:r w:rsidRPr="00F44F3A">
        <w:t>PO Box Q500</w:t>
      </w:r>
      <w:r w:rsidRPr="00F44F3A">
        <w:br/>
        <w:t xml:space="preserve">Queen Victoria Building </w:t>
      </w:r>
      <w:r w:rsidRPr="00F44F3A">
        <w:br/>
        <w:t>NSW 1230</w:t>
      </w:r>
    </w:p>
    <w:p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rsidR="00140318" w:rsidRPr="006D46E5" w:rsidRDefault="00140318" w:rsidP="00FC07B9">
      <w:pPr>
        <w:pStyle w:val="ACMACopyrightHeader"/>
      </w:pPr>
      <w:r w:rsidRPr="00140318">
        <w:t>Copyright notice</w:t>
      </w:r>
    </w:p>
    <w:p w:rsidR="00140318" w:rsidRPr="006D46E5" w:rsidRDefault="00623FF9" w:rsidP="00623FF9">
      <w:pPr>
        <w:pStyle w:val="ACMACClogo"/>
      </w:pPr>
      <w:r w:rsidRPr="00623FF9">
        <w:rPr>
          <w:noProof/>
        </w:rPr>
        <w:drawing>
          <wp:inline distT="0" distB="0" distL="0" distR="0" wp14:anchorId="6AE0D1CC" wp14:editId="4DDD817C">
            <wp:extent cx="838200" cy="295275"/>
            <wp:effectExtent l="0" t="0" r="0" b="0"/>
            <wp:docPr id="1" name="Picture 1" title="Creative Commons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8"/>
                    </pic:cNvPr>
                    <pic:cNvPicPr>
                      <a:picLocks noChangeAspect="1" noChangeArrowheads="1"/>
                    </pic:cNvPicPr>
                  </pic:nvPicPr>
                  <pic:blipFill>
                    <a:blip r:embed="rId19" cstate="print"/>
                    <a:srcRect/>
                    <a:stretch>
                      <a:fillRect/>
                    </a:stretch>
                  </pic:blipFill>
                  <pic:spPr bwMode="auto">
                    <a:xfrm>
                      <a:off x="0" y="0"/>
                      <a:ext cx="838200" cy="295275"/>
                    </a:xfrm>
                    <a:prstGeom prst="rect">
                      <a:avLst/>
                    </a:prstGeom>
                    <a:noFill/>
                  </pic:spPr>
                </pic:pic>
              </a:graphicData>
            </a:graphic>
          </wp:inline>
        </w:drawing>
      </w:r>
    </w:p>
    <w:p w:rsidR="00140318" w:rsidRPr="00431792" w:rsidRDefault="00597974" w:rsidP="00FC07B9">
      <w:pPr>
        <w:pStyle w:val="ACMACorporateAddresses"/>
        <w:rPr>
          <w:rStyle w:val="Hyperlink"/>
        </w:rPr>
      </w:pPr>
      <w:hyperlink r:id="rId20" w:tooltip="Creative Commons Licenses" w:history="1">
        <w:r w:rsidR="00140318" w:rsidRPr="00431792">
          <w:rPr>
            <w:rStyle w:val="Hyperlink"/>
          </w:rPr>
          <w:t>http://creativecommons.org/licenses/by/3.0/au/</w:t>
        </w:r>
      </w:hyperlink>
    </w:p>
    <w:p w:rsidR="00140318" w:rsidRPr="006D46E5" w:rsidRDefault="00140318" w:rsidP="00FC07B9">
      <w:pPr>
        <w:pStyle w:val="ACMACorporateAddresses"/>
      </w:pPr>
      <w:r w:rsidRPr="006D46E5">
        <w:t xml:space="preserve">With the exception of coats of arms, logos, emblems, images, other third-party material or devices protected by a trademark, this content is licensed under the Creative Commons Australia Attribution 3.0 Licence. </w:t>
      </w:r>
    </w:p>
    <w:p w:rsidR="00140318" w:rsidRPr="006D46E5" w:rsidRDefault="00C34A05" w:rsidP="00FC07B9">
      <w:pPr>
        <w:pStyle w:val="ACMACorporateAddresses"/>
      </w:pPr>
      <w:r>
        <w:t>We request attribution as</w:t>
      </w:r>
      <w:r w:rsidR="00140318" w:rsidRPr="006D46E5">
        <w:t xml:space="preserve"> © Commonwealth of Australia (Australian Communic</w:t>
      </w:r>
      <w:r w:rsidR="004D049B">
        <w:t>ations and Media Authority) 2017</w:t>
      </w:r>
      <w:r w:rsidR="00140318" w:rsidRPr="006D46E5">
        <w:t>.</w:t>
      </w:r>
    </w:p>
    <w:p w:rsidR="00140318" w:rsidRPr="006D46E5" w:rsidRDefault="00140318" w:rsidP="00FC07B9">
      <w:pPr>
        <w:pStyle w:val="ACMACorporateAddresses"/>
      </w:pPr>
      <w:r>
        <w:t>All other rights are reserved.</w:t>
      </w:r>
    </w:p>
    <w:p w:rsidR="00140318" w:rsidRPr="006D46E5" w:rsidRDefault="00140318" w:rsidP="00FC07B9">
      <w:pPr>
        <w:pStyle w:val="ACMACorporateAddresses"/>
      </w:pPr>
      <w:r w:rsidRPr="006D46E5">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rsidR="00140318" w:rsidRPr="006D46E5" w:rsidRDefault="00140318" w:rsidP="00FC07B9">
      <w:pPr>
        <w:pStyle w:val="ACMACorporateAddresses"/>
      </w:pPr>
      <w:r w:rsidRPr="006D46E5">
        <w:t>Written enquiries may be sent to:</w:t>
      </w:r>
    </w:p>
    <w:p w:rsidR="00D16FE3" w:rsidRDefault="00140318" w:rsidP="00D16FE3">
      <w:pPr>
        <w:pStyle w:val="ACMACorporateAddresses"/>
        <w:rPr>
          <w:rStyle w:val="Hyperlink"/>
        </w:rPr>
      </w:pPr>
      <w:r w:rsidRPr="006D46E5">
        <w:t>Manager, Editorial and Design</w:t>
      </w:r>
      <w:r w:rsidR="00623FF9">
        <w:br/>
      </w:r>
      <w:r w:rsidRPr="006D46E5">
        <w:t>PO Box 13112</w:t>
      </w:r>
      <w:r w:rsidR="00623FF9">
        <w:br/>
      </w:r>
      <w:r w:rsidRPr="006D46E5">
        <w:t>Law Courts</w:t>
      </w:r>
      <w:r w:rsidR="00623FF9">
        <w:br/>
      </w:r>
      <w:r w:rsidRPr="006D46E5">
        <w:t>Melbourne VIC 8010</w:t>
      </w:r>
      <w:r w:rsidR="00623FF9">
        <w:br/>
      </w:r>
      <w:r w:rsidRPr="006D46E5">
        <w:t xml:space="preserve">Email: </w:t>
      </w:r>
      <w:hyperlink r:id="rId21" w:history="1">
        <w:r w:rsidRPr="00431792">
          <w:rPr>
            <w:rStyle w:val="Hyperlink"/>
          </w:rPr>
          <w:t>candinfo@acma.gov.au</w:t>
        </w:r>
      </w:hyperlink>
    </w:p>
    <w:p w:rsidR="00D16FE3" w:rsidRDefault="00D16FE3" w:rsidP="00D16FE3">
      <w:pPr>
        <w:pStyle w:val="ACMACorporateAddresses"/>
        <w:rPr>
          <w:rStyle w:val="Hyperlink"/>
        </w:rPr>
      </w:pPr>
    </w:p>
    <w:p w:rsidR="00D16FE3" w:rsidRPr="00D16FE3" w:rsidRDefault="00D16FE3" w:rsidP="00D16FE3">
      <w:pPr>
        <w:pStyle w:val="ACMACorporateAddresses"/>
        <w:sectPr w:rsidR="00D16FE3" w:rsidRPr="00D16FE3">
          <w:headerReference w:type="even" r:id="rId22"/>
          <w:headerReference w:type="default" r:id="rId23"/>
          <w:footerReference w:type="even" r:id="rId24"/>
          <w:footerReference w:type="default" r:id="rId25"/>
          <w:pgSz w:w="11906" w:h="16838" w:code="9"/>
          <w:pgMar w:top="3924" w:right="1797" w:bottom="697" w:left="1134" w:header="709" w:footer="119" w:gutter="0"/>
          <w:cols w:space="708"/>
          <w:docGrid w:linePitch="360"/>
        </w:sectPr>
      </w:pPr>
    </w:p>
    <w:p w:rsidR="00E00075" w:rsidRDefault="00E00075" w:rsidP="00E00075">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"1-3" \h \z \t "ACMA_ExecSummaryHeading,1" </w:instrText>
      </w:r>
      <w:r>
        <w:rPr>
          <w:rFonts w:cs="Arial"/>
        </w:rPr>
        <w:fldChar w:fldCharType="separate"/>
      </w:r>
      <w:hyperlink w:anchor="_Toc474494244" w:history="1">
        <w:r w:rsidRPr="006231DD">
          <w:rPr>
            <w:rStyle w:val="Hyperlink"/>
          </w:rPr>
          <w:t>Introduction</w:t>
        </w:r>
        <w:r>
          <w:rPr>
            <w:webHidden/>
          </w:rPr>
          <w:tab/>
        </w:r>
        <w:r>
          <w:rPr>
            <w:webHidden/>
          </w:rPr>
          <w:fldChar w:fldCharType="begin"/>
        </w:r>
        <w:r>
          <w:rPr>
            <w:webHidden/>
          </w:rPr>
          <w:instrText xml:space="preserve"> PAGEREF _Toc474494244 \h </w:instrText>
        </w:r>
        <w:r>
          <w:rPr>
            <w:webHidden/>
          </w:rPr>
        </w:r>
        <w:r>
          <w:rPr>
            <w:webHidden/>
          </w:rPr>
          <w:fldChar w:fldCharType="separate"/>
        </w:r>
        <w:r w:rsidR="00B54469">
          <w:rPr>
            <w:webHidden/>
          </w:rPr>
          <w:t>1</w:t>
        </w:r>
        <w:r>
          <w:rPr>
            <w:webHidden/>
          </w:rPr>
          <w:fldChar w:fldCharType="end"/>
        </w:r>
      </w:hyperlink>
    </w:p>
    <w:p w:rsidR="00E00075" w:rsidRDefault="00597974">
      <w:pPr>
        <w:pStyle w:val="TOC1"/>
        <w:rPr>
          <w:rFonts w:asciiTheme="minorHAnsi" w:eastAsiaTheme="minorEastAsia" w:hAnsiTheme="minorHAnsi" w:cstheme="minorBidi"/>
          <w:b w:val="0"/>
          <w:spacing w:val="0"/>
          <w:sz w:val="22"/>
          <w:szCs w:val="22"/>
        </w:rPr>
      </w:pPr>
      <w:hyperlink w:anchor="_Toc474494245" w:history="1">
        <w:r w:rsidR="00E00075" w:rsidRPr="006231DD">
          <w:rPr>
            <w:rStyle w:val="Hyperlink"/>
          </w:rPr>
          <w:t>Developments in the communications sector</w:t>
        </w:r>
        <w:r w:rsidR="00E00075">
          <w:rPr>
            <w:webHidden/>
          </w:rPr>
          <w:tab/>
        </w:r>
        <w:r w:rsidR="00E00075">
          <w:rPr>
            <w:webHidden/>
          </w:rPr>
          <w:fldChar w:fldCharType="begin"/>
        </w:r>
        <w:r w:rsidR="00E00075">
          <w:rPr>
            <w:webHidden/>
          </w:rPr>
          <w:instrText xml:space="preserve"> PAGEREF _Toc474494245 \h </w:instrText>
        </w:r>
        <w:r w:rsidR="00E00075">
          <w:rPr>
            <w:webHidden/>
          </w:rPr>
        </w:r>
        <w:r w:rsidR="00E00075">
          <w:rPr>
            <w:webHidden/>
          </w:rPr>
          <w:fldChar w:fldCharType="separate"/>
        </w:r>
        <w:r w:rsidR="00B54469">
          <w:rPr>
            <w:webHidden/>
          </w:rPr>
          <w:t>2</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46" w:history="1">
        <w:r w:rsidR="00E00075" w:rsidRPr="006231DD">
          <w:rPr>
            <w:rStyle w:val="Hyperlink"/>
          </w:rPr>
          <w:t>Trends in the use of fixed and mobile services</w:t>
        </w:r>
        <w:r w:rsidR="00E00075">
          <w:rPr>
            <w:webHidden/>
          </w:rPr>
          <w:tab/>
        </w:r>
        <w:r w:rsidR="00E00075">
          <w:rPr>
            <w:webHidden/>
          </w:rPr>
          <w:fldChar w:fldCharType="begin"/>
        </w:r>
        <w:r w:rsidR="00E00075">
          <w:rPr>
            <w:webHidden/>
          </w:rPr>
          <w:instrText xml:space="preserve"> PAGEREF _Toc474494246 \h </w:instrText>
        </w:r>
        <w:r w:rsidR="00E00075">
          <w:rPr>
            <w:webHidden/>
          </w:rPr>
        </w:r>
        <w:r w:rsidR="00E00075">
          <w:rPr>
            <w:webHidden/>
          </w:rPr>
          <w:fldChar w:fldCharType="separate"/>
        </w:r>
        <w:r w:rsidR="00B54469">
          <w:rPr>
            <w:webHidden/>
          </w:rPr>
          <w:t>2</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47" w:history="1">
        <w:r w:rsidR="00E00075" w:rsidRPr="006231DD">
          <w:rPr>
            <w:rStyle w:val="Hyperlink"/>
          </w:rPr>
          <w:t>Trends in payphones</w:t>
        </w:r>
        <w:r w:rsidR="00E00075">
          <w:rPr>
            <w:webHidden/>
          </w:rPr>
          <w:tab/>
        </w:r>
        <w:r w:rsidR="00E00075">
          <w:rPr>
            <w:webHidden/>
          </w:rPr>
          <w:fldChar w:fldCharType="begin"/>
        </w:r>
        <w:r w:rsidR="00E00075">
          <w:rPr>
            <w:webHidden/>
          </w:rPr>
          <w:instrText xml:space="preserve"> PAGEREF _Toc474494247 \h </w:instrText>
        </w:r>
        <w:r w:rsidR="00E00075">
          <w:rPr>
            <w:webHidden/>
          </w:rPr>
        </w:r>
        <w:r w:rsidR="00E00075">
          <w:rPr>
            <w:webHidden/>
          </w:rPr>
          <w:fldChar w:fldCharType="separate"/>
        </w:r>
        <w:r w:rsidR="00B54469">
          <w:rPr>
            <w:webHidden/>
          </w:rPr>
          <w:t>3</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48" w:history="1">
        <w:r w:rsidR="00E00075" w:rsidRPr="006231DD">
          <w:rPr>
            <w:rStyle w:val="Hyperlink"/>
          </w:rPr>
          <w:t>Satisfaction with communications services</w:t>
        </w:r>
        <w:r w:rsidR="00E00075">
          <w:rPr>
            <w:webHidden/>
          </w:rPr>
          <w:tab/>
        </w:r>
        <w:r w:rsidR="00E00075">
          <w:rPr>
            <w:webHidden/>
          </w:rPr>
          <w:fldChar w:fldCharType="begin"/>
        </w:r>
        <w:r w:rsidR="00E00075">
          <w:rPr>
            <w:webHidden/>
          </w:rPr>
          <w:instrText xml:space="preserve"> PAGEREF _Toc474494248 \h </w:instrText>
        </w:r>
        <w:r w:rsidR="00E00075">
          <w:rPr>
            <w:webHidden/>
          </w:rPr>
        </w:r>
        <w:r w:rsidR="00E00075">
          <w:rPr>
            <w:webHidden/>
          </w:rPr>
          <w:fldChar w:fldCharType="separate"/>
        </w:r>
        <w:r w:rsidR="00B54469">
          <w:rPr>
            <w:webHidden/>
          </w:rPr>
          <w:t>4</w:t>
        </w:r>
        <w:r w:rsidR="00E00075">
          <w:rPr>
            <w:webHidden/>
          </w:rPr>
          <w:fldChar w:fldCharType="end"/>
        </w:r>
      </w:hyperlink>
    </w:p>
    <w:p w:rsidR="00E00075" w:rsidRDefault="00597974" w:rsidP="00E00075">
      <w:pPr>
        <w:pStyle w:val="TOC1"/>
        <w:rPr>
          <w:rFonts w:asciiTheme="minorHAnsi" w:eastAsiaTheme="minorEastAsia" w:hAnsiTheme="minorHAnsi" w:cstheme="minorBidi"/>
          <w:b w:val="0"/>
          <w:spacing w:val="0"/>
          <w:sz w:val="22"/>
          <w:szCs w:val="22"/>
        </w:rPr>
      </w:pPr>
      <w:hyperlink w:anchor="_Toc474494249" w:history="1">
        <w:r w:rsidR="00E00075" w:rsidRPr="006231DD">
          <w:rPr>
            <w:rStyle w:val="Hyperlink"/>
          </w:rPr>
          <w:t>Modernised universal service framework—key considerations</w:t>
        </w:r>
        <w:r w:rsidR="00E00075">
          <w:rPr>
            <w:webHidden/>
          </w:rPr>
          <w:tab/>
        </w:r>
        <w:r w:rsidR="00E00075">
          <w:rPr>
            <w:webHidden/>
          </w:rPr>
          <w:fldChar w:fldCharType="begin"/>
        </w:r>
        <w:r w:rsidR="00E00075">
          <w:rPr>
            <w:webHidden/>
          </w:rPr>
          <w:instrText xml:space="preserve"> PAGEREF _Toc474494249 \h </w:instrText>
        </w:r>
        <w:r w:rsidR="00E00075">
          <w:rPr>
            <w:webHidden/>
          </w:rPr>
        </w:r>
        <w:r w:rsidR="00E00075">
          <w:rPr>
            <w:webHidden/>
          </w:rPr>
          <w:fldChar w:fldCharType="separate"/>
        </w:r>
        <w:r w:rsidR="00B54469">
          <w:rPr>
            <w:webHidden/>
          </w:rPr>
          <w:t>6</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0" w:history="1">
        <w:r w:rsidR="00E00075" w:rsidRPr="006231DD">
          <w:rPr>
            <w:rStyle w:val="Hyperlink"/>
          </w:rPr>
          <w:t>NBN satellite services</w:t>
        </w:r>
        <w:r w:rsidR="00E00075">
          <w:rPr>
            <w:webHidden/>
          </w:rPr>
          <w:tab/>
        </w:r>
        <w:r w:rsidR="00E00075">
          <w:rPr>
            <w:webHidden/>
          </w:rPr>
          <w:fldChar w:fldCharType="begin"/>
        </w:r>
        <w:r w:rsidR="00E00075">
          <w:rPr>
            <w:webHidden/>
          </w:rPr>
          <w:instrText xml:space="preserve"> PAGEREF _Toc474494250 \h </w:instrText>
        </w:r>
        <w:r w:rsidR="00E00075">
          <w:rPr>
            <w:webHidden/>
          </w:rPr>
        </w:r>
        <w:r w:rsidR="00E00075">
          <w:rPr>
            <w:webHidden/>
          </w:rPr>
          <w:fldChar w:fldCharType="separate"/>
        </w:r>
        <w:r w:rsidR="00B54469">
          <w:rPr>
            <w:webHidden/>
          </w:rPr>
          <w:t>7</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1" w:history="1">
        <w:r w:rsidR="00E00075" w:rsidRPr="006231DD">
          <w:rPr>
            <w:rStyle w:val="Hyperlink"/>
          </w:rPr>
          <w:t>Potential role for the ACMA in designing tender arrangements</w:t>
        </w:r>
        <w:r w:rsidR="00E00075">
          <w:rPr>
            <w:webHidden/>
          </w:rPr>
          <w:tab/>
        </w:r>
        <w:r w:rsidR="00E00075">
          <w:rPr>
            <w:webHidden/>
          </w:rPr>
          <w:fldChar w:fldCharType="begin"/>
        </w:r>
        <w:r w:rsidR="00E00075">
          <w:rPr>
            <w:webHidden/>
          </w:rPr>
          <w:instrText xml:space="preserve"> PAGEREF _Toc474494251 \h </w:instrText>
        </w:r>
        <w:r w:rsidR="00E00075">
          <w:rPr>
            <w:webHidden/>
          </w:rPr>
        </w:r>
        <w:r w:rsidR="00E00075">
          <w:rPr>
            <w:webHidden/>
          </w:rPr>
          <w:fldChar w:fldCharType="separate"/>
        </w:r>
        <w:r w:rsidR="00B54469">
          <w:rPr>
            <w:webHidden/>
          </w:rPr>
          <w:t>8</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2" w:history="1">
        <w:r w:rsidR="00E00075" w:rsidRPr="006231DD">
          <w:rPr>
            <w:rStyle w:val="Hyperlink"/>
          </w:rPr>
          <w:t>Retail provider of last resort</w:t>
        </w:r>
        <w:r w:rsidR="00E00075">
          <w:rPr>
            <w:webHidden/>
          </w:rPr>
          <w:tab/>
        </w:r>
        <w:r w:rsidR="00E00075">
          <w:rPr>
            <w:webHidden/>
          </w:rPr>
          <w:fldChar w:fldCharType="begin"/>
        </w:r>
        <w:r w:rsidR="00E00075">
          <w:rPr>
            <w:webHidden/>
          </w:rPr>
          <w:instrText xml:space="preserve"> PAGEREF _Toc474494252 \h </w:instrText>
        </w:r>
        <w:r w:rsidR="00E00075">
          <w:rPr>
            <w:webHidden/>
          </w:rPr>
        </w:r>
        <w:r w:rsidR="00E00075">
          <w:rPr>
            <w:webHidden/>
          </w:rPr>
          <w:fldChar w:fldCharType="separate"/>
        </w:r>
        <w:r w:rsidR="00B54469">
          <w:rPr>
            <w:webHidden/>
          </w:rPr>
          <w:t>8</w:t>
        </w:r>
        <w:r w:rsidR="00E00075">
          <w:rPr>
            <w:webHidden/>
          </w:rPr>
          <w:fldChar w:fldCharType="end"/>
        </w:r>
      </w:hyperlink>
    </w:p>
    <w:p w:rsidR="00E00075" w:rsidRDefault="00597974" w:rsidP="00E00075">
      <w:pPr>
        <w:pStyle w:val="TOC1"/>
        <w:rPr>
          <w:rFonts w:asciiTheme="minorHAnsi" w:eastAsiaTheme="minorEastAsia" w:hAnsiTheme="minorHAnsi" w:cstheme="minorBidi"/>
          <w:b w:val="0"/>
          <w:spacing w:val="0"/>
          <w:sz w:val="22"/>
          <w:szCs w:val="22"/>
        </w:rPr>
      </w:pPr>
      <w:hyperlink w:anchor="_Toc474494253" w:history="1">
        <w:r w:rsidR="00E00075" w:rsidRPr="006231DD">
          <w:rPr>
            <w:rStyle w:val="Hyperlink"/>
          </w:rPr>
          <w:t>Transitional issues</w:t>
        </w:r>
        <w:r w:rsidR="00E00075">
          <w:rPr>
            <w:webHidden/>
          </w:rPr>
          <w:tab/>
        </w:r>
        <w:r w:rsidR="00E00075">
          <w:rPr>
            <w:webHidden/>
          </w:rPr>
          <w:fldChar w:fldCharType="begin"/>
        </w:r>
        <w:r w:rsidR="00E00075">
          <w:rPr>
            <w:webHidden/>
          </w:rPr>
          <w:instrText xml:space="preserve"> PAGEREF _Toc474494253 \h </w:instrText>
        </w:r>
        <w:r w:rsidR="00E00075">
          <w:rPr>
            <w:webHidden/>
          </w:rPr>
        </w:r>
        <w:r w:rsidR="00E00075">
          <w:rPr>
            <w:webHidden/>
          </w:rPr>
          <w:fldChar w:fldCharType="separate"/>
        </w:r>
        <w:r w:rsidR="00B54469">
          <w:rPr>
            <w:webHidden/>
          </w:rPr>
          <w:t>10</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4" w:history="1">
        <w:r w:rsidR="00E00075" w:rsidRPr="006231DD">
          <w:rPr>
            <w:rStyle w:val="Hyperlink"/>
          </w:rPr>
          <w:t>Overview of transitional considerations</w:t>
        </w:r>
        <w:r w:rsidR="00E00075">
          <w:rPr>
            <w:webHidden/>
          </w:rPr>
          <w:tab/>
        </w:r>
        <w:r w:rsidR="00E00075">
          <w:rPr>
            <w:webHidden/>
          </w:rPr>
          <w:fldChar w:fldCharType="begin"/>
        </w:r>
        <w:r w:rsidR="00E00075">
          <w:rPr>
            <w:webHidden/>
          </w:rPr>
          <w:instrText xml:space="preserve"> PAGEREF _Toc474494254 \h </w:instrText>
        </w:r>
        <w:r w:rsidR="00E00075">
          <w:rPr>
            <w:webHidden/>
          </w:rPr>
        </w:r>
        <w:r w:rsidR="00E00075">
          <w:rPr>
            <w:webHidden/>
          </w:rPr>
          <w:fldChar w:fldCharType="separate"/>
        </w:r>
        <w:r w:rsidR="00B54469">
          <w:rPr>
            <w:webHidden/>
          </w:rPr>
          <w:t>10</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5" w:history="1">
        <w:r w:rsidR="00E00075" w:rsidRPr="006231DD">
          <w:rPr>
            <w:rStyle w:val="Hyperlink"/>
          </w:rPr>
          <w:t>Timeframe for transition</w:t>
        </w:r>
        <w:r w:rsidR="00E00075">
          <w:rPr>
            <w:webHidden/>
          </w:rPr>
          <w:tab/>
        </w:r>
        <w:r w:rsidR="00E00075">
          <w:rPr>
            <w:webHidden/>
          </w:rPr>
          <w:fldChar w:fldCharType="begin"/>
        </w:r>
        <w:r w:rsidR="00E00075">
          <w:rPr>
            <w:webHidden/>
          </w:rPr>
          <w:instrText xml:space="preserve"> PAGEREF _Toc474494255 \h </w:instrText>
        </w:r>
        <w:r w:rsidR="00E00075">
          <w:rPr>
            <w:webHidden/>
          </w:rPr>
        </w:r>
        <w:r w:rsidR="00E00075">
          <w:rPr>
            <w:webHidden/>
          </w:rPr>
          <w:fldChar w:fldCharType="separate"/>
        </w:r>
        <w:r w:rsidR="00B54469">
          <w:rPr>
            <w:webHidden/>
          </w:rPr>
          <w:t>10</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56" w:history="1">
        <w:r w:rsidR="00E00075" w:rsidRPr="006231DD">
          <w:rPr>
            <w:rStyle w:val="Hyperlink"/>
          </w:rPr>
          <w:t>Phasing out the STS USO</w:t>
        </w:r>
        <w:r w:rsidR="00E00075">
          <w:rPr>
            <w:webHidden/>
          </w:rPr>
          <w:tab/>
        </w:r>
        <w:r w:rsidR="00E00075">
          <w:rPr>
            <w:webHidden/>
          </w:rPr>
          <w:fldChar w:fldCharType="begin"/>
        </w:r>
        <w:r w:rsidR="00E00075">
          <w:rPr>
            <w:webHidden/>
          </w:rPr>
          <w:instrText xml:space="preserve"> PAGEREF _Toc474494256 \h </w:instrText>
        </w:r>
        <w:r w:rsidR="00E00075">
          <w:rPr>
            <w:webHidden/>
          </w:rPr>
        </w:r>
        <w:r w:rsidR="00E00075">
          <w:rPr>
            <w:webHidden/>
          </w:rPr>
          <w:fldChar w:fldCharType="separate"/>
        </w:r>
        <w:r w:rsidR="00B54469">
          <w:rPr>
            <w:webHidden/>
          </w:rPr>
          <w:t>11</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62" w:history="1">
        <w:r w:rsidR="00E00075" w:rsidRPr="006231DD">
          <w:rPr>
            <w:rStyle w:val="Hyperlink"/>
          </w:rPr>
          <w:t>Phasing out the payphone USO</w:t>
        </w:r>
        <w:r w:rsidR="00E00075">
          <w:rPr>
            <w:webHidden/>
          </w:rPr>
          <w:tab/>
        </w:r>
        <w:r w:rsidR="00E00075">
          <w:rPr>
            <w:webHidden/>
          </w:rPr>
          <w:fldChar w:fldCharType="begin"/>
        </w:r>
        <w:r w:rsidR="00E00075">
          <w:rPr>
            <w:webHidden/>
          </w:rPr>
          <w:instrText xml:space="preserve"> PAGEREF _Toc474494262 \h </w:instrText>
        </w:r>
        <w:r w:rsidR="00E00075">
          <w:rPr>
            <w:webHidden/>
          </w:rPr>
        </w:r>
        <w:r w:rsidR="00E00075">
          <w:rPr>
            <w:webHidden/>
          </w:rPr>
          <w:fldChar w:fldCharType="separate"/>
        </w:r>
        <w:r w:rsidR="00B54469">
          <w:rPr>
            <w:webHidden/>
          </w:rPr>
          <w:t>13</w:t>
        </w:r>
        <w:r w:rsidR="00E00075">
          <w:rPr>
            <w:webHidden/>
          </w:rPr>
          <w:fldChar w:fldCharType="end"/>
        </w:r>
      </w:hyperlink>
    </w:p>
    <w:p w:rsidR="00E00075" w:rsidRDefault="00597974" w:rsidP="00E00075">
      <w:pPr>
        <w:pStyle w:val="TOC1"/>
        <w:rPr>
          <w:rFonts w:asciiTheme="minorHAnsi" w:eastAsiaTheme="minorEastAsia" w:hAnsiTheme="minorHAnsi" w:cstheme="minorBidi"/>
          <w:b w:val="0"/>
          <w:spacing w:val="0"/>
          <w:sz w:val="22"/>
          <w:szCs w:val="22"/>
        </w:rPr>
      </w:pPr>
      <w:hyperlink w:anchor="_Toc474494266" w:history="1">
        <w:r w:rsidR="00E00075" w:rsidRPr="006231DD">
          <w:rPr>
            <w:rStyle w:val="Hyperlink"/>
          </w:rPr>
          <w:t>Consumer safeguards—key considerations</w:t>
        </w:r>
        <w:r w:rsidR="00E00075">
          <w:rPr>
            <w:webHidden/>
          </w:rPr>
          <w:tab/>
        </w:r>
        <w:r w:rsidR="00E00075">
          <w:rPr>
            <w:webHidden/>
          </w:rPr>
          <w:fldChar w:fldCharType="begin"/>
        </w:r>
        <w:r w:rsidR="00E00075">
          <w:rPr>
            <w:webHidden/>
          </w:rPr>
          <w:instrText xml:space="preserve"> PAGEREF _Toc474494266 \h </w:instrText>
        </w:r>
        <w:r w:rsidR="00E00075">
          <w:rPr>
            <w:webHidden/>
          </w:rPr>
        </w:r>
        <w:r w:rsidR="00E00075">
          <w:rPr>
            <w:webHidden/>
          </w:rPr>
          <w:fldChar w:fldCharType="separate"/>
        </w:r>
        <w:r w:rsidR="00B54469">
          <w:rPr>
            <w:webHidden/>
          </w:rPr>
          <w:t>15</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67" w:history="1">
        <w:r w:rsidR="00E00075" w:rsidRPr="006231DD">
          <w:rPr>
            <w:rStyle w:val="Hyperlink"/>
          </w:rPr>
          <w:t>Telecommunications consumer safeguards objectives</w:t>
        </w:r>
        <w:r w:rsidR="00E00075">
          <w:rPr>
            <w:webHidden/>
          </w:rPr>
          <w:tab/>
        </w:r>
        <w:r w:rsidR="00E00075">
          <w:rPr>
            <w:webHidden/>
          </w:rPr>
          <w:fldChar w:fldCharType="begin"/>
        </w:r>
        <w:r w:rsidR="00E00075">
          <w:rPr>
            <w:webHidden/>
          </w:rPr>
          <w:instrText xml:space="preserve"> PAGEREF _Toc474494267 \h </w:instrText>
        </w:r>
        <w:r w:rsidR="00E00075">
          <w:rPr>
            <w:webHidden/>
          </w:rPr>
        </w:r>
        <w:r w:rsidR="00E00075">
          <w:rPr>
            <w:webHidden/>
          </w:rPr>
          <w:fldChar w:fldCharType="separate"/>
        </w:r>
        <w:r w:rsidR="00B54469">
          <w:rPr>
            <w:webHidden/>
          </w:rPr>
          <w:t>15</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68" w:history="1">
        <w:r w:rsidR="00E00075" w:rsidRPr="006231DD">
          <w:rPr>
            <w:rStyle w:val="Hyperlink"/>
          </w:rPr>
          <w:t>Availability, accessability and affordability</w:t>
        </w:r>
        <w:r w:rsidR="00E00075">
          <w:rPr>
            <w:webHidden/>
          </w:rPr>
          <w:tab/>
        </w:r>
        <w:r w:rsidR="00E00075">
          <w:rPr>
            <w:webHidden/>
          </w:rPr>
          <w:fldChar w:fldCharType="begin"/>
        </w:r>
        <w:r w:rsidR="00E00075">
          <w:rPr>
            <w:webHidden/>
          </w:rPr>
          <w:instrText xml:space="preserve"> PAGEREF _Toc474494268 \h </w:instrText>
        </w:r>
        <w:r w:rsidR="00E00075">
          <w:rPr>
            <w:webHidden/>
          </w:rPr>
        </w:r>
        <w:r w:rsidR="00E00075">
          <w:rPr>
            <w:webHidden/>
          </w:rPr>
          <w:fldChar w:fldCharType="separate"/>
        </w:r>
        <w:r w:rsidR="00B54469">
          <w:rPr>
            <w:webHidden/>
          </w:rPr>
          <w:t>17</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71" w:history="1">
        <w:r w:rsidR="00E00075" w:rsidRPr="006231DD">
          <w:rPr>
            <w:rStyle w:val="Hyperlink"/>
          </w:rPr>
          <w:t>Effective operation of communication services</w:t>
        </w:r>
        <w:r w:rsidR="00E00075">
          <w:rPr>
            <w:webHidden/>
          </w:rPr>
          <w:tab/>
        </w:r>
        <w:r w:rsidR="00E00075">
          <w:rPr>
            <w:webHidden/>
          </w:rPr>
          <w:fldChar w:fldCharType="begin"/>
        </w:r>
        <w:r w:rsidR="00E00075">
          <w:rPr>
            <w:webHidden/>
          </w:rPr>
          <w:instrText xml:space="preserve"> PAGEREF _Toc474494271 \h </w:instrText>
        </w:r>
        <w:r w:rsidR="00E00075">
          <w:rPr>
            <w:webHidden/>
          </w:rPr>
        </w:r>
        <w:r w:rsidR="00E00075">
          <w:rPr>
            <w:webHidden/>
          </w:rPr>
          <w:fldChar w:fldCharType="separate"/>
        </w:r>
        <w:r w:rsidR="00B54469">
          <w:rPr>
            <w:webHidden/>
          </w:rPr>
          <w:t>18</w:t>
        </w:r>
        <w:r w:rsidR="00E00075">
          <w:rPr>
            <w:webHidden/>
          </w:rPr>
          <w:fldChar w:fldCharType="end"/>
        </w:r>
      </w:hyperlink>
    </w:p>
    <w:p w:rsidR="00E00075" w:rsidRDefault="00597974">
      <w:pPr>
        <w:pStyle w:val="TOC2"/>
        <w:rPr>
          <w:rFonts w:asciiTheme="minorHAnsi" w:eastAsiaTheme="minorEastAsia" w:hAnsiTheme="minorHAnsi" w:cstheme="minorBidi"/>
          <w:spacing w:val="0"/>
          <w:sz w:val="22"/>
          <w:szCs w:val="22"/>
        </w:rPr>
      </w:pPr>
      <w:hyperlink w:anchor="_Toc474494272" w:history="1">
        <w:r w:rsidR="00E00075" w:rsidRPr="006231DD">
          <w:rPr>
            <w:rStyle w:val="Hyperlink"/>
          </w:rPr>
          <w:t>Safety, privacy and security of communication services</w:t>
        </w:r>
        <w:r w:rsidR="00E00075">
          <w:rPr>
            <w:webHidden/>
          </w:rPr>
          <w:tab/>
        </w:r>
        <w:r w:rsidR="00E00075">
          <w:rPr>
            <w:webHidden/>
          </w:rPr>
          <w:fldChar w:fldCharType="begin"/>
        </w:r>
        <w:r w:rsidR="00E00075">
          <w:rPr>
            <w:webHidden/>
          </w:rPr>
          <w:instrText xml:space="preserve"> PAGEREF _Toc474494272 \h </w:instrText>
        </w:r>
        <w:r w:rsidR="00E00075">
          <w:rPr>
            <w:webHidden/>
          </w:rPr>
        </w:r>
        <w:r w:rsidR="00E00075">
          <w:rPr>
            <w:webHidden/>
          </w:rPr>
          <w:fldChar w:fldCharType="separate"/>
        </w:r>
        <w:r w:rsidR="00B54469">
          <w:rPr>
            <w:webHidden/>
          </w:rPr>
          <w:t>19</w:t>
        </w:r>
        <w:r w:rsidR="00E00075">
          <w:rPr>
            <w:webHidden/>
          </w:rPr>
          <w:fldChar w:fldCharType="end"/>
        </w:r>
      </w:hyperlink>
    </w:p>
    <w:p w:rsidR="00E00075" w:rsidRDefault="00597974">
      <w:pPr>
        <w:pStyle w:val="TOC1"/>
        <w:rPr>
          <w:rFonts w:asciiTheme="minorHAnsi" w:eastAsiaTheme="minorEastAsia" w:hAnsiTheme="minorHAnsi" w:cstheme="minorBidi"/>
          <w:b w:val="0"/>
          <w:spacing w:val="0"/>
          <w:sz w:val="22"/>
          <w:szCs w:val="22"/>
        </w:rPr>
      </w:pPr>
      <w:hyperlink w:anchor="_Toc474494273" w:history="1">
        <w:r w:rsidR="00E00075" w:rsidRPr="006231DD">
          <w:rPr>
            <w:rStyle w:val="Hyperlink"/>
          </w:rPr>
          <w:t>Conclusion</w:t>
        </w:r>
        <w:r w:rsidR="00E00075">
          <w:rPr>
            <w:webHidden/>
          </w:rPr>
          <w:tab/>
        </w:r>
        <w:r w:rsidR="00E00075">
          <w:rPr>
            <w:webHidden/>
          </w:rPr>
          <w:fldChar w:fldCharType="begin"/>
        </w:r>
        <w:r w:rsidR="00E00075">
          <w:rPr>
            <w:webHidden/>
          </w:rPr>
          <w:instrText xml:space="preserve"> PAGEREF _Toc474494273 \h </w:instrText>
        </w:r>
        <w:r w:rsidR="00E00075">
          <w:rPr>
            <w:webHidden/>
          </w:rPr>
        </w:r>
        <w:r w:rsidR="00E00075">
          <w:rPr>
            <w:webHidden/>
          </w:rPr>
          <w:fldChar w:fldCharType="separate"/>
        </w:r>
        <w:r w:rsidR="00B54469">
          <w:rPr>
            <w:webHidden/>
          </w:rPr>
          <w:t>20</w:t>
        </w:r>
        <w:r w:rsidR="00E00075">
          <w:rPr>
            <w:webHidden/>
          </w:rPr>
          <w:fldChar w:fldCharType="end"/>
        </w:r>
      </w:hyperlink>
    </w:p>
    <w:p w:rsidR="000A4A51" w:rsidRPr="000D76E0" w:rsidRDefault="00E00075">
      <w:pPr>
        <w:rPr>
          <w:rFonts w:cs="Arial"/>
        </w:rPr>
      </w:pPr>
      <w:r>
        <w:rPr>
          <w:rFonts w:cs="Arial"/>
          <w:noProof/>
          <w:spacing w:val="-14"/>
          <w:sz w:val="28"/>
        </w:rPr>
        <w:fldChar w:fldCharType="end"/>
      </w:r>
    </w:p>
    <w:p w:rsidR="004D56FF" w:rsidRPr="000D76E0" w:rsidRDefault="004D56FF">
      <w:pPr>
        <w:rPr>
          <w:rFonts w:cs="Arial"/>
        </w:rPr>
        <w:sectPr w:rsidR="004D56FF" w:rsidRPr="000D76E0" w:rsidSect="00C77380">
          <w:headerReference w:type="even" r:id="rId26"/>
          <w:headerReference w:type="default" r:id="rId27"/>
          <w:footerReference w:type="even" r:id="rId28"/>
          <w:footerReference w:type="default" r:id="rId29"/>
          <w:footerReference w:type="first" r:id="rId30"/>
          <w:pgSz w:w="11906" w:h="16838" w:code="9"/>
          <w:pgMar w:top="3646" w:right="3101" w:bottom="1134" w:left="1134" w:header="709" w:footer="119" w:gutter="0"/>
          <w:cols w:space="708"/>
          <w:titlePg/>
          <w:docGrid w:linePitch="360"/>
        </w:sectPr>
      </w:pPr>
    </w:p>
    <w:p w:rsidR="009D6C71" w:rsidRPr="009174F3" w:rsidRDefault="004D049B" w:rsidP="004D049B">
      <w:pPr>
        <w:pStyle w:val="Heading1"/>
      </w:pPr>
      <w:bookmarkStart w:id="0" w:name="_Toc474494244"/>
      <w:r>
        <w:lastRenderedPageBreak/>
        <w:t>Introduction</w:t>
      </w:r>
      <w:bookmarkEnd w:id="0"/>
    </w:p>
    <w:p w:rsidR="000379D5" w:rsidRDefault="000379D5" w:rsidP="000379D5">
      <w:pPr>
        <w:rPr>
          <w:rFonts w:ascii="Calibri" w:hAnsi="Calibri"/>
        </w:rPr>
      </w:pPr>
      <w:r>
        <w:t>The Australian Communications and Media Authority (the ACMA) welcomes the opportunity to provide a submission in response to the Productivity Commission’s</w:t>
      </w:r>
      <w:r w:rsidR="00C16426">
        <w:t xml:space="preserve"> (</w:t>
      </w:r>
      <w:r w:rsidR="00637315">
        <w:t xml:space="preserve">the </w:t>
      </w:r>
      <w:r w:rsidR="00C16426">
        <w:t>PC</w:t>
      </w:r>
      <w:r w:rsidR="009A1087">
        <w:t>’s</w:t>
      </w:r>
      <w:r w:rsidR="00C16426">
        <w:t>)</w:t>
      </w:r>
      <w:r>
        <w:t xml:space="preserve"> draft report </w:t>
      </w:r>
      <w:r w:rsidR="006459A7">
        <w:t xml:space="preserve">into </w:t>
      </w:r>
      <w:r>
        <w:t xml:space="preserve">Australia’s Telecommunications Universal Service Obligation (USO). This submission </w:t>
      </w:r>
      <w:r w:rsidR="006B4B27">
        <w:t>builds on</w:t>
      </w:r>
      <w:r w:rsidR="00D90804">
        <w:t xml:space="preserve"> </w:t>
      </w:r>
      <w:hyperlink r:id="rId31" w:history="1">
        <w:r>
          <w:rPr>
            <w:rStyle w:val="Hyperlink"/>
          </w:rPr>
          <w:t>our earlier submission to the issues paper</w:t>
        </w:r>
      </w:hyperlink>
      <w:r>
        <w:t xml:space="preserve"> released by the PC</w:t>
      </w:r>
      <w:r w:rsidR="006459A7">
        <w:t xml:space="preserve"> in June 2016</w:t>
      </w:r>
      <w:r>
        <w:t xml:space="preserve"> to inform this inquiry. </w:t>
      </w:r>
    </w:p>
    <w:p w:rsidR="000379D5" w:rsidRPr="00A92BCD" w:rsidRDefault="000379D5" w:rsidP="000379D5">
      <w:pPr>
        <w:spacing w:after="80"/>
        <w:rPr>
          <w:rFonts w:cs="Arial"/>
        </w:rPr>
      </w:pPr>
      <w:r w:rsidRPr="00A92BCD">
        <w:rPr>
          <w:rFonts w:cs="Arial"/>
        </w:rPr>
        <w:t xml:space="preserve">In this submission, the ACMA does not address every </w:t>
      </w:r>
      <w:r w:rsidR="00C16426">
        <w:rPr>
          <w:rFonts w:cs="Arial"/>
        </w:rPr>
        <w:t xml:space="preserve">finding </w:t>
      </w:r>
      <w:r w:rsidRPr="00A92BCD">
        <w:rPr>
          <w:rFonts w:cs="Arial"/>
        </w:rPr>
        <w:t xml:space="preserve">or recommendation in the PC’s draft report. However, it seeks to assist </w:t>
      </w:r>
      <w:r w:rsidR="00346B86">
        <w:rPr>
          <w:rFonts w:cs="Arial"/>
        </w:rPr>
        <w:t xml:space="preserve">the </w:t>
      </w:r>
      <w:r w:rsidRPr="00A92BCD">
        <w:rPr>
          <w:rFonts w:cs="Arial"/>
        </w:rPr>
        <w:t>PC’s considerations to finalise its report by</w:t>
      </w:r>
      <w:r w:rsidR="001340BA">
        <w:rPr>
          <w:rFonts w:cs="Arial"/>
        </w:rPr>
        <w:t xml:space="preserve"> providing</w:t>
      </w:r>
      <w:r w:rsidRPr="00A92BCD">
        <w:rPr>
          <w:rFonts w:cs="Arial"/>
        </w:rPr>
        <w:t xml:space="preserve">: </w:t>
      </w:r>
    </w:p>
    <w:p w:rsidR="000379D5" w:rsidRPr="00A92BCD" w:rsidRDefault="003C2567" w:rsidP="00645628">
      <w:pPr>
        <w:pStyle w:val="ListBullet"/>
        <w:numPr>
          <w:ilvl w:val="0"/>
          <w:numId w:val="13"/>
        </w:numPr>
        <w:rPr>
          <w:rFonts w:cs="Arial"/>
          <w:szCs w:val="20"/>
        </w:rPr>
      </w:pPr>
      <w:r>
        <w:rPr>
          <w:rFonts w:cs="Arial"/>
          <w:szCs w:val="20"/>
        </w:rPr>
        <w:t>r</w:t>
      </w:r>
      <w:r w:rsidR="00A5385F">
        <w:rPr>
          <w:rFonts w:cs="Arial"/>
          <w:szCs w:val="20"/>
        </w:rPr>
        <w:t>elevant</w:t>
      </w:r>
      <w:r>
        <w:rPr>
          <w:rFonts w:cs="Arial"/>
          <w:szCs w:val="20"/>
        </w:rPr>
        <w:t xml:space="preserve"> </w:t>
      </w:r>
      <w:r w:rsidR="000379D5" w:rsidRPr="00A92BCD">
        <w:rPr>
          <w:rFonts w:cs="Arial"/>
          <w:szCs w:val="20"/>
        </w:rPr>
        <w:t xml:space="preserve">research </w:t>
      </w:r>
      <w:r w:rsidR="00C16426">
        <w:rPr>
          <w:rFonts w:cs="Arial"/>
          <w:szCs w:val="20"/>
        </w:rPr>
        <w:t xml:space="preserve">published </w:t>
      </w:r>
      <w:r w:rsidR="000379D5" w:rsidRPr="00A92BCD">
        <w:rPr>
          <w:rFonts w:cs="Arial"/>
          <w:szCs w:val="20"/>
        </w:rPr>
        <w:t>since the</w:t>
      </w:r>
      <w:r w:rsidR="00C16426">
        <w:rPr>
          <w:rFonts w:cs="Arial"/>
          <w:szCs w:val="20"/>
        </w:rPr>
        <w:t xml:space="preserve"> ACMA’s submission to the issues paper</w:t>
      </w:r>
    </w:p>
    <w:p w:rsidR="000379D5" w:rsidRPr="00A92BCD" w:rsidRDefault="000379D5" w:rsidP="00645628">
      <w:pPr>
        <w:pStyle w:val="ListBullet"/>
        <w:numPr>
          <w:ilvl w:val="0"/>
          <w:numId w:val="13"/>
        </w:numPr>
        <w:rPr>
          <w:rFonts w:cs="Arial"/>
          <w:szCs w:val="20"/>
        </w:rPr>
      </w:pPr>
      <w:r w:rsidRPr="00A92BCD">
        <w:rPr>
          <w:rFonts w:cs="Arial"/>
          <w:szCs w:val="20"/>
        </w:rPr>
        <w:t xml:space="preserve">observations on the </w:t>
      </w:r>
      <w:r w:rsidR="00E15661">
        <w:rPr>
          <w:rFonts w:cs="Arial"/>
          <w:szCs w:val="20"/>
        </w:rPr>
        <w:t xml:space="preserve">proposed </w:t>
      </w:r>
      <w:r w:rsidRPr="00A92BCD">
        <w:rPr>
          <w:rFonts w:cs="Arial"/>
          <w:szCs w:val="20"/>
        </w:rPr>
        <w:t>universal service framework outlined in the draft report</w:t>
      </w:r>
      <w:r w:rsidR="007373CE">
        <w:rPr>
          <w:rFonts w:cs="Arial"/>
          <w:szCs w:val="20"/>
        </w:rPr>
        <w:t>,</w:t>
      </w:r>
      <w:r w:rsidRPr="00A92BCD">
        <w:rPr>
          <w:rFonts w:cs="Arial"/>
          <w:szCs w:val="20"/>
        </w:rPr>
        <w:t xml:space="preserve"> with a focus on recommendations that </w:t>
      </w:r>
      <w:r w:rsidR="00BB0F9B">
        <w:rPr>
          <w:rFonts w:cs="Arial"/>
          <w:szCs w:val="20"/>
        </w:rPr>
        <w:t xml:space="preserve">specify </w:t>
      </w:r>
      <w:r w:rsidRPr="00A92BCD">
        <w:rPr>
          <w:rFonts w:cs="Arial"/>
          <w:szCs w:val="20"/>
        </w:rPr>
        <w:t>a</w:t>
      </w:r>
      <w:r w:rsidR="007C53BB">
        <w:rPr>
          <w:rFonts w:cs="Arial"/>
          <w:szCs w:val="20"/>
        </w:rPr>
        <w:t xml:space="preserve"> </w:t>
      </w:r>
      <w:r w:rsidRPr="00A92BCD">
        <w:rPr>
          <w:rFonts w:cs="Arial"/>
          <w:szCs w:val="20"/>
        </w:rPr>
        <w:t>role for the ACMA</w:t>
      </w:r>
    </w:p>
    <w:p w:rsidR="000379D5" w:rsidRPr="00A92BCD" w:rsidRDefault="001340BA" w:rsidP="00645628">
      <w:pPr>
        <w:pStyle w:val="ListBullet"/>
        <w:numPr>
          <w:ilvl w:val="0"/>
          <w:numId w:val="13"/>
        </w:numPr>
        <w:rPr>
          <w:rFonts w:cs="Arial"/>
          <w:szCs w:val="20"/>
        </w:rPr>
      </w:pPr>
      <w:r>
        <w:rPr>
          <w:rFonts w:cs="Arial"/>
          <w:szCs w:val="20"/>
        </w:rPr>
        <w:t>p</w:t>
      </w:r>
      <w:r w:rsidR="000379D5" w:rsidRPr="00A92BCD">
        <w:rPr>
          <w:rFonts w:cs="Arial"/>
          <w:szCs w:val="20"/>
        </w:rPr>
        <w:t xml:space="preserve">otential transitional </w:t>
      </w:r>
      <w:r w:rsidR="00C16426">
        <w:rPr>
          <w:rFonts w:cs="Arial"/>
          <w:szCs w:val="20"/>
        </w:rPr>
        <w:t xml:space="preserve">issues </w:t>
      </w:r>
      <w:r w:rsidR="000379D5" w:rsidRPr="00A92BCD">
        <w:rPr>
          <w:rFonts w:cs="Arial"/>
          <w:szCs w:val="20"/>
        </w:rPr>
        <w:t xml:space="preserve">in response to </w:t>
      </w:r>
      <w:r w:rsidR="00891E61">
        <w:rPr>
          <w:rFonts w:cs="Arial"/>
          <w:szCs w:val="20"/>
        </w:rPr>
        <w:t xml:space="preserve">the </w:t>
      </w:r>
      <w:r w:rsidR="000379D5" w:rsidRPr="00A92BCD">
        <w:rPr>
          <w:rFonts w:cs="Arial"/>
          <w:szCs w:val="20"/>
        </w:rPr>
        <w:t>PC’s recommendations to abolish the existing USO</w:t>
      </w:r>
      <w:r w:rsidR="00C16426">
        <w:rPr>
          <w:rFonts w:cs="Arial"/>
          <w:szCs w:val="20"/>
        </w:rPr>
        <w:t xml:space="preserve"> contractual</w:t>
      </w:r>
      <w:r w:rsidR="000379D5" w:rsidRPr="00A92BCD">
        <w:rPr>
          <w:rFonts w:cs="Arial"/>
          <w:szCs w:val="20"/>
        </w:rPr>
        <w:t xml:space="preserve"> arrangements</w:t>
      </w:r>
    </w:p>
    <w:p w:rsidR="000379D5" w:rsidRDefault="001340BA" w:rsidP="008333E3">
      <w:pPr>
        <w:pStyle w:val="ListBullet"/>
        <w:numPr>
          <w:ilvl w:val="0"/>
          <w:numId w:val="13"/>
        </w:numPr>
        <w:spacing w:after="240"/>
        <w:rPr>
          <w:rFonts w:cs="Arial"/>
          <w:szCs w:val="20"/>
        </w:rPr>
      </w:pPr>
      <w:r>
        <w:rPr>
          <w:rFonts w:cs="Arial"/>
          <w:szCs w:val="20"/>
        </w:rPr>
        <w:t>c</w:t>
      </w:r>
      <w:r w:rsidR="000379D5" w:rsidRPr="00A92BCD">
        <w:rPr>
          <w:rFonts w:cs="Arial"/>
          <w:szCs w:val="20"/>
        </w:rPr>
        <w:t xml:space="preserve">onsiderations about the relationship between </w:t>
      </w:r>
      <w:r w:rsidR="00A558D7">
        <w:rPr>
          <w:rFonts w:cs="Arial"/>
          <w:szCs w:val="20"/>
        </w:rPr>
        <w:t xml:space="preserve">the </w:t>
      </w:r>
      <w:r w:rsidR="0075047F">
        <w:rPr>
          <w:rFonts w:cs="Arial"/>
          <w:szCs w:val="20"/>
        </w:rPr>
        <w:t>PC’s</w:t>
      </w:r>
      <w:r w:rsidR="002C40EE">
        <w:rPr>
          <w:rFonts w:cs="Arial"/>
          <w:szCs w:val="20"/>
        </w:rPr>
        <w:t xml:space="preserve"> proposed </w:t>
      </w:r>
      <w:r w:rsidR="0075047F">
        <w:rPr>
          <w:rFonts w:cs="Arial"/>
          <w:szCs w:val="20"/>
        </w:rPr>
        <w:t xml:space="preserve">universal service </w:t>
      </w:r>
      <w:r w:rsidR="000379D5" w:rsidRPr="00A92BCD">
        <w:rPr>
          <w:rFonts w:cs="Arial"/>
          <w:szCs w:val="20"/>
        </w:rPr>
        <w:t xml:space="preserve">framework and the broader </w:t>
      </w:r>
      <w:r w:rsidR="002C40EE">
        <w:rPr>
          <w:rFonts w:cs="Arial"/>
          <w:szCs w:val="20"/>
        </w:rPr>
        <w:t xml:space="preserve">telecommunications </w:t>
      </w:r>
      <w:r w:rsidR="000379D5" w:rsidRPr="00A92BCD">
        <w:rPr>
          <w:rFonts w:cs="Arial"/>
          <w:szCs w:val="20"/>
        </w:rPr>
        <w:t xml:space="preserve">consumer safeguards framework. </w:t>
      </w:r>
    </w:p>
    <w:p w:rsidR="00715722" w:rsidRDefault="004D049B" w:rsidP="00715722">
      <w:pPr>
        <w:pStyle w:val="Heading1"/>
      </w:pPr>
      <w:bookmarkStart w:id="1" w:name="_Toc474494245"/>
      <w:r>
        <w:lastRenderedPageBreak/>
        <w:t>Developments in the communications sector</w:t>
      </w:r>
      <w:bookmarkEnd w:id="1"/>
    </w:p>
    <w:p w:rsidR="008D159B" w:rsidRDefault="008D159B" w:rsidP="008D159B">
      <w:r w:rsidRPr="00B91BCE">
        <w:t>In our submission in response to</w:t>
      </w:r>
      <w:r>
        <w:t xml:space="preserve"> the</w:t>
      </w:r>
      <w:r w:rsidRPr="00B91BCE">
        <w:t xml:space="preserve"> issues paper, the ACMA </w:t>
      </w:r>
      <w:r>
        <w:t xml:space="preserve">provided a range of data and research to inform </w:t>
      </w:r>
      <w:r w:rsidR="00A558D7">
        <w:t xml:space="preserve">the </w:t>
      </w:r>
      <w:r>
        <w:t xml:space="preserve">PC’s considerations. Since </w:t>
      </w:r>
      <w:r w:rsidR="00637315">
        <w:t>then</w:t>
      </w:r>
      <w:r>
        <w:t xml:space="preserve">, the ACMA has published a number of </w:t>
      </w:r>
      <w:r w:rsidR="00EF45D5">
        <w:t xml:space="preserve">new </w:t>
      </w:r>
      <w:r>
        <w:t xml:space="preserve">research reports that have relevance to this inquiry. </w:t>
      </w:r>
    </w:p>
    <w:p w:rsidR="008D159B" w:rsidRDefault="008D159B" w:rsidP="008D159B">
      <w:pPr>
        <w:rPr>
          <w:b/>
        </w:rPr>
      </w:pPr>
      <w:r>
        <w:t xml:space="preserve">This section of the submission </w:t>
      </w:r>
      <w:r w:rsidR="00227D55">
        <w:t xml:space="preserve">to the draft report </w:t>
      </w:r>
      <w:r>
        <w:t>draws upon recently released data and research that the ACMA considers may assist the PC i</w:t>
      </w:r>
      <w:r w:rsidR="004F6ED1">
        <w:t xml:space="preserve">n its considerations of a new baseline universal service objective. </w:t>
      </w:r>
    </w:p>
    <w:p w:rsidR="008D159B" w:rsidRDefault="008D159B" w:rsidP="00227D55">
      <w:pPr>
        <w:pStyle w:val="Heading2"/>
      </w:pPr>
      <w:bookmarkStart w:id="2" w:name="_Toc474494246"/>
      <w:r>
        <w:t>Trends in the use of fixed and mobile services</w:t>
      </w:r>
      <w:bookmarkEnd w:id="2"/>
      <w:r>
        <w:t xml:space="preserve"> </w:t>
      </w:r>
    </w:p>
    <w:p w:rsidR="008D159B" w:rsidRPr="00EF45D5" w:rsidRDefault="008D159B" w:rsidP="008D159B">
      <w:pPr>
        <w:rPr>
          <w:rFonts w:cs="Arial"/>
        </w:rPr>
      </w:pPr>
      <w:r w:rsidRPr="00EF45D5">
        <w:rPr>
          <w:rFonts w:cs="Arial"/>
        </w:rPr>
        <w:t xml:space="preserve">The ACMA’s </w:t>
      </w:r>
      <w:hyperlink r:id="rId32" w:history="1">
        <w:r w:rsidR="007373CE" w:rsidRPr="00227D55">
          <w:rPr>
            <w:rStyle w:val="Hyperlink"/>
            <w:rFonts w:cs="Arial"/>
            <w:i/>
          </w:rPr>
          <w:t>Communications report 2015–16</w:t>
        </w:r>
      </w:hyperlink>
      <w:r w:rsidR="00EF45D5" w:rsidRPr="00EF45D5">
        <w:rPr>
          <w:rFonts w:cs="Arial"/>
        </w:rPr>
        <w:t xml:space="preserve"> s</w:t>
      </w:r>
      <w:r w:rsidRPr="00EF45D5">
        <w:rPr>
          <w:rFonts w:cs="Arial"/>
        </w:rPr>
        <w:t>hows a continued decline in the use of fixed</w:t>
      </w:r>
      <w:r w:rsidR="007373CE">
        <w:rPr>
          <w:rFonts w:cs="Arial"/>
        </w:rPr>
        <w:t>-</w:t>
      </w:r>
      <w:r w:rsidRPr="00EF45D5">
        <w:rPr>
          <w:rFonts w:cs="Arial"/>
        </w:rPr>
        <w:t xml:space="preserve">line phones at home and a continued rise in adult Australians </w:t>
      </w:r>
      <w:r w:rsidR="00FE03F1" w:rsidRPr="00EF45D5">
        <w:rPr>
          <w:rFonts w:cs="Arial"/>
        </w:rPr>
        <w:t>having only a mobile phone</w:t>
      </w:r>
      <w:r w:rsidRPr="00EF45D5">
        <w:rPr>
          <w:rFonts w:cs="Arial"/>
        </w:rPr>
        <w:t>.</w:t>
      </w:r>
    </w:p>
    <w:p w:rsidR="008D159B" w:rsidRDefault="008D159B" w:rsidP="008D159B">
      <w:r>
        <w:t xml:space="preserve">At June 2016, research shows that </w:t>
      </w:r>
      <w:r w:rsidRPr="00F07C8C">
        <w:t xml:space="preserve">31 </w:t>
      </w:r>
      <w:r w:rsidRPr="00F07C8C">
        <w:rPr>
          <w:rFonts w:eastAsia="Calibri" w:cs="Arial"/>
        </w:rPr>
        <w:t>per cent</w:t>
      </w:r>
      <w:r w:rsidR="00F230E1">
        <w:rPr>
          <w:rFonts w:eastAsia="Calibri" w:cs="Arial"/>
        </w:rPr>
        <w:t xml:space="preserve"> of </w:t>
      </w:r>
      <w:r w:rsidR="00637315">
        <w:rPr>
          <w:rFonts w:eastAsia="Calibri" w:cs="Arial"/>
        </w:rPr>
        <w:t xml:space="preserve">adult </w:t>
      </w:r>
      <w:r w:rsidR="00F230E1">
        <w:rPr>
          <w:rFonts w:eastAsia="Calibri" w:cs="Arial"/>
        </w:rPr>
        <w:t>Australians</w:t>
      </w:r>
      <w:r w:rsidRPr="00F07C8C">
        <w:rPr>
          <w:rFonts w:eastAsia="Calibri" w:cs="Arial"/>
        </w:rPr>
        <w:t xml:space="preserve">, or approximately 5.78 million </w:t>
      </w:r>
      <w:r w:rsidR="00F230E1">
        <w:rPr>
          <w:rFonts w:eastAsia="Calibri" w:cs="Arial"/>
        </w:rPr>
        <w:t>people</w:t>
      </w:r>
      <w:r w:rsidRPr="00F07C8C">
        <w:rPr>
          <w:rFonts w:eastAsia="Calibri" w:cs="Arial"/>
        </w:rPr>
        <w:t>, hav</w:t>
      </w:r>
      <w:r w:rsidR="00F230E1">
        <w:rPr>
          <w:rFonts w:eastAsia="Calibri" w:cs="Arial"/>
        </w:rPr>
        <w:t>e</w:t>
      </w:r>
      <w:r w:rsidRPr="00F07C8C">
        <w:rPr>
          <w:rFonts w:eastAsia="Calibri" w:cs="Arial"/>
        </w:rPr>
        <w:t xml:space="preserve"> only a mobile phone </w:t>
      </w:r>
      <w:r w:rsidR="00F230E1">
        <w:rPr>
          <w:rFonts w:eastAsia="Calibri" w:cs="Arial"/>
        </w:rPr>
        <w:t>with</w:t>
      </w:r>
      <w:r w:rsidRPr="00F07C8C">
        <w:rPr>
          <w:rFonts w:eastAsia="Calibri" w:cs="Arial"/>
        </w:rPr>
        <w:t xml:space="preserve"> no fixed-line phone at home</w:t>
      </w:r>
      <w:r>
        <w:rPr>
          <w:rFonts w:eastAsia="Calibri" w:cs="Arial"/>
        </w:rPr>
        <w:t xml:space="preserve">. </w:t>
      </w:r>
      <w:r>
        <w:t xml:space="preserve">This is a 94 per cent increase over the five years to June 2016. </w:t>
      </w:r>
      <w:r>
        <w:rPr>
          <w:rFonts w:eastAsia="Calibri" w:cs="Arial"/>
        </w:rPr>
        <w:t>This</w:t>
      </w:r>
      <w:r w:rsidRPr="00F07C8C">
        <w:rPr>
          <w:rFonts w:eastAsia="Calibri" w:cs="Arial"/>
        </w:rPr>
        <w:t xml:space="preserve"> steady increase in mobile</w:t>
      </w:r>
      <w:r>
        <w:rPr>
          <w:rFonts w:eastAsia="Calibri" w:cs="Arial"/>
        </w:rPr>
        <w:t xml:space="preserve"> phone</w:t>
      </w:r>
      <w:r w:rsidR="007373CE">
        <w:rPr>
          <w:rFonts w:eastAsia="Calibri" w:cs="Arial"/>
        </w:rPr>
        <w:t>-</w:t>
      </w:r>
      <w:r w:rsidRPr="00F07C8C">
        <w:rPr>
          <w:rFonts w:eastAsia="Calibri" w:cs="Arial"/>
        </w:rPr>
        <w:t xml:space="preserve">only subscribers is matched by the steady reduction in fixed-line </w:t>
      </w:r>
      <w:r w:rsidRPr="00000E9F">
        <w:rPr>
          <w:rFonts w:eastAsia="Calibri" w:cs="Arial"/>
        </w:rPr>
        <w:t>phone</w:t>
      </w:r>
      <w:r>
        <w:rPr>
          <w:rFonts w:eastAsia="Calibri" w:cs="Arial"/>
        </w:rPr>
        <w:t xml:space="preserve"> </w:t>
      </w:r>
      <w:r w:rsidRPr="00F07C8C">
        <w:rPr>
          <w:rFonts w:eastAsia="Calibri" w:cs="Arial"/>
        </w:rPr>
        <w:t>subscribers</w:t>
      </w:r>
      <w:r>
        <w:rPr>
          <w:rFonts w:eastAsia="Calibri" w:cs="Arial"/>
        </w:rPr>
        <w:t xml:space="preserve">. The number of </w:t>
      </w:r>
      <w:r w:rsidRPr="00F07C8C">
        <w:t xml:space="preserve">adult Australians </w:t>
      </w:r>
      <w:r>
        <w:t>with</w:t>
      </w:r>
      <w:r w:rsidRPr="00F07C8C">
        <w:t xml:space="preserve"> a fixed-line phone at home</w:t>
      </w:r>
      <w:r>
        <w:t xml:space="preserve"> fell</w:t>
      </w:r>
      <w:r w:rsidRPr="00F07C8C">
        <w:rPr>
          <w:rFonts w:eastAsia="Calibri" w:cs="Arial"/>
        </w:rPr>
        <w:t xml:space="preserve"> from </w:t>
      </w:r>
      <w:r w:rsidRPr="00F07C8C">
        <w:t>78 per cent in June 2012</w:t>
      </w:r>
      <w:r w:rsidR="007373CE">
        <w:t>,</w:t>
      </w:r>
      <w:r w:rsidRPr="00F07C8C">
        <w:t xml:space="preserve"> to 68 per cent by June 2016.</w:t>
      </w:r>
      <w:r>
        <w:t xml:space="preserve"> The five</w:t>
      </w:r>
      <w:r w:rsidR="007373CE">
        <w:t>-</w:t>
      </w:r>
      <w:r>
        <w:t xml:space="preserve">year trend for mobile only and </w:t>
      </w:r>
      <w:r w:rsidR="00637315">
        <w:t xml:space="preserve">fixed-line </w:t>
      </w:r>
      <w:r>
        <w:t>phone</w:t>
      </w:r>
      <w:r w:rsidR="005453CF">
        <w:t xml:space="preserve"> service</w:t>
      </w:r>
      <w:r w:rsidR="00637315">
        <w:t>s</w:t>
      </w:r>
      <w:r>
        <w:t xml:space="preserve"> is shown in </w:t>
      </w:r>
      <w:r w:rsidR="00637315">
        <w:t>F</w:t>
      </w:r>
      <w:r>
        <w:t xml:space="preserve">igure </w:t>
      </w:r>
      <w:r w:rsidR="00637315">
        <w:t>1</w:t>
      </w:r>
      <w:r>
        <w:t xml:space="preserve">. </w:t>
      </w:r>
    </w:p>
    <w:p w:rsidR="008D159B" w:rsidRPr="003E0941" w:rsidRDefault="008D159B" w:rsidP="00227D55">
      <w:pPr>
        <w:pStyle w:val="ACMAFigureHeader"/>
      </w:pPr>
      <w:r w:rsidRPr="00391160">
        <w:t>Home phone: fixed line and mobile only</w:t>
      </w:r>
      <w:r w:rsidR="007373CE">
        <w:t>—five-</w:t>
      </w:r>
      <w:r w:rsidRPr="00391160">
        <w:t>year trend</w:t>
      </w:r>
      <w:r w:rsidR="00E677A1" w:rsidRPr="00391160">
        <w:t xml:space="preserve"> </w:t>
      </w:r>
    </w:p>
    <w:p w:rsidR="008D159B" w:rsidRPr="001C3F1B" w:rsidRDefault="005732ED" w:rsidP="008D159B">
      <w:pPr>
        <w:keepNext/>
        <w:rPr>
          <w:i/>
        </w:rPr>
      </w:pPr>
      <w:r>
        <w:rPr>
          <w:noProof/>
        </w:rPr>
        <w:drawing>
          <wp:inline distT="0" distB="0" distL="0" distR="0" wp14:anchorId="67E148BF" wp14:editId="554197BF">
            <wp:extent cx="6438900" cy="33242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D159B" w:rsidRPr="00227D55" w:rsidRDefault="008D159B" w:rsidP="008D159B">
      <w:pPr>
        <w:keepNext/>
        <w:spacing w:line="240" w:lineRule="auto"/>
        <w:ind w:left="108"/>
        <w:rPr>
          <w:b/>
          <w:i/>
        </w:rPr>
      </w:pPr>
      <w:r w:rsidRPr="00227D55">
        <w:rPr>
          <w:rFonts w:cs="Arial"/>
          <w:i/>
          <w:sz w:val="16"/>
          <w:szCs w:val="16"/>
        </w:rPr>
        <w:t xml:space="preserve">Source: ACMA </w:t>
      </w:r>
      <w:r w:rsidR="007373CE" w:rsidRPr="00227D55">
        <w:rPr>
          <w:rFonts w:cs="Arial"/>
          <w:i/>
          <w:sz w:val="16"/>
          <w:szCs w:val="16"/>
        </w:rPr>
        <w:t>c</w:t>
      </w:r>
      <w:r w:rsidRPr="00227D55">
        <w:rPr>
          <w:rFonts w:cs="Arial"/>
          <w:i/>
          <w:sz w:val="16"/>
          <w:szCs w:val="16"/>
        </w:rPr>
        <w:t>ommunications reports</w:t>
      </w:r>
      <w:r w:rsidR="007373CE" w:rsidRPr="00227D55">
        <w:rPr>
          <w:rFonts w:cs="Arial"/>
          <w:i/>
          <w:sz w:val="16"/>
          <w:szCs w:val="16"/>
        </w:rPr>
        <w:t>,</w:t>
      </w:r>
      <w:r w:rsidRPr="00227D55">
        <w:rPr>
          <w:rFonts w:cs="Arial"/>
          <w:i/>
          <w:sz w:val="16"/>
          <w:szCs w:val="16"/>
        </w:rPr>
        <w:t xml:space="preserve"> 2011</w:t>
      </w:r>
      <w:r w:rsidR="00B12AF3" w:rsidRPr="00B12AF3">
        <w:rPr>
          <w:rFonts w:cs="Arial"/>
          <w:i/>
          <w:sz w:val="16"/>
          <w:szCs w:val="16"/>
        </w:rPr>
        <w:t xml:space="preserve"> to </w:t>
      </w:r>
      <w:r w:rsidRPr="00227D55">
        <w:rPr>
          <w:rFonts w:cs="Arial"/>
          <w:i/>
          <w:sz w:val="16"/>
          <w:szCs w:val="16"/>
        </w:rPr>
        <w:t>2016</w:t>
      </w:r>
      <w:r w:rsidR="001738E9">
        <w:rPr>
          <w:rFonts w:cs="Arial"/>
          <w:i/>
          <w:sz w:val="16"/>
          <w:szCs w:val="16"/>
        </w:rPr>
        <w:t>; m</w:t>
      </w:r>
      <w:r w:rsidRPr="00227D55">
        <w:rPr>
          <w:rFonts w:cs="Arial"/>
          <w:i/>
          <w:sz w:val="16"/>
          <w:szCs w:val="16"/>
        </w:rPr>
        <w:t>obile</w:t>
      </w:r>
      <w:r w:rsidR="001738E9">
        <w:rPr>
          <w:rFonts w:cs="Arial"/>
          <w:i/>
          <w:sz w:val="16"/>
          <w:szCs w:val="16"/>
        </w:rPr>
        <w:t xml:space="preserve"> </w:t>
      </w:r>
      <w:r w:rsidRPr="00227D55">
        <w:rPr>
          <w:rFonts w:cs="Arial"/>
          <w:i/>
          <w:sz w:val="16"/>
          <w:szCs w:val="16"/>
        </w:rPr>
        <w:t>phone</w:t>
      </w:r>
      <w:r w:rsidR="001738E9">
        <w:rPr>
          <w:rFonts w:cs="Arial"/>
          <w:i/>
          <w:sz w:val="16"/>
          <w:szCs w:val="16"/>
        </w:rPr>
        <w:t>-</w:t>
      </w:r>
      <w:r w:rsidRPr="00227D55">
        <w:rPr>
          <w:rFonts w:cs="Arial"/>
          <w:i/>
          <w:sz w:val="16"/>
          <w:szCs w:val="16"/>
        </w:rPr>
        <w:t>only</w:t>
      </w:r>
      <w:r w:rsidR="007373CE" w:rsidRPr="00227D55">
        <w:rPr>
          <w:rFonts w:cs="Arial"/>
          <w:i/>
          <w:sz w:val="16"/>
          <w:szCs w:val="16"/>
        </w:rPr>
        <w:t>—</w:t>
      </w:r>
      <w:r w:rsidRPr="00227D55">
        <w:rPr>
          <w:rFonts w:cs="Arial"/>
          <w:i/>
          <w:sz w:val="16"/>
          <w:szCs w:val="16"/>
        </w:rPr>
        <w:t>Roy Morgan Single Source</w:t>
      </w:r>
      <w:r w:rsidR="001738E9">
        <w:rPr>
          <w:rFonts w:cs="Arial"/>
          <w:i/>
          <w:sz w:val="16"/>
          <w:szCs w:val="16"/>
        </w:rPr>
        <w:t>; h</w:t>
      </w:r>
      <w:r w:rsidRPr="00227D55">
        <w:rPr>
          <w:rFonts w:cs="Arial"/>
          <w:i/>
          <w:sz w:val="16"/>
          <w:szCs w:val="16"/>
        </w:rPr>
        <w:t>ome phone</w:t>
      </w:r>
      <w:r w:rsidR="007373CE" w:rsidRPr="00227D55">
        <w:rPr>
          <w:rFonts w:cs="Arial"/>
          <w:i/>
          <w:sz w:val="16"/>
          <w:szCs w:val="16"/>
        </w:rPr>
        <w:t>—</w:t>
      </w:r>
      <w:r w:rsidRPr="00227D55">
        <w:rPr>
          <w:rFonts w:cs="Arial"/>
          <w:i/>
          <w:sz w:val="16"/>
          <w:szCs w:val="16"/>
        </w:rPr>
        <w:t>ACMA consumer survey</w:t>
      </w:r>
      <w:r w:rsidR="009B6BEE" w:rsidRPr="00227D55">
        <w:rPr>
          <w:rFonts w:cs="Arial"/>
          <w:i/>
          <w:sz w:val="16"/>
          <w:szCs w:val="16"/>
        </w:rPr>
        <w:t>.</w:t>
      </w:r>
      <w:r w:rsidRPr="00227D55">
        <w:rPr>
          <w:rFonts w:cs="Arial"/>
          <w:i/>
          <w:sz w:val="16"/>
          <w:szCs w:val="16"/>
        </w:rPr>
        <w:t xml:space="preserve"> </w:t>
      </w:r>
    </w:p>
    <w:p w:rsidR="008D159B" w:rsidRDefault="008D159B" w:rsidP="008D159B">
      <w:r>
        <w:t xml:space="preserve">ACMA research also examined the differences in use of </w:t>
      </w:r>
      <w:r w:rsidR="00637315">
        <w:t xml:space="preserve">fixed-line </w:t>
      </w:r>
      <w:r>
        <w:t>phone and mobile services between capital cities and regional areas.</w:t>
      </w:r>
    </w:p>
    <w:p w:rsidR="008D159B" w:rsidRDefault="008D159B" w:rsidP="008D159B">
      <w:r>
        <w:lastRenderedPageBreak/>
        <w:t xml:space="preserve">At June 2016, </w:t>
      </w:r>
      <w:r w:rsidRPr="00A66B4C">
        <w:t xml:space="preserve">69 per cent of </w:t>
      </w:r>
      <w:r w:rsidR="005453CF">
        <w:t xml:space="preserve">adult </w:t>
      </w:r>
      <w:r w:rsidRPr="00A66B4C">
        <w:t>Australians in regional areas ha</w:t>
      </w:r>
      <w:r>
        <w:t>d</w:t>
      </w:r>
      <w:r w:rsidRPr="00A66B4C">
        <w:t xml:space="preserve"> a </w:t>
      </w:r>
      <w:r w:rsidR="005453CF">
        <w:t>fixed-line</w:t>
      </w:r>
      <w:r w:rsidR="005453CF" w:rsidRPr="00A66B4C">
        <w:t xml:space="preserve"> </w:t>
      </w:r>
      <w:r w:rsidRPr="00A66B4C">
        <w:t>phone</w:t>
      </w:r>
      <w:r w:rsidR="005453CF">
        <w:t xml:space="preserve"> service</w:t>
      </w:r>
      <w:r w:rsidR="00F230E1">
        <w:t>,</w:t>
      </w:r>
      <w:r w:rsidRPr="00A66B4C">
        <w:t xml:space="preserve"> compared to 67 per cent in capital cities and 68 per cent</w:t>
      </w:r>
      <w:r>
        <w:t xml:space="preserve"> in Australia overall.</w:t>
      </w:r>
      <w:r w:rsidRPr="00A66B4C">
        <w:rPr>
          <w:rStyle w:val="FootnoteReference"/>
        </w:rPr>
        <w:footnoteReference w:id="2"/>
      </w:r>
    </w:p>
    <w:p w:rsidR="008D159B" w:rsidRPr="00A66B4C" w:rsidRDefault="008D159B" w:rsidP="008D159B">
      <w:r w:rsidRPr="00A66B4C">
        <w:t xml:space="preserve">At June 2016, 96 per cent of </w:t>
      </w:r>
      <w:r w:rsidR="005453CF" w:rsidRPr="00A66B4C">
        <w:t xml:space="preserve">adult </w:t>
      </w:r>
      <w:r w:rsidRPr="00A66B4C">
        <w:t>Australian</w:t>
      </w:r>
      <w:r w:rsidR="00D31E9B">
        <w:t>s</w:t>
      </w:r>
      <w:r w:rsidRPr="00A66B4C">
        <w:t xml:space="preserve"> said they had a mobile phone</w:t>
      </w:r>
      <w:r>
        <w:t xml:space="preserve">. </w:t>
      </w:r>
      <w:r w:rsidRPr="00A66B4C">
        <w:t>There is no significant difference between regional areas and capital cities for those who own or use a mobile phone (9</w:t>
      </w:r>
      <w:r w:rsidR="005453CF">
        <w:t>5</w:t>
      </w:r>
      <w:r w:rsidRPr="00A66B4C">
        <w:t xml:space="preserve"> per cent and </w:t>
      </w:r>
      <w:r w:rsidR="005453CF" w:rsidRPr="00A66B4C">
        <w:t>9</w:t>
      </w:r>
      <w:r w:rsidR="005453CF">
        <w:t>6</w:t>
      </w:r>
      <w:r w:rsidR="005453CF" w:rsidRPr="00A66B4C">
        <w:t xml:space="preserve"> </w:t>
      </w:r>
      <w:r w:rsidRPr="00A66B4C">
        <w:t xml:space="preserve">per cent, respectively). There is also little difference between the </w:t>
      </w:r>
      <w:r w:rsidR="00E00075">
        <w:t>proportions</w:t>
      </w:r>
      <w:r w:rsidR="00EC1AF7">
        <w:t xml:space="preserve"> </w:t>
      </w:r>
      <w:r w:rsidRPr="00A66B4C">
        <w:t xml:space="preserve">of adults who are solely dependent on their mobile for voice communications—30 per cent of </w:t>
      </w:r>
      <w:r w:rsidR="005453CF">
        <w:t xml:space="preserve">adult </w:t>
      </w:r>
      <w:r w:rsidRPr="00A66B4C">
        <w:t>Australians outside capital cities liv</w:t>
      </w:r>
      <w:r w:rsidR="00EC1AF7">
        <w:t>e</w:t>
      </w:r>
      <w:r w:rsidRPr="00A66B4C">
        <w:t xml:space="preserve"> in households that are mobile-only, with no fixed-line phone. By comparison, 32 per cent of adults living in capital cities are mobile</w:t>
      </w:r>
      <w:r>
        <w:t xml:space="preserve"> phone-</w:t>
      </w:r>
      <w:r w:rsidRPr="00A66B4C">
        <w:t>only.</w:t>
      </w:r>
      <w:r w:rsidR="001B7453">
        <w:t xml:space="preserve"> </w:t>
      </w:r>
      <w:r w:rsidRPr="00A66B4C">
        <w:t xml:space="preserve"> </w:t>
      </w:r>
    </w:p>
    <w:p w:rsidR="008D159B" w:rsidRDefault="008D159B" w:rsidP="008D159B">
      <w:r w:rsidRPr="00391160">
        <w:t>However</w:t>
      </w:r>
      <w:r w:rsidR="001738E9">
        <w:t>,</w:t>
      </w:r>
      <w:r w:rsidRPr="00391160">
        <w:t xml:space="preserve"> the type of mobile phone used shows more variation </w:t>
      </w:r>
      <w:r w:rsidR="00C063D7">
        <w:t>according to geography. While 82</w:t>
      </w:r>
      <w:r w:rsidRPr="00391160">
        <w:t xml:space="preserve"> per cent of adults living in capital cities use a smartphone, </w:t>
      </w:r>
      <w:r w:rsidR="001738E9">
        <w:t xml:space="preserve">for those living in regional areas, the figure is </w:t>
      </w:r>
      <w:r w:rsidR="00C063D7">
        <w:t>75</w:t>
      </w:r>
      <w:r w:rsidRPr="00391160">
        <w:t xml:space="preserve"> per cent. This difference is reflected in the way Australians use their phone. Among mobile phone users, 5</w:t>
      </w:r>
      <w:r w:rsidR="00C063D7">
        <w:t>8</w:t>
      </w:r>
      <w:r w:rsidRPr="00391160">
        <w:t xml:space="preserve"> per cent of</w:t>
      </w:r>
      <w:r w:rsidRPr="00A66B4C">
        <w:t xml:space="preserve"> Australians living in regional areas accessed the internet using their mobile phone, </w:t>
      </w:r>
      <w:r w:rsidR="00C063D7">
        <w:t>nine</w:t>
      </w:r>
      <w:r w:rsidRPr="00A66B4C">
        <w:t xml:space="preserve"> percentage points lower than their</w:t>
      </w:r>
      <w:r>
        <w:t xml:space="preserve"> capital</w:t>
      </w:r>
      <w:r w:rsidRPr="00A66B4C">
        <w:t xml:space="preserve"> city counterparts.</w:t>
      </w:r>
    </w:p>
    <w:p w:rsidR="008D159B" w:rsidRDefault="008D159B" w:rsidP="00227D55">
      <w:pPr>
        <w:pStyle w:val="ACMAFigureHeader"/>
      </w:pPr>
      <w:r>
        <w:t xml:space="preserve">Home phone and mobile phone by location </w:t>
      </w:r>
    </w:p>
    <w:p w:rsidR="008D159B" w:rsidRDefault="005732ED" w:rsidP="008D159B">
      <w:pPr>
        <w:keepNext/>
        <w:rPr>
          <w:i/>
        </w:rPr>
      </w:pPr>
      <w:r>
        <w:rPr>
          <w:noProof/>
        </w:rPr>
        <w:drawing>
          <wp:inline distT="0" distB="0" distL="0" distR="0" wp14:anchorId="1D75412D" wp14:editId="56777DDC">
            <wp:extent cx="5619750" cy="2981960"/>
            <wp:effectExtent l="0" t="0" r="0"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D159B" w:rsidRPr="00227D55" w:rsidRDefault="008D159B" w:rsidP="008D159B">
      <w:pPr>
        <w:keepNext/>
        <w:spacing w:after="0" w:line="240" w:lineRule="auto"/>
        <w:ind w:left="108"/>
        <w:rPr>
          <w:rFonts w:cs="Arial"/>
          <w:i/>
          <w:sz w:val="16"/>
          <w:szCs w:val="16"/>
        </w:rPr>
      </w:pPr>
      <w:r w:rsidRPr="00227D55">
        <w:rPr>
          <w:rFonts w:cs="Arial"/>
          <w:i/>
          <w:sz w:val="16"/>
          <w:szCs w:val="16"/>
        </w:rPr>
        <w:t>Source: Roy Morgan Single Source</w:t>
      </w:r>
      <w:r w:rsidR="00C063D7" w:rsidRPr="00227D55">
        <w:rPr>
          <w:rFonts w:cs="Arial"/>
          <w:i/>
          <w:sz w:val="16"/>
          <w:szCs w:val="16"/>
        </w:rPr>
        <w:t>, June 2016</w:t>
      </w:r>
      <w:r w:rsidR="001738E9" w:rsidRPr="00227D55">
        <w:rPr>
          <w:rFonts w:cs="Arial"/>
          <w:i/>
          <w:sz w:val="16"/>
          <w:szCs w:val="16"/>
        </w:rPr>
        <w:t>.</w:t>
      </w:r>
    </w:p>
    <w:p w:rsidR="00645628" w:rsidRPr="00A66B4C" w:rsidRDefault="008D159B" w:rsidP="008D159B">
      <w:pPr>
        <w:keepNext/>
        <w:spacing w:line="240" w:lineRule="auto"/>
        <w:ind w:left="108"/>
        <w:rPr>
          <w:szCs w:val="20"/>
        </w:rPr>
      </w:pPr>
      <w:r w:rsidRPr="00227D55">
        <w:rPr>
          <w:rFonts w:cs="Arial"/>
          <w:i/>
          <w:sz w:val="16"/>
          <w:szCs w:val="16"/>
        </w:rPr>
        <w:t>Base: Australians aged 18 years and over</w:t>
      </w:r>
      <w:r w:rsidR="001738E9" w:rsidRPr="00227D55">
        <w:rPr>
          <w:rFonts w:cs="Arial"/>
          <w:i/>
          <w:sz w:val="16"/>
          <w:szCs w:val="16"/>
        </w:rPr>
        <w:t>.</w:t>
      </w:r>
      <w:r w:rsidR="00645628" w:rsidRPr="00227D55">
        <w:rPr>
          <w:rFonts w:cs="Arial"/>
          <w:i/>
          <w:sz w:val="16"/>
          <w:szCs w:val="16"/>
        </w:rPr>
        <w:tab/>
      </w:r>
      <w:r w:rsidR="00645628" w:rsidRPr="00A66B4C">
        <w:rPr>
          <w:szCs w:val="20"/>
        </w:rPr>
        <w:tab/>
      </w:r>
      <w:r w:rsidR="00645628" w:rsidRPr="00A66B4C">
        <w:rPr>
          <w:szCs w:val="20"/>
        </w:rPr>
        <w:tab/>
      </w:r>
      <w:r w:rsidR="00645628" w:rsidRPr="00A66B4C">
        <w:rPr>
          <w:szCs w:val="20"/>
        </w:rPr>
        <w:tab/>
      </w:r>
    </w:p>
    <w:p w:rsidR="008D159B" w:rsidRDefault="008D159B" w:rsidP="00227D55">
      <w:pPr>
        <w:pStyle w:val="Heading2"/>
      </w:pPr>
      <w:bookmarkStart w:id="3" w:name="_Toc474494247"/>
      <w:r>
        <w:t>Trends in payphones</w:t>
      </w:r>
      <w:bookmarkEnd w:id="3"/>
      <w:r>
        <w:t xml:space="preserve"> </w:t>
      </w:r>
    </w:p>
    <w:p w:rsidR="008D159B" w:rsidRDefault="008D159B" w:rsidP="008D159B">
      <w:r>
        <w:t xml:space="preserve">Figure 3 shows that the use of </w:t>
      </w:r>
      <w:r w:rsidR="008A64E3">
        <w:t xml:space="preserve">payphones </w:t>
      </w:r>
      <w:r w:rsidR="005453CF">
        <w:t xml:space="preserve">by adult Australians </w:t>
      </w:r>
      <w:r>
        <w:t xml:space="preserve">declined from June 2013 to 2015, before stabilising at </w:t>
      </w:r>
      <w:r w:rsidR="001738E9">
        <w:t>six</w:t>
      </w:r>
      <w:r>
        <w:t xml:space="preserve"> per cent.</w:t>
      </w:r>
    </w:p>
    <w:p w:rsidR="008D159B" w:rsidRDefault="008D159B" w:rsidP="00227D55">
      <w:pPr>
        <w:pStyle w:val="ACMAFigureHeader"/>
        <w:keepNext/>
      </w:pPr>
      <w:r>
        <w:lastRenderedPageBreak/>
        <w:t xml:space="preserve">Payphone use trend over the past </w:t>
      </w:r>
      <w:r w:rsidR="001738E9">
        <w:t>five</w:t>
      </w:r>
      <w:r>
        <w:t xml:space="preserve"> years</w:t>
      </w:r>
    </w:p>
    <w:p w:rsidR="008D159B" w:rsidRPr="007B4CE0" w:rsidRDefault="008B38D5" w:rsidP="008D159B">
      <w:pPr>
        <w:keepNext/>
        <w:rPr>
          <w:i/>
        </w:rPr>
      </w:pPr>
      <w:r>
        <w:rPr>
          <w:noProof/>
        </w:rPr>
        <w:drawing>
          <wp:inline distT="0" distB="0" distL="0" distR="0" wp14:anchorId="28DF265B" wp14:editId="13CF3B8A">
            <wp:extent cx="5886450" cy="2286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B6BEE" w:rsidRPr="00227D55" w:rsidRDefault="008D159B" w:rsidP="009B6BEE">
      <w:pPr>
        <w:keepNext/>
        <w:spacing w:line="240" w:lineRule="auto"/>
        <w:ind w:left="108"/>
        <w:rPr>
          <w:rFonts w:cs="Arial"/>
          <w:i/>
          <w:sz w:val="16"/>
          <w:szCs w:val="16"/>
        </w:rPr>
      </w:pPr>
      <w:r w:rsidRPr="00227D55">
        <w:rPr>
          <w:rFonts w:cs="Arial"/>
          <w:i/>
          <w:sz w:val="16"/>
          <w:szCs w:val="16"/>
        </w:rPr>
        <w:t xml:space="preserve">Source: ACMA </w:t>
      </w:r>
      <w:r w:rsidR="001738E9" w:rsidRPr="00227D55">
        <w:rPr>
          <w:rFonts w:cs="Arial"/>
          <w:i/>
          <w:sz w:val="16"/>
          <w:szCs w:val="16"/>
        </w:rPr>
        <w:t>c</w:t>
      </w:r>
      <w:r w:rsidRPr="00227D55">
        <w:rPr>
          <w:rFonts w:cs="Arial"/>
          <w:i/>
          <w:sz w:val="16"/>
          <w:szCs w:val="16"/>
        </w:rPr>
        <w:t>ommunications reports 2011</w:t>
      </w:r>
      <w:r w:rsidR="00B12AF3" w:rsidRPr="00B12AF3">
        <w:rPr>
          <w:rFonts w:cs="Arial"/>
          <w:i/>
          <w:sz w:val="16"/>
          <w:szCs w:val="16"/>
        </w:rPr>
        <w:t xml:space="preserve"> to </w:t>
      </w:r>
      <w:r w:rsidRPr="00227D55">
        <w:rPr>
          <w:rFonts w:cs="Arial"/>
          <w:i/>
          <w:sz w:val="16"/>
          <w:szCs w:val="16"/>
        </w:rPr>
        <w:t>2016</w:t>
      </w:r>
      <w:r w:rsidR="001738E9" w:rsidRPr="00227D55">
        <w:rPr>
          <w:rFonts w:cs="Arial"/>
          <w:i/>
          <w:sz w:val="16"/>
          <w:szCs w:val="16"/>
        </w:rPr>
        <w:t>; m</w:t>
      </w:r>
      <w:r w:rsidRPr="00227D55">
        <w:rPr>
          <w:rFonts w:cs="Arial"/>
          <w:i/>
          <w:sz w:val="16"/>
          <w:szCs w:val="16"/>
        </w:rPr>
        <w:t>obile</w:t>
      </w:r>
      <w:r w:rsidR="001738E9" w:rsidRPr="00227D55">
        <w:rPr>
          <w:rFonts w:cs="Arial"/>
          <w:i/>
          <w:sz w:val="16"/>
          <w:szCs w:val="16"/>
        </w:rPr>
        <w:t xml:space="preserve"> </w:t>
      </w:r>
      <w:r w:rsidRPr="00227D55">
        <w:rPr>
          <w:rFonts w:cs="Arial"/>
          <w:i/>
          <w:sz w:val="16"/>
          <w:szCs w:val="16"/>
        </w:rPr>
        <w:t>phone</w:t>
      </w:r>
      <w:r w:rsidR="001738E9" w:rsidRPr="00227D55">
        <w:rPr>
          <w:rFonts w:cs="Arial"/>
          <w:i/>
          <w:sz w:val="16"/>
          <w:szCs w:val="16"/>
        </w:rPr>
        <w:t>-</w:t>
      </w:r>
      <w:r w:rsidRPr="00227D55">
        <w:rPr>
          <w:rFonts w:cs="Arial"/>
          <w:i/>
          <w:sz w:val="16"/>
          <w:szCs w:val="16"/>
        </w:rPr>
        <w:t>only</w:t>
      </w:r>
      <w:r w:rsidR="001738E9" w:rsidRPr="00227D55">
        <w:rPr>
          <w:rFonts w:cs="Arial"/>
          <w:i/>
          <w:sz w:val="16"/>
          <w:szCs w:val="16"/>
        </w:rPr>
        <w:t>—</w:t>
      </w:r>
      <w:r w:rsidRPr="00227D55">
        <w:rPr>
          <w:rFonts w:cs="Arial"/>
          <w:i/>
          <w:sz w:val="16"/>
          <w:szCs w:val="16"/>
        </w:rPr>
        <w:t>Roy Morgan Single Source</w:t>
      </w:r>
      <w:r w:rsidR="001738E9" w:rsidRPr="00227D55">
        <w:rPr>
          <w:rFonts w:cs="Arial"/>
          <w:i/>
          <w:sz w:val="16"/>
          <w:szCs w:val="16"/>
        </w:rPr>
        <w:t xml:space="preserve">; </w:t>
      </w:r>
      <w:r w:rsidR="001738E9">
        <w:rPr>
          <w:rFonts w:cs="Arial"/>
          <w:i/>
          <w:sz w:val="16"/>
          <w:szCs w:val="16"/>
        </w:rPr>
        <w:t>h</w:t>
      </w:r>
      <w:r w:rsidRPr="00227D55">
        <w:rPr>
          <w:rFonts w:cs="Arial"/>
          <w:i/>
          <w:sz w:val="16"/>
          <w:szCs w:val="16"/>
        </w:rPr>
        <w:t>ome phone</w:t>
      </w:r>
      <w:r w:rsidR="001738E9" w:rsidRPr="00227D55">
        <w:rPr>
          <w:rFonts w:cs="Arial"/>
          <w:i/>
          <w:sz w:val="16"/>
          <w:szCs w:val="16"/>
        </w:rPr>
        <w:t>—</w:t>
      </w:r>
      <w:r w:rsidRPr="00227D55">
        <w:rPr>
          <w:rFonts w:cs="Arial"/>
          <w:i/>
          <w:sz w:val="16"/>
          <w:szCs w:val="16"/>
        </w:rPr>
        <w:t>ACMA consumer survey</w:t>
      </w:r>
      <w:r w:rsidR="009B6BEE" w:rsidRPr="00227D55">
        <w:rPr>
          <w:rFonts w:cs="Arial"/>
          <w:i/>
          <w:sz w:val="16"/>
          <w:szCs w:val="16"/>
        </w:rPr>
        <w:t xml:space="preserve">. </w:t>
      </w:r>
    </w:p>
    <w:p w:rsidR="008D159B" w:rsidRDefault="008D159B" w:rsidP="008D159B">
      <w:r>
        <w:t>The decline</w:t>
      </w:r>
      <w:r w:rsidRPr="006F2978">
        <w:t xml:space="preserve"> </w:t>
      </w:r>
      <w:r w:rsidRPr="00A36C11">
        <w:t>in the number of payphones slowed over 2015–16</w:t>
      </w:r>
      <w:r w:rsidR="001738E9">
        <w:rPr>
          <w:rFonts w:cs="Arial"/>
        </w:rPr>
        <w:t xml:space="preserve">, with </w:t>
      </w:r>
      <w:r>
        <w:t xml:space="preserve">numbers </w:t>
      </w:r>
      <w:r w:rsidR="001738E9">
        <w:t xml:space="preserve">falling </w:t>
      </w:r>
      <w:r>
        <w:t>by five</w:t>
      </w:r>
      <w:r w:rsidRPr="00A36C11">
        <w:t xml:space="preserve"> per cent to 24,573 payphones</w:t>
      </w:r>
      <w:r>
        <w:t>. At the same time, t</w:t>
      </w:r>
      <w:r w:rsidRPr="006134FA">
        <w:t>here was an increase of 2.</w:t>
      </w:r>
      <w:r w:rsidR="001738E9" w:rsidRPr="006134FA">
        <w:t>6</w:t>
      </w:r>
      <w:r w:rsidR="001738E9">
        <w:t> </w:t>
      </w:r>
      <w:r w:rsidRPr="006134FA">
        <w:t xml:space="preserve">per cent in the number of Telstra-operated payphone sites, from 15,170 to 15,568. </w:t>
      </w:r>
    </w:p>
    <w:p w:rsidR="008D159B" w:rsidRPr="006134FA" w:rsidRDefault="008D159B" w:rsidP="001738E9">
      <w:r w:rsidRPr="006134FA">
        <w:t xml:space="preserve">At 30 June 2016, 69.6 per cent of payphones were operated by Telstra. The remaining payphones were </w:t>
      </w:r>
      <w:r w:rsidR="00387D5B">
        <w:t>provided</w:t>
      </w:r>
      <w:r w:rsidRPr="006134FA">
        <w:t xml:space="preserve"> by other companies</w:t>
      </w:r>
      <w:r w:rsidR="00EF45D5">
        <w:t>,</w:t>
      </w:r>
      <w:r w:rsidRPr="006134FA">
        <w:t xml:space="preserve"> hotels, clubs and convenience stores. </w:t>
      </w:r>
    </w:p>
    <w:p w:rsidR="008D159B" w:rsidRPr="00A66B4C" w:rsidRDefault="008D159B" w:rsidP="00227D55">
      <w:pPr>
        <w:pStyle w:val="Heading2"/>
      </w:pPr>
      <w:bookmarkStart w:id="4" w:name="_Toc474494248"/>
      <w:r w:rsidRPr="00A66B4C">
        <w:t xml:space="preserve">Satisfaction </w:t>
      </w:r>
      <w:r>
        <w:t>with communications services</w:t>
      </w:r>
      <w:bookmarkEnd w:id="4"/>
    </w:p>
    <w:p w:rsidR="008D159B" w:rsidRDefault="008D159B" w:rsidP="00227D55">
      <w:r>
        <w:t>Consumer s</w:t>
      </w:r>
      <w:r w:rsidRPr="00A66B4C">
        <w:t>atisfaction with different aspects of communications servi</w:t>
      </w:r>
      <w:r>
        <w:t xml:space="preserve">ces such as call quality, service reliability and </w:t>
      </w:r>
      <w:r w:rsidR="00D9581F">
        <w:t xml:space="preserve">the </w:t>
      </w:r>
      <w:r>
        <w:t>speed of repairing faults ha</w:t>
      </w:r>
      <w:r w:rsidR="00891720">
        <w:t>s</w:t>
      </w:r>
      <w:r>
        <w:t xml:space="preserve"> been reported in the </w:t>
      </w:r>
      <w:r w:rsidRPr="00227D55">
        <w:t xml:space="preserve">ACMA </w:t>
      </w:r>
      <w:r w:rsidR="00B12AF3" w:rsidRPr="00227D55">
        <w:t>c</w:t>
      </w:r>
      <w:r w:rsidRPr="00227D55">
        <w:t xml:space="preserve">ommunications </w:t>
      </w:r>
      <w:r w:rsidR="00B12AF3" w:rsidRPr="00227D55">
        <w:t>r</w:t>
      </w:r>
      <w:r w:rsidRPr="00227D55">
        <w:t>eport</w:t>
      </w:r>
      <w:r>
        <w:rPr>
          <w:i/>
        </w:rPr>
        <w:t xml:space="preserve"> </w:t>
      </w:r>
      <w:r w:rsidRPr="008A64E3">
        <w:t>for several years.</w:t>
      </w:r>
      <w:r>
        <w:t xml:space="preserve"> Reports from 2014 to 2016 reveal that the overall level of consumer satisfaction across the different aspects of communications services has remained relatively stable.</w:t>
      </w:r>
      <w:r>
        <w:rPr>
          <w:rStyle w:val="FootnoteReference"/>
          <w:rFonts w:cs="Arial"/>
        </w:rPr>
        <w:footnoteReference w:id="3"/>
      </w:r>
      <w:r w:rsidRPr="004B77D5">
        <w:t xml:space="preserve"> </w:t>
      </w:r>
    </w:p>
    <w:p w:rsidR="008D159B" w:rsidRDefault="00995120" w:rsidP="00227D55">
      <w:r>
        <w:t>Consumer satisfaction with aspects of</w:t>
      </w:r>
      <w:r w:rsidR="008D159B">
        <w:t xml:space="preserve"> fixed-line phones, mobile phones and internet for the 2015</w:t>
      </w:r>
      <w:r w:rsidR="00B12AF3">
        <w:t>–</w:t>
      </w:r>
      <w:r w:rsidR="008D159B">
        <w:t xml:space="preserve">16 year </w:t>
      </w:r>
      <w:r w:rsidR="00891720">
        <w:t xml:space="preserve">is </w:t>
      </w:r>
      <w:r w:rsidR="008D159B">
        <w:t xml:space="preserve">detailed in </w:t>
      </w:r>
      <w:r w:rsidR="00B621EC">
        <w:t>F</w:t>
      </w:r>
      <w:r w:rsidR="008D159B">
        <w:t>igure 4.</w:t>
      </w:r>
      <w:r w:rsidR="008D159B">
        <w:rPr>
          <w:rStyle w:val="FootnoteReference"/>
          <w:rFonts w:cs="Arial"/>
        </w:rPr>
        <w:footnoteReference w:id="4"/>
      </w:r>
      <w:r w:rsidR="008D159B">
        <w:t xml:space="preserve"> </w:t>
      </w:r>
    </w:p>
    <w:p w:rsidR="008D159B" w:rsidRPr="003E0941" w:rsidRDefault="008D159B" w:rsidP="00227D55">
      <w:r>
        <w:rPr>
          <w:rFonts w:cs="Arial"/>
        </w:rPr>
        <w:t>For fixed</w:t>
      </w:r>
      <w:r w:rsidR="00B621EC">
        <w:rPr>
          <w:rFonts w:cs="Arial"/>
        </w:rPr>
        <w:t>-</w:t>
      </w:r>
      <w:r>
        <w:rPr>
          <w:rFonts w:cs="Arial"/>
        </w:rPr>
        <w:t xml:space="preserve">line services, </w:t>
      </w:r>
      <w:r w:rsidRPr="00A66B4C">
        <w:rPr>
          <w:rFonts w:cs="Arial"/>
          <w:szCs w:val="20"/>
        </w:rPr>
        <w:t xml:space="preserve">the highest levels of satisfaction were for service reliability, with </w:t>
      </w:r>
      <w:r w:rsidRPr="003E0941">
        <w:t>93 per cent</w:t>
      </w:r>
      <w:r>
        <w:t xml:space="preserve"> of consumers</w:t>
      </w:r>
      <w:r w:rsidRPr="003E0941">
        <w:t xml:space="preserve"> satisfied or very satisfied. Line rental cost</w:t>
      </w:r>
      <w:r w:rsidRPr="003E0941" w:rsidDel="0095478E">
        <w:t xml:space="preserve"> </w:t>
      </w:r>
      <w:r w:rsidRPr="003E0941">
        <w:t>recorded the highest levels of dissatisfaction (25 per cent dissatisfied or very dissatisfied).</w:t>
      </w:r>
    </w:p>
    <w:p w:rsidR="008D159B" w:rsidRPr="003E0941" w:rsidRDefault="008D159B" w:rsidP="00227D55">
      <w:r w:rsidRPr="003E0941">
        <w:t>For mobile phones, the quality of voice calls recorded the highest levels of satisfaction (94 per cent), while call/service costs recorded the highest levels of dissatisfaction</w:t>
      </w:r>
      <w:r w:rsidR="00B12AF3">
        <w:t xml:space="preserve"> </w:t>
      </w:r>
      <w:r w:rsidR="00B12AF3" w:rsidRPr="003E0941">
        <w:t>(16</w:t>
      </w:r>
      <w:r w:rsidR="00B12AF3">
        <w:t> </w:t>
      </w:r>
      <w:r w:rsidR="00B12AF3" w:rsidRPr="003E0941">
        <w:t>per cent)</w:t>
      </w:r>
      <w:r w:rsidRPr="003E0941">
        <w:t>.</w:t>
      </w:r>
      <w:r w:rsidR="001B7453">
        <w:t xml:space="preserve"> </w:t>
      </w:r>
    </w:p>
    <w:p w:rsidR="003E0941" w:rsidRPr="008D159B" w:rsidRDefault="008D159B" w:rsidP="00B12AF3">
      <w:r w:rsidRPr="003E0941">
        <w:t>For internet services, the highest levels of satisfaction were recorded for billing information (91 per cent), while data speeds recorded the highest levels of dissatisfaction</w:t>
      </w:r>
      <w:r w:rsidR="00B12AF3">
        <w:t xml:space="preserve"> </w:t>
      </w:r>
      <w:r w:rsidR="00B12AF3" w:rsidRPr="003E0941">
        <w:t>(2</w:t>
      </w:r>
      <w:r w:rsidR="00B12AF3">
        <w:t>7</w:t>
      </w:r>
      <w:r w:rsidR="00B12AF3" w:rsidRPr="003E0941">
        <w:t xml:space="preserve"> per cent)</w:t>
      </w:r>
      <w:r w:rsidRPr="003E0941">
        <w:t>.</w:t>
      </w:r>
      <w:r w:rsidR="001B7453">
        <w:t xml:space="preserve"> </w:t>
      </w:r>
    </w:p>
    <w:p w:rsidR="00645628" w:rsidRPr="003E0941" w:rsidRDefault="00645628" w:rsidP="00227D55">
      <w:pPr>
        <w:pStyle w:val="ACMAFigureHeader"/>
      </w:pPr>
      <w:r w:rsidRPr="003E0941">
        <w:lastRenderedPageBreak/>
        <w:t>Consumer satisfaction with aspects of their communications services (percentage)</w:t>
      </w:r>
    </w:p>
    <w:p w:rsidR="00645628" w:rsidRDefault="00645628" w:rsidP="00645628">
      <w:pPr>
        <w:keepNext/>
        <w:keepLines/>
        <w:spacing w:after="80"/>
        <w:rPr>
          <w:rFonts w:cs="Arial"/>
          <w:szCs w:val="20"/>
        </w:rPr>
      </w:pPr>
      <w:r>
        <w:rPr>
          <w:b/>
          <w:bCs/>
          <w:noProof/>
          <w:color w:val="323232"/>
          <w:szCs w:val="20"/>
        </w:rPr>
        <w:drawing>
          <wp:inline distT="0" distB="0" distL="0" distR="0" wp14:anchorId="102BE5BE" wp14:editId="7F195DDF">
            <wp:extent cx="5731510" cy="7008127"/>
            <wp:effectExtent l="0" t="0" r="0" b="2540"/>
            <wp:docPr id="3" name="Picture 3" descr="Data for Figure 2.23 is in the .ods file for Chapter 2 on the landing page ‘Communications report 2015-16’, available from the ACMA website." title="Figure 2.23  Consumer satisfaction with aspects of their communications services (perce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Figure 2.23_Figure 2.23.png"/>
                    <pic:cNvPicPr/>
                  </pic:nvPicPr>
                  <pic:blipFill rotWithShape="1">
                    <a:blip r:embed="rId36" cstate="print">
                      <a:extLst>
                        <a:ext uri="{28A0092B-C50C-407E-A947-70E740481C1C}">
                          <a14:useLocalDpi xmlns:a14="http://schemas.microsoft.com/office/drawing/2010/main" val="0"/>
                        </a:ext>
                      </a:extLst>
                    </a:blip>
                    <a:srcRect l="689" t="561" b="662"/>
                    <a:stretch/>
                  </pic:blipFill>
                  <pic:spPr bwMode="auto">
                    <a:xfrm>
                      <a:off x="0" y="0"/>
                      <a:ext cx="5731510" cy="7008127"/>
                    </a:xfrm>
                    <a:prstGeom prst="rect">
                      <a:avLst/>
                    </a:prstGeom>
                    <a:ln>
                      <a:noFill/>
                    </a:ln>
                    <a:extLst>
                      <a:ext uri="{53640926-AAD7-44D8-BBD7-CCE9431645EC}">
                        <a14:shadowObscured xmlns:a14="http://schemas.microsoft.com/office/drawing/2010/main"/>
                      </a:ext>
                    </a:extLst>
                  </pic:spPr>
                </pic:pic>
              </a:graphicData>
            </a:graphic>
          </wp:inline>
        </w:drawing>
      </w:r>
    </w:p>
    <w:p w:rsidR="00645628" w:rsidRPr="00227D55" w:rsidRDefault="00645628" w:rsidP="009B6BEE">
      <w:pPr>
        <w:keepNext/>
        <w:keepLines/>
        <w:spacing w:after="0"/>
        <w:rPr>
          <w:rFonts w:cs="Arial"/>
          <w:i/>
          <w:sz w:val="16"/>
          <w:szCs w:val="16"/>
        </w:rPr>
      </w:pPr>
      <w:r w:rsidRPr="00227D55">
        <w:rPr>
          <w:rFonts w:cs="Arial"/>
          <w:i/>
          <w:sz w:val="16"/>
          <w:szCs w:val="16"/>
        </w:rPr>
        <w:t xml:space="preserve">Source: ACMA Communications </w:t>
      </w:r>
      <w:r w:rsidR="00B12AF3" w:rsidRPr="00227D55">
        <w:rPr>
          <w:rFonts w:cs="Arial"/>
          <w:i/>
          <w:sz w:val="16"/>
          <w:szCs w:val="16"/>
        </w:rPr>
        <w:t>r</w:t>
      </w:r>
      <w:r w:rsidRPr="00227D55">
        <w:rPr>
          <w:rFonts w:cs="Arial"/>
          <w:i/>
          <w:sz w:val="16"/>
          <w:szCs w:val="16"/>
        </w:rPr>
        <w:t>eport 2015</w:t>
      </w:r>
      <w:r w:rsidR="00B12AF3" w:rsidRPr="00227D55">
        <w:rPr>
          <w:rFonts w:cs="Arial"/>
          <w:i/>
          <w:sz w:val="16"/>
          <w:szCs w:val="16"/>
        </w:rPr>
        <w:t>–</w:t>
      </w:r>
      <w:r w:rsidRPr="00227D55">
        <w:rPr>
          <w:rFonts w:cs="Arial"/>
          <w:i/>
          <w:sz w:val="16"/>
          <w:szCs w:val="16"/>
        </w:rPr>
        <w:t>16</w:t>
      </w:r>
      <w:r w:rsidR="00B12AF3" w:rsidRPr="00227D55">
        <w:rPr>
          <w:rFonts w:cs="Arial"/>
          <w:i/>
          <w:sz w:val="16"/>
          <w:szCs w:val="16"/>
        </w:rPr>
        <w:t>.</w:t>
      </w:r>
    </w:p>
    <w:p w:rsidR="00645628" w:rsidRPr="00645628" w:rsidRDefault="00645628" w:rsidP="00227D55">
      <w:pPr>
        <w:keepNext/>
        <w:keepLines/>
        <w:spacing w:after="0"/>
      </w:pPr>
      <w:r w:rsidRPr="00227D55">
        <w:rPr>
          <w:rFonts w:cs="Arial"/>
          <w:i/>
          <w:sz w:val="16"/>
          <w:szCs w:val="16"/>
        </w:rPr>
        <w:t>Base: Australians aged 18 years and over</w:t>
      </w:r>
      <w:r w:rsidR="00B12AF3" w:rsidRPr="00227D55">
        <w:rPr>
          <w:rFonts w:cs="Arial"/>
          <w:i/>
          <w:sz w:val="16"/>
          <w:szCs w:val="16"/>
        </w:rPr>
        <w:t>.</w:t>
      </w:r>
    </w:p>
    <w:p w:rsidR="00645628" w:rsidRPr="000D76E0" w:rsidRDefault="00645628" w:rsidP="00645628">
      <w:pPr>
        <w:pStyle w:val="Heading1"/>
      </w:pPr>
      <w:bookmarkStart w:id="5" w:name="_Toc474494249"/>
      <w:r>
        <w:lastRenderedPageBreak/>
        <w:t>Modernised universal service framework</w:t>
      </w:r>
      <w:r w:rsidR="00B12AF3">
        <w:t>—</w:t>
      </w:r>
      <w:r>
        <w:t>key considerations</w:t>
      </w:r>
      <w:bookmarkEnd w:id="5"/>
    </w:p>
    <w:p w:rsidR="00CA249E" w:rsidRPr="000B4BB5" w:rsidRDefault="00CA249E" w:rsidP="00CA249E">
      <w:pPr>
        <w:keepNext/>
        <w:spacing w:before="320" w:after="60"/>
        <w:outlineLvl w:val="1"/>
        <w:rPr>
          <w:rFonts w:cs="Arial"/>
          <w:b/>
          <w:bCs/>
          <w:iCs/>
          <w:sz w:val="28"/>
          <w:szCs w:val="28"/>
        </w:rPr>
      </w:pPr>
      <w:bookmarkStart w:id="6" w:name="_Toc472274448"/>
      <w:r w:rsidRPr="000B4BB5">
        <w:rPr>
          <w:rFonts w:cs="Arial"/>
          <w:b/>
          <w:bCs/>
          <w:iCs/>
          <w:sz w:val="28"/>
          <w:szCs w:val="28"/>
        </w:rPr>
        <w:t>Key design principles</w:t>
      </w:r>
      <w:bookmarkEnd w:id="6"/>
    </w:p>
    <w:p w:rsidR="00CA249E" w:rsidRPr="000B4BB5" w:rsidRDefault="00CA249E" w:rsidP="00B12AF3">
      <w:r w:rsidRPr="000B4BB5">
        <w:t xml:space="preserve">The ACMA supports </w:t>
      </w:r>
      <w:r w:rsidR="00A558D7">
        <w:t xml:space="preserve">the </w:t>
      </w:r>
      <w:r w:rsidRPr="000B4BB5">
        <w:t>PC’s conclusion that the USO is no longer fit-for-purpose</w:t>
      </w:r>
      <w:r w:rsidR="000A3FDC">
        <w:t>.</w:t>
      </w:r>
      <w:r w:rsidRPr="000B4BB5">
        <w:t xml:space="preserve"> T</w:t>
      </w:r>
      <w:r w:rsidR="000A3FDC">
        <w:t xml:space="preserve">he current communications </w:t>
      </w:r>
      <w:r w:rsidRPr="000B4BB5">
        <w:t>environment calls for a modernised set of universal services objectives</w:t>
      </w:r>
      <w:r w:rsidR="00EF45D5">
        <w:t>.</w:t>
      </w:r>
      <w:r w:rsidR="00583943">
        <w:rPr>
          <w:rStyle w:val="FootnoteReference"/>
          <w:rFonts w:cs="Arial"/>
          <w:szCs w:val="20"/>
        </w:rPr>
        <w:footnoteReference w:id="5"/>
      </w:r>
      <w:r w:rsidR="00EF45D5">
        <w:t xml:space="preserve"> The ACMA agrees that some objectives</w:t>
      </w:r>
      <w:r w:rsidRPr="000B4BB5">
        <w:t xml:space="preserve"> </w:t>
      </w:r>
      <w:r w:rsidR="000A3FDC">
        <w:t>can</w:t>
      </w:r>
      <w:r w:rsidR="000A3FDC" w:rsidRPr="000B4BB5">
        <w:t xml:space="preserve"> </w:t>
      </w:r>
      <w:r w:rsidR="004875B3">
        <w:t xml:space="preserve">potentially </w:t>
      </w:r>
      <w:r w:rsidRPr="000B4BB5">
        <w:t>be delivered by the market</w:t>
      </w:r>
      <w:r w:rsidR="00EF45D5">
        <w:t>, and that only</w:t>
      </w:r>
      <w:r w:rsidR="000A3FDC">
        <w:t xml:space="preserve"> </w:t>
      </w:r>
      <w:r w:rsidR="00EF45D5">
        <w:t xml:space="preserve">where </w:t>
      </w:r>
      <w:r w:rsidR="000A3FDC">
        <w:t>market failure exists</w:t>
      </w:r>
      <w:r w:rsidR="00EF45D5">
        <w:t xml:space="preserve"> may it be necessary for</w:t>
      </w:r>
      <w:r w:rsidR="000A3FDC">
        <w:t xml:space="preserve"> objectives </w:t>
      </w:r>
      <w:r w:rsidR="00EF45D5">
        <w:t xml:space="preserve">to </w:t>
      </w:r>
      <w:r w:rsidR="000A3FDC">
        <w:t xml:space="preserve">be delivered via </w:t>
      </w:r>
      <w:r w:rsidRPr="000B4BB5">
        <w:t>government intervention</w:t>
      </w:r>
      <w:r w:rsidR="000A3FDC">
        <w:t>s</w:t>
      </w:r>
      <w:r w:rsidRPr="000B4BB5">
        <w:t>.</w:t>
      </w:r>
      <w:r w:rsidR="00583943">
        <w:rPr>
          <w:rStyle w:val="FootnoteReference"/>
          <w:rFonts w:cs="Arial"/>
          <w:szCs w:val="20"/>
        </w:rPr>
        <w:footnoteReference w:id="6"/>
      </w:r>
      <w:r w:rsidRPr="000B4BB5">
        <w:t xml:space="preserve"> </w:t>
      </w:r>
      <w:r w:rsidR="00EF45D5">
        <w:t xml:space="preserve">The ACMA also agrees that </w:t>
      </w:r>
      <w:r w:rsidR="009A1087">
        <w:t xml:space="preserve">it may be possible for </w:t>
      </w:r>
      <w:r w:rsidR="00EF45D5">
        <w:t xml:space="preserve">such interventions </w:t>
      </w:r>
      <w:r w:rsidR="009A1087">
        <w:t>to be highly targeted.</w:t>
      </w:r>
    </w:p>
    <w:p w:rsidR="00CA249E" w:rsidRPr="000B4BB5" w:rsidRDefault="00CA249E" w:rsidP="00CA249E">
      <w:pPr>
        <w:rPr>
          <w:rFonts w:cs="Arial"/>
          <w:szCs w:val="20"/>
        </w:rPr>
      </w:pPr>
      <w:r w:rsidRPr="000B4BB5">
        <w:rPr>
          <w:rFonts w:cs="Arial"/>
          <w:szCs w:val="20"/>
        </w:rPr>
        <w:t xml:space="preserve">As noted by the PC, the USO is one of a number of interventions used to </w:t>
      </w:r>
      <w:r w:rsidR="00A64417">
        <w:rPr>
          <w:rFonts w:cs="Arial"/>
          <w:szCs w:val="20"/>
        </w:rPr>
        <w:t>deliver</w:t>
      </w:r>
      <w:r w:rsidRPr="000B4BB5">
        <w:rPr>
          <w:rFonts w:cs="Arial"/>
          <w:szCs w:val="20"/>
        </w:rPr>
        <w:t xml:space="preserve"> outcomes related to availability, accessibility and affordability. </w:t>
      </w:r>
      <w:r w:rsidR="00A64417">
        <w:rPr>
          <w:rFonts w:cs="Arial"/>
          <w:szCs w:val="20"/>
        </w:rPr>
        <w:t>T</w:t>
      </w:r>
      <w:r w:rsidRPr="000B4BB5">
        <w:rPr>
          <w:rFonts w:cs="Arial"/>
          <w:szCs w:val="20"/>
        </w:rPr>
        <w:t xml:space="preserve">hese interventions </w:t>
      </w:r>
      <w:r w:rsidR="006B73E0">
        <w:rPr>
          <w:rFonts w:cs="Arial"/>
          <w:szCs w:val="20"/>
        </w:rPr>
        <w:t>currently</w:t>
      </w:r>
      <w:r w:rsidR="006B73E0" w:rsidRPr="000B4BB5">
        <w:rPr>
          <w:rFonts w:cs="Arial"/>
          <w:szCs w:val="20"/>
        </w:rPr>
        <w:t xml:space="preserve"> </w:t>
      </w:r>
      <w:r w:rsidR="006B73E0">
        <w:rPr>
          <w:rFonts w:cs="Arial"/>
          <w:szCs w:val="20"/>
        </w:rPr>
        <w:t>include</w:t>
      </w:r>
      <w:r w:rsidRPr="000B4BB5">
        <w:rPr>
          <w:rFonts w:cs="Arial"/>
          <w:szCs w:val="20"/>
        </w:rPr>
        <w:t xml:space="preserve"> a mix of direct regulation, contractual obligations and direct subsidies. </w:t>
      </w:r>
    </w:p>
    <w:p w:rsidR="00CA249E" w:rsidRDefault="00EF45D5" w:rsidP="00CA249E">
      <w:pPr>
        <w:rPr>
          <w:rFonts w:cs="Arial"/>
          <w:szCs w:val="20"/>
        </w:rPr>
      </w:pPr>
      <w:r>
        <w:rPr>
          <w:rFonts w:cs="Arial"/>
          <w:szCs w:val="20"/>
        </w:rPr>
        <w:t xml:space="preserve">By comparison with </w:t>
      </w:r>
      <w:r w:rsidRPr="000B4BB5">
        <w:rPr>
          <w:rFonts w:cs="Arial"/>
          <w:szCs w:val="20"/>
        </w:rPr>
        <w:t>today’s communications environment</w:t>
      </w:r>
      <w:r>
        <w:rPr>
          <w:rFonts w:cs="Arial"/>
          <w:szCs w:val="20"/>
        </w:rPr>
        <w:t>,</w:t>
      </w:r>
      <w:r w:rsidRPr="000B4BB5">
        <w:rPr>
          <w:rFonts w:cs="Arial"/>
          <w:szCs w:val="20"/>
        </w:rPr>
        <w:t xml:space="preserve"> </w:t>
      </w:r>
      <w:r w:rsidR="00CA249E" w:rsidRPr="000B4BB5">
        <w:rPr>
          <w:rFonts w:cs="Arial"/>
          <w:szCs w:val="20"/>
        </w:rPr>
        <w:t>the telecommunications sector in which the USO was developed</w:t>
      </w:r>
      <w:r>
        <w:rPr>
          <w:rFonts w:cs="Arial"/>
          <w:szCs w:val="20"/>
        </w:rPr>
        <w:t xml:space="preserve"> appears to have been relatively stable</w:t>
      </w:r>
      <w:r w:rsidR="00CA249E" w:rsidRPr="000B4BB5">
        <w:rPr>
          <w:rFonts w:cs="Arial"/>
          <w:szCs w:val="20"/>
        </w:rPr>
        <w:t xml:space="preserve">. The current telecommunications sector is characterised by </w:t>
      </w:r>
      <w:r w:rsidR="004875B3">
        <w:rPr>
          <w:rFonts w:cs="Arial"/>
          <w:szCs w:val="20"/>
        </w:rPr>
        <w:t xml:space="preserve">a broadly </w:t>
      </w:r>
      <w:r w:rsidR="00CA249E" w:rsidRPr="000B4BB5">
        <w:rPr>
          <w:rFonts w:cs="Arial"/>
          <w:szCs w:val="20"/>
        </w:rPr>
        <w:t xml:space="preserve">competitive </w:t>
      </w:r>
      <w:r w:rsidR="004875B3">
        <w:rPr>
          <w:rFonts w:cs="Arial"/>
          <w:szCs w:val="20"/>
        </w:rPr>
        <w:t xml:space="preserve">retail </w:t>
      </w:r>
      <w:r w:rsidR="00CA249E" w:rsidRPr="000B4BB5">
        <w:rPr>
          <w:rFonts w:cs="Arial"/>
          <w:szCs w:val="20"/>
        </w:rPr>
        <w:t>environment</w:t>
      </w:r>
      <w:r w:rsidR="001C5819">
        <w:rPr>
          <w:rFonts w:cs="Arial"/>
          <w:szCs w:val="20"/>
        </w:rPr>
        <w:t xml:space="preserve">, </w:t>
      </w:r>
      <w:r>
        <w:rPr>
          <w:rFonts w:cs="Arial"/>
          <w:szCs w:val="20"/>
        </w:rPr>
        <w:t xml:space="preserve">continuously evolving </w:t>
      </w:r>
      <w:r w:rsidR="00CA249E" w:rsidRPr="000B4BB5">
        <w:rPr>
          <w:rFonts w:cs="Arial"/>
          <w:szCs w:val="20"/>
        </w:rPr>
        <w:t xml:space="preserve">consumer expectations and </w:t>
      </w:r>
      <w:r w:rsidR="0040481C">
        <w:rPr>
          <w:rFonts w:cs="Arial"/>
          <w:szCs w:val="20"/>
        </w:rPr>
        <w:t xml:space="preserve">widespread </w:t>
      </w:r>
      <w:r w:rsidR="00CA249E" w:rsidRPr="000B4BB5">
        <w:rPr>
          <w:rFonts w:cs="Arial"/>
          <w:szCs w:val="20"/>
        </w:rPr>
        <w:t xml:space="preserve">use of a </w:t>
      </w:r>
      <w:r w:rsidR="0040481C">
        <w:rPr>
          <w:rFonts w:cs="Arial"/>
          <w:szCs w:val="20"/>
        </w:rPr>
        <w:t xml:space="preserve">large </w:t>
      </w:r>
      <w:r w:rsidR="00CA249E" w:rsidRPr="000B4BB5">
        <w:rPr>
          <w:rFonts w:cs="Arial"/>
          <w:szCs w:val="20"/>
        </w:rPr>
        <w:t xml:space="preserve">range of products and services. It </w:t>
      </w:r>
      <w:r w:rsidR="005D753F">
        <w:rPr>
          <w:rFonts w:cs="Arial"/>
          <w:szCs w:val="20"/>
        </w:rPr>
        <w:t>is</w:t>
      </w:r>
      <w:r w:rsidR="005D753F" w:rsidRPr="000B4BB5">
        <w:rPr>
          <w:rFonts w:cs="Arial"/>
          <w:szCs w:val="20"/>
        </w:rPr>
        <w:t xml:space="preserve"> </w:t>
      </w:r>
      <w:r w:rsidR="00CA249E" w:rsidRPr="000B4BB5">
        <w:rPr>
          <w:rFonts w:cs="Arial"/>
          <w:szCs w:val="20"/>
        </w:rPr>
        <w:t xml:space="preserve">also shaped by government interventions </w:t>
      </w:r>
      <w:r w:rsidR="000A3FDC">
        <w:rPr>
          <w:rFonts w:cs="Arial"/>
          <w:szCs w:val="20"/>
        </w:rPr>
        <w:t xml:space="preserve">including </w:t>
      </w:r>
      <w:r w:rsidR="00CA249E" w:rsidRPr="000B4BB5">
        <w:rPr>
          <w:rFonts w:cs="Arial"/>
          <w:szCs w:val="20"/>
        </w:rPr>
        <w:t xml:space="preserve">the rollout of the </w:t>
      </w:r>
      <w:r w:rsidR="0055738F">
        <w:rPr>
          <w:rFonts w:cs="Arial"/>
          <w:szCs w:val="20"/>
        </w:rPr>
        <w:t xml:space="preserve">NBN </w:t>
      </w:r>
      <w:r w:rsidR="00CA249E" w:rsidRPr="000B4BB5">
        <w:rPr>
          <w:rFonts w:cs="Arial"/>
          <w:szCs w:val="20"/>
        </w:rPr>
        <w:t xml:space="preserve">network and the Mobile Black Spot Programme. </w:t>
      </w:r>
    </w:p>
    <w:p w:rsidR="00CA249E" w:rsidRPr="000B4BB5" w:rsidRDefault="00CA249E" w:rsidP="00CA249E">
      <w:pPr>
        <w:rPr>
          <w:rFonts w:cs="Arial"/>
          <w:szCs w:val="20"/>
        </w:rPr>
      </w:pPr>
      <w:r w:rsidRPr="00105C91">
        <w:rPr>
          <w:rFonts w:cs="Arial"/>
          <w:szCs w:val="20"/>
        </w:rPr>
        <w:t xml:space="preserve">The ACMA also notes that </w:t>
      </w:r>
      <w:r w:rsidR="002E5ED0" w:rsidRPr="00105C91">
        <w:rPr>
          <w:rFonts w:cs="Arial"/>
          <w:szCs w:val="20"/>
        </w:rPr>
        <w:t xml:space="preserve">there </w:t>
      </w:r>
      <w:r w:rsidR="00891720" w:rsidRPr="00105C91">
        <w:rPr>
          <w:rFonts w:cs="Arial"/>
          <w:szCs w:val="20"/>
        </w:rPr>
        <w:t xml:space="preserve">is </w:t>
      </w:r>
      <w:r w:rsidR="002E5ED0" w:rsidRPr="00105C91">
        <w:rPr>
          <w:rFonts w:cs="Arial"/>
          <w:szCs w:val="20"/>
        </w:rPr>
        <w:t xml:space="preserve">a range of factors that make designing and implementing a modern universal service regime challenging. </w:t>
      </w:r>
      <w:r w:rsidR="00054913" w:rsidRPr="00105C91">
        <w:rPr>
          <w:rFonts w:cs="Arial"/>
          <w:szCs w:val="20"/>
        </w:rPr>
        <w:t xml:space="preserve">These include </w:t>
      </w:r>
      <w:r w:rsidRPr="00105C91">
        <w:rPr>
          <w:rFonts w:cs="Arial"/>
          <w:szCs w:val="20"/>
        </w:rPr>
        <w:t>technological developments</w:t>
      </w:r>
      <w:r w:rsidR="00894FA3" w:rsidRPr="00105C91">
        <w:rPr>
          <w:rFonts w:cs="Arial"/>
          <w:szCs w:val="20"/>
        </w:rPr>
        <w:t>,</w:t>
      </w:r>
      <w:r w:rsidR="00054913" w:rsidRPr="00105C91">
        <w:rPr>
          <w:rFonts w:cs="Arial"/>
          <w:szCs w:val="20"/>
        </w:rPr>
        <w:t xml:space="preserve"> </w:t>
      </w:r>
      <w:r w:rsidRPr="00105C91">
        <w:rPr>
          <w:rFonts w:cs="Arial"/>
          <w:szCs w:val="20"/>
        </w:rPr>
        <w:t xml:space="preserve">Australia’s vast rural and regional areas </w:t>
      </w:r>
      <w:r w:rsidR="00EA4AA5" w:rsidRPr="00105C91">
        <w:rPr>
          <w:rFonts w:cs="Arial"/>
          <w:szCs w:val="20"/>
        </w:rPr>
        <w:t>with their</w:t>
      </w:r>
      <w:r w:rsidRPr="00105C91">
        <w:rPr>
          <w:rFonts w:cs="Arial"/>
          <w:szCs w:val="20"/>
        </w:rPr>
        <w:t xml:space="preserve"> rela</w:t>
      </w:r>
      <w:r w:rsidR="00894FA3" w:rsidRPr="00105C91">
        <w:rPr>
          <w:rFonts w:cs="Arial"/>
          <w:szCs w:val="20"/>
        </w:rPr>
        <w:t xml:space="preserve">tively low population densities and evolving industry structures. </w:t>
      </w:r>
    </w:p>
    <w:p w:rsidR="00CA249E" w:rsidRPr="000B4BB5" w:rsidRDefault="00CA249E" w:rsidP="00CA249E">
      <w:pPr>
        <w:rPr>
          <w:rFonts w:cs="Arial"/>
          <w:szCs w:val="20"/>
        </w:rPr>
      </w:pPr>
      <w:r w:rsidRPr="000B4BB5">
        <w:rPr>
          <w:rFonts w:cs="Arial"/>
          <w:szCs w:val="20"/>
        </w:rPr>
        <w:t>In refram</w:t>
      </w:r>
      <w:r w:rsidR="000A3FDC">
        <w:rPr>
          <w:rFonts w:cs="Arial"/>
          <w:szCs w:val="20"/>
        </w:rPr>
        <w:t>ing</w:t>
      </w:r>
      <w:r w:rsidRPr="000B4BB5">
        <w:rPr>
          <w:rFonts w:cs="Arial"/>
          <w:szCs w:val="20"/>
        </w:rPr>
        <w:t xml:space="preserve"> universal service objectives and policies, the ACMA notes that the </w:t>
      </w:r>
      <w:r w:rsidR="000A3FDC">
        <w:rPr>
          <w:rFonts w:cs="Arial"/>
          <w:szCs w:val="20"/>
        </w:rPr>
        <w:t xml:space="preserve">PC’s </w:t>
      </w:r>
      <w:r w:rsidRPr="000B4BB5">
        <w:rPr>
          <w:rFonts w:cs="Arial"/>
          <w:szCs w:val="20"/>
        </w:rPr>
        <w:t xml:space="preserve">draft report adopts a number of design principles </w:t>
      </w:r>
      <w:r w:rsidR="00EF45D5">
        <w:rPr>
          <w:rFonts w:cs="Arial"/>
          <w:szCs w:val="20"/>
        </w:rPr>
        <w:t xml:space="preserve">similar to those </w:t>
      </w:r>
      <w:r w:rsidR="00B12AF3">
        <w:rPr>
          <w:rFonts w:cs="Arial"/>
          <w:szCs w:val="20"/>
        </w:rPr>
        <w:t>outlined by</w:t>
      </w:r>
      <w:r w:rsidR="00B12AF3" w:rsidRPr="000B4BB5">
        <w:rPr>
          <w:rFonts w:cs="Arial"/>
          <w:szCs w:val="20"/>
        </w:rPr>
        <w:t xml:space="preserve"> </w:t>
      </w:r>
      <w:r w:rsidRPr="000B4BB5">
        <w:rPr>
          <w:rFonts w:cs="Arial"/>
          <w:szCs w:val="20"/>
        </w:rPr>
        <w:t xml:space="preserve">the ACMA in its July 2016 submission. </w:t>
      </w:r>
    </w:p>
    <w:p w:rsidR="00CA249E" w:rsidRPr="00F633CE" w:rsidRDefault="00CA249E" w:rsidP="00CA249E">
      <w:pPr>
        <w:rPr>
          <w:rFonts w:cs="Arial"/>
          <w:szCs w:val="20"/>
        </w:rPr>
      </w:pPr>
      <w:r w:rsidRPr="000B4BB5">
        <w:rPr>
          <w:rFonts w:cs="Arial"/>
          <w:szCs w:val="20"/>
        </w:rPr>
        <w:t>Key design principles include having clarity around objectives and</w:t>
      </w:r>
      <w:r w:rsidR="00B12AF3">
        <w:rPr>
          <w:rFonts w:cs="Arial"/>
          <w:szCs w:val="20"/>
        </w:rPr>
        <w:t>,</w:t>
      </w:r>
      <w:r w:rsidRPr="000B4BB5">
        <w:rPr>
          <w:rFonts w:cs="Arial"/>
          <w:szCs w:val="20"/>
        </w:rPr>
        <w:t xml:space="preserve"> as far as possible</w:t>
      </w:r>
      <w:r w:rsidR="00B12AF3">
        <w:rPr>
          <w:rFonts w:cs="Arial"/>
          <w:szCs w:val="20"/>
        </w:rPr>
        <w:t>,</w:t>
      </w:r>
      <w:r w:rsidRPr="000B4BB5">
        <w:rPr>
          <w:rFonts w:cs="Arial"/>
          <w:szCs w:val="20"/>
        </w:rPr>
        <w:t xml:space="preserve"> harnessing market solutions in the delivery of universal service objectives. If, after sound analysis, there is a need for government intervention</w:t>
      </w:r>
      <w:r w:rsidR="009A1087">
        <w:rPr>
          <w:rFonts w:cs="Arial"/>
          <w:szCs w:val="20"/>
        </w:rPr>
        <w:t>,</w:t>
      </w:r>
      <w:r w:rsidRPr="000B4BB5">
        <w:rPr>
          <w:rFonts w:cs="Arial"/>
          <w:szCs w:val="20"/>
        </w:rPr>
        <w:t xml:space="preserve"> such interventions should be appropriately targeted and </w:t>
      </w:r>
      <w:r w:rsidR="00C161D6">
        <w:rPr>
          <w:rFonts w:cs="Arial"/>
          <w:szCs w:val="20"/>
        </w:rPr>
        <w:t xml:space="preserve">designed to </w:t>
      </w:r>
      <w:r w:rsidRPr="000B4BB5">
        <w:rPr>
          <w:rFonts w:cs="Arial"/>
          <w:szCs w:val="20"/>
        </w:rPr>
        <w:t xml:space="preserve">minimise market and competitive </w:t>
      </w:r>
      <w:r w:rsidRPr="00F633CE">
        <w:rPr>
          <w:rFonts w:cs="Arial"/>
          <w:szCs w:val="20"/>
        </w:rPr>
        <w:t>distortions.</w:t>
      </w:r>
      <w:r w:rsidR="001B7453">
        <w:rPr>
          <w:rFonts w:cs="Arial"/>
          <w:szCs w:val="20"/>
        </w:rPr>
        <w:t xml:space="preserve"> </w:t>
      </w:r>
    </w:p>
    <w:p w:rsidR="00402C3F" w:rsidRPr="00F633CE" w:rsidRDefault="00402C3F" w:rsidP="008F79A8">
      <w:r w:rsidRPr="00F633CE">
        <w:t>Increasingly, there will be a multi-layered set of obligations</w:t>
      </w:r>
      <w:r w:rsidR="00011DD3" w:rsidRPr="00F633CE">
        <w:t xml:space="preserve">; </w:t>
      </w:r>
      <w:r w:rsidR="008F79A8">
        <w:t>that is,</w:t>
      </w:r>
      <w:r w:rsidR="00011DD3" w:rsidRPr="00F633CE">
        <w:t xml:space="preserve"> obligations operating </w:t>
      </w:r>
      <w:r w:rsidR="008F79A8" w:rsidRPr="00F633CE">
        <w:t xml:space="preserve">separately </w:t>
      </w:r>
      <w:r w:rsidR="00011DD3" w:rsidRPr="00F633CE">
        <w:t xml:space="preserve">at the infrastructure and retail layers, but which </w:t>
      </w:r>
      <w:r w:rsidR="003C14AE" w:rsidRPr="00F633CE">
        <w:t xml:space="preserve">will </w:t>
      </w:r>
      <w:r w:rsidR="00011DD3" w:rsidRPr="00F633CE">
        <w:t>interact with each other. Given these intera</w:t>
      </w:r>
      <w:r w:rsidR="00105C91" w:rsidRPr="00F633CE">
        <w:t>c</w:t>
      </w:r>
      <w:r w:rsidR="00011DD3" w:rsidRPr="00F633CE">
        <w:t>tions, such obligations</w:t>
      </w:r>
      <w:r w:rsidRPr="00F633CE">
        <w:t xml:space="preserve"> need to be </w:t>
      </w:r>
      <w:r w:rsidR="00011DD3" w:rsidRPr="00F633CE">
        <w:t xml:space="preserve">carefully </w:t>
      </w:r>
      <w:r w:rsidRPr="00F633CE">
        <w:t xml:space="preserve">designed </w:t>
      </w:r>
      <w:r w:rsidR="00011DD3" w:rsidRPr="00F633CE">
        <w:t xml:space="preserve">so that they deliver </w:t>
      </w:r>
      <w:r w:rsidRPr="00F633CE">
        <w:t>a coherent outcome for consumers. To achieve this, there needs to be a clear line of sight between the intervention and the outcome for the consumer</w:t>
      </w:r>
      <w:r w:rsidR="00335FF8" w:rsidRPr="00F633CE">
        <w:t>.</w:t>
      </w:r>
    </w:p>
    <w:p w:rsidR="005D753F" w:rsidRPr="00F633CE" w:rsidRDefault="004875B3" w:rsidP="00227D55">
      <w:r w:rsidRPr="00F633CE">
        <w:t>T</w:t>
      </w:r>
      <w:r w:rsidR="00CA249E" w:rsidRPr="00F633CE">
        <w:t xml:space="preserve">he ACMA considers there may be scope for the final report to provide </w:t>
      </w:r>
      <w:r w:rsidR="00C161D6" w:rsidRPr="00F633CE">
        <w:t xml:space="preserve">clearer links between </w:t>
      </w:r>
      <w:r w:rsidR="00CA249E" w:rsidRPr="00F633CE">
        <w:t xml:space="preserve">the </w:t>
      </w:r>
      <w:r w:rsidR="005D753F" w:rsidRPr="00F633CE">
        <w:t xml:space="preserve">proposed </w:t>
      </w:r>
      <w:r w:rsidR="00CA249E" w:rsidRPr="00F633CE">
        <w:t xml:space="preserve">universal service framework </w:t>
      </w:r>
      <w:r w:rsidR="00C161D6" w:rsidRPr="00F633CE">
        <w:t xml:space="preserve">and relevant </w:t>
      </w:r>
      <w:r w:rsidR="00954FCF" w:rsidRPr="00F633CE">
        <w:t>service standards</w:t>
      </w:r>
      <w:r w:rsidR="00C161D6" w:rsidRPr="00F633CE">
        <w:t>.</w:t>
      </w:r>
      <w:r w:rsidRPr="00F633CE">
        <w:t xml:space="preserve"> </w:t>
      </w:r>
      <w:r w:rsidRPr="00F633CE">
        <w:lastRenderedPageBreak/>
        <w:t>These</w:t>
      </w:r>
      <w:r w:rsidR="005D753F" w:rsidRPr="00F633CE">
        <w:t xml:space="preserve"> may</w:t>
      </w:r>
      <w:r w:rsidRPr="00F633CE">
        <w:t xml:space="preserve"> include </w:t>
      </w:r>
      <w:r w:rsidR="009A1087" w:rsidRPr="00F633CE">
        <w:t xml:space="preserve">elements of </w:t>
      </w:r>
      <w:r w:rsidR="005D753F" w:rsidRPr="00F633CE">
        <w:t xml:space="preserve">existing </w:t>
      </w:r>
      <w:r w:rsidR="00954FCF" w:rsidRPr="00F633CE">
        <w:t>standards</w:t>
      </w:r>
      <w:r w:rsidR="005D753F" w:rsidRPr="008F79A8">
        <w:rPr>
          <w:rStyle w:val="FootnoteReference"/>
          <w:rFonts w:cs="Arial"/>
          <w:szCs w:val="20"/>
        </w:rPr>
        <w:footnoteReference w:id="7"/>
      </w:r>
      <w:r w:rsidR="008F79A8">
        <w:t>,</w:t>
      </w:r>
      <w:r w:rsidR="005D753F" w:rsidRPr="00F633CE">
        <w:t xml:space="preserve"> as well as new </w:t>
      </w:r>
      <w:r w:rsidR="00954FCF" w:rsidRPr="00F633CE">
        <w:t xml:space="preserve">standards </w:t>
      </w:r>
      <w:r w:rsidR="005D753F" w:rsidRPr="00F633CE">
        <w:t xml:space="preserve">that </w:t>
      </w:r>
      <w:r w:rsidR="009A1087" w:rsidRPr="00F633CE">
        <w:t xml:space="preserve">are </w:t>
      </w:r>
      <w:r w:rsidR="005D753F" w:rsidRPr="00F633CE">
        <w:t>developed</w:t>
      </w:r>
      <w:r w:rsidR="009A1087" w:rsidRPr="00F633CE">
        <w:t xml:space="preserve"> specifically for the new framework</w:t>
      </w:r>
      <w:r w:rsidR="005D753F" w:rsidRPr="00F633CE">
        <w:t>.</w:t>
      </w:r>
    </w:p>
    <w:p w:rsidR="00D42F4F" w:rsidRPr="00F633CE" w:rsidRDefault="00CA249E" w:rsidP="00227D55">
      <w:r w:rsidRPr="00F633CE">
        <w:t xml:space="preserve">The </w:t>
      </w:r>
      <w:r w:rsidR="006147D2" w:rsidRPr="00F633CE">
        <w:t xml:space="preserve">telecommunications sector is </w:t>
      </w:r>
      <w:r w:rsidRPr="00F633CE">
        <w:t>dynamic</w:t>
      </w:r>
      <w:r w:rsidR="00971F61" w:rsidRPr="00F633CE">
        <w:t>:</w:t>
      </w:r>
      <w:r w:rsidRPr="00F633CE">
        <w:t xml:space="preserve"> </w:t>
      </w:r>
      <w:r w:rsidR="006147D2" w:rsidRPr="00F633CE">
        <w:t xml:space="preserve">changes </w:t>
      </w:r>
      <w:r w:rsidR="00971F61" w:rsidRPr="00F633CE">
        <w:t xml:space="preserve">are constant and </w:t>
      </w:r>
      <w:r w:rsidR="006147D2" w:rsidRPr="00F633CE">
        <w:t xml:space="preserve">driven by </w:t>
      </w:r>
      <w:r w:rsidR="0088246F" w:rsidRPr="00F633CE">
        <w:t xml:space="preserve">change </w:t>
      </w:r>
      <w:r w:rsidR="009A1087" w:rsidRPr="00F633CE">
        <w:t xml:space="preserve">in </w:t>
      </w:r>
      <w:r w:rsidR="006147D2" w:rsidRPr="00F633CE">
        <w:t xml:space="preserve">both </w:t>
      </w:r>
      <w:r w:rsidR="009A1087" w:rsidRPr="00F633CE">
        <w:t xml:space="preserve">the </w:t>
      </w:r>
      <w:r w:rsidRPr="00F633CE">
        <w:t>supply and demand side</w:t>
      </w:r>
      <w:r w:rsidR="009A1087" w:rsidRPr="00F633CE">
        <w:t>s</w:t>
      </w:r>
      <w:r w:rsidR="006147D2" w:rsidRPr="00F633CE">
        <w:t xml:space="preserve">. </w:t>
      </w:r>
      <w:r w:rsidR="00764037" w:rsidRPr="00F633CE">
        <w:t xml:space="preserve">As examples of developments expected in the next few years, the </w:t>
      </w:r>
      <w:r w:rsidR="00011DD3" w:rsidRPr="00F633CE">
        <w:t xml:space="preserve">PC’s draft report makes reference to the completion of the NBN infrastructure rollout, the launch of 5G technologies, and increased use of Internet of Things applications and virtual reality. The ACMA’s </w:t>
      </w:r>
      <w:r w:rsidR="00011DD3" w:rsidRPr="00227D55">
        <w:rPr>
          <w:i/>
        </w:rPr>
        <w:t xml:space="preserve">Communications </w:t>
      </w:r>
      <w:r w:rsidR="008F79A8" w:rsidRPr="00227D55">
        <w:rPr>
          <w:i/>
        </w:rPr>
        <w:t>r</w:t>
      </w:r>
      <w:r w:rsidR="00011DD3" w:rsidRPr="00227D55">
        <w:rPr>
          <w:i/>
        </w:rPr>
        <w:t>eport 2015</w:t>
      </w:r>
      <w:r w:rsidR="008F79A8" w:rsidRPr="00227D55">
        <w:rPr>
          <w:i/>
        </w:rPr>
        <w:t>–</w:t>
      </w:r>
      <w:r w:rsidR="00011DD3" w:rsidRPr="00227D55">
        <w:rPr>
          <w:i/>
        </w:rPr>
        <w:t>16</w:t>
      </w:r>
      <w:r w:rsidR="00011DD3" w:rsidRPr="00F633CE">
        <w:t xml:space="preserve"> also identifies the increas</w:t>
      </w:r>
      <w:r w:rsidR="00764037" w:rsidRPr="00F633CE">
        <w:t>ing take-up of</w:t>
      </w:r>
      <w:r w:rsidR="00011DD3" w:rsidRPr="00F633CE">
        <w:t xml:space="preserve"> </w:t>
      </w:r>
      <w:r w:rsidR="008F79A8">
        <w:t>o</w:t>
      </w:r>
      <w:r w:rsidR="00764037" w:rsidRPr="00F633CE">
        <w:t>ver</w:t>
      </w:r>
      <w:r w:rsidR="008F79A8">
        <w:t>-</w:t>
      </w:r>
      <w:r w:rsidR="00D42F4F" w:rsidRPr="00F633CE">
        <w:t>the</w:t>
      </w:r>
      <w:r w:rsidR="008F79A8">
        <w:t>-t</w:t>
      </w:r>
      <w:r w:rsidR="00D42F4F" w:rsidRPr="00F633CE">
        <w:t xml:space="preserve">op </w:t>
      </w:r>
      <w:r w:rsidR="00764037" w:rsidRPr="00F633CE">
        <w:t xml:space="preserve">messaging, voice and video calling </w:t>
      </w:r>
      <w:r w:rsidR="00D42F4F" w:rsidRPr="00F633CE">
        <w:t>services</w:t>
      </w:r>
      <w:r w:rsidR="0088246F" w:rsidRPr="00F633CE">
        <w:t xml:space="preserve"> as a driver of change</w:t>
      </w:r>
      <w:r w:rsidR="00D42F4F" w:rsidRPr="00F633CE">
        <w:t>.</w:t>
      </w:r>
      <w:r w:rsidR="00764037" w:rsidRPr="00F633CE" w:rsidDel="00764037">
        <w:t xml:space="preserve"> </w:t>
      </w:r>
    </w:p>
    <w:p w:rsidR="00CA249E" w:rsidRPr="00F633CE" w:rsidRDefault="00764037" w:rsidP="008F79A8">
      <w:pPr>
        <w:spacing w:after="80"/>
      </w:pPr>
      <w:r w:rsidRPr="00F633CE">
        <w:t xml:space="preserve">Given these expected developments, and others </w:t>
      </w:r>
      <w:r w:rsidR="008F79A8">
        <w:t>that</w:t>
      </w:r>
      <w:r w:rsidR="008F79A8" w:rsidRPr="00F633CE">
        <w:t xml:space="preserve"> </w:t>
      </w:r>
      <w:r w:rsidRPr="00F633CE">
        <w:t xml:space="preserve">cannot be foreseen, </w:t>
      </w:r>
      <w:r w:rsidR="009A1087" w:rsidRPr="00F633CE">
        <w:t xml:space="preserve">any new </w:t>
      </w:r>
      <w:r w:rsidR="006147D2" w:rsidRPr="00F633CE">
        <w:t xml:space="preserve">universal service framework must </w:t>
      </w:r>
      <w:r w:rsidR="00971F61" w:rsidRPr="00F633CE">
        <w:t xml:space="preserve">enable </w:t>
      </w:r>
      <w:r w:rsidR="006147D2" w:rsidRPr="00F633CE">
        <w:t xml:space="preserve">service standards </w:t>
      </w:r>
      <w:r w:rsidR="00971F61" w:rsidRPr="00F633CE">
        <w:t xml:space="preserve">to </w:t>
      </w:r>
      <w:r w:rsidR="00B669B2" w:rsidRPr="00F633CE">
        <w:t xml:space="preserve">be </w:t>
      </w:r>
      <w:r w:rsidR="009A1087" w:rsidRPr="00F633CE">
        <w:t>updated</w:t>
      </w:r>
      <w:r w:rsidR="008F79A8">
        <w:t>,</w:t>
      </w:r>
      <w:r w:rsidR="009A1087" w:rsidRPr="00F633CE">
        <w:t xml:space="preserve"> </w:t>
      </w:r>
      <w:r w:rsidR="00B669B2" w:rsidRPr="00F633CE">
        <w:t>when necessary</w:t>
      </w:r>
      <w:r w:rsidR="008F79A8">
        <w:t>,</w:t>
      </w:r>
      <w:r w:rsidR="00B669B2" w:rsidRPr="00F633CE">
        <w:t xml:space="preserve"> to</w:t>
      </w:r>
      <w:r w:rsidR="00971F61" w:rsidRPr="00F633CE">
        <w:t xml:space="preserve"> keep pace </w:t>
      </w:r>
      <w:r w:rsidR="006147D2" w:rsidRPr="00F633CE">
        <w:t xml:space="preserve">with these </w:t>
      </w:r>
      <w:r w:rsidR="00971F61" w:rsidRPr="00F633CE">
        <w:t xml:space="preserve">sectoral </w:t>
      </w:r>
      <w:r w:rsidR="006147D2" w:rsidRPr="00F633CE">
        <w:t>changes</w:t>
      </w:r>
      <w:r w:rsidR="00971F61" w:rsidRPr="00F633CE">
        <w:t>. The</w:t>
      </w:r>
      <w:r w:rsidR="00F825DF" w:rsidRPr="00F633CE">
        <w:t xml:space="preserve"> ACMA considers that, at a minimum, the</w:t>
      </w:r>
      <w:r w:rsidR="00971F61" w:rsidRPr="00F633CE">
        <w:t xml:space="preserve"> proposed </w:t>
      </w:r>
      <w:r w:rsidR="00F825DF" w:rsidRPr="00F633CE">
        <w:t>universal framework</w:t>
      </w:r>
      <w:r w:rsidR="00971F61" w:rsidRPr="00F633CE">
        <w:t xml:space="preserve"> should </w:t>
      </w:r>
      <w:r w:rsidR="00CA249E" w:rsidRPr="00F633CE">
        <w:t>include:</w:t>
      </w:r>
    </w:p>
    <w:p w:rsidR="00CA249E" w:rsidRPr="00F633CE" w:rsidRDefault="00CA249E" w:rsidP="006B73E0">
      <w:pPr>
        <w:pStyle w:val="ListBullet"/>
        <w:numPr>
          <w:ilvl w:val="0"/>
          <w:numId w:val="13"/>
        </w:numPr>
        <w:rPr>
          <w:rFonts w:cs="Arial"/>
          <w:szCs w:val="20"/>
        </w:rPr>
      </w:pPr>
      <w:r w:rsidRPr="00F633CE">
        <w:rPr>
          <w:rFonts w:cs="Arial"/>
          <w:szCs w:val="20"/>
        </w:rPr>
        <w:t>clear and transparent processes</w:t>
      </w:r>
      <w:r w:rsidR="00F825DF" w:rsidRPr="00F633CE">
        <w:rPr>
          <w:rFonts w:cs="Arial"/>
          <w:szCs w:val="20"/>
        </w:rPr>
        <w:t xml:space="preserve"> or triggers</w:t>
      </w:r>
      <w:r w:rsidRPr="00F633CE">
        <w:rPr>
          <w:rFonts w:cs="Arial"/>
          <w:szCs w:val="20"/>
        </w:rPr>
        <w:t xml:space="preserve"> for determining when service standards should be reviewed and</w:t>
      </w:r>
      <w:r w:rsidR="00F825DF" w:rsidRPr="00F633CE">
        <w:rPr>
          <w:rFonts w:cs="Arial"/>
          <w:szCs w:val="20"/>
        </w:rPr>
        <w:t>/or</w:t>
      </w:r>
      <w:r w:rsidRPr="00F633CE">
        <w:rPr>
          <w:rFonts w:cs="Arial"/>
          <w:szCs w:val="20"/>
        </w:rPr>
        <w:t xml:space="preserve"> amended</w:t>
      </w:r>
    </w:p>
    <w:p w:rsidR="008F79A8" w:rsidRPr="00F633CE" w:rsidRDefault="00971F61" w:rsidP="006B73E0">
      <w:pPr>
        <w:pStyle w:val="ListBullet"/>
        <w:numPr>
          <w:ilvl w:val="0"/>
          <w:numId w:val="13"/>
        </w:numPr>
        <w:rPr>
          <w:rFonts w:cs="Arial"/>
          <w:szCs w:val="20"/>
        </w:rPr>
      </w:pPr>
      <w:r w:rsidRPr="00F633CE">
        <w:rPr>
          <w:rFonts w:cs="Arial"/>
          <w:szCs w:val="20"/>
        </w:rPr>
        <w:t xml:space="preserve">details about </w:t>
      </w:r>
      <w:r w:rsidR="00AB76C9" w:rsidRPr="00F633CE">
        <w:rPr>
          <w:rFonts w:cs="Arial"/>
          <w:szCs w:val="20"/>
        </w:rPr>
        <w:t>the form service standard</w:t>
      </w:r>
      <w:r w:rsidRPr="00F633CE">
        <w:rPr>
          <w:rFonts w:cs="Arial"/>
          <w:szCs w:val="20"/>
        </w:rPr>
        <w:t>s</w:t>
      </w:r>
      <w:r w:rsidR="00AB76C9" w:rsidRPr="00F633CE">
        <w:rPr>
          <w:rFonts w:cs="Arial"/>
          <w:szCs w:val="20"/>
        </w:rPr>
        <w:t xml:space="preserve"> should take (</w:t>
      </w:r>
      <w:r w:rsidRPr="00F633CE">
        <w:rPr>
          <w:rFonts w:cs="Arial"/>
          <w:szCs w:val="20"/>
        </w:rPr>
        <w:t xml:space="preserve">for example, </w:t>
      </w:r>
      <w:r w:rsidR="00AB76C9" w:rsidRPr="00F633CE">
        <w:rPr>
          <w:rFonts w:cs="Arial"/>
          <w:szCs w:val="20"/>
        </w:rPr>
        <w:t>contractual arrangements or regulatory instruments)</w:t>
      </w:r>
    </w:p>
    <w:p w:rsidR="00CA249E" w:rsidRPr="00F633CE" w:rsidRDefault="00971F61" w:rsidP="008F79A8">
      <w:pPr>
        <w:pStyle w:val="ListBullet"/>
        <w:numPr>
          <w:ilvl w:val="0"/>
          <w:numId w:val="13"/>
        </w:numPr>
        <w:spacing w:after="240"/>
      </w:pPr>
      <w:r w:rsidRPr="00F633CE">
        <w:t xml:space="preserve">recognition that </w:t>
      </w:r>
      <w:r w:rsidR="00D53F2C" w:rsidRPr="00F633CE">
        <w:t>the amendment of standards</w:t>
      </w:r>
      <w:r w:rsidR="00CA249E" w:rsidRPr="00F633CE">
        <w:t xml:space="preserve"> should minimise costs to government, industry and consumers</w:t>
      </w:r>
      <w:r w:rsidR="008F79A8">
        <w:t>,</w:t>
      </w:r>
      <w:r w:rsidR="00CA249E" w:rsidRPr="00F633CE">
        <w:t xml:space="preserve"> </w:t>
      </w:r>
      <w:r w:rsidR="00F825DF" w:rsidRPr="00F633CE">
        <w:t xml:space="preserve">and </w:t>
      </w:r>
      <w:r w:rsidR="00CA249E" w:rsidRPr="00F633CE">
        <w:t>limit market distortions.</w:t>
      </w:r>
    </w:p>
    <w:p w:rsidR="001B0CD5" w:rsidRPr="00F633CE" w:rsidRDefault="00E677A1" w:rsidP="00227D55">
      <w:pPr>
        <w:spacing w:after="80"/>
        <w:rPr>
          <w:rFonts w:cs="Arial"/>
          <w:szCs w:val="20"/>
        </w:rPr>
      </w:pPr>
      <w:r w:rsidRPr="00F633CE">
        <w:rPr>
          <w:rFonts w:cs="Arial"/>
          <w:szCs w:val="20"/>
        </w:rPr>
        <w:t>In providing thi</w:t>
      </w:r>
      <w:r w:rsidR="00F825DF" w:rsidRPr="00F633CE">
        <w:rPr>
          <w:rFonts w:cs="Arial"/>
          <w:szCs w:val="20"/>
        </w:rPr>
        <w:t>s view, t</w:t>
      </w:r>
      <w:r w:rsidR="00CA249E" w:rsidRPr="00F633CE">
        <w:rPr>
          <w:rFonts w:cs="Arial"/>
          <w:szCs w:val="20"/>
        </w:rPr>
        <w:t>he ACMA notes that</w:t>
      </w:r>
      <w:r w:rsidR="00F825DF" w:rsidRPr="00F633CE">
        <w:rPr>
          <w:rFonts w:cs="Arial"/>
          <w:szCs w:val="20"/>
        </w:rPr>
        <w:t xml:space="preserve"> </w:t>
      </w:r>
      <w:r w:rsidR="009A1087" w:rsidRPr="00F633CE">
        <w:rPr>
          <w:rFonts w:cs="Arial"/>
          <w:szCs w:val="20"/>
        </w:rPr>
        <w:t xml:space="preserve">any service </w:t>
      </w:r>
      <w:r w:rsidR="00CA249E" w:rsidRPr="00F633CE">
        <w:rPr>
          <w:rFonts w:cs="Arial"/>
          <w:szCs w:val="20"/>
        </w:rPr>
        <w:t xml:space="preserve">standards </w:t>
      </w:r>
      <w:r w:rsidR="00F825DF" w:rsidRPr="00F633CE">
        <w:rPr>
          <w:rFonts w:cs="Arial"/>
          <w:szCs w:val="20"/>
        </w:rPr>
        <w:t xml:space="preserve">that </w:t>
      </w:r>
      <w:r w:rsidR="009A1087" w:rsidRPr="00F633CE">
        <w:rPr>
          <w:rFonts w:cs="Arial"/>
          <w:szCs w:val="20"/>
        </w:rPr>
        <w:t xml:space="preserve">support </w:t>
      </w:r>
      <w:r w:rsidR="00F825DF" w:rsidRPr="00F633CE">
        <w:rPr>
          <w:rFonts w:cs="Arial"/>
          <w:szCs w:val="20"/>
        </w:rPr>
        <w:t xml:space="preserve">the proposed </w:t>
      </w:r>
      <w:r w:rsidR="00CA249E" w:rsidRPr="00F633CE">
        <w:rPr>
          <w:rFonts w:cs="Arial"/>
          <w:szCs w:val="20"/>
        </w:rPr>
        <w:t xml:space="preserve">universal service </w:t>
      </w:r>
      <w:r w:rsidR="00954FCF" w:rsidRPr="00F633CE">
        <w:rPr>
          <w:rFonts w:cs="Arial"/>
          <w:szCs w:val="20"/>
        </w:rPr>
        <w:t>framework</w:t>
      </w:r>
      <w:r w:rsidR="009A1087" w:rsidRPr="00F633CE">
        <w:rPr>
          <w:rFonts w:cs="Arial"/>
          <w:szCs w:val="20"/>
        </w:rPr>
        <w:t xml:space="preserve"> may</w:t>
      </w:r>
      <w:r w:rsidR="00F825DF" w:rsidRPr="00F633CE">
        <w:rPr>
          <w:rFonts w:cs="Arial"/>
          <w:szCs w:val="20"/>
        </w:rPr>
        <w:t xml:space="preserve"> </w:t>
      </w:r>
      <w:r w:rsidR="00950BB4" w:rsidRPr="00F633CE">
        <w:rPr>
          <w:rFonts w:cs="Arial"/>
          <w:szCs w:val="20"/>
        </w:rPr>
        <w:t xml:space="preserve">overlap </w:t>
      </w:r>
      <w:r w:rsidR="00F825DF" w:rsidRPr="00F633CE">
        <w:rPr>
          <w:rFonts w:cs="Arial"/>
          <w:szCs w:val="20"/>
        </w:rPr>
        <w:t xml:space="preserve">in </w:t>
      </w:r>
      <w:r w:rsidR="00CA249E" w:rsidRPr="00F633CE">
        <w:rPr>
          <w:rFonts w:cs="Arial"/>
          <w:szCs w:val="20"/>
        </w:rPr>
        <w:t xml:space="preserve">scope </w:t>
      </w:r>
      <w:r w:rsidR="00764037" w:rsidRPr="00F633CE">
        <w:rPr>
          <w:rFonts w:cs="Arial"/>
          <w:szCs w:val="20"/>
        </w:rPr>
        <w:t xml:space="preserve">or interact </w:t>
      </w:r>
      <w:r w:rsidR="00F825DF" w:rsidRPr="00F633CE">
        <w:rPr>
          <w:rFonts w:cs="Arial"/>
          <w:szCs w:val="20"/>
        </w:rPr>
        <w:t>with</w:t>
      </w:r>
      <w:r w:rsidR="001B0CD5" w:rsidRPr="00F633CE">
        <w:rPr>
          <w:rFonts w:cs="Arial"/>
          <w:szCs w:val="20"/>
        </w:rPr>
        <w:t>:</w:t>
      </w:r>
    </w:p>
    <w:p w:rsidR="001B0CD5" w:rsidRPr="00F633CE" w:rsidRDefault="00764037" w:rsidP="001B0CD5">
      <w:pPr>
        <w:pStyle w:val="ListBullet"/>
        <w:numPr>
          <w:ilvl w:val="0"/>
          <w:numId w:val="13"/>
        </w:numPr>
        <w:rPr>
          <w:rFonts w:cs="Arial"/>
          <w:szCs w:val="20"/>
        </w:rPr>
      </w:pPr>
      <w:r w:rsidRPr="00F633CE">
        <w:rPr>
          <w:rFonts w:cs="Arial"/>
          <w:szCs w:val="20"/>
        </w:rPr>
        <w:t xml:space="preserve">outcomes of </w:t>
      </w:r>
      <w:r w:rsidR="00F825DF" w:rsidRPr="00F633CE">
        <w:rPr>
          <w:rFonts w:cs="Arial"/>
          <w:szCs w:val="20"/>
        </w:rPr>
        <w:t xml:space="preserve">the </w:t>
      </w:r>
      <w:r w:rsidR="00CA249E" w:rsidRPr="00F633CE">
        <w:rPr>
          <w:rFonts w:cs="Arial"/>
          <w:szCs w:val="20"/>
        </w:rPr>
        <w:t>Department of Communications and the Arts (</w:t>
      </w:r>
      <w:proofErr w:type="spellStart"/>
      <w:r w:rsidR="00CA249E" w:rsidRPr="00F633CE">
        <w:rPr>
          <w:rFonts w:cs="Arial"/>
          <w:szCs w:val="20"/>
        </w:rPr>
        <w:t>DoCA’s</w:t>
      </w:r>
      <w:proofErr w:type="spellEnd"/>
      <w:r w:rsidR="00CA249E" w:rsidRPr="00F633CE">
        <w:rPr>
          <w:rFonts w:cs="Arial"/>
          <w:szCs w:val="20"/>
        </w:rPr>
        <w:t xml:space="preserve">) </w:t>
      </w:r>
      <w:r w:rsidR="00FA7210" w:rsidRPr="00F633CE">
        <w:rPr>
          <w:rFonts w:cs="Arial"/>
          <w:szCs w:val="20"/>
        </w:rPr>
        <w:t xml:space="preserve">proposed </w:t>
      </w:r>
      <w:r w:rsidR="00CA249E" w:rsidRPr="00F633CE">
        <w:rPr>
          <w:rFonts w:cs="Arial"/>
          <w:szCs w:val="20"/>
        </w:rPr>
        <w:t>consumer safeguards review</w:t>
      </w:r>
      <w:r w:rsidR="001B0CD5" w:rsidRPr="00F633CE">
        <w:rPr>
          <w:rFonts w:cs="Arial"/>
          <w:szCs w:val="20"/>
        </w:rPr>
        <w:t xml:space="preserve"> </w:t>
      </w:r>
    </w:p>
    <w:p w:rsidR="001B0CD5" w:rsidRPr="00F633CE" w:rsidRDefault="001B0CD5" w:rsidP="00227D55">
      <w:pPr>
        <w:pStyle w:val="ListBullet"/>
        <w:numPr>
          <w:ilvl w:val="0"/>
          <w:numId w:val="13"/>
        </w:numPr>
        <w:spacing w:after="240"/>
        <w:rPr>
          <w:rFonts w:cs="Arial"/>
          <w:szCs w:val="20"/>
        </w:rPr>
      </w:pPr>
      <w:r w:rsidRPr="00F633CE">
        <w:rPr>
          <w:rFonts w:cs="Arial"/>
          <w:szCs w:val="20"/>
        </w:rPr>
        <w:t xml:space="preserve">safeguards established in the draft legislation </w:t>
      </w:r>
      <w:r w:rsidR="003C14AE" w:rsidRPr="00F633CE">
        <w:rPr>
          <w:rFonts w:cs="Arial"/>
          <w:szCs w:val="20"/>
        </w:rPr>
        <w:t xml:space="preserve">for </w:t>
      </w:r>
      <w:r w:rsidRPr="00F633CE">
        <w:rPr>
          <w:rFonts w:cs="Arial"/>
          <w:szCs w:val="20"/>
        </w:rPr>
        <w:t>the Statutory Infrastructure Provider regime</w:t>
      </w:r>
      <w:r w:rsidR="00764037" w:rsidRPr="00F633CE">
        <w:rPr>
          <w:rFonts w:cs="Arial"/>
          <w:szCs w:val="20"/>
        </w:rPr>
        <w:t>, or safeguards that may subsequently be established under that regime</w:t>
      </w:r>
      <w:r w:rsidRPr="00F633CE">
        <w:rPr>
          <w:rFonts w:cs="Arial"/>
          <w:szCs w:val="20"/>
        </w:rPr>
        <w:t>.</w:t>
      </w:r>
      <w:r w:rsidR="00FA7210" w:rsidRPr="00F633CE">
        <w:rPr>
          <w:rFonts w:cs="Arial"/>
          <w:szCs w:val="20"/>
        </w:rPr>
        <w:t xml:space="preserve"> </w:t>
      </w:r>
    </w:p>
    <w:p w:rsidR="003A0809" w:rsidRPr="00F633CE" w:rsidRDefault="00764037" w:rsidP="00CA249E">
      <w:r w:rsidRPr="00F633CE">
        <w:t xml:space="preserve">Aspects </w:t>
      </w:r>
      <w:r w:rsidR="00CA249E" w:rsidRPr="00F633CE">
        <w:t xml:space="preserve">of these issues are explored later in </w:t>
      </w:r>
      <w:r w:rsidRPr="00F633CE">
        <w:t xml:space="preserve">this </w:t>
      </w:r>
      <w:r w:rsidR="00CA249E" w:rsidRPr="00F633CE">
        <w:t xml:space="preserve">submission. </w:t>
      </w:r>
    </w:p>
    <w:p w:rsidR="00CA249E" w:rsidRPr="00F633CE" w:rsidRDefault="00CA249E" w:rsidP="00227D55">
      <w:pPr>
        <w:pStyle w:val="Heading2"/>
        <w:rPr>
          <w:noProof/>
        </w:rPr>
      </w:pPr>
      <w:bookmarkStart w:id="7" w:name="_Toc474494250"/>
      <w:r w:rsidRPr="00F633CE">
        <w:rPr>
          <w:noProof/>
        </w:rPr>
        <w:t xml:space="preserve">NBN </w:t>
      </w:r>
      <w:r w:rsidR="00CF5D7E" w:rsidRPr="00F633CE">
        <w:rPr>
          <w:noProof/>
        </w:rPr>
        <w:t xml:space="preserve">satellite </w:t>
      </w:r>
      <w:r w:rsidRPr="00F633CE">
        <w:rPr>
          <w:noProof/>
        </w:rPr>
        <w:t>services</w:t>
      </w:r>
      <w:bookmarkEnd w:id="7"/>
    </w:p>
    <w:p w:rsidR="00CA249E" w:rsidRPr="00F633CE" w:rsidRDefault="00CA249E" w:rsidP="00CA249E">
      <w:pPr>
        <w:rPr>
          <w:rFonts w:cs="Arial"/>
          <w:szCs w:val="20"/>
        </w:rPr>
      </w:pPr>
      <w:r w:rsidRPr="00F633CE">
        <w:rPr>
          <w:rFonts w:cs="Arial"/>
          <w:szCs w:val="20"/>
        </w:rPr>
        <w:t>The PC</w:t>
      </w:r>
      <w:r w:rsidR="008B6F1D" w:rsidRPr="00F633CE">
        <w:rPr>
          <w:rFonts w:cs="Arial"/>
          <w:szCs w:val="20"/>
        </w:rPr>
        <w:t>’s report</w:t>
      </w:r>
      <w:r w:rsidRPr="00F633CE">
        <w:rPr>
          <w:rFonts w:cs="Arial"/>
          <w:szCs w:val="20"/>
        </w:rPr>
        <w:t xml:space="preserve"> consider</w:t>
      </w:r>
      <w:r w:rsidR="008B6F1D" w:rsidRPr="00F633CE">
        <w:rPr>
          <w:rFonts w:cs="Arial"/>
          <w:szCs w:val="20"/>
        </w:rPr>
        <w:t>s</w:t>
      </w:r>
      <w:r w:rsidRPr="00F633CE">
        <w:rPr>
          <w:rFonts w:cs="Arial"/>
          <w:szCs w:val="20"/>
        </w:rPr>
        <w:t xml:space="preserve"> whether the </w:t>
      </w:r>
      <w:r w:rsidR="00AE5077" w:rsidRPr="00F633CE">
        <w:rPr>
          <w:rFonts w:cs="Arial"/>
          <w:szCs w:val="20"/>
        </w:rPr>
        <w:t xml:space="preserve">NBN </w:t>
      </w:r>
      <w:r w:rsidRPr="00F633CE">
        <w:rPr>
          <w:rFonts w:cs="Arial"/>
          <w:szCs w:val="20"/>
        </w:rPr>
        <w:t xml:space="preserve">satellite service is </w:t>
      </w:r>
      <w:r w:rsidR="008B6F1D" w:rsidRPr="00F633CE">
        <w:rPr>
          <w:rFonts w:cs="Arial"/>
          <w:szCs w:val="20"/>
        </w:rPr>
        <w:t xml:space="preserve">able to </w:t>
      </w:r>
      <w:r w:rsidR="009A1087" w:rsidRPr="00F633CE">
        <w:rPr>
          <w:rFonts w:cs="Arial"/>
          <w:szCs w:val="20"/>
        </w:rPr>
        <w:t xml:space="preserve">support </w:t>
      </w:r>
      <w:r w:rsidRPr="00F633CE">
        <w:rPr>
          <w:rFonts w:cs="Arial"/>
          <w:szCs w:val="20"/>
        </w:rPr>
        <w:t>voice service</w:t>
      </w:r>
      <w:r w:rsidR="008B6F1D" w:rsidRPr="00F633CE">
        <w:rPr>
          <w:rFonts w:cs="Arial"/>
          <w:szCs w:val="20"/>
        </w:rPr>
        <w:t>s</w:t>
      </w:r>
      <w:r w:rsidRPr="00F633CE">
        <w:rPr>
          <w:rFonts w:cs="Arial"/>
          <w:szCs w:val="20"/>
        </w:rPr>
        <w:t xml:space="preserve"> </w:t>
      </w:r>
      <w:r w:rsidR="008B6F1D" w:rsidRPr="00F633CE">
        <w:rPr>
          <w:rFonts w:cs="Arial"/>
          <w:szCs w:val="20"/>
        </w:rPr>
        <w:t xml:space="preserve">that adequately </w:t>
      </w:r>
      <w:r w:rsidRPr="00F633CE">
        <w:rPr>
          <w:rFonts w:cs="Arial"/>
          <w:szCs w:val="20"/>
        </w:rPr>
        <w:t>meet the proposed universal service objective</w:t>
      </w:r>
      <w:r w:rsidR="005B70B0" w:rsidRPr="00F633CE">
        <w:rPr>
          <w:rFonts w:cs="Arial"/>
          <w:szCs w:val="20"/>
        </w:rPr>
        <w:t xml:space="preserve">. This includes the ability for consumers to have </w:t>
      </w:r>
      <w:r w:rsidR="00E677A1" w:rsidRPr="00F633CE">
        <w:rPr>
          <w:rFonts w:cs="Arial"/>
          <w:szCs w:val="20"/>
        </w:rPr>
        <w:t>a baseline</w:t>
      </w:r>
      <w:r w:rsidR="005B70B0" w:rsidRPr="00F633CE">
        <w:rPr>
          <w:rFonts w:cs="Arial"/>
          <w:szCs w:val="20"/>
        </w:rPr>
        <w:t xml:space="preserve"> voice service </w:t>
      </w:r>
      <w:r w:rsidR="00CF5D7E" w:rsidRPr="00F633CE">
        <w:rPr>
          <w:rFonts w:cs="Arial"/>
          <w:szCs w:val="20"/>
        </w:rPr>
        <w:t xml:space="preserve">that </w:t>
      </w:r>
      <w:r w:rsidR="005B70B0" w:rsidRPr="00F633CE">
        <w:rPr>
          <w:rFonts w:cs="Arial"/>
          <w:szCs w:val="20"/>
        </w:rPr>
        <w:t xml:space="preserve">also provides </w:t>
      </w:r>
      <w:r w:rsidR="00CF5D7E" w:rsidRPr="00F633CE">
        <w:rPr>
          <w:rFonts w:cs="Arial"/>
          <w:szCs w:val="20"/>
        </w:rPr>
        <w:t xml:space="preserve">reliable </w:t>
      </w:r>
      <w:r w:rsidR="008B6F1D" w:rsidRPr="00F633CE">
        <w:rPr>
          <w:rFonts w:cs="Arial"/>
          <w:szCs w:val="20"/>
        </w:rPr>
        <w:t xml:space="preserve">access </w:t>
      </w:r>
      <w:r w:rsidR="00CF5D7E" w:rsidRPr="00F633CE">
        <w:rPr>
          <w:rFonts w:cs="Arial"/>
          <w:szCs w:val="20"/>
        </w:rPr>
        <w:t xml:space="preserve">to </w:t>
      </w:r>
      <w:r w:rsidR="008B6F1D" w:rsidRPr="00F633CE">
        <w:rPr>
          <w:rFonts w:cs="Arial"/>
          <w:szCs w:val="20"/>
        </w:rPr>
        <w:t>the emergency call service</w:t>
      </w:r>
      <w:r w:rsidRPr="00F633CE">
        <w:rPr>
          <w:rFonts w:cs="Arial"/>
          <w:szCs w:val="20"/>
        </w:rPr>
        <w:t xml:space="preserve">. </w:t>
      </w:r>
      <w:r w:rsidR="008B6F1D" w:rsidRPr="00F633CE">
        <w:rPr>
          <w:rFonts w:cs="Arial"/>
          <w:szCs w:val="20"/>
        </w:rPr>
        <w:t>Information provided to t</w:t>
      </w:r>
      <w:r w:rsidRPr="00F633CE">
        <w:rPr>
          <w:rFonts w:cs="Arial"/>
          <w:szCs w:val="20"/>
        </w:rPr>
        <w:t>he ACMA</w:t>
      </w:r>
      <w:r w:rsidR="007B04D8" w:rsidRPr="00F633CE">
        <w:rPr>
          <w:rFonts w:cs="Arial"/>
          <w:szCs w:val="20"/>
        </w:rPr>
        <w:t xml:space="preserve">, </w:t>
      </w:r>
      <w:r w:rsidR="008B6F1D" w:rsidRPr="00F633CE">
        <w:rPr>
          <w:rFonts w:cs="Arial"/>
          <w:szCs w:val="20"/>
        </w:rPr>
        <w:t xml:space="preserve">in the context of its </w:t>
      </w:r>
      <w:r w:rsidRPr="00F633CE">
        <w:rPr>
          <w:rFonts w:cs="Arial"/>
          <w:szCs w:val="20"/>
        </w:rPr>
        <w:t xml:space="preserve">consumer and regulatory </w:t>
      </w:r>
      <w:r w:rsidR="008B6F1D" w:rsidRPr="00F633CE">
        <w:rPr>
          <w:rFonts w:cs="Arial"/>
          <w:szCs w:val="20"/>
        </w:rPr>
        <w:t>functions</w:t>
      </w:r>
      <w:r w:rsidR="007B04D8" w:rsidRPr="00F633CE">
        <w:rPr>
          <w:rFonts w:cs="Arial"/>
          <w:szCs w:val="20"/>
        </w:rPr>
        <w:t>,</w:t>
      </w:r>
      <w:r w:rsidRPr="00F633CE">
        <w:rPr>
          <w:rFonts w:cs="Arial"/>
          <w:szCs w:val="20"/>
        </w:rPr>
        <w:t xml:space="preserve"> </w:t>
      </w:r>
      <w:r w:rsidR="008B6F1D" w:rsidRPr="00F633CE">
        <w:rPr>
          <w:rFonts w:cs="Arial"/>
          <w:szCs w:val="20"/>
        </w:rPr>
        <w:t xml:space="preserve">indicates that there </w:t>
      </w:r>
      <w:r w:rsidR="005B70B0" w:rsidRPr="00F633CE">
        <w:rPr>
          <w:rFonts w:cs="Arial"/>
          <w:szCs w:val="20"/>
        </w:rPr>
        <w:t>are</w:t>
      </w:r>
      <w:r w:rsidR="008B6F1D" w:rsidRPr="00F633CE">
        <w:rPr>
          <w:rFonts w:cs="Arial"/>
          <w:szCs w:val="20"/>
        </w:rPr>
        <w:t xml:space="preserve"> </w:t>
      </w:r>
      <w:r w:rsidRPr="00F633CE">
        <w:rPr>
          <w:rFonts w:cs="Arial"/>
          <w:szCs w:val="20"/>
        </w:rPr>
        <w:t xml:space="preserve">potential latency problems associated with </w:t>
      </w:r>
      <w:r w:rsidR="005B70B0" w:rsidRPr="00F633CE">
        <w:rPr>
          <w:rFonts w:cs="Arial"/>
          <w:szCs w:val="20"/>
        </w:rPr>
        <w:t>providing a</w:t>
      </w:r>
      <w:r w:rsidR="008B6F1D" w:rsidRPr="00F633CE">
        <w:rPr>
          <w:rFonts w:cs="Arial"/>
          <w:szCs w:val="20"/>
        </w:rPr>
        <w:t xml:space="preserve"> </w:t>
      </w:r>
      <w:r w:rsidRPr="00F633CE">
        <w:rPr>
          <w:rFonts w:cs="Arial"/>
          <w:szCs w:val="20"/>
        </w:rPr>
        <w:t xml:space="preserve">voice </w:t>
      </w:r>
      <w:r w:rsidR="005B70B0" w:rsidRPr="00F633CE">
        <w:rPr>
          <w:rFonts w:cs="Arial"/>
          <w:szCs w:val="20"/>
        </w:rPr>
        <w:t>service over</w:t>
      </w:r>
      <w:r w:rsidR="008B6F1D" w:rsidRPr="00F633CE">
        <w:rPr>
          <w:rFonts w:cs="Arial"/>
          <w:szCs w:val="20"/>
        </w:rPr>
        <w:t xml:space="preserve"> </w:t>
      </w:r>
      <w:r w:rsidRPr="00F633CE">
        <w:rPr>
          <w:rFonts w:cs="Arial"/>
          <w:szCs w:val="20"/>
        </w:rPr>
        <w:t>the NBN satellite</w:t>
      </w:r>
      <w:r w:rsidR="00CF5D7E" w:rsidRPr="00F633CE">
        <w:rPr>
          <w:rFonts w:cs="Arial"/>
          <w:szCs w:val="20"/>
        </w:rPr>
        <w:t xml:space="preserve"> service</w:t>
      </w:r>
      <w:r w:rsidR="005B70B0" w:rsidRPr="00F633CE">
        <w:rPr>
          <w:rFonts w:cs="Arial"/>
          <w:szCs w:val="20"/>
        </w:rPr>
        <w:t>.</w:t>
      </w:r>
      <w:r w:rsidRPr="00F633CE">
        <w:rPr>
          <w:rFonts w:cs="Arial"/>
          <w:szCs w:val="20"/>
        </w:rPr>
        <w:t xml:space="preserve"> The ACMA understands that </w:t>
      </w:r>
      <w:r w:rsidR="00CF5D7E" w:rsidRPr="00F633CE">
        <w:rPr>
          <w:rFonts w:cs="Arial"/>
          <w:szCs w:val="20"/>
        </w:rPr>
        <w:t xml:space="preserve">these problems </w:t>
      </w:r>
      <w:r w:rsidR="005B70B0" w:rsidRPr="00F633CE">
        <w:rPr>
          <w:rFonts w:cs="Arial"/>
          <w:szCs w:val="20"/>
        </w:rPr>
        <w:t xml:space="preserve">may </w:t>
      </w:r>
      <w:r w:rsidR="00CF5D7E" w:rsidRPr="00F633CE">
        <w:rPr>
          <w:rFonts w:cs="Arial"/>
          <w:szCs w:val="20"/>
        </w:rPr>
        <w:t xml:space="preserve">be related to the primary design objective of </w:t>
      </w:r>
      <w:r w:rsidRPr="00F633CE">
        <w:rPr>
          <w:rFonts w:cs="Arial"/>
          <w:szCs w:val="20"/>
        </w:rPr>
        <w:t xml:space="preserve">the NBN satellite </w:t>
      </w:r>
      <w:r w:rsidR="00CF5D7E" w:rsidRPr="00F633CE">
        <w:rPr>
          <w:rFonts w:cs="Arial"/>
          <w:szCs w:val="20"/>
        </w:rPr>
        <w:t>service</w:t>
      </w:r>
      <w:r w:rsidR="008F79A8">
        <w:rPr>
          <w:rFonts w:cs="Arial"/>
          <w:szCs w:val="20"/>
        </w:rPr>
        <w:t xml:space="preserve">, </w:t>
      </w:r>
      <w:r w:rsidR="0088246F" w:rsidRPr="00F633CE">
        <w:rPr>
          <w:rFonts w:cs="Arial"/>
          <w:szCs w:val="20"/>
        </w:rPr>
        <w:t xml:space="preserve">which is </w:t>
      </w:r>
      <w:r w:rsidR="00CF5D7E" w:rsidRPr="00F633CE">
        <w:rPr>
          <w:rFonts w:cs="Arial"/>
          <w:szCs w:val="20"/>
        </w:rPr>
        <w:t>optimis</w:t>
      </w:r>
      <w:r w:rsidR="0088246F" w:rsidRPr="00F633CE">
        <w:rPr>
          <w:rFonts w:cs="Arial"/>
          <w:szCs w:val="20"/>
        </w:rPr>
        <w:t>ing</w:t>
      </w:r>
      <w:r w:rsidR="00CF5D7E" w:rsidRPr="00F633CE">
        <w:rPr>
          <w:rFonts w:cs="Arial"/>
          <w:szCs w:val="20"/>
        </w:rPr>
        <w:t xml:space="preserve"> the provision of </w:t>
      </w:r>
      <w:r w:rsidRPr="00F633CE">
        <w:rPr>
          <w:rFonts w:cs="Arial"/>
          <w:szCs w:val="20"/>
        </w:rPr>
        <w:t>broadband services</w:t>
      </w:r>
      <w:r w:rsidR="008B6F1D" w:rsidRPr="00F633CE">
        <w:rPr>
          <w:rFonts w:cs="Arial"/>
          <w:szCs w:val="20"/>
        </w:rPr>
        <w:t xml:space="preserve">, </w:t>
      </w:r>
      <w:r w:rsidR="00CF5D7E" w:rsidRPr="00F633CE">
        <w:rPr>
          <w:rFonts w:cs="Arial"/>
          <w:szCs w:val="20"/>
        </w:rPr>
        <w:t xml:space="preserve">rather than optimising the provision of </w:t>
      </w:r>
      <w:r w:rsidRPr="00F633CE">
        <w:rPr>
          <w:rFonts w:cs="Arial"/>
          <w:szCs w:val="20"/>
        </w:rPr>
        <w:t>voice</w:t>
      </w:r>
      <w:r w:rsidR="00CF5D7E" w:rsidRPr="00F633CE">
        <w:rPr>
          <w:rFonts w:cs="Arial"/>
          <w:szCs w:val="20"/>
        </w:rPr>
        <w:t xml:space="preserve"> services</w:t>
      </w:r>
      <w:r w:rsidRPr="00F633CE">
        <w:rPr>
          <w:rFonts w:cs="Arial"/>
          <w:szCs w:val="20"/>
        </w:rPr>
        <w:t>.</w:t>
      </w:r>
      <w:r w:rsidR="001B7453">
        <w:rPr>
          <w:rFonts w:cs="Arial"/>
          <w:szCs w:val="20"/>
        </w:rPr>
        <w:t xml:space="preserve"> </w:t>
      </w:r>
    </w:p>
    <w:p w:rsidR="007A0439" w:rsidRPr="00F633CE" w:rsidRDefault="007A0439" w:rsidP="007A0439">
      <w:pPr>
        <w:rPr>
          <w:rFonts w:cs="Arial"/>
          <w:szCs w:val="20"/>
        </w:rPr>
      </w:pPr>
      <w:r w:rsidRPr="00F633CE">
        <w:rPr>
          <w:rFonts w:cs="Arial"/>
          <w:szCs w:val="20"/>
        </w:rPr>
        <w:t xml:space="preserve">The ACMA also notes that the PC is considering the technical difficulties </w:t>
      </w:r>
      <w:r w:rsidR="00026BF0" w:rsidRPr="00F633CE">
        <w:rPr>
          <w:rFonts w:cs="Arial"/>
          <w:szCs w:val="20"/>
        </w:rPr>
        <w:t xml:space="preserve">associated with </w:t>
      </w:r>
      <w:r w:rsidRPr="00F633CE">
        <w:rPr>
          <w:rFonts w:cs="Arial"/>
          <w:szCs w:val="20"/>
        </w:rPr>
        <w:t xml:space="preserve">determining the appropriate (and </w:t>
      </w:r>
      <w:r w:rsidR="00CF5D7E" w:rsidRPr="00F633CE">
        <w:rPr>
          <w:rFonts w:cs="Arial"/>
          <w:szCs w:val="20"/>
        </w:rPr>
        <w:t xml:space="preserve">frequently </w:t>
      </w:r>
      <w:r w:rsidRPr="00F633CE">
        <w:rPr>
          <w:rFonts w:cs="Arial"/>
          <w:szCs w:val="20"/>
        </w:rPr>
        <w:t>changing) boundaries of adequate mobile coverage</w:t>
      </w:r>
      <w:r w:rsidR="00CF5D7E" w:rsidRPr="00F633CE">
        <w:rPr>
          <w:rFonts w:cs="Arial"/>
          <w:szCs w:val="20"/>
        </w:rPr>
        <w:t xml:space="preserve"> with</w:t>
      </w:r>
      <w:r w:rsidR="003C14AE" w:rsidRPr="00F633CE">
        <w:rPr>
          <w:rFonts w:cs="Arial"/>
          <w:szCs w:val="20"/>
        </w:rPr>
        <w:t>in</w:t>
      </w:r>
      <w:r w:rsidR="00CF5D7E" w:rsidRPr="00F633CE">
        <w:rPr>
          <w:rFonts w:cs="Arial"/>
          <w:szCs w:val="20"/>
        </w:rPr>
        <w:t xml:space="preserve"> the NBN satellite footprint</w:t>
      </w:r>
      <w:r w:rsidRPr="00F633CE">
        <w:rPr>
          <w:rFonts w:cs="Arial"/>
          <w:szCs w:val="20"/>
        </w:rPr>
        <w:t xml:space="preserve">. </w:t>
      </w:r>
      <w:r w:rsidR="00CF5D7E" w:rsidRPr="00F633CE">
        <w:rPr>
          <w:rFonts w:cs="Arial"/>
          <w:szCs w:val="20"/>
        </w:rPr>
        <w:t xml:space="preserve">These difficulties may complicate estimating or modelling </w:t>
      </w:r>
      <w:r w:rsidR="00026BF0" w:rsidRPr="00F633CE">
        <w:rPr>
          <w:rFonts w:cs="Arial"/>
          <w:szCs w:val="20"/>
        </w:rPr>
        <w:t>the number of premises</w:t>
      </w:r>
      <w:r w:rsidR="00CF5D7E" w:rsidRPr="00F633CE">
        <w:rPr>
          <w:rFonts w:cs="Arial"/>
          <w:szCs w:val="20"/>
        </w:rPr>
        <w:t xml:space="preserve"> that will lack a reliable baseline voice service within this footprint</w:t>
      </w:r>
      <w:r w:rsidR="00026BF0" w:rsidRPr="00F633CE">
        <w:rPr>
          <w:rFonts w:cs="Arial"/>
          <w:szCs w:val="20"/>
        </w:rPr>
        <w:t>.</w:t>
      </w:r>
    </w:p>
    <w:p w:rsidR="00AE5077" w:rsidRPr="00F633CE" w:rsidRDefault="00026BF0" w:rsidP="007A0439">
      <w:pPr>
        <w:rPr>
          <w:rFonts w:cs="Arial"/>
          <w:szCs w:val="20"/>
        </w:rPr>
      </w:pPr>
      <w:r w:rsidRPr="00F633CE">
        <w:rPr>
          <w:rFonts w:cs="Arial"/>
          <w:szCs w:val="20"/>
        </w:rPr>
        <w:lastRenderedPageBreak/>
        <w:t>Accordingly, t</w:t>
      </w:r>
      <w:r w:rsidR="0089569A" w:rsidRPr="00F633CE">
        <w:rPr>
          <w:rFonts w:cs="Arial"/>
          <w:szCs w:val="20"/>
        </w:rPr>
        <w:t xml:space="preserve">he </w:t>
      </w:r>
      <w:r w:rsidR="00CA249E" w:rsidRPr="00F633CE">
        <w:rPr>
          <w:rFonts w:cs="Arial"/>
          <w:szCs w:val="20"/>
        </w:rPr>
        <w:t xml:space="preserve">ACMA suggests </w:t>
      </w:r>
      <w:r w:rsidR="00AE5077" w:rsidRPr="00F633CE">
        <w:rPr>
          <w:rFonts w:cs="Arial"/>
          <w:szCs w:val="20"/>
        </w:rPr>
        <w:t xml:space="preserve">that </w:t>
      </w:r>
      <w:r w:rsidR="00E244E8" w:rsidRPr="00F633CE">
        <w:rPr>
          <w:rFonts w:cs="Arial"/>
          <w:szCs w:val="20"/>
        </w:rPr>
        <w:t xml:space="preserve">the </w:t>
      </w:r>
      <w:r w:rsidR="00AE5077" w:rsidRPr="00F633CE">
        <w:rPr>
          <w:rFonts w:cs="Arial"/>
          <w:szCs w:val="20"/>
        </w:rPr>
        <w:t xml:space="preserve">PC’s final report adopts a </w:t>
      </w:r>
      <w:r w:rsidR="00CA249E" w:rsidRPr="00F633CE">
        <w:rPr>
          <w:rFonts w:cs="Arial"/>
          <w:szCs w:val="20"/>
        </w:rPr>
        <w:t xml:space="preserve">cautious </w:t>
      </w:r>
      <w:r w:rsidR="005B70B0" w:rsidRPr="00F633CE">
        <w:rPr>
          <w:rFonts w:cs="Arial"/>
          <w:szCs w:val="20"/>
        </w:rPr>
        <w:t xml:space="preserve">and conservative </w:t>
      </w:r>
      <w:r w:rsidR="00CA249E" w:rsidRPr="00F633CE">
        <w:rPr>
          <w:rFonts w:cs="Arial"/>
          <w:szCs w:val="20"/>
        </w:rPr>
        <w:t xml:space="preserve">approach </w:t>
      </w:r>
      <w:r w:rsidRPr="00F633CE">
        <w:rPr>
          <w:rFonts w:cs="Arial"/>
          <w:szCs w:val="20"/>
        </w:rPr>
        <w:t>to these</w:t>
      </w:r>
      <w:r w:rsidR="00CF5D7E" w:rsidRPr="00F633CE">
        <w:rPr>
          <w:rFonts w:cs="Arial"/>
          <w:szCs w:val="20"/>
        </w:rPr>
        <w:t xml:space="preserve"> estimations</w:t>
      </w:r>
      <w:r w:rsidRPr="00F633CE">
        <w:rPr>
          <w:rFonts w:cs="Arial"/>
          <w:szCs w:val="20"/>
        </w:rPr>
        <w:t>.</w:t>
      </w:r>
    </w:p>
    <w:p w:rsidR="00CA249E" w:rsidRPr="00F633CE" w:rsidRDefault="00CA249E" w:rsidP="00227D55">
      <w:pPr>
        <w:pStyle w:val="Heading2"/>
        <w:rPr>
          <w:noProof/>
        </w:rPr>
      </w:pPr>
      <w:bookmarkStart w:id="8" w:name="_Toc474494251"/>
      <w:r w:rsidRPr="00F633CE">
        <w:rPr>
          <w:noProof/>
        </w:rPr>
        <w:t>Potential role for the ACMA in designing tender arrangements</w:t>
      </w:r>
      <w:bookmarkEnd w:id="8"/>
    </w:p>
    <w:p w:rsidR="00CA249E" w:rsidRPr="00F633CE" w:rsidRDefault="00F4576E" w:rsidP="00227D55">
      <w:pPr>
        <w:spacing w:after="80"/>
        <w:rPr>
          <w:rFonts w:cs="Arial"/>
          <w:szCs w:val="20"/>
        </w:rPr>
      </w:pPr>
      <w:r w:rsidRPr="00F633CE">
        <w:rPr>
          <w:rFonts w:cs="Arial"/>
          <w:szCs w:val="20"/>
        </w:rPr>
        <w:t>The PC proposes three options to</w:t>
      </w:r>
      <w:r w:rsidR="00CA249E" w:rsidRPr="00F633CE">
        <w:rPr>
          <w:rFonts w:cs="Arial"/>
          <w:szCs w:val="20"/>
        </w:rPr>
        <w:t xml:space="preserve"> </w:t>
      </w:r>
      <w:r w:rsidRPr="00F633CE">
        <w:rPr>
          <w:rFonts w:cs="Arial"/>
          <w:szCs w:val="20"/>
        </w:rPr>
        <w:t xml:space="preserve">address </w:t>
      </w:r>
      <w:r w:rsidR="00CA249E" w:rsidRPr="00F633CE">
        <w:rPr>
          <w:rFonts w:cs="Arial"/>
          <w:szCs w:val="20"/>
        </w:rPr>
        <w:t xml:space="preserve">the provision </w:t>
      </w:r>
      <w:r w:rsidR="0055738F" w:rsidRPr="00F633CE">
        <w:rPr>
          <w:rFonts w:cs="Arial"/>
          <w:szCs w:val="20"/>
        </w:rPr>
        <w:t xml:space="preserve">of voice services within the </w:t>
      </w:r>
      <w:r w:rsidR="006B34F1" w:rsidRPr="00F633CE">
        <w:rPr>
          <w:rFonts w:cs="Arial"/>
          <w:szCs w:val="20"/>
        </w:rPr>
        <w:t>NBN</w:t>
      </w:r>
      <w:r w:rsidR="00CA249E" w:rsidRPr="00F633CE">
        <w:rPr>
          <w:rFonts w:cs="Arial"/>
          <w:szCs w:val="20"/>
        </w:rPr>
        <w:t xml:space="preserve">’s satellite footprint where </w:t>
      </w:r>
      <w:r w:rsidR="00FB1C8C" w:rsidRPr="00F633CE">
        <w:rPr>
          <w:rFonts w:cs="Arial"/>
          <w:szCs w:val="20"/>
        </w:rPr>
        <w:t xml:space="preserve">it is determined that </w:t>
      </w:r>
      <w:r w:rsidR="00CA249E" w:rsidRPr="00F633CE">
        <w:rPr>
          <w:rFonts w:cs="Arial"/>
          <w:szCs w:val="20"/>
        </w:rPr>
        <w:t>there is no mobile coverage</w:t>
      </w:r>
      <w:r w:rsidR="00AB76C9" w:rsidRPr="00F633CE">
        <w:rPr>
          <w:rStyle w:val="FootnoteReference"/>
          <w:rFonts w:cs="Arial"/>
          <w:szCs w:val="20"/>
        </w:rPr>
        <w:footnoteReference w:id="8"/>
      </w:r>
      <w:r w:rsidRPr="00F633CE">
        <w:rPr>
          <w:rFonts w:cs="Arial"/>
          <w:szCs w:val="20"/>
        </w:rPr>
        <w:t xml:space="preserve"> </w:t>
      </w:r>
      <w:r w:rsidR="005B70B0" w:rsidRPr="00F633CE">
        <w:rPr>
          <w:rFonts w:cs="Arial"/>
          <w:szCs w:val="20"/>
        </w:rPr>
        <w:t>and</w:t>
      </w:r>
      <w:r w:rsidRPr="00F633CE">
        <w:rPr>
          <w:rFonts w:cs="Arial"/>
          <w:szCs w:val="20"/>
        </w:rPr>
        <w:t xml:space="preserve"> </w:t>
      </w:r>
      <w:r w:rsidR="00CA249E" w:rsidRPr="00F633CE">
        <w:rPr>
          <w:rFonts w:cs="Arial"/>
          <w:szCs w:val="20"/>
        </w:rPr>
        <w:t xml:space="preserve">government intervention </w:t>
      </w:r>
      <w:r w:rsidRPr="00F633CE">
        <w:rPr>
          <w:rFonts w:cs="Arial"/>
          <w:szCs w:val="20"/>
        </w:rPr>
        <w:t xml:space="preserve">is </w:t>
      </w:r>
      <w:r w:rsidR="00CA249E" w:rsidRPr="00F633CE">
        <w:rPr>
          <w:rFonts w:cs="Arial"/>
          <w:szCs w:val="20"/>
        </w:rPr>
        <w:t>warranted:</w:t>
      </w:r>
    </w:p>
    <w:p w:rsidR="00CA249E" w:rsidRPr="00F633CE" w:rsidRDefault="009D76E7" w:rsidP="00227D55">
      <w:pPr>
        <w:pStyle w:val="ListNumber"/>
      </w:pPr>
      <w:r w:rsidRPr="00F633CE">
        <w:t xml:space="preserve">a </w:t>
      </w:r>
      <w:r w:rsidR="00CA249E" w:rsidRPr="00F633CE">
        <w:t xml:space="preserve">competitive tender to select providers of </w:t>
      </w:r>
      <w:r w:rsidR="005B70B0" w:rsidRPr="00F633CE">
        <w:t xml:space="preserve">retail </w:t>
      </w:r>
      <w:r w:rsidR="00CA249E" w:rsidRPr="00F633CE">
        <w:t>voice services in parallel with the provision of satellite data services</w:t>
      </w:r>
    </w:p>
    <w:p w:rsidR="00CA249E" w:rsidRPr="00F633CE" w:rsidRDefault="005B70B0" w:rsidP="00227D55">
      <w:pPr>
        <w:pStyle w:val="ListNumber"/>
      </w:pPr>
      <w:r w:rsidRPr="00F633CE">
        <w:t>f</w:t>
      </w:r>
      <w:r w:rsidR="00CA249E" w:rsidRPr="00F633CE">
        <w:t>und</w:t>
      </w:r>
      <w:r w:rsidR="006B34F1" w:rsidRPr="00F633CE">
        <w:t>ing</w:t>
      </w:r>
      <w:r w:rsidR="00CA249E" w:rsidRPr="00F633CE">
        <w:t xml:space="preserve"> Telstra to provide a baseline voice service</w:t>
      </w:r>
    </w:p>
    <w:p w:rsidR="00CA249E" w:rsidRPr="00F633CE" w:rsidRDefault="005B70B0" w:rsidP="00227D55">
      <w:pPr>
        <w:pStyle w:val="ListNumber"/>
        <w:spacing w:after="240"/>
      </w:pPr>
      <w:r w:rsidRPr="00F633CE">
        <w:t>f</w:t>
      </w:r>
      <w:r w:rsidR="00CA249E" w:rsidRPr="00F633CE">
        <w:t>und</w:t>
      </w:r>
      <w:r w:rsidR="006B34F1" w:rsidRPr="00F633CE">
        <w:t>ing</w:t>
      </w:r>
      <w:r w:rsidR="00CA249E" w:rsidRPr="00F633CE">
        <w:t xml:space="preserve"> </w:t>
      </w:r>
      <w:r w:rsidR="006B34F1" w:rsidRPr="00F633CE">
        <w:t xml:space="preserve">NBN </w:t>
      </w:r>
      <w:r w:rsidR="00CA249E" w:rsidRPr="00F633CE">
        <w:t xml:space="preserve">to augment its networks to </w:t>
      </w:r>
      <w:r w:rsidR="006B34F1" w:rsidRPr="00F633CE">
        <w:t xml:space="preserve">support or </w:t>
      </w:r>
      <w:r w:rsidR="00CA249E" w:rsidRPr="00F633CE">
        <w:t xml:space="preserve">deliver a baseline voice service. </w:t>
      </w:r>
    </w:p>
    <w:p w:rsidR="00CA249E" w:rsidRPr="00F633CE" w:rsidRDefault="00495CA1" w:rsidP="00CA249E">
      <w:pPr>
        <w:rPr>
          <w:rFonts w:cs="Arial"/>
          <w:szCs w:val="20"/>
        </w:rPr>
      </w:pPr>
      <w:r w:rsidRPr="00F633CE">
        <w:rPr>
          <w:rFonts w:cs="Arial"/>
          <w:szCs w:val="20"/>
        </w:rPr>
        <w:t xml:space="preserve">The </w:t>
      </w:r>
      <w:r w:rsidR="00CA249E" w:rsidRPr="00F633CE">
        <w:rPr>
          <w:rFonts w:cs="Arial"/>
          <w:szCs w:val="20"/>
        </w:rPr>
        <w:t>PC</w:t>
      </w:r>
      <w:r w:rsidRPr="00F633CE">
        <w:rPr>
          <w:rFonts w:cs="Arial"/>
          <w:szCs w:val="20"/>
        </w:rPr>
        <w:t xml:space="preserve"> expresses a</w:t>
      </w:r>
      <w:r w:rsidR="00CA249E" w:rsidRPr="00F633CE">
        <w:rPr>
          <w:rFonts w:cs="Arial"/>
          <w:szCs w:val="20"/>
        </w:rPr>
        <w:t xml:space="preserve"> preference for the</w:t>
      </w:r>
      <w:r w:rsidR="006B34F1" w:rsidRPr="00F633CE">
        <w:rPr>
          <w:rFonts w:cs="Arial"/>
          <w:szCs w:val="20"/>
        </w:rPr>
        <w:t xml:space="preserve"> first option</w:t>
      </w:r>
      <w:r w:rsidR="00CA249E" w:rsidRPr="00F633CE">
        <w:rPr>
          <w:rFonts w:cs="Arial"/>
          <w:szCs w:val="20"/>
        </w:rPr>
        <w:t>.</w:t>
      </w:r>
      <w:r w:rsidR="00583943" w:rsidRPr="00F633CE">
        <w:rPr>
          <w:rStyle w:val="FootnoteReference"/>
          <w:rFonts w:cs="Arial"/>
          <w:szCs w:val="20"/>
        </w:rPr>
        <w:footnoteReference w:id="9"/>
      </w:r>
    </w:p>
    <w:p w:rsidR="00402C3F" w:rsidRPr="00F633CE" w:rsidRDefault="00402C3F" w:rsidP="00227D55">
      <w:pPr>
        <w:spacing w:after="80"/>
        <w:rPr>
          <w:rFonts w:ascii="Calibri" w:hAnsi="Calibri"/>
        </w:rPr>
      </w:pPr>
      <w:r w:rsidRPr="00F633CE">
        <w:t xml:space="preserve">The draft report states that such tender arrangements could be </w:t>
      </w:r>
      <w:r w:rsidR="00764037" w:rsidRPr="00F633CE">
        <w:t xml:space="preserve">implemented </w:t>
      </w:r>
      <w:r w:rsidRPr="00F633CE">
        <w:t>by the ACMA</w:t>
      </w:r>
      <w:r w:rsidR="008F79A8">
        <w:t>,</w:t>
      </w:r>
      <w:r w:rsidRPr="00F633CE">
        <w:t xml:space="preserve"> given its expertise in telecommunications technologies and previous role in the 2001 USO contestability arrangements. </w:t>
      </w:r>
      <w:r w:rsidR="0088246F" w:rsidRPr="00F633CE">
        <w:t xml:space="preserve">The </w:t>
      </w:r>
      <w:r w:rsidRPr="00F633CE">
        <w:t xml:space="preserve">ACMA is </w:t>
      </w:r>
      <w:r w:rsidR="008F79A8">
        <w:t>aware</w:t>
      </w:r>
      <w:r w:rsidR="008F79A8" w:rsidRPr="00F633CE">
        <w:t xml:space="preserve"> </w:t>
      </w:r>
      <w:r w:rsidRPr="00F633CE">
        <w:t xml:space="preserve">that this is a highly specialised market and the design of the procurement is critical to </w:t>
      </w:r>
      <w:r w:rsidR="00764037" w:rsidRPr="00F633CE">
        <w:t xml:space="preserve">its </w:t>
      </w:r>
      <w:r w:rsidRPr="00F633CE">
        <w:t xml:space="preserve">success. Should the ACMA be tasked with designing and conducting </w:t>
      </w:r>
      <w:r w:rsidR="00764037" w:rsidRPr="00F633CE">
        <w:t xml:space="preserve">such a </w:t>
      </w:r>
      <w:r w:rsidRPr="00F633CE">
        <w:t xml:space="preserve">tender, it would be mindful of relevant lessons from the previous competitive tendering processes for contestable USO services and Extended Zones arrangements. These include </w:t>
      </w:r>
      <w:r w:rsidR="0088246F" w:rsidRPr="00F633CE">
        <w:t xml:space="preserve">the importance of </w:t>
      </w:r>
      <w:r w:rsidRPr="00F633CE">
        <w:t xml:space="preserve">managing </w:t>
      </w:r>
      <w:r w:rsidR="00235537" w:rsidRPr="00F633CE">
        <w:t xml:space="preserve">the </w:t>
      </w:r>
      <w:r w:rsidRPr="00F633CE">
        <w:t>risk</w:t>
      </w:r>
      <w:r w:rsidR="00235537" w:rsidRPr="00F633CE">
        <w:t xml:space="preserve"> that a</w:t>
      </w:r>
      <w:r w:rsidRPr="00F633CE">
        <w:t xml:space="preserve"> tender </w:t>
      </w:r>
      <w:r w:rsidR="00235537" w:rsidRPr="00F633CE">
        <w:t xml:space="preserve">may </w:t>
      </w:r>
      <w:r w:rsidR="003C14AE" w:rsidRPr="00F633CE">
        <w:t xml:space="preserve">be </w:t>
      </w:r>
      <w:r w:rsidR="00235537" w:rsidRPr="00F633CE">
        <w:t xml:space="preserve">attractive </w:t>
      </w:r>
      <w:r w:rsidRPr="00F633CE">
        <w:t xml:space="preserve">to potential participants, </w:t>
      </w:r>
      <w:r w:rsidR="00235537" w:rsidRPr="00F633CE">
        <w:t>where</w:t>
      </w:r>
      <w:r w:rsidRPr="00F633CE">
        <w:t xml:space="preserve">: </w:t>
      </w:r>
    </w:p>
    <w:p w:rsidR="00402C3F" w:rsidRPr="00F633CE" w:rsidRDefault="00402C3F" w:rsidP="00335FF8">
      <w:pPr>
        <w:pStyle w:val="ListBullet"/>
        <w:numPr>
          <w:ilvl w:val="0"/>
          <w:numId w:val="13"/>
        </w:numPr>
        <w:rPr>
          <w:rFonts w:cs="Arial"/>
          <w:szCs w:val="20"/>
        </w:rPr>
      </w:pPr>
      <w:r w:rsidRPr="00F633CE">
        <w:rPr>
          <w:rFonts w:cs="Arial"/>
          <w:szCs w:val="20"/>
        </w:rPr>
        <w:t xml:space="preserve">the tender is divided into small areas or populations that are insufficient to create economies of scale </w:t>
      </w:r>
    </w:p>
    <w:p w:rsidR="00402C3F" w:rsidRPr="00F633CE" w:rsidRDefault="00402C3F" w:rsidP="00335FF8">
      <w:pPr>
        <w:pStyle w:val="ListBullet"/>
        <w:numPr>
          <w:ilvl w:val="0"/>
          <w:numId w:val="13"/>
        </w:numPr>
        <w:rPr>
          <w:rFonts w:cs="Arial"/>
          <w:szCs w:val="20"/>
        </w:rPr>
      </w:pPr>
      <w:r w:rsidRPr="00F633CE">
        <w:rPr>
          <w:rFonts w:cs="Arial"/>
          <w:szCs w:val="20"/>
        </w:rPr>
        <w:t>functional requirements are unnecessarily prescriptive about what features are to be delivered and how, discouraging cost-efficient or innovative solutions</w:t>
      </w:r>
    </w:p>
    <w:p w:rsidR="00402C3F" w:rsidRPr="00F633CE" w:rsidRDefault="00402C3F" w:rsidP="00335FF8">
      <w:pPr>
        <w:pStyle w:val="ListBullet"/>
        <w:numPr>
          <w:ilvl w:val="0"/>
          <w:numId w:val="13"/>
        </w:numPr>
        <w:rPr>
          <w:rFonts w:cs="Arial"/>
          <w:szCs w:val="20"/>
        </w:rPr>
      </w:pPr>
      <w:r w:rsidRPr="00F633CE">
        <w:rPr>
          <w:rFonts w:cs="Arial"/>
          <w:szCs w:val="20"/>
        </w:rPr>
        <w:t>one provider already owns a large proportion of existing fixed network infrastructure in a given area, which may give it a competitive advantage due to these costs being sunk</w:t>
      </w:r>
    </w:p>
    <w:p w:rsidR="00402C3F" w:rsidRPr="00F633CE" w:rsidRDefault="00402C3F" w:rsidP="00227D55">
      <w:pPr>
        <w:pStyle w:val="ListBullet"/>
        <w:numPr>
          <w:ilvl w:val="0"/>
          <w:numId w:val="13"/>
        </w:numPr>
        <w:spacing w:after="240"/>
        <w:rPr>
          <w:rFonts w:cs="Arial"/>
          <w:szCs w:val="20"/>
        </w:rPr>
      </w:pPr>
      <w:r w:rsidRPr="00F633CE">
        <w:rPr>
          <w:rFonts w:cs="Arial"/>
          <w:szCs w:val="20"/>
        </w:rPr>
        <w:t>the tender specifies a predetermined subsidy or contract period that limit</w:t>
      </w:r>
      <w:r w:rsidR="008F79A8">
        <w:rPr>
          <w:rFonts w:cs="Arial"/>
          <w:szCs w:val="20"/>
        </w:rPr>
        <w:t>s</w:t>
      </w:r>
      <w:r w:rsidRPr="00F633CE">
        <w:rPr>
          <w:rFonts w:cs="Arial"/>
          <w:szCs w:val="20"/>
        </w:rPr>
        <w:t xml:space="preserve"> the ability to achieve a reasonable return on investment. </w:t>
      </w:r>
    </w:p>
    <w:p w:rsidR="002F574F" w:rsidRPr="00F633CE" w:rsidRDefault="00FB1C8C" w:rsidP="00B00E8B">
      <w:pPr>
        <w:spacing w:after="80"/>
        <w:rPr>
          <w:rFonts w:cs="Arial"/>
          <w:szCs w:val="20"/>
        </w:rPr>
      </w:pPr>
      <w:r w:rsidRPr="00F633CE">
        <w:rPr>
          <w:rFonts w:cs="Arial"/>
          <w:szCs w:val="20"/>
        </w:rPr>
        <w:t>D</w:t>
      </w:r>
      <w:r w:rsidR="00CA249E" w:rsidRPr="00F633CE">
        <w:rPr>
          <w:rFonts w:cs="Arial"/>
          <w:szCs w:val="20"/>
        </w:rPr>
        <w:t xml:space="preserve">ecisions </w:t>
      </w:r>
      <w:r w:rsidR="00402C3F" w:rsidRPr="00F633CE">
        <w:rPr>
          <w:rFonts w:cs="Arial"/>
          <w:szCs w:val="20"/>
        </w:rPr>
        <w:t xml:space="preserve">regarding </w:t>
      </w:r>
      <w:r w:rsidR="00CA249E" w:rsidRPr="00F633CE">
        <w:rPr>
          <w:rFonts w:cs="Arial"/>
          <w:szCs w:val="20"/>
        </w:rPr>
        <w:t xml:space="preserve">the provision of </w:t>
      </w:r>
      <w:r w:rsidR="0055738F" w:rsidRPr="00F633CE">
        <w:rPr>
          <w:rFonts w:cs="Arial"/>
          <w:szCs w:val="20"/>
        </w:rPr>
        <w:t xml:space="preserve">retail voice services within </w:t>
      </w:r>
      <w:r w:rsidR="00B00E8B" w:rsidRPr="00F633CE">
        <w:rPr>
          <w:rFonts w:cs="Arial"/>
          <w:szCs w:val="20"/>
        </w:rPr>
        <w:t>NBN</w:t>
      </w:r>
      <w:r w:rsidR="00CA249E" w:rsidRPr="00F633CE">
        <w:rPr>
          <w:rFonts w:cs="Arial"/>
          <w:szCs w:val="20"/>
        </w:rPr>
        <w:t>’s satellite footprint</w:t>
      </w:r>
      <w:r w:rsidR="008F79A8">
        <w:rPr>
          <w:rFonts w:cs="Arial"/>
          <w:szCs w:val="20"/>
        </w:rPr>
        <w:t xml:space="preserve">, </w:t>
      </w:r>
      <w:r w:rsidR="00CA249E" w:rsidRPr="00F633CE">
        <w:rPr>
          <w:rFonts w:cs="Arial"/>
          <w:szCs w:val="20"/>
        </w:rPr>
        <w:t>if required</w:t>
      </w:r>
      <w:r w:rsidR="008F79A8">
        <w:rPr>
          <w:rFonts w:cs="Arial"/>
          <w:szCs w:val="20"/>
        </w:rPr>
        <w:t xml:space="preserve">, </w:t>
      </w:r>
      <w:r w:rsidR="002070F2" w:rsidRPr="00F633CE">
        <w:rPr>
          <w:rFonts w:cs="Arial"/>
          <w:szCs w:val="20"/>
        </w:rPr>
        <w:t>are</w:t>
      </w:r>
      <w:r w:rsidR="00CA249E" w:rsidRPr="00F633CE">
        <w:rPr>
          <w:rFonts w:cs="Arial"/>
          <w:szCs w:val="20"/>
        </w:rPr>
        <w:t xml:space="preserve"> ultimately a matter for </w:t>
      </w:r>
      <w:r w:rsidR="008F79A8">
        <w:rPr>
          <w:rFonts w:cs="Arial"/>
          <w:szCs w:val="20"/>
        </w:rPr>
        <w:t>g</w:t>
      </w:r>
      <w:r w:rsidR="00CA249E" w:rsidRPr="00F633CE">
        <w:rPr>
          <w:rFonts w:cs="Arial"/>
          <w:szCs w:val="20"/>
        </w:rPr>
        <w:t>overnment</w:t>
      </w:r>
      <w:r w:rsidRPr="00F633CE">
        <w:rPr>
          <w:rFonts w:cs="Arial"/>
          <w:szCs w:val="20"/>
        </w:rPr>
        <w:t>. However</w:t>
      </w:r>
      <w:r w:rsidR="00CA249E" w:rsidRPr="00F633CE">
        <w:rPr>
          <w:rFonts w:cs="Arial"/>
          <w:szCs w:val="20"/>
        </w:rPr>
        <w:t>, the ACMA considers itself well placed to design and conduct any such tendering arrangements.</w:t>
      </w:r>
      <w:r w:rsidR="00B00E8B" w:rsidRPr="00F633CE">
        <w:rPr>
          <w:rFonts w:cs="Arial"/>
          <w:szCs w:val="20"/>
        </w:rPr>
        <w:t xml:space="preserve"> In particular, the </w:t>
      </w:r>
      <w:r w:rsidR="00CA249E" w:rsidRPr="00F633CE">
        <w:rPr>
          <w:rFonts w:cs="Arial"/>
          <w:szCs w:val="20"/>
        </w:rPr>
        <w:t>ACMA</w:t>
      </w:r>
      <w:r w:rsidR="00B00E8B" w:rsidRPr="00F633CE">
        <w:rPr>
          <w:rFonts w:cs="Arial"/>
          <w:szCs w:val="20"/>
        </w:rPr>
        <w:t xml:space="preserve"> notes that it possesses</w:t>
      </w:r>
      <w:r w:rsidR="002F574F" w:rsidRPr="00F633CE">
        <w:rPr>
          <w:rFonts w:cs="Arial"/>
          <w:szCs w:val="20"/>
        </w:rPr>
        <w:t>:</w:t>
      </w:r>
      <w:r w:rsidR="00CA249E" w:rsidRPr="00F633CE">
        <w:rPr>
          <w:rFonts w:cs="Arial"/>
          <w:szCs w:val="20"/>
        </w:rPr>
        <w:t xml:space="preserve"> </w:t>
      </w:r>
    </w:p>
    <w:p w:rsidR="002F574F" w:rsidRPr="00F633CE" w:rsidRDefault="00B00E8B" w:rsidP="006B73E0">
      <w:pPr>
        <w:pStyle w:val="ListBullet"/>
        <w:numPr>
          <w:ilvl w:val="0"/>
          <w:numId w:val="13"/>
        </w:numPr>
        <w:rPr>
          <w:rFonts w:cs="Arial"/>
          <w:szCs w:val="20"/>
        </w:rPr>
      </w:pPr>
      <w:r w:rsidRPr="00F633CE">
        <w:rPr>
          <w:rFonts w:cs="Arial"/>
          <w:szCs w:val="20"/>
        </w:rPr>
        <w:t xml:space="preserve">knowledge and expertise </w:t>
      </w:r>
      <w:r w:rsidR="00FB1C8C" w:rsidRPr="00F633CE">
        <w:rPr>
          <w:rFonts w:cs="Arial"/>
          <w:szCs w:val="20"/>
        </w:rPr>
        <w:t>regarding</w:t>
      </w:r>
      <w:r w:rsidRPr="00F633CE">
        <w:rPr>
          <w:rFonts w:cs="Arial"/>
          <w:szCs w:val="20"/>
        </w:rPr>
        <w:t xml:space="preserve"> </w:t>
      </w:r>
      <w:r w:rsidR="00CA249E" w:rsidRPr="00F633CE">
        <w:rPr>
          <w:rFonts w:cs="Arial"/>
          <w:szCs w:val="20"/>
        </w:rPr>
        <w:t xml:space="preserve">current and emerging telecommunications technologies </w:t>
      </w:r>
    </w:p>
    <w:p w:rsidR="00CA249E" w:rsidRPr="00F633CE" w:rsidRDefault="00CA249E" w:rsidP="006B73E0">
      <w:pPr>
        <w:pStyle w:val="ListBullet"/>
        <w:numPr>
          <w:ilvl w:val="0"/>
          <w:numId w:val="13"/>
        </w:numPr>
        <w:rPr>
          <w:rFonts w:cs="Arial"/>
          <w:szCs w:val="20"/>
        </w:rPr>
      </w:pPr>
      <w:r w:rsidRPr="00F633CE">
        <w:rPr>
          <w:rFonts w:cs="Arial"/>
          <w:szCs w:val="20"/>
        </w:rPr>
        <w:t>experience in adjusting regulatory settings in response to distinctive features of new technologies</w:t>
      </w:r>
    </w:p>
    <w:p w:rsidR="00CA249E" w:rsidRPr="00F633CE" w:rsidRDefault="00CA249E" w:rsidP="00B00E8B">
      <w:pPr>
        <w:pStyle w:val="ListBullet"/>
        <w:numPr>
          <w:ilvl w:val="0"/>
          <w:numId w:val="13"/>
        </w:numPr>
        <w:spacing w:after="240"/>
        <w:rPr>
          <w:rFonts w:cs="Arial"/>
          <w:szCs w:val="20"/>
        </w:rPr>
      </w:pPr>
      <w:r w:rsidRPr="00F633CE">
        <w:rPr>
          <w:rFonts w:cs="Arial"/>
          <w:szCs w:val="20"/>
        </w:rPr>
        <w:t>economic expertise</w:t>
      </w:r>
      <w:r w:rsidR="00875587" w:rsidRPr="00F633CE">
        <w:rPr>
          <w:rFonts w:cs="Arial"/>
          <w:szCs w:val="20"/>
        </w:rPr>
        <w:t>,</w:t>
      </w:r>
      <w:r w:rsidRPr="00F633CE">
        <w:rPr>
          <w:rFonts w:cs="Arial"/>
          <w:szCs w:val="20"/>
        </w:rPr>
        <w:t xml:space="preserve"> applied in recent years </w:t>
      </w:r>
      <w:r w:rsidR="002070F2" w:rsidRPr="00F633CE">
        <w:rPr>
          <w:rFonts w:cs="Arial"/>
          <w:szCs w:val="20"/>
        </w:rPr>
        <w:t>to</w:t>
      </w:r>
      <w:r w:rsidRPr="00F633CE">
        <w:rPr>
          <w:rFonts w:cs="Arial"/>
          <w:szCs w:val="20"/>
        </w:rPr>
        <w:t xml:space="preserve"> </w:t>
      </w:r>
      <w:r w:rsidR="002F574F" w:rsidRPr="00F633CE">
        <w:rPr>
          <w:rFonts w:cs="Arial"/>
          <w:szCs w:val="20"/>
        </w:rPr>
        <w:t>the</w:t>
      </w:r>
      <w:r w:rsidRPr="00F633CE">
        <w:rPr>
          <w:rFonts w:cs="Arial"/>
          <w:szCs w:val="20"/>
        </w:rPr>
        <w:t xml:space="preserve"> design and implementation of complex spectrum pricing and allocation arrangements. </w:t>
      </w:r>
    </w:p>
    <w:p w:rsidR="00FB1C8C" w:rsidRPr="000B4BB5" w:rsidRDefault="00FB1C8C" w:rsidP="00227D55">
      <w:pPr>
        <w:pStyle w:val="Heading2"/>
        <w:rPr>
          <w:noProof/>
        </w:rPr>
      </w:pPr>
      <w:bookmarkStart w:id="9" w:name="_Toc474494252"/>
      <w:r>
        <w:rPr>
          <w:noProof/>
        </w:rPr>
        <w:lastRenderedPageBreak/>
        <w:t>Retail provider of last resort</w:t>
      </w:r>
      <w:bookmarkEnd w:id="9"/>
    </w:p>
    <w:p w:rsidR="00CA249E" w:rsidRPr="00CA0618" w:rsidRDefault="00CA249E" w:rsidP="008333E3">
      <w:pPr>
        <w:spacing w:after="80"/>
      </w:pPr>
      <w:r w:rsidRPr="00CA0618">
        <w:rPr>
          <w:rFonts w:cs="Arial"/>
          <w:szCs w:val="20"/>
        </w:rPr>
        <w:t xml:space="preserve">An important precursor to </w:t>
      </w:r>
      <w:r w:rsidR="007B48D6">
        <w:rPr>
          <w:rFonts w:cs="Arial"/>
          <w:szCs w:val="20"/>
        </w:rPr>
        <w:t xml:space="preserve">deciding whether a tender is required </w:t>
      </w:r>
      <w:r w:rsidRPr="00CA0618">
        <w:rPr>
          <w:rFonts w:cs="Arial"/>
          <w:szCs w:val="20"/>
        </w:rPr>
        <w:t xml:space="preserve">will be </w:t>
      </w:r>
      <w:r w:rsidR="003656ED">
        <w:rPr>
          <w:rFonts w:cs="Arial"/>
          <w:szCs w:val="20"/>
        </w:rPr>
        <w:t>identifying</w:t>
      </w:r>
      <w:r w:rsidRPr="00CA0618">
        <w:rPr>
          <w:rFonts w:cs="Arial"/>
          <w:szCs w:val="20"/>
        </w:rPr>
        <w:t xml:space="preserve"> those </w:t>
      </w:r>
      <w:r w:rsidRPr="00CA0618">
        <w:t>geographic areas where there is no (or minimal) retail provider presence</w:t>
      </w:r>
      <w:r w:rsidR="00AB76C9" w:rsidRPr="00CA0618">
        <w:t xml:space="preserve"> </w:t>
      </w:r>
      <w:r w:rsidR="008F79A8">
        <w:t>for the delivery</w:t>
      </w:r>
      <w:r w:rsidR="008F79A8" w:rsidRPr="00CA0618">
        <w:t xml:space="preserve"> </w:t>
      </w:r>
      <w:r w:rsidR="008F79A8">
        <w:t xml:space="preserve">of </w:t>
      </w:r>
      <w:r w:rsidR="00AB76C9" w:rsidRPr="00CA0618">
        <w:t>a service</w:t>
      </w:r>
      <w:r w:rsidRPr="00CA0618">
        <w:t xml:space="preserve">. The identification of </w:t>
      </w:r>
      <w:r w:rsidR="00E348D5" w:rsidRPr="00CA0618">
        <w:t xml:space="preserve">these </w:t>
      </w:r>
      <w:r w:rsidRPr="00CA0618">
        <w:t xml:space="preserve">areas, and the potential number of consumers in areas requiring a service, will be important </w:t>
      </w:r>
      <w:r w:rsidR="003656ED">
        <w:t>to successfully meet</w:t>
      </w:r>
      <w:r w:rsidRPr="00CA0618">
        <w:t xml:space="preserve"> the proposed universal service objective. </w:t>
      </w:r>
      <w:r w:rsidR="00E348D5" w:rsidRPr="00CA0618">
        <w:t xml:space="preserve">A key issue will be to ensure that any lag in service provision is minimised. </w:t>
      </w:r>
      <w:r w:rsidR="00235537">
        <w:t>Important</w:t>
      </w:r>
      <w:r w:rsidR="00235537" w:rsidRPr="00CA0618">
        <w:t xml:space="preserve"> </w:t>
      </w:r>
      <w:r w:rsidRPr="00CA0618">
        <w:t xml:space="preserve">factors </w:t>
      </w:r>
      <w:r w:rsidR="00E348D5" w:rsidRPr="00CA0618">
        <w:t>to</w:t>
      </w:r>
      <w:r w:rsidRPr="00CA0618">
        <w:t xml:space="preserve"> </w:t>
      </w:r>
      <w:r w:rsidR="00E348D5" w:rsidRPr="00CA0618">
        <w:t>consider, irrespective</w:t>
      </w:r>
      <w:r w:rsidRPr="00CA0618">
        <w:t xml:space="preserve"> of whether or not tendering arrangements are ultimately used, include: </w:t>
      </w:r>
    </w:p>
    <w:p w:rsidR="00CA249E" w:rsidRPr="00CA0618" w:rsidRDefault="00CA249E" w:rsidP="006B73E0">
      <w:pPr>
        <w:pStyle w:val="ListBullet"/>
        <w:numPr>
          <w:ilvl w:val="0"/>
          <w:numId w:val="13"/>
        </w:numPr>
        <w:rPr>
          <w:rFonts w:cs="Arial"/>
          <w:szCs w:val="20"/>
        </w:rPr>
      </w:pPr>
      <w:r w:rsidRPr="00CA0618">
        <w:rPr>
          <w:rFonts w:cs="Arial"/>
          <w:szCs w:val="20"/>
        </w:rPr>
        <w:t>mechanisms to identify consumers requiring a service</w:t>
      </w:r>
    </w:p>
    <w:p w:rsidR="00CA249E" w:rsidRPr="00CA0618" w:rsidRDefault="00CA249E" w:rsidP="006B73E0">
      <w:pPr>
        <w:pStyle w:val="ListBullet"/>
        <w:numPr>
          <w:ilvl w:val="0"/>
          <w:numId w:val="13"/>
        </w:numPr>
        <w:rPr>
          <w:rFonts w:cs="Arial"/>
          <w:szCs w:val="20"/>
        </w:rPr>
      </w:pPr>
      <w:r w:rsidRPr="00CA0618">
        <w:rPr>
          <w:rFonts w:cs="Arial"/>
          <w:szCs w:val="20"/>
        </w:rPr>
        <w:t>estimating the number of customers and geographical vicinity of those customers to each other</w:t>
      </w:r>
    </w:p>
    <w:p w:rsidR="00645628" w:rsidRPr="00645628" w:rsidRDefault="00AB76C9" w:rsidP="007B37B2">
      <w:pPr>
        <w:pStyle w:val="ListBullet"/>
        <w:numPr>
          <w:ilvl w:val="0"/>
          <w:numId w:val="13"/>
        </w:numPr>
        <w:spacing w:after="240"/>
      </w:pPr>
      <w:r w:rsidRPr="003656ED">
        <w:rPr>
          <w:rFonts w:cs="Arial"/>
          <w:szCs w:val="20"/>
        </w:rPr>
        <w:t xml:space="preserve">in the case of voice services, </w:t>
      </w:r>
      <w:r w:rsidR="00CA249E" w:rsidRPr="003656ED">
        <w:rPr>
          <w:rFonts w:cs="Arial"/>
          <w:szCs w:val="20"/>
        </w:rPr>
        <w:t>assessing the extent to which existing infrastructure can</w:t>
      </w:r>
      <w:r w:rsidR="00CA249E" w:rsidRPr="003656ED">
        <w:rPr>
          <w:rFonts w:eastAsia="Calibri" w:cs="Arial"/>
          <w:szCs w:val="20"/>
        </w:rPr>
        <w:t xml:space="preserve"> be </w:t>
      </w:r>
      <w:r w:rsidR="000F6B47">
        <w:rPr>
          <w:rFonts w:eastAsia="Calibri" w:cs="Arial"/>
          <w:szCs w:val="20"/>
        </w:rPr>
        <w:t xml:space="preserve">adequately </w:t>
      </w:r>
      <w:r w:rsidR="00CA249E" w:rsidRPr="003656ED">
        <w:rPr>
          <w:rFonts w:eastAsia="Calibri" w:cs="Arial"/>
          <w:szCs w:val="20"/>
        </w:rPr>
        <w:t>utilised</w:t>
      </w:r>
      <w:r w:rsidR="007B48D6">
        <w:rPr>
          <w:rFonts w:eastAsia="Calibri" w:cs="Arial"/>
          <w:szCs w:val="20"/>
        </w:rPr>
        <w:t xml:space="preserve"> to deliver a baseline service</w:t>
      </w:r>
      <w:r w:rsidR="00B13840">
        <w:rPr>
          <w:rFonts w:eastAsia="Calibri" w:cs="Arial"/>
          <w:szCs w:val="20"/>
        </w:rPr>
        <w:t>.</w:t>
      </w:r>
      <w:r w:rsidR="00CA249E" w:rsidRPr="003656ED">
        <w:rPr>
          <w:rFonts w:eastAsia="Calibri" w:cs="Arial"/>
          <w:szCs w:val="20"/>
        </w:rPr>
        <w:t xml:space="preserve"> </w:t>
      </w:r>
    </w:p>
    <w:p w:rsidR="00FF3C69" w:rsidRDefault="00A5499B" w:rsidP="00FF3C69">
      <w:pPr>
        <w:pStyle w:val="Heading1"/>
      </w:pPr>
      <w:bookmarkStart w:id="10" w:name="_Toc474494253"/>
      <w:r>
        <w:lastRenderedPageBreak/>
        <w:t>Transitional issues</w:t>
      </w:r>
      <w:bookmarkEnd w:id="10"/>
    </w:p>
    <w:p w:rsidR="00AE6696" w:rsidRPr="0064182F" w:rsidRDefault="00AE6696" w:rsidP="008F79A8">
      <w:pPr>
        <w:pStyle w:val="Heading2"/>
      </w:pPr>
      <w:bookmarkStart w:id="11" w:name="_Toc472510621"/>
      <w:bookmarkStart w:id="12" w:name="_Toc474494254"/>
      <w:bookmarkStart w:id="13" w:name="TransitionsIntro"/>
      <w:r>
        <w:t>Overview of</w:t>
      </w:r>
      <w:r w:rsidRPr="00490A55">
        <w:t xml:space="preserve"> </w:t>
      </w:r>
      <w:r w:rsidRPr="008F79A8">
        <w:t>transitional</w:t>
      </w:r>
      <w:r w:rsidRPr="00490A55">
        <w:t xml:space="preserve"> </w:t>
      </w:r>
      <w:r>
        <w:t>considerations</w:t>
      </w:r>
      <w:bookmarkEnd w:id="11"/>
      <w:bookmarkEnd w:id="12"/>
    </w:p>
    <w:p w:rsidR="00AE6696" w:rsidRDefault="00C97A71" w:rsidP="006E2209">
      <w:r>
        <w:t xml:space="preserve">If the </w:t>
      </w:r>
      <w:r w:rsidR="008F79A8">
        <w:t>g</w:t>
      </w:r>
      <w:r>
        <w:t xml:space="preserve">overnment adopts the draft recommendations, it </w:t>
      </w:r>
      <w:r w:rsidR="00AE6696">
        <w:t xml:space="preserve">will be important to determine </w:t>
      </w:r>
      <w:r>
        <w:t xml:space="preserve">the most </w:t>
      </w:r>
      <w:r w:rsidR="00AE6696">
        <w:t xml:space="preserve">appropriate transition pathway from the existing USO to </w:t>
      </w:r>
      <w:r w:rsidR="00D06A78">
        <w:t xml:space="preserve">a </w:t>
      </w:r>
      <w:r w:rsidR="00AE6696">
        <w:t>new universal service framework. I</w:t>
      </w:r>
      <w:r w:rsidR="00057C27">
        <w:t>t is clearly in everyone’s interest for</w:t>
      </w:r>
      <w:r w:rsidR="00AE6696">
        <w:t xml:space="preserve"> this transition process </w:t>
      </w:r>
      <w:r w:rsidR="00057C27">
        <w:t>to</w:t>
      </w:r>
      <w:r w:rsidR="00AE6696">
        <w:t xml:space="preserve"> occur as smoothly as possible for all stakeholders (consumers, industry and government)</w:t>
      </w:r>
      <w:r w:rsidR="002649A4">
        <w:t xml:space="preserve">. </w:t>
      </w:r>
    </w:p>
    <w:p w:rsidR="00AE6696" w:rsidRDefault="00AE6696" w:rsidP="009F47B8">
      <w:pPr>
        <w:spacing w:after="80"/>
      </w:pPr>
      <w:r>
        <w:t>The PC has identified that the Telstra Universal Service Obligation Performance Agreement (TUSOP Agreement) currently in place between Telstra and the Australian Government</w:t>
      </w:r>
      <w:r w:rsidR="00D06A78">
        <w:t xml:space="preserve"> would need to be re-negotiated </w:t>
      </w:r>
      <w:r>
        <w:t xml:space="preserve">to phase out both the </w:t>
      </w:r>
      <w:r w:rsidR="00514310">
        <w:t>Standard Telephone Service (</w:t>
      </w:r>
      <w:r>
        <w:t>STS</w:t>
      </w:r>
      <w:r w:rsidR="00514310">
        <w:t>)</w:t>
      </w:r>
      <w:r>
        <w:t xml:space="preserve"> and payphone USO modules.</w:t>
      </w:r>
      <w:r w:rsidR="00583943">
        <w:rPr>
          <w:rStyle w:val="FootnoteReference"/>
        </w:rPr>
        <w:footnoteReference w:id="10"/>
      </w:r>
      <w:r>
        <w:t xml:space="preserve"> The ACMA</w:t>
      </w:r>
      <w:r w:rsidR="00D06A78">
        <w:t xml:space="preserve"> </w:t>
      </w:r>
      <w:r w:rsidR="009F47B8">
        <w:t xml:space="preserve">is of the view </w:t>
      </w:r>
      <w:r w:rsidR="00D06A78">
        <w:t>that</w:t>
      </w:r>
      <w:r w:rsidR="009F47B8">
        <w:t>, in connection with any renegotiation,</w:t>
      </w:r>
      <w:r w:rsidR="00D06A78">
        <w:t xml:space="preserve"> the </w:t>
      </w:r>
      <w:r w:rsidR="00CC3A83">
        <w:t>g</w:t>
      </w:r>
      <w:r w:rsidR="00D06A78">
        <w:t>overnment may wish</w:t>
      </w:r>
      <w:r>
        <w:t xml:space="preserve"> to consider whether</w:t>
      </w:r>
      <w:r w:rsidR="009F47B8">
        <w:t xml:space="preserve"> primary and secondary legislative instruments that underpin the existing USO regime may need to be modified. These instruments comprise:</w:t>
      </w:r>
    </w:p>
    <w:p w:rsidR="009F47B8" w:rsidRPr="009F47B8" w:rsidRDefault="009F47B8" w:rsidP="006B73E0">
      <w:pPr>
        <w:pStyle w:val="ListBullet"/>
        <w:numPr>
          <w:ilvl w:val="0"/>
          <w:numId w:val="13"/>
        </w:numPr>
        <w:rPr>
          <w:rFonts w:cs="Arial"/>
          <w:i/>
          <w:szCs w:val="20"/>
        </w:rPr>
      </w:pPr>
      <w:r>
        <w:t xml:space="preserve">Part 2 and Schedule 2 of the </w:t>
      </w:r>
      <w:r w:rsidRPr="00B47A0B">
        <w:rPr>
          <w:i/>
        </w:rPr>
        <w:t>Telecommunications (Consumer Protection and Service Standards) Act 1999</w:t>
      </w:r>
      <w:r>
        <w:t xml:space="preserve"> (TCPSS Act)</w:t>
      </w:r>
    </w:p>
    <w:p w:rsidR="009F47B8" w:rsidRPr="00227D55" w:rsidRDefault="009F47B8" w:rsidP="006B73E0">
      <w:pPr>
        <w:pStyle w:val="ListBullet"/>
        <w:numPr>
          <w:ilvl w:val="0"/>
          <w:numId w:val="13"/>
        </w:numPr>
        <w:rPr>
          <w:rFonts w:cs="Arial"/>
          <w:szCs w:val="20"/>
        </w:rPr>
      </w:pPr>
      <w:r w:rsidRPr="00227D55">
        <w:t>Carrier Licence Conditions (Telstra Corporation Limited) Declaration 1997</w:t>
      </w:r>
    </w:p>
    <w:p w:rsidR="00AE6696" w:rsidRPr="00227D55" w:rsidRDefault="00AE6696" w:rsidP="006B73E0">
      <w:pPr>
        <w:pStyle w:val="ListBullet"/>
        <w:numPr>
          <w:ilvl w:val="0"/>
          <w:numId w:val="13"/>
        </w:numPr>
        <w:rPr>
          <w:rFonts w:cs="Arial"/>
          <w:szCs w:val="20"/>
        </w:rPr>
      </w:pPr>
      <w:r w:rsidRPr="00227D55">
        <w:rPr>
          <w:rFonts w:cs="Arial"/>
          <w:szCs w:val="20"/>
        </w:rPr>
        <w:t>Telecommunications Universal Service Obligation (Standard Telephone Service–Requirements and Circumstances) Determination (No.1) 2011</w:t>
      </w:r>
    </w:p>
    <w:p w:rsidR="00891720" w:rsidRPr="00227D55" w:rsidRDefault="00891720" w:rsidP="00891720">
      <w:pPr>
        <w:pStyle w:val="ListBullet"/>
        <w:numPr>
          <w:ilvl w:val="0"/>
          <w:numId w:val="13"/>
        </w:numPr>
      </w:pPr>
      <w:r w:rsidRPr="00227D55">
        <w:t>Telecommunications Universal Service Obligation (Payphone Performance Standards) Determination (No. 1) 2011</w:t>
      </w:r>
    </w:p>
    <w:p w:rsidR="00891720" w:rsidRPr="00227D55" w:rsidRDefault="00597974" w:rsidP="00891720">
      <w:pPr>
        <w:pStyle w:val="ListBullet"/>
        <w:numPr>
          <w:ilvl w:val="0"/>
          <w:numId w:val="13"/>
        </w:numPr>
      </w:pPr>
      <w:hyperlink r:id="rId37" w:history="1">
        <w:r w:rsidR="00891720" w:rsidRPr="00227D55">
          <w:t>Telecommunications Universal Service Obligation (Payphone Performance Benchmarks) Instrument (No. 1) 2011</w:t>
        </w:r>
      </w:hyperlink>
    </w:p>
    <w:p w:rsidR="00891720" w:rsidRPr="00227D55" w:rsidRDefault="00597974" w:rsidP="00891720">
      <w:pPr>
        <w:pStyle w:val="ListBullet"/>
        <w:numPr>
          <w:ilvl w:val="0"/>
          <w:numId w:val="13"/>
        </w:numPr>
      </w:pPr>
      <w:hyperlink r:id="rId38" w:history="1">
        <w:r w:rsidR="00891720" w:rsidRPr="00227D55">
          <w:t>Telecommunications Universal Service Obligation (Location of Payphones) Determination 2011</w:t>
        </w:r>
      </w:hyperlink>
    </w:p>
    <w:p w:rsidR="00AE6696" w:rsidRPr="00227D55" w:rsidRDefault="00AE6696" w:rsidP="006B73E0">
      <w:pPr>
        <w:pStyle w:val="ListBullet"/>
        <w:numPr>
          <w:ilvl w:val="0"/>
          <w:numId w:val="13"/>
        </w:numPr>
        <w:rPr>
          <w:rFonts w:cs="Arial"/>
          <w:szCs w:val="20"/>
        </w:rPr>
      </w:pPr>
      <w:r w:rsidRPr="00227D55">
        <w:rPr>
          <w:rFonts w:cs="Arial"/>
          <w:szCs w:val="20"/>
        </w:rPr>
        <w:t>Telecommunications Universal Obligation (Payphone Complaint Rules) Determination 2011</w:t>
      </w:r>
    </w:p>
    <w:p w:rsidR="00AE6696" w:rsidRPr="00227D55" w:rsidRDefault="00AE6696" w:rsidP="009F47B8">
      <w:pPr>
        <w:pStyle w:val="ListBullet"/>
        <w:numPr>
          <w:ilvl w:val="0"/>
          <w:numId w:val="13"/>
        </w:numPr>
        <w:spacing w:after="240"/>
        <w:rPr>
          <w:rFonts w:cs="Arial"/>
          <w:szCs w:val="20"/>
        </w:rPr>
      </w:pPr>
      <w:r w:rsidRPr="00227D55">
        <w:rPr>
          <w:rFonts w:cs="Arial"/>
          <w:szCs w:val="20"/>
        </w:rPr>
        <w:t>Telecommunications Universal Obligation (Payphone Public Consultation on the Location or Removal of Payphones) Determination 2011</w:t>
      </w:r>
      <w:r w:rsidR="00D06A78" w:rsidRPr="00227D55">
        <w:rPr>
          <w:rFonts w:cs="Arial"/>
          <w:szCs w:val="20"/>
        </w:rPr>
        <w:t>.</w:t>
      </w:r>
    </w:p>
    <w:p w:rsidR="00AE6696" w:rsidRDefault="00AE6696" w:rsidP="00D53F2C">
      <w:pPr>
        <w:pStyle w:val="ListBullet"/>
        <w:tabs>
          <w:tab w:val="clear" w:pos="295"/>
        </w:tabs>
        <w:ind w:left="0" w:firstLine="0"/>
      </w:pPr>
      <w:r>
        <w:t xml:space="preserve">The </w:t>
      </w:r>
      <w:r w:rsidR="00D06A78">
        <w:t>form and timing of</w:t>
      </w:r>
      <w:r w:rsidR="00CF3513">
        <w:t xml:space="preserve"> </w:t>
      </w:r>
      <w:r>
        <w:t>such changes will be integral to a smooth transition.</w:t>
      </w:r>
      <w:r w:rsidRPr="00183542">
        <w:t xml:space="preserve"> </w:t>
      </w:r>
      <w:r>
        <w:t xml:space="preserve">In this section of the submission, the ACMA </w:t>
      </w:r>
      <w:r w:rsidR="009F47B8">
        <w:t xml:space="preserve">examines </w:t>
      </w:r>
      <w:r>
        <w:t xml:space="preserve">key </w:t>
      </w:r>
      <w:r w:rsidR="00EA1EB4">
        <w:t xml:space="preserve">transitional </w:t>
      </w:r>
      <w:r>
        <w:t>issues</w:t>
      </w:r>
      <w:r w:rsidR="00EA1EB4">
        <w:t>.</w:t>
      </w:r>
      <w:r>
        <w:t xml:space="preserve"> </w:t>
      </w:r>
    </w:p>
    <w:p w:rsidR="00AE6696" w:rsidRDefault="00AE6696" w:rsidP="00CC3A83">
      <w:pPr>
        <w:pStyle w:val="Heading2"/>
      </w:pPr>
      <w:bookmarkStart w:id="14" w:name="_Toc472510622"/>
      <w:bookmarkStart w:id="15" w:name="_Toc474494255"/>
      <w:bookmarkStart w:id="16" w:name="TransitionsOther"/>
      <w:bookmarkEnd w:id="13"/>
      <w:r w:rsidRPr="00093955">
        <w:t xml:space="preserve">Timeframe for </w:t>
      </w:r>
      <w:r w:rsidRPr="00CC3A83">
        <w:t>transition</w:t>
      </w:r>
      <w:bookmarkEnd w:id="14"/>
      <w:bookmarkEnd w:id="15"/>
    </w:p>
    <w:p w:rsidR="00AE6696" w:rsidRPr="00227D55" w:rsidRDefault="00AE6696" w:rsidP="006E2209">
      <w:r w:rsidRPr="00F633CE">
        <w:t xml:space="preserve">The most appropriate time to withdraw the </w:t>
      </w:r>
      <w:r w:rsidR="00CF3513" w:rsidRPr="00F633CE">
        <w:t xml:space="preserve">current </w:t>
      </w:r>
      <w:r w:rsidRPr="00F633CE">
        <w:t xml:space="preserve">USO should be a key consideration when developing transitional arrangements. While some of the transitional options proposed by the PC would result in removing the USO quickly, this is likely to add </w:t>
      </w:r>
      <w:r w:rsidR="002649A4" w:rsidRPr="00CC3A83">
        <w:t xml:space="preserve">additional </w:t>
      </w:r>
      <w:r w:rsidRPr="00CC3A83">
        <w:t>complexity</w:t>
      </w:r>
      <w:r w:rsidR="002649A4" w:rsidRPr="00CC3A83">
        <w:t xml:space="preserve"> to</w:t>
      </w:r>
      <w:r w:rsidRPr="00CC3A83">
        <w:t xml:space="preserve"> contractual negotiations and any complementary legislative changes.</w:t>
      </w:r>
    </w:p>
    <w:p w:rsidR="00AE6696" w:rsidRDefault="00AE6696" w:rsidP="006E2209">
      <w:r>
        <w:t xml:space="preserve">The </w:t>
      </w:r>
      <w:r w:rsidR="009F47B8">
        <w:t xml:space="preserve">development of transitional arrangements </w:t>
      </w:r>
      <w:r>
        <w:t xml:space="preserve">should also take into account the potential interaction between a new universal service objective and other related telecommunications consumer safeguards. This </w:t>
      </w:r>
      <w:r w:rsidR="009F47B8">
        <w:t xml:space="preserve">topic </w:t>
      </w:r>
      <w:r>
        <w:t xml:space="preserve">is discussed in the next section of this submission. </w:t>
      </w:r>
    </w:p>
    <w:p w:rsidR="009F47B8" w:rsidRDefault="009F47B8" w:rsidP="006E2209">
      <w:r>
        <w:lastRenderedPageBreak/>
        <w:t xml:space="preserve">Above all, the transitional arrangements should </w:t>
      </w:r>
      <w:r w:rsidR="00AE6696">
        <w:t xml:space="preserve">ensure that </w:t>
      </w:r>
      <w:r w:rsidR="002649A4">
        <w:t>end users are not</w:t>
      </w:r>
      <w:r w:rsidR="00AE6696">
        <w:t xml:space="preserve"> inadvertently disadvantaged during the transition process.</w:t>
      </w:r>
      <w:r w:rsidR="00AE6696" w:rsidRPr="003D01BE">
        <w:t xml:space="preserve"> </w:t>
      </w:r>
      <w:r w:rsidR="00BC4C8F">
        <w:t>Businesses and c</w:t>
      </w:r>
      <w:r w:rsidR="00AE6696">
        <w:t xml:space="preserve">onsumers </w:t>
      </w:r>
      <w:r w:rsidR="00BC4C8F">
        <w:t xml:space="preserve">will benefit from having </w:t>
      </w:r>
      <w:r w:rsidR="00AE6696">
        <w:t>time to understand the changes</w:t>
      </w:r>
      <w:r w:rsidR="00FB171D">
        <w:t xml:space="preserve"> and</w:t>
      </w:r>
      <w:r w:rsidR="00AE6696">
        <w:t xml:space="preserve"> what </w:t>
      </w:r>
      <w:r w:rsidR="00891720">
        <w:t xml:space="preserve">they </w:t>
      </w:r>
      <w:r w:rsidR="00AE6696">
        <w:t>will mean for them</w:t>
      </w:r>
      <w:r w:rsidR="00F633CE">
        <w:t xml:space="preserve">. </w:t>
      </w:r>
      <w:r w:rsidR="00BC4C8F">
        <w:t>Consequently</w:t>
      </w:r>
      <w:r w:rsidR="00CC3A83">
        <w:t>,</w:t>
      </w:r>
      <w:r w:rsidR="00BC4C8F">
        <w:t xml:space="preserve"> t</w:t>
      </w:r>
      <w:r w:rsidR="00AE6696">
        <w:t>here will be a need to clearly commu</w:t>
      </w:r>
      <w:r w:rsidR="00BC4C8F">
        <w:t>nicate changes to the USO to businesses and consumers</w:t>
      </w:r>
      <w:r w:rsidR="00AE6696">
        <w:t xml:space="preserve">. </w:t>
      </w:r>
    </w:p>
    <w:p w:rsidR="00AE6696" w:rsidRDefault="00D7482E" w:rsidP="006E2209">
      <w:r>
        <w:t>Industry</w:t>
      </w:r>
      <w:r w:rsidR="00AE6696">
        <w:t xml:space="preserve"> should </w:t>
      </w:r>
      <w:r w:rsidR="009F47B8">
        <w:t xml:space="preserve">also </w:t>
      </w:r>
      <w:r w:rsidR="00AE6696">
        <w:t>be made aware of how the transition process will operate, and how it may affect their service offerings and regulatory obligations.</w:t>
      </w:r>
      <w:r>
        <w:t xml:space="preserve"> This will enable them to assist customers </w:t>
      </w:r>
      <w:r w:rsidR="006E5BB5">
        <w:t>during</w:t>
      </w:r>
      <w:r>
        <w:t xml:space="preserve"> the transition.</w:t>
      </w:r>
    </w:p>
    <w:p w:rsidR="00AE6696" w:rsidRPr="00613232" w:rsidRDefault="00AE6696" w:rsidP="006E2209">
      <w:pPr>
        <w:pStyle w:val="Heading2"/>
      </w:pPr>
      <w:bookmarkStart w:id="17" w:name="_Toc472510623"/>
      <w:bookmarkStart w:id="18" w:name="_Toc474494256"/>
      <w:r w:rsidRPr="004A3406">
        <w:t>Phasing out the STS USO</w:t>
      </w:r>
      <w:bookmarkEnd w:id="17"/>
      <w:bookmarkEnd w:id="18"/>
    </w:p>
    <w:p w:rsidR="00D7482E" w:rsidRDefault="00D7482E" w:rsidP="00536028">
      <w:pPr>
        <w:spacing w:after="80"/>
        <w:rPr>
          <w:sz w:val="18"/>
          <w:szCs w:val="18"/>
        </w:rPr>
      </w:pPr>
      <w:r>
        <w:t xml:space="preserve">The PC </w:t>
      </w:r>
      <w:r w:rsidR="006E5BB5">
        <w:t>sought</w:t>
      </w:r>
      <w:r>
        <w:t xml:space="preserve"> feedback on three potential options for removing </w:t>
      </w:r>
      <w:r w:rsidRPr="00335FF8">
        <w:rPr>
          <w:szCs w:val="20"/>
        </w:rPr>
        <w:t>the STS USO</w:t>
      </w:r>
      <w:r w:rsidR="00583943" w:rsidRPr="00227D55">
        <w:rPr>
          <w:rStyle w:val="FootnoteReference"/>
        </w:rPr>
        <w:footnoteReference w:id="11"/>
      </w:r>
      <w:r w:rsidR="00CC3A83">
        <w:rPr>
          <w:sz w:val="18"/>
          <w:szCs w:val="18"/>
        </w:rPr>
        <w:t>:</w:t>
      </w:r>
    </w:p>
    <w:p w:rsidR="00D7482E" w:rsidRPr="00026BF0" w:rsidRDefault="00D7482E" w:rsidP="00227D55">
      <w:pPr>
        <w:pStyle w:val="ListNumber"/>
        <w:numPr>
          <w:ilvl w:val="0"/>
          <w:numId w:val="43"/>
        </w:numPr>
      </w:pPr>
      <w:r w:rsidRPr="006B73E0">
        <w:t>changing the scope of the STS USO requirement in Part 2 of the TCPSS Act to trigger a re-negotiation of the TUSOP Agreement</w:t>
      </w:r>
    </w:p>
    <w:p w:rsidR="00D7482E" w:rsidRPr="006B73E0" w:rsidRDefault="00D7482E" w:rsidP="00227D55">
      <w:pPr>
        <w:pStyle w:val="ListNumber"/>
      </w:pPr>
      <w:r w:rsidRPr="006B73E0">
        <w:t>delay phasing out the STS USO until the full NBN infrastructure rollout</w:t>
      </w:r>
      <w:r w:rsidR="006E5BB5">
        <w:t xml:space="preserve"> is completed</w:t>
      </w:r>
      <w:r w:rsidRPr="006B73E0">
        <w:t xml:space="preserve"> in 2020</w:t>
      </w:r>
    </w:p>
    <w:p w:rsidR="00D7482E" w:rsidRPr="00026BF0" w:rsidRDefault="00D7482E" w:rsidP="00227D55">
      <w:pPr>
        <w:pStyle w:val="ListNumber"/>
        <w:spacing w:after="240"/>
      </w:pPr>
      <w:r w:rsidRPr="006B73E0">
        <w:t>progressively phas</w:t>
      </w:r>
      <w:r w:rsidR="006E5BB5">
        <w:t>ing</w:t>
      </w:r>
      <w:r w:rsidRPr="006B73E0">
        <w:t xml:space="preserve"> out the STS USO as the NBN rolls out.</w:t>
      </w:r>
    </w:p>
    <w:p w:rsidR="00AE6696" w:rsidRDefault="00D7482E" w:rsidP="00D53F2C">
      <w:r>
        <w:t xml:space="preserve">The existing USO arrangements are complex and careful planning is essential before they are dismantled. </w:t>
      </w:r>
    </w:p>
    <w:p w:rsidR="00AE6696" w:rsidRPr="00CC3A83" w:rsidRDefault="00AE6696" w:rsidP="00CC3A83">
      <w:pPr>
        <w:pStyle w:val="Heading3"/>
      </w:pPr>
      <w:bookmarkStart w:id="19" w:name="_Toc472510624"/>
      <w:bookmarkStart w:id="20" w:name="_Toc474494257"/>
      <w:r w:rsidRPr="00CC3A83">
        <w:t>Timing and avoiding consumer harm</w:t>
      </w:r>
      <w:bookmarkEnd w:id="19"/>
      <w:bookmarkEnd w:id="20"/>
    </w:p>
    <w:p w:rsidR="00D7482E" w:rsidRDefault="00D7482E" w:rsidP="004A3406">
      <w:r>
        <w:t xml:space="preserve">Consideration of each </w:t>
      </w:r>
      <w:r w:rsidR="00536028">
        <w:t xml:space="preserve">of the above </w:t>
      </w:r>
      <w:r>
        <w:t>option</w:t>
      </w:r>
      <w:r w:rsidR="00536028">
        <w:t>s</w:t>
      </w:r>
      <w:r>
        <w:t xml:space="preserve"> should take into account their respective potential to cause (or minimise)</w:t>
      </w:r>
      <w:r w:rsidR="00536028">
        <w:t xml:space="preserve"> difficulties for different categories of stakeholders</w:t>
      </w:r>
      <w:r>
        <w:t xml:space="preserve">. </w:t>
      </w:r>
      <w:r w:rsidR="00536028">
        <w:t xml:space="preserve">The ACMA suggests a detailed assessment of the </w:t>
      </w:r>
      <w:r>
        <w:t>level of complexity and risk for industry, businesses and consumers</w:t>
      </w:r>
      <w:r w:rsidR="00536028">
        <w:t xml:space="preserve"> arising from each option</w:t>
      </w:r>
      <w:r>
        <w:t>.</w:t>
      </w:r>
    </w:p>
    <w:p w:rsidR="00AE6696" w:rsidRPr="00227D55" w:rsidRDefault="00C57F22" w:rsidP="006E2209">
      <w:r w:rsidRPr="00DD07CD">
        <w:t xml:space="preserve">Based on recent data from the </w:t>
      </w:r>
      <w:r w:rsidR="00CC3A83" w:rsidRPr="00CC3A83">
        <w:t>Australian Competition and Consumer Commission</w:t>
      </w:r>
      <w:r>
        <w:t xml:space="preserve">, the </w:t>
      </w:r>
      <w:r w:rsidR="004A3406">
        <w:t xml:space="preserve">PC suggests that there is likely to be a retail presence across the entire NBN </w:t>
      </w:r>
      <w:r w:rsidR="00E677A1">
        <w:t>footprint</w:t>
      </w:r>
      <w:r w:rsidR="004A3406" w:rsidRPr="00DD07CD">
        <w:t>. However</w:t>
      </w:r>
      <w:r>
        <w:t>,</w:t>
      </w:r>
      <w:r w:rsidR="004A3406" w:rsidRPr="00DD07CD">
        <w:t xml:space="preserve"> the </w:t>
      </w:r>
      <w:r w:rsidR="00AE6696" w:rsidRPr="00DD07CD">
        <w:t xml:space="preserve">ACMA considers </w:t>
      </w:r>
      <w:r>
        <w:t xml:space="preserve">it prudent to have </w:t>
      </w:r>
      <w:r w:rsidR="0021748E" w:rsidRPr="00DD07CD">
        <w:t>arrangements</w:t>
      </w:r>
      <w:r w:rsidR="0073302B" w:rsidRPr="00DD07CD">
        <w:t xml:space="preserve"> </w:t>
      </w:r>
      <w:r w:rsidR="00AE6696" w:rsidRPr="00DD07CD">
        <w:t>in place</w:t>
      </w:r>
      <w:r w:rsidR="00E677A1">
        <w:t xml:space="preserve"> so</w:t>
      </w:r>
      <w:r w:rsidR="00AE6696" w:rsidRPr="00DD07CD">
        <w:t xml:space="preserve"> that any gaps that become evident in the</w:t>
      </w:r>
      <w:r w:rsidR="0021748E" w:rsidRPr="00DD07CD">
        <w:t xml:space="preserve"> availability of retail </w:t>
      </w:r>
      <w:r w:rsidR="0021748E" w:rsidRPr="00227D55">
        <w:t>service provision</w:t>
      </w:r>
      <w:r w:rsidR="00AE6696" w:rsidRPr="00227D55">
        <w:t xml:space="preserve"> </w:t>
      </w:r>
      <w:r w:rsidR="00E677A1" w:rsidRPr="00227D55">
        <w:t>can</w:t>
      </w:r>
      <w:r w:rsidRPr="00227D55">
        <w:t xml:space="preserve"> be quickly addressed </w:t>
      </w:r>
      <w:r w:rsidR="00AE6696" w:rsidRPr="00227D55">
        <w:t>before the withdrawal of the STS USO.</w:t>
      </w:r>
    </w:p>
    <w:p w:rsidR="00AE6696" w:rsidRDefault="00B313B8" w:rsidP="006E2209">
      <w:r w:rsidRPr="00227D55">
        <w:t>D</w:t>
      </w:r>
      <w:r w:rsidR="00AE6696" w:rsidRPr="00227D55">
        <w:t xml:space="preserve">uring the transitional period, no </w:t>
      </w:r>
      <w:r w:rsidR="00C57F22" w:rsidRPr="00227D55">
        <w:t xml:space="preserve">businesses or </w:t>
      </w:r>
      <w:r w:rsidR="00AE6696" w:rsidRPr="00227D55">
        <w:t xml:space="preserve">consumers </w:t>
      </w:r>
      <w:r w:rsidRPr="00227D55">
        <w:t xml:space="preserve">should be left </w:t>
      </w:r>
      <w:r w:rsidR="00AE6696" w:rsidRPr="00227D55">
        <w:t xml:space="preserve">without access to a replacement voice service of </w:t>
      </w:r>
      <w:r w:rsidR="00656B7F" w:rsidRPr="00227D55">
        <w:t xml:space="preserve">suitable </w:t>
      </w:r>
      <w:r w:rsidR="00AE6696" w:rsidRPr="00227D55">
        <w:t xml:space="preserve">quality. </w:t>
      </w:r>
      <w:r w:rsidR="00656B7F" w:rsidRPr="00227D55">
        <w:t>Continuity of service, more generally, should also be a priority</w:t>
      </w:r>
      <w:r w:rsidR="00CC3A83" w:rsidRPr="00227D55">
        <w:t xml:space="preserve">, </w:t>
      </w:r>
      <w:r w:rsidR="00656B7F" w:rsidRPr="00227D55">
        <w:t>to ensure that all citizens have access to the emergency call service</w:t>
      </w:r>
      <w:r w:rsidR="00CC3A83" w:rsidRPr="00227D55">
        <w:t>,</w:t>
      </w:r>
      <w:r w:rsidR="00656B7F" w:rsidRPr="00227D55">
        <w:t xml:space="preserve"> and that citizens with particular needs have access to the services they require.</w:t>
      </w:r>
    </w:p>
    <w:p w:rsidR="00AE6696" w:rsidRDefault="00A15235" w:rsidP="006E2209">
      <w:pPr>
        <w:pStyle w:val="Heading3"/>
      </w:pPr>
      <w:bookmarkStart w:id="21" w:name="_Toc472510625"/>
      <w:bookmarkStart w:id="22" w:name="_Toc474494258"/>
      <w:r>
        <w:t>Administrative c</w:t>
      </w:r>
      <w:r w:rsidR="00AE6696" w:rsidRPr="00D47C60">
        <w:t xml:space="preserve">omplexity and </w:t>
      </w:r>
      <w:r>
        <w:t xml:space="preserve">potential </w:t>
      </w:r>
      <w:r w:rsidR="00F7644C">
        <w:t xml:space="preserve">consumer </w:t>
      </w:r>
      <w:r w:rsidR="00AE6696">
        <w:t>confusion</w:t>
      </w:r>
      <w:bookmarkEnd w:id="21"/>
      <w:bookmarkEnd w:id="22"/>
    </w:p>
    <w:p w:rsidR="00B313B8" w:rsidRDefault="00AE6696" w:rsidP="006E2209">
      <w:r>
        <w:t>Option 3 would enable a rapid start to phasing out the STS USO with consequent</w:t>
      </w:r>
      <w:r w:rsidR="00204C42">
        <w:t>ial</w:t>
      </w:r>
      <w:r>
        <w:t xml:space="preserve"> cost savings in USO payments</w:t>
      </w:r>
      <w:r w:rsidR="00B313B8">
        <w:t>. However</w:t>
      </w:r>
      <w:r w:rsidR="00C57F22">
        <w:t>, the ACMA believes there is a risk</w:t>
      </w:r>
      <w:r w:rsidR="00227D55">
        <w:t xml:space="preserve"> that a less-than-careful implementation of</w:t>
      </w:r>
      <w:r w:rsidR="00B313B8">
        <w:t xml:space="preserve"> this option may lead to consumer confusion and increased complexity in administering</w:t>
      </w:r>
      <w:r w:rsidR="00204C42">
        <w:t xml:space="preserve"> the</w:t>
      </w:r>
      <w:r w:rsidR="00B313B8">
        <w:t xml:space="preserve"> USO. </w:t>
      </w:r>
    </w:p>
    <w:p w:rsidR="00AE6696" w:rsidRDefault="00B313B8" w:rsidP="006E2209">
      <w:r>
        <w:t xml:space="preserve">If the STS USO </w:t>
      </w:r>
      <w:r w:rsidR="00C57F22">
        <w:t xml:space="preserve">is </w:t>
      </w:r>
      <w:r>
        <w:t>gradually</w:t>
      </w:r>
      <w:r w:rsidR="00C57F22">
        <w:t xml:space="preserve"> </w:t>
      </w:r>
      <w:r w:rsidR="001338F7">
        <w:t>removed</w:t>
      </w:r>
      <w:r>
        <w:t>, it potentially creates a scenario where different universal arrangements would apply</w:t>
      </w:r>
      <w:r w:rsidR="00CC3A83">
        <w:t>,</w:t>
      </w:r>
      <w:r>
        <w:t xml:space="preserve"> </w:t>
      </w:r>
      <w:r w:rsidR="00AE6696">
        <w:t xml:space="preserve">depending on whether NBN </w:t>
      </w:r>
      <w:r>
        <w:t xml:space="preserve">services were available. </w:t>
      </w:r>
    </w:p>
    <w:p w:rsidR="00AE6696" w:rsidRDefault="00227D55" w:rsidP="004A3406">
      <w:r>
        <w:lastRenderedPageBreak/>
        <w:t>It is likely that keeping</w:t>
      </w:r>
      <w:r w:rsidR="004A3406">
        <w:t xml:space="preserve"> track of the areas where requirements under the current USO apply</w:t>
      </w:r>
      <w:r w:rsidR="00CC3A83">
        <w:t>,</w:t>
      </w:r>
      <w:r w:rsidR="004A3406">
        <w:t xml:space="preserve"> and where STS USO requirements had been removed</w:t>
      </w:r>
      <w:r>
        <w:t xml:space="preserve"> would be complex</w:t>
      </w:r>
      <w:r w:rsidR="004A3406">
        <w:t xml:space="preserve">. </w:t>
      </w:r>
      <w:r w:rsidR="001338F7">
        <w:t xml:space="preserve">It </w:t>
      </w:r>
      <w:r w:rsidR="00AB2C8D">
        <w:t>c</w:t>
      </w:r>
      <w:r w:rsidR="001338F7">
        <w:t xml:space="preserve">ould involve administering </w:t>
      </w:r>
      <w:r w:rsidR="004A3406">
        <w:t xml:space="preserve">two different sets of regulatory </w:t>
      </w:r>
      <w:r w:rsidR="001338F7">
        <w:t>(</w:t>
      </w:r>
      <w:r w:rsidR="004A3406">
        <w:t xml:space="preserve">and </w:t>
      </w:r>
      <w:r w:rsidR="001338F7">
        <w:t xml:space="preserve">potentially </w:t>
      </w:r>
      <w:r w:rsidR="004A3406">
        <w:t xml:space="preserve">contractual </w:t>
      </w:r>
      <w:r w:rsidR="001338F7">
        <w:t xml:space="preserve">arrangements), the application of which would be in constant flux while </w:t>
      </w:r>
      <w:r w:rsidR="004A3406">
        <w:t>the NBN rollout is</w:t>
      </w:r>
      <w:r w:rsidR="001338F7">
        <w:t xml:space="preserve"> in progress</w:t>
      </w:r>
      <w:r w:rsidR="004A3406">
        <w:t>.</w:t>
      </w:r>
      <w:r w:rsidR="0080039F">
        <w:t xml:space="preserve"> </w:t>
      </w:r>
    </w:p>
    <w:p w:rsidR="00AE6696" w:rsidRDefault="00227D55" w:rsidP="006E2209">
      <w:r>
        <w:t xml:space="preserve">The ACMA also considers that implementation of </w:t>
      </w:r>
      <w:r w:rsidR="00CC3A83">
        <w:t>o</w:t>
      </w:r>
      <w:r w:rsidR="00AE6696">
        <w:t xml:space="preserve">ption 3 </w:t>
      </w:r>
      <w:r>
        <w:t xml:space="preserve">would also need to be carefully managed to avoid consumer </w:t>
      </w:r>
      <w:r w:rsidR="00AE6696">
        <w:t xml:space="preserve">confusion about </w:t>
      </w:r>
      <w:r>
        <w:t xml:space="preserve">their </w:t>
      </w:r>
      <w:r w:rsidR="00AE6696">
        <w:t>rights</w:t>
      </w:r>
      <w:r w:rsidR="0080039F">
        <w:t>. It could</w:t>
      </w:r>
      <w:r w:rsidR="00AE6696">
        <w:t xml:space="preserve"> lead to erroneous perceptions of a two</w:t>
      </w:r>
      <w:r w:rsidR="00CC3A83">
        <w:t>-</w:t>
      </w:r>
      <w:r w:rsidR="00AE6696">
        <w:t>tiered system</w:t>
      </w:r>
      <w:r w:rsidR="00CC3A83">
        <w:t>,</w:t>
      </w:r>
      <w:r w:rsidR="00AE6696">
        <w:t xml:space="preserve"> where certain citizens have better protections than others, depending on where they work or reside. Communicating this arrangement to consumers w</w:t>
      </w:r>
      <w:r w:rsidR="004406F7">
        <w:t>ould</w:t>
      </w:r>
      <w:r w:rsidR="00AE6696">
        <w:t xml:space="preserve"> </w:t>
      </w:r>
      <w:r>
        <w:t xml:space="preserve">need careful planning </w:t>
      </w:r>
      <w:r w:rsidR="004406F7">
        <w:t>if there were</w:t>
      </w:r>
      <w:r w:rsidR="00AE6696">
        <w:t xml:space="preserve"> two USO schemes applying in parallel during transition.</w:t>
      </w:r>
    </w:p>
    <w:p w:rsidR="00AE6696" w:rsidRDefault="00AE6696" w:rsidP="006E2209">
      <w:pPr>
        <w:pStyle w:val="Heading3"/>
      </w:pPr>
      <w:bookmarkStart w:id="23" w:name="_Toc472510626"/>
      <w:bookmarkStart w:id="24" w:name="_Toc474494259"/>
      <w:r>
        <w:t>Satellite quality of service</w:t>
      </w:r>
      <w:bookmarkEnd w:id="23"/>
      <w:bookmarkEnd w:id="24"/>
      <w:r>
        <w:t xml:space="preserve"> </w:t>
      </w:r>
    </w:p>
    <w:p w:rsidR="00AE6696" w:rsidRDefault="00AE6696" w:rsidP="00CC3A83">
      <w:r>
        <w:t xml:space="preserve">While the PC draft report recognises that the </w:t>
      </w:r>
      <w:r w:rsidR="00BC4C8F">
        <w:t xml:space="preserve">NBN </w:t>
      </w:r>
      <w:r>
        <w:t>satellite service may not provide an adequate quality voice service, the transitional options are presented on the assumption that satellite will provide a baseline voice service.</w:t>
      </w:r>
    </w:p>
    <w:p w:rsidR="00AE6696" w:rsidRDefault="00BC4C8F" w:rsidP="006E2209">
      <w:r>
        <w:t>The ACMA considers d</w:t>
      </w:r>
      <w:r w:rsidR="00AE6696">
        <w:t>etermining the adequacy (or not) of the</w:t>
      </w:r>
      <w:r>
        <w:t xml:space="preserve"> NBN</w:t>
      </w:r>
      <w:r w:rsidR="00AE6696">
        <w:t xml:space="preserve"> satellite network to deliver a baseline voice service </w:t>
      </w:r>
      <w:r w:rsidR="00AD2F70">
        <w:t xml:space="preserve">is necessary </w:t>
      </w:r>
      <w:r w:rsidR="00AE6696">
        <w:t xml:space="preserve">before </w:t>
      </w:r>
      <w:r w:rsidR="001338F7">
        <w:t xml:space="preserve">the </w:t>
      </w:r>
      <w:r w:rsidR="00AE6696">
        <w:t>transition</w:t>
      </w:r>
      <w:r w:rsidR="001338F7">
        <w:t xml:space="preserve"> to new</w:t>
      </w:r>
      <w:r w:rsidR="00AE6696">
        <w:t xml:space="preserve"> USO arrangements </w:t>
      </w:r>
      <w:r w:rsidR="001338F7">
        <w:t xml:space="preserve">takes </w:t>
      </w:r>
      <w:r w:rsidR="00AE6696">
        <w:t xml:space="preserve">place. Consumers </w:t>
      </w:r>
      <w:r w:rsidR="001338F7">
        <w:t>who reside in location</w:t>
      </w:r>
      <w:r w:rsidR="00350904">
        <w:t>s that are</w:t>
      </w:r>
      <w:r w:rsidR="001338F7">
        <w:t xml:space="preserve"> within</w:t>
      </w:r>
      <w:r w:rsidR="00AD2F70">
        <w:t xml:space="preserve"> the NBN</w:t>
      </w:r>
      <w:r w:rsidR="00AE6696">
        <w:t xml:space="preserve"> satellite footprint</w:t>
      </w:r>
      <w:r w:rsidR="00CC3A83">
        <w:t>,</w:t>
      </w:r>
      <w:r w:rsidR="00350904">
        <w:t xml:space="preserve"> but</w:t>
      </w:r>
      <w:r w:rsidR="00AE6696">
        <w:t xml:space="preserve"> where mobile coverage is lacking or patchy, </w:t>
      </w:r>
      <w:r w:rsidR="00AD2F70">
        <w:t xml:space="preserve">may </w:t>
      </w:r>
      <w:r w:rsidR="00AE6696">
        <w:t xml:space="preserve">be at risk of </w:t>
      </w:r>
      <w:r w:rsidR="00AD2F70">
        <w:t xml:space="preserve">losing access to </w:t>
      </w:r>
      <w:r w:rsidR="00AE6696">
        <w:t>an acceptable baseline voice service.</w:t>
      </w:r>
    </w:p>
    <w:p w:rsidR="00AE6696" w:rsidRDefault="00AE6696" w:rsidP="006E2209">
      <w:pPr>
        <w:pStyle w:val="Heading3"/>
      </w:pPr>
      <w:bookmarkStart w:id="25" w:name="_Toc472510627"/>
      <w:bookmarkStart w:id="26" w:name="_Toc474494260"/>
      <w:r>
        <w:t xml:space="preserve">Priority </w:t>
      </w:r>
      <w:r w:rsidR="00CC3A83">
        <w:t>a</w:t>
      </w:r>
      <w:r>
        <w:t>ssistance continuity</w:t>
      </w:r>
      <w:bookmarkEnd w:id="25"/>
      <w:bookmarkEnd w:id="26"/>
    </w:p>
    <w:p w:rsidR="00204C42" w:rsidRDefault="00AE6696" w:rsidP="006E2209">
      <w:r>
        <w:t>A</w:t>
      </w:r>
      <w:r w:rsidR="001338F7">
        <w:t xml:space="preserve"> companion consumer</w:t>
      </w:r>
      <w:r>
        <w:t xml:space="preserve"> safeguard to the USO is </w:t>
      </w:r>
      <w:r w:rsidR="00CC3A83">
        <w:t>p</w:t>
      </w:r>
      <w:r>
        <w:t xml:space="preserve">riority </w:t>
      </w:r>
      <w:r w:rsidR="00CC3A83">
        <w:t>a</w:t>
      </w:r>
      <w:r>
        <w:t>ssistance</w:t>
      </w:r>
      <w:r w:rsidR="0080039F">
        <w:t>. This safeguard</w:t>
      </w:r>
      <w:r>
        <w:t xml:space="preserve"> ensures that there is at least one service provider </w:t>
      </w:r>
      <w:r w:rsidR="0080039F">
        <w:t>offering people</w:t>
      </w:r>
      <w:r>
        <w:t xml:space="preserve"> with life-threat</w:t>
      </w:r>
      <w:r w:rsidR="003656ED">
        <w:t>en</w:t>
      </w:r>
      <w:r>
        <w:t>ing medical conditions an urgent connection and repair service</w:t>
      </w:r>
      <w:r w:rsidR="0080039F">
        <w:t xml:space="preserve">. It also provides </w:t>
      </w:r>
      <w:r>
        <w:t xml:space="preserve">an ongoing heightened level of service reliability. </w:t>
      </w:r>
    </w:p>
    <w:p w:rsidR="00AE6696" w:rsidRPr="000A681F" w:rsidRDefault="00AE6696" w:rsidP="006E2209">
      <w:r>
        <w:t>Under current arrangements, Telstra is the only provider that is required to offer this service</w:t>
      </w:r>
      <w:r w:rsidR="001338F7">
        <w:t>, under a provision of</w:t>
      </w:r>
      <w:r>
        <w:t xml:space="preserve"> its </w:t>
      </w:r>
      <w:r w:rsidR="001338F7">
        <w:t>carrier licence conditions</w:t>
      </w:r>
      <w:r>
        <w:t xml:space="preserve">. Other providers may offer specific </w:t>
      </w:r>
      <w:r w:rsidR="00CC3A83">
        <w:t>p</w:t>
      </w:r>
      <w:r>
        <w:t xml:space="preserve">riority </w:t>
      </w:r>
      <w:r w:rsidR="00CC3A83">
        <w:t>a</w:t>
      </w:r>
      <w:r>
        <w:t>ssistance services</w:t>
      </w:r>
      <w:r w:rsidR="0080039F">
        <w:t>.</w:t>
      </w:r>
      <w:r w:rsidR="00204C42">
        <w:t xml:space="preserve"> These</w:t>
      </w:r>
      <w:r>
        <w:t xml:space="preserve"> </w:t>
      </w:r>
      <w:r w:rsidR="00204C42">
        <w:t xml:space="preserve">providers </w:t>
      </w:r>
      <w:r>
        <w:t xml:space="preserve">must comply with the industry code </w:t>
      </w:r>
      <w:hyperlink r:id="rId39" w:history="1">
        <w:r w:rsidRPr="00227D55">
          <w:rPr>
            <w:rStyle w:val="Hyperlink"/>
          </w:rPr>
          <w:t>ACIF C609:2007</w:t>
        </w:r>
        <w:r w:rsidRPr="003D425F">
          <w:rPr>
            <w:rStyle w:val="Hyperlink"/>
            <w:i/>
          </w:rPr>
          <w:t xml:space="preserve"> Priority assistance for life threatening medical conditions</w:t>
        </w:r>
      </w:hyperlink>
      <w:r>
        <w:t>.</w:t>
      </w:r>
      <w:r>
        <w:rPr>
          <w:i/>
        </w:rPr>
        <w:t xml:space="preserve"> </w:t>
      </w:r>
      <w:r>
        <w:t xml:space="preserve">Providers may also offer services that are similar to </w:t>
      </w:r>
      <w:r w:rsidR="00CC3A83">
        <w:t>p</w:t>
      </w:r>
      <w:r>
        <w:t xml:space="preserve">riority </w:t>
      </w:r>
      <w:r w:rsidR="00CC3A83">
        <w:t>a</w:t>
      </w:r>
      <w:r>
        <w:t>ssistance services</w:t>
      </w:r>
      <w:r w:rsidR="00CC3A83">
        <w:t>,</w:t>
      </w:r>
      <w:r>
        <w:t xml:space="preserve"> but do not align exactly with ‘</w:t>
      </w:r>
      <w:r w:rsidR="00CC3A83">
        <w:t>p</w:t>
      </w:r>
      <w:r>
        <w:t xml:space="preserve">riority </w:t>
      </w:r>
      <w:r w:rsidR="00CC3A83">
        <w:t>a</w:t>
      </w:r>
      <w:r>
        <w:t>ssistance’</w:t>
      </w:r>
      <w:r w:rsidR="00AD2F70">
        <w:t xml:space="preserve">, as defined in Telstra’s </w:t>
      </w:r>
      <w:r w:rsidR="00CC3A83">
        <w:t>c</w:t>
      </w:r>
      <w:r w:rsidR="00AD2F70">
        <w:t xml:space="preserve">arrier </w:t>
      </w:r>
      <w:r w:rsidR="00CC3A83">
        <w:t>l</w:t>
      </w:r>
      <w:r w:rsidR="00AD2F70">
        <w:t xml:space="preserve">icence or the </w:t>
      </w:r>
      <w:r w:rsidR="00E00075">
        <w:t>c</w:t>
      </w:r>
      <w:r w:rsidR="00AD2F70">
        <w:t>ode</w:t>
      </w:r>
      <w:r>
        <w:t>. An example is Optus</w:t>
      </w:r>
      <w:r w:rsidR="00204C42">
        <w:t>’</w:t>
      </w:r>
      <w:r>
        <w:t xml:space="preserve"> Special Assistance service.</w:t>
      </w:r>
    </w:p>
    <w:p w:rsidR="00AE6696" w:rsidRDefault="00246907" w:rsidP="006E2209">
      <w:r w:rsidRPr="00246907">
        <w:t xml:space="preserve">At 30 June 2016, there were 211,259 </w:t>
      </w:r>
      <w:r w:rsidR="00CC3A83">
        <w:t>p</w:t>
      </w:r>
      <w:r w:rsidR="001338F7" w:rsidRPr="00246907">
        <w:t>riority</w:t>
      </w:r>
      <w:r w:rsidR="001338F7">
        <w:t xml:space="preserve"> </w:t>
      </w:r>
      <w:r w:rsidR="00CC3A83">
        <w:t>a</w:t>
      </w:r>
      <w:r w:rsidR="001338F7" w:rsidRPr="00246907">
        <w:t xml:space="preserve">ssistance </w:t>
      </w:r>
      <w:r w:rsidRPr="00246907">
        <w:t>customers.</w:t>
      </w:r>
      <w:r w:rsidRPr="00246907">
        <w:rPr>
          <w:rStyle w:val="FootnoteReference"/>
        </w:rPr>
        <w:footnoteReference w:id="12"/>
      </w:r>
      <w:r w:rsidRPr="00246907">
        <w:t xml:space="preserve"> </w:t>
      </w:r>
      <w:r w:rsidR="0080039F">
        <w:t xml:space="preserve">This is an increase from 186,745 </w:t>
      </w:r>
      <w:r w:rsidR="00E677A1">
        <w:t>in</w:t>
      </w:r>
      <w:r w:rsidR="0080039F">
        <w:t xml:space="preserve"> the previous year.</w:t>
      </w:r>
      <w:r w:rsidR="00204C42">
        <w:t xml:space="preserve"> </w:t>
      </w:r>
      <w:r w:rsidRPr="00246907">
        <w:t xml:space="preserve">The continuing demand for </w:t>
      </w:r>
      <w:r>
        <w:t>priority a</w:t>
      </w:r>
      <w:r w:rsidRPr="00246907">
        <w:t>ssistance indicates that the availability of the service remains important to consumers with serious medical conditions.</w:t>
      </w:r>
      <w:r w:rsidR="001338F7">
        <w:t xml:space="preserve"> </w:t>
      </w:r>
      <w:r w:rsidR="00AE6696">
        <w:t xml:space="preserve">Under current contracts between Telstra and the </w:t>
      </w:r>
      <w:r w:rsidR="00CC3A83">
        <w:t>g</w:t>
      </w:r>
      <w:r w:rsidR="00AE6696">
        <w:t xml:space="preserve">overnment, Telstra can supply </w:t>
      </w:r>
      <w:r w:rsidR="00CC3A83">
        <w:t>p</w:t>
      </w:r>
      <w:r w:rsidR="00AE6696">
        <w:t xml:space="preserve">riority </w:t>
      </w:r>
      <w:r w:rsidR="00CC3A83">
        <w:t>a</w:t>
      </w:r>
      <w:r w:rsidR="00AE6696">
        <w:t>ssistance over a fixed</w:t>
      </w:r>
      <w:r w:rsidR="00CC3A83">
        <w:t>-</w:t>
      </w:r>
      <w:r w:rsidR="00AE6696">
        <w:t>line NBN service</w:t>
      </w:r>
      <w:r w:rsidR="0080039F">
        <w:t>.</w:t>
      </w:r>
      <w:r w:rsidR="00AE6696">
        <w:t xml:space="preserve"> </w:t>
      </w:r>
      <w:r w:rsidR="0080039F">
        <w:t>H</w:t>
      </w:r>
      <w:r w:rsidR="00AE6696">
        <w:t>owever</w:t>
      </w:r>
      <w:r w:rsidR="00F7644C">
        <w:t>,</w:t>
      </w:r>
      <w:r w:rsidR="00AE6696">
        <w:t xml:space="preserve"> it is not permitted to do so over NBN fixed wireless or satellite services. Presently</w:t>
      </w:r>
      <w:r w:rsidR="00F7644C">
        <w:t>,</w:t>
      </w:r>
      <w:r w:rsidR="00AE6696">
        <w:t xml:space="preserve"> the Copper Continuity Obligation (CCO) provides the means of delivering </w:t>
      </w:r>
      <w:r w:rsidR="00A26344">
        <w:t>p</w:t>
      </w:r>
      <w:r w:rsidR="00AE6696">
        <w:t xml:space="preserve">riority </w:t>
      </w:r>
      <w:r w:rsidR="00A26344">
        <w:t>a</w:t>
      </w:r>
      <w:r w:rsidR="00AE6696">
        <w:t xml:space="preserve">ssistance in these parts of the NBN footprint. </w:t>
      </w:r>
    </w:p>
    <w:p w:rsidR="00AE6696" w:rsidRDefault="00AE6696" w:rsidP="006E2209">
      <w:r w:rsidRPr="00583943">
        <w:t xml:space="preserve">The PC report proposes that it may be possible to remove the CCO entirely, </w:t>
      </w:r>
      <w:r w:rsidR="001338F7" w:rsidRPr="00583943">
        <w:t xml:space="preserve">either </w:t>
      </w:r>
      <w:r w:rsidRPr="00583943">
        <w:t>if the NBN satellite service is deemed able to provide an adequate baseline voice service</w:t>
      </w:r>
      <w:r w:rsidR="00A26344">
        <w:t>,</w:t>
      </w:r>
      <w:r w:rsidR="001338F7" w:rsidRPr="00583943">
        <w:t xml:space="preserve"> or an alternative arrangement for delivering an adequate baseline voice </w:t>
      </w:r>
      <w:r w:rsidR="001338F7" w:rsidRPr="00583943">
        <w:lastRenderedPageBreak/>
        <w:t>service is established</w:t>
      </w:r>
      <w:r w:rsidRPr="00583943">
        <w:t xml:space="preserve">. </w:t>
      </w:r>
      <w:r w:rsidR="00332438" w:rsidRPr="00583943">
        <w:t xml:space="preserve">In </w:t>
      </w:r>
      <w:r w:rsidRPr="00583943">
        <w:t xml:space="preserve">considering transitional options </w:t>
      </w:r>
      <w:r w:rsidR="00A26344">
        <w:t>that</w:t>
      </w:r>
      <w:r w:rsidR="00A26344" w:rsidRPr="00583943">
        <w:t xml:space="preserve"> </w:t>
      </w:r>
      <w:r w:rsidRPr="00583943">
        <w:t xml:space="preserve">involve changes to the CCO, </w:t>
      </w:r>
      <w:r w:rsidR="00332438" w:rsidRPr="00583943">
        <w:t>the ACMA suggests</w:t>
      </w:r>
      <w:r w:rsidRPr="00583943">
        <w:t xml:space="preserve"> </w:t>
      </w:r>
      <w:r w:rsidR="00226D2F" w:rsidRPr="00583943">
        <w:t xml:space="preserve">continuity </w:t>
      </w:r>
      <w:r w:rsidRPr="00583943">
        <w:t xml:space="preserve">of </w:t>
      </w:r>
      <w:r w:rsidR="00226D2F" w:rsidRPr="00583943">
        <w:t xml:space="preserve">the provision of </w:t>
      </w:r>
      <w:r w:rsidR="00A26344">
        <w:t>p</w:t>
      </w:r>
      <w:r w:rsidRPr="00583943">
        <w:t xml:space="preserve">riority </w:t>
      </w:r>
      <w:r w:rsidR="00A26344">
        <w:t>a</w:t>
      </w:r>
      <w:r w:rsidRPr="00583943">
        <w:t xml:space="preserve">ssistance </w:t>
      </w:r>
      <w:r w:rsidR="00226D2F" w:rsidRPr="00583943">
        <w:t xml:space="preserve">services should </w:t>
      </w:r>
      <w:r w:rsidRPr="00583943">
        <w:t>be</w:t>
      </w:r>
      <w:r w:rsidR="00226D2F" w:rsidRPr="00583943">
        <w:t xml:space="preserve"> a consideration</w:t>
      </w:r>
      <w:r w:rsidRPr="00583943">
        <w:t>.</w:t>
      </w:r>
    </w:p>
    <w:p w:rsidR="00AE6696" w:rsidRDefault="00AE6696" w:rsidP="00D53F2C">
      <w:pPr>
        <w:pStyle w:val="Heading3"/>
      </w:pPr>
      <w:bookmarkStart w:id="27" w:name="_Toc472510628"/>
      <w:bookmarkStart w:id="28" w:name="_Toc474494261"/>
      <w:r>
        <w:t xml:space="preserve">Standard Telephone Service </w:t>
      </w:r>
      <w:r w:rsidR="00A26344">
        <w:t>c</w:t>
      </w:r>
      <w:r>
        <w:t>oncept</w:t>
      </w:r>
      <w:bookmarkEnd w:id="27"/>
      <w:bookmarkEnd w:id="28"/>
      <w:r>
        <w:t xml:space="preserve"> </w:t>
      </w:r>
    </w:p>
    <w:p w:rsidR="00AE6696" w:rsidRDefault="00332438" w:rsidP="00514310">
      <w:pPr>
        <w:spacing w:after="80"/>
      </w:pPr>
      <w:r>
        <w:t xml:space="preserve">The concept of </w:t>
      </w:r>
      <w:r w:rsidR="00514310">
        <w:t xml:space="preserve">the </w:t>
      </w:r>
      <w:r>
        <w:t>STS</w:t>
      </w:r>
      <w:r w:rsidR="00AE6696">
        <w:t xml:space="preserve"> is</w:t>
      </w:r>
      <w:r w:rsidR="00204C42">
        <w:t xml:space="preserve"> a</w:t>
      </w:r>
      <w:r w:rsidR="00A31020">
        <w:t xml:space="preserve"> foundation of the </w:t>
      </w:r>
      <w:r w:rsidR="00AE6696">
        <w:t xml:space="preserve">current </w:t>
      </w:r>
      <w:r w:rsidR="006D4BC3">
        <w:t xml:space="preserve">telecommunications </w:t>
      </w:r>
      <w:r w:rsidR="00AE6696">
        <w:t>consumer protection framework, including the existing USO. For example:</w:t>
      </w:r>
    </w:p>
    <w:p w:rsidR="00AE6696" w:rsidRDefault="00AE6696" w:rsidP="006B73E0">
      <w:pPr>
        <w:pStyle w:val="ListBullet"/>
        <w:numPr>
          <w:ilvl w:val="0"/>
          <w:numId w:val="13"/>
        </w:numPr>
        <w:rPr>
          <w:rFonts w:cs="Arial"/>
          <w:szCs w:val="20"/>
        </w:rPr>
      </w:pPr>
      <w:r w:rsidRPr="00A645D7">
        <w:rPr>
          <w:rFonts w:cs="Arial"/>
          <w:szCs w:val="20"/>
        </w:rPr>
        <w:t xml:space="preserve">the Customer Service Guarantee </w:t>
      </w:r>
      <w:r>
        <w:rPr>
          <w:rFonts w:cs="Arial"/>
          <w:szCs w:val="20"/>
        </w:rPr>
        <w:t>is based on connecting and repairing faults with a</w:t>
      </w:r>
      <w:r w:rsidR="00514310">
        <w:rPr>
          <w:rFonts w:cs="Arial"/>
          <w:szCs w:val="20"/>
        </w:rPr>
        <w:t>n STS</w:t>
      </w:r>
    </w:p>
    <w:p w:rsidR="00AE6696" w:rsidRPr="00A645D7" w:rsidRDefault="00AE6696" w:rsidP="00514310">
      <w:pPr>
        <w:pStyle w:val="ListBullet"/>
        <w:numPr>
          <w:ilvl w:val="0"/>
          <w:numId w:val="13"/>
        </w:numPr>
        <w:spacing w:after="240"/>
        <w:rPr>
          <w:rFonts w:cs="Arial"/>
          <w:szCs w:val="20"/>
        </w:rPr>
      </w:pPr>
      <w:r>
        <w:rPr>
          <w:rFonts w:cs="Arial"/>
          <w:szCs w:val="20"/>
        </w:rPr>
        <w:t xml:space="preserve">the National Relay Service provides </w:t>
      </w:r>
      <w:r w:rsidR="006D4BC3">
        <w:rPr>
          <w:rFonts w:cs="Arial"/>
          <w:szCs w:val="20"/>
        </w:rPr>
        <w:t xml:space="preserve">individuals </w:t>
      </w:r>
      <w:r>
        <w:rPr>
          <w:rFonts w:cs="Arial"/>
          <w:szCs w:val="20"/>
        </w:rPr>
        <w:t>who are deaf, or who have a speech</w:t>
      </w:r>
      <w:r w:rsidR="00A26344">
        <w:rPr>
          <w:rFonts w:cs="Arial"/>
          <w:szCs w:val="20"/>
        </w:rPr>
        <w:t>-</w:t>
      </w:r>
      <w:r>
        <w:rPr>
          <w:rFonts w:cs="Arial"/>
          <w:szCs w:val="20"/>
        </w:rPr>
        <w:t xml:space="preserve"> or hearing</w:t>
      </w:r>
      <w:r w:rsidR="00A26344">
        <w:rPr>
          <w:rFonts w:cs="Arial"/>
          <w:szCs w:val="20"/>
        </w:rPr>
        <w:t>-</w:t>
      </w:r>
      <w:r>
        <w:rPr>
          <w:rFonts w:cs="Arial"/>
          <w:szCs w:val="20"/>
        </w:rPr>
        <w:t xml:space="preserve">impairment </w:t>
      </w:r>
      <w:r w:rsidRPr="00535F21">
        <w:rPr>
          <w:rFonts w:cs="Arial"/>
          <w:szCs w:val="20"/>
        </w:rPr>
        <w:t>access to a standard telephone service on terms, and in circumstances, that are comparable to the access other Australians have to a</w:t>
      </w:r>
      <w:r w:rsidR="00514310">
        <w:rPr>
          <w:rFonts w:cs="Arial"/>
          <w:szCs w:val="20"/>
        </w:rPr>
        <w:t>n STS</w:t>
      </w:r>
      <w:r w:rsidRPr="00535F21">
        <w:rPr>
          <w:rFonts w:cs="Arial"/>
          <w:szCs w:val="20"/>
        </w:rPr>
        <w:t>.</w:t>
      </w:r>
    </w:p>
    <w:p w:rsidR="00514310" w:rsidRDefault="00AE6696" w:rsidP="00A26344">
      <w:r>
        <w:t xml:space="preserve">The ACMA notes that one of the options proposed by the PC to transition the STS module of the TUSOP Agreement is to amend the TCPSS Act to change the scope of the STS USO. If this option </w:t>
      </w:r>
      <w:r w:rsidR="009B459D">
        <w:t>were to be</w:t>
      </w:r>
      <w:r>
        <w:t xml:space="preserve"> adopted, the ACMA considers that a detailed analysis is required to consider the implications of any changes, and mitigate any unintended consequences. It may be appropriate </w:t>
      </w:r>
      <w:r w:rsidR="00332438">
        <w:t>to unde</w:t>
      </w:r>
      <w:r w:rsidR="00514310">
        <w:t>rtake</w:t>
      </w:r>
      <w:r w:rsidR="00332438">
        <w:t xml:space="preserve"> this analysis </w:t>
      </w:r>
      <w:r>
        <w:t xml:space="preserve">as part of the </w:t>
      </w:r>
      <w:proofErr w:type="spellStart"/>
      <w:r w:rsidR="00E809B0">
        <w:t>DoCA’</w:t>
      </w:r>
      <w:r>
        <w:t>s</w:t>
      </w:r>
      <w:proofErr w:type="spellEnd"/>
      <w:r>
        <w:t xml:space="preserve"> proposed consumer safeguards review.</w:t>
      </w:r>
    </w:p>
    <w:p w:rsidR="00AE6696" w:rsidRDefault="00514310" w:rsidP="00D53F2C">
      <w:r>
        <w:t xml:space="preserve">The ACMA considers that any </w:t>
      </w:r>
      <w:r w:rsidR="00AE6696">
        <w:t xml:space="preserve">changes </w:t>
      </w:r>
      <w:r>
        <w:t xml:space="preserve">to the STS may </w:t>
      </w:r>
      <w:r w:rsidR="00AE6696">
        <w:t xml:space="preserve">also </w:t>
      </w:r>
      <w:r>
        <w:t xml:space="preserve">be affected by </w:t>
      </w:r>
      <w:r w:rsidR="00A600EC">
        <w:t xml:space="preserve">any </w:t>
      </w:r>
      <w:r w:rsidR="00A26344">
        <w:t>m</w:t>
      </w:r>
      <w:r w:rsidR="00AE6696">
        <w:t xml:space="preserve">inisterial declaration made under section 8J of the TCPSS Act. </w:t>
      </w:r>
      <w:r>
        <w:t xml:space="preserve">It would be prudent for the analysis proposed </w:t>
      </w:r>
      <w:r w:rsidR="00F7644C">
        <w:t>above</w:t>
      </w:r>
      <w:r>
        <w:t xml:space="preserve"> to take account of any such declaration.</w:t>
      </w:r>
    </w:p>
    <w:p w:rsidR="00D672D0" w:rsidRPr="00F73247" w:rsidRDefault="00D672D0" w:rsidP="00227D55">
      <w:pPr>
        <w:pStyle w:val="Heading2"/>
        <w:rPr>
          <w:highlight w:val="yellow"/>
        </w:rPr>
      </w:pPr>
      <w:bookmarkStart w:id="29" w:name="_Toc474494262"/>
      <w:r w:rsidRPr="00F93BA9">
        <w:t>Phasing out the payphone USO</w:t>
      </w:r>
      <w:bookmarkEnd w:id="29"/>
    </w:p>
    <w:p w:rsidR="00D672D0" w:rsidRPr="000A653A" w:rsidRDefault="00D672D0" w:rsidP="00227D55">
      <w:pPr>
        <w:pStyle w:val="Heading3"/>
      </w:pPr>
      <w:bookmarkStart w:id="30" w:name="_Toc474494263"/>
      <w:r w:rsidRPr="000A653A">
        <w:t>Regulatory settings</w:t>
      </w:r>
      <w:bookmarkEnd w:id="30"/>
    </w:p>
    <w:p w:rsidR="00D672D0" w:rsidRDefault="00D672D0" w:rsidP="00D672D0">
      <w:pPr>
        <w:keepNext/>
        <w:outlineLvl w:val="2"/>
        <w:rPr>
          <w:rFonts w:cs="Arial"/>
          <w:b/>
          <w:bCs/>
          <w:szCs w:val="26"/>
        </w:rPr>
      </w:pPr>
      <w:r>
        <w:t>T</w:t>
      </w:r>
      <w:r w:rsidRPr="00F93BA9">
        <w:t>he PC</w:t>
      </w:r>
      <w:r>
        <w:t xml:space="preserve"> </w:t>
      </w:r>
      <w:r w:rsidRPr="00F93BA9">
        <w:t>recommend</w:t>
      </w:r>
      <w:r>
        <w:t xml:space="preserve">s that </w:t>
      </w:r>
      <w:r w:rsidR="00A26344">
        <w:t>g</w:t>
      </w:r>
      <w:r>
        <w:t xml:space="preserve">overnment immediately commence negotiations with Telstra with a view to abolishing </w:t>
      </w:r>
      <w:r w:rsidR="00514310">
        <w:t xml:space="preserve">the payphones </w:t>
      </w:r>
      <w:r>
        <w:t>module of the TUSOP Agreement.</w:t>
      </w:r>
      <w:r w:rsidR="00583943">
        <w:rPr>
          <w:rStyle w:val="FootnoteReference"/>
        </w:rPr>
        <w:footnoteReference w:id="13"/>
      </w:r>
      <w:r>
        <w:t xml:space="preserve"> Should this recommendation be accept</w:t>
      </w:r>
      <w:r w:rsidR="00CA412D">
        <w:t>ed</w:t>
      </w:r>
      <w:r>
        <w:t xml:space="preserve">, consideration should be given to the future of Telstra’s statutory obligations in this area. </w:t>
      </w:r>
    </w:p>
    <w:p w:rsidR="00D672D0" w:rsidRPr="004C6118" w:rsidRDefault="006D602F" w:rsidP="00514310">
      <w:pPr>
        <w:spacing w:after="80"/>
        <w:rPr>
          <w:rFonts w:cs="Arial"/>
          <w:szCs w:val="20"/>
        </w:rPr>
      </w:pPr>
      <w:r>
        <w:rPr>
          <w:rFonts w:cs="Arial"/>
          <w:szCs w:val="20"/>
        </w:rPr>
        <w:t>T</w:t>
      </w:r>
      <w:r w:rsidR="00D672D0">
        <w:rPr>
          <w:rFonts w:cs="Arial"/>
          <w:szCs w:val="20"/>
        </w:rPr>
        <w:t xml:space="preserve">he ACMA monitors and regulates Telstra’s performance in relation to its payphone USO obligations via </w:t>
      </w:r>
      <w:r w:rsidR="00D672D0" w:rsidRPr="004C6118">
        <w:rPr>
          <w:rFonts w:cs="Arial"/>
          <w:szCs w:val="20"/>
        </w:rPr>
        <w:t>five legislative instruments under the TCPSS Act:</w:t>
      </w:r>
    </w:p>
    <w:p w:rsidR="00D672D0" w:rsidRPr="00A26344" w:rsidRDefault="00597974" w:rsidP="00227D55">
      <w:pPr>
        <w:pStyle w:val="ListBullet"/>
        <w:numPr>
          <w:ilvl w:val="0"/>
          <w:numId w:val="13"/>
        </w:numPr>
        <w:rPr>
          <w:rFonts w:eastAsia="Calibri" w:cs="Arial"/>
          <w:szCs w:val="20"/>
        </w:rPr>
      </w:pPr>
      <w:hyperlink r:id="rId40" w:history="1">
        <w:r w:rsidR="00D672D0" w:rsidRPr="00227D55">
          <w:rPr>
            <w:rFonts w:eastAsia="Calibri" w:cs="Arial"/>
            <w:color w:val="0000FF"/>
            <w:szCs w:val="20"/>
            <w:u w:val="single"/>
          </w:rPr>
          <w:t>Telecommunications Universal Service Obligation (Payphone Performance Standards) Determination (No. 1) 2011</w:t>
        </w:r>
      </w:hyperlink>
    </w:p>
    <w:p w:rsidR="00D672D0" w:rsidRPr="00A26344" w:rsidRDefault="00597974" w:rsidP="00227D55">
      <w:pPr>
        <w:pStyle w:val="ListBullet"/>
        <w:numPr>
          <w:ilvl w:val="0"/>
          <w:numId w:val="13"/>
        </w:numPr>
        <w:rPr>
          <w:rFonts w:eastAsia="Calibri" w:cs="Arial"/>
          <w:szCs w:val="20"/>
        </w:rPr>
      </w:pPr>
      <w:hyperlink r:id="rId41" w:history="1">
        <w:r w:rsidR="00D672D0" w:rsidRPr="00227D55">
          <w:rPr>
            <w:rFonts w:eastAsia="Calibri" w:cs="Arial"/>
            <w:color w:val="0000FF"/>
            <w:szCs w:val="20"/>
            <w:u w:val="single"/>
          </w:rPr>
          <w:t>Telecommunications Universal Service Obligation (Payphone Performance Benchmarks) Instrument (No. 1) 2011</w:t>
        </w:r>
      </w:hyperlink>
    </w:p>
    <w:p w:rsidR="00D672D0" w:rsidRPr="00A26344" w:rsidRDefault="00597974" w:rsidP="00227D55">
      <w:pPr>
        <w:pStyle w:val="ListBullet"/>
        <w:numPr>
          <w:ilvl w:val="0"/>
          <w:numId w:val="13"/>
        </w:numPr>
        <w:rPr>
          <w:rFonts w:eastAsia="Calibri" w:cs="Arial"/>
          <w:szCs w:val="20"/>
        </w:rPr>
      </w:pPr>
      <w:hyperlink r:id="rId42" w:history="1">
        <w:r w:rsidR="00D672D0" w:rsidRPr="00227D55">
          <w:rPr>
            <w:rFonts w:eastAsia="Calibri" w:cs="Arial"/>
            <w:color w:val="0000FF"/>
            <w:szCs w:val="20"/>
            <w:u w:val="single"/>
          </w:rPr>
          <w:t>Telecommunications Universal Service Obligation (Location of Payphones) Determination 2011</w:t>
        </w:r>
      </w:hyperlink>
    </w:p>
    <w:p w:rsidR="00D672D0" w:rsidRPr="00A26344" w:rsidRDefault="00597974" w:rsidP="00227D55">
      <w:pPr>
        <w:pStyle w:val="ListBullet"/>
        <w:numPr>
          <w:ilvl w:val="0"/>
          <w:numId w:val="13"/>
        </w:numPr>
        <w:rPr>
          <w:rFonts w:eastAsia="Calibri" w:cs="Arial"/>
          <w:szCs w:val="20"/>
        </w:rPr>
      </w:pPr>
      <w:hyperlink r:id="rId43" w:history="1">
        <w:r w:rsidR="00D672D0" w:rsidRPr="00227D55">
          <w:rPr>
            <w:rFonts w:eastAsia="Calibri" w:cs="Arial"/>
            <w:color w:val="0000FF"/>
            <w:szCs w:val="20"/>
            <w:u w:val="single"/>
          </w:rPr>
          <w:t>Telecommunications Universal Service Obligation (Public Consultation on the Location or Removal of Payphones) Determination 2011</w:t>
        </w:r>
      </w:hyperlink>
    </w:p>
    <w:p w:rsidR="00D672D0" w:rsidRPr="00A26344" w:rsidRDefault="00597974" w:rsidP="00227D55">
      <w:pPr>
        <w:pStyle w:val="ListBullet"/>
        <w:numPr>
          <w:ilvl w:val="0"/>
          <w:numId w:val="13"/>
        </w:numPr>
        <w:spacing w:after="240"/>
        <w:rPr>
          <w:rFonts w:eastAsia="Calibri" w:cs="Arial"/>
          <w:szCs w:val="20"/>
        </w:rPr>
      </w:pPr>
      <w:hyperlink r:id="rId44" w:history="1">
        <w:r w:rsidR="00D672D0" w:rsidRPr="00227D55">
          <w:rPr>
            <w:rFonts w:eastAsia="Calibri" w:cs="Arial"/>
            <w:color w:val="0000FF"/>
            <w:szCs w:val="20"/>
            <w:u w:val="single"/>
          </w:rPr>
          <w:t>Telecommunications Universal Service Obligation (Payphone Complaint Rules) Determination (No. 1) 2011</w:t>
        </w:r>
      </w:hyperlink>
      <w:r w:rsidR="00D672D0" w:rsidRPr="00A26344">
        <w:rPr>
          <w:rFonts w:eastAsia="Calibri" w:cs="Arial"/>
          <w:szCs w:val="20"/>
        </w:rPr>
        <w:t>.</w:t>
      </w:r>
    </w:p>
    <w:p w:rsidR="00D672D0" w:rsidRDefault="007D0FE0" w:rsidP="00D672D0">
      <w:r>
        <w:t xml:space="preserve">If </w:t>
      </w:r>
      <w:r w:rsidR="00514310">
        <w:t xml:space="preserve">any of </w:t>
      </w:r>
      <w:r>
        <w:t>the</w:t>
      </w:r>
      <w:r w:rsidR="00514310">
        <w:t>se</w:t>
      </w:r>
      <w:r>
        <w:t xml:space="preserve"> instruments </w:t>
      </w:r>
      <w:r w:rsidR="004D3284">
        <w:t>are</w:t>
      </w:r>
      <w:r w:rsidR="00514310">
        <w:t xml:space="preserve"> </w:t>
      </w:r>
      <w:r>
        <w:t xml:space="preserve">considered redundant, </w:t>
      </w:r>
      <w:r w:rsidR="00514310">
        <w:t xml:space="preserve">the ACMA suggests that </w:t>
      </w:r>
      <w:r>
        <w:t xml:space="preserve">the timing of their removal </w:t>
      </w:r>
      <w:r w:rsidR="00514310">
        <w:t xml:space="preserve">should </w:t>
      </w:r>
      <w:r>
        <w:t>be considered in li</w:t>
      </w:r>
      <w:r w:rsidR="006D602F">
        <w:t>n</w:t>
      </w:r>
      <w:r>
        <w:t xml:space="preserve">e with any associated changes in contractual obligations. </w:t>
      </w:r>
    </w:p>
    <w:p w:rsidR="00D672D0" w:rsidRPr="000A653A" w:rsidRDefault="00D672D0" w:rsidP="00227D55">
      <w:pPr>
        <w:pStyle w:val="Heading3"/>
      </w:pPr>
      <w:bookmarkStart w:id="31" w:name="_Toc474494264"/>
      <w:r w:rsidRPr="000A653A">
        <w:lastRenderedPageBreak/>
        <w:t xml:space="preserve">Program for </w:t>
      </w:r>
      <w:r w:rsidR="00A26344">
        <w:t>c</w:t>
      </w:r>
      <w:r w:rsidRPr="000A653A">
        <w:t xml:space="preserve">ommunity </w:t>
      </w:r>
      <w:r w:rsidR="00A26344">
        <w:t>t</w:t>
      </w:r>
      <w:r w:rsidRPr="000A653A">
        <w:t xml:space="preserve">elecommunications </w:t>
      </w:r>
      <w:r w:rsidR="00A26344">
        <w:t>s</w:t>
      </w:r>
      <w:r w:rsidRPr="000A653A">
        <w:t>ervices</w:t>
      </w:r>
      <w:bookmarkEnd w:id="31"/>
    </w:p>
    <w:p w:rsidR="00D672D0" w:rsidRDefault="007D0FE0" w:rsidP="00D672D0">
      <w:r>
        <w:t>The</w:t>
      </w:r>
      <w:r w:rsidR="00D672D0">
        <w:t xml:space="preserve"> PC recommends </w:t>
      </w:r>
      <w:r w:rsidR="003536BE">
        <w:t xml:space="preserve">that there may be a need to replace the </w:t>
      </w:r>
      <w:r w:rsidR="00D672D0">
        <w:t xml:space="preserve">payphone USO </w:t>
      </w:r>
      <w:r w:rsidR="003536BE">
        <w:t xml:space="preserve">with </w:t>
      </w:r>
      <w:r w:rsidR="00D672D0">
        <w:t>a funding program for community telecommunications services</w:t>
      </w:r>
      <w:r>
        <w:t>.</w:t>
      </w:r>
      <w:r>
        <w:rPr>
          <w:rStyle w:val="FootnoteReference"/>
        </w:rPr>
        <w:footnoteReference w:id="14"/>
      </w:r>
      <w:r w:rsidR="00D672D0">
        <w:t xml:space="preserve"> </w:t>
      </w:r>
    </w:p>
    <w:p w:rsidR="00D672D0" w:rsidRDefault="00D672D0" w:rsidP="00D672D0">
      <w:r>
        <w:t xml:space="preserve">The ACMA </w:t>
      </w:r>
      <w:r w:rsidR="003536BE">
        <w:t xml:space="preserve">recognises </w:t>
      </w:r>
      <w:r>
        <w:t>that such a program may se</w:t>
      </w:r>
      <w:r w:rsidR="00CA412D">
        <w:t>rv</w:t>
      </w:r>
      <w:r>
        <w:t xml:space="preserve">e </w:t>
      </w:r>
      <w:r w:rsidR="003536BE">
        <w:t xml:space="preserve">to expand the achievement of </w:t>
      </w:r>
      <w:r>
        <w:t xml:space="preserve">a new universal service objective </w:t>
      </w:r>
      <w:r w:rsidR="00A26344">
        <w:t xml:space="preserve">that </w:t>
      </w:r>
      <w:r>
        <w:t xml:space="preserve">is focused on a baseline broadband service. </w:t>
      </w:r>
      <w:r w:rsidR="003536BE">
        <w:t xml:space="preserve">The ACMA considers that such </w:t>
      </w:r>
      <w:r>
        <w:t xml:space="preserve">a program should be flexible in nature </w:t>
      </w:r>
      <w:r w:rsidR="00A26344">
        <w:t>for</w:t>
      </w:r>
      <w:r>
        <w:t xml:space="preserve"> </w:t>
      </w:r>
      <w:r w:rsidR="003536BE">
        <w:t xml:space="preserve">the types of </w:t>
      </w:r>
      <w:r>
        <w:t xml:space="preserve">services to be delivered, the form of procurement and the criteria for approval. </w:t>
      </w:r>
    </w:p>
    <w:p w:rsidR="00D672D0" w:rsidRDefault="007D0FE0" w:rsidP="00D672D0">
      <w:r>
        <w:t xml:space="preserve">It is </w:t>
      </w:r>
      <w:r w:rsidR="00CA412D">
        <w:t xml:space="preserve">possible that </w:t>
      </w:r>
      <w:r w:rsidR="00D672D0">
        <w:t xml:space="preserve">services to be delivered </w:t>
      </w:r>
      <w:r>
        <w:t xml:space="preserve">by this </w:t>
      </w:r>
      <w:r w:rsidR="00D672D0">
        <w:t xml:space="preserve">program may </w:t>
      </w:r>
      <w:r w:rsidR="00CA412D">
        <w:t xml:space="preserve">include </w:t>
      </w:r>
      <w:r w:rsidR="00D672D0">
        <w:t>the continuat</w:t>
      </w:r>
      <w:r w:rsidR="00CA412D">
        <w:t>ion of payphones in some areas. H</w:t>
      </w:r>
      <w:r w:rsidR="00D672D0">
        <w:t>owever</w:t>
      </w:r>
      <w:r w:rsidR="00F7644C">
        <w:t>,</w:t>
      </w:r>
      <w:r w:rsidR="00D672D0">
        <w:t xml:space="preserve"> the criteria for </w:t>
      </w:r>
      <w:r w:rsidR="00CA412D">
        <w:t xml:space="preserve">allocating funds under </w:t>
      </w:r>
      <w:r>
        <w:t xml:space="preserve">this </w:t>
      </w:r>
      <w:r w:rsidR="00D672D0">
        <w:t xml:space="preserve">program should also facilitate the provision of </w:t>
      </w:r>
      <w:r w:rsidR="003536BE">
        <w:t xml:space="preserve">facilities that support the way Australians </w:t>
      </w:r>
      <w:r w:rsidR="00CA19C5">
        <w:t>do</w:t>
      </w:r>
      <w:r w:rsidR="00A26344">
        <w:t>,</w:t>
      </w:r>
      <w:r w:rsidR="00CA19C5">
        <w:t xml:space="preserve"> and will</w:t>
      </w:r>
      <w:r w:rsidR="00A26344">
        <w:t>,</w:t>
      </w:r>
      <w:r w:rsidR="00CA19C5">
        <w:t xml:space="preserve"> </w:t>
      </w:r>
      <w:r w:rsidR="003536BE">
        <w:t xml:space="preserve">use </w:t>
      </w:r>
      <w:r>
        <w:t>communications</w:t>
      </w:r>
      <w:r w:rsidR="00A26344">
        <w:t>-</w:t>
      </w:r>
      <w:r>
        <w:t>related</w:t>
      </w:r>
      <w:r w:rsidR="00D672D0">
        <w:t xml:space="preserve"> services</w:t>
      </w:r>
      <w:r w:rsidR="003536BE">
        <w:t>, including their use of mobile and broadband services</w:t>
      </w:r>
      <w:r w:rsidR="00CA412D">
        <w:t xml:space="preserve">. Examples could include </w:t>
      </w:r>
      <w:r w:rsidR="00D672D0">
        <w:t xml:space="preserve">community </w:t>
      </w:r>
      <w:r w:rsidR="00E00075">
        <w:t>Wi-Fi</w:t>
      </w:r>
      <w:r w:rsidR="00D672D0">
        <w:t xml:space="preserve"> and phone charging services. </w:t>
      </w:r>
      <w:r>
        <w:t>B</w:t>
      </w:r>
      <w:r w:rsidR="00CA412D">
        <w:t xml:space="preserve">uilding flexibility into the criteria </w:t>
      </w:r>
      <w:r w:rsidR="00D672D0">
        <w:t>would assist in meeting the overall objectives of universal (broadband, including voice) availability</w:t>
      </w:r>
      <w:r w:rsidR="00A26344">
        <w:t>,</w:t>
      </w:r>
      <w:r w:rsidR="00D672D0">
        <w:t xml:space="preserve"> whil</w:t>
      </w:r>
      <w:r w:rsidR="00A26344">
        <w:t>e</w:t>
      </w:r>
      <w:r w:rsidR="00D672D0">
        <w:t xml:space="preserve"> also fulfilling accessibility and affordability objectives. For example, </w:t>
      </w:r>
      <w:r w:rsidR="00CA412D">
        <w:t>the ACMA understands that many h</w:t>
      </w:r>
      <w:r w:rsidR="00D672D0">
        <w:t xml:space="preserve">omeless </w:t>
      </w:r>
      <w:r w:rsidR="00CA412D">
        <w:t xml:space="preserve">people </w:t>
      </w:r>
      <w:r w:rsidR="00D672D0">
        <w:t>may have access to an affordable mobile service</w:t>
      </w:r>
      <w:r w:rsidR="00A26344">
        <w:t>,</w:t>
      </w:r>
      <w:r w:rsidR="00D672D0">
        <w:t xml:space="preserve"> but </w:t>
      </w:r>
      <w:r w:rsidR="003536BE">
        <w:t xml:space="preserve">frequently </w:t>
      </w:r>
      <w:r w:rsidR="00D672D0">
        <w:t>lack</w:t>
      </w:r>
      <w:r w:rsidR="003536BE">
        <w:t xml:space="preserve"> an </w:t>
      </w:r>
      <w:r w:rsidR="00A26344">
        <w:t xml:space="preserve">opportunity </w:t>
      </w:r>
      <w:r w:rsidR="003536BE">
        <w:t>to charge their phones</w:t>
      </w:r>
      <w:r w:rsidR="00D672D0">
        <w:t xml:space="preserve">. </w:t>
      </w:r>
    </w:p>
    <w:p w:rsidR="00D672D0" w:rsidRDefault="00D672D0" w:rsidP="00D672D0">
      <w:r>
        <w:t>In addition to the forms of services to be provided, the ACMA suggests careful consideration be given to the intended user groups</w:t>
      </w:r>
      <w:r w:rsidR="007D0FE0">
        <w:t xml:space="preserve"> and</w:t>
      </w:r>
      <w:r>
        <w:t xml:space="preserve"> target locations </w:t>
      </w:r>
      <w:r w:rsidR="007D0FE0">
        <w:t xml:space="preserve">for the proposed program. </w:t>
      </w:r>
      <w:r w:rsidR="00CA412D">
        <w:t xml:space="preserve">While </w:t>
      </w:r>
      <w:r>
        <w:t>the PC has suggested that locations outside of mobile coverage areas be targeted</w:t>
      </w:r>
      <w:r w:rsidR="00CA412D">
        <w:t xml:space="preserve">, the ACMA considers </w:t>
      </w:r>
      <w:r>
        <w:t>the criteria should be flexible enough to meet situations where locations may have mobile coverage but</w:t>
      </w:r>
      <w:r w:rsidR="00CA412D">
        <w:t xml:space="preserve"> other shortcomings related to availability, accessibility or affordability exist</w:t>
      </w:r>
      <w:r>
        <w:t xml:space="preserve">. For instance, public housing in large rural areas with mobile coverage should still have the ability to benefit from such a </w:t>
      </w:r>
      <w:r w:rsidR="00E677A1">
        <w:t>program that</w:t>
      </w:r>
      <w:r w:rsidR="003536BE">
        <w:t xml:space="preserve"> may include </w:t>
      </w:r>
      <w:r w:rsidR="00CA412D">
        <w:t xml:space="preserve">access to free or affordable </w:t>
      </w:r>
      <w:r w:rsidR="0055738F">
        <w:t>Wi-Fi</w:t>
      </w:r>
      <w:r w:rsidR="00CA412D">
        <w:t xml:space="preserve"> services</w:t>
      </w:r>
      <w:r>
        <w:t xml:space="preserve">. </w:t>
      </w:r>
    </w:p>
    <w:p w:rsidR="00D672D0" w:rsidRPr="000A653A" w:rsidRDefault="00D672D0" w:rsidP="00227D55">
      <w:pPr>
        <w:pStyle w:val="Heading3"/>
      </w:pPr>
      <w:bookmarkStart w:id="32" w:name="_Toc474494265"/>
      <w:r w:rsidRPr="000A653A">
        <w:t>Competitive tendering arrangements</w:t>
      </w:r>
      <w:bookmarkEnd w:id="32"/>
    </w:p>
    <w:p w:rsidR="00D672D0" w:rsidRDefault="00D672D0" w:rsidP="0019033F">
      <w:r>
        <w:t xml:space="preserve">The ACMA notes </w:t>
      </w:r>
      <w:r w:rsidR="006D602F">
        <w:t xml:space="preserve">that the </w:t>
      </w:r>
      <w:r>
        <w:t>PC recommends that competitive tendering arrangements be used as much as possible to assist in the efficient allocation of program funding.</w:t>
      </w:r>
      <w:r w:rsidR="00583943">
        <w:rPr>
          <w:rStyle w:val="FootnoteReference"/>
        </w:rPr>
        <w:footnoteReference w:id="15"/>
      </w:r>
      <w:r>
        <w:t xml:space="preserve"> </w:t>
      </w:r>
    </w:p>
    <w:p w:rsidR="00D672D0" w:rsidRDefault="00D672D0" w:rsidP="00D672D0">
      <w:r>
        <w:t>The A</w:t>
      </w:r>
      <w:r w:rsidR="00DF5428">
        <w:t>CM</w:t>
      </w:r>
      <w:r>
        <w:t>A’s view</w:t>
      </w:r>
      <w:r w:rsidR="00F7644C">
        <w:t>s</w:t>
      </w:r>
      <w:r>
        <w:t xml:space="preserve"> </w:t>
      </w:r>
      <w:r w:rsidR="0019033F">
        <w:t>on</w:t>
      </w:r>
      <w:r>
        <w:t xml:space="preserve"> competitive tendering arrangements </w:t>
      </w:r>
      <w:r w:rsidR="007D0FE0">
        <w:t>for universal services are</w:t>
      </w:r>
      <w:r>
        <w:t xml:space="preserve"> outlined </w:t>
      </w:r>
      <w:r w:rsidR="007D0FE0">
        <w:t xml:space="preserve">in the previous section of </w:t>
      </w:r>
      <w:r>
        <w:t>this submission. However</w:t>
      </w:r>
      <w:r w:rsidR="00F7644C">
        <w:t>,</w:t>
      </w:r>
      <w:r>
        <w:t xml:space="preserve"> t</w:t>
      </w:r>
      <w:r w:rsidR="003656ED">
        <w:t>hree</w:t>
      </w:r>
      <w:r>
        <w:t xml:space="preserve"> key issues may be relevant within the context of a proposed community telecommunications program.</w:t>
      </w:r>
    </w:p>
    <w:p w:rsidR="00010883" w:rsidRDefault="00D672D0" w:rsidP="00D672D0">
      <w:r>
        <w:t>Firstly, to the extent that a component of the program</w:t>
      </w:r>
      <w:r w:rsidR="00DF5428">
        <w:t xml:space="preserve"> may facilitate</w:t>
      </w:r>
      <w:r>
        <w:t xml:space="preserve"> the</w:t>
      </w:r>
      <w:r w:rsidR="00DF5428">
        <w:t xml:space="preserve"> continued</w:t>
      </w:r>
      <w:r>
        <w:t xml:space="preserve"> provision of </w:t>
      </w:r>
      <w:r w:rsidR="000F6500">
        <w:t xml:space="preserve">communication </w:t>
      </w:r>
      <w:r>
        <w:t>services</w:t>
      </w:r>
      <w:r w:rsidR="00DF5428">
        <w:t xml:space="preserve"> in particular areas</w:t>
      </w:r>
      <w:r>
        <w:t xml:space="preserve">, due consideration </w:t>
      </w:r>
      <w:r w:rsidR="003536BE">
        <w:t xml:space="preserve">should </w:t>
      </w:r>
      <w:r>
        <w:t xml:space="preserve">be given to the inherent advantages </w:t>
      </w:r>
      <w:r w:rsidR="0019033F">
        <w:t xml:space="preserve">that </w:t>
      </w:r>
      <w:r>
        <w:t>Telstra is likely to have</w:t>
      </w:r>
      <w:r w:rsidR="0019033F">
        <w:t>,</w:t>
      </w:r>
      <w:r>
        <w:t xml:space="preserve"> given its long history with payphone service provision. This not only includes Telstra’s familiarity </w:t>
      </w:r>
      <w:r w:rsidR="00F7644C">
        <w:t xml:space="preserve">with </w:t>
      </w:r>
      <w:r>
        <w:t>payphone regulatory settings</w:t>
      </w:r>
      <w:r w:rsidR="003536BE">
        <w:t>,</w:t>
      </w:r>
      <w:r>
        <w:t xml:space="preserve"> but also its operational advantages in terms of its existing payphones sites having access to power and existing network infrastructure. </w:t>
      </w:r>
    </w:p>
    <w:p w:rsidR="003536BE" w:rsidRDefault="00D672D0" w:rsidP="00D672D0">
      <w:r>
        <w:t xml:space="preserve">Secondly, </w:t>
      </w:r>
      <w:r w:rsidR="00DF5428">
        <w:t xml:space="preserve">appropriate </w:t>
      </w:r>
      <w:r>
        <w:t>performance requirements would need to be</w:t>
      </w:r>
      <w:r w:rsidR="00DF5428">
        <w:t xml:space="preserve"> specified</w:t>
      </w:r>
      <w:r>
        <w:t xml:space="preserve"> as part of the awarding of any contract following a tender process.</w:t>
      </w:r>
    </w:p>
    <w:p w:rsidR="00D672D0" w:rsidRPr="004C6118" w:rsidRDefault="003536BE" w:rsidP="00D672D0">
      <w:r>
        <w:t xml:space="preserve">Thirdly, there may be value in </w:t>
      </w:r>
      <w:r w:rsidR="00DF5428">
        <w:t>designing a tender that encourage</w:t>
      </w:r>
      <w:r w:rsidR="0019033F">
        <w:t>s</w:t>
      </w:r>
      <w:r w:rsidR="00DF5428">
        <w:t xml:space="preserve"> participation </w:t>
      </w:r>
      <w:r w:rsidR="00D672D0">
        <w:t>from mediu</w:t>
      </w:r>
      <w:r w:rsidR="00DF5428">
        <w:t xml:space="preserve">m and smaller retail providers </w:t>
      </w:r>
      <w:r w:rsidR="0019033F">
        <w:t xml:space="preserve">that </w:t>
      </w:r>
      <w:r w:rsidR="00DF5428">
        <w:t xml:space="preserve">may </w:t>
      </w:r>
      <w:r w:rsidR="00D672D0">
        <w:t>be more familiar with local consumer requirements</w:t>
      </w:r>
      <w:r w:rsidR="00DF5428">
        <w:t>.</w:t>
      </w:r>
      <w:r w:rsidR="001B7453">
        <w:t xml:space="preserve"> </w:t>
      </w:r>
      <w:r w:rsidR="00D672D0">
        <w:t xml:space="preserve"> </w:t>
      </w:r>
    </w:p>
    <w:p w:rsidR="00A5499B" w:rsidRDefault="00A5499B" w:rsidP="00A5499B">
      <w:pPr>
        <w:pStyle w:val="Heading1"/>
      </w:pPr>
      <w:bookmarkStart w:id="33" w:name="_Toc474494266"/>
      <w:bookmarkStart w:id="34" w:name="_Toc298924672"/>
      <w:bookmarkStart w:id="35" w:name="_Toc300909555"/>
      <w:bookmarkStart w:id="36" w:name="_Toc348105636"/>
      <w:bookmarkEnd w:id="16"/>
      <w:r>
        <w:lastRenderedPageBreak/>
        <w:t>Consumer safeguards</w:t>
      </w:r>
      <w:r w:rsidR="00607801">
        <w:t>—</w:t>
      </w:r>
      <w:r>
        <w:t>key considerations</w:t>
      </w:r>
      <w:bookmarkEnd w:id="33"/>
    </w:p>
    <w:p w:rsidR="00A76CDF" w:rsidRDefault="00F65314" w:rsidP="00A76CDF">
      <w:r>
        <w:t xml:space="preserve">The </w:t>
      </w:r>
      <w:r w:rsidR="00373531">
        <w:t xml:space="preserve">ACMA notes that </w:t>
      </w:r>
      <w:r>
        <w:t xml:space="preserve">the PC’s </w:t>
      </w:r>
      <w:r w:rsidR="00A76CDF">
        <w:t xml:space="preserve">draft recommendations have </w:t>
      </w:r>
      <w:r w:rsidR="00FA7015">
        <w:t xml:space="preserve">implications for the broader </w:t>
      </w:r>
      <w:r w:rsidR="00373531">
        <w:t xml:space="preserve">set </w:t>
      </w:r>
      <w:r w:rsidR="00FA7015">
        <w:t>of</w:t>
      </w:r>
      <w:r w:rsidR="00A76CDF">
        <w:t xml:space="preserve"> </w:t>
      </w:r>
      <w:r w:rsidR="00FA7015">
        <w:t xml:space="preserve">telecommunications </w:t>
      </w:r>
      <w:r w:rsidR="00A76CDF">
        <w:t>consumer safeguards</w:t>
      </w:r>
      <w:r>
        <w:t xml:space="preserve"> interconnected with the USO</w:t>
      </w:r>
      <w:r w:rsidR="00A76CDF">
        <w:t xml:space="preserve">. The PC may consider that these </w:t>
      </w:r>
      <w:r>
        <w:t xml:space="preserve">wider </w:t>
      </w:r>
      <w:r w:rsidR="00A76CDF">
        <w:t xml:space="preserve">implications should be examined as part of the </w:t>
      </w:r>
      <w:r w:rsidR="00607801">
        <w:t>government’s</w:t>
      </w:r>
      <w:r w:rsidR="00A76CDF">
        <w:t xml:space="preserve"> intended review of telecommunications consumer safeguards. </w:t>
      </w:r>
    </w:p>
    <w:p w:rsidR="00A76CDF" w:rsidRDefault="00937A63" w:rsidP="00A76CDF">
      <w:r>
        <w:t>T</w:t>
      </w:r>
      <w:r w:rsidR="00A76CDF">
        <w:t>his section of the submission outlines a number of enduring objectives for telecommunications consumer protection</w:t>
      </w:r>
      <w:r>
        <w:t>s</w:t>
      </w:r>
      <w:r w:rsidR="00607801">
        <w:t xml:space="preserve">, which </w:t>
      </w:r>
      <w:r>
        <w:t>apply more broadly than simply to ensur</w:t>
      </w:r>
      <w:r w:rsidR="00FE77D4">
        <w:t>e</w:t>
      </w:r>
      <w:r>
        <w:t xml:space="preserve"> universal service</w:t>
      </w:r>
      <w:r w:rsidR="00A76CDF">
        <w:t>.</w:t>
      </w:r>
      <w:r w:rsidR="00910077">
        <w:t xml:space="preserve"> The ACMA suggests that these be taken into account in any wider review of telecommunications safeguard</w:t>
      </w:r>
      <w:r w:rsidR="006D602F">
        <w:t>s.</w:t>
      </w:r>
    </w:p>
    <w:p w:rsidR="00A76CDF" w:rsidRDefault="00A76CDF" w:rsidP="00227D55">
      <w:pPr>
        <w:pStyle w:val="Heading2"/>
      </w:pPr>
      <w:bookmarkStart w:id="37" w:name="_Toc474494267"/>
      <w:r>
        <w:t>Telecommunications consumer safeguards objectives</w:t>
      </w:r>
      <w:bookmarkEnd w:id="37"/>
    </w:p>
    <w:p w:rsidR="00A76CDF" w:rsidRDefault="00A76CDF" w:rsidP="00A76CDF">
      <w:r>
        <w:t xml:space="preserve">The </w:t>
      </w:r>
      <w:r w:rsidRPr="0004638D">
        <w:t>ACMA</w:t>
      </w:r>
      <w:r>
        <w:t xml:space="preserve"> supports the PC’s draft recommendation that a broad</w:t>
      </w:r>
      <w:r w:rsidR="00F7644C">
        <w:t>-</w:t>
      </w:r>
      <w:r>
        <w:t>ranging review of the telec</w:t>
      </w:r>
      <w:r w:rsidRPr="00894A19">
        <w:t>ommunications consumer safeguards is required.</w:t>
      </w:r>
      <w:r w:rsidR="00583943">
        <w:rPr>
          <w:rStyle w:val="FootnoteReference"/>
        </w:rPr>
        <w:footnoteReference w:id="16"/>
      </w:r>
      <w:r w:rsidRPr="00894A19">
        <w:t xml:space="preserve"> </w:t>
      </w:r>
      <w:r w:rsidR="00FA7015">
        <w:t xml:space="preserve">This position recognises that </w:t>
      </w:r>
      <w:r w:rsidR="006A743F">
        <w:t xml:space="preserve">while </w:t>
      </w:r>
      <w:r w:rsidR="00F65314">
        <w:t xml:space="preserve">many of the components of the existing consumer protection framework </w:t>
      </w:r>
      <w:r w:rsidR="006A743F">
        <w:t xml:space="preserve">remain relevant, </w:t>
      </w:r>
      <w:r w:rsidR="00F65314">
        <w:t xml:space="preserve">others are </w:t>
      </w:r>
      <w:r w:rsidR="006A743F">
        <w:t>being sorely test</w:t>
      </w:r>
      <w:r w:rsidR="00937A63">
        <w:t>ed</w:t>
      </w:r>
      <w:r w:rsidR="006A743F">
        <w:t xml:space="preserve"> by the substantial changes in the telecommunications market over the past two decades. The ACMA’s 2011 paper, </w:t>
      </w:r>
      <w:r w:rsidR="006A743F" w:rsidRPr="006B73E0">
        <w:rPr>
          <w:i/>
        </w:rPr>
        <w:t xml:space="preserve">Broken </w:t>
      </w:r>
      <w:r w:rsidR="00607801">
        <w:rPr>
          <w:i/>
        </w:rPr>
        <w:t>c</w:t>
      </w:r>
      <w:r w:rsidR="006A743F" w:rsidRPr="006B73E0">
        <w:rPr>
          <w:i/>
        </w:rPr>
        <w:t>oncepts</w:t>
      </w:r>
      <w:r w:rsidR="00832533">
        <w:t>–</w:t>
      </w:r>
      <w:r w:rsidR="00832533">
        <w:rPr>
          <w:i/>
        </w:rPr>
        <w:t>The Australian communications legislative landscape</w:t>
      </w:r>
      <w:r w:rsidR="00D82479">
        <w:rPr>
          <w:i/>
        </w:rPr>
        <w:t xml:space="preserve"> </w:t>
      </w:r>
      <w:r w:rsidR="00D82479" w:rsidRPr="00D82479">
        <w:t>(updated in 2013)</w:t>
      </w:r>
      <w:r w:rsidR="006A743F">
        <w:t>, explored these problems in detail. At the same time, t</w:t>
      </w:r>
      <w:r w:rsidRPr="00894A19">
        <w:t>he ACMA considers that a sector</w:t>
      </w:r>
      <w:r w:rsidR="001E1292">
        <w:t>-</w:t>
      </w:r>
      <w:r w:rsidRPr="00894A19">
        <w:t>specific consumer protection framework is still required</w:t>
      </w:r>
      <w:r w:rsidR="001E1292">
        <w:t xml:space="preserve">. </w:t>
      </w:r>
      <w:r w:rsidR="00F65314">
        <w:t xml:space="preserve">Indeed, a similar </w:t>
      </w:r>
      <w:r w:rsidR="001E1292">
        <w:t xml:space="preserve">view is </w:t>
      </w:r>
      <w:r w:rsidR="00F65314">
        <w:t xml:space="preserve">expressed </w:t>
      </w:r>
      <w:r w:rsidR="001E1292">
        <w:t xml:space="preserve">in the </w:t>
      </w:r>
      <w:r w:rsidR="00F65314">
        <w:t xml:space="preserve">May 2016 </w:t>
      </w:r>
      <w:r w:rsidR="006A743F">
        <w:t>draft report o</w:t>
      </w:r>
      <w:r w:rsidR="006D602F">
        <w:t>f</w:t>
      </w:r>
      <w:r w:rsidR="006A743F">
        <w:t xml:space="preserve"> the </w:t>
      </w:r>
      <w:r w:rsidR="00F65314">
        <w:t xml:space="preserve">review of the </w:t>
      </w:r>
      <w:r w:rsidR="006A743F">
        <w:t>ACMA</w:t>
      </w:r>
      <w:r w:rsidR="00F65314">
        <w:t>, which</w:t>
      </w:r>
      <w:r w:rsidR="001E1292">
        <w:t xml:space="preserve"> notes that</w:t>
      </w:r>
      <w:r w:rsidRPr="00894A19">
        <w:t xml:space="preserve"> </w:t>
      </w:r>
      <w:r w:rsidR="00B54469" w:rsidRPr="00894A19">
        <w:t>‘</w:t>
      </w:r>
      <w:r w:rsidR="00B54469">
        <w:t>…</w:t>
      </w:r>
      <w:r w:rsidR="00607801">
        <w:t xml:space="preserve"> </w:t>
      </w:r>
      <w:r w:rsidRPr="00894A19">
        <w:t>the unique complexity of communications products and services mean that it is appropriate to retain sectoral regulation to complement general consumer law.’</w:t>
      </w:r>
    </w:p>
    <w:p w:rsidR="00A76CDF" w:rsidRDefault="00A76CDF" w:rsidP="00A76CDF">
      <w:r>
        <w:t>The ACMA has</w:t>
      </w:r>
      <w:r w:rsidR="00243786">
        <w:t>,</w:t>
      </w:r>
      <w:r>
        <w:t xml:space="preserve"> </w:t>
      </w:r>
      <w:r w:rsidR="00243786">
        <w:t xml:space="preserve">for a number of years, </w:t>
      </w:r>
      <w:r>
        <w:t xml:space="preserve">been considering the </w:t>
      </w:r>
      <w:r w:rsidR="006A743F">
        <w:t xml:space="preserve">elements of </w:t>
      </w:r>
      <w:r>
        <w:t>telecommunications consumer protection</w:t>
      </w:r>
      <w:r w:rsidR="006A743F">
        <w:t xml:space="preserve"> that are enduring</w:t>
      </w:r>
      <w:r w:rsidR="00D82479">
        <w:t>.</w:t>
      </w:r>
      <w:r w:rsidR="005809BA">
        <w:t xml:space="preserve"> </w:t>
      </w:r>
      <w:r w:rsidR="00D82479">
        <w:t>O</w:t>
      </w:r>
      <w:r>
        <w:t xml:space="preserve">ur </w:t>
      </w:r>
      <w:r w:rsidR="006A743F">
        <w:t>2011 paper</w:t>
      </w:r>
      <w:r w:rsidR="00607801">
        <w:t>,</w:t>
      </w:r>
      <w:r w:rsidR="006A743F">
        <w:t xml:space="preserve"> </w:t>
      </w:r>
      <w:r w:rsidR="006A743F" w:rsidRPr="006B73E0">
        <w:rPr>
          <w:i/>
        </w:rPr>
        <w:t xml:space="preserve">Enduring </w:t>
      </w:r>
      <w:r w:rsidR="00607801">
        <w:rPr>
          <w:i/>
        </w:rPr>
        <w:t>c</w:t>
      </w:r>
      <w:r w:rsidR="006A743F" w:rsidRPr="006B73E0">
        <w:rPr>
          <w:i/>
        </w:rPr>
        <w:t>oncepts</w:t>
      </w:r>
      <w:r w:rsidR="001E1292">
        <w:t>–</w:t>
      </w:r>
      <w:r w:rsidR="001E1292" w:rsidRPr="006B73E0">
        <w:rPr>
          <w:i/>
        </w:rPr>
        <w:t>Communications and media in Australia</w:t>
      </w:r>
      <w:r w:rsidR="00D82479" w:rsidRPr="006B73E0">
        <w:t>, in particular, articulated the ACMA’s views and thoughts on these issues.</w:t>
      </w:r>
      <w:r w:rsidR="005809BA" w:rsidRPr="006B73E0">
        <w:t xml:space="preserve"> </w:t>
      </w:r>
      <w:r w:rsidR="00D82479" w:rsidRPr="005809BA">
        <w:t>M</w:t>
      </w:r>
      <w:r w:rsidRPr="005809BA">
        <w:t>ore</w:t>
      </w:r>
      <w:r>
        <w:t xml:space="preserve"> recently</w:t>
      </w:r>
      <w:r w:rsidR="00D82479">
        <w:t>,</w:t>
      </w:r>
      <w:r>
        <w:t xml:space="preserve"> the </w:t>
      </w:r>
      <w:r w:rsidR="00057A61">
        <w:t xml:space="preserve">continuing </w:t>
      </w:r>
      <w:r>
        <w:t>changes in the telecommunications landscape</w:t>
      </w:r>
      <w:r w:rsidR="00607801">
        <w:t>—</w:t>
      </w:r>
      <w:r>
        <w:t xml:space="preserve">such as the rollout of the </w:t>
      </w:r>
      <w:r w:rsidR="0055738F">
        <w:t xml:space="preserve">NBN </w:t>
      </w:r>
      <w:r>
        <w:t>and changing consumer behaviours</w:t>
      </w:r>
      <w:r w:rsidR="00607801">
        <w:t>—</w:t>
      </w:r>
      <w:r>
        <w:t xml:space="preserve">are </w:t>
      </w:r>
      <w:r w:rsidR="006A743F">
        <w:t xml:space="preserve">again </w:t>
      </w:r>
      <w:r>
        <w:t xml:space="preserve">prompting the need to consider the </w:t>
      </w:r>
      <w:r w:rsidR="00057A61">
        <w:t xml:space="preserve">telecommunications regulatory </w:t>
      </w:r>
      <w:r>
        <w:t>framework.</w:t>
      </w:r>
    </w:p>
    <w:p w:rsidR="00A76CDF" w:rsidRDefault="00A76CDF" w:rsidP="00227D55">
      <w:pPr>
        <w:spacing w:after="120"/>
      </w:pPr>
      <w:r>
        <w:t xml:space="preserve">As part of his address to the </w:t>
      </w:r>
      <w:proofErr w:type="spellStart"/>
      <w:r>
        <w:t>CommsDay</w:t>
      </w:r>
      <w:proofErr w:type="spellEnd"/>
      <w:r>
        <w:t xml:space="preserve"> Congress</w:t>
      </w:r>
      <w:r w:rsidR="00517997">
        <w:t xml:space="preserve"> in October 2016</w:t>
      </w:r>
      <w:r>
        <w:t xml:space="preserve">, acting ACMA Chairman Richard Bean </w:t>
      </w:r>
      <w:r w:rsidR="00517997">
        <w:t xml:space="preserve">offered </w:t>
      </w:r>
      <w:r>
        <w:t xml:space="preserve">insights into the ACMA’s approach to these issues: </w:t>
      </w:r>
    </w:p>
    <w:p w:rsidR="00A76CDF" w:rsidRPr="00227D55" w:rsidRDefault="00A76CDF" w:rsidP="00A76CDF">
      <w:pPr>
        <w:ind w:left="284"/>
        <w:rPr>
          <w:sz w:val="18"/>
          <w:szCs w:val="18"/>
        </w:rPr>
      </w:pPr>
      <w:r w:rsidRPr="00227D55">
        <w:rPr>
          <w:sz w:val="18"/>
          <w:szCs w:val="18"/>
        </w:rPr>
        <w:t>From the ACMA’s perspective, we look for a framework that promotes consumer confidence—so that citizens can constructively engage with old and new communications products, where consumers have the tools available to evaluate products and services, and where they have the confidence to change their own communications practices to take advantage of innovations—all useful outcomes that are consistent with, and reflect the unique characteristics of contemporary communications.</w:t>
      </w:r>
      <w:r w:rsidRPr="00227D55">
        <w:rPr>
          <w:rStyle w:val="FootnoteReference"/>
          <w:sz w:val="18"/>
          <w:szCs w:val="18"/>
        </w:rPr>
        <w:footnoteReference w:id="17"/>
      </w:r>
    </w:p>
    <w:p w:rsidR="00A76CDF" w:rsidRDefault="00517997" w:rsidP="00227D55">
      <w:pPr>
        <w:keepNext/>
        <w:keepLines/>
        <w:spacing w:after="80"/>
      </w:pPr>
      <w:r>
        <w:lastRenderedPageBreak/>
        <w:t xml:space="preserve">The acting ACMA Chairman identified </w:t>
      </w:r>
      <w:r w:rsidR="00A76CDF">
        <w:t>five areas of enduring public interest in the communications market:</w:t>
      </w:r>
    </w:p>
    <w:p w:rsidR="00A76CDF" w:rsidRPr="006B73E0" w:rsidRDefault="00A76CDF" w:rsidP="00227D55">
      <w:pPr>
        <w:pStyle w:val="ListNumber"/>
        <w:keepNext/>
        <w:keepLines/>
        <w:numPr>
          <w:ilvl w:val="0"/>
          <w:numId w:val="44"/>
        </w:numPr>
      </w:pPr>
      <w:r w:rsidRPr="00A33D44">
        <w:t>Access</w:t>
      </w:r>
      <w:r w:rsidR="00607801">
        <w:t xml:space="preserve"> </w:t>
      </w:r>
      <w:r>
        <w:t>to both services and devices</w:t>
      </w:r>
      <w:r w:rsidR="00607801">
        <w:t>—t</w:t>
      </w:r>
      <w:r>
        <w:t>here is a continued expectation of a need for connectivity in emergency situations. Facilitating access to communication for specific segments of the community (as outlined in</w:t>
      </w:r>
      <w:r w:rsidR="00A558D7">
        <w:t xml:space="preserve"> the</w:t>
      </w:r>
      <w:r>
        <w:t xml:space="preserve"> PC’s draft report) is also a fundamental consideration. </w:t>
      </w:r>
    </w:p>
    <w:p w:rsidR="00A76CDF" w:rsidRPr="004555A9" w:rsidRDefault="00A76CDF" w:rsidP="00227D55">
      <w:pPr>
        <w:pStyle w:val="ListNumber"/>
      </w:pPr>
      <w:r w:rsidRPr="00C1100C">
        <w:t>Affordability</w:t>
      </w:r>
      <w:r w:rsidR="00607801">
        <w:t>—</w:t>
      </w:r>
      <w:r>
        <w:t>there is a customer expectation that telecommunications services are affordabl</w:t>
      </w:r>
      <w:r w:rsidR="00C05B6A">
        <w:t>e</w:t>
      </w:r>
      <w:r>
        <w:t xml:space="preserve"> and competitively priced. There is also an expectation for a meaningful choice of providers. </w:t>
      </w:r>
    </w:p>
    <w:p w:rsidR="00A76CDF" w:rsidRPr="004555A9" w:rsidRDefault="00A76CDF" w:rsidP="00227D55">
      <w:pPr>
        <w:pStyle w:val="ListNumber"/>
      </w:pPr>
      <w:r w:rsidRPr="004555A9">
        <w:t>Availability</w:t>
      </w:r>
      <w:r w:rsidR="00607801">
        <w:t>—</w:t>
      </w:r>
      <w:r>
        <w:t xml:space="preserve">consumers can expect that a service </w:t>
      </w:r>
      <w:r w:rsidR="00C05B6A">
        <w:t xml:space="preserve">will be </w:t>
      </w:r>
      <w:r>
        <w:t>connected in a reasonable timeframe and be reliable</w:t>
      </w:r>
      <w:r w:rsidR="00607801">
        <w:t xml:space="preserve">, </w:t>
      </w:r>
      <w:r>
        <w:t>both in terms of quality and service delivery.</w:t>
      </w:r>
      <w:r w:rsidR="001B7453">
        <w:t xml:space="preserve"> </w:t>
      </w:r>
    </w:p>
    <w:p w:rsidR="00A76CDF" w:rsidRPr="004555A9" w:rsidRDefault="00A76CDF" w:rsidP="00227D55">
      <w:pPr>
        <w:pStyle w:val="ListNumber"/>
      </w:pPr>
      <w:r w:rsidRPr="004555A9">
        <w:t>Capability</w:t>
      </w:r>
      <w:r w:rsidR="00607801">
        <w:t>—</w:t>
      </w:r>
      <w:r>
        <w:t xml:space="preserve">consumers are able to utilise services to maximise their benefits. </w:t>
      </w:r>
    </w:p>
    <w:p w:rsidR="00A76CDF" w:rsidRPr="004555A9" w:rsidRDefault="00A76CDF" w:rsidP="00227D55">
      <w:pPr>
        <w:pStyle w:val="ListNumber"/>
        <w:spacing w:after="240"/>
      </w:pPr>
      <w:r w:rsidRPr="004555A9">
        <w:t>Customer service</w:t>
      </w:r>
      <w:r w:rsidR="00607801">
        <w:t>—</w:t>
      </w:r>
      <w:r>
        <w:t xml:space="preserve">consumers can reasonably expect that </w:t>
      </w:r>
      <w:r w:rsidR="00C05B6A">
        <w:t xml:space="preserve">pre-sale information about products and services is provided in a comprehensible format and that service problems </w:t>
      </w:r>
      <w:r>
        <w:t>are addressed in a timely manner</w:t>
      </w:r>
      <w:r w:rsidR="005809BA">
        <w:t>.</w:t>
      </w:r>
      <w:r>
        <w:t xml:space="preserve"> </w:t>
      </w:r>
    </w:p>
    <w:p w:rsidR="00A76CDF" w:rsidRDefault="00A76CDF" w:rsidP="00A76CDF">
      <w:r>
        <w:t xml:space="preserve">The ACMA considers that these </w:t>
      </w:r>
      <w:r w:rsidR="00213A24">
        <w:t xml:space="preserve">areas represent </w:t>
      </w:r>
      <w:r>
        <w:t xml:space="preserve">enduring </w:t>
      </w:r>
      <w:r w:rsidR="00C05B6A">
        <w:t xml:space="preserve">consumer expectations that </w:t>
      </w:r>
      <w:r w:rsidR="00517997">
        <w:t xml:space="preserve">are likely </w:t>
      </w:r>
      <w:r w:rsidR="00842E1C">
        <w:t>to apply</w:t>
      </w:r>
      <w:r w:rsidR="00607801">
        <w:t>,</w:t>
      </w:r>
      <w:r>
        <w:t xml:space="preserve"> </w:t>
      </w:r>
      <w:r w:rsidR="00842E1C">
        <w:t>even as</w:t>
      </w:r>
      <w:r>
        <w:t xml:space="preserve"> technologies, products and services provided by the communications industry</w:t>
      </w:r>
      <w:r w:rsidR="00842E1C">
        <w:t xml:space="preserve"> change over time</w:t>
      </w:r>
      <w:r>
        <w:t xml:space="preserve">. </w:t>
      </w:r>
    </w:p>
    <w:p w:rsidR="00517997" w:rsidRDefault="00A76CDF" w:rsidP="00517997">
      <w:pPr>
        <w:spacing w:after="80"/>
      </w:pPr>
      <w:r>
        <w:t>To articulate th</w:t>
      </w:r>
      <w:r w:rsidR="00842E1C">
        <w:t xml:space="preserve">is </w:t>
      </w:r>
      <w:r w:rsidR="00213A24">
        <w:t>thinking</w:t>
      </w:r>
      <w:r>
        <w:t xml:space="preserve"> </w:t>
      </w:r>
      <w:r w:rsidR="00842E1C">
        <w:t>further</w:t>
      </w:r>
      <w:r w:rsidR="007F198E">
        <w:t>, the ACMA ha</w:t>
      </w:r>
      <w:r w:rsidR="00C6507D">
        <w:t>s</w:t>
      </w:r>
      <w:r w:rsidR="007F198E">
        <w:t xml:space="preserve"> identified </w:t>
      </w:r>
      <w:r w:rsidR="00842E1C">
        <w:t xml:space="preserve">nine </w:t>
      </w:r>
      <w:r>
        <w:t>overarching consumer protection objectives</w:t>
      </w:r>
      <w:r w:rsidR="00607801">
        <w:t>,</w:t>
      </w:r>
      <w:r>
        <w:t xml:space="preserve"> illustrated in </w:t>
      </w:r>
      <w:r w:rsidR="00842E1C">
        <w:t>F</w:t>
      </w:r>
      <w:r>
        <w:t xml:space="preserve">igure 5 below. These objectives </w:t>
      </w:r>
      <w:r w:rsidR="00084986">
        <w:t>build on</w:t>
      </w:r>
      <w:r>
        <w:t xml:space="preserve"> the public interest areas identified above and can be broadly grouped into three categories</w:t>
      </w:r>
      <w:r w:rsidR="00517997">
        <w:t>:</w:t>
      </w:r>
    </w:p>
    <w:p w:rsidR="00517997" w:rsidRPr="00C64DF5" w:rsidRDefault="00517997" w:rsidP="00227D55">
      <w:pPr>
        <w:pStyle w:val="ListBullet"/>
        <w:numPr>
          <w:ilvl w:val="0"/>
          <w:numId w:val="13"/>
        </w:numPr>
        <w:rPr>
          <w:rFonts w:cs="Arial"/>
          <w:szCs w:val="20"/>
        </w:rPr>
      </w:pPr>
      <w:r w:rsidRPr="00C64DF5">
        <w:rPr>
          <w:rFonts w:cs="Arial"/>
          <w:szCs w:val="20"/>
        </w:rPr>
        <w:t xml:space="preserve">the </w:t>
      </w:r>
      <w:r w:rsidR="00A76CDF" w:rsidRPr="00C64DF5">
        <w:rPr>
          <w:rFonts w:cs="Arial"/>
          <w:szCs w:val="20"/>
        </w:rPr>
        <w:t xml:space="preserve">first </w:t>
      </w:r>
      <w:r w:rsidRPr="00C64DF5">
        <w:rPr>
          <w:rFonts w:cs="Arial"/>
          <w:szCs w:val="20"/>
        </w:rPr>
        <w:t xml:space="preserve">category </w:t>
      </w:r>
      <w:r w:rsidR="00A76CDF" w:rsidRPr="00C64DF5">
        <w:rPr>
          <w:rFonts w:cs="Arial"/>
          <w:szCs w:val="20"/>
        </w:rPr>
        <w:t>relate</w:t>
      </w:r>
      <w:r w:rsidRPr="00C64DF5">
        <w:rPr>
          <w:rFonts w:cs="Arial"/>
          <w:szCs w:val="20"/>
        </w:rPr>
        <w:t>s</w:t>
      </w:r>
      <w:r w:rsidR="00A76CDF" w:rsidRPr="00C64DF5">
        <w:rPr>
          <w:rFonts w:cs="Arial"/>
          <w:szCs w:val="20"/>
        </w:rPr>
        <w:t xml:space="preserve"> to the availability, accessibility and affordability of communications services</w:t>
      </w:r>
    </w:p>
    <w:p w:rsidR="00517997" w:rsidRPr="00C64DF5" w:rsidRDefault="00517997" w:rsidP="00227D55">
      <w:pPr>
        <w:pStyle w:val="ListBullet"/>
        <w:numPr>
          <w:ilvl w:val="0"/>
          <w:numId w:val="13"/>
        </w:numPr>
        <w:rPr>
          <w:rFonts w:cs="Arial"/>
          <w:szCs w:val="20"/>
        </w:rPr>
      </w:pPr>
      <w:r w:rsidRPr="00C64DF5">
        <w:rPr>
          <w:rFonts w:cs="Arial"/>
          <w:szCs w:val="20"/>
        </w:rPr>
        <w:t xml:space="preserve">the </w:t>
      </w:r>
      <w:r w:rsidR="00A76CDF" w:rsidRPr="00C64DF5">
        <w:rPr>
          <w:rFonts w:cs="Arial"/>
          <w:szCs w:val="20"/>
        </w:rPr>
        <w:t xml:space="preserve">second </w:t>
      </w:r>
      <w:r w:rsidRPr="00C64DF5">
        <w:rPr>
          <w:rFonts w:cs="Arial"/>
          <w:szCs w:val="20"/>
        </w:rPr>
        <w:t xml:space="preserve">category relates </w:t>
      </w:r>
      <w:r w:rsidR="00A76CDF" w:rsidRPr="00C64DF5">
        <w:rPr>
          <w:rFonts w:cs="Arial"/>
          <w:szCs w:val="20"/>
        </w:rPr>
        <w:t xml:space="preserve">to </w:t>
      </w:r>
      <w:r w:rsidR="00656B7F" w:rsidRPr="00C64DF5">
        <w:rPr>
          <w:rFonts w:cs="Arial"/>
          <w:szCs w:val="20"/>
        </w:rPr>
        <w:t>the effective operation of communication services</w:t>
      </w:r>
    </w:p>
    <w:p w:rsidR="00517997" w:rsidRPr="00C64DF5" w:rsidRDefault="00517997" w:rsidP="00227D55">
      <w:pPr>
        <w:pStyle w:val="ListBullet"/>
        <w:numPr>
          <w:ilvl w:val="0"/>
          <w:numId w:val="13"/>
        </w:numPr>
        <w:spacing w:after="240"/>
        <w:rPr>
          <w:rFonts w:cs="Arial"/>
          <w:szCs w:val="20"/>
        </w:rPr>
      </w:pPr>
      <w:r w:rsidRPr="00C64DF5">
        <w:rPr>
          <w:rFonts w:cs="Arial"/>
          <w:szCs w:val="20"/>
        </w:rPr>
        <w:t xml:space="preserve">the </w:t>
      </w:r>
      <w:r w:rsidR="00A76CDF" w:rsidRPr="00C64DF5">
        <w:rPr>
          <w:rFonts w:cs="Arial"/>
          <w:szCs w:val="20"/>
        </w:rPr>
        <w:t xml:space="preserve">third </w:t>
      </w:r>
      <w:r w:rsidRPr="00C64DF5">
        <w:rPr>
          <w:rFonts w:cs="Arial"/>
          <w:szCs w:val="20"/>
        </w:rPr>
        <w:t xml:space="preserve">category relates </w:t>
      </w:r>
      <w:r w:rsidR="00A76CDF" w:rsidRPr="00C64DF5">
        <w:rPr>
          <w:rFonts w:cs="Arial"/>
          <w:szCs w:val="20"/>
        </w:rPr>
        <w:t>to safety, privacy and security</w:t>
      </w:r>
      <w:r w:rsidR="00656B7F" w:rsidRPr="00C64DF5">
        <w:rPr>
          <w:rFonts w:cs="Arial"/>
          <w:szCs w:val="20"/>
        </w:rPr>
        <w:t xml:space="preserve"> of communication services</w:t>
      </w:r>
      <w:r w:rsidR="00A76CDF" w:rsidRPr="00C64DF5">
        <w:rPr>
          <w:rFonts w:cs="Arial"/>
          <w:szCs w:val="20"/>
        </w:rPr>
        <w:t>.</w:t>
      </w:r>
    </w:p>
    <w:p w:rsidR="002C1EB2" w:rsidRDefault="00A76CDF" w:rsidP="00517997">
      <w:r>
        <w:t>The objectives are discussed below.</w:t>
      </w:r>
    </w:p>
    <w:p w:rsidR="00A76CDF" w:rsidRPr="00B54469" w:rsidRDefault="00A76CDF" w:rsidP="00227D55">
      <w:pPr>
        <w:pStyle w:val="ACMAFigureHeader"/>
        <w:keepNext/>
      </w:pPr>
      <w:r w:rsidRPr="00B54469">
        <w:lastRenderedPageBreak/>
        <w:t xml:space="preserve">Enduring </w:t>
      </w:r>
      <w:r w:rsidR="00C64DF5" w:rsidRPr="00B54469">
        <w:t>t</w:t>
      </w:r>
      <w:r w:rsidRPr="00B54469">
        <w:t xml:space="preserve">elecommunications </w:t>
      </w:r>
      <w:r w:rsidR="00C64DF5" w:rsidRPr="00B54469">
        <w:t>c</w:t>
      </w:r>
      <w:r w:rsidRPr="00B54469">
        <w:t xml:space="preserve">onsumer </w:t>
      </w:r>
      <w:r w:rsidR="00C64DF5" w:rsidRPr="00B54469">
        <w:t>o</w:t>
      </w:r>
      <w:r w:rsidRPr="00B54469">
        <w:t xml:space="preserve">bjectives </w:t>
      </w:r>
    </w:p>
    <w:p w:rsidR="004F6ED1" w:rsidRPr="006B73E0" w:rsidRDefault="00B54469" w:rsidP="006B73E0">
      <w:pPr>
        <w:keepNext/>
        <w:rPr>
          <w:i/>
        </w:rPr>
      </w:pPr>
      <w:r>
        <w:rPr>
          <w:noProof/>
        </w:rPr>
        <w:drawing>
          <wp:inline distT="0" distB="0" distL="0" distR="0" wp14:anchorId="58F4B70A" wp14:editId="01A932AE">
            <wp:extent cx="6181725" cy="47650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95697" cy="4775810"/>
                    </a:xfrm>
                    <a:prstGeom prst="rect">
                      <a:avLst/>
                    </a:prstGeom>
                  </pic:spPr>
                </pic:pic>
              </a:graphicData>
            </a:graphic>
          </wp:inline>
        </w:drawing>
      </w:r>
    </w:p>
    <w:p w:rsidR="00A76CDF" w:rsidRDefault="00A76CDF" w:rsidP="00227D55">
      <w:pPr>
        <w:pStyle w:val="ACMASpaceaftertable"/>
      </w:pPr>
    </w:p>
    <w:p w:rsidR="00A76CDF" w:rsidRPr="00B057D1" w:rsidRDefault="00A76CDF" w:rsidP="00227D55">
      <w:pPr>
        <w:pStyle w:val="Heading2"/>
        <w:rPr>
          <w:noProof/>
        </w:rPr>
      </w:pPr>
      <w:bookmarkStart w:id="38" w:name="_Toc474494268"/>
      <w:r>
        <w:rPr>
          <w:noProof/>
        </w:rPr>
        <w:t xml:space="preserve">Availability, </w:t>
      </w:r>
      <w:r w:rsidR="00C64DF5">
        <w:rPr>
          <w:noProof/>
        </w:rPr>
        <w:t>a</w:t>
      </w:r>
      <w:r>
        <w:rPr>
          <w:noProof/>
        </w:rPr>
        <w:t xml:space="preserve">ccessability and </w:t>
      </w:r>
      <w:r w:rsidR="00C64DF5">
        <w:rPr>
          <w:noProof/>
        </w:rPr>
        <w:t>a</w:t>
      </w:r>
      <w:r>
        <w:rPr>
          <w:noProof/>
        </w:rPr>
        <w:t>ffordability</w:t>
      </w:r>
      <w:bookmarkEnd w:id="38"/>
      <w:r>
        <w:rPr>
          <w:noProof/>
        </w:rPr>
        <w:t xml:space="preserve"> </w:t>
      </w:r>
    </w:p>
    <w:p w:rsidR="00A76CDF" w:rsidRDefault="00A76CDF" w:rsidP="00A76CDF">
      <w:r w:rsidRPr="00322699">
        <w:t xml:space="preserve">Both the existing USO and </w:t>
      </w:r>
      <w:r>
        <w:t xml:space="preserve">the </w:t>
      </w:r>
      <w:r w:rsidRPr="00322699">
        <w:t>PC’s proposed universal service framework seek to address the objective</w:t>
      </w:r>
      <w:r w:rsidR="005809BA">
        <w:t>s</w:t>
      </w:r>
      <w:r w:rsidRPr="00322699">
        <w:t xml:space="preserve"> of availability, accessibility and affordability.</w:t>
      </w:r>
      <w:r w:rsidR="001B7453">
        <w:t xml:space="preserve"> </w:t>
      </w:r>
    </w:p>
    <w:p w:rsidR="00A76CDF" w:rsidRDefault="009F1BE3" w:rsidP="00A76CDF">
      <w:r>
        <w:t>Further</w:t>
      </w:r>
      <w:r w:rsidR="00513FE3">
        <w:t>, it can be noted that t</w:t>
      </w:r>
      <w:r w:rsidR="00A76CDF">
        <w:t>here are</w:t>
      </w:r>
      <w:r w:rsidR="00F72F53">
        <w:t xml:space="preserve"> </w:t>
      </w:r>
      <w:r w:rsidR="005809BA">
        <w:t>a</w:t>
      </w:r>
      <w:r w:rsidR="00A76CDF">
        <w:t xml:space="preserve"> number of </w:t>
      </w:r>
      <w:r w:rsidR="00F72F53">
        <w:t xml:space="preserve">particular </w:t>
      </w:r>
      <w:r w:rsidR="00A76CDF">
        <w:t xml:space="preserve">regulatory consumer safeguards that have historically been closely linked to the delivery of the USO. </w:t>
      </w:r>
      <w:r w:rsidR="00517997">
        <w:t xml:space="preserve">The ACMA considers it appropriate that these </w:t>
      </w:r>
      <w:r w:rsidR="00A76CDF">
        <w:t xml:space="preserve">should be </w:t>
      </w:r>
      <w:r w:rsidR="00517997">
        <w:t xml:space="preserve">carefully </w:t>
      </w:r>
      <w:r w:rsidR="00A76CDF">
        <w:t xml:space="preserve">evaluated should the </w:t>
      </w:r>
      <w:r w:rsidR="00C64DF5">
        <w:t>g</w:t>
      </w:r>
      <w:r w:rsidR="00A76CDF">
        <w:t xml:space="preserve">overnment </w:t>
      </w:r>
      <w:r w:rsidR="00517997">
        <w:t xml:space="preserve">decide to alter the existing </w:t>
      </w:r>
      <w:r w:rsidR="00A76CDF">
        <w:t xml:space="preserve">USO arrangements. </w:t>
      </w:r>
    </w:p>
    <w:p w:rsidR="00A76CDF" w:rsidRPr="00A37D64" w:rsidRDefault="00A76CDF" w:rsidP="00227D55">
      <w:pPr>
        <w:pStyle w:val="Heading3"/>
      </w:pPr>
      <w:bookmarkStart w:id="39" w:name="_Toc474494269"/>
      <w:r w:rsidRPr="00A37D64">
        <w:t>Impact of propose</w:t>
      </w:r>
      <w:r w:rsidR="005809BA">
        <w:t>d</w:t>
      </w:r>
      <w:r w:rsidRPr="00A37D64">
        <w:t xml:space="preserve"> universal service framework on existing safeguards</w:t>
      </w:r>
      <w:bookmarkEnd w:id="39"/>
      <w:r w:rsidRPr="00A37D64">
        <w:t xml:space="preserve"> </w:t>
      </w:r>
    </w:p>
    <w:p w:rsidR="00A76CDF" w:rsidRDefault="00A76CDF" w:rsidP="00A76CDF">
      <w:r>
        <w:t>A key consumer protection for the availability of consumer services is the customer Service Guarantee (CSG)</w:t>
      </w:r>
      <w:r w:rsidR="00C64DF5">
        <w:t>,</w:t>
      </w:r>
      <w:r>
        <w:t xml:space="preserve"> which has also been a proxy for measuring the delivery of the STS USO. </w:t>
      </w:r>
      <w:r w:rsidR="005E36AE">
        <w:t>T</w:t>
      </w:r>
      <w:r>
        <w:t xml:space="preserve">he PC notes that the </w:t>
      </w:r>
      <w:r w:rsidR="002C1EB2">
        <w:t xml:space="preserve">practice </w:t>
      </w:r>
      <w:r w:rsidR="00C64DF5">
        <w:t xml:space="preserve">by </w:t>
      </w:r>
      <w:r w:rsidR="00B51AEE">
        <w:t xml:space="preserve">some </w:t>
      </w:r>
      <w:r w:rsidR="005E36AE">
        <w:t xml:space="preserve">service providers </w:t>
      </w:r>
      <w:r w:rsidR="005809BA">
        <w:t xml:space="preserve">of </w:t>
      </w:r>
      <w:r w:rsidR="005E36AE">
        <w:t xml:space="preserve">requiring </w:t>
      </w:r>
      <w:r w:rsidR="002C1EB2">
        <w:t xml:space="preserve">potential customers to waive their CSG rights </w:t>
      </w:r>
      <w:r w:rsidR="00517997">
        <w:t xml:space="preserve">before commencing supply of </w:t>
      </w:r>
      <w:r w:rsidR="005E36AE">
        <w:t xml:space="preserve">service </w:t>
      </w:r>
      <w:r w:rsidR="005809BA">
        <w:t>ha</w:t>
      </w:r>
      <w:r>
        <w:t>s increas</w:t>
      </w:r>
      <w:r w:rsidR="005809BA">
        <w:t>ed</w:t>
      </w:r>
      <w:r>
        <w:t xml:space="preserve"> over the last few years</w:t>
      </w:r>
      <w:r w:rsidR="005E36AE">
        <w:t xml:space="preserve">. </w:t>
      </w:r>
      <w:r w:rsidR="00B51AEE">
        <w:t>T</w:t>
      </w:r>
      <w:r w:rsidR="005E36AE">
        <w:t xml:space="preserve">his has led to </w:t>
      </w:r>
      <w:r w:rsidR="00227D55">
        <w:t>less</w:t>
      </w:r>
      <w:r w:rsidR="005E36AE">
        <w:t xml:space="preserve"> customers </w:t>
      </w:r>
      <w:r w:rsidR="00B51AEE">
        <w:t xml:space="preserve">being </w:t>
      </w:r>
      <w:r w:rsidR="005E36AE">
        <w:t>covered by the CSG</w:t>
      </w:r>
      <w:r w:rsidR="00B51AEE">
        <w:t xml:space="preserve">. </w:t>
      </w:r>
    </w:p>
    <w:p w:rsidR="00A76CDF" w:rsidRDefault="00A76CDF" w:rsidP="00A76CDF">
      <w:r>
        <w:t xml:space="preserve">Should the </w:t>
      </w:r>
      <w:r w:rsidR="00C64DF5">
        <w:t>g</w:t>
      </w:r>
      <w:r>
        <w:t xml:space="preserve">overnment look to alter USO arrangements, the future of the CSG (a retail level protection) should be evaluated in light of the </w:t>
      </w:r>
      <w:r w:rsidR="0055738F">
        <w:t xml:space="preserve">NBN </w:t>
      </w:r>
      <w:r>
        <w:t xml:space="preserve">rollout. </w:t>
      </w:r>
      <w:r w:rsidR="002C1EB2">
        <w:t xml:space="preserve">This is because any application of CSG-like protections at the retail level is dependent on a corresponding </w:t>
      </w:r>
      <w:r w:rsidR="002C1EB2">
        <w:lastRenderedPageBreak/>
        <w:t xml:space="preserve">commitment by the wholesale provider </w:t>
      </w:r>
      <w:r w:rsidR="00E809B0">
        <w:t>(</w:t>
      </w:r>
      <w:proofErr w:type="spellStart"/>
      <w:r w:rsidR="00E809B0">
        <w:t>nbn</w:t>
      </w:r>
      <w:proofErr w:type="spellEnd"/>
      <w:r w:rsidR="00A26F64">
        <w:t xml:space="preserve"> or another infrastructure provider) </w:t>
      </w:r>
      <w:r w:rsidR="00A81F50">
        <w:t xml:space="preserve">regarding </w:t>
      </w:r>
      <w:r w:rsidR="002C1EB2">
        <w:t>connection</w:t>
      </w:r>
      <w:r w:rsidR="005E74D7">
        <w:t xml:space="preserve"> and repair times. Accordingly, consideration</w:t>
      </w:r>
      <w:r>
        <w:t xml:space="preserve"> should also be given to the interaction between the CSG </w:t>
      </w:r>
      <w:r w:rsidR="00794CB2">
        <w:t xml:space="preserve">(or any similar retail level protections that may replace it), </w:t>
      </w:r>
      <w:r>
        <w:t xml:space="preserve">and connection and fault rectification arrangements at the wholesale level. </w:t>
      </w:r>
    </w:p>
    <w:p w:rsidR="00A76CDF" w:rsidRDefault="00A76CDF" w:rsidP="00A76CDF">
      <w:r>
        <w:t xml:space="preserve">The CSG </w:t>
      </w:r>
      <w:r w:rsidR="00794CB2">
        <w:t xml:space="preserve">is </w:t>
      </w:r>
      <w:r>
        <w:t>complemented by the National Reliability Framework (NRF)</w:t>
      </w:r>
      <w:r w:rsidR="003656ED">
        <w:t>. T</w:t>
      </w:r>
      <w:r w:rsidRPr="002F3651">
        <w:t xml:space="preserve">he </w:t>
      </w:r>
      <w:r w:rsidR="003656ED">
        <w:t xml:space="preserve">NRF </w:t>
      </w:r>
      <w:r w:rsidR="00794CB2">
        <w:t>has the objective of improving the reliability</w:t>
      </w:r>
      <w:r w:rsidRPr="002F3651">
        <w:t xml:space="preserve"> of poorly performing parts of, and </w:t>
      </w:r>
      <w:r w:rsidR="00022501">
        <w:t xml:space="preserve">voice </w:t>
      </w:r>
      <w:r w:rsidRPr="002F3651">
        <w:t>services</w:t>
      </w:r>
      <w:r w:rsidR="00794CB2">
        <w:t xml:space="preserve"> in</w:t>
      </w:r>
      <w:r w:rsidRPr="002F3651">
        <w:t>, Telstra</w:t>
      </w:r>
      <w:r w:rsidR="00022501">
        <w:t>’s copper</w:t>
      </w:r>
      <w:r w:rsidRPr="002F3651">
        <w:t xml:space="preserve"> network, particularly in regional and rural Australia</w:t>
      </w:r>
      <w:r>
        <w:rPr>
          <w:rFonts w:ascii="HelveticaNeueW01-45Ligh" w:hAnsi="HelveticaNeueW01-45Ligh"/>
          <w:szCs w:val="20"/>
          <w:lang w:val="en"/>
        </w:rPr>
        <w:t xml:space="preserve">. </w:t>
      </w:r>
    </w:p>
    <w:p w:rsidR="00A76CDF" w:rsidRDefault="00A76CDF" w:rsidP="00A76CDF">
      <w:r>
        <w:t xml:space="preserve">The current NRF has three levels of operation. </w:t>
      </w:r>
      <w:r w:rsidRPr="00FA52D6">
        <w:t>The first level examines the general reliability of fixed phone services in different regions of Australia, while the other two levels are concerned with identifying localised areas and individual services that do not meet minimum levels of reliability.</w:t>
      </w:r>
      <w:r w:rsidR="001B7453">
        <w:t xml:space="preserve">  </w:t>
      </w:r>
    </w:p>
    <w:p w:rsidR="005809BA" w:rsidRPr="00794CB2" w:rsidRDefault="00022501" w:rsidP="0042068B">
      <w:bookmarkStart w:id="40" w:name="_Toc472510630"/>
      <w:r w:rsidRPr="00656B7F">
        <w:t>The ACMA considers that, as Telstra’s copper network a</w:t>
      </w:r>
      <w:r w:rsidR="00E809B0">
        <w:t xml:space="preserve">ssets are transferred to the </w:t>
      </w:r>
      <w:proofErr w:type="spellStart"/>
      <w:r w:rsidR="00E809B0">
        <w:t>nbn</w:t>
      </w:r>
      <w:proofErr w:type="spellEnd"/>
      <w:r w:rsidRPr="00656B7F">
        <w:t>, it is appropriate to give early consideration to whether any</w:t>
      </w:r>
      <w:r w:rsidR="00A76CDF" w:rsidRPr="00656B7F">
        <w:t xml:space="preserve"> </w:t>
      </w:r>
      <w:r w:rsidRPr="00656B7F">
        <w:t>regulatory arrangements are necessary to maintain (or potentially improve)</w:t>
      </w:r>
      <w:r w:rsidR="00E93956" w:rsidRPr="00656B7F">
        <w:t xml:space="preserve"> the relia</w:t>
      </w:r>
      <w:r w:rsidR="00E809B0">
        <w:t xml:space="preserve">bility of these assets under </w:t>
      </w:r>
      <w:proofErr w:type="spellStart"/>
      <w:r w:rsidR="00E809B0">
        <w:t>nbn</w:t>
      </w:r>
      <w:proofErr w:type="spellEnd"/>
      <w:r w:rsidR="00E93956" w:rsidRPr="00656B7F">
        <w:t xml:space="preserve"> ownership.</w:t>
      </w:r>
    </w:p>
    <w:p w:rsidR="00A76CDF" w:rsidRPr="00A81F50" w:rsidRDefault="00A76CDF" w:rsidP="00227D55">
      <w:pPr>
        <w:pStyle w:val="Heading3"/>
      </w:pPr>
      <w:bookmarkStart w:id="41" w:name="_Toc472510631"/>
      <w:bookmarkStart w:id="42" w:name="_Toc474494270"/>
      <w:bookmarkEnd w:id="40"/>
      <w:r w:rsidRPr="00A81F50">
        <w:t>Targeted assistance programs</w:t>
      </w:r>
      <w:bookmarkEnd w:id="41"/>
      <w:bookmarkEnd w:id="42"/>
      <w:r w:rsidRPr="00A81F50">
        <w:t xml:space="preserve"> </w:t>
      </w:r>
    </w:p>
    <w:p w:rsidR="0042068B" w:rsidRDefault="00A76CDF" w:rsidP="0042068B">
      <w:r>
        <w:t>The PC’s draft report notes that targeted assistance programs are more appropriate for addressing gaps in universal service than an across</w:t>
      </w:r>
      <w:r w:rsidR="00A81F50">
        <w:t>-</w:t>
      </w:r>
      <w:r>
        <w:t>the</w:t>
      </w:r>
      <w:r w:rsidR="00A81F50">
        <w:t>-</w:t>
      </w:r>
      <w:r>
        <w:t xml:space="preserve">board universal service obligation. </w:t>
      </w:r>
      <w:r w:rsidR="003300AC">
        <w:t>However, i</w:t>
      </w:r>
      <w:r w:rsidR="00625AD3">
        <w:t xml:space="preserve">t appears to the ACMA that the PC’s draft report does not address the accessibility and affordability of communications services </w:t>
      </w:r>
      <w:r>
        <w:t xml:space="preserve">in </w:t>
      </w:r>
      <w:r w:rsidR="00625AD3">
        <w:t xml:space="preserve">as much </w:t>
      </w:r>
      <w:r>
        <w:t>detail</w:t>
      </w:r>
      <w:r w:rsidR="00625AD3">
        <w:t xml:space="preserve"> as the availability of communications services</w:t>
      </w:r>
      <w:r w:rsidR="00A81F50">
        <w:t>.</w:t>
      </w:r>
    </w:p>
    <w:p w:rsidR="00296FBC" w:rsidRDefault="00625AD3" w:rsidP="0042068B">
      <w:r>
        <w:t xml:space="preserve">Given </w:t>
      </w:r>
      <w:r w:rsidR="00A81F50">
        <w:t xml:space="preserve">that </w:t>
      </w:r>
      <w:r>
        <w:t xml:space="preserve">the analysis in the draft report suggests that the accessibility and affordability of communications services </w:t>
      </w:r>
      <w:r w:rsidR="002134D8">
        <w:t xml:space="preserve">is not consistently adequate, the </w:t>
      </w:r>
      <w:r w:rsidR="00A76CDF">
        <w:t xml:space="preserve">ACMA considers that </w:t>
      </w:r>
      <w:r>
        <w:t xml:space="preserve">it would be appropriate to give </w:t>
      </w:r>
      <w:r w:rsidR="00A76CDF">
        <w:t xml:space="preserve">more detailed consideration to </w:t>
      </w:r>
      <w:r w:rsidR="002134D8">
        <w:t xml:space="preserve">these factors </w:t>
      </w:r>
      <w:r w:rsidR="00A76CDF">
        <w:t xml:space="preserve">should USO arrangements be altered. </w:t>
      </w:r>
    </w:p>
    <w:p w:rsidR="00A76CDF" w:rsidRDefault="00A76CDF" w:rsidP="0042068B">
      <w:pPr>
        <w:rPr>
          <w:rFonts w:ascii="Calibri" w:hAnsi="Calibri"/>
          <w:szCs w:val="20"/>
        </w:rPr>
      </w:pPr>
      <w:r>
        <w:t>The ACMA supports</w:t>
      </w:r>
      <w:r w:rsidR="00A558D7">
        <w:t xml:space="preserve"> the</w:t>
      </w:r>
      <w:r>
        <w:t xml:space="preserve"> PC’s draft recommendation of a stocktake of telecommunications assistance programs as a starting point for this exercise.</w:t>
      </w:r>
      <w:r w:rsidR="001B7453">
        <w:t xml:space="preserve"> </w:t>
      </w:r>
      <w:r>
        <w:t xml:space="preserve">It may be appropriate that this detailed stocktake and analysis be undertaken as part of the </w:t>
      </w:r>
      <w:r w:rsidR="00A81F50">
        <w:t>g</w:t>
      </w:r>
      <w:r>
        <w:t>overnment’s proposed consumer safeguards review.</w:t>
      </w:r>
    </w:p>
    <w:p w:rsidR="00A76CDF" w:rsidRPr="00A37D64" w:rsidRDefault="00A76CDF" w:rsidP="00227D55">
      <w:pPr>
        <w:pStyle w:val="Heading2"/>
        <w:rPr>
          <w:noProof/>
        </w:rPr>
      </w:pPr>
      <w:bookmarkStart w:id="43" w:name="_Toc474494271"/>
      <w:r w:rsidRPr="00A37D64">
        <w:rPr>
          <w:noProof/>
        </w:rPr>
        <w:t>Effective operation of communication services</w:t>
      </w:r>
      <w:bookmarkEnd w:id="43"/>
    </w:p>
    <w:p w:rsidR="00601681" w:rsidRDefault="00A76CDF" w:rsidP="00227D55">
      <w:pPr>
        <w:spacing w:after="80"/>
      </w:pPr>
      <w:r>
        <w:t xml:space="preserve">The second </w:t>
      </w:r>
      <w:r w:rsidR="003656ED">
        <w:t>category</w:t>
      </w:r>
      <w:r>
        <w:t xml:space="preserve"> of objectives relate</w:t>
      </w:r>
      <w:r w:rsidR="008333E3">
        <w:t>s</w:t>
      </w:r>
      <w:r>
        <w:t xml:space="preserve"> to the effective operation of a communication</w:t>
      </w:r>
      <w:r w:rsidR="002A7EE4">
        <w:t>s</w:t>
      </w:r>
      <w:r>
        <w:t xml:space="preserve"> service</w:t>
      </w:r>
      <w:r w:rsidR="00601681">
        <w:t>:</w:t>
      </w:r>
    </w:p>
    <w:p w:rsidR="00601681" w:rsidRPr="006162E0" w:rsidRDefault="00A76CDF" w:rsidP="006162E0">
      <w:pPr>
        <w:pStyle w:val="ListBullet"/>
        <w:numPr>
          <w:ilvl w:val="0"/>
          <w:numId w:val="13"/>
        </w:numPr>
        <w:rPr>
          <w:rFonts w:cs="Arial"/>
          <w:szCs w:val="20"/>
        </w:rPr>
      </w:pPr>
      <w:r w:rsidRPr="006162E0">
        <w:rPr>
          <w:rFonts w:cs="Arial"/>
          <w:szCs w:val="20"/>
        </w:rPr>
        <w:t>consumers receiv</w:t>
      </w:r>
      <w:r w:rsidR="00C75C56" w:rsidRPr="006162E0">
        <w:rPr>
          <w:rFonts w:cs="Arial"/>
          <w:szCs w:val="20"/>
        </w:rPr>
        <w:t>ing</w:t>
      </w:r>
      <w:r w:rsidRPr="006162E0">
        <w:rPr>
          <w:rFonts w:cs="Arial"/>
          <w:szCs w:val="20"/>
        </w:rPr>
        <w:t xml:space="preserve"> a satisfactory minimum level of customer service</w:t>
      </w:r>
    </w:p>
    <w:p w:rsidR="00D167D9" w:rsidRPr="006162E0" w:rsidRDefault="00A76CDF" w:rsidP="006162E0">
      <w:pPr>
        <w:pStyle w:val="ListBullet"/>
        <w:numPr>
          <w:ilvl w:val="0"/>
          <w:numId w:val="13"/>
        </w:numPr>
        <w:rPr>
          <w:rFonts w:cs="Arial"/>
          <w:szCs w:val="20"/>
        </w:rPr>
      </w:pPr>
      <w:r w:rsidRPr="006162E0">
        <w:rPr>
          <w:rFonts w:cs="Arial"/>
          <w:szCs w:val="20"/>
        </w:rPr>
        <w:t xml:space="preserve">charging </w:t>
      </w:r>
      <w:r w:rsidR="00601681" w:rsidRPr="006162E0">
        <w:rPr>
          <w:rFonts w:cs="Arial"/>
          <w:szCs w:val="20"/>
        </w:rPr>
        <w:t>being</w:t>
      </w:r>
      <w:r w:rsidRPr="006162E0">
        <w:rPr>
          <w:rFonts w:cs="Arial"/>
          <w:szCs w:val="20"/>
        </w:rPr>
        <w:t xml:space="preserve"> accurate and transparent </w:t>
      </w:r>
    </w:p>
    <w:p w:rsidR="00D167D9" w:rsidRPr="006162E0" w:rsidRDefault="00A76CDF" w:rsidP="006162E0">
      <w:pPr>
        <w:pStyle w:val="ListBullet"/>
        <w:numPr>
          <w:ilvl w:val="0"/>
          <w:numId w:val="13"/>
        </w:numPr>
        <w:rPr>
          <w:rFonts w:cs="Arial"/>
          <w:szCs w:val="20"/>
        </w:rPr>
      </w:pPr>
      <w:r w:rsidRPr="006162E0">
        <w:rPr>
          <w:rFonts w:cs="Arial"/>
          <w:szCs w:val="20"/>
        </w:rPr>
        <w:t xml:space="preserve">markets </w:t>
      </w:r>
      <w:r w:rsidR="00601681" w:rsidRPr="006162E0">
        <w:rPr>
          <w:rFonts w:cs="Arial"/>
          <w:szCs w:val="20"/>
        </w:rPr>
        <w:t>operating</w:t>
      </w:r>
      <w:r w:rsidRPr="006162E0">
        <w:rPr>
          <w:rFonts w:cs="Arial"/>
          <w:szCs w:val="20"/>
        </w:rPr>
        <w:t xml:space="preserve"> competitiv</w:t>
      </w:r>
      <w:r w:rsidR="00601681" w:rsidRPr="006162E0">
        <w:rPr>
          <w:rFonts w:cs="Arial"/>
          <w:szCs w:val="20"/>
        </w:rPr>
        <w:t>ely</w:t>
      </w:r>
    </w:p>
    <w:p w:rsidR="00A76CDF" w:rsidRPr="006162E0" w:rsidRDefault="00C75C56" w:rsidP="00227D55">
      <w:pPr>
        <w:pStyle w:val="ListBullet"/>
        <w:numPr>
          <w:ilvl w:val="0"/>
          <w:numId w:val="13"/>
        </w:numPr>
        <w:spacing w:after="240"/>
        <w:rPr>
          <w:rFonts w:cs="Arial"/>
          <w:szCs w:val="20"/>
        </w:rPr>
      </w:pPr>
      <w:r w:rsidRPr="006162E0">
        <w:rPr>
          <w:rFonts w:cs="Arial"/>
          <w:szCs w:val="20"/>
        </w:rPr>
        <w:t>individual providers offer</w:t>
      </w:r>
      <w:r w:rsidR="00601681" w:rsidRPr="006162E0">
        <w:rPr>
          <w:rFonts w:cs="Arial"/>
          <w:szCs w:val="20"/>
        </w:rPr>
        <w:t>ing</w:t>
      </w:r>
      <w:r w:rsidRPr="006162E0">
        <w:rPr>
          <w:rFonts w:cs="Arial"/>
          <w:szCs w:val="20"/>
        </w:rPr>
        <w:t xml:space="preserve"> pre-sale information </w:t>
      </w:r>
      <w:r w:rsidR="00A76CDF" w:rsidRPr="006162E0">
        <w:rPr>
          <w:rFonts w:cs="Arial"/>
          <w:szCs w:val="20"/>
        </w:rPr>
        <w:t xml:space="preserve">so that consumers </w:t>
      </w:r>
      <w:r w:rsidRPr="006162E0">
        <w:rPr>
          <w:rFonts w:cs="Arial"/>
          <w:szCs w:val="20"/>
        </w:rPr>
        <w:t>can</w:t>
      </w:r>
      <w:r w:rsidR="00A76CDF" w:rsidRPr="006162E0">
        <w:rPr>
          <w:rFonts w:cs="Arial"/>
          <w:szCs w:val="20"/>
        </w:rPr>
        <w:t xml:space="preserve"> make informed choices and move between providers.</w:t>
      </w:r>
    </w:p>
    <w:p w:rsidR="00A76CDF" w:rsidRDefault="00C75C56" w:rsidP="002134D8">
      <w:pPr>
        <w:spacing w:after="80"/>
      </w:pPr>
      <w:r>
        <w:t>Achieving</w:t>
      </w:r>
      <w:r w:rsidR="00A76CDF">
        <w:t xml:space="preserve"> these objectives</w:t>
      </w:r>
      <w:r w:rsidR="00FE6FBE">
        <w:t>,</w:t>
      </w:r>
      <w:r w:rsidR="00A76CDF">
        <w:t xml:space="preserve"> and </w:t>
      </w:r>
      <w:r>
        <w:t>having effective</w:t>
      </w:r>
      <w:r w:rsidR="00A76CDF">
        <w:t xml:space="preserve"> safeguards that underpin them</w:t>
      </w:r>
      <w:r w:rsidR="00FE6FBE">
        <w:t>,</w:t>
      </w:r>
      <w:r w:rsidR="00A76CDF">
        <w:t xml:space="preserve"> are closely related to</w:t>
      </w:r>
      <w:r w:rsidR="00420137">
        <w:t xml:space="preserve"> the</w:t>
      </w:r>
      <w:r w:rsidR="00A76CDF">
        <w:t xml:space="preserve"> universal services framework</w:t>
      </w:r>
      <w:r w:rsidR="002134D8">
        <w:t>:</w:t>
      </w:r>
    </w:p>
    <w:p w:rsidR="00A76CDF" w:rsidRPr="006B73E0" w:rsidRDefault="00A76CDF" w:rsidP="006B73E0">
      <w:pPr>
        <w:pStyle w:val="ListBullet"/>
        <w:numPr>
          <w:ilvl w:val="0"/>
          <w:numId w:val="13"/>
        </w:numPr>
        <w:rPr>
          <w:rFonts w:cs="Arial"/>
          <w:szCs w:val="20"/>
        </w:rPr>
      </w:pPr>
      <w:r w:rsidRPr="006B73E0">
        <w:rPr>
          <w:rFonts w:cs="Arial"/>
          <w:szCs w:val="20"/>
        </w:rPr>
        <w:t>Issues with the connection to</w:t>
      </w:r>
      <w:r w:rsidR="00FE6FBE">
        <w:rPr>
          <w:rFonts w:cs="Arial"/>
          <w:szCs w:val="20"/>
        </w:rPr>
        <w:t>,</w:t>
      </w:r>
      <w:r w:rsidRPr="006B73E0">
        <w:rPr>
          <w:rFonts w:cs="Arial"/>
          <w:szCs w:val="20"/>
        </w:rPr>
        <w:t xml:space="preserve"> and provision of</w:t>
      </w:r>
      <w:r w:rsidR="00FE6FBE">
        <w:rPr>
          <w:rFonts w:cs="Arial"/>
          <w:szCs w:val="20"/>
        </w:rPr>
        <w:t>,</w:t>
      </w:r>
      <w:r w:rsidRPr="006B73E0">
        <w:rPr>
          <w:rFonts w:cs="Arial"/>
          <w:szCs w:val="20"/>
        </w:rPr>
        <w:t xml:space="preserve"> communication services will necessarily lead to customers contacting their provider to resolve the issue. Whil</w:t>
      </w:r>
      <w:r w:rsidR="00C75C56" w:rsidRPr="006B73E0">
        <w:rPr>
          <w:rFonts w:cs="Arial"/>
          <w:szCs w:val="20"/>
        </w:rPr>
        <w:t>e</w:t>
      </w:r>
      <w:r w:rsidRPr="006B73E0">
        <w:rPr>
          <w:rFonts w:cs="Arial"/>
          <w:szCs w:val="20"/>
        </w:rPr>
        <w:t xml:space="preserve"> providers must have satisfactory customer service and complaints</w:t>
      </w:r>
      <w:r w:rsidR="00FE6FBE">
        <w:rPr>
          <w:rFonts w:cs="Arial"/>
          <w:szCs w:val="20"/>
        </w:rPr>
        <w:t>-</w:t>
      </w:r>
      <w:r w:rsidRPr="006B73E0">
        <w:rPr>
          <w:rFonts w:cs="Arial"/>
          <w:szCs w:val="20"/>
        </w:rPr>
        <w:t xml:space="preserve">handling processes, the resolution of these issues </w:t>
      </w:r>
      <w:r w:rsidR="008333E3">
        <w:rPr>
          <w:rFonts w:cs="Arial"/>
          <w:szCs w:val="20"/>
        </w:rPr>
        <w:t xml:space="preserve">for fixed network services </w:t>
      </w:r>
      <w:r w:rsidRPr="006B73E0">
        <w:rPr>
          <w:rFonts w:cs="Arial"/>
          <w:szCs w:val="20"/>
        </w:rPr>
        <w:t xml:space="preserve">is </w:t>
      </w:r>
      <w:r w:rsidR="008333E3">
        <w:rPr>
          <w:rFonts w:cs="Arial"/>
          <w:szCs w:val="20"/>
        </w:rPr>
        <w:t xml:space="preserve">ultimately </w:t>
      </w:r>
      <w:r w:rsidRPr="006B73E0">
        <w:rPr>
          <w:rFonts w:cs="Arial"/>
          <w:szCs w:val="20"/>
        </w:rPr>
        <w:t xml:space="preserve">dependent on the delivery of the service at the infrastructure </w:t>
      </w:r>
      <w:r w:rsidR="008333E3">
        <w:rPr>
          <w:rFonts w:cs="Arial"/>
          <w:szCs w:val="20"/>
        </w:rPr>
        <w:t xml:space="preserve">(or wholesale) </w:t>
      </w:r>
      <w:r w:rsidRPr="006B73E0">
        <w:rPr>
          <w:rFonts w:cs="Arial"/>
          <w:szCs w:val="20"/>
        </w:rPr>
        <w:t>layer</w:t>
      </w:r>
      <w:r w:rsidR="00FE6FBE">
        <w:rPr>
          <w:rFonts w:cs="Arial"/>
          <w:szCs w:val="20"/>
        </w:rPr>
        <w:t>.</w:t>
      </w:r>
    </w:p>
    <w:p w:rsidR="00A76CDF" w:rsidRPr="006B73E0" w:rsidRDefault="00A76CDF" w:rsidP="006B73E0">
      <w:pPr>
        <w:pStyle w:val="ListBullet"/>
        <w:numPr>
          <w:ilvl w:val="0"/>
          <w:numId w:val="13"/>
        </w:numPr>
        <w:rPr>
          <w:rFonts w:cs="Arial"/>
          <w:szCs w:val="20"/>
        </w:rPr>
      </w:pPr>
      <w:r w:rsidRPr="006B73E0">
        <w:rPr>
          <w:rFonts w:cs="Arial"/>
          <w:szCs w:val="20"/>
        </w:rPr>
        <w:lastRenderedPageBreak/>
        <w:t xml:space="preserve">There is a relationship between affordability and fair/transparent charging arrangements. Transparent charging and usage arrangements assist consumers to manage expenditure on communications services. Safeguards such as spend management tools </w:t>
      </w:r>
      <w:r w:rsidR="002238A3" w:rsidRPr="006B73E0">
        <w:rPr>
          <w:rFonts w:cs="Arial"/>
          <w:szCs w:val="20"/>
        </w:rPr>
        <w:t>(</w:t>
      </w:r>
      <w:r w:rsidR="00FE6FBE">
        <w:rPr>
          <w:rFonts w:cs="Arial"/>
          <w:szCs w:val="20"/>
        </w:rPr>
        <w:t>for example,</w:t>
      </w:r>
      <w:r w:rsidR="002238A3" w:rsidRPr="006B73E0">
        <w:rPr>
          <w:rFonts w:cs="Arial"/>
          <w:szCs w:val="20"/>
        </w:rPr>
        <w:t xml:space="preserve"> usage alerts) </w:t>
      </w:r>
      <w:r w:rsidRPr="006B73E0">
        <w:rPr>
          <w:rFonts w:cs="Arial"/>
          <w:szCs w:val="20"/>
        </w:rPr>
        <w:t>provide additional protections against unexpectedly high bills</w:t>
      </w:r>
      <w:r w:rsidR="00FE6FBE">
        <w:rPr>
          <w:rFonts w:cs="Arial"/>
          <w:szCs w:val="20"/>
        </w:rPr>
        <w:t>.</w:t>
      </w:r>
    </w:p>
    <w:p w:rsidR="00A76CDF" w:rsidRPr="00B81F7C" w:rsidRDefault="00A76CDF" w:rsidP="006162E0">
      <w:pPr>
        <w:pStyle w:val="ListBullet"/>
        <w:numPr>
          <w:ilvl w:val="0"/>
          <w:numId w:val="13"/>
        </w:numPr>
        <w:spacing w:after="240"/>
        <w:rPr>
          <w:rFonts w:cs="Arial"/>
          <w:szCs w:val="20"/>
        </w:rPr>
      </w:pPr>
      <w:r w:rsidRPr="006B73E0">
        <w:rPr>
          <w:rFonts w:cs="Arial"/>
          <w:szCs w:val="20"/>
        </w:rPr>
        <w:t xml:space="preserve">A competitive market that allows consumers to make informed choices about providers and results in minimal impediments to switching providers will improve accessibility outcomes. </w:t>
      </w:r>
      <w:r w:rsidRPr="00B81F7C">
        <w:rPr>
          <w:rFonts w:cs="Arial"/>
          <w:szCs w:val="20"/>
        </w:rPr>
        <w:t xml:space="preserve">Existing safeguards such as the Telecommunications Consumer Protections Code and number portability codes underpin these objectives. </w:t>
      </w:r>
    </w:p>
    <w:p w:rsidR="00A76CDF" w:rsidRPr="00A37D64" w:rsidRDefault="00A76CDF" w:rsidP="00227D55">
      <w:pPr>
        <w:pStyle w:val="Heading2"/>
        <w:rPr>
          <w:noProof/>
        </w:rPr>
      </w:pPr>
      <w:bookmarkStart w:id="44" w:name="_Toc474494272"/>
      <w:r w:rsidRPr="00A37D64">
        <w:rPr>
          <w:noProof/>
        </w:rPr>
        <w:t>Safety, privacy and security of communication services</w:t>
      </w:r>
      <w:bookmarkEnd w:id="44"/>
    </w:p>
    <w:p w:rsidR="00A76CDF" w:rsidRDefault="00A76CDF" w:rsidP="00A76CDF">
      <w:r>
        <w:t xml:space="preserve">The third </w:t>
      </w:r>
      <w:r w:rsidR="003656ED">
        <w:t>category</w:t>
      </w:r>
      <w:r>
        <w:t xml:space="preserve"> of objectives relate</w:t>
      </w:r>
      <w:r w:rsidR="008333E3">
        <w:t>s</w:t>
      </w:r>
      <w:r>
        <w:t xml:space="preserve"> to the safety, privacy and security of communication services. </w:t>
      </w:r>
    </w:p>
    <w:p w:rsidR="00A76CDF" w:rsidRPr="00322699" w:rsidRDefault="00A76CDF" w:rsidP="00A76CDF">
      <w:r w:rsidRPr="00322699">
        <w:t>Public safety</w:t>
      </w:r>
      <w:r>
        <w:t>,</w:t>
      </w:r>
      <w:r w:rsidRPr="00322699">
        <w:t xml:space="preserve"> specifically access to emergency services</w:t>
      </w:r>
      <w:r>
        <w:t>,</w:t>
      </w:r>
      <w:r w:rsidRPr="00322699">
        <w:t xml:space="preserve"> has historically underpinned the existing universal service o</w:t>
      </w:r>
      <w:r w:rsidR="002A7EE4">
        <w:t xml:space="preserve">bligation. </w:t>
      </w:r>
      <w:r w:rsidR="002238A3">
        <w:t>Ensuring that</w:t>
      </w:r>
      <w:r w:rsidR="002A7EE4">
        <w:t xml:space="preserve"> </w:t>
      </w:r>
      <w:r w:rsidR="00FE6FBE">
        <w:t>p</w:t>
      </w:r>
      <w:r w:rsidR="002A7EE4">
        <w:t xml:space="preserve">riority </w:t>
      </w:r>
      <w:r w:rsidR="00FE6FBE">
        <w:t>a</w:t>
      </w:r>
      <w:r w:rsidR="002A7EE4">
        <w:t xml:space="preserve">ssistance access to a </w:t>
      </w:r>
      <w:r w:rsidR="00420137">
        <w:t xml:space="preserve">STS </w:t>
      </w:r>
      <w:r w:rsidR="002238A3">
        <w:t>is available to</w:t>
      </w:r>
      <w:r w:rsidR="00AC01E1">
        <w:t xml:space="preserve"> </w:t>
      </w:r>
      <w:r w:rsidR="00E93956">
        <w:t xml:space="preserve">those who require it </w:t>
      </w:r>
      <w:r>
        <w:t xml:space="preserve">has also </w:t>
      </w:r>
      <w:r w:rsidR="002238A3">
        <w:t>supported</w:t>
      </w:r>
      <w:r>
        <w:t xml:space="preserve"> </w:t>
      </w:r>
      <w:r w:rsidRPr="00322699">
        <w:t xml:space="preserve">this objective. </w:t>
      </w:r>
    </w:p>
    <w:p w:rsidR="00A76CDF" w:rsidRDefault="00A76CDF" w:rsidP="00A76CDF">
      <w:r>
        <w:t xml:space="preserve">Consumers are able to </w:t>
      </w:r>
      <w:r w:rsidR="002238A3">
        <w:t>make the most of</w:t>
      </w:r>
      <w:r>
        <w:t xml:space="preserve"> </w:t>
      </w:r>
      <w:r w:rsidR="002238A3">
        <w:t xml:space="preserve">their </w:t>
      </w:r>
      <w:r>
        <w:t>communications services when arrangements are in place to support the safe and secure operation of these services at the consumer, retail and infrastructure layers. Furthermore, consumer confidence in communications services is increased when they understand privacy protections</w:t>
      </w:r>
      <w:r w:rsidR="00FE6FBE">
        <w:t>;</w:t>
      </w:r>
      <w:r>
        <w:t xml:space="preserve"> facilitating trust in</w:t>
      </w:r>
      <w:r w:rsidR="00FE6FBE">
        <w:t>,</w:t>
      </w:r>
      <w:r>
        <w:t xml:space="preserve"> and engagement with</w:t>
      </w:r>
      <w:r w:rsidR="00FE6FBE">
        <w:t>,</w:t>
      </w:r>
      <w:r>
        <w:t xml:space="preserve"> new technologies</w:t>
      </w:r>
      <w:r w:rsidRPr="00AE6ED7">
        <w:t xml:space="preserve"> </w:t>
      </w:r>
      <w:r>
        <w:t xml:space="preserve">and services. </w:t>
      </w:r>
    </w:p>
    <w:p w:rsidR="00A76CDF" w:rsidRDefault="002238A3" w:rsidP="00A76CDF">
      <w:r>
        <w:t xml:space="preserve">With </w:t>
      </w:r>
      <w:r w:rsidR="00A76CDF">
        <w:t xml:space="preserve">the complexity and </w:t>
      </w:r>
      <w:r>
        <w:t xml:space="preserve">constantly </w:t>
      </w:r>
      <w:r w:rsidR="00A76CDF">
        <w:t xml:space="preserve">changing nature of communications services, consumers require </w:t>
      </w:r>
      <w:r>
        <w:t>help</w:t>
      </w:r>
      <w:r w:rsidR="00A76CDF">
        <w:t>ful information that enables them to understand, negotiate and use communications services to their greatest advantage.</w:t>
      </w:r>
    </w:p>
    <w:p w:rsidR="00A76CDF" w:rsidRPr="00322699" w:rsidRDefault="00A76CDF" w:rsidP="00A76CDF">
      <w:r>
        <w:t>T</w:t>
      </w:r>
      <w:r w:rsidRPr="00B057D1">
        <w:t xml:space="preserve">he existing telecommunications consumer protection regime </w:t>
      </w:r>
      <w:r>
        <w:t>includes</w:t>
      </w:r>
      <w:r w:rsidRPr="00B057D1">
        <w:t xml:space="preserve"> a</w:t>
      </w:r>
      <w:r>
        <w:t xml:space="preserve"> broad </w:t>
      </w:r>
      <w:r w:rsidRPr="00B057D1">
        <w:t xml:space="preserve">range of </w:t>
      </w:r>
      <w:r>
        <w:t xml:space="preserve">safeguards that, together, address each of these enduring objectives. </w:t>
      </w:r>
      <w:r w:rsidRPr="00322699">
        <w:t xml:space="preserve">Any proposed changes to a universal service framework </w:t>
      </w:r>
      <w:r>
        <w:t xml:space="preserve">must similarly </w:t>
      </w:r>
      <w:r w:rsidRPr="00322699">
        <w:t xml:space="preserve">consider </w:t>
      </w:r>
      <w:r>
        <w:t xml:space="preserve">how to continue to fulfil </w:t>
      </w:r>
      <w:r w:rsidRPr="00322699">
        <w:t xml:space="preserve">these </w:t>
      </w:r>
      <w:r w:rsidR="002238A3">
        <w:t xml:space="preserve">nine </w:t>
      </w:r>
      <w:r w:rsidRPr="00322699">
        <w:t xml:space="preserve">objectives. </w:t>
      </w:r>
    </w:p>
    <w:p w:rsidR="00A76CDF" w:rsidRDefault="002A7EE4" w:rsidP="00A76CDF">
      <w:r>
        <w:t>While t</w:t>
      </w:r>
      <w:r w:rsidR="00A76CDF">
        <w:t xml:space="preserve">he </w:t>
      </w:r>
      <w:r w:rsidR="00FE6FBE">
        <w:t>USO</w:t>
      </w:r>
      <w:r w:rsidR="00A76CDF">
        <w:t xml:space="preserve"> is key to meeting </w:t>
      </w:r>
      <w:r>
        <w:t xml:space="preserve">certain specific consumer </w:t>
      </w:r>
      <w:r w:rsidR="00A76CDF">
        <w:t>objectives, it cannot be considered in isolation. Any redefinition of the universal service objective or the USO will impact the broader consumer safeguards</w:t>
      </w:r>
      <w:r>
        <w:t xml:space="preserve"> universe. Therefore</w:t>
      </w:r>
      <w:r w:rsidR="00FE6FBE">
        <w:t>,</w:t>
      </w:r>
      <w:r>
        <w:t xml:space="preserve"> it is important </w:t>
      </w:r>
      <w:r w:rsidR="00A76CDF" w:rsidRPr="00C1100C">
        <w:t xml:space="preserve">that any new universal services framework is considered as part of </w:t>
      </w:r>
      <w:r w:rsidR="002238A3">
        <w:t>the</w:t>
      </w:r>
      <w:r w:rsidR="002238A3" w:rsidRPr="00C1100C">
        <w:t xml:space="preserve"> </w:t>
      </w:r>
      <w:r w:rsidR="00A76CDF" w:rsidRPr="00C1100C">
        <w:t xml:space="preserve">broader </w:t>
      </w:r>
      <w:r w:rsidR="002238A3">
        <w:t xml:space="preserve">set of </w:t>
      </w:r>
      <w:r w:rsidR="00A76CDF" w:rsidRPr="00C1100C">
        <w:t>consumer safeguards</w:t>
      </w:r>
      <w:r w:rsidR="002238A3">
        <w:t xml:space="preserve"> discussed above</w:t>
      </w:r>
      <w:r w:rsidR="00A76CDF" w:rsidRPr="00B057D1">
        <w:t>.</w:t>
      </w:r>
      <w:r w:rsidR="00A76CDF">
        <w:t xml:space="preserve"> Should the </w:t>
      </w:r>
      <w:r w:rsidR="00FE6FBE">
        <w:t>g</w:t>
      </w:r>
      <w:r w:rsidR="00A76CDF">
        <w:t>overnment accept the PC’</w:t>
      </w:r>
      <w:r>
        <w:t>s new universal framework, the ACMA considers there</w:t>
      </w:r>
      <w:r w:rsidR="00A76CDF">
        <w:t xml:space="preserve"> will be </w:t>
      </w:r>
      <w:r w:rsidR="008333E3">
        <w:t xml:space="preserve">a </w:t>
      </w:r>
      <w:r w:rsidR="00A76CDF">
        <w:t>need for</w:t>
      </w:r>
      <w:r w:rsidR="008333E3">
        <w:t xml:space="preserve"> these enduring </w:t>
      </w:r>
      <w:r w:rsidR="00A76CDF">
        <w:t xml:space="preserve">consumer </w:t>
      </w:r>
      <w:r w:rsidR="008333E3">
        <w:t xml:space="preserve">objectives </w:t>
      </w:r>
      <w:r w:rsidR="00A601BF">
        <w:t xml:space="preserve">and their method of delivery to be </w:t>
      </w:r>
      <w:r w:rsidR="00A76CDF">
        <w:t xml:space="preserve">re-evaluated. </w:t>
      </w:r>
      <w:bookmarkEnd w:id="34"/>
      <w:bookmarkEnd w:id="35"/>
      <w:bookmarkEnd w:id="36"/>
    </w:p>
    <w:p w:rsidR="00E05807" w:rsidRPr="0021277E" w:rsidRDefault="00E05807" w:rsidP="00E05807">
      <w:pPr>
        <w:pStyle w:val="Heading1"/>
      </w:pPr>
      <w:bookmarkStart w:id="45" w:name="_Toc474494273"/>
      <w:r w:rsidRPr="0021277E">
        <w:lastRenderedPageBreak/>
        <w:t>Conclusion</w:t>
      </w:r>
      <w:bookmarkEnd w:id="45"/>
    </w:p>
    <w:p w:rsidR="00662453" w:rsidRPr="0021277E" w:rsidRDefault="00662453" w:rsidP="00662453">
      <w:r w:rsidRPr="0021277E">
        <w:t xml:space="preserve">The ACMA </w:t>
      </w:r>
      <w:r w:rsidR="00797874" w:rsidRPr="0021277E">
        <w:t xml:space="preserve">supports the PC’s conclusion that </w:t>
      </w:r>
      <w:r w:rsidRPr="0021277E">
        <w:t>that the current USO is no longer</w:t>
      </w:r>
      <w:r w:rsidR="00797874" w:rsidRPr="0021277E">
        <w:t xml:space="preserve"> </w:t>
      </w:r>
      <w:r w:rsidR="00797874" w:rsidRPr="0021277E">
        <w:rPr>
          <w:rFonts w:cs="Arial"/>
          <w:szCs w:val="20"/>
        </w:rPr>
        <w:t xml:space="preserve">fit-for-purpose. </w:t>
      </w:r>
      <w:r w:rsidR="00797874" w:rsidRPr="0021277E">
        <w:t xml:space="preserve">It also </w:t>
      </w:r>
      <w:r w:rsidRPr="0021277E">
        <w:t>support</w:t>
      </w:r>
      <w:r w:rsidR="00797874" w:rsidRPr="0021277E">
        <w:t>s</w:t>
      </w:r>
      <w:r w:rsidRPr="0021277E">
        <w:t xml:space="preserve"> the PC</w:t>
      </w:r>
      <w:r w:rsidR="00E93956" w:rsidRPr="0021277E">
        <w:t>’s</w:t>
      </w:r>
      <w:r w:rsidRPr="0021277E">
        <w:t xml:space="preserve"> draft recommendation that the objective for universal telecommunications services </w:t>
      </w:r>
      <w:r w:rsidR="00E93956" w:rsidRPr="0021277E">
        <w:t xml:space="preserve">should be redefined </w:t>
      </w:r>
      <w:r w:rsidRPr="0021277E">
        <w:t>to provide a baseline broadband service to all Australian premises, with regard to its accessibility and affordability.</w:t>
      </w:r>
    </w:p>
    <w:p w:rsidR="00662453" w:rsidRPr="0021277E" w:rsidRDefault="007B37B2" w:rsidP="00662453">
      <w:r w:rsidRPr="0021277E">
        <w:t xml:space="preserve">The ACMA considers the </w:t>
      </w:r>
      <w:r w:rsidR="00662453" w:rsidRPr="0021277E">
        <w:t>design principles set out in the PC</w:t>
      </w:r>
      <w:r w:rsidR="00E93956" w:rsidRPr="0021277E">
        <w:t>’s</w:t>
      </w:r>
      <w:r w:rsidR="00797874" w:rsidRPr="0021277E">
        <w:t xml:space="preserve"> draft report are sound. However</w:t>
      </w:r>
      <w:r w:rsidRPr="0021277E">
        <w:t xml:space="preserve"> </w:t>
      </w:r>
      <w:r w:rsidR="00797874" w:rsidRPr="0021277E">
        <w:t xml:space="preserve">there is a </w:t>
      </w:r>
      <w:r w:rsidR="00662453" w:rsidRPr="0021277E">
        <w:t>need for the new universal service objective to be responsive to inevitable changes in the telecommunications landscape as technology, consumer expectations</w:t>
      </w:r>
      <w:r w:rsidR="00E93956" w:rsidRPr="0021277E">
        <w:t>, the structure of the market</w:t>
      </w:r>
      <w:r w:rsidR="00662453" w:rsidRPr="0021277E">
        <w:t xml:space="preserve"> and patterns of use evolve over time.</w:t>
      </w:r>
    </w:p>
    <w:p w:rsidR="00662453" w:rsidRPr="0021277E" w:rsidRDefault="00662453" w:rsidP="00662453">
      <w:r w:rsidRPr="0021277E">
        <w:t>The ACMA supports the PC</w:t>
      </w:r>
      <w:r w:rsidR="007B37B2" w:rsidRPr="0021277E">
        <w:t>’s</w:t>
      </w:r>
      <w:r w:rsidRPr="0021277E">
        <w:t xml:space="preserve"> view that, under the proposed universal service arrangements, there </w:t>
      </w:r>
      <w:r w:rsidR="007B37B2" w:rsidRPr="0021277E">
        <w:t xml:space="preserve">may be </w:t>
      </w:r>
      <w:r w:rsidRPr="0021277E">
        <w:t>a need for targeted inventions by government where market failure is evident</w:t>
      </w:r>
      <w:r w:rsidR="007B37B2" w:rsidRPr="0021277E">
        <w:t>.</w:t>
      </w:r>
      <w:r w:rsidRPr="0021277E">
        <w:t xml:space="preserve"> </w:t>
      </w:r>
      <w:r w:rsidR="007B37B2" w:rsidRPr="0021277E">
        <w:t xml:space="preserve">The </w:t>
      </w:r>
      <w:r w:rsidRPr="0021277E">
        <w:t>ACMA</w:t>
      </w:r>
      <w:r w:rsidR="007B37B2" w:rsidRPr="0021277E">
        <w:t xml:space="preserve"> stands prepared to take responsibility for</w:t>
      </w:r>
      <w:r w:rsidR="006C6570" w:rsidRPr="0021277E">
        <w:t>,</w:t>
      </w:r>
      <w:r w:rsidR="007B37B2" w:rsidRPr="0021277E">
        <w:t xml:space="preserve"> or support any</w:t>
      </w:r>
      <w:r w:rsidR="006C6570" w:rsidRPr="0021277E">
        <w:t>,</w:t>
      </w:r>
      <w:r w:rsidR="007B37B2" w:rsidRPr="0021277E">
        <w:t xml:space="preserve"> such interventions</w:t>
      </w:r>
      <w:r w:rsidRPr="0021277E">
        <w:t xml:space="preserve">. </w:t>
      </w:r>
      <w:r w:rsidR="006C6570" w:rsidRPr="0021277E">
        <w:t xml:space="preserve">This </w:t>
      </w:r>
      <w:r w:rsidR="00797874" w:rsidRPr="0021277E">
        <w:t xml:space="preserve">may </w:t>
      </w:r>
      <w:r w:rsidR="006C6570" w:rsidRPr="0021277E">
        <w:t>include w</w:t>
      </w:r>
      <w:r w:rsidRPr="0021277E">
        <w:t>here service availability gaps are identified</w:t>
      </w:r>
      <w:r w:rsidR="006C6570" w:rsidRPr="0021277E">
        <w:t xml:space="preserve"> that necessitate the need to identify a retail provider of last resort. </w:t>
      </w:r>
      <w:r w:rsidR="00797874" w:rsidRPr="0021277E">
        <w:t>T</w:t>
      </w:r>
      <w:r w:rsidRPr="0021277E">
        <w:t xml:space="preserve">he ACMA is well placed to </w:t>
      </w:r>
      <w:r w:rsidR="007B37B2" w:rsidRPr="0021277E">
        <w:t xml:space="preserve">implement a </w:t>
      </w:r>
      <w:r w:rsidRPr="0021277E">
        <w:t>competitive tender to obtain the services of appropriate retail offerings, drawing on our current and previous experience in conducting tenders.</w:t>
      </w:r>
    </w:p>
    <w:p w:rsidR="00662453" w:rsidRPr="0021277E" w:rsidRDefault="00662453" w:rsidP="00662453">
      <w:r w:rsidRPr="0021277E">
        <w:t>The transition</w:t>
      </w:r>
      <w:r w:rsidR="00CA1C7D" w:rsidRPr="0021277E">
        <w:t>al arrangements</w:t>
      </w:r>
      <w:r w:rsidRPr="0021277E">
        <w:t xml:space="preserve"> to</w:t>
      </w:r>
      <w:r w:rsidR="00CA1C7D" w:rsidRPr="0021277E">
        <w:t>wards</w:t>
      </w:r>
      <w:r w:rsidRPr="0021277E">
        <w:t xml:space="preserve"> a</w:t>
      </w:r>
      <w:r w:rsidR="00A41907" w:rsidRPr="0021277E">
        <w:t xml:space="preserve"> </w:t>
      </w:r>
      <w:r w:rsidRPr="0021277E">
        <w:t xml:space="preserve">new universal service objective </w:t>
      </w:r>
      <w:r w:rsidR="00CA1C7D" w:rsidRPr="0021277E">
        <w:t>require careful analysis and planning to minimise consumer</w:t>
      </w:r>
      <w:r w:rsidR="00A53CD9" w:rsidRPr="0021277E">
        <w:t xml:space="preserve"> detriment</w:t>
      </w:r>
      <w:r w:rsidRPr="0021277E">
        <w:t xml:space="preserve">. In weighing up its final recommendations to government, the ACMA encourages the PC to consider the timing of the different transitional options proposed and </w:t>
      </w:r>
      <w:r w:rsidR="00CA1C7D" w:rsidRPr="0021277E">
        <w:t>any related changes to</w:t>
      </w:r>
      <w:r w:rsidR="00A41907" w:rsidRPr="0021277E">
        <w:t xml:space="preserve"> implement new arrangements</w:t>
      </w:r>
      <w:r w:rsidRPr="0021277E">
        <w:t>. To help the transition occur smoothly, there will also be a need to clearly communicate changes to the USO to consumers and the telecommunications industry itself along the way.</w:t>
      </w:r>
    </w:p>
    <w:p w:rsidR="00372BD5" w:rsidRPr="0021277E" w:rsidRDefault="00662453" w:rsidP="00662453">
      <w:r w:rsidRPr="0021277E">
        <w:t xml:space="preserve">The PC draft recommendations have implications for broader telecommunications consumer safeguards which, although are distinct from the current USO, share </w:t>
      </w:r>
      <w:r w:rsidR="00331103" w:rsidRPr="0021277E">
        <w:t>close</w:t>
      </w:r>
      <w:r w:rsidRPr="0021277E">
        <w:t xml:space="preserve"> linkages. The ACMA notes that </w:t>
      </w:r>
      <w:proofErr w:type="spellStart"/>
      <w:r w:rsidR="00331103" w:rsidRPr="0021277E">
        <w:t>DoCA</w:t>
      </w:r>
      <w:proofErr w:type="spellEnd"/>
      <w:r w:rsidR="00331103" w:rsidRPr="0021277E">
        <w:t xml:space="preserve"> </w:t>
      </w:r>
      <w:r w:rsidRPr="0021277E">
        <w:t>intend</w:t>
      </w:r>
      <w:r w:rsidR="00331103" w:rsidRPr="0021277E">
        <w:t>s</w:t>
      </w:r>
      <w:r w:rsidRPr="0021277E">
        <w:t xml:space="preserve"> to conduct a review of telecommunications consumer safeguards, which </w:t>
      </w:r>
      <w:r w:rsidR="00FE6FBE">
        <w:t xml:space="preserve">the </w:t>
      </w:r>
      <w:r w:rsidRPr="0021277E">
        <w:t xml:space="preserve">PC urges be prioritised. While not comprehensive, the ACMA presents in its submission a set of enduring consumer safeguards based around the concepts of availability, accessibility, affordability, safety, privacy, security </w:t>
      </w:r>
      <w:r w:rsidR="00F7644C" w:rsidRPr="0021277E">
        <w:t xml:space="preserve">and effective operation </w:t>
      </w:r>
      <w:r w:rsidRPr="0021277E">
        <w:t xml:space="preserve">of telecommunications services. </w:t>
      </w:r>
    </w:p>
    <w:p w:rsidR="00E05807" w:rsidRDefault="00372BD5" w:rsidP="00662453">
      <w:r w:rsidRPr="0021277E">
        <w:t>Whil</w:t>
      </w:r>
      <w:r w:rsidR="00FE6FBE">
        <w:t>e</w:t>
      </w:r>
      <w:r w:rsidRPr="0021277E">
        <w:t xml:space="preserve"> such consumer safeguard elements may be further considered in the context of the </w:t>
      </w:r>
      <w:proofErr w:type="spellStart"/>
      <w:r w:rsidRPr="0021277E">
        <w:t>DoCA</w:t>
      </w:r>
      <w:proofErr w:type="spellEnd"/>
      <w:r w:rsidRPr="0021277E">
        <w:t xml:space="preserve"> review, the suite of safeguard issues raised in this submission</w:t>
      </w:r>
      <w:r w:rsidR="00FE6FBE">
        <w:t>—</w:t>
      </w:r>
      <w:r w:rsidRPr="0021277E">
        <w:t>such as the importance of ensuring the ability to connect to emergency services</w:t>
      </w:r>
      <w:r w:rsidR="00FE6FBE">
        <w:t>—</w:t>
      </w:r>
      <w:r w:rsidRPr="0021277E">
        <w:t>has direct linkages with the PC’s universal se</w:t>
      </w:r>
      <w:r w:rsidR="00A41907" w:rsidRPr="0021277E">
        <w:t>rvice framework</w:t>
      </w:r>
      <w:r w:rsidRPr="0021277E">
        <w:t>.</w:t>
      </w:r>
    </w:p>
    <w:p w:rsidR="00E05807" w:rsidRPr="00E05807" w:rsidRDefault="00E05807" w:rsidP="00E05807">
      <w:r w:rsidRPr="00117E64">
        <w:t>If you have any questions about any of the issues raised in this submission</w:t>
      </w:r>
      <w:r w:rsidR="006C3BEE">
        <w:t>,</w:t>
      </w:r>
      <w:r w:rsidRPr="00117E64">
        <w:t xml:space="preserve"> please </w:t>
      </w:r>
      <w:r w:rsidR="00FE6FBE">
        <w:t>call</w:t>
      </w:r>
      <w:r w:rsidR="00FE6FBE" w:rsidRPr="00117E64">
        <w:t xml:space="preserve"> </w:t>
      </w:r>
      <w:r w:rsidR="00EE4FDF">
        <w:t>Vince Humphries.</w:t>
      </w:r>
      <w:bookmarkStart w:id="46" w:name="_GoBack"/>
      <w:bookmarkEnd w:id="46"/>
    </w:p>
    <w:sectPr w:rsidR="00E05807" w:rsidRPr="00E05807" w:rsidSect="00C77380">
      <w:headerReference w:type="even" r:id="rId46"/>
      <w:headerReference w:type="default" r:id="rId47"/>
      <w:footerReference w:type="even" r:id="rId48"/>
      <w:footerReference w:type="default" r:id="rId49"/>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9B" w:rsidRDefault="00B5069B">
      <w:r>
        <w:separator/>
      </w:r>
    </w:p>
  </w:endnote>
  <w:endnote w:type="continuationSeparator" w:id="0">
    <w:p w:rsidR="00B5069B" w:rsidRDefault="00B5069B">
      <w:r>
        <w:continuationSeparator/>
      </w:r>
    </w:p>
  </w:endnote>
  <w:endnote w:type="continuationNotice" w:id="1">
    <w:p w:rsidR="00B5069B" w:rsidRDefault="00B50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Lt">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W01-45Ligh">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A5474E" w:rsidRDefault="00227D55" w:rsidP="00A5474E">
    <w:pPr>
      <w:pStyle w:val="Footer"/>
    </w:pPr>
    <w:r>
      <w:rPr>
        <w:noProof/>
      </w:rPr>
      <w:drawing>
        <wp:inline distT="0" distB="0" distL="0" distR="0" wp14:anchorId="015EC007" wp14:editId="2AF97CB9">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622A3B" w:rsidRDefault="00227D55"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rsidR="00227D55" w:rsidRPr="00A5474E" w:rsidRDefault="00227D55" w:rsidP="00A547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622A3B" w:rsidRDefault="00227D55"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rsidR="00227D55" w:rsidRPr="00A5474E" w:rsidRDefault="00227D55" w:rsidP="00A547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622A3B" w:rsidRDefault="00227D55"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597974">
      <w:rPr>
        <w:noProof/>
        <w:color w:val="505050"/>
      </w:rPr>
      <w:t>iii</w:t>
    </w:r>
    <w:r w:rsidRPr="002E4DDC">
      <w:rPr>
        <w:color w:val="505050"/>
      </w:rPr>
      <w:fldChar w:fldCharType="end"/>
    </w:r>
  </w:p>
  <w:p w:rsidR="00227D55" w:rsidRPr="00A5474E" w:rsidRDefault="00227D55" w:rsidP="00A547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622A3B" w:rsidRDefault="00227D55"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EE4FDF">
      <w:rPr>
        <w:noProof/>
      </w:rPr>
      <w:t>2</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rsidR="00227D55" w:rsidRPr="00A5474E" w:rsidRDefault="00227D55" w:rsidP="00A5474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622A3B" w:rsidRDefault="00227D55"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EE4FDF">
      <w:rPr>
        <w:noProof/>
        <w:color w:val="505050"/>
      </w:rPr>
      <w:t>1</w:t>
    </w:r>
    <w:r w:rsidRPr="00575AC5">
      <w:rPr>
        <w:color w:val="505050"/>
      </w:rPr>
      <w:fldChar w:fldCharType="end"/>
    </w:r>
  </w:p>
  <w:p w:rsidR="00227D55" w:rsidRPr="00A5474E" w:rsidRDefault="00227D55" w:rsidP="00A54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9B" w:rsidRDefault="00B5069B">
      <w:r>
        <w:separator/>
      </w:r>
    </w:p>
  </w:footnote>
  <w:footnote w:type="continuationSeparator" w:id="0">
    <w:p w:rsidR="00B5069B" w:rsidRDefault="00B5069B">
      <w:r>
        <w:continuationSeparator/>
      </w:r>
    </w:p>
  </w:footnote>
  <w:footnote w:type="continuationNotice" w:id="1">
    <w:p w:rsidR="00B5069B" w:rsidRDefault="00B5069B">
      <w:pPr>
        <w:spacing w:after="0" w:line="240" w:lineRule="auto"/>
      </w:pPr>
    </w:p>
  </w:footnote>
  <w:footnote w:id="2">
    <w:p w:rsidR="00227D55" w:rsidRDefault="00227D55" w:rsidP="00B54469">
      <w:pPr>
        <w:pStyle w:val="FootnoteText"/>
        <w:spacing w:after="0"/>
      </w:pPr>
      <w:r>
        <w:rPr>
          <w:rStyle w:val="FootnoteReference"/>
        </w:rPr>
        <w:footnoteRef/>
      </w:r>
      <w:r>
        <w:t xml:space="preserve"> Roy Morgan Single Source, Australian adults, June 2016.</w:t>
      </w:r>
    </w:p>
  </w:footnote>
  <w:footnote w:id="3">
    <w:p w:rsidR="00227D55" w:rsidRPr="004B77D5" w:rsidRDefault="00227D55" w:rsidP="008D159B">
      <w:pPr>
        <w:pStyle w:val="FootnoteText"/>
        <w:spacing w:after="0" w:line="240" w:lineRule="auto"/>
        <w:rPr>
          <w:i/>
        </w:rPr>
      </w:pPr>
      <w:r>
        <w:rPr>
          <w:rStyle w:val="FootnoteReference"/>
        </w:rPr>
        <w:footnoteRef/>
      </w:r>
      <w:r>
        <w:t xml:space="preserve"> Source: </w:t>
      </w:r>
      <w:r w:rsidRPr="00B12AF3">
        <w:t xml:space="preserve">ACMA </w:t>
      </w:r>
      <w:r w:rsidRPr="00B54469">
        <w:t>communications reports 2013 to 2016.</w:t>
      </w:r>
      <w:r>
        <w:rPr>
          <w:i/>
        </w:rPr>
        <w:t xml:space="preserve"> </w:t>
      </w:r>
      <w:r>
        <w:rPr>
          <w:rFonts w:cs="Arial"/>
        </w:rPr>
        <w:t>There is some variation in the reported levels of satisfaction within the service component categories, however, research findings between 2016 and previous years cannot be directly compared due to changes in the scale used to assess satisfaction.</w:t>
      </w:r>
    </w:p>
  </w:footnote>
  <w:footnote w:id="4">
    <w:p w:rsidR="00227D55" w:rsidRDefault="00227D55" w:rsidP="00B54469">
      <w:pPr>
        <w:pStyle w:val="FootnoteText"/>
        <w:spacing w:after="0"/>
      </w:pPr>
      <w:r>
        <w:rPr>
          <w:rStyle w:val="FootnoteReference"/>
        </w:rPr>
        <w:footnoteRef/>
      </w:r>
      <w:r>
        <w:t xml:space="preserve"> Source: ACMA </w:t>
      </w:r>
      <w:r w:rsidRPr="004E66D4">
        <w:rPr>
          <w:i/>
        </w:rPr>
        <w:t xml:space="preserve">Communications </w:t>
      </w:r>
      <w:r>
        <w:rPr>
          <w:i/>
        </w:rPr>
        <w:t>r</w:t>
      </w:r>
      <w:r w:rsidRPr="004E66D4">
        <w:rPr>
          <w:i/>
        </w:rPr>
        <w:t>eport 2015</w:t>
      </w:r>
      <w:r>
        <w:rPr>
          <w:i/>
        </w:rPr>
        <w:t>–</w:t>
      </w:r>
      <w:r w:rsidRPr="004E66D4">
        <w:rPr>
          <w:i/>
        </w:rPr>
        <w:t>16</w:t>
      </w:r>
      <w:r>
        <w:t>.</w:t>
      </w:r>
    </w:p>
  </w:footnote>
  <w:footnote w:id="5">
    <w:p w:rsidR="00227D55" w:rsidRDefault="00227D55" w:rsidP="00583943">
      <w:pPr>
        <w:pStyle w:val="FootnoteText"/>
        <w:spacing w:after="0"/>
      </w:pPr>
      <w:r>
        <w:rPr>
          <w:rStyle w:val="FootnoteReference"/>
        </w:rPr>
        <w:footnoteRef/>
      </w:r>
      <w:r>
        <w:t xml:space="preserve"> Recommendation 5.1 of the draft report.</w:t>
      </w:r>
    </w:p>
  </w:footnote>
  <w:footnote w:id="6">
    <w:p w:rsidR="00227D55" w:rsidRDefault="00227D55" w:rsidP="00583943">
      <w:pPr>
        <w:pStyle w:val="FootnoteText"/>
        <w:spacing w:after="0"/>
      </w:pPr>
      <w:r>
        <w:rPr>
          <w:rStyle w:val="FootnoteReference"/>
        </w:rPr>
        <w:footnoteRef/>
      </w:r>
      <w:r>
        <w:t xml:space="preserve"> Recommendations 7.2 and 7.5 of the draft report.</w:t>
      </w:r>
    </w:p>
  </w:footnote>
  <w:footnote w:id="7">
    <w:p w:rsidR="00227D55" w:rsidRDefault="00227D55" w:rsidP="00583943">
      <w:pPr>
        <w:pStyle w:val="FootnoteText"/>
        <w:spacing w:after="0"/>
      </w:pPr>
      <w:r>
        <w:rPr>
          <w:rStyle w:val="FootnoteReference"/>
        </w:rPr>
        <w:footnoteRef/>
      </w:r>
      <w:r>
        <w:t xml:space="preserve"> </w:t>
      </w:r>
      <w:r>
        <w:rPr>
          <w:rFonts w:cs="Arial"/>
          <w:szCs w:val="20"/>
        </w:rPr>
        <w:t>T</w:t>
      </w:r>
      <w:r w:rsidRPr="00B669B2">
        <w:rPr>
          <w:rFonts w:cs="Arial"/>
          <w:szCs w:val="20"/>
        </w:rPr>
        <w:t>he</w:t>
      </w:r>
      <w:r>
        <w:rPr>
          <w:rFonts w:cs="Arial"/>
          <w:szCs w:val="20"/>
        </w:rPr>
        <w:t xml:space="preserve"> </w:t>
      </w:r>
      <w:r w:rsidRPr="00B669B2">
        <w:rPr>
          <w:rFonts w:cs="Arial"/>
          <w:szCs w:val="20"/>
        </w:rPr>
        <w:t>Customer Service Guarantee, Priority Assistance and National Reliability Framework</w:t>
      </w:r>
      <w:r>
        <w:rPr>
          <w:rFonts w:cs="Arial"/>
          <w:szCs w:val="20"/>
        </w:rPr>
        <w:t xml:space="preserve">. </w:t>
      </w:r>
    </w:p>
  </w:footnote>
  <w:footnote w:id="8">
    <w:p w:rsidR="00227D55" w:rsidRPr="00CB7F47" w:rsidRDefault="00227D55" w:rsidP="00B54469">
      <w:pPr>
        <w:pStyle w:val="FootnoteText"/>
        <w:spacing w:after="0"/>
        <w:rPr>
          <w:sz w:val="18"/>
          <w:szCs w:val="18"/>
        </w:rPr>
      </w:pPr>
      <w:r>
        <w:rPr>
          <w:rStyle w:val="FootnoteReference"/>
        </w:rPr>
        <w:footnoteRef/>
      </w:r>
      <w:r>
        <w:t xml:space="preserve"> </w:t>
      </w:r>
      <w:r w:rsidRPr="00891720">
        <w:rPr>
          <w:rFonts w:cs="Arial"/>
          <w:szCs w:val="18"/>
        </w:rPr>
        <w:t>Noting the assumption in the draft report that fibre and fixed wireless networks are able to support voice services to an acceptable standard.</w:t>
      </w:r>
    </w:p>
  </w:footnote>
  <w:footnote w:id="9">
    <w:p w:rsidR="00227D55" w:rsidRDefault="00227D55" w:rsidP="00B54469">
      <w:pPr>
        <w:pStyle w:val="FootnoteText"/>
        <w:spacing w:after="0"/>
      </w:pPr>
      <w:r>
        <w:rPr>
          <w:rStyle w:val="FootnoteReference"/>
        </w:rPr>
        <w:footnoteRef/>
      </w:r>
      <w:r>
        <w:t xml:space="preserve"> Recommendation 7.2 of the draft report.</w:t>
      </w:r>
    </w:p>
  </w:footnote>
  <w:footnote w:id="10">
    <w:p w:rsidR="00227D55" w:rsidRDefault="00227D55" w:rsidP="00B54469">
      <w:pPr>
        <w:pStyle w:val="FootnoteText"/>
        <w:spacing w:after="0"/>
      </w:pPr>
      <w:r>
        <w:rPr>
          <w:rStyle w:val="FootnoteReference"/>
        </w:rPr>
        <w:footnoteRef/>
      </w:r>
      <w:r>
        <w:t xml:space="preserve"> Recommendation 9.1 of the draft report.</w:t>
      </w:r>
    </w:p>
  </w:footnote>
  <w:footnote w:id="11">
    <w:p w:rsidR="00227D55" w:rsidRDefault="00227D55" w:rsidP="00B54469">
      <w:pPr>
        <w:pStyle w:val="FootnoteText"/>
        <w:spacing w:after="0"/>
      </w:pPr>
      <w:r>
        <w:rPr>
          <w:rStyle w:val="FootnoteReference"/>
        </w:rPr>
        <w:footnoteRef/>
      </w:r>
      <w:r>
        <w:t xml:space="preserve"> Information request 9.1 of the draft report.</w:t>
      </w:r>
    </w:p>
  </w:footnote>
  <w:footnote w:id="12">
    <w:p w:rsidR="00227D55" w:rsidRDefault="00227D55" w:rsidP="00B54469">
      <w:pPr>
        <w:pStyle w:val="Footer"/>
        <w:spacing w:after="0"/>
      </w:pPr>
      <w:r w:rsidRPr="00246907">
        <w:rPr>
          <w:rStyle w:val="FootnoteReference"/>
        </w:rPr>
        <w:footnoteRef/>
      </w:r>
      <w:r w:rsidRPr="00246907">
        <w:t xml:space="preserve"> ACMA </w:t>
      </w:r>
      <w:r w:rsidRPr="00B54469">
        <w:rPr>
          <w:i/>
        </w:rPr>
        <w:t>Communications report 2015–16</w:t>
      </w:r>
      <w:r w:rsidRPr="00246907">
        <w:t xml:space="preserve"> (p.</w:t>
      </w:r>
      <w:r>
        <w:t xml:space="preserve"> </w:t>
      </w:r>
      <w:r w:rsidRPr="00246907">
        <w:t>123). The figure quoted includes f</w:t>
      </w:r>
      <w:r>
        <w:t xml:space="preserve">igures from Telstra and </w:t>
      </w:r>
      <w:proofErr w:type="spellStart"/>
      <w:r>
        <w:t>iPrimus</w:t>
      </w:r>
      <w:proofErr w:type="spellEnd"/>
      <w:r>
        <w:t>. The latter was the only company at 30 June 2016</w:t>
      </w:r>
      <w:r w:rsidRPr="00246907">
        <w:t xml:space="preserve"> </w:t>
      </w:r>
      <w:r>
        <w:t>to</w:t>
      </w:r>
      <w:r w:rsidRPr="00246907">
        <w:t xml:space="preserve"> </w:t>
      </w:r>
      <w:r>
        <w:t>voluntarily offer priority assistance services</w:t>
      </w:r>
      <w:r w:rsidRPr="00246907">
        <w:t xml:space="preserve"> in line with the relevant industry code (</w:t>
      </w:r>
      <w:r>
        <w:t>although this was limited to customers with priority a</w:t>
      </w:r>
      <w:r w:rsidRPr="00246907">
        <w:t>ssistance already active on their landline).</w:t>
      </w:r>
    </w:p>
  </w:footnote>
  <w:footnote w:id="13">
    <w:p w:rsidR="00227D55" w:rsidRDefault="00227D55" w:rsidP="00B54469">
      <w:pPr>
        <w:pStyle w:val="FootnoteText"/>
        <w:spacing w:after="0"/>
      </w:pPr>
      <w:r>
        <w:rPr>
          <w:rStyle w:val="FootnoteReference"/>
        </w:rPr>
        <w:footnoteRef/>
      </w:r>
      <w:r>
        <w:t xml:space="preserve"> Recommendation 9.2 of the draft report.</w:t>
      </w:r>
    </w:p>
  </w:footnote>
  <w:footnote w:id="14">
    <w:p w:rsidR="00227D55" w:rsidRDefault="00227D55" w:rsidP="00583943">
      <w:pPr>
        <w:pStyle w:val="FootnoteText"/>
        <w:spacing w:after="0"/>
      </w:pPr>
      <w:r>
        <w:rPr>
          <w:rStyle w:val="FootnoteReference"/>
        </w:rPr>
        <w:footnoteRef/>
      </w:r>
      <w:r>
        <w:t xml:space="preserve"> Recommendation 7.5 of the draft report.</w:t>
      </w:r>
    </w:p>
  </w:footnote>
  <w:footnote w:id="15">
    <w:p w:rsidR="00227D55" w:rsidRDefault="00227D55" w:rsidP="00583943">
      <w:pPr>
        <w:pStyle w:val="FootnoteText"/>
        <w:spacing w:after="0"/>
      </w:pPr>
      <w:r>
        <w:rPr>
          <w:rStyle w:val="FootnoteReference"/>
        </w:rPr>
        <w:footnoteRef/>
      </w:r>
      <w:r>
        <w:t xml:space="preserve"> Recommendation 7.5 of the draft report.</w:t>
      </w:r>
    </w:p>
  </w:footnote>
  <w:footnote w:id="16">
    <w:p w:rsidR="00227D55" w:rsidRDefault="00227D55" w:rsidP="00583943">
      <w:pPr>
        <w:pStyle w:val="FootnoteText"/>
        <w:spacing w:after="0"/>
      </w:pPr>
      <w:r>
        <w:rPr>
          <w:rStyle w:val="FootnoteReference"/>
        </w:rPr>
        <w:footnoteRef/>
      </w:r>
      <w:r>
        <w:t xml:space="preserve"> Recommendation 9.3 of the draft report.</w:t>
      </w:r>
    </w:p>
  </w:footnote>
  <w:footnote w:id="17">
    <w:p w:rsidR="00227D55" w:rsidRPr="00C1100C" w:rsidRDefault="00227D55" w:rsidP="00583943">
      <w:pPr>
        <w:pStyle w:val="FootnoteText"/>
        <w:spacing w:after="0"/>
        <w:rPr>
          <w:b/>
        </w:rPr>
      </w:pPr>
      <w:r>
        <w:rPr>
          <w:rStyle w:val="FootnoteReference"/>
        </w:rPr>
        <w:footnoteRef/>
      </w:r>
      <w:r>
        <w:t xml:space="preserve"> The full text of the speech is available at </w:t>
      </w:r>
      <w:hyperlink r:id="rId1" w:history="1">
        <w:r w:rsidRPr="00607801">
          <w:rPr>
            <w:rStyle w:val="Hyperlink"/>
          </w:rPr>
          <w:t>www.acma.gov.au/theACMA/Newsroom/Newsroom/Speeches/commsday-congress-2016</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A5474E" w:rsidRDefault="00227D55" w:rsidP="00A5474E">
    <w:pPr>
      <w:pStyle w:val="Header"/>
    </w:pPr>
    <w:r>
      <w:rPr>
        <w:noProof/>
      </w:rPr>
      <w:drawing>
        <wp:inline distT="0" distB="0" distL="0" distR="0" wp14:anchorId="4A7F8B3A" wp14:editId="1A0D0AA9">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Pr="00A5474E" w:rsidRDefault="00227D55" w:rsidP="00594E9C">
    <w:pPr>
      <w:pStyle w:val="TOCHeading"/>
    </w:pPr>
    <w:r w:rsidRPr="0029593B">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78" w:type="dxa"/>
      <w:tblLayout w:type="fixed"/>
      <w:tblCellMar>
        <w:left w:w="0" w:type="dxa"/>
        <w:right w:w="0" w:type="dxa"/>
      </w:tblCellMar>
      <w:tblLook w:val="01E0" w:firstRow="1" w:lastRow="1" w:firstColumn="1" w:lastColumn="1" w:noHBand="0" w:noVBand="0"/>
    </w:tblPr>
    <w:tblGrid>
      <w:gridCol w:w="7678"/>
    </w:tblGrid>
    <w:tr w:rsidR="00227D55" w:rsidTr="00A92BCD">
      <w:trPr>
        <w:trHeight w:hRule="exact" w:val="988"/>
      </w:trPr>
      <w:tc>
        <w:tcPr>
          <w:tcW w:w="7678" w:type="dxa"/>
          <w:shd w:val="clear" w:color="auto" w:fill="auto"/>
        </w:tcPr>
        <w:p w:rsidR="00227D55" w:rsidRDefault="00227D55" w:rsidP="00971914">
          <w:pPr>
            <w:pStyle w:val="Header"/>
          </w:pPr>
        </w:p>
      </w:tc>
    </w:tr>
    <w:tr w:rsidR="00227D55" w:rsidTr="00A92BCD">
      <w:tc>
        <w:tcPr>
          <w:tcW w:w="7678" w:type="dxa"/>
          <w:shd w:val="clear" w:color="auto" w:fill="auto"/>
        </w:tcPr>
        <w:p w:rsidR="00227D55" w:rsidRDefault="00227D55" w:rsidP="00971914">
          <w:pPr>
            <w:pStyle w:val="GridTable31"/>
          </w:pPr>
          <w:r>
            <w:t xml:space="preserve">Contents </w:t>
          </w:r>
          <w:r w:rsidRPr="00915B1C">
            <w:rPr>
              <w:b w:val="0"/>
              <w:spacing w:val="0"/>
              <w:sz w:val="28"/>
              <w:szCs w:val="28"/>
            </w:rPr>
            <w:t>(Continued)</w:t>
          </w:r>
        </w:p>
      </w:tc>
    </w:tr>
    <w:tr w:rsidR="00227D55" w:rsidTr="00A92BCD">
      <w:trPr>
        <w:trHeight w:val="1220"/>
      </w:trPr>
      <w:tc>
        <w:tcPr>
          <w:tcW w:w="7678" w:type="dxa"/>
          <w:shd w:val="clear" w:color="auto" w:fill="auto"/>
        </w:tcPr>
        <w:p w:rsidR="00227D55" w:rsidRDefault="00227D55" w:rsidP="00971914"/>
      </w:tc>
    </w:tr>
  </w:tbl>
  <w:p w:rsidR="00227D55" w:rsidRDefault="00227D55" w:rsidP="0097191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78" w:type="dxa"/>
      <w:tblLayout w:type="fixed"/>
      <w:tblCellMar>
        <w:left w:w="0" w:type="dxa"/>
        <w:right w:w="0" w:type="dxa"/>
      </w:tblCellMar>
      <w:tblLook w:val="01E0" w:firstRow="1" w:lastRow="1" w:firstColumn="1" w:lastColumn="1" w:noHBand="0" w:noVBand="0"/>
    </w:tblPr>
    <w:tblGrid>
      <w:gridCol w:w="7678"/>
    </w:tblGrid>
    <w:tr w:rsidR="00227D55" w:rsidTr="00A92BCD">
      <w:trPr>
        <w:trHeight w:hRule="exact" w:val="988"/>
      </w:trPr>
      <w:tc>
        <w:tcPr>
          <w:tcW w:w="7678" w:type="dxa"/>
          <w:shd w:val="clear" w:color="auto" w:fill="auto"/>
        </w:tcPr>
        <w:p w:rsidR="00227D55" w:rsidRDefault="00227D55" w:rsidP="00971914">
          <w:pPr>
            <w:pStyle w:val="Header"/>
          </w:pPr>
        </w:p>
      </w:tc>
    </w:tr>
    <w:tr w:rsidR="00227D55" w:rsidTr="00A92BCD">
      <w:tc>
        <w:tcPr>
          <w:tcW w:w="7678" w:type="dxa"/>
          <w:shd w:val="clear" w:color="auto" w:fill="auto"/>
        </w:tcPr>
        <w:p w:rsidR="00227D55" w:rsidRDefault="00227D55" w:rsidP="00971914">
          <w:pPr>
            <w:pStyle w:val="GridTable31"/>
          </w:pPr>
          <w:r>
            <w:t xml:space="preserve">Contents </w:t>
          </w:r>
          <w:r w:rsidRPr="00915B1C">
            <w:rPr>
              <w:b w:val="0"/>
              <w:spacing w:val="0"/>
              <w:sz w:val="28"/>
              <w:szCs w:val="28"/>
            </w:rPr>
            <w:t>(Continued)</w:t>
          </w:r>
        </w:p>
      </w:tc>
    </w:tr>
    <w:tr w:rsidR="00227D55" w:rsidTr="00A92BCD">
      <w:trPr>
        <w:trHeight w:val="1220"/>
      </w:trPr>
      <w:tc>
        <w:tcPr>
          <w:tcW w:w="7678" w:type="dxa"/>
          <w:shd w:val="clear" w:color="auto" w:fill="auto"/>
        </w:tcPr>
        <w:p w:rsidR="00227D55" w:rsidRDefault="00227D55" w:rsidP="00971914"/>
      </w:tc>
    </w:tr>
  </w:tbl>
  <w:p w:rsidR="00227D55" w:rsidRPr="00A5474E" w:rsidRDefault="00227D55" w:rsidP="00A547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55" w:rsidRDefault="00227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686734"/>
    <w:lvl w:ilvl="0">
      <w:start w:val="1"/>
      <w:numFmt w:val="decimal"/>
      <w:lvlText w:val="%1."/>
      <w:lvlJc w:val="left"/>
      <w:pPr>
        <w:tabs>
          <w:tab w:val="num" w:pos="1492"/>
        </w:tabs>
        <w:ind w:left="1492" w:hanging="360"/>
      </w:pPr>
    </w:lvl>
  </w:abstractNum>
  <w:abstractNum w:abstractNumId="1">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2">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nsid w:val="FFFFFF89"/>
    <w:multiLevelType w:val="singleLevel"/>
    <w:tmpl w:val="9192262E"/>
    <w:lvl w:ilvl="0">
      <w:start w:val="1"/>
      <w:numFmt w:val="bullet"/>
      <w:lvlText w:val="&gt;"/>
      <w:lvlJc w:val="left"/>
      <w:pPr>
        <w:tabs>
          <w:tab w:val="num" w:pos="295"/>
        </w:tabs>
        <w:ind w:left="295" w:hanging="295"/>
      </w:pPr>
      <w:rPr>
        <w:rFonts w:ascii="HelveticaNeueLT Std Lt" w:hAnsi="HelveticaNeueLT Std Lt" w:hint="default"/>
        <w:i w:val="0"/>
        <w:sz w:val="20"/>
      </w:rPr>
    </w:lvl>
  </w:abstractNum>
  <w:abstractNum w:abstractNumId="5">
    <w:nsid w:val="FFFFFFFE"/>
    <w:multiLevelType w:val="singleLevel"/>
    <w:tmpl w:val="CE4A7940"/>
    <w:lvl w:ilvl="0">
      <w:numFmt w:val="bullet"/>
      <w:lvlText w:val="*"/>
      <w:lvlJc w:val="left"/>
      <w:pPr>
        <w:ind w:left="0" w:firstLine="0"/>
      </w:pPr>
    </w:lvl>
  </w:abstractNum>
  <w:abstractNum w:abstractNumId="6">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B00EF4"/>
    <w:multiLevelType w:val="hybridMultilevel"/>
    <w:tmpl w:val="A9000C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C65753"/>
    <w:multiLevelType w:val="hybridMultilevel"/>
    <w:tmpl w:val="89982168"/>
    <w:lvl w:ilvl="0" w:tplc="5094BE40">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B93DF8"/>
    <w:multiLevelType w:val="hybridMultilevel"/>
    <w:tmpl w:val="4A62132C"/>
    <w:lvl w:ilvl="0" w:tplc="5094BE40">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986B01"/>
    <w:multiLevelType w:val="hybridMultilevel"/>
    <w:tmpl w:val="ABEAB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780A80"/>
    <w:multiLevelType w:val="hybridMultilevel"/>
    <w:tmpl w:val="07CA5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DCC527D"/>
    <w:multiLevelType w:val="hybridMultilevel"/>
    <w:tmpl w:val="770EE850"/>
    <w:lvl w:ilvl="0" w:tplc="5094BE40">
      <w:start w:val="14"/>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270C3E9A"/>
    <w:multiLevelType w:val="hybridMultilevel"/>
    <w:tmpl w:val="911445FC"/>
    <w:lvl w:ilvl="0" w:tplc="8D465DE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654928"/>
    <w:multiLevelType w:val="hybridMultilevel"/>
    <w:tmpl w:val="8E60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0875CF3"/>
    <w:multiLevelType w:val="hybridMultilevel"/>
    <w:tmpl w:val="341464BE"/>
    <w:lvl w:ilvl="0" w:tplc="7180BC04">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6AA6194"/>
    <w:multiLevelType w:val="hybridMultilevel"/>
    <w:tmpl w:val="8500C3C2"/>
    <w:lvl w:ilvl="0" w:tplc="5094BE40">
      <w:start w:val="14"/>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37B13F82"/>
    <w:multiLevelType w:val="hybridMultilevel"/>
    <w:tmpl w:val="4EB4B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B31357"/>
    <w:multiLevelType w:val="hybridMultilevel"/>
    <w:tmpl w:val="6B809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DB0E3B"/>
    <w:multiLevelType w:val="hybridMultilevel"/>
    <w:tmpl w:val="2250CD32"/>
    <w:lvl w:ilvl="0" w:tplc="8D465DE8">
      <w:start w:val="1"/>
      <w:numFmt w:val="bullet"/>
      <w:lvlText w:val="&gt;"/>
      <w:lvlJc w:val="left"/>
      <w:pPr>
        <w:ind w:left="720" w:hanging="360"/>
      </w:pPr>
      <w:rPr>
        <w:rFonts w:ascii="HelveticaNeueLT Std Lt" w:hAnsi="HelveticaNeueLT Std Lt"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681699"/>
    <w:multiLevelType w:val="hybridMultilevel"/>
    <w:tmpl w:val="4568F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5B74AE"/>
    <w:multiLevelType w:val="hybridMultilevel"/>
    <w:tmpl w:val="21B43940"/>
    <w:lvl w:ilvl="0" w:tplc="8D465DE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D51418"/>
    <w:multiLevelType w:val="hybridMultilevel"/>
    <w:tmpl w:val="BDBC6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FD4E35"/>
    <w:multiLevelType w:val="hybridMultilevel"/>
    <w:tmpl w:val="A4A4C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4A32CE7"/>
    <w:multiLevelType w:val="hybridMultilevel"/>
    <w:tmpl w:val="C3005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E11896"/>
    <w:multiLevelType w:val="hybridMultilevel"/>
    <w:tmpl w:val="46E66F06"/>
    <w:lvl w:ilvl="0" w:tplc="0872756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8DC4387"/>
    <w:multiLevelType w:val="hybridMultilevel"/>
    <w:tmpl w:val="962816A4"/>
    <w:lvl w:ilvl="0" w:tplc="5094BE40">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594DE3"/>
    <w:multiLevelType w:val="hybridMultilevel"/>
    <w:tmpl w:val="6FC68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A311A5"/>
    <w:multiLevelType w:val="hybridMultilevel"/>
    <w:tmpl w:val="75EC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911415"/>
    <w:multiLevelType w:val="hybridMultilevel"/>
    <w:tmpl w:val="48B6D230"/>
    <w:lvl w:ilvl="0" w:tplc="5094BE40">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30F6F4A"/>
    <w:multiLevelType w:val="hybridMultilevel"/>
    <w:tmpl w:val="6E6247FA"/>
    <w:lvl w:ilvl="0" w:tplc="8D465DE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23F4B"/>
    <w:multiLevelType w:val="hybridMultilevel"/>
    <w:tmpl w:val="ADE4B1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24083"/>
    <w:multiLevelType w:val="hybridMultilevel"/>
    <w:tmpl w:val="3556A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77CD3761"/>
    <w:multiLevelType w:val="hybridMultilevel"/>
    <w:tmpl w:val="9066FC38"/>
    <w:lvl w:ilvl="0" w:tplc="ECB43EC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16"/>
  </w:num>
  <w:num w:numId="6">
    <w:abstractNumId w:val="35"/>
  </w:num>
  <w:num w:numId="7">
    <w:abstractNumId w:val="27"/>
  </w:num>
  <w:num w:numId="8">
    <w:abstractNumId w:val="34"/>
  </w:num>
  <w:num w:numId="9">
    <w:abstractNumId w:val="37"/>
  </w:num>
  <w:num w:numId="10">
    <w:abstractNumId w:val="7"/>
  </w:num>
  <w:num w:numId="11">
    <w:abstractNumId w:val="6"/>
  </w:num>
  <w:num w:numId="12">
    <w:abstractNumId w:val="24"/>
  </w:num>
  <w:num w:numId="13">
    <w:abstractNumId w:val="4"/>
  </w:num>
  <w:num w:numId="14">
    <w:abstractNumId w:val="11"/>
  </w:num>
  <w:num w:numId="15">
    <w:abstractNumId w:val="26"/>
  </w:num>
  <w:num w:numId="16">
    <w:abstractNumId w:val="15"/>
  </w:num>
  <w:num w:numId="17">
    <w:abstractNumId w:val="22"/>
  </w:num>
  <w:num w:numId="18">
    <w:abstractNumId w:val="36"/>
  </w:num>
  <w:num w:numId="19">
    <w:abstractNumId w:val="10"/>
  </w:num>
  <w:num w:numId="20">
    <w:abstractNumId w:val="38"/>
  </w:num>
  <w:num w:numId="21">
    <w:abstractNumId w:val="9"/>
  </w:num>
  <w:num w:numId="22">
    <w:abstractNumId w:val="13"/>
  </w:num>
  <w:num w:numId="23">
    <w:abstractNumId w:val="32"/>
  </w:num>
  <w:num w:numId="24">
    <w:abstractNumId w:val="18"/>
  </w:num>
  <w:num w:numId="25">
    <w:abstractNumId w:val="29"/>
  </w:num>
  <w:num w:numId="26">
    <w:abstractNumId w:val="31"/>
  </w:num>
  <w:num w:numId="27">
    <w:abstractNumId w:val="25"/>
  </w:num>
  <w:num w:numId="28">
    <w:abstractNumId w:val="0"/>
  </w:num>
  <w:num w:numId="29">
    <w:abstractNumId w:val="30"/>
  </w:num>
  <w:num w:numId="30">
    <w:abstractNumId w:val="4"/>
  </w:num>
  <w:num w:numId="31">
    <w:abstractNumId w:val="20"/>
  </w:num>
  <w:num w:numId="32">
    <w:abstractNumId w:val="28"/>
  </w:num>
  <w:num w:numId="33">
    <w:abstractNumId w:val="19"/>
  </w:num>
  <w:num w:numId="34">
    <w:abstractNumId w:val="33"/>
  </w:num>
  <w:num w:numId="35">
    <w:abstractNumId w:val="21"/>
  </w:num>
  <w:num w:numId="36">
    <w:abstractNumId w:val="14"/>
  </w:num>
  <w:num w:numId="37">
    <w:abstractNumId w:val="23"/>
  </w:num>
  <w:num w:numId="38">
    <w:abstractNumId w:val="39"/>
  </w:num>
  <w:num w:numId="39">
    <w:abstractNumId w:val="8"/>
  </w:num>
  <w:num w:numId="40">
    <w:abstractNumId w:val="17"/>
  </w:num>
  <w:num w:numId="41">
    <w:abstractNumId w:val="12"/>
  </w:num>
  <w:num w:numId="42">
    <w:abstractNumId w:val="5"/>
    <w:lvlOverride w:ilvl="0">
      <w:lvl w:ilvl="0">
        <w:numFmt w:val="bullet"/>
        <w:lvlText w:val=""/>
        <w:legacy w:legacy="1" w:legacySpace="0" w:legacyIndent="0"/>
        <w:lvlJc w:val="left"/>
        <w:pPr>
          <w:ind w:left="0" w:firstLine="0"/>
        </w:pPr>
        <w:rPr>
          <w:rFonts w:ascii="Symbol" w:hAnsi="Symbol" w:hint="default"/>
        </w:rPr>
      </w:lvl>
    </w:lvlOverride>
  </w:num>
  <w:num w:numId="43">
    <w:abstractNumId w:val="3"/>
    <w:lvlOverride w:ilvl="0">
      <w:startOverride w:val="1"/>
    </w:lvlOverride>
  </w:num>
  <w:num w:numId="44">
    <w:abstractNumId w:val="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F0"/>
    <w:rsid w:val="00001A56"/>
    <w:rsid w:val="000020DE"/>
    <w:rsid w:val="00010667"/>
    <w:rsid w:val="00010883"/>
    <w:rsid w:val="0001092E"/>
    <w:rsid w:val="00011DD3"/>
    <w:rsid w:val="000129D5"/>
    <w:rsid w:val="00015053"/>
    <w:rsid w:val="00015AE7"/>
    <w:rsid w:val="00016E21"/>
    <w:rsid w:val="0001719C"/>
    <w:rsid w:val="0002224E"/>
    <w:rsid w:val="00022501"/>
    <w:rsid w:val="000255D6"/>
    <w:rsid w:val="000261F0"/>
    <w:rsid w:val="00026BF0"/>
    <w:rsid w:val="00026F91"/>
    <w:rsid w:val="00032AB6"/>
    <w:rsid w:val="000379D5"/>
    <w:rsid w:val="00040F7E"/>
    <w:rsid w:val="00041168"/>
    <w:rsid w:val="00044346"/>
    <w:rsid w:val="0004638D"/>
    <w:rsid w:val="0004764C"/>
    <w:rsid w:val="0005011A"/>
    <w:rsid w:val="0005045A"/>
    <w:rsid w:val="00051C1E"/>
    <w:rsid w:val="00052265"/>
    <w:rsid w:val="0005302E"/>
    <w:rsid w:val="000539F9"/>
    <w:rsid w:val="00054913"/>
    <w:rsid w:val="00054C27"/>
    <w:rsid w:val="00055EC3"/>
    <w:rsid w:val="000563CE"/>
    <w:rsid w:val="000571FD"/>
    <w:rsid w:val="00057A61"/>
    <w:rsid w:val="00057C27"/>
    <w:rsid w:val="000659B6"/>
    <w:rsid w:val="0006686F"/>
    <w:rsid w:val="0006722A"/>
    <w:rsid w:val="000702AD"/>
    <w:rsid w:val="00072907"/>
    <w:rsid w:val="00073292"/>
    <w:rsid w:val="000732CF"/>
    <w:rsid w:val="00075B96"/>
    <w:rsid w:val="0008196A"/>
    <w:rsid w:val="00084986"/>
    <w:rsid w:val="00085356"/>
    <w:rsid w:val="000915ED"/>
    <w:rsid w:val="0009209D"/>
    <w:rsid w:val="00093955"/>
    <w:rsid w:val="000969BD"/>
    <w:rsid w:val="000969BF"/>
    <w:rsid w:val="000A0C22"/>
    <w:rsid w:val="000A3C43"/>
    <w:rsid w:val="000A3FDC"/>
    <w:rsid w:val="000A4A51"/>
    <w:rsid w:val="000A5D2B"/>
    <w:rsid w:val="000B2267"/>
    <w:rsid w:val="000B5DE3"/>
    <w:rsid w:val="000C0A57"/>
    <w:rsid w:val="000C230C"/>
    <w:rsid w:val="000C6AB4"/>
    <w:rsid w:val="000D0B94"/>
    <w:rsid w:val="000D0BEA"/>
    <w:rsid w:val="000D5028"/>
    <w:rsid w:val="000D71D9"/>
    <w:rsid w:val="000D76E0"/>
    <w:rsid w:val="000D7E8B"/>
    <w:rsid w:val="000E001C"/>
    <w:rsid w:val="000E4449"/>
    <w:rsid w:val="000E6097"/>
    <w:rsid w:val="000F6500"/>
    <w:rsid w:val="000F6B47"/>
    <w:rsid w:val="0010323E"/>
    <w:rsid w:val="00103829"/>
    <w:rsid w:val="00105C91"/>
    <w:rsid w:val="00111FCE"/>
    <w:rsid w:val="0011653D"/>
    <w:rsid w:val="00117E64"/>
    <w:rsid w:val="001229A5"/>
    <w:rsid w:val="0012489B"/>
    <w:rsid w:val="00130017"/>
    <w:rsid w:val="00130F91"/>
    <w:rsid w:val="0013187F"/>
    <w:rsid w:val="001338F7"/>
    <w:rsid w:val="001340BA"/>
    <w:rsid w:val="001349ED"/>
    <w:rsid w:val="0013611F"/>
    <w:rsid w:val="00137424"/>
    <w:rsid w:val="00140318"/>
    <w:rsid w:val="00140560"/>
    <w:rsid w:val="001415A4"/>
    <w:rsid w:val="00141AD9"/>
    <w:rsid w:val="00146CE6"/>
    <w:rsid w:val="00152903"/>
    <w:rsid w:val="00153FD5"/>
    <w:rsid w:val="00154DC9"/>
    <w:rsid w:val="0015614F"/>
    <w:rsid w:val="001577C2"/>
    <w:rsid w:val="0016319A"/>
    <w:rsid w:val="001633C4"/>
    <w:rsid w:val="001651EA"/>
    <w:rsid w:val="0017007E"/>
    <w:rsid w:val="00171591"/>
    <w:rsid w:val="001738E9"/>
    <w:rsid w:val="00173981"/>
    <w:rsid w:val="0017719D"/>
    <w:rsid w:val="00183D46"/>
    <w:rsid w:val="00183FD7"/>
    <w:rsid w:val="00185CAB"/>
    <w:rsid w:val="001875B7"/>
    <w:rsid w:val="00187943"/>
    <w:rsid w:val="00187CB3"/>
    <w:rsid w:val="00187E75"/>
    <w:rsid w:val="0019033F"/>
    <w:rsid w:val="0019050A"/>
    <w:rsid w:val="001910D4"/>
    <w:rsid w:val="001976E3"/>
    <w:rsid w:val="001A0A97"/>
    <w:rsid w:val="001A44EC"/>
    <w:rsid w:val="001A51AB"/>
    <w:rsid w:val="001A64A4"/>
    <w:rsid w:val="001B0CD5"/>
    <w:rsid w:val="001B3DD6"/>
    <w:rsid w:val="001B58AA"/>
    <w:rsid w:val="001B7453"/>
    <w:rsid w:val="001B7E48"/>
    <w:rsid w:val="001C17CE"/>
    <w:rsid w:val="001C36CA"/>
    <w:rsid w:val="001C44D1"/>
    <w:rsid w:val="001C5819"/>
    <w:rsid w:val="001C6AEE"/>
    <w:rsid w:val="001C7630"/>
    <w:rsid w:val="001D24D1"/>
    <w:rsid w:val="001D5914"/>
    <w:rsid w:val="001D6D15"/>
    <w:rsid w:val="001E1292"/>
    <w:rsid w:val="001F02C3"/>
    <w:rsid w:val="001F357D"/>
    <w:rsid w:val="001F7558"/>
    <w:rsid w:val="00204C42"/>
    <w:rsid w:val="0020597E"/>
    <w:rsid w:val="00205B57"/>
    <w:rsid w:val="002070F2"/>
    <w:rsid w:val="0021277E"/>
    <w:rsid w:val="002134D8"/>
    <w:rsid w:val="00213A24"/>
    <w:rsid w:val="002157E0"/>
    <w:rsid w:val="00216A57"/>
    <w:rsid w:val="00216F0A"/>
    <w:rsid w:val="0021748E"/>
    <w:rsid w:val="00220673"/>
    <w:rsid w:val="0022334F"/>
    <w:rsid w:val="002238A3"/>
    <w:rsid w:val="00226819"/>
    <w:rsid w:val="00226D2F"/>
    <w:rsid w:val="00227D55"/>
    <w:rsid w:val="00231A8D"/>
    <w:rsid w:val="00233101"/>
    <w:rsid w:val="00233817"/>
    <w:rsid w:val="00235537"/>
    <w:rsid w:val="002367FF"/>
    <w:rsid w:val="00240CE9"/>
    <w:rsid w:val="002434BA"/>
    <w:rsid w:val="00243786"/>
    <w:rsid w:val="00246089"/>
    <w:rsid w:val="00246093"/>
    <w:rsid w:val="00246702"/>
    <w:rsid w:val="00246907"/>
    <w:rsid w:val="00247C59"/>
    <w:rsid w:val="00247F2E"/>
    <w:rsid w:val="00250ADC"/>
    <w:rsid w:val="00250B07"/>
    <w:rsid w:val="00256535"/>
    <w:rsid w:val="00257553"/>
    <w:rsid w:val="00260FB2"/>
    <w:rsid w:val="00262128"/>
    <w:rsid w:val="0026406C"/>
    <w:rsid w:val="002649A4"/>
    <w:rsid w:val="0027165D"/>
    <w:rsid w:val="00271A2F"/>
    <w:rsid w:val="00272EC8"/>
    <w:rsid w:val="002739C6"/>
    <w:rsid w:val="00273CEB"/>
    <w:rsid w:val="00281C89"/>
    <w:rsid w:val="00281EB7"/>
    <w:rsid w:val="0028282F"/>
    <w:rsid w:val="00285F9A"/>
    <w:rsid w:val="00286F9F"/>
    <w:rsid w:val="00290843"/>
    <w:rsid w:val="0029593B"/>
    <w:rsid w:val="00296FBC"/>
    <w:rsid w:val="00297FC5"/>
    <w:rsid w:val="002A0417"/>
    <w:rsid w:val="002A16D8"/>
    <w:rsid w:val="002A1BC8"/>
    <w:rsid w:val="002A3EF2"/>
    <w:rsid w:val="002A7EE4"/>
    <w:rsid w:val="002B0DED"/>
    <w:rsid w:val="002B19A2"/>
    <w:rsid w:val="002B1F93"/>
    <w:rsid w:val="002B2022"/>
    <w:rsid w:val="002B2BCE"/>
    <w:rsid w:val="002B381A"/>
    <w:rsid w:val="002B439B"/>
    <w:rsid w:val="002B4FCC"/>
    <w:rsid w:val="002B7408"/>
    <w:rsid w:val="002B7CFD"/>
    <w:rsid w:val="002C1EB2"/>
    <w:rsid w:val="002C210F"/>
    <w:rsid w:val="002C30FA"/>
    <w:rsid w:val="002C40EE"/>
    <w:rsid w:val="002C7B09"/>
    <w:rsid w:val="002D2D02"/>
    <w:rsid w:val="002D34C5"/>
    <w:rsid w:val="002D3600"/>
    <w:rsid w:val="002D53E3"/>
    <w:rsid w:val="002E4DDC"/>
    <w:rsid w:val="002E5ED0"/>
    <w:rsid w:val="002F0BE9"/>
    <w:rsid w:val="002F3651"/>
    <w:rsid w:val="002F574F"/>
    <w:rsid w:val="00301EA8"/>
    <w:rsid w:val="00302480"/>
    <w:rsid w:val="003165E6"/>
    <w:rsid w:val="003221CF"/>
    <w:rsid w:val="003233ED"/>
    <w:rsid w:val="00324D9F"/>
    <w:rsid w:val="00327948"/>
    <w:rsid w:val="0033000F"/>
    <w:rsid w:val="003300AC"/>
    <w:rsid w:val="00331103"/>
    <w:rsid w:val="00332011"/>
    <w:rsid w:val="00332438"/>
    <w:rsid w:val="00332518"/>
    <w:rsid w:val="00332925"/>
    <w:rsid w:val="003332ED"/>
    <w:rsid w:val="003356E9"/>
    <w:rsid w:val="00335FF8"/>
    <w:rsid w:val="003368DC"/>
    <w:rsid w:val="00345927"/>
    <w:rsid w:val="00346B86"/>
    <w:rsid w:val="003503CC"/>
    <w:rsid w:val="00350584"/>
    <w:rsid w:val="00350904"/>
    <w:rsid w:val="003516B6"/>
    <w:rsid w:val="00351857"/>
    <w:rsid w:val="003536BE"/>
    <w:rsid w:val="003545E8"/>
    <w:rsid w:val="003610E1"/>
    <w:rsid w:val="003656ED"/>
    <w:rsid w:val="003671BE"/>
    <w:rsid w:val="0037137B"/>
    <w:rsid w:val="00372485"/>
    <w:rsid w:val="00372BD5"/>
    <w:rsid w:val="00373200"/>
    <w:rsid w:val="00373531"/>
    <w:rsid w:val="00375EF5"/>
    <w:rsid w:val="00376603"/>
    <w:rsid w:val="003767A5"/>
    <w:rsid w:val="003811A1"/>
    <w:rsid w:val="00385254"/>
    <w:rsid w:val="00385644"/>
    <w:rsid w:val="00387CB1"/>
    <w:rsid w:val="00387D5B"/>
    <w:rsid w:val="0039068C"/>
    <w:rsid w:val="00391160"/>
    <w:rsid w:val="003A04DB"/>
    <w:rsid w:val="003A0809"/>
    <w:rsid w:val="003A5141"/>
    <w:rsid w:val="003A5F5B"/>
    <w:rsid w:val="003A789A"/>
    <w:rsid w:val="003B12EC"/>
    <w:rsid w:val="003B1809"/>
    <w:rsid w:val="003C14AE"/>
    <w:rsid w:val="003C1601"/>
    <w:rsid w:val="003C2567"/>
    <w:rsid w:val="003C77E0"/>
    <w:rsid w:val="003D17D7"/>
    <w:rsid w:val="003D2678"/>
    <w:rsid w:val="003D71A3"/>
    <w:rsid w:val="003E0941"/>
    <w:rsid w:val="003E2B8A"/>
    <w:rsid w:val="003E7303"/>
    <w:rsid w:val="003F10EE"/>
    <w:rsid w:val="003F16F6"/>
    <w:rsid w:val="003F4DC7"/>
    <w:rsid w:val="003F5235"/>
    <w:rsid w:val="00400A4F"/>
    <w:rsid w:val="004027E4"/>
    <w:rsid w:val="00402C3F"/>
    <w:rsid w:val="004042D5"/>
    <w:rsid w:val="0040481C"/>
    <w:rsid w:val="0041071D"/>
    <w:rsid w:val="00414AFC"/>
    <w:rsid w:val="004151A7"/>
    <w:rsid w:val="00415310"/>
    <w:rsid w:val="00420137"/>
    <w:rsid w:val="0042068B"/>
    <w:rsid w:val="00421703"/>
    <w:rsid w:val="00421709"/>
    <w:rsid w:val="00423763"/>
    <w:rsid w:val="0042762F"/>
    <w:rsid w:val="00427DC7"/>
    <w:rsid w:val="00431613"/>
    <w:rsid w:val="00431792"/>
    <w:rsid w:val="0043297A"/>
    <w:rsid w:val="00432EB2"/>
    <w:rsid w:val="00434E65"/>
    <w:rsid w:val="00434FAF"/>
    <w:rsid w:val="0043714F"/>
    <w:rsid w:val="004371BB"/>
    <w:rsid w:val="004406F7"/>
    <w:rsid w:val="004438B5"/>
    <w:rsid w:val="00447037"/>
    <w:rsid w:val="0045124D"/>
    <w:rsid w:val="00454596"/>
    <w:rsid w:val="00454A64"/>
    <w:rsid w:val="004555A9"/>
    <w:rsid w:val="0045605D"/>
    <w:rsid w:val="0046135B"/>
    <w:rsid w:val="00461D47"/>
    <w:rsid w:val="004718CC"/>
    <w:rsid w:val="00480420"/>
    <w:rsid w:val="00481695"/>
    <w:rsid w:val="004875B3"/>
    <w:rsid w:val="0049235A"/>
    <w:rsid w:val="00495A96"/>
    <w:rsid w:val="00495BB3"/>
    <w:rsid w:val="00495CA1"/>
    <w:rsid w:val="004A3406"/>
    <w:rsid w:val="004A4800"/>
    <w:rsid w:val="004A56BB"/>
    <w:rsid w:val="004B1751"/>
    <w:rsid w:val="004C0253"/>
    <w:rsid w:val="004D049B"/>
    <w:rsid w:val="004D3284"/>
    <w:rsid w:val="004D56FF"/>
    <w:rsid w:val="004E39D3"/>
    <w:rsid w:val="004E508A"/>
    <w:rsid w:val="004E616D"/>
    <w:rsid w:val="004F1BDE"/>
    <w:rsid w:val="004F2CEE"/>
    <w:rsid w:val="004F556E"/>
    <w:rsid w:val="004F6ED1"/>
    <w:rsid w:val="004F7F44"/>
    <w:rsid w:val="00501330"/>
    <w:rsid w:val="005037B4"/>
    <w:rsid w:val="005071DC"/>
    <w:rsid w:val="005079BF"/>
    <w:rsid w:val="0051256A"/>
    <w:rsid w:val="0051269A"/>
    <w:rsid w:val="00513FE3"/>
    <w:rsid w:val="00514310"/>
    <w:rsid w:val="00516B56"/>
    <w:rsid w:val="00517997"/>
    <w:rsid w:val="005219E7"/>
    <w:rsid w:val="005223F2"/>
    <w:rsid w:val="00531B9A"/>
    <w:rsid w:val="00531D15"/>
    <w:rsid w:val="00535F21"/>
    <w:rsid w:val="00536028"/>
    <w:rsid w:val="00537604"/>
    <w:rsid w:val="00542377"/>
    <w:rsid w:val="005453CF"/>
    <w:rsid w:val="005476EB"/>
    <w:rsid w:val="00551782"/>
    <w:rsid w:val="0055738F"/>
    <w:rsid w:val="00563EF1"/>
    <w:rsid w:val="00566AB4"/>
    <w:rsid w:val="00571019"/>
    <w:rsid w:val="005732ED"/>
    <w:rsid w:val="00574AE9"/>
    <w:rsid w:val="00575AC5"/>
    <w:rsid w:val="0057605D"/>
    <w:rsid w:val="005809BA"/>
    <w:rsid w:val="00581347"/>
    <w:rsid w:val="00581AC9"/>
    <w:rsid w:val="00583943"/>
    <w:rsid w:val="005849F8"/>
    <w:rsid w:val="005850EA"/>
    <w:rsid w:val="00586577"/>
    <w:rsid w:val="005938DF"/>
    <w:rsid w:val="00594E9C"/>
    <w:rsid w:val="00597974"/>
    <w:rsid w:val="005A099B"/>
    <w:rsid w:val="005A2D9C"/>
    <w:rsid w:val="005A3D4C"/>
    <w:rsid w:val="005A55FE"/>
    <w:rsid w:val="005A6A11"/>
    <w:rsid w:val="005B39B9"/>
    <w:rsid w:val="005B4F6D"/>
    <w:rsid w:val="005B70B0"/>
    <w:rsid w:val="005C1F11"/>
    <w:rsid w:val="005C786E"/>
    <w:rsid w:val="005D2502"/>
    <w:rsid w:val="005D40BB"/>
    <w:rsid w:val="005D47F3"/>
    <w:rsid w:val="005D49BF"/>
    <w:rsid w:val="005D6F4E"/>
    <w:rsid w:val="005D753F"/>
    <w:rsid w:val="005D7C73"/>
    <w:rsid w:val="005E36AE"/>
    <w:rsid w:val="005E3ACD"/>
    <w:rsid w:val="005E7226"/>
    <w:rsid w:val="005E74D7"/>
    <w:rsid w:val="005E7A57"/>
    <w:rsid w:val="005F0B73"/>
    <w:rsid w:val="005F2259"/>
    <w:rsid w:val="005F24B0"/>
    <w:rsid w:val="00601681"/>
    <w:rsid w:val="00601C83"/>
    <w:rsid w:val="00604315"/>
    <w:rsid w:val="00604E26"/>
    <w:rsid w:val="006052CF"/>
    <w:rsid w:val="00606C13"/>
    <w:rsid w:val="00607801"/>
    <w:rsid w:val="00607B8D"/>
    <w:rsid w:val="00611F5C"/>
    <w:rsid w:val="006147D2"/>
    <w:rsid w:val="00614A98"/>
    <w:rsid w:val="006162E0"/>
    <w:rsid w:val="00616E09"/>
    <w:rsid w:val="00622A3B"/>
    <w:rsid w:val="00622EEA"/>
    <w:rsid w:val="0062396C"/>
    <w:rsid w:val="00623FF9"/>
    <w:rsid w:val="00625AD3"/>
    <w:rsid w:val="00627D4E"/>
    <w:rsid w:val="00634478"/>
    <w:rsid w:val="00637315"/>
    <w:rsid w:val="00644373"/>
    <w:rsid w:val="00645628"/>
    <w:rsid w:val="00645915"/>
    <w:rsid w:val="006459A7"/>
    <w:rsid w:val="00646E21"/>
    <w:rsid w:val="006519C3"/>
    <w:rsid w:val="00652B30"/>
    <w:rsid w:val="00656316"/>
    <w:rsid w:val="00656345"/>
    <w:rsid w:val="00656B7F"/>
    <w:rsid w:val="00656DC6"/>
    <w:rsid w:val="00660B3F"/>
    <w:rsid w:val="00660EC6"/>
    <w:rsid w:val="00661785"/>
    <w:rsid w:val="00662453"/>
    <w:rsid w:val="00663F8A"/>
    <w:rsid w:val="00664110"/>
    <w:rsid w:val="00664D17"/>
    <w:rsid w:val="00666520"/>
    <w:rsid w:val="006673D2"/>
    <w:rsid w:val="00667C5B"/>
    <w:rsid w:val="0067185C"/>
    <w:rsid w:val="00685C70"/>
    <w:rsid w:val="006868FB"/>
    <w:rsid w:val="00692CDE"/>
    <w:rsid w:val="00693073"/>
    <w:rsid w:val="006977FF"/>
    <w:rsid w:val="006A01FA"/>
    <w:rsid w:val="006A0E9E"/>
    <w:rsid w:val="006A25C7"/>
    <w:rsid w:val="006A2A52"/>
    <w:rsid w:val="006A4AAD"/>
    <w:rsid w:val="006A6DA2"/>
    <w:rsid w:val="006A743F"/>
    <w:rsid w:val="006A7AB2"/>
    <w:rsid w:val="006B0692"/>
    <w:rsid w:val="006B34F1"/>
    <w:rsid w:val="006B4B27"/>
    <w:rsid w:val="006B5717"/>
    <w:rsid w:val="006B582F"/>
    <w:rsid w:val="006B5A33"/>
    <w:rsid w:val="006B64EE"/>
    <w:rsid w:val="006B73E0"/>
    <w:rsid w:val="006C0CEB"/>
    <w:rsid w:val="006C3B1E"/>
    <w:rsid w:val="006C3BEE"/>
    <w:rsid w:val="006C47FD"/>
    <w:rsid w:val="006C5C19"/>
    <w:rsid w:val="006C6570"/>
    <w:rsid w:val="006C70A0"/>
    <w:rsid w:val="006C7F59"/>
    <w:rsid w:val="006D27CB"/>
    <w:rsid w:val="006D2EC8"/>
    <w:rsid w:val="006D2F08"/>
    <w:rsid w:val="006D4BC3"/>
    <w:rsid w:val="006D576C"/>
    <w:rsid w:val="006D5865"/>
    <w:rsid w:val="006D602F"/>
    <w:rsid w:val="006D6990"/>
    <w:rsid w:val="006D73B8"/>
    <w:rsid w:val="006E2209"/>
    <w:rsid w:val="006E4B1B"/>
    <w:rsid w:val="006E5445"/>
    <w:rsid w:val="006E5BB5"/>
    <w:rsid w:val="006E6E51"/>
    <w:rsid w:val="006E7D93"/>
    <w:rsid w:val="006F2978"/>
    <w:rsid w:val="007029A3"/>
    <w:rsid w:val="00705893"/>
    <w:rsid w:val="00706E4E"/>
    <w:rsid w:val="0070791C"/>
    <w:rsid w:val="00707AAE"/>
    <w:rsid w:val="0071383C"/>
    <w:rsid w:val="00713F39"/>
    <w:rsid w:val="007141A7"/>
    <w:rsid w:val="00715722"/>
    <w:rsid w:val="00715DDE"/>
    <w:rsid w:val="00721032"/>
    <w:rsid w:val="00721B55"/>
    <w:rsid w:val="00726CE4"/>
    <w:rsid w:val="0073302B"/>
    <w:rsid w:val="0073320F"/>
    <w:rsid w:val="00734143"/>
    <w:rsid w:val="00737296"/>
    <w:rsid w:val="007373CE"/>
    <w:rsid w:val="00737E47"/>
    <w:rsid w:val="00740EAC"/>
    <w:rsid w:val="00744956"/>
    <w:rsid w:val="00745A5C"/>
    <w:rsid w:val="0074605F"/>
    <w:rsid w:val="00747E94"/>
    <w:rsid w:val="0075047F"/>
    <w:rsid w:val="00754C83"/>
    <w:rsid w:val="00764037"/>
    <w:rsid w:val="00765DF8"/>
    <w:rsid w:val="00766749"/>
    <w:rsid w:val="00767C1B"/>
    <w:rsid w:val="007714A9"/>
    <w:rsid w:val="00774F88"/>
    <w:rsid w:val="00774FBF"/>
    <w:rsid w:val="00774FDB"/>
    <w:rsid w:val="00777BA2"/>
    <w:rsid w:val="00781408"/>
    <w:rsid w:val="00783957"/>
    <w:rsid w:val="00784F7F"/>
    <w:rsid w:val="007878BD"/>
    <w:rsid w:val="00794CB2"/>
    <w:rsid w:val="00796F25"/>
    <w:rsid w:val="00797874"/>
    <w:rsid w:val="007A0439"/>
    <w:rsid w:val="007A2E98"/>
    <w:rsid w:val="007A3BA3"/>
    <w:rsid w:val="007A5D28"/>
    <w:rsid w:val="007A5E87"/>
    <w:rsid w:val="007A6CC0"/>
    <w:rsid w:val="007A783B"/>
    <w:rsid w:val="007A7FEC"/>
    <w:rsid w:val="007B04D8"/>
    <w:rsid w:val="007B1499"/>
    <w:rsid w:val="007B1BBF"/>
    <w:rsid w:val="007B2960"/>
    <w:rsid w:val="007B355D"/>
    <w:rsid w:val="007B37B2"/>
    <w:rsid w:val="007B48D6"/>
    <w:rsid w:val="007B6C9C"/>
    <w:rsid w:val="007B6CD2"/>
    <w:rsid w:val="007B7980"/>
    <w:rsid w:val="007C0DEF"/>
    <w:rsid w:val="007C2A0F"/>
    <w:rsid w:val="007C53BB"/>
    <w:rsid w:val="007C5AC0"/>
    <w:rsid w:val="007C5D5A"/>
    <w:rsid w:val="007C607F"/>
    <w:rsid w:val="007C7520"/>
    <w:rsid w:val="007C79DD"/>
    <w:rsid w:val="007D0FE0"/>
    <w:rsid w:val="007D1A97"/>
    <w:rsid w:val="007D2CD6"/>
    <w:rsid w:val="007D3063"/>
    <w:rsid w:val="007D31F6"/>
    <w:rsid w:val="007D3CEB"/>
    <w:rsid w:val="007E0FE0"/>
    <w:rsid w:val="007E7683"/>
    <w:rsid w:val="007F198E"/>
    <w:rsid w:val="007F40F1"/>
    <w:rsid w:val="007F49FA"/>
    <w:rsid w:val="007F54C4"/>
    <w:rsid w:val="007F6E9A"/>
    <w:rsid w:val="0080039F"/>
    <w:rsid w:val="008044D4"/>
    <w:rsid w:val="00810AB4"/>
    <w:rsid w:val="00817B56"/>
    <w:rsid w:val="00821A88"/>
    <w:rsid w:val="0082495D"/>
    <w:rsid w:val="00831AC3"/>
    <w:rsid w:val="00831ED9"/>
    <w:rsid w:val="00832533"/>
    <w:rsid w:val="008333E3"/>
    <w:rsid w:val="00836521"/>
    <w:rsid w:val="008371B0"/>
    <w:rsid w:val="00837974"/>
    <w:rsid w:val="008408FF"/>
    <w:rsid w:val="00842E1C"/>
    <w:rsid w:val="00851F3F"/>
    <w:rsid w:val="008542E4"/>
    <w:rsid w:val="00856EDC"/>
    <w:rsid w:val="008623B5"/>
    <w:rsid w:val="00866CB0"/>
    <w:rsid w:val="00870ABA"/>
    <w:rsid w:val="008710E1"/>
    <w:rsid w:val="008716E5"/>
    <w:rsid w:val="00875587"/>
    <w:rsid w:val="00881CA9"/>
    <w:rsid w:val="0088246F"/>
    <w:rsid w:val="00883628"/>
    <w:rsid w:val="00885544"/>
    <w:rsid w:val="0088634E"/>
    <w:rsid w:val="00891720"/>
    <w:rsid w:val="00891E61"/>
    <w:rsid w:val="00893AB8"/>
    <w:rsid w:val="00894A19"/>
    <w:rsid w:val="00894FA3"/>
    <w:rsid w:val="0089569A"/>
    <w:rsid w:val="008A03C3"/>
    <w:rsid w:val="008A04C8"/>
    <w:rsid w:val="008A2840"/>
    <w:rsid w:val="008A4D7B"/>
    <w:rsid w:val="008A64E3"/>
    <w:rsid w:val="008A6913"/>
    <w:rsid w:val="008A71EA"/>
    <w:rsid w:val="008B38D5"/>
    <w:rsid w:val="008B6F1D"/>
    <w:rsid w:val="008B70F3"/>
    <w:rsid w:val="008B76DF"/>
    <w:rsid w:val="008C10F4"/>
    <w:rsid w:val="008C2D4C"/>
    <w:rsid w:val="008C65F7"/>
    <w:rsid w:val="008D159B"/>
    <w:rsid w:val="008E2A4A"/>
    <w:rsid w:val="008E4767"/>
    <w:rsid w:val="008E7A8C"/>
    <w:rsid w:val="008E7D6B"/>
    <w:rsid w:val="008F4B78"/>
    <w:rsid w:val="008F79A8"/>
    <w:rsid w:val="0090118B"/>
    <w:rsid w:val="0090244D"/>
    <w:rsid w:val="00903285"/>
    <w:rsid w:val="0090461F"/>
    <w:rsid w:val="00904C45"/>
    <w:rsid w:val="00906F40"/>
    <w:rsid w:val="0090731E"/>
    <w:rsid w:val="00910077"/>
    <w:rsid w:val="00912B74"/>
    <w:rsid w:val="00915B1C"/>
    <w:rsid w:val="009174F3"/>
    <w:rsid w:val="0091797D"/>
    <w:rsid w:val="00923CBA"/>
    <w:rsid w:val="00926703"/>
    <w:rsid w:val="00927691"/>
    <w:rsid w:val="00927A5F"/>
    <w:rsid w:val="00935B63"/>
    <w:rsid w:val="00937A63"/>
    <w:rsid w:val="0094078F"/>
    <w:rsid w:val="00940FA3"/>
    <w:rsid w:val="00941FB0"/>
    <w:rsid w:val="009426D4"/>
    <w:rsid w:val="00947F25"/>
    <w:rsid w:val="00950159"/>
    <w:rsid w:val="00950BB4"/>
    <w:rsid w:val="00953F83"/>
    <w:rsid w:val="0095490B"/>
    <w:rsid w:val="00954FCF"/>
    <w:rsid w:val="00960A33"/>
    <w:rsid w:val="0096358E"/>
    <w:rsid w:val="009673FE"/>
    <w:rsid w:val="00971914"/>
    <w:rsid w:val="00971F61"/>
    <w:rsid w:val="00974363"/>
    <w:rsid w:val="00981898"/>
    <w:rsid w:val="00995120"/>
    <w:rsid w:val="0099577C"/>
    <w:rsid w:val="00995F10"/>
    <w:rsid w:val="009A1087"/>
    <w:rsid w:val="009B2601"/>
    <w:rsid w:val="009B459D"/>
    <w:rsid w:val="009B4E9E"/>
    <w:rsid w:val="009B5233"/>
    <w:rsid w:val="009B6BEE"/>
    <w:rsid w:val="009C0B1A"/>
    <w:rsid w:val="009C0F3B"/>
    <w:rsid w:val="009C1690"/>
    <w:rsid w:val="009C4EDF"/>
    <w:rsid w:val="009C6881"/>
    <w:rsid w:val="009C7759"/>
    <w:rsid w:val="009D043D"/>
    <w:rsid w:val="009D07C8"/>
    <w:rsid w:val="009D6C71"/>
    <w:rsid w:val="009D759D"/>
    <w:rsid w:val="009D76E7"/>
    <w:rsid w:val="009E0631"/>
    <w:rsid w:val="009E16D0"/>
    <w:rsid w:val="009E38FD"/>
    <w:rsid w:val="009E39BB"/>
    <w:rsid w:val="009F13D6"/>
    <w:rsid w:val="009F1BE3"/>
    <w:rsid w:val="009F47B8"/>
    <w:rsid w:val="009F4C6B"/>
    <w:rsid w:val="009F78A8"/>
    <w:rsid w:val="00A02AD6"/>
    <w:rsid w:val="00A07096"/>
    <w:rsid w:val="00A07318"/>
    <w:rsid w:val="00A11370"/>
    <w:rsid w:val="00A15235"/>
    <w:rsid w:val="00A177A4"/>
    <w:rsid w:val="00A224CE"/>
    <w:rsid w:val="00A22522"/>
    <w:rsid w:val="00A23E45"/>
    <w:rsid w:val="00A24AFD"/>
    <w:rsid w:val="00A24F5C"/>
    <w:rsid w:val="00A26344"/>
    <w:rsid w:val="00A26F64"/>
    <w:rsid w:val="00A31020"/>
    <w:rsid w:val="00A31DA3"/>
    <w:rsid w:val="00A32F96"/>
    <w:rsid w:val="00A33D44"/>
    <w:rsid w:val="00A37D64"/>
    <w:rsid w:val="00A40871"/>
    <w:rsid w:val="00A412AB"/>
    <w:rsid w:val="00A41907"/>
    <w:rsid w:val="00A4193E"/>
    <w:rsid w:val="00A440E0"/>
    <w:rsid w:val="00A442EF"/>
    <w:rsid w:val="00A51D1A"/>
    <w:rsid w:val="00A5385F"/>
    <w:rsid w:val="00A53CD9"/>
    <w:rsid w:val="00A5418D"/>
    <w:rsid w:val="00A5474E"/>
    <w:rsid w:val="00A5499B"/>
    <w:rsid w:val="00A558D7"/>
    <w:rsid w:val="00A600EC"/>
    <w:rsid w:val="00A601BF"/>
    <w:rsid w:val="00A60941"/>
    <w:rsid w:val="00A64417"/>
    <w:rsid w:val="00A645D7"/>
    <w:rsid w:val="00A657BA"/>
    <w:rsid w:val="00A70ADF"/>
    <w:rsid w:val="00A71466"/>
    <w:rsid w:val="00A74B5E"/>
    <w:rsid w:val="00A76CDF"/>
    <w:rsid w:val="00A80E65"/>
    <w:rsid w:val="00A81BED"/>
    <w:rsid w:val="00A81EC4"/>
    <w:rsid w:val="00A81F50"/>
    <w:rsid w:val="00A92519"/>
    <w:rsid w:val="00A92BCD"/>
    <w:rsid w:val="00A94FE6"/>
    <w:rsid w:val="00A967FD"/>
    <w:rsid w:val="00A96CA8"/>
    <w:rsid w:val="00A97794"/>
    <w:rsid w:val="00AA2465"/>
    <w:rsid w:val="00AA6EC5"/>
    <w:rsid w:val="00AB156C"/>
    <w:rsid w:val="00AB2C8D"/>
    <w:rsid w:val="00AB6814"/>
    <w:rsid w:val="00AB76C9"/>
    <w:rsid w:val="00AC01E1"/>
    <w:rsid w:val="00AC04BA"/>
    <w:rsid w:val="00AC0E39"/>
    <w:rsid w:val="00AC1DBA"/>
    <w:rsid w:val="00AD2F70"/>
    <w:rsid w:val="00AD3082"/>
    <w:rsid w:val="00AD4AD0"/>
    <w:rsid w:val="00AD5436"/>
    <w:rsid w:val="00AD5F1E"/>
    <w:rsid w:val="00AD60CD"/>
    <w:rsid w:val="00AD6C8C"/>
    <w:rsid w:val="00AE091D"/>
    <w:rsid w:val="00AE3B60"/>
    <w:rsid w:val="00AE5077"/>
    <w:rsid w:val="00AE53A1"/>
    <w:rsid w:val="00AE6696"/>
    <w:rsid w:val="00AF2484"/>
    <w:rsid w:val="00AF57EE"/>
    <w:rsid w:val="00AF63E7"/>
    <w:rsid w:val="00AF6E17"/>
    <w:rsid w:val="00AF7C57"/>
    <w:rsid w:val="00B00E8B"/>
    <w:rsid w:val="00B0165D"/>
    <w:rsid w:val="00B01B60"/>
    <w:rsid w:val="00B031F3"/>
    <w:rsid w:val="00B037EB"/>
    <w:rsid w:val="00B04A97"/>
    <w:rsid w:val="00B052A4"/>
    <w:rsid w:val="00B057D1"/>
    <w:rsid w:val="00B05D09"/>
    <w:rsid w:val="00B06E54"/>
    <w:rsid w:val="00B125DE"/>
    <w:rsid w:val="00B12AF3"/>
    <w:rsid w:val="00B13840"/>
    <w:rsid w:val="00B13FDD"/>
    <w:rsid w:val="00B2161F"/>
    <w:rsid w:val="00B22EB2"/>
    <w:rsid w:val="00B2350F"/>
    <w:rsid w:val="00B23AEC"/>
    <w:rsid w:val="00B25620"/>
    <w:rsid w:val="00B27442"/>
    <w:rsid w:val="00B31167"/>
    <w:rsid w:val="00B313B8"/>
    <w:rsid w:val="00B329D8"/>
    <w:rsid w:val="00B32B11"/>
    <w:rsid w:val="00B32BB9"/>
    <w:rsid w:val="00B3375D"/>
    <w:rsid w:val="00B33AE1"/>
    <w:rsid w:val="00B37C38"/>
    <w:rsid w:val="00B4288C"/>
    <w:rsid w:val="00B43262"/>
    <w:rsid w:val="00B44100"/>
    <w:rsid w:val="00B468D1"/>
    <w:rsid w:val="00B46CBA"/>
    <w:rsid w:val="00B46F94"/>
    <w:rsid w:val="00B5069B"/>
    <w:rsid w:val="00B51AEE"/>
    <w:rsid w:val="00B52AB1"/>
    <w:rsid w:val="00B54469"/>
    <w:rsid w:val="00B6003C"/>
    <w:rsid w:val="00B61F03"/>
    <w:rsid w:val="00B621EC"/>
    <w:rsid w:val="00B626E4"/>
    <w:rsid w:val="00B669B2"/>
    <w:rsid w:val="00B72F4A"/>
    <w:rsid w:val="00B80B1C"/>
    <w:rsid w:val="00B81F7C"/>
    <w:rsid w:val="00B83C27"/>
    <w:rsid w:val="00B84BC3"/>
    <w:rsid w:val="00B84BDD"/>
    <w:rsid w:val="00B84CE2"/>
    <w:rsid w:val="00B91BCE"/>
    <w:rsid w:val="00B92812"/>
    <w:rsid w:val="00B959AA"/>
    <w:rsid w:val="00BB0F9B"/>
    <w:rsid w:val="00BB45A1"/>
    <w:rsid w:val="00BB7686"/>
    <w:rsid w:val="00BC23F9"/>
    <w:rsid w:val="00BC3421"/>
    <w:rsid w:val="00BC4C8F"/>
    <w:rsid w:val="00BC732C"/>
    <w:rsid w:val="00BD271A"/>
    <w:rsid w:val="00BE2580"/>
    <w:rsid w:val="00BE266D"/>
    <w:rsid w:val="00BE3938"/>
    <w:rsid w:val="00BE4C11"/>
    <w:rsid w:val="00BE71C0"/>
    <w:rsid w:val="00BF610C"/>
    <w:rsid w:val="00C0060B"/>
    <w:rsid w:val="00C0277D"/>
    <w:rsid w:val="00C053A1"/>
    <w:rsid w:val="00C05B6A"/>
    <w:rsid w:val="00C063D7"/>
    <w:rsid w:val="00C1100C"/>
    <w:rsid w:val="00C16198"/>
    <w:rsid w:val="00C161D6"/>
    <w:rsid w:val="00C16426"/>
    <w:rsid w:val="00C2083D"/>
    <w:rsid w:val="00C236A4"/>
    <w:rsid w:val="00C24A53"/>
    <w:rsid w:val="00C34A05"/>
    <w:rsid w:val="00C3501F"/>
    <w:rsid w:val="00C37574"/>
    <w:rsid w:val="00C4032F"/>
    <w:rsid w:val="00C44047"/>
    <w:rsid w:val="00C45155"/>
    <w:rsid w:val="00C47408"/>
    <w:rsid w:val="00C5342B"/>
    <w:rsid w:val="00C5498F"/>
    <w:rsid w:val="00C55235"/>
    <w:rsid w:val="00C57F22"/>
    <w:rsid w:val="00C6402D"/>
    <w:rsid w:val="00C64CD0"/>
    <w:rsid w:val="00C64DF5"/>
    <w:rsid w:val="00C6507D"/>
    <w:rsid w:val="00C6684F"/>
    <w:rsid w:val="00C70532"/>
    <w:rsid w:val="00C70E70"/>
    <w:rsid w:val="00C75C56"/>
    <w:rsid w:val="00C75F8D"/>
    <w:rsid w:val="00C77380"/>
    <w:rsid w:val="00C922B9"/>
    <w:rsid w:val="00C97736"/>
    <w:rsid w:val="00C97A71"/>
    <w:rsid w:val="00CA0618"/>
    <w:rsid w:val="00CA19C5"/>
    <w:rsid w:val="00CA1C7D"/>
    <w:rsid w:val="00CA2436"/>
    <w:rsid w:val="00CA249E"/>
    <w:rsid w:val="00CA345A"/>
    <w:rsid w:val="00CA412D"/>
    <w:rsid w:val="00CB1E82"/>
    <w:rsid w:val="00CB4BA8"/>
    <w:rsid w:val="00CB52D7"/>
    <w:rsid w:val="00CB778E"/>
    <w:rsid w:val="00CB7F47"/>
    <w:rsid w:val="00CC3A83"/>
    <w:rsid w:val="00CC6732"/>
    <w:rsid w:val="00CD13CE"/>
    <w:rsid w:val="00CD1E21"/>
    <w:rsid w:val="00CD4314"/>
    <w:rsid w:val="00CE3C96"/>
    <w:rsid w:val="00CE51A8"/>
    <w:rsid w:val="00CF3513"/>
    <w:rsid w:val="00CF369B"/>
    <w:rsid w:val="00CF5D7E"/>
    <w:rsid w:val="00D00E28"/>
    <w:rsid w:val="00D0269E"/>
    <w:rsid w:val="00D06A78"/>
    <w:rsid w:val="00D109A8"/>
    <w:rsid w:val="00D15810"/>
    <w:rsid w:val="00D167D9"/>
    <w:rsid w:val="00D16D4E"/>
    <w:rsid w:val="00D16FE3"/>
    <w:rsid w:val="00D25A2C"/>
    <w:rsid w:val="00D27F41"/>
    <w:rsid w:val="00D31E9B"/>
    <w:rsid w:val="00D359D6"/>
    <w:rsid w:val="00D36441"/>
    <w:rsid w:val="00D4064E"/>
    <w:rsid w:val="00D42F4F"/>
    <w:rsid w:val="00D44E9B"/>
    <w:rsid w:val="00D47AEB"/>
    <w:rsid w:val="00D50B6B"/>
    <w:rsid w:val="00D50DB9"/>
    <w:rsid w:val="00D51302"/>
    <w:rsid w:val="00D52C43"/>
    <w:rsid w:val="00D53F2C"/>
    <w:rsid w:val="00D62E43"/>
    <w:rsid w:val="00D6351E"/>
    <w:rsid w:val="00D6507F"/>
    <w:rsid w:val="00D672D0"/>
    <w:rsid w:val="00D730BC"/>
    <w:rsid w:val="00D73912"/>
    <w:rsid w:val="00D7482E"/>
    <w:rsid w:val="00D82479"/>
    <w:rsid w:val="00D85226"/>
    <w:rsid w:val="00D87B94"/>
    <w:rsid w:val="00D90804"/>
    <w:rsid w:val="00D92D49"/>
    <w:rsid w:val="00D92EC1"/>
    <w:rsid w:val="00D92ECC"/>
    <w:rsid w:val="00D9581F"/>
    <w:rsid w:val="00D95CE9"/>
    <w:rsid w:val="00D96DEA"/>
    <w:rsid w:val="00DA4E41"/>
    <w:rsid w:val="00DB117A"/>
    <w:rsid w:val="00DB3EB4"/>
    <w:rsid w:val="00DB4C51"/>
    <w:rsid w:val="00DB5173"/>
    <w:rsid w:val="00DB7873"/>
    <w:rsid w:val="00DC187B"/>
    <w:rsid w:val="00DD07CD"/>
    <w:rsid w:val="00DD0C2E"/>
    <w:rsid w:val="00DD6B91"/>
    <w:rsid w:val="00DD73C2"/>
    <w:rsid w:val="00DE319B"/>
    <w:rsid w:val="00DE520C"/>
    <w:rsid w:val="00DF34FE"/>
    <w:rsid w:val="00DF5428"/>
    <w:rsid w:val="00DF56AA"/>
    <w:rsid w:val="00DF56AF"/>
    <w:rsid w:val="00DF78E7"/>
    <w:rsid w:val="00DF7BC0"/>
    <w:rsid w:val="00E00075"/>
    <w:rsid w:val="00E03F02"/>
    <w:rsid w:val="00E05053"/>
    <w:rsid w:val="00E05807"/>
    <w:rsid w:val="00E06281"/>
    <w:rsid w:val="00E110E0"/>
    <w:rsid w:val="00E12D38"/>
    <w:rsid w:val="00E15371"/>
    <w:rsid w:val="00E15661"/>
    <w:rsid w:val="00E24104"/>
    <w:rsid w:val="00E244E8"/>
    <w:rsid w:val="00E302D0"/>
    <w:rsid w:val="00E348D5"/>
    <w:rsid w:val="00E35707"/>
    <w:rsid w:val="00E36AA1"/>
    <w:rsid w:val="00E41ECB"/>
    <w:rsid w:val="00E42FCF"/>
    <w:rsid w:val="00E44921"/>
    <w:rsid w:val="00E54FDB"/>
    <w:rsid w:val="00E55F83"/>
    <w:rsid w:val="00E5617D"/>
    <w:rsid w:val="00E563D7"/>
    <w:rsid w:val="00E63180"/>
    <w:rsid w:val="00E663F4"/>
    <w:rsid w:val="00E666F2"/>
    <w:rsid w:val="00E66DD4"/>
    <w:rsid w:val="00E677A1"/>
    <w:rsid w:val="00E73E75"/>
    <w:rsid w:val="00E748CC"/>
    <w:rsid w:val="00E75415"/>
    <w:rsid w:val="00E775B1"/>
    <w:rsid w:val="00E778E8"/>
    <w:rsid w:val="00E809B0"/>
    <w:rsid w:val="00E8152A"/>
    <w:rsid w:val="00E85252"/>
    <w:rsid w:val="00E87DB9"/>
    <w:rsid w:val="00E93629"/>
    <w:rsid w:val="00E93956"/>
    <w:rsid w:val="00E93B5C"/>
    <w:rsid w:val="00E94CEC"/>
    <w:rsid w:val="00E96063"/>
    <w:rsid w:val="00EA0467"/>
    <w:rsid w:val="00EA04EF"/>
    <w:rsid w:val="00EA1EB4"/>
    <w:rsid w:val="00EA43A0"/>
    <w:rsid w:val="00EA4994"/>
    <w:rsid w:val="00EA4AA5"/>
    <w:rsid w:val="00EA6DE3"/>
    <w:rsid w:val="00EA6F19"/>
    <w:rsid w:val="00EB7090"/>
    <w:rsid w:val="00EC1AF7"/>
    <w:rsid w:val="00EC1BBE"/>
    <w:rsid w:val="00EC5CD7"/>
    <w:rsid w:val="00ED2BDB"/>
    <w:rsid w:val="00EE4FDF"/>
    <w:rsid w:val="00EE5FB3"/>
    <w:rsid w:val="00EE7F79"/>
    <w:rsid w:val="00EF45D5"/>
    <w:rsid w:val="00EF715A"/>
    <w:rsid w:val="00F06E14"/>
    <w:rsid w:val="00F15150"/>
    <w:rsid w:val="00F179D4"/>
    <w:rsid w:val="00F230E1"/>
    <w:rsid w:val="00F33C56"/>
    <w:rsid w:val="00F347C7"/>
    <w:rsid w:val="00F34848"/>
    <w:rsid w:val="00F371EE"/>
    <w:rsid w:val="00F376B3"/>
    <w:rsid w:val="00F379DB"/>
    <w:rsid w:val="00F42D46"/>
    <w:rsid w:val="00F4496C"/>
    <w:rsid w:val="00F44F3A"/>
    <w:rsid w:val="00F4576E"/>
    <w:rsid w:val="00F51AF6"/>
    <w:rsid w:val="00F51F10"/>
    <w:rsid w:val="00F529A5"/>
    <w:rsid w:val="00F60F00"/>
    <w:rsid w:val="00F614C0"/>
    <w:rsid w:val="00F633CE"/>
    <w:rsid w:val="00F65314"/>
    <w:rsid w:val="00F67B29"/>
    <w:rsid w:val="00F72F53"/>
    <w:rsid w:val="00F75462"/>
    <w:rsid w:val="00F7644C"/>
    <w:rsid w:val="00F825DF"/>
    <w:rsid w:val="00F83848"/>
    <w:rsid w:val="00F87862"/>
    <w:rsid w:val="00F91C84"/>
    <w:rsid w:val="00F975E9"/>
    <w:rsid w:val="00FA1B7D"/>
    <w:rsid w:val="00FA45AE"/>
    <w:rsid w:val="00FA52D6"/>
    <w:rsid w:val="00FA54A1"/>
    <w:rsid w:val="00FA7015"/>
    <w:rsid w:val="00FA7210"/>
    <w:rsid w:val="00FB171D"/>
    <w:rsid w:val="00FB1C8C"/>
    <w:rsid w:val="00FB1FD6"/>
    <w:rsid w:val="00FB797F"/>
    <w:rsid w:val="00FC07B9"/>
    <w:rsid w:val="00FC17CE"/>
    <w:rsid w:val="00FC4E21"/>
    <w:rsid w:val="00FC5F6D"/>
    <w:rsid w:val="00FD0107"/>
    <w:rsid w:val="00FD058B"/>
    <w:rsid w:val="00FD2C2F"/>
    <w:rsid w:val="00FD3B31"/>
    <w:rsid w:val="00FE03F1"/>
    <w:rsid w:val="00FE1028"/>
    <w:rsid w:val="00FE1572"/>
    <w:rsid w:val="00FE1823"/>
    <w:rsid w:val="00FE487A"/>
    <w:rsid w:val="00FE6FBE"/>
    <w:rsid w:val="00FE77D4"/>
    <w:rsid w:val="00FF0569"/>
    <w:rsid w:val="00FF206E"/>
    <w:rsid w:val="00FF38F5"/>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tabs>
        <w:tab w:val="num" w:pos="295"/>
      </w:tabs>
      <w:spacing w:after="80"/>
      <w:ind w:left="295" w:hanging="295"/>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uiPriority w:val="99"/>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styleId="ListParagraph">
    <w:name w:val="List Paragraph"/>
    <w:basedOn w:val="Normal"/>
    <w:uiPriority w:val="34"/>
    <w:qFormat/>
    <w:rsid w:val="004D049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645628"/>
    <w:rPr>
      <w:rFonts w:ascii="Arial" w:hAnsi="Arial"/>
      <w:sz w:val="16"/>
      <w:szCs w:val="16"/>
    </w:rPr>
  </w:style>
  <w:style w:type="paragraph" w:styleId="Revision">
    <w:name w:val="Revision"/>
    <w:hidden/>
    <w:semiHidden/>
    <w:rsid w:val="0040481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tabs>
        <w:tab w:val="num" w:pos="295"/>
      </w:tabs>
      <w:spacing w:after="80"/>
      <w:ind w:left="295" w:hanging="295"/>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uiPriority w:val="99"/>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styleId="ListParagraph">
    <w:name w:val="List Paragraph"/>
    <w:basedOn w:val="Normal"/>
    <w:uiPriority w:val="34"/>
    <w:qFormat/>
    <w:rsid w:val="004D049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645628"/>
    <w:rPr>
      <w:rFonts w:ascii="Arial" w:hAnsi="Arial"/>
      <w:sz w:val="16"/>
      <w:szCs w:val="16"/>
    </w:rPr>
  </w:style>
  <w:style w:type="paragraph" w:styleId="Revision">
    <w:name w:val="Revision"/>
    <w:hidden/>
    <w:semiHidden/>
    <w:rsid w:val="0040481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46717">
      <w:bodyDiv w:val="1"/>
      <w:marLeft w:val="0"/>
      <w:marRight w:val="0"/>
      <w:marTop w:val="0"/>
      <w:marBottom w:val="0"/>
      <w:divBdr>
        <w:top w:val="none" w:sz="0" w:space="0" w:color="auto"/>
        <w:left w:val="none" w:sz="0" w:space="0" w:color="auto"/>
        <w:bottom w:val="none" w:sz="0" w:space="0" w:color="auto"/>
        <w:right w:val="none" w:sz="0" w:space="0" w:color="auto"/>
      </w:divBdr>
    </w:div>
    <w:div w:id="760685607">
      <w:bodyDiv w:val="1"/>
      <w:marLeft w:val="0"/>
      <w:marRight w:val="0"/>
      <w:marTop w:val="0"/>
      <w:marBottom w:val="0"/>
      <w:divBdr>
        <w:top w:val="none" w:sz="0" w:space="0" w:color="auto"/>
        <w:left w:val="none" w:sz="0" w:space="0" w:color="auto"/>
        <w:bottom w:val="none" w:sz="0" w:space="0" w:color="auto"/>
        <w:right w:val="none" w:sz="0" w:space="0" w:color="auto"/>
      </w:divBdr>
    </w:div>
    <w:div w:id="1062829370">
      <w:bodyDiv w:val="1"/>
      <w:marLeft w:val="0"/>
      <w:marRight w:val="0"/>
      <w:marTop w:val="0"/>
      <w:marBottom w:val="0"/>
      <w:divBdr>
        <w:top w:val="none" w:sz="0" w:space="0" w:color="auto"/>
        <w:left w:val="none" w:sz="0" w:space="0" w:color="auto"/>
        <w:bottom w:val="none" w:sz="0" w:space="0" w:color="auto"/>
        <w:right w:val="none" w:sz="0" w:space="0" w:color="auto"/>
      </w:divBdr>
    </w:div>
    <w:div w:id="1473672593">
      <w:bodyDiv w:val="1"/>
      <w:marLeft w:val="0"/>
      <w:marRight w:val="0"/>
      <w:marTop w:val="0"/>
      <w:marBottom w:val="0"/>
      <w:divBdr>
        <w:top w:val="none" w:sz="0" w:space="0" w:color="auto"/>
        <w:left w:val="none" w:sz="0" w:space="0" w:color="auto"/>
        <w:bottom w:val="none" w:sz="0" w:space="0" w:color="auto"/>
        <w:right w:val="none" w:sz="0" w:space="0" w:color="auto"/>
      </w:divBdr>
    </w:div>
    <w:div w:id="1602951686">
      <w:bodyDiv w:val="1"/>
      <w:marLeft w:val="0"/>
      <w:marRight w:val="0"/>
      <w:marTop w:val="0"/>
      <w:marBottom w:val="0"/>
      <w:divBdr>
        <w:top w:val="none" w:sz="0" w:space="0" w:color="auto"/>
        <w:left w:val="none" w:sz="0" w:space="0" w:color="auto"/>
        <w:bottom w:val="none" w:sz="0" w:space="0" w:color="auto"/>
        <w:right w:val="none" w:sz="0" w:space="0" w:color="auto"/>
      </w:divBdr>
    </w:div>
    <w:div w:id="1694306161">
      <w:bodyDiv w:val="1"/>
      <w:marLeft w:val="0"/>
      <w:marRight w:val="0"/>
      <w:marTop w:val="0"/>
      <w:marBottom w:val="0"/>
      <w:divBdr>
        <w:top w:val="none" w:sz="0" w:space="0" w:color="auto"/>
        <w:left w:val="none" w:sz="0" w:space="0" w:color="auto"/>
        <w:bottom w:val="none" w:sz="0" w:space="0" w:color="auto"/>
        <w:right w:val="none" w:sz="0" w:space="0" w:color="auto"/>
      </w:divBdr>
    </w:div>
    <w:div w:id="1710255650">
      <w:bodyDiv w:val="1"/>
      <w:marLeft w:val="0"/>
      <w:marRight w:val="0"/>
      <w:marTop w:val="0"/>
      <w:marBottom w:val="0"/>
      <w:divBdr>
        <w:top w:val="none" w:sz="0" w:space="0" w:color="auto"/>
        <w:left w:val="none" w:sz="0" w:space="0" w:color="auto"/>
        <w:bottom w:val="none" w:sz="0" w:space="0" w:color="auto"/>
        <w:right w:val="none" w:sz="0" w:space="0" w:color="auto"/>
      </w:divBdr>
    </w:div>
    <w:div w:id="1808552637">
      <w:bodyDiv w:val="1"/>
      <w:marLeft w:val="0"/>
      <w:marRight w:val="0"/>
      <w:marTop w:val="0"/>
      <w:marBottom w:val="0"/>
      <w:divBdr>
        <w:top w:val="none" w:sz="0" w:space="0" w:color="auto"/>
        <w:left w:val="none" w:sz="0" w:space="0" w:color="auto"/>
        <w:bottom w:val="none" w:sz="0" w:space="0" w:color="auto"/>
        <w:right w:val="none" w:sz="0" w:space="0" w:color="auto"/>
      </w:divBdr>
    </w:div>
    <w:div w:id="194552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i.creativecommons.org/l/by/3.0/88x31.png" TargetMode="External"/><Relationship Id="rId26" Type="http://schemas.openxmlformats.org/officeDocument/2006/relationships/header" Target="header5.xml"/><Relationship Id="rId39" Type="http://schemas.openxmlformats.org/officeDocument/2006/relationships/hyperlink" Target="https://www.communications.gov.au/what-we-do/phone/services-people-disability/assistance-customers-medical-conditions" TargetMode="External"/><Relationship Id="rId3" Type="http://schemas.openxmlformats.org/officeDocument/2006/relationships/customXml" Target="../customXml/item3.xml"/><Relationship Id="rId21" Type="http://schemas.openxmlformats.org/officeDocument/2006/relationships/hyperlink" Target="mailto:candinfo@acma.gov.au" TargetMode="External"/><Relationship Id="rId34" Type="http://schemas.openxmlformats.org/officeDocument/2006/relationships/chart" Target="charts/chart2.xml"/><Relationship Id="rId42" Type="http://schemas.openxmlformats.org/officeDocument/2006/relationships/hyperlink" Target="https://www.legislation.gov.au/Details/F2011L02706" TargetMode="Externa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chart" Target="charts/chart1.xml"/><Relationship Id="rId38" Type="http://schemas.openxmlformats.org/officeDocument/2006/relationships/hyperlink" Target="https://www.legislation.gov.au/Details/F2011L02706" TargetMode="Externa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 TargetMode="External"/><Relationship Id="rId29" Type="http://schemas.openxmlformats.org/officeDocument/2006/relationships/footer" Target="footer5.xml"/><Relationship Id="rId41" Type="http://schemas.openxmlformats.org/officeDocument/2006/relationships/hyperlink" Target="https://www.legislation.gov.au/series/F2011L0271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32" Type="http://schemas.openxmlformats.org/officeDocument/2006/relationships/hyperlink" Target="http://www.acma.gov.au/theACMA/Library/researchacma/Research-reports/communications-report-2015-16" TargetMode="External"/><Relationship Id="rId37" Type="http://schemas.openxmlformats.org/officeDocument/2006/relationships/hyperlink" Target="https://www.legislation.gov.au/series/F2011L02710" TargetMode="External"/><Relationship Id="rId40" Type="http://schemas.openxmlformats.org/officeDocument/2006/relationships/hyperlink" Target="https://www.legislation.gov.au/Details/F2011L02709" TargetMode="External"/><Relationship Id="rId45"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image" Target="media/image4.png"/><Relationship Id="rId49" Type="http://schemas.openxmlformats.org/officeDocument/2006/relationships/footer" Target="footer8.xml"/><Relationship Id="rId10" Type="http://schemas.microsoft.com/office/2007/relationships/stylesWithEffects" Target="stylesWithEffects.xml"/><Relationship Id="rId19" Type="http://schemas.openxmlformats.org/officeDocument/2006/relationships/image" Target="media/image3.png"/><Relationship Id="rId31" Type="http://schemas.openxmlformats.org/officeDocument/2006/relationships/hyperlink" Target="http://www.pc.gov.au/__data/assets/pdf_file/0017/203480/sub049-telecommunications.pdf" TargetMode="External"/><Relationship Id="rId44" Type="http://schemas.openxmlformats.org/officeDocument/2006/relationships/hyperlink" Target="https://www.legislation.gov.au/Details/F2011L0270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chart" Target="charts/chart3.xml"/><Relationship Id="rId43" Type="http://schemas.openxmlformats.org/officeDocument/2006/relationships/hyperlink" Target="https://www.legislation.gov.au/Details/F2011L02707" TargetMode="External"/><Relationship Id="rId48" Type="http://schemas.openxmlformats.org/officeDocument/2006/relationships/footer" Target="footer7.xml"/><Relationship Id="rId8" Type="http://schemas.openxmlformats.org/officeDocument/2006/relationships/numbering" Target="numbering.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theACMA/Newsroom/Newsroom/Speeches/commsday-congress-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mjordan\Desktop\graphs%20for%20PC%20sub.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mjordan\Desktop\graphs%20for%20PC%20sub.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mjordan\Desktop\graphs%20for%20PC%20su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8.6701597962019455E-2"/>
          <c:y val="5.5284552845528454E-2"/>
          <c:w val="0.6980317367967378"/>
          <c:h val="0.87496421483899867"/>
        </c:manualLayout>
      </c:layout>
      <c:areaChart>
        <c:grouping val="stacked"/>
        <c:varyColors val="0"/>
        <c:ser>
          <c:idx val="2"/>
          <c:order val="1"/>
          <c:tx>
            <c:strRef>
              <c:f>Sheet1!$A$4</c:f>
              <c:strCache>
                <c:ptCount val="1"/>
                <c:pt idx="0">
                  <c:v>Homes with fixed-line phones</c:v>
                </c:pt>
              </c:strCache>
            </c:strRef>
          </c:tx>
          <c:spPr>
            <a:solidFill>
              <a:schemeClr val="accent1">
                <a:lumMod val="50000"/>
              </a:schemeClr>
            </a:solidFill>
            <a:ln w="38100">
              <a:solidFill>
                <a:schemeClr val="bg1"/>
              </a:solidFill>
            </a:ln>
            <a:effectLst/>
          </c:spPr>
          <c:cat>
            <c:numRef>
              <c:f>Sheet1!$B$1:$G$1</c:f>
              <c:numCache>
                <c:formatCode>mmm\-yy</c:formatCode>
                <c:ptCount val="6"/>
                <c:pt idx="0">
                  <c:v>40695</c:v>
                </c:pt>
                <c:pt idx="1">
                  <c:v>41061</c:v>
                </c:pt>
                <c:pt idx="2">
                  <c:v>41426</c:v>
                </c:pt>
                <c:pt idx="3">
                  <c:v>41791</c:v>
                </c:pt>
                <c:pt idx="4">
                  <c:v>42156</c:v>
                </c:pt>
                <c:pt idx="5">
                  <c:v>42522</c:v>
                </c:pt>
              </c:numCache>
            </c:numRef>
          </c:cat>
          <c:val>
            <c:numRef>
              <c:f>Sheet1!$B$4:$G$4</c:f>
              <c:numCache>
                <c:formatCode>0%</c:formatCode>
                <c:ptCount val="6"/>
                <c:pt idx="0">
                  <c:v>0.83</c:v>
                </c:pt>
                <c:pt idx="1">
                  <c:v>0.78</c:v>
                </c:pt>
                <c:pt idx="2">
                  <c:v>0.76</c:v>
                </c:pt>
                <c:pt idx="3">
                  <c:v>0.72</c:v>
                </c:pt>
                <c:pt idx="4">
                  <c:v>0.7</c:v>
                </c:pt>
                <c:pt idx="5">
                  <c:v>0.68</c:v>
                </c:pt>
              </c:numCache>
            </c:numRef>
          </c:val>
        </c:ser>
        <c:ser>
          <c:idx val="1"/>
          <c:order val="2"/>
          <c:tx>
            <c:strRef>
              <c:f>Sheet1!$A$3</c:f>
              <c:strCache>
                <c:ptCount val="1"/>
                <c:pt idx="0">
                  <c:v>Homes with ONLY mobile phones </c:v>
                </c:pt>
              </c:strCache>
            </c:strRef>
          </c:tx>
          <c:spPr>
            <a:solidFill>
              <a:schemeClr val="accent1">
                <a:lumMod val="20000"/>
                <a:lumOff val="80000"/>
              </a:schemeClr>
            </a:solidFill>
            <a:ln w="38100">
              <a:solidFill>
                <a:schemeClr val="bg1"/>
              </a:solidFill>
            </a:ln>
            <a:effectLst/>
          </c:spPr>
          <c:cat>
            <c:numRef>
              <c:f>Sheet1!$B$1:$G$1</c:f>
              <c:numCache>
                <c:formatCode>mmm\-yy</c:formatCode>
                <c:ptCount val="6"/>
                <c:pt idx="0">
                  <c:v>40695</c:v>
                </c:pt>
                <c:pt idx="1">
                  <c:v>41061</c:v>
                </c:pt>
                <c:pt idx="2">
                  <c:v>41426</c:v>
                </c:pt>
                <c:pt idx="3">
                  <c:v>41791</c:v>
                </c:pt>
                <c:pt idx="4">
                  <c:v>42156</c:v>
                </c:pt>
                <c:pt idx="5">
                  <c:v>42522</c:v>
                </c:pt>
              </c:numCache>
            </c:numRef>
          </c:cat>
          <c:val>
            <c:numRef>
              <c:f>Sheet1!$B$3:$G$3</c:f>
              <c:numCache>
                <c:formatCode>0%</c:formatCode>
                <c:ptCount val="6"/>
                <c:pt idx="0">
                  <c:v>0.16</c:v>
                </c:pt>
                <c:pt idx="1">
                  <c:v>0.19</c:v>
                </c:pt>
                <c:pt idx="2">
                  <c:v>0.22</c:v>
                </c:pt>
                <c:pt idx="3">
                  <c:v>0.27</c:v>
                </c:pt>
                <c:pt idx="4">
                  <c:v>0.28999999999999998</c:v>
                </c:pt>
                <c:pt idx="5">
                  <c:v>0.31</c:v>
                </c:pt>
              </c:numCache>
            </c:numRef>
          </c:val>
        </c:ser>
        <c:dLbls>
          <c:showLegendKey val="0"/>
          <c:showVal val="0"/>
          <c:showCatName val="0"/>
          <c:showSerName val="0"/>
          <c:showPercent val="0"/>
          <c:showBubbleSize val="0"/>
        </c:dLbls>
        <c:axId val="148133760"/>
        <c:axId val="148135296"/>
      </c:areaChart>
      <c:lineChart>
        <c:grouping val="standard"/>
        <c:varyColors val="0"/>
        <c:ser>
          <c:idx val="0"/>
          <c:order val="0"/>
          <c:tx>
            <c:strRef>
              <c:f>Sheet1!$A$2</c:f>
              <c:strCache>
                <c:ptCount val="1"/>
                <c:pt idx="0">
                  <c:v>Total population 18+ ('000,000) </c:v>
                </c:pt>
              </c:strCache>
            </c:strRef>
          </c:tx>
          <c:spPr>
            <a:ln w="28575"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Sheet1!$B$1:$G$1</c:f>
              <c:numCache>
                <c:formatCode>mmm\-yy</c:formatCode>
                <c:ptCount val="6"/>
                <c:pt idx="0">
                  <c:v>40695</c:v>
                </c:pt>
                <c:pt idx="1">
                  <c:v>41061</c:v>
                </c:pt>
                <c:pt idx="2">
                  <c:v>41426</c:v>
                </c:pt>
                <c:pt idx="3">
                  <c:v>41791</c:v>
                </c:pt>
                <c:pt idx="4">
                  <c:v>42156</c:v>
                </c:pt>
                <c:pt idx="5">
                  <c:v>42522</c:v>
                </c:pt>
              </c:numCache>
            </c:numRef>
          </c:cat>
          <c:val>
            <c:numRef>
              <c:f>Sheet1!$B$2:$G$2</c:f>
              <c:numCache>
                <c:formatCode>General</c:formatCode>
                <c:ptCount val="6"/>
                <c:pt idx="0">
                  <c:v>17.350000000000001</c:v>
                </c:pt>
                <c:pt idx="1">
                  <c:v>17.57</c:v>
                </c:pt>
                <c:pt idx="2">
                  <c:v>17.87</c:v>
                </c:pt>
                <c:pt idx="3">
                  <c:v>18.149999999999999</c:v>
                </c:pt>
                <c:pt idx="4">
                  <c:v>18.29</c:v>
                </c:pt>
                <c:pt idx="5">
                  <c:v>18.5</c:v>
                </c:pt>
              </c:numCache>
            </c:numRef>
          </c:val>
          <c:smooth val="0"/>
        </c:ser>
        <c:dLbls>
          <c:showLegendKey val="0"/>
          <c:showVal val="0"/>
          <c:showCatName val="0"/>
          <c:showSerName val="0"/>
          <c:showPercent val="0"/>
          <c:showBubbleSize val="0"/>
        </c:dLbls>
        <c:marker val="1"/>
        <c:smooth val="0"/>
        <c:axId val="148142720"/>
        <c:axId val="148141184"/>
      </c:lineChart>
      <c:catAx>
        <c:axId val="148133760"/>
        <c:scaling>
          <c:orientation val="minMax"/>
          <c:max val="6"/>
          <c:min val="1"/>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35296"/>
        <c:crosses val="autoZero"/>
        <c:auto val="0"/>
        <c:lblAlgn val="ctr"/>
        <c:lblOffset val="100"/>
        <c:noMultiLvlLbl val="1"/>
      </c:catAx>
      <c:valAx>
        <c:axId val="148135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33760"/>
        <c:crosses val="autoZero"/>
        <c:crossBetween val="between"/>
        <c:majorUnit val="0.2"/>
      </c:valAx>
      <c:valAx>
        <c:axId val="148141184"/>
        <c:scaling>
          <c:orientation val="minMax"/>
          <c:max val="19"/>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8142720"/>
        <c:crosses val="max"/>
        <c:crossBetween val="between"/>
        <c:majorUnit val="20"/>
        <c:minorUnit val="1"/>
      </c:valAx>
      <c:dateAx>
        <c:axId val="148142720"/>
        <c:scaling>
          <c:orientation val="minMax"/>
        </c:scaling>
        <c:delete val="1"/>
        <c:axPos val="t"/>
        <c:numFmt formatCode="mmm\-yy" sourceLinked="1"/>
        <c:majorTickMark val="out"/>
        <c:minorTickMark val="none"/>
        <c:tickLblPos val="nextTo"/>
        <c:crossAx val="148141184"/>
        <c:crosses val="max"/>
        <c:auto val="1"/>
        <c:lblOffset val="100"/>
        <c:baseTimeUnit val="years"/>
      </c:dateAx>
      <c:spPr>
        <a:noFill/>
        <a:ln>
          <a:noFill/>
        </a:ln>
        <a:effectLst/>
      </c:spPr>
    </c:plotArea>
    <c:legend>
      <c:legendPos val="b"/>
      <c:layout>
        <c:manualLayout>
          <c:xMode val="edge"/>
          <c:yMode val="edge"/>
          <c:x val="0.79530416060356324"/>
          <c:y val="0.65591952032388912"/>
          <c:w val="0.19075885234129394"/>
          <c:h val="0.27276461174060562"/>
        </c:manualLayout>
      </c:layout>
      <c:overlay val="0"/>
      <c:spPr>
        <a:solidFill>
          <a:schemeClr val="bg1"/>
        </a:solidFill>
        <a:ln>
          <a:solidFill>
            <a:schemeClr val="tx1">
              <a:lumMod val="50000"/>
              <a:lumOff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581387349982194E-2"/>
          <c:y val="9.4144134560863291E-2"/>
          <c:w val="0.7286203635793328"/>
          <c:h val="0.73444135393358723"/>
        </c:manualLayout>
      </c:layout>
      <c:barChart>
        <c:barDir val="col"/>
        <c:grouping val="clustered"/>
        <c:varyColors val="0"/>
        <c:ser>
          <c:idx val="1"/>
          <c:order val="0"/>
          <c:tx>
            <c:strRef>
              <c:f>Sheet2!$C$1</c:f>
              <c:strCache>
                <c:ptCount val="1"/>
                <c:pt idx="0">
                  <c:v>Capital cities</c:v>
                </c:pt>
              </c:strCache>
            </c:strRef>
          </c:tx>
          <c:spPr>
            <a:solidFill>
              <a:schemeClr val="accent1">
                <a:lumMod val="60000"/>
                <a:lumOff val="40000"/>
              </a:schemeClr>
            </a:solidFill>
            <a:ln>
              <a:noFill/>
            </a:ln>
            <a:effectLst/>
          </c:spPr>
          <c:invertIfNegative val="0"/>
          <c:cat>
            <c:strRef>
              <c:f>Sheet2!$A$2:$A$5</c:f>
              <c:strCache>
                <c:ptCount val="4"/>
                <c:pt idx="0">
                  <c:v>Mobile phone and 
no home phone</c:v>
                </c:pt>
                <c:pt idx="1">
                  <c:v>Have a 
home phone</c:v>
                </c:pt>
                <c:pt idx="2">
                  <c:v>Own or use a
mobile phone</c:v>
                </c:pt>
                <c:pt idx="3">
                  <c:v>Have a smartphone as a main mobile phone</c:v>
                </c:pt>
              </c:strCache>
            </c:strRef>
          </c:cat>
          <c:val>
            <c:numRef>
              <c:f>Sheet2!$C$2:$C$5</c:f>
              <c:numCache>
                <c:formatCode>0%</c:formatCode>
                <c:ptCount val="4"/>
                <c:pt idx="0">
                  <c:v>0.32</c:v>
                </c:pt>
                <c:pt idx="1">
                  <c:v>0.67</c:v>
                </c:pt>
                <c:pt idx="2">
                  <c:v>0.96</c:v>
                </c:pt>
                <c:pt idx="3">
                  <c:v>0.78</c:v>
                </c:pt>
              </c:numCache>
            </c:numRef>
          </c:val>
        </c:ser>
        <c:ser>
          <c:idx val="2"/>
          <c:order val="1"/>
          <c:tx>
            <c:strRef>
              <c:f>Sheet2!$D$1</c:f>
              <c:strCache>
                <c:ptCount val="1"/>
                <c:pt idx="0">
                  <c:v>Regional areas</c:v>
                </c:pt>
              </c:strCache>
            </c:strRef>
          </c:tx>
          <c:spPr>
            <a:solidFill>
              <a:schemeClr val="accent1">
                <a:lumMod val="20000"/>
                <a:lumOff val="80000"/>
              </a:schemeClr>
            </a:solidFill>
            <a:ln>
              <a:noFill/>
            </a:ln>
            <a:effectLst/>
          </c:spPr>
          <c:invertIfNegative val="0"/>
          <c:cat>
            <c:strRef>
              <c:f>Sheet2!$A$2:$A$5</c:f>
              <c:strCache>
                <c:ptCount val="4"/>
                <c:pt idx="0">
                  <c:v>Mobile phone and 
no home phone</c:v>
                </c:pt>
                <c:pt idx="1">
                  <c:v>Have a 
home phone</c:v>
                </c:pt>
                <c:pt idx="2">
                  <c:v>Own or use a
mobile phone</c:v>
                </c:pt>
                <c:pt idx="3">
                  <c:v>Have a smartphone as a main mobile phone</c:v>
                </c:pt>
              </c:strCache>
            </c:strRef>
          </c:cat>
          <c:val>
            <c:numRef>
              <c:f>Sheet2!$D$2:$D$5</c:f>
              <c:numCache>
                <c:formatCode>0%</c:formatCode>
                <c:ptCount val="4"/>
                <c:pt idx="0">
                  <c:v>0.3</c:v>
                </c:pt>
                <c:pt idx="1">
                  <c:v>0.69</c:v>
                </c:pt>
                <c:pt idx="2">
                  <c:v>0.95</c:v>
                </c:pt>
                <c:pt idx="3">
                  <c:v>0.69</c:v>
                </c:pt>
              </c:numCache>
            </c:numRef>
          </c:val>
        </c:ser>
        <c:ser>
          <c:idx val="0"/>
          <c:order val="2"/>
          <c:tx>
            <c:strRef>
              <c:f>Sheet2!$B$1</c:f>
              <c:strCache>
                <c:ptCount val="1"/>
                <c:pt idx="0">
                  <c:v>Total</c:v>
                </c:pt>
              </c:strCache>
            </c:strRef>
          </c:tx>
          <c:spPr>
            <a:solidFill>
              <a:schemeClr val="accent1">
                <a:lumMod val="50000"/>
              </a:schemeClr>
            </a:solidFill>
            <a:ln>
              <a:noFill/>
            </a:ln>
            <a:effectLst/>
          </c:spPr>
          <c:invertIfNegative val="0"/>
          <c:cat>
            <c:strRef>
              <c:f>Sheet2!$A$2:$A$5</c:f>
              <c:strCache>
                <c:ptCount val="4"/>
                <c:pt idx="0">
                  <c:v>Mobile phone and 
no home phone</c:v>
                </c:pt>
                <c:pt idx="1">
                  <c:v>Have a 
home phone</c:v>
                </c:pt>
                <c:pt idx="2">
                  <c:v>Own or use a
mobile phone</c:v>
                </c:pt>
                <c:pt idx="3">
                  <c:v>Have a smartphone as a main mobile phone</c:v>
                </c:pt>
              </c:strCache>
            </c:strRef>
          </c:cat>
          <c:val>
            <c:numRef>
              <c:f>Sheet2!$B$2:$B$5</c:f>
              <c:numCache>
                <c:formatCode>0%</c:formatCode>
                <c:ptCount val="4"/>
                <c:pt idx="0">
                  <c:v>0.31</c:v>
                </c:pt>
                <c:pt idx="1">
                  <c:v>0.68</c:v>
                </c:pt>
                <c:pt idx="2">
                  <c:v>0.96</c:v>
                </c:pt>
                <c:pt idx="3">
                  <c:v>0.75</c:v>
                </c:pt>
              </c:numCache>
            </c:numRef>
          </c:val>
        </c:ser>
        <c:dLbls>
          <c:showLegendKey val="0"/>
          <c:showVal val="0"/>
          <c:showCatName val="0"/>
          <c:showSerName val="0"/>
          <c:showPercent val="0"/>
          <c:showBubbleSize val="0"/>
        </c:dLbls>
        <c:gapWidth val="219"/>
        <c:overlap val="-27"/>
        <c:axId val="188030976"/>
        <c:axId val="188032512"/>
      </c:barChart>
      <c:catAx>
        <c:axId val="18803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32512"/>
        <c:crosses val="autoZero"/>
        <c:auto val="1"/>
        <c:lblAlgn val="ctr"/>
        <c:lblOffset val="100"/>
        <c:noMultiLvlLbl val="0"/>
      </c:catAx>
      <c:valAx>
        <c:axId val="1880325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30976"/>
        <c:crosses val="autoZero"/>
        <c:crossBetween val="between"/>
        <c:majorUnit val="0.2"/>
      </c:valAx>
      <c:spPr>
        <a:noFill/>
        <a:ln>
          <a:noFill/>
        </a:ln>
        <a:effectLst/>
      </c:spPr>
    </c:plotArea>
    <c:legend>
      <c:legendPos val="b"/>
      <c:layout>
        <c:manualLayout>
          <c:xMode val="edge"/>
          <c:yMode val="edge"/>
          <c:x val="0.80745157702744785"/>
          <c:y val="0.57465223097112861"/>
          <c:w val="0.17822536589705948"/>
          <c:h val="0.26794036162146395"/>
        </c:manualLayout>
      </c:layout>
      <c:overlay val="0"/>
      <c:spPr>
        <a:solidFill>
          <a:schemeClr val="bg1"/>
        </a:solidFill>
        <a:ln>
          <a:solidFill>
            <a:schemeClr val="tx1">
              <a:lumMod val="50000"/>
              <a:lumOff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921730853399595E-2"/>
          <c:y val="0.17171296296296298"/>
          <c:w val="0.7348438059285769"/>
          <c:h val="0.61498432487605714"/>
        </c:manualLayout>
      </c:layout>
      <c:barChart>
        <c:barDir val="col"/>
        <c:grouping val="clustered"/>
        <c:varyColors val="0"/>
        <c:ser>
          <c:idx val="0"/>
          <c:order val="0"/>
          <c:tx>
            <c:strRef>
              <c:f>Sheet3!$A$2</c:f>
              <c:strCache>
                <c:ptCount val="1"/>
                <c:pt idx="0">
                  <c:v>Total pop 18+ ('000,000)</c:v>
                </c:pt>
              </c:strCache>
            </c:strRef>
          </c:tx>
          <c:spPr>
            <a:solidFill>
              <a:schemeClr val="accent1">
                <a:lumMod val="20000"/>
                <a:lumOff val="80000"/>
              </a:schemeClr>
            </a:solidFill>
            <a:ln>
              <a:noFill/>
            </a:ln>
            <a:effectLst/>
          </c:spPr>
          <c:invertIfNegative val="0"/>
          <c:cat>
            <c:numRef>
              <c:f>Sheet3!$B$1:$G$1</c:f>
              <c:numCache>
                <c:formatCode>mmm\-yy</c:formatCode>
                <c:ptCount val="6"/>
                <c:pt idx="0">
                  <c:v>40695</c:v>
                </c:pt>
                <c:pt idx="1">
                  <c:v>41061</c:v>
                </c:pt>
                <c:pt idx="2">
                  <c:v>41426</c:v>
                </c:pt>
                <c:pt idx="3">
                  <c:v>41791</c:v>
                </c:pt>
                <c:pt idx="4">
                  <c:v>42156</c:v>
                </c:pt>
                <c:pt idx="5">
                  <c:v>42522</c:v>
                </c:pt>
              </c:numCache>
            </c:numRef>
          </c:cat>
          <c:val>
            <c:numRef>
              <c:f>Sheet3!$B$2:$G$2</c:f>
              <c:numCache>
                <c:formatCode>General</c:formatCode>
                <c:ptCount val="6"/>
                <c:pt idx="0">
                  <c:v>17.350000000000001</c:v>
                </c:pt>
                <c:pt idx="1">
                  <c:v>17.57</c:v>
                </c:pt>
                <c:pt idx="2">
                  <c:v>17.87</c:v>
                </c:pt>
                <c:pt idx="3">
                  <c:v>18.149999999999999</c:v>
                </c:pt>
                <c:pt idx="4">
                  <c:v>18.29</c:v>
                </c:pt>
                <c:pt idx="5">
                  <c:v>18.5</c:v>
                </c:pt>
              </c:numCache>
            </c:numRef>
          </c:val>
        </c:ser>
        <c:dLbls>
          <c:showLegendKey val="0"/>
          <c:showVal val="0"/>
          <c:showCatName val="0"/>
          <c:showSerName val="0"/>
          <c:showPercent val="0"/>
          <c:showBubbleSize val="0"/>
        </c:dLbls>
        <c:gapWidth val="150"/>
        <c:axId val="188050432"/>
        <c:axId val="188052224"/>
      </c:barChart>
      <c:lineChart>
        <c:grouping val="standard"/>
        <c:varyColors val="0"/>
        <c:ser>
          <c:idx val="1"/>
          <c:order val="1"/>
          <c:tx>
            <c:strRef>
              <c:f>Sheet3!$A$3</c:f>
              <c:strCache>
                <c:ptCount val="1"/>
                <c:pt idx="0">
                  <c:v>% that used public telephone</c:v>
                </c:pt>
              </c:strCache>
            </c:strRef>
          </c:tx>
          <c:spPr>
            <a:ln w="28575" cap="rnd">
              <a:solidFill>
                <a:schemeClr val="accent1">
                  <a:lumMod val="50000"/>
                </a:schemeClr>
              </a:solidFill>
              <a:round/>
            </a:ln>
            <a:effectLst/>
          </c:spPr>
          <c:marker>
            <c:symbol val="none"/>
          </c:marker>
          <c:cat>
            <c:numRef>
              <c:f>Sheet3!$B$1:$G$1</c:f>
              <c:numCache>
                <c:formatCode>mmm\-yy</c:formatCode>
                <c:ptCount val="6"/>
                <c:pt idx="0">
                  <c:v>40695</c:v>
                </c:pt>
                <c:pt idx="1">
                  <c:v>41061</c:v>
                </c:pt>
                <c:pt idx="2">
                  <c:v>41426</c:v>
                </c:pt>
                <c:pt idx="3">
                  <c:v>41791</c:v>
                </c:pt>
                <c:pt idx="4">
                  <c:v>42156</c:v>
                </c:pt>
                <c:pt idx="5">
                  <c:v>42522</c:v>
                </c:pt>
              </c:numCache>
            </c:numRef>
          </c:cat>
          <c:val>
            <c:numRef>
              <c:f>Sheet3!$B$3:$G$3</c:f>
              <c:numCache>
                <c:formatCode>0%</c:formatCode>
                <c:ptCount val="6"/>
                <c:pt idx="1">
                  <c:v>8</c:v>
                </c:pt>
                <c:pt idx="2">
                  <c:v>9</c:v>
                </c:pt>
                <c:pt idx="3">
                  <c:v>7</c:v>
                </c:pt>
                <c:pt idx="4">
                  <c:v>6</c:v>
                </c:pt>
                <c:pt idx="5">
                  <c:v>6</c:v>
                </c:pt>
              </c:numCache>
            </c:numRef>
          </c:val>
          <c:smooth val="0"/>
        </c:ser>
        <c:dLbls>
          <c:showLegendKey val="0"/>
          <c:showVal val="0"/>
          <c:showCatName val="0"/>
          <c:showSerName val="0"/>
          <c:showPercent val="0"/>
          <c:showBubbleSize val="0"/>
        </c:dLbls>
        <c:marker val="1"/>
        <c:smooth val="0"/>
        <c:axId val="188071936"/>
        <c:axId val="188053760"/>
      </c:lineChart>
      <c:catAx>
        <c:axId val="1880504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2224"/>
        <c:crosses val="autoZero"/>
        <c:auto val="0"/>
        <c:lblAlgn val="ctr"/>
        <c:lblOffset val="100"/>
        <c:noMultiLvlLbl val="1"/>
      </c:catAx>
      <c:valAx>
        <c:axId val="1880522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0432"/>
        <c:crosses val="autoZero"/>
        <c:crossBetween val="between"/>
        <c:majorUnit val="5"/>
      </c:valAx>
      <c:valAx>
        <c:axId val="188053760"/>
        <c:scaling>
          <c:orientation val="minMax"/>
          <c:max val="20"/>
          <c:min val="0"/>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88071936"/>
        <c:crosses val="max"/>
        <c:crossBetween val="between"/>
        <c:majorUnit val="5"/>
      </c:valAx>
      <c:dateAx>
        <c:axId val="188071936"/>
        <c:scaling>
          <c:orientation val="minMax"/>
        </c:scaling>
        <c:delete val="1"/>
        <c:axPos val="b"/>
        <c:numFmt formatCode="mmm\-yy" sourceLinked="1"/>
        <c:majorTickMark val="out"/>
        <c:minorTickMark val="none"/>
        <c:tickLblPos val="nextTo"/>
        <c:crossAx val="188053760"/>
        <c:crosses val="autoZero"/>
        <c:auto val="1"/>
        <c:lblOffset val="100"/>
        <c:baseTimeUnit val="years"/>
      </c:dateAx>
      <c:spPr>
        <a:noFill/>
        <a:ln>
          <a:noFill/>
        </a:ln>
        <a:effectLst/>
      </c:spPr>
    </c:plotArea>
    <c:legend>
      <c:legendPos val="b"/>
      <c:layout>
        <c:manualLayout>
          <c:xMode val="edge"/>
          <c:yMode val="edge"/>
          <c:x val="0.80122691361434417"/>
          <c:y val="0.43409885622236755"/>
          <c:w val="0.18176942293486298"/>
          <c:h val="0.35756813785420938"/>
        </c:manualLayout>
      </c:layout>
      <c:overlay val="0"/>
      <c:spPr>
        <a:noFill/>
        <a:ln>
          <a:solidFill>
            <a:schemeClr val="tx1">
              <a:lumMod val="50000"/>
              <a:lumOff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f4bcce7-ac1a-4c9d-aa3e-7e77695652db">PCDOC-1117832070-200</_dlc_DocId>
    <_dlc_DocIdUrl xmlns="3f4bcce7-ac1a-4c9d-aa3e-7e77695652db">
      <Url>https://inet.pc.gov.au/pmo/inq/tele/_layouts/15/DocIdRedir.aspx?ID=PCDOC-1117832070-200</Url>
      <Description>PCDOC-1117832070-200</Description>
    </_dlc_DocIdUrl>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9493A-AAD7-4BE5-B047-EF3C1B991ED4}">
  <ds:schemaRefs>
    <ds:schemaRef ds:uri="http://schemas.microsoft.com/office/2006/metadata/customXsn"/>
  </ds:schemaRefs>
</ds:datastoreItem>
</file>

<file path=customXml/itemProps2.xml><?xml version="1.0" encoding="utf-8"?>
<ds:datastoreItem xmlns:ds="http://schemas.openxmlformats.org/officeDocument/2006/customXml" ds:itemID="{43A7BCD7-C49A-4F8F-AF88-A4470334D438}">
  <ds:schemaRefs>
    <ds:schemaRef ds:uri="Microsoft.SharePoint.Taxonomy.ContentTypeSync"/>
  </ds:schemaRefs>
</ds:datastoreItem>
</file>

<file path=customXml/itemProps3.xml><?xml version="1.0" encoding="utf-8"?>
<ds:datastoreItem xmlns:ds="http://schemas.openxmlformats.org/officeDocument/2006/customXml" ds:itemID="{EB494AD5-A52F-4B0A-84F0-2D77FB223AC7}">
  <ds:schemaRefs>
    <ds:schemaRef ds:uri="http://schemas.microsoft.com/sharepoint/v3/contenttype/forms"/>
  </ds:schemaRefs>
</ds:datastoreItem>
</file>

<file path=customXml/itemProps4.xml><?xml version="1.0" encoding="utf-8"?>
<ds:datastoreItem xmlns:ds="http://schemas.openxmlformats.org/officeDocument/2006/customXml" ds:itemID="{DFAE60EF-6AA9-431D-ABD8-A10B97881255}">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3f4bcce7-ac1a-4c9d-aa3e-7e77695652d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7484452-A65B-4C79-B164-724FCB78C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0439F4-9085-43EF-B91E-87FCF95E1772}">
  <ds:schemaRefs>
    <ds:schemaRef ds:uri="http://schemas.microsoft.com/sharepoint/events"/>
  </ds:schemaRefs>
</ds:datastoreItem>
</file>

<file path=customXml/itemProps7.xml><?xml version="1.0" encoding="utf-8"?>
<ds:datastoreItem xmlns:ds="http://schemas.openxmlformats.org/officeDocument/2006/customXml" ds:itemID="{67FC0958-FA57-49E2-A53D-D608116B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7DE9887F.dotm</Template>
  <TotalTime>0</TotalTime>
  <Pages>24</Pages>
  <Words>7243</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Submission DR157 - Australian Communications and Media Authority (ACMA) - Telecommunications Universal Service Obligation - Public inquiry</vt:lpstr>
    </vt:vector>
  </TitlesOfParts>
  <Manager/>
  <Company/>
  <LinksUpToDate>false</LinksUpToDate>
  <CharactersWithSpaces>48433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DR157 - Australian Communications and Media Authority (ACMA) - Telecommunications Universal Service Obligation - Public inquiry</dc:title>
  <dc:subject/>
  <dc:creator/>
  <cp:keywords/>
  <dc:description/>
  <cp:lastModifiedBy/>
  <cp:revision>1</cp:revision>
  <dcterms:created xsi:type="dcterms:W3CDTF">2017-02-10T05:43:00Z</dcterms:created>
  <dcterms:modified xsi:type="dcterms:W3CDTF">2017-02-14T22:29:00Z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e4c953f4-4f1f-467e-9b0e-9e7b95374802</vt:lpwstr>
  </property>
  <property fmtid="{D5CDD505-2E9C-101B-9397-08002B2CF9AE}" pid="4" name="Record Tag">
    <vt:lpwstr>4487;#Submissions - Stage 2|df6c8b62-a0f6-48ca-9bad-05bd9d9348d3</vt:lpwstr>
  </property>
  <property fmtid="{D5CDD505-2E9C-101B-9397-08002B2CF9AE}" pid="5" name="TaxKeyword">
    <vt:lpwstr/>
  </property>
</Properties>
</file>