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191222359"/>
        <w:docPartObj>
          <w:docPartGallery w:val="Cover Pages"/>
          <w:docPartUnique/>
        </w:docPartObj>
      </w:sdtPr>
      <w:sdtEndPr/>
      <w:sdtContent>
        <w:bookmarkStart w:id="0" w:name="_GoBack" w:displacedByCustomXml="prev"/>
        <w:bookmarkEnd w:id="0" w:displacedByCustomXml="prev"/>
        <w:p w14:paraId="0EE11F3C" w14:textId="77777777" w:rsidR="00FC0EBF" w:rsidRDefault="00FC0EBF">
          <w:r>
            <w:rPr>
              <w:noProof/>
              <w:lang w:eastAsia="en-AU"/>
            </w:rPr>
            <mc:AlternateContent>
              <mc:Choice Requires="wpg">
                <w:drawing>
                  <wp:anchor distT="0" distB="0" distL="114300" distR="114300" simplePos="0" relativeHeight="251659264" behindDoc="1" locked="0" layoutInCell="1" allowOverlap="1" wp14:anchorId="0EE11FBF" wp14:editId="0EE11FC0">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EE11FCB" w14:textId="5091D9AC" w:rsidR="00FC0EBF" w:rsidRPr="0035639D" w:rsidRDefault="00BB34CE">
                                      <w:pPr>
                                        <w:pStyle w:val="NoSpacing"/>
                                        <w:spacing w:before="120"/>
                                        <w:jc w:val="center"/>
                                        <w:rPr>
                                          <w:color w:val="FFFFFF" w:themeColor="background1"/>
                                          <w:sz w:val="32"/>
                                          <w:szCs w:val="32"/>
                                        </w:rPr>
                                      </w:pPr>
                                      <w:r>
                                        <w:rPr>
                                          <w:color w:val="FFFFFF" w:themeColor="background1"/>
                                          <w:sz w:val="32"/>
                                          <w:szCs w:val="32"/>
                                          <w:lang w:val="en-AU"/>
                                        </w:rPr>
                                        <w:t>University of Melbourne</w:t>
                                      </w:r>
                                    </w:p>
                                  </w:sdtContent>
                                </w:sdt>
                                <w:p w14:paraId="0EE11FCC" w14:textId="701C9A33" w:rsidR="00FC0EBF" w:rsidRPr="0035639D" w:rsidRDefault="00BB34CE">
                                  <w:pPr>
                                    <w:pStyle w:val="NoSpacing"/>
                                    <w:spacing w:before="120"/>
                                    <w:jc w:val="center"/>
                                    <w:rPr>
                                      <w:color w:val="FFFFFF" w:themeColor="background1"/>
                                      <w:sz w:val="32"/>
                                      <w:szCs w:val="32"/>
                                    </w:rPr>
                                  </w:pPr>
                                  <w:sdt>
                                    <w:sdtPr>
                                      <w:rPr>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EndPr/>
                                    <w:sdtContent>
                                      <w:r>
                                        <w:rPr>
                                          <w:color w:val="FFFFFF" w:themeColor="background1"/>
                                          <w:sz w:val="32"/>
                                          <w:szCs w:val="32"/>
                                          <w:lang w:val="en-AU"/>
                                        </w:rPr>
                                        <w:t>University of Melbourne</w:t>
                                      </w:r>
                                    </w:sdtContent>
                                  </w:sdt>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EE11FCD" w14:textId="0C2670FB" w:rsidR="00FC0EBF" w:rsidRDefault="00BB34CE">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lang w:val="en-AU"/>
                                        </w:rPr>
                                        <w:t>Submission 83 - University of Melbourne - National Water Reform - Public inquiry</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">
                    <v:rect id="Rectangle 194" o:spid="_x0000_s1027" style="position:absolute;width:68580;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6RtcQA&#10;AADcAAAADwAAAGRycy9kb3ducmV2LnhtbERPTWvCQBC9C/0PyxR6M5tWaTW6ighCERFM68HbkJ1m&#10;02ZnQ3Ybo7/eFQq9zeN9znzZ21p01PrKsYLnJAVBXDhdcang82MznIDwAVlj7ZgUXMjDcvEwmGOm&#10;3ZkP1OWhFDGEfYYKTAhNJqUvDFn0iWuII/flWoshwraUusVzDLe1fEnTV2mx4thgsKG1oeIn/7UK&#10;tt9vo9x0q+462tPRuOPutFl7pZ4e+9UMRKA+/Iv/3O86zp+O4f5MvE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kbXEAAAA3AAAAA8AAAAAAAAAAAAAAAAAmAIAAGRycy9k&#10;b3ducmV2LnhtbFBLBQYAAAAABAAEAPUAAACJAwAAAAA=&#10;" fillcolor="#4472c4 [3204]" stroked="f" strokeweight="1pt"/>
                    <v:rect id="Rectangle 195" o:spid="_x0000_s1028" style="position:absolute;top:40943;width:68580;height:502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KQg8QA&#10;AADcAAAADwAAAGRycy9kb3ducmV2LnhtbERPTWvCQBC9C/0PyxS8FN0obampq4gi1CLFxly8jdlp&#10;NpidDdlV47/vFgre5vE+ZzrvbC0u1PrKsYLRMAFBXDhdcakg368HbyB8QNZYOyYFN/Iwnz30pphq&#10;d+VvumShFDGEfYoKTAhNKqUvDFn0Q9cQR+7HtRZDhG0pdYvXGG5rOU6SV2mx4thgsKGloeKUna2C&#10;LF/lRwrPk8+vw8bt8iez2447pfqP3eIdRKAu3MX/7g8d509e4O+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CkIPEAAAA3AAAAA8AAAAAAAAAAAAAAAAAmAIAAGRycy9k&#10;b3ducmV2LnhtbFBLBQYAAAAABAAEAPUAAACJAwAAAAA=&#10;" fillcolor="#4472c4 [3204]" stroked="f" strokeweight="1pt">
                      <v:textbox inset="36pt,57.6pt,36pt,36pt">
                        <w:txbxContent>
                          <w:sdt>
                            <w:sdtPr>
                              <w:rPr>
                                <w:color w:val="FFFFFF" w:themeColor="background1"/>
                                <w:sz w:val="32"/>
                                <w:szCs w:val="32"/>
                              </w:rPr>
                              <w:alias w:val="Author"/>
                              <w:tag w:val=""/>
                              <w:id w:val="945428907"/>
                              <w:dataBinding w:prefixMappings="xmlns:ns0='http://purl.org/dc/elements/1.1/' xmlns:ns1='http://schemas.openxmlformats.org/package/2006/metadata/core-properties' " w:xpath="/ns1:coreProperties[1]/ns0:creator[1]" w:storeItemID="{6C3C8BC8-F283-45AE-878A-BAB7291924A1}"/>
                              <w:text/>
                            </w:sdtPr>
                            <w:sdtEndPr/>
                            <w:sdtContent>
                              <w:p w14:paraId="0EE11FCB" w14:textId="5091D9AC" w:rsidR="00FC0EBF" w:rsidRPr="0035639D" w:rsidRDefault="00BB34CE">
                                <w:pPr>
                                  <w:pStyle w:val="NoSpacing"/>
                                  <w:spacing w:before="120"/>
                                  <w:jc w:val="center"/>
                                  <w:rPr>
                                    <w:color w:val="FFFFFF" w:themeColor="background1"/>
                                    <w:sz w:val="32"/>
                                    <w:szCs w:val="32"/>
                                  </w:rPr>
                                </w:pPr>
                                <w:r>
                                  <w:rPr>
                                    <w:color w:val="FFFFFF" w:themeColor="background1"/>
                                    <w:sz w:val="32"/>
                                    <w:szCs w:val="32"/>
                                    <w:lang w:val="en-AU"/>
                                  </w:rPr>
                                  <w:t>University of Melbourne</w:t>
                                </w:r>
                              </w:p>
                            </w:sdtContent>
                          </w:sdt>
                          <w:p w14:paraId="0EE11FCC" w14:textId="701C9A33" w:rsidR="00FC0EBF" w:rsidRPr="0035639D" w:rsidRDefault="00BB34CE">
                            <w:pPr>
                              <w:pStyle w:val="NoSpacing"/>
                              <w:spacing w:before="120"/>
                              <w:jc w:val="center"/>
                              <w:rPr>
                                <w:color w:val="FFFFFF" w:themeColor="background1"/>
                                <w:sz w:val="32"/>
                                <w:szCs w:val="32"/>
                              </w:rPr>
                            </w:pPr>
                            <w:sdt>
                              <w:sdtPr>
                                <w:rPr>
                                  <w:color w:val="FFFFFF" w:themeColor="background1"/>
                                  <w:sz w:val="32"/>
                                  <w:szCs w:val="32"/>
                                </w:rPr>
                                <w:alias w:val="Company"/>
                                <w:tag w:val=""/>
                                <w:id w:val="1618182777"/>
                                <w:dataBinding w:prefixMappings="xmlns:ns0='http://schemas.openxmlformats.org/officeDocument/2006/extended-properties' " w:xpath="/ns0:Properties[1]/ns0:Company[1]" w:storeItemID="{6668398D-A668-4E3E-A5EB-62B293D839F1}"/>
                                <w:text/>
                              </w:sdtPr>
                              <w:sdtEndPr/>
                              <w:sdtContent>
                                <w:r>
                                  <w:rPr>
                                    <w:color w:val="FFFFFF" w:themeColor="background1"/>
                                    <w:sz w:val="32"/>
                                    <w:szCs w:val="32"/>
                                    <w:lang w:val="en-AU"/>
                                  </w:rPr>
                                  <w:t>University of Melbourne</w:t>
                                </w:r>
                              </w:sdtContent>
                            </w:sdt>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TqsIA&#10;AADcAAAADwAAAGRycy9kb3ducmV2LnhtbERPS4vCMBC+C/6HMIIXWdO1oGs1ig/E9aguLN6GZmyL&#10;zaTbRK3/3ggL3ubje8503phS3Kh2hWUFn/0IBHFqdcGZgp/j5uMLhPPIGkvLpOBBDuazdmuKibZ3&#10;3tPt4DMRQtglqCD3vkqkdGlOBl3fVsSBO9vaoA+wzqSu8R7CTSkHUTSUBgsODTlWtMopvRyuRsF4&#10;6fdx7/cUV9s/s8bsujvGo5NS3U6zmIDw1Pi3+N/9rcP88RBez4QL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OqwgAAANwAAAAPAAAAAAAAAAAAAAAAAJgCAABkcnMvZG93&#10;bnJldi54bWxQSwUGAAAAAAQABAD1AAAAhwMAAAAA&#10;" fillcolor="white [3212]" stroked="f" strokeweight=".5pt">
                      <v:textbox inset="36pt,7.2pt,36pt,7.2pt">
                        <w:txbxContent>
                          <w:sdt>
                            <w:sdtPr>
                              <w:rPr>
                                <w:rFonts w:asciiTheme="majorHAnsi" w:eastAsiaTheme="majorEastAsia" w:hAnsiTheme="majorHAnsi" w:cstheme="majorBidi"/>
                                <w:caps/>
                                <w:color w:val="4472C4" w:themeColor="accent1"/>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EE11FCD" w14:textId="0C2670FB" w:rsidR="00FC0EBF" w:rsidRDefault="00BB34CE">
                                <w:pPr>
                                  <w:pStyle w:val="NoSpacing"/>
                                  <w:jc w:val="center"/>
                                  <w:rPr>
                                    <w:rFonts w:asciiTheme="majorHAnsi" w:eastAsiaTheme="majorEastAsia" w:hAnsiTheme="majorHAnsi" w:cstheme="majorBidi"/>
                                    <w:caps/>
                                    <w:color w:val="4472C4" w:themeColor="accent1"/>
                                    <w:sz w:val="72"/>
                                    <w:szCs w:val="72"/>
                                  </w:rPr>
                                </w:pPr>
                                <w:r>
                                  <w:rPr>
                                    <w:rFonts w:asciiTheme="majorHAnsi" w:eastAsiaTheme="majorEastAsia" w:hAnsiTheme="majorHAnsi" w:cstheme="majorBidi"/>
                                    <w:caps/>
                                    <w:color w:val="4472C4" w:themeColor="accent1"/>
                                    <w:sz w:val="72"/>
                                    <w:szCs w:val="72"/>
                                    <w:lang w:val="en-AU"/>
                                  </w:rPr>
                                  <w:t>Submission 83 - University of Melbourne - National Water Reform - Public inquiry</w:t>
                                </w:r>
                              </w:p>
                            </w:sdtContent>
                          </w:sdt>
                        </w:txbxContent>
                      </v:textbox>
                    </v:shape>
                    <w10:wrap anchorx="page" anchory="page"/>
                  </v:group>
                </w:pict>
              </mc:Fallback>
            </mc:AlternateContent>
          </w:r>
        </w:p>
        <w:p w14:paraId="0EE11F3D" w14:textId="77777777" w:rsidR="00FC0EBF" w:rsidRDefault="00FC0EBF">
          <w:pPr>
            <w:rPr>
              <w:rFonts w:asciiTheme="majorHAnsi" w:eastAsiaTheme="majorEastAsia" w:hAnsiTheme="majorHAnsi" w:cstheme="majorBidi"/>
              <w:color w:val="2F5496" w:themeColor="accent1" w:themeShade="BF"/>
              <w:sz w:val="32"/>
              <w:szCs w:val="32"/>
            </w:rPr>
          </w:pPr>
          <w:r>
            <w:br w:type="page"/>
          </w:r>
        </w:p>
      </w:sdtContent>
    </w:sdt>
    <w:p w14:paraId="0EE11F3E" w14:textId="77777777" w:rsidR="00516AC0" w:rsidRDefault="00246D29" w:rsidP="00FC0EBF">
      <w:pPr>
        <w:pStyle w:val="Heading1"/>
      </w:pPr>
      <w:r>
        <w:lastRenderedPageBreak/>
        <w:t>National Water Reform: Issues Paper</w:t>
      </w:r>
    </w:p>
    <w:p w14:paraId="0EE11F3F" w14:textId="77777777" w:rsidR="00246D29" w:rsidRDefault="00246D29" w:rsidP="00246D29">
      <w:pPr>
        <w:pStyle w:val="Heading2"/>
      </w:pPr>
      <w:r>
        <w:t>Key recommendation</w:t>
      </w:r>
    </w:p>
    <w:p w14:paraId="0EE11F40" w14:textId="77777777" w:rsidR="00246D29" w:rsidRDefault="00246D29" w:rsidP="00246D29">
      <w:r>
        <w:t xml:space="preserve">The key recommendation of this submission is that the cost of maintaining reliability in a water supply system needs to be made explicit for Australia’s urban centres. Doing so will help ensure the community desires, and is willing to pay for, existing reliability standards. It also makes it possible to operate a portfolio of water supply sources, such as ones comprising traditional rain fed gravity storages and desalination plants. It is important to quantify the costs associated with maintaining a level of reliability before introducing greater use of price to ration water supply as, otherwise, it will encourage shifting the costs of risk to public purse. </w:t>
      </w:r>
    </w:p>
    <w:p w14:paraId="0EE11F41" w14:textId="77777777" w:rsidR="00246D29" w:rsidRPr="00246D29" w:rsidRDefault="00246D29" w:rsidP="00246D29">
      <w:pPr>
        <w:pStyle w:val="Heading1"/>
      </w:pPr>
      <w:r>
        <w:t>Introduction</w:t>
      </w:r>
    </w:p>
    <w:p w14:paraId="0EE11F42" w14:textId="77777777" w:rsidR="009D1DCB" w:rsidRDefault="000814FF">
      <w:r>
        <w:t>The Productivity Commission</w:t>
      </w:r>
      <w:r w:rsidR="00736826">
        <w:t xml:space="preserve">’s </w:t>
      </w:r>
      <w:r w:rsidR="00736826">
        <w:rPr>
          <w:i/>
        </w:rPr>
        <w:t xml:space="preserve">Issues paper </w:t>
      </w:r>
      <w:r>
        <w:t xml:space="preserve">(2017) identified the important role that economic reforms have played in improving the economic efficiency with which the water supply sector operates. It </w:t>
      </w:r>
      <w:r w:rsidR="00276001">
        <w:t xml:space="preserve">reiterated that Australia’s gross domestic product was raised by 0.35 per cent due to improved efficiency in urban water services </w:t>
      </w:r>
      <w:r w:rsidR="00F925C3">
        <w:fldChar w:fldCharType="begin"/>
      </w:r>
      <w:r w:rsidR="00F925C3">
        <w:instrText xml:space="preserve"> ADDIN EN.CITE &lt;EndNote&gt;&lt;Cite&gt;&lt;Author&gt;Commission&lt;/Author&gt;&lt;Year&gt;2005&lt;/Year&gt;&lt;RecNum&gt;86&lt;/RecNum&gt;&lt;DisplayText&gt;(Commission 2005)&lt;/DisplayText&gt;&lt;record&gt;&lt;rec-number&gt;86&lt;/rec-number&gt;&lt;foreign-keys&gt;&lt;key app="EN" db-id="25x92wfzmexzaoepezb5d20t00tzvzepe99z" timestamp="1502860132"&gt;86&lt;/key&gt;&lt;/foreign-keys&gt;&lt;ref-type name="Journal Article"&gt;17&lt;/ref-type&gt;&lt;contributors&gt;&lt;authors&gt;&lt;author&gt;Productivity Commission&lt;/author&gt;&lt;/authors&gt;&lt;/contributors&gt;&lt;titles&gt;&lt;title&gt;Review of National Competition Policy reforms&lt;/title&gt;&lt;/titles&gt;&lt;dates&gt;&lt;year&gt;2005&lt;/year&gt;&lt;/dates&gt;&lt;urls&gt;&lt;/urls&gt;&lt;/record&gt;&lt;/Cite&gt;&lt;/EndNote&gt;</w:instrText>
      </w:r>
      <w:r w:rsidR="00F925C3">
        <w:fldChar w:fldCharType="separate"/>
      </w:r>
      <w:r w:rsidR="00F925C3">
        <w:rPr>
          <w:noProof/>
        </w:rPr>
        <w:t>(Commission 2005)</w:t>
      </w:r>
      <w:r w:rsidR="00F925C3">
        <w:fldChar w:fldCharType="end"/>
      </w:r>
      <w:r w:rsidR="00276001">
        <w:t xml:space="preserve"> and</w:t>
      </w:r>
      <w:r w:rsidR="009D1DCB">
        <w:t>, if these gains were continued</w:t>
      </w:r>
      <w:r w:rsidR="00276001">
        <w:t xml:space="preserve">, </w:t>
      </w:r>
      <w:r w:rsidR="009D1DCB">
        <w:t xml:space="preserve">Australia’s economy would be </w:t>
      </w:r>
      <w:r w:rsidR="009D1DCB" w:rsidRPr="009D1DCB">
        <w:t>$5 billion</w:t>
      </w:r>
      <w:r w:rsidR="009D1DCB">
        <w:t xml:space="preserve"> larger</w:t>
      </w:r>
      <w:r w:rsidR="009D1DCB" w:rsidRPr="009D1DCB">
        <w:t>.</w:t>
      </w:r>
      <w:r w:rsidR="009D1DCB">
        <w:t xml:space="preserve"> This submission would argue that, without appropriate changes to the regulatory framework </w:t>
      </w:r>
      <w:r w:rsidR="00F8161F">
        <w:t xml:space="preserve">governing urban water supplies, </w:t>
      </w:r>
      <w:r w:rsidR="00714538">
        <w:t xml:space="preserve">increasing the use of price to </w:t>
      </w:r>
      <w:r w:rsidR="00956D06">
        <w:t>ration water</w:t>
      </w:r>
      <w:r w:rsidR="00714538">
        <w:t xml:space="preserve"> will </w:t>
      </w:r>
      <w:r w:rsidR="00F8161F">
        <w:t xml:space="preserve">exacerbate </w:t>
      </w:r>
      <w:r w:rsidR="00714538">
        <w:t xml:space="preserve">structural </w:t>
      </w:r>
      <w:r w:rsidR="004B6384">
        <w:t xml:space="preserve">resource </w:t>
      </w:r>
      <w:r w:rsidR="00714538">
        <w:t>allocation issues for the sector. The result would be reforms designed to improve efficiencies would result in increased risks</w:t>
      </w:r>
      <w:r w:rsidR="004B6384">
        <w:t xml:space="preserve"> of reservoir failure</w:t>
      </w:r>
      <w:r w:rsidR="00714538">
        <w:t xml:space="preserve">, and associated costs, being transferred to the public. </w:t>
      </w:r>
    </w:p>
    <w:p w14:paraId="0EE11F43" w14:textId="77777777" w:rsidR="00F8161F" w:rsidRDefault="00916CF1">
      <w:r>
        <w:t xml:space="preserve">The Issues </w:t>
      </w:r>
      <w:r w:rsidR="00714538">
        <w:t>P</w:t>
      </w:r>
      <w:r>
        <w:t xml:space="preserve">aper raised a range of issues for consideration. Of those issues, this submission will address: </w:t>
      </w:r>
    </w:p>
    <w:p w14:paraId="0EE11F44" w14:textId="77777777" w:rsidR="00DE30A6" w:rsidRPr="00CA63BE" w:rsidRDefault="00DE30A6" w:rsidP="00CA63BE">
      <w:pPr>
        <w:pStyle w:val="ListBullet"/>
        <w:rPr>
          <w:spacing w:val="-2"/>
        </w:rPr>
      </w:pPr>
      <w:r w:rsidRPr="00CA63BE">
        <w:rPr>
          <w:spacing w:val="-2"/>
        </w:rPr>
        <w:t xml:space="preserve">What policy and institutional arrangements are needed in the urban water sector to improve the efficiency of service provision? </w:t>
      </w:r>
    </w:p>
    <w:p w14:paraId="0EE11F45" w14:textId="77777777" w:rsidR="00DE30A6" w:rsidRPr="00CA63BE" w:rsidRDefault="00DE30A6" w:rsidP="00CA63BE">
      <w:pPr>
        <w:pStyle w:val="ListBullet"/>
        <w:rPr>
          <w:spacing w:val="-2"/>
        </w:rPr>
      </w:pPr>
      <w:r w:rsidRPr="00CA63BE">
        <w:rPr>
          <w:spacing w:val="-2"/>
        </w:rPr>
        <w:t>What approach should be taken to price regulation in the urban water sector? Is there a need for greater consistency in price setting approaches across different jurisdictions? Do current pricing practices promote investor confidence?</w:t>
      </w:r>
    </w:p>
    <w:p w14:paraId="0EE11F46" w14:textId="77777777" w:rsidR="00DE30A6" w:rsidRPr="00CA63BE" w:rsidRDefault="00DE30A6" w:rsidP="00DE30A6">
      <w:pPr>
        <w:pStyle w:val="ListBullet"/>
        <w:rPr>
          <w:spacing w:val="-2"/>
        </w:rPr>
      </w:pPr>
      <w:r w:rsidRPr="00CA63BE">
        <w:rPr>
          <w:spacing w:val="-2"/>
        </w:rPr>
        <w:t>How can the level of competition in the provision of urban water services be increased?</w:t>
      </w:r>
    </w:p>
    <w:p w14:paraId="0EE11F47" w14:textId="77777777" w:rsidR="00CA63BE" w:rsidRPr="00CA63BE" w:rsidRDefault="00CA63BE" w:rsidP="00DE30A6">
      <w:pPr>
        <w:pStyle w:val="ListBullet"/>
        <w:rPr>
          <w:spacing w:val="-2"/>
        </w:rPr>
      </w:pPr>
      <w:r w:rsidRPr="002537EC">
        <w:rPr>
          <w:spacing w:val="-2"/>
        </w:rPr>
        <w:t>How can demand management approaches such as water restrictions and water</w:t>
      </w:r>
      <w:r w:rsidRPr="002537EC">
        <w:rPr>
          <w:spacing w:val="-2"/>
        </w:rPr>
        <w:noBreakHyphen/>
        <w:t>use ef</w:t>
      </w:r>
      <w:r w:rsidRPr="00CA63BE">
        <w:rPr>
          <w:spacing w:val="-2"/>
        </w:rPr>
        <w:t>ficiency measures best contribute to the efficiency of urban water services?</w:t>
      </w:r>
    </w:p>
    <w:p w14:paraId="0EE11F48" w14:textId="77777777" w:rsidR="00DE30A6" w:rsidRDefault="00DE30A6">
      <w:r>
        <w:t xml:space="preserve">At their heart, economic criticism of </w:t>
      </w:r>
      <w:r w:rsidR="00CA63BE">
        <w:t xml:space="preserve">existing </w:t>
      </w:r>
      <w:r>
        <w:t xml:space="preserve">urban water </w:t>
      </w:r>
      <w:r w:rsidR="00CA63BE">
        <w:t xml:space="preserve">supply system operations </w:t>
      </w:r>
      <w:r w:rsidR="004B6384">
        <w:t>is</w:t>
      </w:r>
      <w:r w:rsidR="00CA63BE">
        <w:t xml:space="preserve"> that they do not appreciate the responsiveness of demand to price and its effectiveness as a means of rationing available water. However, the failure of economic remedies is</w:t>
      </w:r>
      <w:r w:rsidR="004B6384">
        <w:t xml:space="preserve"> in</w:t>
      </w:r>
      <w:r w:rsidR="00CA63BE">
        <w:t xml:space="preserve"> not adequately addressing the hydrological risk to which urban water supplies are subject. </w:t>
      </w:r>
    </w:p>
    <w:p w14:paraId="0EE11F49" w14:textId="77777777" w:rsidR="00CA63BE" w:rsidRDefault="00CA63BE" w:rsidP="004B344A">
      <w:r>
        <w:t>Economists have a long history of encouraging the use of marginal</w:t>
      </w:r>
      <w:r w:rsidR="004B6384">
        <w:t xml:space="preserve"> pricing to ration water stocks. However,</w:t>
      </w:r>
      <w:r>
        <w:t xml:space="preserve"> the urban water sector prefers to the rely on quantity controls</w:t>
      </w:r>
      <w:r w:rsidR="004B6384">
        <w:t xml:space="preserve">, imposing </w:t>
      </w:r>
      <w:r>
        <w:t xml:space="preserve">homogenous restrictions in times of anticipated shortfalls in supply. </w:t>
      </w:r>
      <w:r w:rsidR="004B6384">
        <w:t xml:space="preserve">Rather than price to ration water availability they tend to use inclining block tariffs to signal scarcity. </w:t>
      </w:r>
      <w:r w:rsidR="00F925C3">
        <w:fldChar w:fldCharType="begin"/>
      </w:r>
      <w:r w:rsidR="00F925C3">
        <w:instrText xml:space="preserve"> ADDIN EN.CITE &lt;EndNote&gt;&lt;Cite&gt;&lt;Author&gt;Hewitt&lt;/Author&gt;&lt;Year&gt;2000&lt;/Year&gt;&lt;RecNum&gt;89&lt;/RecNum&gt;&lt;DisplayText&gt;(Hewitt 2000)&lt;/DisplayText&gt;&lt;record&gt;&lt;rec-number&gt;89&lt;/rec-number&gt;&lt;foreign-keys&gt;&lt;key app="EN" db-id="25x92wfzmexzaoepezb5d20t00tzvzepe99z" timestamp="1502873747"&gt;89&lt;/key&gt;&lt;/foreign-keys&gt;&lt;ref-type name="Book Section"&gt;5&lt;/ref-type&gt;&lt;contributors&gt;&lt;authors&gt;&lt;author&gt;Hewitt, J. A. &lt;/author&gt;&lt;/authors&gt;&lt;secondary-authors&gt;&lt;author&gt;A. Dinar&lt;/author&gt;&lt;/secondary-authors&gt;&lt;/contributors&gt;&lt;titles&gt;&lt;title&gt;An investigation into the reasons why water utilities choose particular residential rate structures&lt;/title&gt;&lt;secondary-title&gt;The Political Economy of Water Pricing Reforms&lt;/secondary-title&gt;&lt;/titles&gt;&lt;pages&gt;259–277&lt;/pages&gt;&lt;section&gt;12&lt;/section&gt;&lt;dates&gt;&lt;year&gt;2000&lt;/year&gt;&lt;/dates&gt;&lt;pub-location&gt; New York.&lt;/pub-location&gt;&lt;publisher&gt;Oxford Univ. Press,&lt;/publisher&gt;&lt;urls&gt;&lt;/urls&gt;&lt;/record&gt;&lt;/Cite&gt;&lt;/EndNote&gt;</w:instrText>
      </w:r>
      <w:r w:rsidR="00F925C3">
        <w:fldChar w:fldCharType="separate"/>
      </w:r>
      <w:r w:rsidR="00F925C3">
        <w:rPr>
          <w:noProof/>
        </w:rPr>
        <w:t>(Hewitt 2000)</w:t>
      </w:r>
      <w:r w:rsidR="00F925C3">
        <w:fldChar w:fldCharType="end"/>
      </w:r>
      <w:r w:rsidR="004B344A">
        <w:t xml:space="preserve"> observes that ‘‘utilities are more likely to voluntarily adopt . . . [</w:t>
      </w:r>
      <w:proofErr w:type="spellStart"/>
      <w:r w:rsidR="004B344A">
        <w:t>IBT</w:t>
      </w:r>
      <w:proofErr w:type="spellEnd"/>
      <w:r w:rsidR="004B344A">
        <w:t>] if they are located in climates characterized by some combination of hot, dry, sunny, and lengthy growing season,’’ such as in Europe’s Mediterranean countries of Portugal, Spain, Italy, Greece, and Turkey.</w:t>
      </w:r>
      <w:r w:rsidR="004B6384">
        <w:t xml:space="preserve"> </w:t>
      </w:r>
      <w:r w:rsidR="00F925C3">
        <w:fldChar w:fldCharType="begin"/>
      </w:r>
      <w:r w:rsidR="00F925C3">
        <w:instrText xml:space="preserve"> ADDIN EN.CITE &lt;EndNote&gt;&lt;Cite&gt;&lt;Author&gt;Monteiro&lt;/Author&gt;&lt;Year&gt;2011&lt;/Year&gt;&lt;RecNum&gt;87&lt;/RecNum&gt;&lt;DisplayText&gt;(Monteiro and Roseta‐Palma 2011)&lt;/DisplayText&gt;&lt;record&gt;&lt;rec-number&gt;87&lt;/rec-number&gt;&lt;foreign-keys&gt;&lt;key app="EN" db-id="25x92wfzmexzaoepezb5d20t00tzvzepe99z" timestamp="1502860528"&gt;87&lt;/key&gt;&lt;/foreign-keys&gt;&lt;ref-type name="Journal Article"&gt;17&lt;/ref-type&gt;&lt;contributors&gt;&lt;authors&gt;&lt;author&gt;Monteiro, Henrique&lt;/author&gt;&lt;author&gt;Roseta‐Palma, Catarina&lt;/author&gt;&lt;/authors&gt;&lt;/contributors&gt;&lt;titles&gt;&lt;title&gt;Pricing for scarcity? An efficiency analysis of increasing block tariffs&lt;/title&gt;&lt;secondary-title&gt;Water Resources Research&lt;/secondary-title&gt;&lt;/titles&gt;&lt;periodical&gt;&lt;full-title&gt;Water Resources Research&lt;/full-title&gt;&lt;/periodical&gt;&lt;volume&gt;47&lt;/volume&gt;&lt;number&gt;6&lt;/number&gt;&lt;dates&gt;&lt;year&gt;2011&lt;/year&gt;&lt;/dates&gt;&lt;isbn&gt;1944-7973&lt;/isbn&gt;&lt;urls&gt;&lt;/urls&gt;&lt;/record&gt;&lt;/Cite&gt;&lt;/EndNote&gt;</w:instrText>
      </w:r>
      <w:r w:rsidR="00F925C3">
        <w:fldChar w:fldCharType="separate"/>
      </w:r>
      <w:r w:rsidR="00F925C3">
        <w:rPr>
          <w:noProof/>
        </w:rPr>
        <w:t>(Monteiro and Roseta‐Palma 2011)</w:t>
      </w:r>
      <w:r w:rsidR="00F925C3">
        <w:fldChar w:fldCharType="end"/>
      </w:r>
      <w:r w:rsidR="000B2AAB">
        <w:t xml:space="preserve"> </w:t>
      </w:r>
      <w:r>
        <w:t xml:space="preserve">find that </w:t>
      </w:r>
      <w:proofErr w:type="spellStart"/>
      <w:r>
        <w:t>IBTs</w:t>
      </w:r>
      <w:proofErr w:type="spellEnd"/>
      <w:r>
        <w:t xml:space="preserve"> may reflect consumer preferences reflecting the fact that </w:t>
      </w:r>
      <w:proofErr w:type="spellStart"/>
      <w:r>
        <w:t>IBTs</w:t>
      </w:r>
      <w:proofErr w:type="spellEnd"/>
      <w:r>
        <w:t xml:space="preserve"> are concentrated in jurisdictions with hotter and drier climates.</w:t>
      </w:r>
      <w:r w:rsidRPr="00443296">
        <w:t xml:space="preserve"> </w:t>
      </w:r>
      <w:r>
        <w:t xml:space="preserve">This finding is confirmed by several recent Organisation for Economic </w:t>
      </w:r>
      <w:r>
        <w:lastRenderedPageBreak/>
        <w:t xml:space="preserve">Co-operation and Development (OECD) publications </w:t>
      </w:r>
      <w:r w:rsidR="00F925C3">
        <w:fldChar w:fldCharType="begin"/>
      </w:r>
      <w:r w:rsidR="00F925C3">
        <w:instrText xml:space="preserve"> ADDIN EN.CITE &lt;EndNote&gt;&lt;Cite&gt;&lt;Author&gt;OECD&lt;/Author&gt;&lt;Year&gt;2003&lt;/Year&gt;&lt;RecNum&gt;90&lt;/RecNum&gt;&lt;DisplayText&gt;(OECD 2003, OECD 2006, OECD 2009)&lt;/DisplayText&gt;&lt;record&gt;&lt;rec-number&gt;90&lt;/rec-number&gt;&lt;foreign-keys&gt;&lt;key app="EN" db-id="25x92wfzmexzaoepezb5d20t00tzvzepe99z" timestamp="1502873943"&gt;90&lt;/key&gt;&lt;/foreign-keys&gt;&lt;ref-type name="Report"&gt;27&lt;/ref-type&gt;&lt;contributors&gt;&lt;authors&gt;&lt;author&gt;OECD, Organisation for Economic Co-operation and Development&lt;/author&gt;&lt;/authors&gt;&lt;/contributors&gt;&lt;titles&gt;&lt;title&gt;Social Issues in the Provision and Pricing of Water Services&lt;/title&gt;&lt;/titles&gt;&lt;dates&gt;&lt;year&gt;2003&lt;/year&gt;&lt;/dates&gt;&lt;pub-location&gt;Paris&lt;/pub-location&gt;&lt;urls&gt;&lt;/urls&gt;&lt;/record&gt;&lt;/Cite&gt;&lt;Cite&gt;&lt;Author&gt;OECD&lt;/Author&gt;&lt;Year&gt;2006&lt;/Year&gt;&lt;RecNum&gt;91&lt;/RecNum&gt;&lt;record&gt;&lt;rec-number&gt;91&lt;/rec-number&gt;&lt;foreign-keys&gt;&lt;key app="EN" db-id="25x92wfzmexzaoepezb5d20t00tzvzepe99z" timestamp="1502873990"&gt;91&lt;/key&gt;&lt;/foreign-keys&gt;&lt;ref-type name="Report"&gt;27&lt;/ref-type&gt;&lt;contributors&gt;&lt;authors&gt;&lt;author&gt;OECD, Organisation for Economic Co-operation and Development&lt;/author&gt;&lt;/authors&gt;&lt;/contributors&gt;&lt;titles&gt;&lt;title&gt;Water: The Experience in OECD Countries &lt;/title&gt;&lt;secondary-title&gt;Environmental Performance Reviews&lt;/secondary-title&gt;&lt;/titles&gt;&lt;dates&gt;&lt;year&gt;2006&lt;/year&gt;&lt;/dates&gt;&lt;pub-location&gt;Paris&lt;/pub-location&gt;&lt;urls&gt;&lt;/urls&gt;&lt;/record&gt;&lt;/Cite&gt;&lt;Cite&gt;&lt;Author&gt;OECD&lt;/Author&gt;&lt;Year&gt;2009&lt;/Year&gt;&lt;RecNum&gt;92&lt;/RecNum&gt;&lt;record&gt;&lt;rec-number&gt;92&lt;/rec-number&gt;&lt;foreign-keys&gt;&lt;key app="EN" db-id="25x92wfzmexzaoepezb5d20t00tzvzepe99z" timestamp="1502874037"&gt;92&lt;/key&gt;&lt;/foreign-keys&gt;&lt;ref-type name="Report"&gt;27&lt;/ref-type&gt;&lt;contributors&gt;&lt;authors&gt;&lt;author&gt;OECD, Organisation for Economic Co-operation and Development&lt;/author&gt;&lt;/authors&gt;&lt;/contributors&gt;&lt;titles&gt;&lt;title&gt;Managing Water for All: An OECD Perspective on Pricing and Financing&lt;/title&gt;&lt;/titles&gt;&lt;dates&gt;&lt;year&gt;2009&lt;/year&gt;&lt;/dates&gt;&lt;pub-location&gt;Paris&lt;/pub-location&gt;&lt;urls&gt;&lt;/urls&gt;&lt;/record&gt;&lt;/Cite&gt;&lt;/EndNote&gt;</w:instrText>
      </w:r>
      <w:r w:rsidR="00F925C3">
        <w:fldChar w:fldCharType="separate"/>
      </w:r>
      <w:r w:rsidR="00F925C3">
        <w:rPr>
          <w:noProof/>
        </w:rPr>
        <w:t>(OECD 2003, OECD 2006, OECD 2009)</w:t>
      </w:r>
      <w:r w:rsidR="00F925C3">
        <w:fldChar w:fldCharType="end"/>
      </w:r>
      <w:r w:rsidR="00ED2328">
        <w:t>.</w:t>
      </w:r>
      <w:r>
        <w:t xml:space="preserve">This may explain why </w:t>
      </w:r>
      <w:proofErr w:type="spellStart"/>
      <w:r>
        <w:t>IBTs</w:t>
      </w:r>
      <w:proofErr w:type="spellEnd"/>
      <w:r>
        <w:t xml:space="preserve"> are a feature of mainland Australia but are not used in Tasmania.</w:t>
      </w:r>
    </w:p>
    <w:p w14:paraId="0EE11F4A" w14:textId="77777777" w:rsidR="00CA63BE" w:rsidRDefault="00575FA0" w:rsidP="00AC408E">
      <w:r>
        <w:t xml:space="preserve">The </w:t>
      </w:r>
      <w:r w:rsidR="00CA63BE">
        <w:t xml:space="preserve">Productivity Commission’s review of the urban water sector </w:t>
      </w:r>
      <w:r w:rsidR="00F925C3">
        <w:fldChar w:fldCharType="begin"/>
      </w:r>
      <w:r w:rsidR="00F925C3">
        <w:instrText xml:space="preserve"> ADDIN EN.CITE &lt;EndNote&gt;&lt;Cite&gt;&lt;Author&gt;Productivity Commission&lt;/Author&gt;&lt;Year&gt;2011&lt;/Year&gt;&lt;RecNum&gt;38&lt;/RecNum&gt;&lt;DisplayText&gt;(Productivity Commission 2011)&lt;/DisplayText&gt;&lt;record&gt;&lt;rec-number&gt;38&lt;/rec-number&gt;&lt;foreign-keys&gt;&lt;key app="EN" db-id="25x92wfzmexzaoepezb5d20t00tzvzepe99z" timestamp="1492479664"&gt;38&lt;/key&gt;&lt;/foreign-keys&gt;&lt;ref-type name="Journal Article"&gt;17&lt;/ref-type&gt;&lt;contributors&gt;&lt;authors&gt;&lt;author&gt;Productivity Commission,&lt;/author&gt;&lt;/authors&gt;&lt;/contributors&gt;&lt;titles&gt;&lt;title&gt;Australia’s urban water sector&lt;/title&gt;&lt;secondary-title&gt;Inquiry report&lt;/secondary-title&gt;&lt;/titles&gt;&lt;periodical&gt;&lt;full-title&gt;Inquiry report&lt;/full-title&gt;&lt;/periodical&gt;&lt;number&gt;55&lt;/number&gt;&lt;dates&gt;&lt;year&gt;2011&lt;/year&gt;&lt;/dates&gt;&lt;urls&gt;&lt;/urls&gt;&lt;/record&gt;&lt;/Cite&gt;&lt;/EndNote&gt;</w:instrText>
      </w:r>
      <w:r w:rsidR="00F925C3">
        <w:fldChar w:fldCharType="separate"/>
      </w:r>
      <w:r w:rsidR="00F925C3">
        <w:rPr>
          <w:noProof/>
        </w:rPr>
        <w:t>(Productivity Commission 2011)</w:t>
      </w:r>
      <w:r w:rsidR="00F925C3">
        <w:fldChar w:fldCharType="end"/>
      </w:r>
      <w:r>
        <w:t xml:space="preserve">, along with other economists </w:t>
      </w:r>
      <w:r w:rsidR="00F925C3">
        <w:fldChar w:fldCharType="begin"/>
      </w:r>
      <w:r w:rsidR="00F925C3">
        <w:instrText xml:space="preserve"> ADDIN EN.CITE &lt;EndNote&gt;&lt;Cite&gt;&lt;Author&gt;Grafton&lt;/Author&gt;&lt;Year&gt;2008&lt;/Year&gt;&lt;RecNum&gt;88&lt;/RecNum&gt;&lt;DisplayText&gt;(Grafton 2008, )&lt;/DisplayText&gt;&lt;record&gt;&lt;rec-number&gt;88&lt;/rec-number&gt;&lt;foreign-keys&gt;&lt;key app="EN" db-id="25x92wfzmexzaoepezb5d20t00tzvzepe99z" timestamp="1502860744"&gt;88&lt;/key&gt;&lt;/foreign-keys&gt;&lt;ref-type name="Journal Article"&gt;17&lt;/ref-type&gt;&lt;contributors&gt;&lt;authors&gt;&lt;author&gt;Grafton, R. Q. and Ward, M. B. &lt;/author&gt;&lt;/authors&gt;&lt;/contributors&gt;&lt;titles&gt;&lt;title&gt;‘Prices versus rationing: Marshallian surplus and mandatory water restrictions’&lt;/title&gt;&lt;secondary-title&gt;Economic Record&lt;/secondary-title&gt;&lt;/titles&gt;&lt;periodical&gt;&lt;full-title&gt;Economic Record&lt;/full-title&gt;&lt;/periodical&gt;&lt;pages&gt;pp. S57–65.&lt;/pages&gt;&lt;volume&gt;Vol. 84&lt;/volume&gt;&lt;number&gt;Special Issue &lt;/number&gt;&lt;dates&gt;&lt;year&gt;2008, &lt;/year&gt;&lt;/dates&gt;&lt;urls&gt;&lt;/urls&gt;&lt;/record&gt;&lt;/Cite&gt;&lt;/EndNote&gt;</w:instrText>
      </w:r>
      <w:r w:rsidR="00F925C3">
        <w:fldChar w:fldCharType="separate"/>
      </w:r>
      <w:r w:rsidR="00F925C3">
        <w:rPr>
          <w:noProof/>
        </w:rPr>
        <w:t>(Grafton 2008, )</w:t>
      </w:r>
      <w:r w:rsidR="00F925C3">
        <w:fldChar w:fldCharType="end"/>
      </w:r>
      <w:r w:rsidR="00AC408E">
        <w:t>,</w:t>
      </w:r>
      <w:r>
        <w:t xml:space="preserve"> </w:t>
      </w:r>
      <w:r w:rsidR="00CA63BE">
        <w:t xml:space="preserve">estimated that </w:t>
      </w:r>
      <w:r>
        <w:t xml:space="preserve">water restrictions </w:t>
      </w:r>
      <w:r w:rsidR="00AC408E">
        <w:t xml:space="preserve">costs </w:t>
      </w:r>
      <w:r w:rsidR="00AC408E" w:rsidRPr="00AC408E">
        <w:t xml:space="preserve">about $150 above the cost of achieving the same level of water use with higher water charges </w:t>
      </w:r>
      <w:r>
        <w:t xml:space="preserve">and undermine the capacity of urban water utilities to investment efficiently. </w:t>
      </w:r>
    </w:p>
    <w:p w14:paraId="0EE11F4B" w14:textId="77777777" w:rsidR="000814FF" w:rsidRDefault="00E90522">
      <w:r>
        <w:t>However, this submission argues that the way water scarcity has been defined has misrepresented and oversimplified hydrological risk.</w:t>
      </w:r>
      <w:r w:rsidRPr="00E90522">
        <w:t xml:space="preserve"> </w:t>
      </w:r>
      <w:r>
        <w:t xml:space="preserve">Consequentially, economic reform has the potential for being a cure worse than the disease unless it successfully incorporates the uncertainty that underpins the urban water supply sector.  The focus of economic reform should be on quantifying the costs associated with Australia’s urban water sectors regulatory framework. In particular, ensuring that it incorporates the costs associated with </w:t>
      </w:r>
      <w:r w:rsidR="00575FA0">
        <w:t xml:space="preserve">catastrophic reservoir failure, and </w:t>
      </w:r>
      <w:r>
        <w:t xml:space="preserve">defining the opportunity cost of water in storage given the existence of climate independent water supply sources. </w:t>
      </w:r>
    </w:p>
    <w:p w14:paraId="0EE11F4C" w14:textId="77777777" w:rsidR="00944E79" w:rsidRDefault="00944E79" w:rsidP="00575FA0">
      <w:pPr>
        <w:pStyle w:val="Heading2"/>
      </w:pPr>
      <w:r>
        <w:t>Key points</w:t>
      </w:r>
    </w:p>
    <w:p w14:paraId="0EE11F4D" w14:textId="77777777" w:rsidR="00944E79" w:rsidRDefault="00944E79" w:rsidP="00944E79">
      <w:r>
        <w:t xml:space="preserve">This submission makes a number of key points relating to the questions raised by </w:t>
      </w:r>
      <w:r w:rsidR="00A71C07">
        <w:t xml:space="preserve">the Issues Paper. They are: </w:t>
      </w:r>
    </w:p>
    <w:p w14:paraId="0EE11F4E" w14:textId="77777777" w:rsidR="00944E79" w:rsidRDefault="00944E79" w:rsidP="00A71C07">
      <w:pPr>
        <w:pStyle w:val="ListParagraph"/>
        <w:numPr>
          <w:ilvl w:val="0"/>
          <w:numId w:val="4"/>
        </w:numPr>
      </w:pPr>
      <w:r>
        <w:t>Water supply systems are regulated based on a socially acceptable level of r</w:t>
      </w:r>
      <w:r w:rsidR="00A71C07">
        <w:t xml:space="preserve">isk; </w:t>
      </w:r>
    </w:p>
    <w:p w14:paraId="0EE11F4F" w14:textId="77777777" w:rsidR="00A71C07" w:rsidRDefault="00A71C07" w:rsidP="00A71C07">
      <w:pPr>
        <w:pStyle w:val="ListParagraph"/>
        <w:numPr>
          <w:ilvl w:val="0"/>
          <w:numId w:val="4"/>
        </w:numPr>
      </w:pPr>
      <w:r>
        <w:t xml:space="preserve">The socially acceptable level of risk is </w:t>
      </w:r>
      <w:r w:rsidR="004B6384">
        <w:t xml:space="preserve">met by a combination of </w:t>
      </w:r>
      <w:r>
        <w:t xml:space="preserve">infrastructure and water available; </w:t>
      </w:r>
    </w:p>
    <w:p w14:paraId="0EE11F50" w14:textId="77777777" w:rsidR="00A71C07" w:rsidRDefault="00A71C07" w:rsidP="00A71C07">
      <w:pPr>
        <w:pStyle w:val="ListParagraph"/>
        <w:numPr>
          <w:ilvl w:val="0"/>
          <w:numId w:val="4"/>
        </w:numPr>
      </w:pPr>
      <w:r>
        <w:t xml:space="preserve">Not incorporating the risks associated with reservoir failure within the regulatory framework results in </w:t>
      </w:r>
      <w:r w:rsidR="00714538">
        <w:t>this risk</w:t>
      </w:r>
      <w:r>
        <w:t xml:space="preserve"> being socialised. It also results in inevitable political interference when the risk of failure rises to unacceptable levels, as happened during the Millennial drought; </w:t>
      </w:r>
    </w:p>
    <w:p w14:paraId="0EE11F51" w14:textId="77777777" w:rsidR="00A71C07" w:rsidRDefault="00A71C07" w:rsidP="00A71C07">
      <w:pPr>
        <w:pStyle w:val="ListParagraph"/>
        <w:numPr>
          <w:ilvl w:val="0"/>
          <w:numId w:val="4"/>
        </w:numPr>
      </w:pPr>
      <w:r>
        <w:t xml:space="preserve">Economic reforms that do not quantify and adequately reflect the hydrological risks to which a water supply system </w:t>
      </w:r>
      <w:r w:rsidR="004B6384">
        <w:t xml:space="preserve">is </w:t>
      </w:r>
      <w:r>
        <w:t xml:space="preserve">subject will worsen resource allocation decisions of reservoir operators; </w:t>
      </w:r>
    </w:p>
    <w:p w14:paraId="0EE11F52" w14:textId="77777777" w:rsidR="00714538" w:rsidRDefault="00714538" w:rsidP="00A71C07">
      <w:pPr>
        <w:pStyle w:val="ListParagraph"/>
        <w:numPr>
          <w:ilvl w:val="0"/>
          <w:numId w:val="4"/>
        </w:numPr>
      </w:pPr>
      <w:r>
        <w:t xml:space="preserve">Introducing greater competition into the urban water supply sector, without quantifying the costs associated with reservoir failure, will result in risk shifting to the public; and </w:t>
      </w:r>
    </w:p>
    <w:p w14:paraId="0EE11F53" w14:textId="77777777" w:rsidR="00714538" w:rsidRDefault="00A71C07" w:rsidP="00A71C07">
      <w:pPr>
        <w:pStyle w:val="ListParagraph"/>
        <w:numPr>
          <w:ilvl w:val="0"/>
          <w:numId w:val="4"/>
        </w:numPr>
      </w:pPr>
      <w:r>
        <w:t xml:space="preserve">The cost of maintaining reliability can be quantified and used as the basis for operation decisions and future augmentations. </w:t>
      </w:r>
    </w:p>
    <w:p w14:paraId="0EE11F54" w14:textId="77777777" w:rsidR="00A71C07" w:rsidRDefault="00714538" w:rsidP="00714538">
      <w:pPr>
        <w:pStyle w:val="ListParagraph"/>
        <w:numPr>
          <w:ilvl w:val="1"/>
          <w:numId w:val="4"/>
        </w:numPr>
      </w:pPr>
      <w:r>
        <w:t xml:space="preserve">It would also serve the basis for comparing alternative water supply sources, such as rainwater tanks of stormwater </w:t>
      </w:r>
      <w:r w:rsidR="004B6384">
        <w:t>harvesting</w:t>
      </w:r>
      <w:r>
        <w:t xml:space="preserve">, on a comparable basis. </w:t>
      </w:r>
    </w:p>
    <w:p w14:paraId="0EE11F55" w14:textId="77777777" w:rsidR="00714538" w:rsidRDefault="00714538" w:rsidP="00714538">
      <w:pPr>
        <w:pStyle w:val="ListParagraph"/>
        <w:numPr>
          <w:ilvl w:val="1"/>
          <w:numId w:val="4"/>
        </w:numPr>
      </w:pPr>
      <w:r>
        <w:t xml:space="preserve">It could serve to encourage greater competition in the </w:t>
      </w:r>
      <w:r w:rsidR="00BD6ECE">
        <w:t xml:space="preserve">urban water supply sector as alternative means on the basis of how they reduce the overall costs of maintaining a socially desired level of reliability. </w:t>
      </w:r>
    </w:p>
    <w:p w14:paraId="0EE11F56" w14:textId="77777777" w:rsidR="00BD6ECE" w:rsidRDefault="004B6384" w:rsidP="00714538">
      <w:pPr>
        <w:pStyle w:val="ListParagraph"/>
        <w:numPr>
          <w:ilvl w:val="1"/>
          <w:numId w:val="4"/>
        </w:numPr>
      </w:pPr>
      <w:r>
        <w:t xml:space="preserve">It would also </w:t>
      </w:r>
      <w:r w:rsidR="00BD6ECE">
        <w:t xml:space="preserve">allow for more considered consideration of the what a socially appropriate level of risk </w:t>
      </w:r>
      <w:r>
        <w:t xml:space="preserve">should </w:t>
      </w:r>
      <w:r w:rsidR="00BD6ECE">
        <w:t xml:space="preserve">be. </w:t>
      </w:r>
    </w:p>
    <w:p w14:paraId="0EE11F57" w14:textId="77777777" w:rsidR="00575FA0" w:rsidRDefault="00575FA0" w:rsidP="00575FA0">
      <w:pPr>
        <w:pStyle w:val="Heading2"/>
      </w:pPr>
      <w:r>
        <w:t xml:space="preserve">Scarcity pricing </w:t>
      </w:r>
    </w:p>
    <w:p w14:paraId="0EE11F58" w14:textId="77777777" w:rsidR="00CA63BE" w:rsidRDefault="001E57EB" w:rsidP="00CA63BE">
      <w:r>
        <w:t>Economics suggests that t</w:t>
      </w:r>
      <w:r w:rsidR="00CA63BE">
        <w:t xml:space="preserve">he marginal cost of water for use today should represent the full cost of water, a price which includes the cost of operations, capital replacement, augmentation and the opportunity cost of storing water for use in the future </w:t>
      </w:r>
      <w:r w:rsidR="00F925C3">
        <w:fldChar w:fldCharType="begin"/>
      </w:r>
      <w:r w:rsidR="00F925C3">
        <w:instrText xml:space="preserve"> ADDIN EN.CITE &lt;EndNote&gt;&lt;Cite&gt;&lt;Author&gt;Zetland&lt;/Author&gt;&lt;Year&gt;2013&lt;/Year&gt;&lt;RecNum&gt;93&lt;/RecNum&gt;&lt;DisplayText&gt;(Zetland and Gasson 2013)&lt;/DisplayText&gt;&lt;record&gt;&lt;rec-number&gt;93&lt;/rec-number&gt;&lt;foreign-keys&gt;&lt;key app="EN" db-id="25x92wfzmexzaoepezb5d20t00tzvzepe99z" timestamp="1502874420"&gt;93&lt;/key&gt;&lt;/foreign-keys&gt;&lt;ref-type name="Journal Article"&gt;17&lt;/ref-type&gt;&lt;contributors&gt;&lt;authors&gt;&lt;author&gt;Zetland, David&lt;/author&gt;&lt;author&gt;Gasson, Christopher&lt;/author&gt;&lt;/authors&gt;&lt;/contributors&gt;&lt;titles&gt;&lt;title&gt;A global survey of urban water tariffs: are they sustainable, efficient and fair?&lt;/title&gt;&lt;secondary-title&gt;International Journal of Water Resources Development&lt;/secondary-title&gt;&lt;/titles&gt;&lt;periodical&gt;&lt;full-title&gt;International Journal of Water Resources Development&lt;/full-title&gt;&lt;/periodical&gt;&lt;pages&gt;327-342&lt;/pages&gt;&lt;volume&gt;29&lt;/volume&gt;&lt;number&gt;3&lt;/number&gt;&lt;dates&gt;&lt;year&gt;2013&lt;/year&gt;&lt;pub-dates&gt;&lt;date&gt;2013/09/01&lt;/date&gt;&lt;/pub-dates&gt;&lt;/dates&gt;&lt;publisher&gt;Routledge&lt;/publisher&gt;&lt;isbn&gt;0790-0627&lt;/isbn&gt;&lt;urls&gt;&lt;related-urls&gt;&lt;url&gt;http://dx.doi.org/10.1080/07900627.2012.721672&lt;/url&gt;&lt;/related-urls&gt;&lt;/urls&gt;&lt;electronic-resource-num&gt;10.1080/07900627.2012.721672&lt;/electronic-resource-num&gt;&lt;/record&gt;&lt;/Cite&gt;&lt;/EndNote&gt;</w:instrText>
      </w:r>
      <w:r w:rsidR="00F925C3">
        <w:fldChar w:fldCharType="separate"/>
      </w:r>
      <w:r w:rsidR="00F925C3">
        <w:rPr>
          <w:noProof/>
        </w:rPr>
        <w:t>(Zetland and Gasson 2013)</w:t>
      </w:r>
      <w:r w:rsidR="00F925C3">
        <w:fldChar w:fldCharType="end"/>
      </w:r>
      <w:r w:rsidR="00CA63BE">
        <w:t xml:space="preserve">. By ignoring all of the opportunity costs of a resource, it is undervalued and consequentially overused. </w:t>
      </w:r>
      <w:r w:rsidR="00F925C3">
        <w:fldChar w:fldCharType="begin"/>
      </w:r>
      <w:r w:rsidR="00F925C3">
        <w:instrText xml:space="preserve"> ADDIN EN.CITE &lt;EndNote&gt;&lt;Cite&gt;&lt;Author&gt;Hotelling&lt;/Author&gt;&lt;Year&gt;1931&lt;/Year&gt;&lt;RecNum&gt;94&lt;/RecNum&gt;&lt;DisplayText&gt;(Hotelling 1931)&lt;/DisplayText&gt;&lt;record&gt;&lt;rec-number&gt;94&lt;/rec-number&gt;&lt;foreign-keys&gt;&lt;key app="EN" db-id="25x92wfzmexzaoepezb5d20t00tzvzepe99z" timestamp="1502874547"&gt;94&lt;/key&gt;&lt;/foreign-keys&gt;&lt;ref-type name="Journal Article"&gt;17&lt;/ref-type&gt;&lt;contributors&gt;&lt;authors&gt;&lt;author&gt;Hotelling, H. &lt;/author&gt;&lt;/authors&gt;&lt;/contributors&gt;&lt;titles&gt;&lt;title&gt;The economics of exhaustible resources&lt;/title&gt;&lt;secondary-title&gt;Journal. Polit. Econ.&lt;/secondary-title&gt;&lt;/titles&gt;&lt;periodical&gt;&lt;full-title&gt;Journal. Polit. Econ.&lt;/full-title&gt;&lt;/periodical&gt;&lt;pages&gt;137–175&lt;/pages&gt;&lt;volume&gt;39&lt;/volume&gt;&lt;number&gt;2&lt;/number&gt;&lt;dates&gt;&lt;year&gt;1931&lt;/year&gt;&lt;/dates&gt;&lt;urls&gt;&lt;/urls&gt;&lt;/record&gt;&lt;/Cite&gt;&lt;/EndNote&gt;</w:instrText>
      </w:r>
      <w:r w:rsidR="00F925C3">
        <w:fldChar w:fldCharType="separate"/>
      </w:r>
      <w:r w:rsidR="00F925C3">
        <w:rPr>
          <w:noProof/>
        </w:rPr>
        <w:t>(Hotelling 1931)</w:t>
      </w:r>
      <w:r w:rsidR="00F925C3">
        <w:fldChar w:fldCharType="end"/>
      </w:r>
      <w:r w:rsidR="00CA63BE">
        <w:t xml:space="preserve"> was the first to suggest the application of marginal pricing to ration available water. However, t</w:t>
      </w:r>
      <w:r w:rsidR="00CA63BE" w:rsidRPr="00726CB8">
        <w:t xml:space="preserve">he application of marginal cost pricing was first examined by </w:t>
      </w:r>
      <w:r w:rsidR="00F925C3">
        <w:fldChar w:fldCharType="begin"/>
      </w:r>
      <w:r w:rsidR="00F925C3">
        <w:instrText xml:space="preserve"> ADDIN EN.CITE &lt;EndNote&gt;&lt;Cite&gt;&lt;Author&gt;Dupuit&lt;/Author&gt;&lt;Year&gt;1844&lt;/Year&gt;&lt;RecNum&gt;95&lt;/RecNum&gt;&lt;DisplayText&gt;(Dupuit 1844)&lt;/DisplayText&gt;&lt;record&gt;&lt;rec-number&gt;95&lt;/rec-number&gt;&lt;foreign-keys&gt;&lt;key app="EN" db-id="25x92wfzmexzaoepezb5d20t00tzvzepe99z" timestamp="1502874760"&gt;95&lt;/key&gt;&lt;/foreign-keys&gt;&lt;ref-type name="Journal Article"&gt;17&lt;/ref-type&gt;&lt;contributors&gt;&lt;authors&gt;&lt;author&gt;Dupuit, J. &lt;/author&gt;&lt;/authors&gt;&lt;/contributors&gt;&lt;titles&gt;&lt;title&gt;De la mesure de l’utilité des travaux publics&lt;/title&gt;&lt;secondary-title&gt;Annales des Ponts et Chaussées&lt;/secondary-title&gt;&lt;/titles&gt;&lt;periodical&gt;&lt;full-title&gt;Annales des Ponts et Chaussées&lt;/full-title&gt;&lt;/periodical&gt;&lt;pages&gt;332–375.&lt;/pages&gt;&lt;volume&gt;Memoirs et Documents&lt;/volume&gt;&lt;dates&gt;&lt;year&gt;1844&lt;/year&gt;&lt;/dates&gt;&lt;urls&gt;&lt;/urls&gt;&lt;/record&gt;&lt;/Cite&gt;&lt;/EndNote&gt;</w:instrText>
      </w:r>
      <w:r w:rsidR="00F925C3">
        <w:fldChar w:fldCharType="separate"/>
      </w:r>
      <w:r w:rsidR="00F925C3">
        <w:rPr>
          <w:noProof/>
        </w:rPr>
        <w:t>(Dupuit 1844)</w:t>
      </w:r>
      <w:r w:rsidR="00F925C3">
        <w:fldChar w:fldCharType="end"/>
      </w:r>
      <w:r w:rsidR="00CA63BE" w:rsidRPr="00726CB8">
        <w:t xml:space="preserve"> and elaborated on by </w:t>
      </w:r>
      <w:r w:rsidR="00F925C3">
        <w:fldChar w:fldCharType="begin"/>
      </w:r>
      <w:r w:rsidR="00F925C3">
        <w:instrText xml:space="preserve"> ADDIN EN.CITE &lt;EndNote&gt;&lt;Cite&gt;&lt;Author&gt;Coase&lt;/Author&gt;&lt;Year&gt;1946&lt;/Year&gt;&lt;RecNum&gt;96&lt;/RecNum&gt;&lt;DisplayText&gt;(Coase 1946)&lt;/DisplayText&gt;&lt;record&gt;&lt;rec-number&gt;96&lt;/rec-number&gt;&lt;foreign-keys&gt;&lt;key app="EN" db-id="25x92wfzmexzaoepezb5d20t00tzvzepe99z" timestamp="1502874845"&gt;96&lt;/key&gt;&lt;/foreign-keys&gt;&lt;ref-type name="Journal Article"&gt;17&lt;/ref-type&gt;&lt;contributors&gt;&lt;authors&gt;&lt;author&gt;Coase, R. H. &lt;/author&gt;&lt;/authors&gt;&lt;/contributors&gt;&lt;titles&gt;&lt;title&gt;The marginal cost controversy&lt;/title&gt;&lt;secondary-title&gt;Economica&lt;/secondary-title&gt;&lt;/titles&gt;&lt;periodical&gt;&lt;full-title&gt;Economica&lt;/full-title&gt;&lt;/periodical&gt;&lt;pages&gt;169–182&lt;/pages&gt;&lt;volume&gt;13 &lt;/volume&gt;&lt;number&gt;51&lt;/number&gt;&lt;dates&gt;&lt;year&gt;1946&lt;/year&gt;&lt;/dates&gt;&lt;urls&gt;&lt;/urls&gt;&lt;/record&gt;&lt;/Cite&gt;&lt;/EndNote&gt;</w:instrText>
      </w:r>
      <w:r w:rsidR="00F925C3">
        <w:fldChar w:fldCharType="separate"/>
      </w:r>
      <w:r w:rsidR="00F925C3">
        <w:rPr>
          <w:noProof/>
        </w:rPr>
        <w:t>(Coase 1946)</w:t>
      </w:r>
      <w:r w:rsidR="00F925C3">
        <w:fldChar w:fldCharType="end"/>
      </w:r>
      <w:r w:rsidR="00CA63BE" w:rsidRPr="00726CB8">
        <w:t xml:space="preserve">, while the treatment of capacity constraints and peak load pricing was examined by </w:t>
      </w:r>
      <w:r w:rsidR="00F925C3">
        <w:fldChar w:fldCharType="begin"/>
      </w:r>
      <w:r w:rsidR="00F925C3">
        <w:instrText xml:space="preserve"> ADDIN EN.CITE &lt;EndNote&gt;&lt;Cite&gt;&lt;Author&gt;Boiteux&lt;/Author&gt;&lt;Year&gt;1960&lt;/Year&gt;&lt;RecNum&gt;97&lt;/RecNum&gt;&lt;DisplayText&gt;(Boiteux 1960)&lt;/DisplayText&gt;&lt;record&gt;&lt;rec-number&gt;97&lt;/rec-number&gt;&lt;foreign-keys&gt;&lt;key app="EN" db-id="25x92wfzmexzaoepezb5d20t00tzvzepe99z" timestamp="1502874954"&gt;97&lt;/key&gt;&lt;/foreign-keys&gt;&lt;ref-type name="Journal Article"&gt;17&lt;/ref-type&gt;&lt;contributors&gt;&lt;authors&gt;&lt;author&gt;Boiteux, M. &lt;/author&gt;&lt;/authors&gt;&lt;/contributors&gt;&lt;titles&gt;&lt;title&gt;Peak-load Pricing&lt;/title&gt;&lt;secondary-title&gt;Journal of Business&lt;/secondary-title&gt;&lt;/titles&gt;&lt;periodical&gt;&lt;full-title&gt;Journal of Business&lt;/full-title&gt;&lt;/periodical&gt;&lt;pages&gt;157–179&lt;/pages&gt;&lt;volume&gt;33&lt;/volume&gt;&lt;dates&gt;&lt;year&gt;1960&lt;/year&gt;&lt;/dates&gt;&lt;urls&gt;&lt;/urls&gt;&lt;/record&gt;&lt;/Cite&gt;&lt;/EndNote&gt;</w:instrText>
      </w:r>
      <w:r w:rsidR="00F925C3">
        <w:fldChar w:fldCharType="separate"/>
      </w:r>
      <w:r w:rsidR="00F925C3">
        <w:rPr>
          <w:noProof/>
        </w:rPr>
        <w:t xml:space="preserve">(Boiteux </w:t>
      </w:r>
      <w:r w:rsidR="00F925C3">
        <w:rPr>
          <w:noProof/>
        </w:rPr>
        <w:lastRenderedPageBreak/>
        <w:t>1960)</w:t>
      </w:r>
      <w:r w:rsidR="00F925C3">
        <w:fldChar w:fldCharType="end"/>
      </w:r>
      <w:r w:rsidR="00CA63BE" w:rsidRPr="00726CB8">
        <w:t>.</w:t>
      </w:r>
      <w:r w:rsidR="00CA63BE">
        <w:t xml:space="preserve"> The key challenges for marginal cost pricing in the water sector relate to the seasonal and stochastic variability of the hydrological resource and that the good it delivers to urban consumers is essential for the quality of their life </w:t>
      </w:r>
      <w:r w:rsidR="00F925C3">
        <w:fldChar w:fldCharType="begin"/>
      </w:r>
      <w:r w:rsidR="00F925C3">
        <w:instrText xml:space="preserve"> ADDIN EN.CITE &lt;EndNote&gt;&lt;Cite&gt;&lt;Author&gt;Monteiro&lt;/Author&gt;&lt;Year&gt;2011&lt;/Year&gt;&lt;RecNum&gt;87&lt;/RecNum&gt;&lt;DisplayText&gt;(Monteiro and Roseta‐Palma 2011)&lt;/DisplayText&gt;&lt;record&gt;&lt;rec-number&gt;87&lt;/rec-number&gt;&lt;foreign-keys&gt;&lt;key app="EN" db-id="25x92wfzmexzaoepezb5d20t00tzvzepe99z" timestamp="1502860528"&gt;87&lt;/key&gt;&lt;/foreign-keys&gt;&lt;ref-type name="Journal Article"&gt;17&lt;/ref-type&gt;&lt;contributors&gt;&lt;authors&gt;&lt;author&gt;Monteiro, Henrique&lt;/author&gt;&lt;author&gt;Roseta‐Palma, Catarina&lt;/author&gt;&lt;/authors&gt;&lt;/contributors&gt;&lt;titles&gt;&lt;title&gt;Pricing for scarcity? An efficiency analysis of increasing block tariffs&lt;/title&gt;&lt;secondary-title&gt;Water Resources Research&lt;/secondary-title&gt;&lt;/titles&gt;&lt;periodical&gt;&lt;full-title&gt;Water Resources Research&lt;/full-title&gt;&lt;/periodical&gt;&lt;volume&gt;47&lt;/volume&gt;&lt;number&gt;6&lt;/number&gt;&lt;dates&gt;&lt;year&gt;2011&lt;/year&gt;&lt;/dates&gt;&lt;isbn&gt;1944-7973&lt;/isbn&gt;&lt;urls&gt;&lt;/urls&gt;&lt;/record&gt;&lt;/Cite&gt;&lt;/EndNote&gt;</w:instrText>
      </w:r>
      <w:r w:rsidR="00F925C3">
        <w:fldChar w:fldCharType="separate"/>
      </w:r>
      <w:r w:rsidR="00F925C3">
        <w:rPr>
          <w:noProof/>
        </w:rPr>
        <w:t>(Monteiro and Roseta‐Palma 2011)</w:t>
      </w:r>
      <w:r w:rsidR="00F925C3">
        <w:fldChar w:fldCharType="end"/>
      </w:r>
      <w:r w:rsidR="00CA63BE">
        <w:t>. This creates unique challenges associated with defining capacity constraints.</w:t>
      </w:r>
    </w:p>
    <w:p w14:paraId="0EE11F59" w14:textId="77777777" w:rsidR="00694B9B" w:rsidRDefault="00CA63BE" w:rsidP="00CA63BE">
      <w:r>
        <w:t xml:space="preserve">According to </w:t>
      </w:r>
      <w:r w:rsidR="00F925C3">
        <w:fldChar w:fldCharType="begin"/>
      </w:r>
      <w:r w:rsidR="00F925C3">
        <w:instrText xml:space="preserve"> ADDIN EN.CITE &lt;EndNote&gt;&lt;Cite&gt;&lt;Author&gt;Mann&lt;/Author&gt;&lt;Year&gt;1980&lt;/Year&gt;&lt;RecNum&gt;98&lt;/RecNum&gt;&lt;DisplayText&gt;(Mann 1980)&lt;/DisplayText&gt;&lt;record&gt;&lt;rec-number&gt;98&lt;/rec-number&gt;&lt;foreign-keys&gt;&lt;key app="EN" db-id="25x92wfzmexzaoepezb5d20t00tzvzepe99z" timestamp="1502875154"&gt;98&lt;/key&gt;&lt;/foreign-keys&gt;&lt;ref-type name="Journal Article"&gt;17&lt;/ref-type&gt;&lt;contributors&gt;&lt;authors&gt;&lt;author&gt;Mann, Patrick C., Robert J. Saunders, and Jeremy J. Warford&lt;/author&gt;&lt;/authors&gt;&lt;/contributors&gt;&lt;titles&gt;&lt;title&gt;A Note on Capital Indivisibility and the Definition of Marginal Cost&lt;/title&gt;&lt;secondary-title&gt;Water Resources Research &lt;/secondary-title&gt;&lt;/titles&gt;&lt;periodical&gt;&lt;full-title&gt;Water Resources Research&lt;/full-title&gt;&lt;/periodical&gt;&lt;pages&gt;602-604&lt;/pages&gt;&lt;volume&gt;16&lt;/volume&gt;&lt;dates&gt;&lt;year&gt;1980&lt;/year&gt;&lt;/dates&gt;&lt;urls&gt;&lt;/urls&gt;&lt;/record&gt;&lt;/Cite&gt;&lt;/EndNote&gt;</w:instrText>
      </w:r>
      <w:r w:rsidR="00F925C3">
        <w:fldChar w:fldCharType="separate"/>
      </w:r>
      <w:r w:rsidR="00F925C3">
        <w:rPr>
          <w:noProof/>
        </w:rPr>
        <w:t>(Mann 1980)</w:t>
      </w:r>
      <w:r w:rsidR="00F925C3">
        <w:fldChar w:fldCharType="end"/>
      </w:r>
      <w:r>
        <w:t xml:space="preserve">, if capacity is less than fully utilised, the costs attributable to additional usage are additional operating costs, or short-run marginal costs. Long run marginal costs refer to the sum of short run marginal costs and the capital costs of a </w:t>
      </w:r>
      <w:r w:rsidRPr="00E971F5">
        <w:t xml:space="preserve">marginal </w:t>
      </w:r>
      <w:r>
        <w:t xml:space="preserve">expansion of </w:t>
      </w:r>
      <w:r w:rsidRPr="00E971F5">
        <w:t>capacity, the latter being defined as the cost of extending capacity to accommodate an additional unit of consumption</w:t>
      </w:r>
      <w:r>
        <w:t xml:space="preserve">. Long run marginal cost </w:t>
      </w:r>
      <w:r w:rsidR="00694B9B">
        <w:t>(</w:t>
      </w:r>
      <w:proofErr w:type="spellStart"/>
      <w:r w:rsidR="00694B9B">
        <w:t>LRMC</w:t>
      </w:r>
      <w:proofErr w:type="spellEnd"/>
      <w:r w:rsidR="00694B9B">
        <w:t xml:space="preserve">) </w:t>
      </w:r>
      <w:r>
        <w:t xml:space="preserve">calculations implicitly are based on long term hydrological expectations and demand, see </w:t>
      </w:r>
      <w:r w:rsidR="00F925C3">
        <w:fldChar w:fldCharType="begin"/>
      </w:r>
      <w:r w:rsidR="00F925C3">
        <w:instrText xml:space="preserve"> ADDIN EN.CITE &lt;EndNote&gt;&lt;Cite&gt;&lt;Author&gt;Griffin&lt;/Author&gt;&lt;Year&gt;2002&lt;/Year&gt;&lt;RecNum&gt;77&lt;/RecNum&gt;&lt;DisplayText&gt;(Griffin 2002)&lt;/DisplayText&gt;&lt;record&gt;&lt;rec-number&gt;77&lt;/rec-number&gt;&lt;foreign-keys&gt;&lt;key app="EN" db-id="25x92wfzmexzaoepezb5d20t00tzvzepe99z" timestamp="1496903459"&gt;77&lt;/key&gt;&lt;/foreign-keys&gt;&lt;ref-type name="Journal Article"&gt;17&lt;/ref-type&gt;&lt;contributors&gt;&lt;authors&gt;&lt;author&gt;Griffin, Ronald C&lt;/author&gt;&lt;/authors&gt;&lt;/contributors&gt;&lt;titles&gt;&lt;title&gt;EFFECTIVE WATER PRICING &amp;apos; undertake conservation where more valuable ties , and any peripheral properties not currently&lt;/title&gt;&lt;secondary-title&gt;October&lt;/secondary-title&gt;&lt;/titles&gt;&lt;pages&gt;1335-1347&lt;/pages&gt;&lt;volume&gt;37&lt;/volume&gt;&lt;dates&gt;&lt;year&gt;2002&lt;/year&gt;&lt;/dates&gt;&lt;urls&gt;&lt;/urls&gt;&lt;/record&gt;&lt;/Cite&gt;&lt;/EndNote&gt;</w:instrText>
      </w:r>
      <w:r w:rsidR="00F925C3">
        <w:fldChar w:fldCharType="separate"/>
      </w:r>
      <w:r w:rsidR="00F925C3">
        <w:rPr>
          <w:noProof/>
        </w:rPr>
        <w:t>(Griffin 2002)</w:t>
      </w:r>
      <w:r w:rsidR="00F925C3">
        <w:fldChar w:fldCharType="end"/>
      </w:r>
      <w:r>
        <w:t xml:space="preserve">, </w:t>
      </w:r>
      <w:r w:rsidR="00F925C3">
        <w:fldChar w:fldCharType="begin"/>
      </w:r>
      <w:r w:rsidR="00F925C3">
        <w:instrText xml:space="preserve"> ADDIN EN.CITE &lt;EndNote&gt;&lt;Cite&gt;&lt;Author&gt;Turvey&lt;/Author&gt;&lt;Year&gt;1976&lt;/Year&gt;&lt;RecNum&gt;99&lt;/RecNum&gt;&lt;DisplayText&gt;(Turvey 1976 )&lt;/DisplayText&gt;&lt;record&gt;&lt;rec-number&gt;99&lt;/rec-number&gt;&lt;foreign-keys&gt;&lt;key app="EN" db-id="25x92wfzmexzaoepezb5d20t00tzvzepe99z" timestamp="1502875324"&gt;99&lt;/key&gt;&lt;/foreign-keys&gt;&lt;ref-type name="Journal Article"&gt;17&lt;/ref-type&gt;&lt;contributors&gt;&lt;authors&gt;&lt;author&gt;Turvey, R. &lt;/author&gt;&lt;/authors&gt;&lt;/contributors&gt;&lt;titles&gt;&lt;title&gt;Analyzing the Marginal Cost of Water Supply &lt;/title&gt;&lt;secondary-title&gt;Land Economics &lt;/secondary-title&gt;&lt;/titles&gt;&lt;periodical&gt;&lt;full-title&gt;Land Economics&lt;/full-title&gt;&lt;/periodical&gt;&lt;pages&gt;158-68&lt;/pages&gt;&lt;volume&gt;52&lt;/volume&gt;&lt;dates&gt;&lt;year&gt;1976 &lt;/year&gt;&lt;/dates&gt;&lt;urls&gt;&lt;/urls&gt;&lt;/record&gt;&lt;/Cite&gt;&lt;/EndNote&gt;</w:instrText>
      </w:r>
      <w:r w:rsidR="00F925C3">
        <w:fldChar w:fldCharType="separate"/>
      </w:r>
      <w:r w:rsidR="00F925C3">
        <w:rPr>
          <w:noProof/>
        </w:rPr>
        <w:t>(Turvey 1976 )</w:t>
      </w:r>
      <w:r w:rsidR="00F925C3">
        <w:fldChar w:fldCharType="end"/>
      </w:r>
      <w:r>
        <w:t xml:space="preserve"> or </w:t>
      </w:r>
      <w:r w:rsidR="00F925C3">
        <w:fldChar w:fldCharType="begin"/>
      </w:r>
      <w:r w:rsidR="00F925C3">
        <w:instrText xml:space="preserve"> ADDIN EN.CITE &lt;EndNote&gt;&lt;Cite&gt;&lt;Author&gt;Saunders&lt;/Author&gt;&lt;Year&gt;1976&lt;/Year&gt;&lt;RecNum&gt;100&lt;/RecNum&gt;&lt;DisplayText&gt;(Saunders 1976)&lt;/DisplayText&gt;&lt;record&gt;&lt;rec-number&gt;100&lt;/rec-number&gt;&lt;foreign-keys&gt;&lt;key app="EN" db-id="25x92wfzmexzaoepezb5d20t00tzvzepe99z" timestamp="1502875448"&gt;100&lt;/key&gt;&lt;/foreign-keys&gt;&lt;ref-type name="Book"&gt;6&lt;/ref-type&gt;&lt;contributors&gt;&lt;authors&gt;&lt;author&gt;Saunders, R. J., and J. J. Warford&lt;/author&gt;&lt;/authors&gt;&lt;/contributors&gt;&lt;titles&gt;&lt;title&gt;Village Water Supply: Economics and Policy in the Developing World&lt;/title&gt;&lt;/titles&gt;&lt;dates&gt;&lt;year&gt;1976&lt;/year&gt;&lt;/dates&gt;&lt;pub-location&gt;Baltimore, Md.&lt;/pub-location&gt;&lt;publisher&gt;Johns Hopkins University Press&lt;/publisher&gt;&lt;urls&gt;&lt;/urls&gt;&lt;/record&gt;&lt;/Cite&gt;&lt;/EndNote&gt;</w:instrText>
      </w:r>
      <w:r w:rsidR="00F925C3">
        <w:fldChar w:fldCharType="separate"/>
      </w:r>
      <w:r w:rsidR="00F925C3">
        <w:rPr>
          <w:noProof/>
        </w:rPr>
        <w:t>(Saunders 1976)</w:t>
      </w:r>
      <w:r w:rsidR="00F925C3">
        <w:fldChar w:fldCharType="end"/>
      </w:r>
      <w:r w:rsidR="00011F74">
        <w:t xml:space="preserve"> </w:t>
      </w:r>
      <w:r>
        <w:t xml:space="preserve">for examples. As </w:t>
      </w:r>
      <w:r w:rsidR="00F925C3">
        <w:fldChar w:fldCharType="begin"/>
      </w:r>
      <w:r w:rsidR="00F925C3">
        <w:instrText xml:space="preserve"> ADDIN EN.CITE &lt;EndNote&gt;&lt;Cite&gt;&lt;Author&gt;Grafton&lt;/Author&gt;&lt;Year&gt;2014&lt;/Year&gt;&lt;RecNum&gt;6&lt;/RecNum&gt;&lt;DisplayText&gt;(Grafton, Chu et al. 2014)&lt;/DisplayText&gt;&lt;record&gt;&lt;rec-number&gt;6&lt;/rec-number&gt;&lt;foreign-keys&gt;&lt;key app="EN" db-id="25x92wfzmexzaoepezb5d20t00tzvzepe99z" timestamp="1492473181"&gt;6&lt;/key&gt;&lt;key app="ENWeb" db-id=""&gt;0&lt;/key&gt;&lt;/foreign-keys&gt;&lt;ref-type name="Journal Article"&gt;17&lt;/ref-type&gt;&lt;contributors&gt;&lt;authors&gt;&lt;author&gt;Grafton, R. Quentin&lt;/author&gt;&lt;author&gt;Chu, Long&lt;/author&gt;&lt;author&gt;Kompas, Tom&lt;/author&gt;&lt;author&gt;Ward, Michael&lt;/author&gt;&lt;/authors&gt;&lt;/contributors&gt;&lt;titles&gt;&lt;title&gt;Volumetric water pricing, social surplus and supply augmentation&lt;/title&gt;&lt;secondary-title&gt;Water Resources and Economics&lt;/secondary-title&gt;&lt;/titles&gt;&lt;periodical&gt;&lt;full-title&gt;Water Resources and Economics&lt;/full-title&gt;&lt;/periodical&gt;&lt;pages&gt;74-87&lt;/pages&gt;&lt;volume&gt;6&lt;/volume&gt;&lt;dates&gt;&lt;year&gt;2014&lt;/year&gt;&lt;/dates&gt;&lt;isbn&gt;22124284&lt;/isbn&gt;&lt;urls&gt;&lt;/urls&gt;&lt;electronic-resource-num&gt;10.1016/j.wre.2014.07.001&lt;/electronic-resource-num&gt;&lt;/record&gt;&lt;/Cite&gt;&lt;/EndNote&gt;</w:instrText>
      </w:r>
      <w:r w:rsidR="00F925C3">
        <w:fldChar w:fldCharType="separate"/>
      </w:r>
      <w:r w:rsidR="00F925C3">
        <w:rPr>
          <w:noProof/>
        </w:rPr>
        <w:t>(Grafton, Chu et al. 2014)</w:t>
      </w:r>
      <w:r w:rsidR="00F925C3">
        <w:fldChar w:fldCharType="end"/>
      </w:r>
      <w:r>
        <w:t xml:space="preserve"> observes, there is no optimal investment as it depends on current conditions. </w:t>
      </w:r>
    </w:p>
    <w:p w14:paraId="0EE11F5A" w14:textId="77777777" w:rsidR="00E7338B" w:rsidRDefault="00E7338B" w:rsidP="00CA63BE">
      <w:r>
        <w:t xml:space="preserve">The water industry regulators prefer pricing with reference to </w:t>
      </w:r>
      <w:proofErr w:type="spellStart"/>
      <w:r>
        <w:t>LRMC</w:t>
      </w:r>
      <w:proofErr w:type="spellEnd"/>
      <w:r>
        <w:t xml:space="preserve"> since </w:t>
      </w:r>
      <w:r w:rsidRPr="00DF08B4">
        <w:t>water and wastewater sectors are generally highly capital intensive and characterised by 'lumpy' investment in new capacity</w:t>
      </w:r>
      <w:r>
        <w:t xml:space="preserve"> </w:t>
      </w:r>
      <w:r w:rsidR="00F925C3">
        <w:fldChar w:fldCharType="begin"/>
      </w:r>
      <w:r w:rsidR="00F925C3">
        <w:instrText xml:space="preserve"> ADDIN EN.CITE &lt;EndNote&gt;&lt;Cite&gt;&lt;Author&gt;NERA&lt;/Author&gt;&lt;Year&gt;2012&lt;/Year&gt;&lt;RecNum&gt;101&lt;/RecNum&gt;&lt;DisplayText&gt;(NERA 2012)&lt;/DisplayText&gt;&lt;record&gt;&lt;rec-number&gt;101&lt;/rec-number&gt;&lt;foreign-keys&gt;&lt;key app="EN" db-id="25x92wfzmexzaoepezb5d20t00tzvzepe99z" timestamp="1502875888"&gt;101&lt;/key&gt;&lt;/foreign-keys&gt;&lt;ref-type name="Report"&gt;27&lt;/ref-type&gt;&lt;contributors&gt;&lt;authors&gt;&lt;author&gt;NERA, Economic Consulting&lt;/author&gt;&lt;/authors&gt;&lt;secondary-authors&gt;&lt;author&gt;Smart Water Fund&lt;/author&gt;&lt;/secondary-authors&gt;&lt;/contributors&gt;&lt;titles&gt;&lt;title&gt;An Economic Framework for Estimating Long Run Marginal Costs in the Victorian Water Industry&lt;/title&gt;&lt;/titles&gt;&lt;dates&gt;&lt;year&gt;2012&lt;/year&gt;&lt;/dates&gt;&lt;pub-location&gt;Sydney&lt;/pub-location&gt;&lt;urls&gt;&lt;/urls&gt;&lt;/record&gt;&lt;/Cite&gt;&lt;/EndNote&gt;</w:instrText>
      </w:r>
      <w:r w:rsidR="00F925C3">
        <w:fldChar w:fldCharType="separate"/>
      </w:r>
      <w:r w:rsidR="00F925C3">
        <w:rPr>
          <w:noProof/>
        </w:rPr>
        <w:t>(NERA 2012)</w:t>
      </w:r>
      <w:r w:rsidR="00F925C3">
        <w:fldChar w:fldCharType="end"/>
      </w:r>
      <w:r w:rsidRPr="00DF08B4">
        <w:t>.  At any one time, most water and/or wastewater systems operate with some spare capacity such that the system is capable of serving additional demand at relatively low or zero cost.  Given this, marginal costs are generally measured on the basis of the change in the per unit costs of supply associated with permanent step changes in forecast demand that require some level of additional capital investment.</w:t>
      </w:r>
    </w:p>
    <w:p w14:paraId="0EE11F5B" w14:textId="77777777" w:rsidR="008F5C88" w:rsidRDefault="00694B9B" w:rsidP="008F5C88">
      <w:r>
        <w:t>Numerous economists have criticised this approach and recommended a more responsive use of pricing to ration available water resources</w:t>
      </w:r>
      <w:r w:rsidR="00BD6ECE">
        <w:t xml:space="preserve"> (see </w:t>
      </w:r>
      <w:r w:rsidR="00011F74">
        <w:t>(Ng, 1987 #76)</w:t>
      </w:r>
      <w:r w:rsidR="00BD6ECE">
        <w:t xml:space="preserve">, </w:t>
      </w:r>
      <w:r w:rsidR="00F925C3">
        <w:fldChar w:fldCharType="begin"/>
      </w:r>
      <w:r w:rsidR="00F925C3">
        <w:instrText xml:space="preserve"> ADDIN EN.CITE &lt;EndNote&gt;&lt;Cite&gt;&lt;Author&gt;Grafton&lt;/Author&gt;&lt;Year&gt;2014&lt;/Year&gt;&lt;RecNum&gt;6&lt;/RecNum&gt;&lt;DisplayText&gt;(Grafton, Chu et al. 2014)&lt;/DisplayText&gt;&lt;record&gt;&lt;rec-number&gt;6&lt;/rec-number&gt;&lt;foreign-keys&gt;&lt;key app="EN" db-id="25x92wfzmexzaoepezb5d20t00tzvzepe99z" timestamp="1492473181"&gt;6&lt;/key&gt;&lt;key app="ENWeb" db-id=""&gt;0&lt;/key&gt;&lt;/foreign-keys&gt;&lt;ref-type name="Journal Article"&gt;17&lt;/ref-type&gt;&lt;contributors&gt;&lt;authors&gt;&lt;author&gt;Grafton, R. Quentin&lt;/author&gt;&lt;author&gt;Chu, Long&lt;/author&gt;&lt;author&gt;Kompas, Tom&lt;/author&gt;&lt;author&gt;Ward, Michael&lt;/author&gt;&lt;/authors&gt;&lt;/contributors&gt;&lt;titles&gt;&lt;title&gt;Volumetric water pricing, social surplus and supply augmentation&lt;/title&gt;&lt;secondary-title&gt;Water Resources and Economics&lt;/secondary-title&gt;&lt;/titles&gt;&lt;periodical&gt;&lt;full-title&gt;Water Resources and Economics&lt;/full-title&gt;&lt;/periodical&gt;&lt;pages&gt;74-87&lt;/pages&gt;&lt;volume&gt;6&lt;/volume&gt;&lt;dates&gt;&lt;year&gt;2014&lt;/year&gt;&lt;/dates&gt;&lt;isbn&gt;22124284&lt;/isbn&gt;&lt;urls&gt;&lt;/urls&gt;&lt;electronic-resource-num&gt;10.1016/j.wre.2014.07.001&lt;/electronic-resource-num&gt;&lt;/record&gt;&lt;/Cite&gt;&lt;/EndNote&gt;</w:instrText>
      </w:r>
      <w:r w:rsidR="00F925C3">
        <w:fldChar w:fldCharType="separate"/>
      </w:r>
      <w:r w:rsidR="00F925C3">
        <w:rPr>
          <w:noProof/>
        </w:rPr>
        <w:t>(Grafton, Chu et al. 2014)</w:t>
      </w:r>
      <w:r w:rsidR="00F925C3">
        <w:fldChar w:fldCharType="end"/>
      </w:r>
      <w:r w:rsidR="00BD6ECE">
        <w:t xml:space="preserve">, </w:t>
      </w:r>
      <w:r w:rsidR="00F925C3">
        <w:fldChar w:fldCharType="begin"/>
      </w:r>
      <w:r w:rsidR="00F925C3">
        <w:instrText xml:space="preserve"> ADDIN EN.CITE &lt;EndNote&gt;&lt;Cite&gt;&lt;Author&gt;Griffin&lt;/Author&gt;&lt;Year&gt;2002&lt;/Year&gt;&lt;RecNum&gt;77&lt;/RecNum&gt;&lt;DisplayText&gt;(Griffin 2002)&lt;/DisplayText&gt;&lt;record&gt;&lt;rec-number&gt;77&lt;/rec-number&gt;&lt;foreign-keys&gt;&lt;key app="EN" db-id="25x92wfzmexzaoepezb5d20t00tzvzepe99z" timestamp="1496903459"&gt;77&lt;/key&gt;&lt;/foreign-keys&gt;&lt;ref-type name="Journal Article"&gt;17&lt;/ref-type&gt;&lt;contributors&gt;&lt;authors&gt;&lt;author&gt;Griffin, Ronald C&lt;/author&gt;&lt;/authors&gt;&lt;/contributors&gt;&lt;titles&gt;&lt;title&gt;EFFECTIVE WATER PRICING &amp;apos; undertake conservation where more valuable ties , and any peripheral properties not currently&lt;/title&gt;&lt;secondary-title&gt;October&lt;/secondary-title&gt;&lt;/titles&gt;&lt;pages&gt;1335-1347&lt;/pages&gt;&lt;volume&gt;37&lt;/volume&gt;&lt;dates&gt;&lt;year&gt;2002&lt;/year&gt;&lt;/dates&gt;&lt;urls&gt;&lt;/urls&gt;&lt;/record&gt;&lt;/Cite&gt;&lt;/EndNote&gt;</w:instrText>
      </w:r>
      <w:r w:rsidR="00F925C3">
        <w:fldChar w:fldCharType="separate"/>
      </w:r>
      <w:r w:rsidR="00F925C3">
        <w:rPr>
          <w:noProof/>
        </w:rPr>
        <w:t>(Griffin 2002)</w:t>
      </w:r>
      <w:r w:rsidR="00F925C3">
        <w:fldChar w:fldCharType="end"/>
      </w:r>
      <w:r w:rsidR="00BD6ECE">
        <w:t xml:space="preserve">, </w:t>
      </w:r>
      <w:r w:rsidR="00F925C3">
        <w:fldChar w:fldCharType="begin"/>
      </w:r>
      <w:r w:rsidR="00F925C3">
        <w:instrText xml:space="preserve"> ADDIN EN.CITE &lt;EndNote&gt;&lt;Cite&gt;&lt;Author&gt;Productivity Commission&lt;/Author&gt;&lt;Year&gt;2011&lt;/Year&gt;&lt;RecNum&gt;38&lt;/RecNum&gt;&lt;DisplayText&gt;(Productivity Commission 2011)&lt;/DisplayText&gt;&lt;record&gt;&lt;rec-number&gt;38&lt;/rec-number&gt;&lt;foreign-keys&gt;&lt;key app="EN" db-id="25x92wfzmexzaoepezb5d20t00tzvzepe99z" timestamp="1492479664"&gt;38&lt;/key&gt;&lt;/foreign-keys&gt;&lt;ref-type name="Journal Article"&gt;17&lt;/ref-type&gt;&lt;contributors&gt;&lt;authors&gt;&lt;author&gt;Productivity Commission,&lt;/author&gt;&lt;/authors&gt;&lt;/contributors&gt;&lt;titles&gt;&lt;title&gt;Australia’s urban water sector&lt;/title&gt;&lt;secondary-title&gt;Inquiry report&lt;/secondary-title&gt;&lt;/titles&gt;&lt;periodical&gt;&lt;full-title&gt;Inquiry report&lt;/full-title&gt;&lt;/periodical&gt;&lt;number&gt;55&lt;/number&gt;&lt;dates&gt;&lt;year&gt;2011&lt;/year&gt;&lt;/dates&gt;&lt;urls&gt;&lt;/urls&gt;&lt;/record&gt;&lt;/Cite&gt;&lt;/EndNote&gt;</w:instrText>
      </w:r>
      <w:r w:rsidR="00F925C3">
        <w:fldChar w:fldCharType="separate"/>
      </w:r>
      <w:r w:rsidR="00F925C3">
        <w:rPr>
          <w:noProof/>
        </w:rPr>
        <w:t>(Productivity Commission 2011)</w:t>
      </w:r>
      <w:r w:rsidR="00F925C3">
        <w:fldChar w:fldCharType="end"/>
      </w:r>
      <w:r w:rsidR="00BD6ECE">
        <w:t>)</w:t>
      </w:r>
      <w:r>
        <w:t xml:space="preserve">. </w:t>
      </w:r>
      <w:r w:rsidR="008F5C88">
        <w:t xml:space="preserve">However, reflecting the early tendency to expand water supply networks in the face of constraints during the ‘age of expansion’, which was defined by </w:t>
      </w:r>
      <w:r w:rsidR="00F925C3">
        <w:fldChar w:fldCharType="begin"/>
      </w:r>
      <w:r w:rsidR="00F925C3">
        <w:instrText xml:space="preserve"> ADDIN EN.CITE &lt;EndNote&gt;&lt;Cite&gt;&lt;Author&gt;Randall&lt;/Author&gt;&lt;Year&gt;1981&lt;/Year&gt;&lt;RecNum&gt;102&lt;/RecNum&gt;&lt;DisplayText&gt;(Randall 1981)&lt;/DisplayText&gt;&lt;record&gt;&lt;rec-number&gt;102&lt;/rec-number&gt;&lt;foreign-keys&gt;&lt;key app="EN" db-id="25x92wfzmexzaoepezb5d20t00tzvzepe99z" timestamp="1502876136"&gt;102&lt;/key&gt;&lt;/foreign-keys&gt;&lt;ref-type name="Journal Article"&gt;17&lt;/ref-type&gt;&lt;contributors&gt;&lt;authors&gt;&lt;author&gt;Randall, A. &lt;/author&gt;&lt;/authors&gt;&lt;/contributors&gt;&lt;titles&gt;&lt;title&gt;Property Entitlements and Pricing Policies for a Maturing&amp;#xD;Water Economy&lt;/title&gt;&lt;secondary-title&gt;Aust. J. Agric. Econ. &lt;/secondary-title&gt;&lt;/titles&gt;&lt;periodical&gt;&lt;full-title&gt;Aust. J. Agric. Econ.&lt;/full-title&gt;&lt;/periodical&gt;&lt;pages&gt;195–212&lt;/pages&gt;&lt;volume&gt;25&lt;/volume&gt;&lt;dates&gt;&lt;year&gt;1981&lt;/year&gt;&lt;/dates&gt;&lt;urls&gt;&lt;/urls&gt;&lt;/record&gt;&lt;/Cite&gt;&lt;/EndNote&gt;</w:instrText>
      </w:r>
      <w:r w:rsidR="00F925C3">
        <w:fldChar w:fldCharType="separate"/>
      </w:r>
      <w:r w:rsidR="00F925C3">
        <w:rPr>
          <w:noProof/>
        </w:rPr>
        <w:t>(Randall 1981)</w:t>
      </w:r>
      <w:r w:rsidR="00F925C3">
        <w:fldChar w:fldCharType="end"/>
      </w:r>
      <w:r w:rsidR="008F5C88">
        <w:t xml:space="preserve"> as lasting until the </w:t>
      </w:r>
      <w:proofErr w:type="spellStart"/>
      <w:r w:rsidR="008F5C88">
        <w:t>1970s</w:t>
      </w:r>
      <w:proofErr w:type="spellEnd"/>
      <w:r w:rsidR="008F5C88">
        <w:t xml:space="preserve">, the issue of scarcity pricing has been less explored in the literature. The majority of academic work examining scarcity pricing in the water supply sector has focused on capacity expansion and associated optimal investment strategies.  This is despite the fact that developed countries can store between 70 and 90 per cent of their renewable surface water, and remaining potential dams are generally either not economically viable and/or socially acceptable </w:t>
      </w:r>
      <w:r w:rsidR="00F925C3">
        <w:fldChar w:fldCharType="begin"/>
      </w:r>
      <w:r w:rsidR="00F925C3">
        <w:instrText xml:space="preserve"> ADDIN EN.CITE &lt;EndNote&gt;&lt;Cite&gt;&lt;Author&gt;UN&lt;/Author&gt;&lt;Year&gt;2011&lt;/Year&gt;&lt;RecNum&gt;103&lt;/RecNum&gt;&lt;DisplayText&gt;(UN 2011)&lt;/DisplayText&gt;&lt;record&gt;&lt;rec-number&gt;103&lt;/rec-number&gt;&lt;foreign-keys&gt;&lt;key app="EN" db-id="25x92wfzmexzaoepezb5d20t00tzvzepe99z" timestamp="1502877168"&gt;103&lt;/key&gt;&lt;/foreign-keys&gt;&lt;ref-type name="Report"&gt;27&lt;/ref-type&gt;&lt;contributors&gt;&lt;authors&gt;&lt;author&gt;UN, The Food and Agriculture Organization of the United Nations&lt;/author&gt;&lt;/authors&gt;&lt;/contributors&gt;&lt;titles&gt;&lt;title&gt;THE STATE OF THE WORLD’S LAND AND WATER RESOURCES FOR FOOD AND AGRICULTURE: Managing systems at risk&lt;/title&gt;&lt;/titles&gt;&lt;dates&gt;&lt;year&gt;2011&lt;/year&gt;&lt;/dates&gt;&lt;pub-location&gt;2 Park Sq. Milton Park, Abingdon&lt;/pub-location&gt;&lt;publisher&gt;Earthscan&lt;/publisher&gt;&lt;urls&gt;&lt;/urls&gt;&lt;/record&gt;&lt;/Cite&gt;&lt;/EndNote&gt;</w:instrText>
      </w:r>
      <w:r w:rsidR="00F925C3">
        <w:fldChar w:fldCharType="separate"/>
      </w:r>
      <w:r w:rsidR="00F925C3">
        <w:rPr>
          <w:noProof/>
        </w:rPr>
        <w:t>(UN 2011)</w:t>
      </w:r>
      <w:r w:rsidR="00F925C3">
        <w:fldChar w:fldCharType="end"/>
      </w:r>
      <w:r w:rsidR="008F5C88">
        <w:t xml:space="preserve">. </w:t>
      </w:r>
    </w:p>
    <w:p w14:paraId="0EE11F5C" w14:textId="77777777" w:rsidR="00BB50D9" w:rsidRDefault="008F5C88" w:rsidP="008F5C88">
      <w:r>
        <w:t xml:space="preserve">Deterministic models have focused on the relationship between long term expectations and capacity expansion </w:t>
      </w:r>
      <w:r w:rsidR="00F925C3">
        <w:fldChar w:fldCharType="begin"/>
      </w:r>
      <w:r w:rsidR="00F925C3">
        <w:instrText xml:space="preserve"> ADDIN EN.CITE &lt;EndNote&gt;&lt;Cite&gt;&lt;Author&gt;Ng&lt;/Author&gt;&lt;Year&gt;1987&lt;/Year&gt;&lt;RecNum&gt;76&lt;/RecNum&gt;&lt;DisplayText&gt;(Ng 1987)&lt;/DisplayText&gt;&lt;record&gt;&lt;rec-number&gt;76&lt;/rec-number&gt;&lt;foreign-keys&gt;&lt;key app="EN" db-id="25x92wfzmexzaoepezb5d20t00tzvzepe99z" timestamp="1496903160"&gt;76&lt;/key&gt;&lt;/foreign-keys&gt;&lt;ref-type name="Journal Article"&gt;17&lt;/ref-type&gt;&lt;contributors&gt;&lt;authors&gt;&lt;author&gt;Ng, Yew-Kwang&lt;/author&gt;&lt;/authors&gt;&lt;/contributors&gt;&lt;titles&gt;&lt;title&gt;Equity, Efficiency and Financial Viability: Public-Utility Pricing with Special Reference to Water Supply&lt;/title&gt;&lt;secondary-title&gt;Australian Economic Review&lt;/secondary-title&gt;&lt;/titles&gt;&lt;periodical&gt;&lt;full-title&gt;Australian Economic Review&lt;/full-title&gt;&lt;/periodical&gt;&lt;pages&gt;21-35&lt;/pages&gt;&lt;volume&gt;20&lt;/volume&gt;&lt;number&gt;3&lt;/number&gt;&lt;dates&gt;&lt;year&gt;1987&lt;/year&gt;&lt;/dates&gt;&lt;publisher&gt;Blackwell Publishing Ltd&lt;/publisher&gt;&lt;isbn&gt;1467-8462&lt;/isbn&gt;&lt;urls&gt;&lt;related-urls&gt;&lt;url&gt;http://dx.doi.org/10.1111/j.1467-8462.1987.tb00669.x&lt;/url&gt;&lt;/related-urls&gt;&lt;/urls&gt;&lt;electronic-resource-num&gt;10.1111/j.1467-8462.1987.tb00669.x&lt;/electronic-resource-num&gt;&lt;/record&gt;&lt;/Cite&gt;&lt;/EndNote&gt;</w:instrText>
      </w:r>
      <w:r w:rsidR="00F925C3">
        <w:fldChar w:fldCharType="separate"/>
      </w:r>
      <w:r w:rsidR="00F925C3">
        <w:rPr>
          <w:noProof/>
        </w:rPr>
        <w:t>(Ng 1987)</w:t>
      </w:r>
      <w:r w:rsidR="00F925C3">
        <w:fldChar w:fldCharType="end"/>
      </w:r>
      <w:r w:rsidR="008F62B5">
        <w:t xml:space="preserve"> </w:t>
      </w:r>
      <w:r w:rsidR="00F925C3">
        <w:fldChar w:fldCharType="begin"/>
      </w:r>
      <w:r w:rsidR="00F925C3">
        <w:instrText xml:space="preserve"> ADDIN EN.CITE &lt;EndNote&gt;&lt;Cite&gt;&lt;Author&gt;Griffin&lt;/Author&gt;&lt;Year&gt;2002&lt;/Year&gt;&lt;RecNum&gt;77&lt;/RecNum&gt;&lt;DisplayText&gt;(Griffin 2002)&lt;/DisplayText&gt;&lt;record&gt;&lt;rec-number&gt;77&lt;/rec-number&gt;&lt;foreign-keys&gt;&lt;key app="EN" db-id="25x92wfzmexzaoepezb5d20t00tzvzepe99z" timestamp="1496903459"&gt;77&lt;/key&gt;&lt;/foreign-keys&gt;&lt;ref-type name="Journal Article"&gt;17&lt;/ref-type&gt;&lt;contributors&gt;&lt;authors&gt;&lt;author&gt;Griffin, Ronald C&lt;/author&gt;&lt;/authors&gt;&lt;/contributors&gt;&lt;titles&gt;&lt;title&gt;EFFECTIVE WATER PRICING &amp;apos; undertake conservation where more valuable ties , and any peripheral properties not currently&lt;/title&gt;&lt;secondary-title&gt;October&lt;/secondary-title&gt;&lt;/titles&gt;&lt;pages&gt;1335-1347&lt;/pages&gt;&lt;volume&gt;37&lt;/volume&gt;&lt;dates&gt;&lt;year&gt;2002&lt;/year&gt;&lt;/dates&gt;&lt;urls&gt;&lt;/urls&gt;&lt;/record&gt;&lt;/Cite&gt;&lt;/EndNote&gt;</w:instrText>
      </w:r>
      <w:r w:rsidR="00F925C3">
        <w:fldChar w:fldCharType="separate"/>
      </w:r>
      <w:r w:rsidR="00F925C3">
        <w:rPr>
          <w:noProof/>
        </w:rPr>
        <w:t>(Griffin 2002)</w:t>
      </w:r>
      <w:r w:rsidR="00F925C3">
        <w:fldChar w:fldCharType="end"/>
      </w:r>
      <w:r>
        <w:t xml:space="preserve">, </w:t>
      </w:r>
      <w:r w:rsidR="00F925C3">
        <w:fldChar w:fldCharType="begin"/>
      </w:r>
      <w:r w:rsidR="00F925C3">
        <w:instrText xml:space="preserve"> ADDIN EN.CITE &lt;EndNote&gt;&lt;Cite&gt;&lt;Author&gt;Elnaboulsi&lt;/Author&gt;&lt;Year&gt;2001&lt;/Year&gt;&lt;RecNum&gt;71&lt;/RecNum&gt;&lt;DisplayText&gt;(Elnaboulsi 2001)&lt;/DisplayText&gt;&lt;record&gt;&lt;rec-number&gt;71&lt;/rec-number&gt;&lt;foreign-keys&gt;&lt;key app="EN" db-id="25x92wfzmexzaoepezb5d20t00tzvzepe99z" timestamp="1496122372"&gt;71&lt;/key&gt;&lt;/foreign-keys&gt;&lt;ref-type name="Journal Article"&gt;17&lt;/ref-type&gt;&lt;contributors&gt;&lt;authors&gt;&lt;author&gt;Elnaboulsi, J. C.&lt;/author&gt;&lt;/authors&gt;&lt;/contributors&gt;&lt;titles&gt;&lt;title&gt;Nonlinear pricing and capacity planning for water and wastewater services&lt;/title&gt;&lt;secondary-title&gt;Water Resources Management&lt;/secondary-title&gt;&lt;/titles&gt;&lt;periodical&gt;&lt;full-title&gt;Water Resources Management&lt;/full-title&gt;&lt;abbr-1&gt;Water Resour Manage&lt;/abbr-1&gt;&lt;/periodical&gt;&lt;pages&gt;55-69&lt;/pages&gt;&lt;volume&gt;15&lt;/volume&gt;&lt;number&gt;1&lt;/number&gt;&lt;dates&gt;&lt;year&gt;2001&lt;/year&gt;&lt;/dates&gt;&lt;work-type&gt;Article&lt;/work-type&gt;&lt;urls&gt;&lt;related-urls&gt;&lt;url&gt;https://www.scopus.com/inward/record.uri?eid=2-s2.0-0035255114&amp;amp;doi=10.1023%2fA%3a1012228611303&amp;amp;partnerID=40&amp;amp;md5=415073cb9fc05e7de0a69c174a4d9be6&lt;/url&gt;&lt;/related-urls&gt;&lt;/urls&gt;&lt;electronic-resource-num&gt;10.1023/A:1012228611303&lt;/electronic-resource-num&gt;&lt;remote-database-name&gt;Scopus&lt;/remote-database-name&gt;&lt;/record&gt;&lt;/Cite&gt;&lt;/EndNote&gt;</w:instrText>
      </w:r>
      <w:r w:rsidR="00F925C3">
        <w:fldChar w:fldCharType="separate"/>
      </w:r>
      <w:r w:rsidR="00F925C3">
        <w:rPr>
          <w:noProof/>
        </w:rPr>
        <w:t>(Elnaboulsi 2001)</w:t>
      </w:r>
      <w:r w:rsidR="00F925C3">
        <w:fldChar w:fldCharType="end"/>
      </w:r>
      <w:r>
        <w:t xml:space="preserve"> and have </w:t>
      </w:r>
      <w:r w:rsidR="00BB50D9">
        <w:t xml:space="preserve">not explicitly incorporated the costs of </w:t>
      </w:r>
      <w:r>
        <w:t xml:space="preserve">failure in their pricing models. </w:t>
      </w:r>
      <w:r w:rsidR="00BB50D9">
        <w:t xml:space="preserve">For instance, Ng implicitly assumes the long run average water supply can be rationed via price despite it following a stochastic process and reservoirs having limited storage capacity. In addition, deterministic </w:t>
      </w:r>
      <w:r>
        <w:t>models</w:t>
      </w:r>
      <w:r w:rsidR="00BB50D9">
        <w:t xml:space="preserve">, such as those of </w:t>
      </w:r>
      <w:r w:rsidR="00F925C3">
        <w:fldChar w:fldCharType="begin"/>
      </w:r>
      <w:r w:rsidR="00F925C3">
        <w:instrText xml:space="preserve"> ADDIN EN.CITE &lt;EndNote&gt;&lt;Cite&gt;&lt;Author&gt;Griffin&lt;/Author&gt;&lt;Year&gt;2002&lt;/Year&gt;&lt;RecNum&gt;77&lt;/RecNum&gt;&lt;DisplayText&gt;(Griffin 2002)&lt;/DisplayText&gt;&lt;record&gt;&lt;rec-number&gt;77&lt;/rec-number&gt;&lt;foreign-keys&gt;&lt;key app="EN" db-id="25x92wfzmexzaoepezb5d20t00tzvzepe99z" timestamp="1496903459"&gt;77&lt;/key&gt;&lt;/foreign-keys&gt;&lt;ref-type name="Journal Article"&gt;17&lt;/ref-type&gt;&lt;contributors&gt;&lt;authors&gt;&lt;author&gt;Griffin, Ronald C&lt;/author&gt;&lt;/authors&gt;&lt;/contributors&gt;&lt;titles&gt;&lt;title&gt;EFFECTIVE WATER PRICING &amp;apos; undertake conservation where more valuable ties , and any peripheral properties not currently&lt;/title&gt;&lt;secondary-title&gt;October&lt;/secondary-title&gt;&lt;/titles&gt;&lt;pages&gt;1335-1347&lt;/pages&gt;&lt;volume&gt;37&lt;/volume&gt;&lt;dates&gt;&lt;year&gt;2002&lt;/year&gt;&lt;/dates&gt;&lt;urls&gt;&lt;/urls&gt;&lt;/record&gt;&lt;/Cite&gt;&lt;/EndNote&gt;</w:instrText>
      </w:r>
      <w:r w:rsidR="00F925C3">
        <w:fldChar w:fldCharType="separate"/>
      </w:r>
      <w:r w:rsidR="00F925C3">
        <w:rPr>
          <w:noProof/>
        </w:rPr>
        <w:t>(Griffin 2002)</w:t>
      </w:r>
      <w:r w:rsidR="00F925C3">
        <w:fldChar w:fldCharType="end"/>
      </w:r>
      <w:r w:rsidR="001D548E">
        <w:t xml:space="preserve"> or </w:t>
      </w:r>
      <w:r w:rsidR="00F925C3">
        <w:fldChar w:fldCharType="begin"/>
      </w:r>
      <w:r w:rsidR="00F925C3">
        <w:instrText xml:space="preserve"> ADDIN EN.CITE &lt;EndNote&gt;&lt;Cite&gt;&lt;Author&gt;Elnaboulsi&lt;/Author&gt;&lt;Year&gt;2001&lt;/Year&gt;&lt;RecNum&gt;71&lt;/RecNum&gt;&lt;DisplayText&gt;(Elnaboulsi 2001)&lt;/DisplayText&gt;&lt;record&gt;&lt;rec-number&gt;71&lt;/rec-number&gt;&lt;foreign-keys&gt;&lt;key app="EN" db-id="25x92wfzmexzaoepezb5d20t00tzvzepe99z" timestamp="1496122372"&gt;71&lt;/key&gt;&lt;/foreign-keys&gt;&lt;ref-type name="Journal Article"&gt;17&lt;/ref-type&gt;&lt;contributors&gt;&lt;authors&gt;&lt;author&gt;Elnaboulsi, J. C.&lt;/author&gt;&lt;/authors&gt;&lt;/contributors&gt;&lt;titles&gt;&lt;title&gt;Nonlinear pricing and capacity planning for water and wastewater services&lt;/title&gt;&lt;secondary-title&gt;Water Resources Management&lt;/secondary-title&gt;&lt;/titles&gt;&lt;periodical&gt;&lt;full-title&gt;Water Resources Management&lt;/full-title&gt;&lt;abbr-1&gt;Water Resour Manage&lt;/abbr-1&gt;&lt;/periodical&gt;&lt;pages&gt;55-69&lt;/pages&gt;&lt;volume&gt;15&lt;/volume&gt;&lt;number&gt;1&lt;/number&gt;&lt;dates&gt;&lt;year&gt;2001&lt;/year&gt;&lt;/dates&gt;&lt;work-type&gt;Article&lt;/work-type&gt;&lt;urls&gt;&lt;related-urls&gt;&lt;url&gt;https://www.scopus.com/inward/record.uri?eid=2-s2.0-0035255114&amp;amp;doi=10.1023%2fA%3a1012228611303&amp;amp;partnerID=40&amp;amp;md5=415073cb9fc05e7de0a69c174a4d9be6&lt;/url&gt;&lt;/related-urls&gt;&lt;/urls&gt;&lt;electronic-resource-num&gt;10.1023/A:1012228611303&lt;/electronic-resource-num&gt;&lt;remote-database-name&gt;Scopus&lt;/remote-database-name&gt;&lt;/record&gt;&lt;/Cite&gt;&lt;/EndNote&gt;</w:instrText>
      </w:r>
      <w:r w:rsidR="00F925C3">
        <w:fldChar w:fldCharType="separate"/>
      </w:r>
      <w:r w:rsidR="00F925C3">
        <w:rPr>
          <w:noProof/>
        </w:rPr>
        <w:t>(Elnaboulsi 2001)</w:t>
      </w:r>
      <w:r w:rsidR="00F925C3">
        <w:fldChar w:fldCharType="end"/>
      </w:r>
      <w:r>
        <w:t xml:space="preserve"> </w:t>
      </w:r>
      <w:r w:rsidR="001D548E">
        <w:t xml:space="preserve">fail to value reserve capacity </w:t>
      </w:r>
      <w:r w:rsidR="00F925C3">
        <w:fldChar w:fldCharType="begin"/>
      </w:r>
      <w:r w:rsidR="00F925C3">
        <w:instrText xml:space="preserve"> ADDIN EN.CITE &lt;EndNote&gt;&lt;Cite&gt;&lt;Author&gt;Zhao&lt;/Author&gt;&lt;Year&gt;2014&lt;/Year&gt;&lt;RecNum&gt;79&lt;/RecNum&gt;&lt;DisplayText&gt;(Zhao and Zhao 2014)&lt;/DisplayText&gt;&lt;record&gt;&lt;rec-number&gt;79&lt;/rec-number&gt;&lt;foreign-keys&gt;&lt;key app="EN" db-id="25x92wfzmexzaoepezb5d20t00tzvzepe99z" timestamp="1496903738"&gt;79&lt;/key&gt;&lt;/foreign-keys&gt;&lt;ref-type name="Journal Article"&gt;17&lt;/ref-type&gt;&lt;contributors&gt;&lt;authors&gt;&lt;author&gt;Zhao, Tongtiegang&lt;/author&gt;&lt;author&gt;Zhao, Jianshi&lt;/author&gt;&lt;/authors&gt;&lt;/contributors&gt;&lt;titles&gt;&lt;title&gt;Optimizing operation of water supply reservoir: The role of constraints&lt;/title&gt;&lt;secondary-title&gt;Mathematical Problems in Engineering&lt;/secondary-title&gt;&lt;/titles&gt;&lt;volume&gt;2014&lt;/volume&gt;&lt;dates&gt;&lt;year&gt;2014&lt;/year&gt;&lt;/dates&gt;&lt;urls&gt;&lt;/urls&gt;&lt;electronic-resource-num&gt;10.1155/2014/853186&lt;/electronic-resource-num&gt;&lt;/record&gt;&lt;/Cite&gt;&lt;/EndNote&gt;</w:instrText>
      </w:r>
      <w:r w:rsidR="00F925C3">
        <w:fldChar w:fldCharType="separate"/>
      </w:r>
      <w:r w:rsidR="00F925C3">
        <w:rPr>
          <w:noProof/>
        </w:rPr>
        <w:t>(Zhao and Zhao 2014)</w:t>
      </w:r>
      <w:r w:rsidR="00F925C3">
        <w:fldChar w:fldCharType="end"/>
      </w:r>
      <w:r w:rsidR="00BB50D9">
        <w:t xml:space="preserve"> as they implicitly assume all available water is allocated</w:t>
      </w:r>
      <w:r>
        <w:t xml:space="preserve">. </w:t>
      </w:r>
    </w:p>
    <w:p w14:paraId="0EE11F5D" w14:textId="77777777" w:rsidR="008F5C88" w:rsidRDefault="008F5C88" w:rsidP="008F5C88">
      <w:r>
        <w:t>Stochastic models have addressed reservoir failure</w:t>
      </w:r>
      <w:r w:rsidR="001D548E">
        <w:t xml:space="preserve"> either through loss functions </w:t>
      </w:r>
      <w:r w:rsidR="00F925C3">
        <w:fldChar w:fldCharType="begin"/>
      </w:r>
      <w:r w:rsidR="00F925C3">
        <w:instrText xml:space="preserve"> ADDIN EN.CITE &lt;EndNote&gt;&lt;Cite&gt;&lt;Author&gt;Hughes&lt;/Author&gt;&lt;Year&gt;2009&lt;/Year&gt;&lt;RecNum&gt;70&lt;/RecNum&gt;&lt;DisplayText&gt;(Hughes, Hafi et al. 2009)&lt;/DisplayText&gt;&lt;record&gt;&lt;rec-number&gt;70&lt;/rec-number&gt;&lt;foreign-keys&gt;&lt;key app="EN" db-id="25x92wfzmexzaoepezb5d20t00tzvzepe99z" timestamp="1496121981"&gt;70&lt;/key&gt;&lt;key app="ENWeb" db-id=""&gt;0&lt;/key&gt;&lt;/foreign-keys&gt;&lt;ref-type name="Journal Article"&gt;17&lt;/ref-type&gt;&lt;contributors&gt;&lt;authors&gt;&lt;author&gt;Hughes, Neal&lt;/author&gt;&lt;author&gt;Hafi, Ahmed&lt;/author&gt;&lt;author&gt;Goesch, Tim&lt;/author&gt;&lt;/authors&gt;&lt;/contributors&gt;&lt;titles&gt;&lt;title&gt;Urban water management: optimal price and investment policy under climate variability&lt;/title&gt;&lt;secondary-title&gt;Australian Journal of Agricultural and Resource Economics&lt;/secondary-title&gt;&lt;/titles&gt;&lt;periodical&gt;&lt;full-title&gt;Australian Journal of Agricultural and Resource Economics&lt;/full-title&gt;&lt;/periodical&gt;&lt;pages&gt;175-192&lt;/pages&gt;&lt;volume&gt;53&lt;/volume&gt;&lt;number&gt;2&lt;/number&gt;&lt;dates&gt;&lt;year&gt;2009&lt;/year&gt;&lt;/dates&gt;&lt;isbn&gt;1364985X&amp;#xD;14678489&lt;/isbn&gt;&lt;urls&gt;&lt;/urls&gt;&lt;electronic-resource-num&gt;10.1111/j.1467-8489.2007.00446.x&lt;/electronic-resource-num&gt;&lt;/record&gt;&lt;/Cite&gt;&lt;/EndNote&gt;</w:instrText>
      </w:r>
      <w:r w:rsidR="00F925C3">
        <w:fldChar w:fldCharType="separate"/>
      </w:r>
      <w:r w:rsidR="00F925C3">
        <w:rPr>
          <w:noProof/>
        </w:rPr>
        <w:t>(Hughes, Hafi et al. 2009)</w:t>
      </w:r>
      <w:r w:rsidR="00F925C3">
        <w:fldChar w:fldCharType="end"/>
      </w:r>
      <w:r>
        <w:t>,</w:t>
      </w:r>
      <w:r w:rsidR="001D548E">
        <w:t xml:space="preserve"> </w:t>
      </w:r>
      <w:r w:rsidR="00F925C3">
        <w:fldChar w:fldCharType="begin"/>
      </w:r>
      <w:r w:rsidR="00F925C3">
        <w:instrText xml:space="preserve"> ADDIN EN.CITE &lt;EndNote&gt;&lt;Cite&gt;&lt;Author&gt;Productivity Commission&lt;/Author&gt;&lt;Year&gt;2011&lt;/Year&gt;&lt;RecNum&gt;38&lt;/RecNum&gt;&lt;DisplayText&gt;(Productivity Commission 2011)&lt;/DisplayText&gt;&lt;record&gt;&lt;rec-number&gt;38&lt;/rec-number&gt;&lt;foreign-keys&gt;&lt;key app="EN" db-id="25x92wfzmexzaoepezb5d20t00tzvzepe99z" timestamp="1492479664"&gt;38&lt;/key&gt;&lt;/foreign-keys&gt;&lt;ref-type name="Journal Article"&gt;17&lt;/ref-type&gt;&lt;contributors&gt;&lt;authors&gt;&lt;author&gt;Productivity Commission,&lt;/author&gt;&lt;/authors&gt;&lt;/contributors&gt;&lt;titles&gt;&lt;title&gt;Australia’s urban water sector&lt;/title&gt;&lt;secondary-title&gt;Inquiry report&lt;/secondary-title&gt;&lt;/titles&gt;&lt;periodical&gt;&lt;full-title&gt;Inquiry report&lt;/full-title&gt;&lt;/periodical&gt;&lt;number&gt;55&lt;/number&gt;&lt;dates&gt;&lt;year&gt;2011&lt;/year&gt;&lt;/dates&gt;&lt;urls&gt;&lt;/urls&gt;&lt;/record&gt;&lt;/Cite&gt;&lt;/EndNote&gt;</w:instrText>
      </w:r>
      <w:r w:rsidR="00F925C3">
        <w:fldChar w:fldCharType="separate"/>
      </w:r>
      <w:r w:rsidR="00F925C3">
        <w:rPr>
          <w:noProof/>
        </w:rPr>
        <w:t>(Productivity Commission 2011)</w:t>
      </w:r>
      <w:r w:rsidR="00F925C3">
        <w:fldChar w:fldCharType="end"/>
      </w:r>
      <w:r>
        <w:t xml:space="preserve"> or through the use of backstop technologies </w:t>
      </w:r>
      <w:r w:rsidR="00F925C3">
        <w:fldChar w:fldCharType="begin"/>
      </w:r>
      <w:r w:rsidR="00F925C3">
        <w:instrText xml:space="preserve"> ADDIN EN.CITE &lt;EndNote&gt;&lt;Cite&gt;&lt;Author&gt;Grafton&lt;/Author&gt;&lt;Year&gt;2015&lt;/Year&gt;&lt;RecNum&gt;5&lt;/RecNum&gt;&lt;DisplayText&gt;(Grafton, Chu et al. 2014, Grafton, Chu et al. 2015)&lt;/DisplayText&gt;&lt;record&gt;&lt;rec-number&gt;5&lt;/rec-number&gt;&lt;foreign-keys&gt;&lt;key app="EN" db-id="25x92wfzmexzaoepezb5d20t00tzvzepe99z" timestamp="1492473176"&gt;5&lt;/key&gt;&lt;key app="ENWeb" db-id=""&gt;0&lt;/key&gt;&lt;/foreign-keys&gt;&lt;ref-type name="Journal Article"&gt;17&lt;/ref-type&gt;&lt;contributors&gt;&lt;authors&gt;&lt;author&gt;Grafton, R. Quentin&lt;/author&gt;&lt;author&gt;Chu, Long&lt;/author&gt;&lt;author&gt;Kompas, Tom&lt;/author&gt;&lt;/authors&gt;&lt;/contributors&gt;&lt;titles&gt;&lt;title&gt;Optimal water tariffs and supply augmentation for cost-of-service regulated water utilities&lt;/title&gt;&lt;secondary-title&gt;Utilities Policy&lt;/secondary-title&gt;&lt;/titles&gt;&lt;periodical&gt;&lt;full-title&gt;Utilities Policy&lt;/full-title&gt;&lt;/periodical&gt;&lt;pages&gt;54-62&lt;/pages&gt;&lt;volume&gt;34&lt;/volume&gt;&lt;dates&gt;&lt;year&gt;2015&lt;/year&gt;&lt;/dates&gt;&lt;isbn&gt;09571787&lt;/isbn&gt;&lt;urls&gt;&lt;/urls&gt;&lt;electronic-resource-num&gt;10.1016/j.jup.2015.02.003&lt;/electronic-resource-num&gt;&lt;/record&gt;&lt;/Cite&gt;&lt;Cite&gt;&lt;Author&gt;Grafton&lt;/Author&gt;&lt;Year&gt;2014&lt;/Year&gt;&lt;RecNum&gt;6&lt;/RecNum&gt;&lt;record&gt;&lt;rec-number&gt;6&lt;/rec-number&gt;&lt;foreign-keys&gt;&lt;key app="EN" db-id="25x92wfzmexzaoepezb5d20t00tzvzepe99z" timestamp="1492473181"&gt;6&lt;/key&gt;&lt;key app="ENWeb" db-id=""&gt;0&lt;/key&gt;&lt;/foreign-keys&gt;&lt;ref-type name="Journal Article"&gt;17&lt;/ref-type&gt;&lt;contributors&gt;&lt;authors&gt;&lt;author&gt;Grafton, R. Quentin&lt;/author&gt;&lt;author&gt;Chu, Long&lt;/author&gt;&lt;author&gt;Kompas, Tom&lt;/author&gt;&lt;author&gt;Ward, Michael&lt;/author&gt;&lt;/authors&gt;&lt;/contributors&gt;&lt;titles&gt;&lt;title&gt;Volumetric water pricing, social surplus and supply augmentation&lt;/title&gt;&lt;secondary-title&gt;Water Resources and Economics&lt;/secondary-title&gt;&lt;/titles&gt;&lt;periodical&gt;&lt;full-title&gt;Water Resources and Economics&lt;/full-title&gt;&lt;/periodical&gt;&lt;pages&gt;74-87&lt;/pages&gt;&lt;volume&gt;6&lt;/volume&gt;&lt;dates&gt;&lt;year&gt;2014&lt;/year&gt;&lt;/dates&gt;&lt;isbn&gt;22124284&lt;/isbn&gt;&lt;urls&gt;&lt;/urls&gt;&lt;electronic-resource-num&gt;10.1016/j.wre.2014.07.001&lt;/electronic-resource-num&gt;&lt;/record&gt;&lt;/Cite&gt;&lt;/EndNote&gt;</w:instrText>
      </w:r>
      <w:r w:rsidR="00F925C3">
        <w:fldChar w:fldCharType="separate"/>
      </w:r>
      <w:r w:rsidR="00F925C3">
        <w:rPr>
          <w:noProof/>
        </w:rPr>
        <w:t>(Grafton, Chu et al. 2014, Grafton, Chu et al. 2015)</w:t>
      </w:r>
      <w:r w:rsidR="00F925C3">
        <w:fldChar w:fldCharType="end"/>
      </w:r>
      <w:r w:rsidR="00232443">
        <w:t>. A</w:t>
      </w:r>
      <w:r w:rsidR="00BB50D9">
        <w:t xml:space="preserve"> loss function, if appropriately sized with </w:t>
      </w:r>
      <w:r w:rsidR="00232443">
        <w:t xml:space="preserve">regards to </w:t>
      </w:r>
      <w:r w:rsidR="00BB50D9">
        <w:t xml:space="preserve">demand, can generate a level of reliability </w:t>
      </w:r>
      <w:r w:rsidR="00232443">
        <w:t xml:space="preserve">for a given hydrological expectation. However, </w:t>
      </w:r>
      <w:r w:rsidR="00BB50D9">
        <w:t xml:space="preserve">it </w:t>
      </w:r>
      <w:r w:rsidR="00232443">
        <w:t xml:space="preserve">misrepresents the </w:t>
      </w:r>
      <w:r w:rsidR="00BB50D9">
        <w:t>resources required to generate this reliability explicitly</w:t>
      </w:r>
      <w:r w:rsidR="00232443">
        <w:t xml:space="preserve"> and so cannot adequately resolve the trade-offs between reserving water in storage or augmenting the water supply system to avoid reservoir failure</w:t>
      </w:r>
      <w:r w:rsidR="00BB50D9">
        <w:t xml:space="preserve">. The alternative approach, of a backstop technology, when applied with zero time for deployment is effectively the same as a loss function. Both options fundamentally misrepresent the trade-offs </w:t>
      </w:r>
      <w:r w:rsidR="00232443">
        <w:t xml:space="preserve">confronting a reservoir operator. </w:t>
      </w:r>
    </w:p>
    <w:p w14:paraId="0EE11F5E" w14:textId="77777777" w:rsidR="00772DBF" w:rsidRDefault="004B6384" w:rsidP="004B6384">
      <w:r>
        <w:lastRenderedPageBreak/>
        <w:t xml:space="preserve">It is critically important to adequately represent the risk confronting a water supply system as </w:t>
      </w:r>
      <w:r w:rsidR="00772DBF" w:rsidRPr="007C0631">
        <w:t xml:space="preserve">the variability of hydrological systems that exhibit cyclical behaviour that can stretch from short term to multi-decade </w:t>
      </w:r>
      <w:r w:rsidR="00F925C3">
        <w:fldChar w:fldCharType="begin"/>
      </w:r>
      <w:r w:rsidR="00F925C3">
        <w:instrText xml:space="preserve"> ADDIN EN.CITE &lt;EndNote&gt;&lt;Cite&gt;&lt;Author&gt;Hurst&lt;/Author&gt;&lt;Year&gt;1951&lt;/Year&gt;&lt;RecNum&gt;83&lt;/RecNum&gt;&lt;DisplayText&gt;(Hurst 1951)&lt;/DisplayText&gt;&lt;record&gt;&lt;rec-number&gt;83&lt;/rec-number&gt;&lt;foreign-keys&gt;&lt;key app="EN" db-id="25x92wfzmexzaoepezb5d20t00tzvzepe99z" timestamp="1499903524"&gt;83&lt;/key&gt;&lt;/foreign-keys&gt;&lt;ref-type name="Journal Article"&gt;17&lt;/ref-type&gt;&lt;contributors&gt;&lt;authors&gt;&lt;author&gt;Hurst, H.E., &lt;/author&gt;&lt;/authors&gt;&lt;/contributors&gt;&lt;titles&gt;&lt;title&gt;Long-term storage capacity of reservoirs. &lt;/title&gt;&lt;secondary-title&gt;Transactions of the American Society of Civil Engineers, &lt;/secondary-title&gt;&lt;/titles&gt;&lt;periodical&gt;&lt;full-title&gt;Transactions of the American Society of Civil Engineers,&lt;/full-title&gt;&lt;/periodical&gt;&lt;pages&gt;Pages 770--799&lt;/pages&gt;&lt;volume&gt;Volume 116,&lt;/volume&gt;&lt;dates&gt;&lt;year&gt;1951&lt;/year&gt;&lt;/dates&gt;&lt;urls&gt;&lt;/urls&gt;&lt;/record&gt;&lt;/Cite&gt;&lt;/EndNote&gt;</w:instrText>
      </w:r>
      <w:r w:rsidR="00F925C3">
        <w:fldChar w:fldCharType="separate"/>
      </w:r>
      <w:r w:rsidR="00F925C3">
        <w:rPr>
          <w:noProof/>
        </w:rPr>
        <w:t>(Hurst 1951)</w:t>
      </w:r>
      <w:r w:rsidR="00F925C3">
        <w:fldChar w:fldCharType="end"/>
      </w:r>
      <w:r w:rsidR="00772DBF" w:rsidRPr="007C0631">
        <w:t>. For instance, in south-east Australia rainfall is influenced by uncertain climate patterns that can range from five to seven years, in the case of the El Nino influence, and the multi decade Pacific Oscillation whi</w:t>
      </w:r>
      <w:r w:rsidR="001D548E">
        <w:t xml:space="preserve">ch can last for 20 or 30 years </w:t>
      </w:r>
      <w:r w:rsidR="00F925C3">
        <w:fldChar w:fldCharType="begin"/>
      </w:r>
      <w:r w:rsidR="00F925C3">
        <w:instrText xml:space="preserve"> ADDIN EN.CITE &lt;EndNote&gt;&lt;Cite&gt;&lt;Author&gt;Kiem&lt;/Author&gt;&lt;Year&gt;2004&lt;/Year&gt;&lt;RecNum&gt;82&lt;/RecNum&gt;&lt;DisplayText&gt;(Kiem and Franks 2004)&lt;/DisplayText&gt;&lt;record&gt;&lt;rec-number&gt;82&lt;/rec-number&gt;&lt;foreign-keys&gt;&lt;key app="EN" db-id="25x92wfzmexzaoepezb5d20t00tzvzepe99z" timestamp="1499903394"&gt;82&lt;/key&gt;&lt;/foreign-keys&gt;&lt;ref-type name="Journal Article"&gt;17&lt;/ref-type&gt;&lt;contributors&gt;&lt;authors&gt;&lt;author&gt;Kiem, Anthony S.&lt;/author&gt;&lt;author&gt;Franks, Stewart W.&lt;/author&gt;&lt;/authors&gt;&lt;/contributors&gt;&lt;titles&gt;&lt;title&gt;Multi-decadal variability of drought risk, eastern Australia&lt;/title&gt;&lt;secondary-title&gt;Hydrological Processes&lt;/secondary-title&gt;&lt;/titles&gt;&lt;periodical&gt;&lt;full-title&gt;Hydrological Processes&lt;/full-title&gt;&lt;/periodical&gt;&lt;pages&gt;2039-2050&lt;/pages&gt;&lt;volume&gt;18&lt;/volume&gt;&lt;number&gt;11&lt;/number&gt;&lt;keywords&gt;&lt;keyword&gt;El Niño–Southern Oscillation (ENSO)&lt;/keyword&gt;&lt;keyword&gt;La Niña&lt;/keyword&gt;&lt;keyword&gt;Inter-decadal Pacific Oscillation (IPO)&lt;/keyword&gt;&lt;keyword&gt;Pacific Decadal Oscillation (PDO)&lt;/keyword&gt;&lt;keyword&gt;hydrological impacts of ENSO&lt;/keyword&gt;&lt;keyword&gt;climate variability&lt;/keyword&gt;&lt;keyword&gt;drought risk&lt;/keyword&gt;&lt;keyword&gt;water resource management&lt;/keyword&gt;&lt;/keywords&gt;&lt;dates&gt;&lt;year&gt;2004&lt;/year&gt;&lt;/dates&gt;&lt;publisher&gt;John Wiley &amp;amp; Sons, Ltd.&lt;/publisher&gt;&lt;isbn&gt;1099-1085&lt;/isbn&gt;&lt;urls&gt;&lt;related-urls&gt;&lt;url&gt;http://dx.doi.org/10.1002/hyp.1460&lt;/url&gt;&lt;/related-urls&gt;&lt;/urls&gt;&lt;electronic-resource-num&gt;10.1002/hyp.1460&lt;/electronic-resource-num&gt;&lt;/record&gt;&lt;/Cite&gt;&lt;/EndNote&gt;</w:instrText>
      </w:r>
      <w:r w:rsidR="00F925C3">
        <w:fldChar w:fldCharType="separate"/>
      </w:r>
      <w:r w:rsidR="00F925C3">
        <w:rPr>
          <w:noProof/>
        </w:rPr>
        <w:t>(Kiem and Franks 2004)</w:t>
      </w:r>
      <w:r w:rsidR="00F925C3">
        <w:fldChar w:fldCharType="end"/>
      </w:r>
      <w:r w:rsidR="00772DBF" w:rsidRPr="007C0631">
        <w:t>.</w:t>
      </w:r>
      <w:r w:rsidR="00772DBF">
        <w:t xml:space="preserve"> In addition to the </w:t>
      </w:r>
      <w:proofErr w:type="spellStart"/>
      <w:r w:rsidR="00772DBF">
        <w:t>stochasticity</w:t>
      </w:r>
      <w:proofErr w:type="spellEnd"/>
      <w:r w:rsidR="00772DBF">
        <w:t xml:space="preserve"> of hydrological inflows, it is difficult to define periods of shortfall. Drought is a “creeping phenomenon” </w:t>
      </w:r>
      <w:r w:rsidR="00F925C3">
        <w:fldChar w:fldCharType="begin"/>
      </w:r>
      <w:r w:rsidR="00F925C3">
        <w:instrText xml:space="preserve"> ADDIN EN.CITE &lt;EndNote&gt;&lt;Cite&gt;&lt;Author&gt;Gillette&lt;/Author&gt;&lt;Year&gt;1950.&lt;/Year&gt;&lt;RecNum&gt;84&lt;/RecNum&gt;&lt;DisplayText&gt;(Gillette 1950.)&lt;/DisplayText&gt;&lt;record&gt;&lt;rec-number&gt;84&lt;/rec-number&gt;&lt;foreign-keys&gt;&lt;key app="EN" db-id="25x92wfzmexzaoepezb5d20t00tzvzepe99z" timestamp="1499904136"&gt;84&lt;/key&gt;&lt;/foreign-keys&gt;&lt;ref-type name="Journal Article"&gt;17&lt;/ref-type&gt;&lt;contributors&gt;&lt;authors&gt;&lt;author&gt;Gillette, H.P.&lt;/author&gt;&lt;/authors&gt;&lt;/contributors&gt;&lt;titles&gt;&lt;title&gt; A creeping drought under way. &lt;/title&gt;&lt;secondary-title&gt;Water and Sewage Works,&lt;/secondary-title&gt;&lt;/titles&gt;&lt;periodical&gt;&lt;full-title&gt;Water and Sewage Works,&lt;/full-title&gt;&lt;/periodical&gt;&lt;pages&gt; p. 104-105, &lt;/pages&gt;&lt;dates&gt;&lt;year&gt;1950.&lt;/year&gt;&lt;/dates&gt;&lt;urls&gt;&lt;/urls&gt;&lt;/record&gt;&lt;/Cite&gt;&lt;/EndNote&gt;</w:instrText>
      </w:r>
      <w:r w:rsidR="00F925C3">
        <w:fldChar w:fldCharType="separate"/>
      </w:r>
      <w:r w:rsidR="00F925C3">
        <w:rPr>
          <w:noProof/>
        </w:rPr>
        <w:t>(Gillette 1950.)</w:t>
      </w:r>
      <w:r w:rsidR="00F925C3">
        <w:fldChar w:fldCharType="end"/>
      </w:r>
      <w:r w:rsidR="00772DBF">
        <w:t xml:space="preserve">, making an accurate prediction of either its onset or end a difficult and contested task. Current measures of short run marginal cost do not “ration the resource” as there are considerable uncertainties about the resource that requires rationing. According to </w:t>
      </w:r>
      <w:r w:rsidR="00F925C3">
        <w:fldChar w:fldCharType="begin"/>
      </w:r>
      <w:r w:rsidR="00F925C3">
        <w:instrText xml:space="preserve"> ADDIN EN.CITE &lt;EndNote&gt;&lt;Cite&gt;&lt;Author&gt;Tannehill&lt;/Author&gt;&lt;Year&gt;1971&lt;/Year&gt;&lt;RecNum&gt;85&lt;/RecNum&gt;&lt;DisplayText&gt;(Tannehill 1971)&lt;/DisplayText&gt;&lt;record&gt;&lt;rec-number&gt;85&lt;/rec-number&gt;&lt;foreign-keys&gt;&lt;key app="EN" db-id="25x92wfzmexzaoepezb5d20t00tzvzepe99z" timestamp="1499904726"&gt;85&lt;/key&gt;&lt;/foreign-keys&gt;&lt;ref-type name="Book"&gt;6&lt;/ref-type&gt;&lt;contributors&gt;&lt;authors&gt;&lt;author&gt;Tannehill, I.R.&lt;/author&gt;&lt;/authors&gt;&lt;/contributors&gt;&lt;titles&gt;&lt;title&gt;Drought: Its Causes and Effects&lt;/title&gt;&lt;/titles&gt;&lt;dates&gt;&lt;year&gt;1971&lt;/year&gt;&lt;/dates&gt;&lt;urls&gt;&lt;related-urls&gt;&lt;url&gt;https://books.google.com.au/books?id=JfIrnQAACAAJ&lt;/url&gt;&lt;/related-urls&gt;&lt;/urls&gt;&lt;/record&gt;&lt;/Cite&gt;&lt;/EndNote&gt;</w:instrText>
      </w:r>
      <w:r w:rsidR="00F925C3">
        <w:fldChar w:fldCharType="separate"/>
      </w:r>
      <w:r w:rsidR="00F925C3">
        <w:rPr>
          <w:noProof/>
        </w:rPr>
        <w:t>(Tannehill 1971)</w:t>
      </w:r>
      <w:r w:rsidR="00F925C3">
        <w:fldChar w:fldCharType="end"/>
      </w:r>
      <w:r w:rsidR="00772DBF">
        <w:t>, “The first rainless day in a spell of fine weather contributes as much to the drought as the last, but no one knows how serious it will be until the last dry day is gone and the rains have come again . . . we are not sure about it until the crops have withered and died.”</w:t>
      </w:r>
    </w:p>
    <w:p w14:paraId="0EE11F5F" w14:textId="77777777" w:rsidR="00772DBF" w:rsidRDefault="00772DBF" w:rsidP="00694B9B"/>
    <w:p w14:paraId="0EE11F60" w14:textId="77777777" w:rsidR="00232443" w:rsidRPr="00502A85" w:rsidRDefault="00232443" w:rsidP="00232443">
      <w:pPr>
        <w:pStyle w:val="Heading2"/>
      </w:pPr>
      <w:r>
        <w:t>The hydrological risk</w:t>
      </w:r>
    </w:p>
    <w:p w14:paraId="0EE11F61" w14:textId="77777777" w:rsidR="00D6228C" w:rsidRDefault="00D6228C" w:rsidP="00D6228C">
      <w:r>
        <w:t xml:space="preserve">Regulators typically use long term expectations of reliability to inform </w:t>
      </w:r>
      <w:r>
        <w:rPr>
          <w:rFonts w:eastAsiaTheme="minorEastAsia"/>
        </w:rPr>
        <w:t>the</w:t>
      </w:r>
      <w:r>
        <w:t xml:space="preserve"> design criteria, or service level obligations, that are established from stead state analysis of system performance. These service level obligations are broadly similar to the safety criteria used in structural engineering in that they reflect minimum service levels that the infrastructure is expected to deliver. For example, the service level obligations for three major urban centres in Australia are</w:t>
      </w:r>
      <w:r w:rsidR="001D548E">
        <w:t xml:space="preserve"> </w:t>
      </w:r>
      <w:r w:rsidR="00F925C3">
        <w:fldChar w:fldCharType="begin"/>
      </w:r>
      <w:r w:rsidR="00F925C3">
        <w:instrText xml:space="preserve"> ADDIN EN.CITE &lt;EndNote&gt;&lt;Cite&gt;&lt;Author&gt;Department of energy and water supply&lt;/Author&gt;&lt;Year&gt;2013&lt;/Year&gt;&lt;RecNum&gt;42&lt;/RecNum&gt;&lt;DisplayText&gt;(Department of energy and water supply 2013)&lt;/DisplayText&gt;&lt;record&gt;&lt;rec-number&gt;42&lt;/rec-number&gt;&lt;foreign-keys&gt;&lt;key app="EN" db-id="25x92wfzmexzaoepezb5d20t00tzvzepe99z" timestamp="1492480244"&gt;42&lt;/key&gt;&lt;/foreign-keys&gt;&lt;ref-type name="Report"&gt;27&lt;/ref-type&gt;&lt;contributors&gt;&lt;authors&gt;&lt;author&gt;Department of energy and water supply,&lt;/author&gt;&lt;/authors&gt;&lt;secondary-authors&gt;&lt;author&gt;Queensland Government&lt;/author&gt;&lt;/secondary-authors&gt;&lt;/contributors&gt;&lt;titles&gt;&lt;title&gt;Water security for South East Queensland - discussion paper on the review of the level of service objectives&lt;/title&gt;&lt;/titles&gt;&lt;dates&gt;&lt;year&gt;2013&lt;/year&gt;&lt;pub-dates&gt;&lt;date&gt;December 2013&lt;/date&gt;&lt;/pub-dates&gt;&lt;/dates&gt;&lt;pub-location&gt;Brisbane&lt;/pub-location&gt;&lt;publisher&gt;Department of energy and water supply&lt;/publisher&gt;&lt;urls&gt;&lt;related-urls&gt;&lt;url&gt;http://www.qca.org.au/getattachment/2bbe15fe-da55-4a73-8765-8876c4eb9090/Service-Objectives-Cons-RIS.aspx&lt;/url&gt;&lt;/related-urls&gt;&lt;/urls&gt;&lt;/record&gt;&lt;/Cite&gt;&lt;/EndNote&gt;</w:instrText>
      </w:r>
      <w:r w:rsidR="00F925C3">
        <w:fldChar w:fldCharType="separate"/>
      </w:r>
      <w:r w:rsidR="00F925C3">
        <w:rPr>
          <w:noProof/>
        </w:rPr>
        <w:t>(Department of energy and water supply 2013)</w:t>
      </w:r>
      <w:r w:rsidR="00F925C3">
        <w:fldChar w:fldCharType="end"/>
      </w:r>
      <w:r>
        <w:t xml:space="preserve">: </w:t>
      </w:r>
    </w:p>
    <w:p w14:paraId="0EE11F62" w14:textId="77777777" w:rsidR="00D6228C" w:rsidRDefault="00D6228C" w:rsidP="00D6228C">
      <w:pPr>
        <w:numPr>
          <w:ilvl w:val="0"/>
          <w:numId w:val="3"/>
        </w:numPr>
        <w:spacing w:after="200" w:line="276" w:lineRule="auto"/>
      </w:pPr>
      <w:r>
        <w:t>Melbourne: 95 per cent reliability of supply with no longer than 12 consecutive months of water restrictions that are no more severe than stage three;</w:t>
      </w:r>
    </w:p>
    <w:p w14:paraId="0EE11F63" w14:textId="77777777" w:rsidR="00D6228C" w:rsidRDefault="00D6228C" w:rsidP="00D6228C">
      <w:pPr>
        <w:pStyle w:val="ListParagraph"/>
        <w:numPr>
          <w:ilvl w:val="0"/>
          <w:numId w:val="3"/>
        </w:numPr>
      </w:pPr>
      <w:r>
        <w:t>Canberra: restrictions should not occur more than one year in 20, with a severe water restrictions target of 150 litres per person per day (which is about a 45 per cent reduction in summer water demand); and</w:t>
      </w:r>
    </w:p>
    <w:p w14:paraId="0EE11F64" w14:textId="77777777" w:rsidR="00D6228C" w:rsidRDefault="00D6228C" w:rsidP="00D6228C">
      <w:pPr>
        <w:pStyle w:val="ListParagraph"/>
        <w:numPr>
          <w:ilvl w:val="0"/>
          <w:numId w:val="3"/>
        </w:numPr>
      </w:pPr>
      <w:r>
        <w:t>Sydney: reliability comprises security (</w:t>
      </w:r>
      <w:r w:rsidRPr="002919BE">
        <w:t xml:space="preserve">defined as </w:t>
      </w:r>
      <w:r>
        <w:t xml:space="preserve">water storage not falling below </w:t>
      </w:r>
      <w:r w:rsidRPr="002919BE">
        <w:t>5</w:t>
      </w:r>
      <w:r>
        <w:t xml:space="preserve"> per cent</w:t>
      </w:r>
      <w:r w:rsidRPr="002919BE">
        <w:t xml:space="preserve"> of water storage </w:t>
      </w:r>
      <w:r>
        <w:t xml:space="preserve">capacity </w:t>
      </w:r>
      <w:r w:rsidRPr="002919BE">
        <w:t>more often than 0.001% of the time</w:t>
      </w:r>
      <w:r>
        <w:t xml:space="preserve">), robustness (restrictions occur no more than once every 10 years on average) and reliability (restrictions have limited duration) measures. </w:t>
      </w:r>
    </w:p>
    <w:p w14:paraId="0EE11F65" w14:textId="77777777" w:rsidR="00BC527A" w:rsidRDefault="00944E79" w:rsidP="00D6228C">
      <w:r>
        <w:t xml:space="preserve">It should be noted that these definitions of risk fail to explicitly account for reservoir failure. Consequentially, they disenfranchise water utilities </w:t>
      </w:r>
      <w:r w:rsidR="00BC527A">
        <w:t xml:space="preserve">from </w:t>
      </w:r>
      <w:r>
        <w:t xml:space="preserve">taking actions to address these risks. The result is that, when these water supply systems are stressed, </w:t>
      </w:r>
      <w:r w:rsidR="00BC527A">
        <w:t xml:space="preserve">decisions about operating and augmenting the water supply system become highly political. In addition, failing to quantify the cost of reservoir failure would mean that any reforms aimed at using price to ration water would encourage </w:t>
      </w:r>
      <w:r w:rsidR="00F25380">
        <w:t xml:space="preserve">risk shifting towards the public. </w:t>
      </w:r>
    </w:p>
    <w:p w14:paraId="0EE11F66" w14:textId="77777777" w:rsidR="00D6228C" w:rsidRDefault="00D6228C" w:rsidP="00D6228C">
      <w:r>
        <w:t xml:space="preserve">The most commonly used modern method of establishing a reservoir’s reliability is behaviour analysis </w:t>
      </w:r>
      <w:r>
        <w:fldChar w:fldCharType="begin"/>
      </w:r>
      <w:r>
        <w:instrText xml:space="preserve"> ADDIN EN.CITE &lt;EndNote&gt;&lt;Cite&gt;&lt;Author&gt;McMahon&lt;/Author&gt;&lt;Year&gt;1986&lt;/Year&gt;&lt;RecNum&gt;37&lt;/RecNum&gt;&lt;DisplayText&gt;(McMahon and Mein 1986)&lt;/DisplayText&gt;&lt;record&gt;&lt;rec-number&gt;37&lt;/rec-number&gt;&lt;foreign-keys&gt;&lt;key app="EN" db-id="25x92wfzmexzaoepezb5d20t00tzvzepe99z" timestamp="1492479518"&gt;37&lt;/key&gt;&lt;/foreign-keys&gt;&lt;ref-type name="Book"&gt;6&lt;/ref-type&gt;&lt;contributors&gt;&lt;authors&gt;&lt;author&gt;McMahon, Thomas Aquinas&lt;/author&gt;&lt;author&gt;Mein, Russell G&lt;/author&gt;&lt;/authors&gt;&lt;/contributors&gt;&lt;titles&gt;&lt;title&gt;River and reservoir yield&lt;/title&gt;&lt;/titles&gt;&lt;dates&gt;&lt;year&gt;1986&lt;/year&gt;&lt;/dates&gt;&lt;publisher&gt;Water Resources Publications Fort Collins, CO&lt;/publisher&gt;&lt;isbn&gt;0918334616&lt;/isbn&gt;&lt;urls&gt;&lt;/urls&gt;&lt;/record&gt;&lt;/Cite&gt;&lt;/EndNote&gt;</w:instrText>
      </w:r>
      <w:r>
        <w:fldChar w:fldCharType="separate"/>
      </w:r>
      <w:r>
        <w:rPr>
          <w:noProof/>
        </w:rPr>
        <w:t>(McMahon and Mein 1986)</w:t>
      </w:r>
      <w:r>
        <w:fldChar w:fldCharType="end"/>
      </w:r>
      <w:r>
        <w:t xml:space="preserve">. This approach determines the minimum reservoir storage capacity required for delivery of a specified yield with a given reliability. The storage is determined by trial and error. While generally accurate, it requires </w:t>
      </w:r>
      <w:proofErr w:type="spellStart"/>
      <w:r w:rsidRPr="0054293C">
        <w:t>streamflow</w:t>
      </w:r>
      <w:proofErr w:type="spellEnd"/>
      <w:r w:rsidRPr="0054293C">
        <w:t xml:space="preserve"> sequences of at least 1,000 years </w:t>
      </w:r>
      <w:r>
        <w:t xml:space="preserve">to provide a </w:t>
      </w:r>
      <w:r w:rsidRPr="0054293C">
        <w:t>stable steady state solution</w:t>
      </w:r>
      <w:r>
        <w:t xml:space="preserve"> </w:t>
      </w:r>
      <w:r>
        <w:fldChar w:fldCharType="begin"/>
      </w:r>
      <w:r>
        <w:instrText xml:space="preserve"> ADDIN EN.CITE &lt;EndNote&gt;&lt;Cite&gt;&lt;Author&gt;Pretto&lt;/Author&gt;&lt;Year&gt;1997&lt;/Year&gt;&lt;RecNum&gt;12&lt;/RecNum&gt;&lt;DisplayText&gt;(Pretto, Chiew et al. 1997)&lt;/DisplayText&gt;&lt;record&gt;&lt;rec-number&gt;12&lt;/rec-number&gt;&lt;foreign-keys&gt;&lt;key app="EN" db-id="25x92wfzmexzaoepezb5d20t00tzvzepe99z" timestamp="1492473206"&gt;12&lt;/key&gt;&lt;key app="ENWeb" db-id=""&gt;0&lt;/key&gt;&lt;/foreign-keys&gt;&lt;ref-type name="Journal Article"&gt;17&lt;/ref-type&gt;&lt;contributors&gt;&lt;authors&gt;&lt;author&gt;Pretto, Paul B.&lt;/author&gt;&lt;author&gt;Chiew, Francis H. S.&lt;/author&gt;&lt;author&gt;McMahon, Thomas A.&lt;/author&gt;&lt;author&gt;Vogel, Richard M.&lt;/author&gt;&lt;author&gt;Stedinger, Jery R.&lt;/author&gt;&lt;/authors&gt;&lt;/contributors&gt;&lt;titles&gt;&lt;title&gt;The (mis)behavior of behavior analysis storage estimates&lt;/title&gt;&lt;secondary-title&gt;Water Resources Research&lt;/secondary-title&gt;&lt;/titles&gt;&lt;periodical&gt;&lt;full-title&gt;Water Resources Research&lt;/full-title&gt;&lt;/periodical&gt;&lt;pages&gt;703-709&lt;/pages&gt;&lt;volume&gt;33&lt;/volume&gt;&lt;number&gt;4&lt;/number&gt;&lt;dates&gt;&lt;year&gt;1997&lt;/year&gt;&lt;/dates&gt;&lt;isbn&gt;00431397&lt;/isbn&gt;&lt;urls&gt;&lt;/urls&gt;&lt;electronic-resource-num&gt;10.1029/96wr03284&lt;/electronic-resource-num&gt;&lt;/record&gt;&lt;/Cite&gt;&lt;/EndNote&gt;</w:instrText>
      </w:r>
      <w:r>
        <w:fldChar w:fldCharType="separate"/>
      </w:r>
      <w:r>
        <w:rPr>
          <w:noProof/>
        </w:rPr>
        <w:t>(Pretto, Chiew et al. 1997)</w:t>
      </w:r>
      <w:r>
        <w:fldChar w:fldCharType="end"/>
      </w:r>
      <w:r>
        <w:t>.</w:t>
      </w:r>
      <w:r w:rsidRPr="00564636">
        <w:t xml:space="preserve"> </w:t>
      </w:r>
      <w:r>
        <w:t xml:space="preserve"> </w:t>
      </w:r>
    </w:p>
    <w:p w14:paraId="0EE11F67" w14:textId="77777777" w:rsidR="00944E79" w:rsidRDefault="00D6228C" w:rsidP="00694B9B">
      <w:r>
        <w:t xml:space="preserve">Economic reforms aimed at improving the way in which the urban water supply sector uses water resources, and invests in </w:t>
      </w:r>
      <w:r w:rsidR="00944E79">
        <w:t xml:space="preserve">future water supply source, implicitly and explicitly relate to the reliability of supply. Unless the costs associated with this reserve capacity are quantified and related to its </w:t>
      </w:r>
      <w:r w:rsidR="00944E79">
        <w:lastRenderedPageBreak/>
        <w:t xml:space="preserve">risks, then attempts to improve the </w:t>
      </w:r>
      <w:r w:rsidR="00703B04">
        <w:t xml:space="preserve">economic </w:t>
      </w:r>
      <w:r w:rsidR="00772DBF">
        <w:t xml:space="preserve">efficiency of reservoir operation are likely to increase the risk of failure. This is because these risks are socialised and can be transferred to the public purse. </w:t>
      </w:r>
    </w:p>
    <w:p w14:paraId="0EE11F68" w14:textId="77777777" w:rsidR="00772DBF" w:rsidRDefault="00F925C3" w:rsidP="00772DBF">
      <w:r>
        <w:fldChar w:fldCharType="begin"/>
      </w:r>
      <w:r>
        <w:instrText xml:space="preserve"> ADDIN EN.CITE &lt;EndNote&gt;&lt;Cite&gt;&lt;Author&gt;Hu&lt;/Author&gt;&lt;Year&gt;2016&lt;/Year&gt;&lt;RecNum&gt;69&lt;/RecNum&gt;&lt;DisplayText&gt;(Hu, Zhang et al. 2016)&lt;/DisplayText&gt;&lt;record&gt;&lt;rec-number&gt;69&lt;/rec-number&gt;&lt;foreign-keys&gt;&lt;key app="EN" db-id="25x92wfzmexzaoepezb5d20t00tzvzepe99z" timestamp="1496121887"&gt;69&lt;/key&gt;&lt;key app="ENWeb" db-id=""&gt;0&lt;/key&gt;&lt;/foreign-keys&gt;&lt;ref-type name="Journal Article"&gt;17&lt;/ref-type&gt;&lt;contributors&gt;&lt;authors&gt;&lt;author&gt;Hu, Tiesong&lt;/author&gt;&lt;author&gt;Zhang, Xu-Zhao&lt;/author&gt;&lt;author&gt;Zeng, Xiang&lt;/author&gt;&lt;author&gt;Wang, Jing&lt;/author&gt;&lt;/authors&gt;&lt;/contributors&gt;&lt;titles&gt;&lt;title&gt;A Two-Step Approach for Analytical Optimal Hedging with Two Triggers&lt;/title&gt;&lt;secondary-title&gt;Water&lt;/secondary-title&gt;&lt;/titles&gt;&lt;periodical&gt;&lt;full-title&gt;Water&lt;/full-title&gt;&lt;/periodical&gt;&lt;pages&gt;52&lt;/pages&gt;&lt;volume&gt;8&lt;/volume&gt;&lt;number&gt;2&lt;/number&gt;&lt;dates&gt;&lt;year&gt;2016&lt;/year&gt;&lt;/dates&gt;&lt;isbn&gt;2073-4441&lt;/isbn&gt;&lt;urls&gt;&lt;/urls&gt;&lt;electronic-resource-num&gt;10.3390/w8020052&lt;/electronic-resource-num&gt;&lt;/record&gt;&lt;/Cite&gt;&lt;/EndNote&gt;</w:instrText>
      </w:r>
      <w:r>
        <w:fldChar w:fldCharType="separate"/>
      </w:r>
      <w:r>
        <w:rPr>
          <w:noProof/>
        </w:rPr>
        <w:t>(Hu, Zhang et al. 2016)</w:t>
      </w:r>
      <w:r>
        <w:fldChar w:fldCharType="end"/>
      </w:r>
      <w:r w:rsidR="001D548E">
        <w:t xml:space="preserve"> </w:t>
      </w:r>
      <w:r w:rsidR="00772DBF">
        <w:t xml:space="preserve">noted that drought is difficult to predict, let alone forecast with confidence. As such, when the risk of failure has not been privatised, it can be difficult to use price to ration the available water. </w:t>
      </w:r>
    </w:p>
    <w:p w14:paraId="0EE11F69" w14:textId="77777777" w:rsidR="00694B9B" w:rsidRPr="00472328" w:rsidRDefault="00694B9B" w:rsidP="00694B9B">
      <w:pPr>
        <w:rPr>
          <w:rFonts w:eastAsiaTheme="minorEastAsia"/>
        </w:rPr>
      </w:pPr>
      <w:r>
        <w:t xml:space="preserve">With climatic variability, even highly reliable reservoirs, with significant “excess” storage capacity, can require augmentations during periods of prolonged low inflow. </w:t>
      </w:r>
      <w:r w:rsidRPr="00EA2888">
        <w:rPr>
          <w:rFonts w:eastAsiaTheme="minorEastAsia"/>
        </w:rPr>
        <w:t>During the unprecedented Millennium Drought in southeast Australia (2001-2009) the water supply system supplying the city of Melbo</w:t>
      </w:r>
      <w:r>
        <w:rPr>
          <w:rFonts w:eastAsiaTheme="minorEastAsia"/>
        </w:rPr>
        <w:t>urne experienced severe stress. I</w:t>
      </w:r>
      <w:r w:rsidRPr="00EA2888">
        <w:rPr>
          <w:rFonts w:eastAsiaTheme="minorEastAsia"/>
        </w:rPr>
        <w:t xml:space="preserve">n 2007 </w:t>
      </w:r>
      <w:r>
        <w:rPr>
          <w:rFonts w:eastAsiaTheme="minorEastAsia"/>
        </w:rPr>
        <w:t xml:space="preserve">an assessment of the reserve capacity of the water supply system suggesting the city required </w:t>
      </w:r>
      <w:r w:rsidRPr="00EA2888">
        <w:rPr>
          <w:rFonts w:eastAsiaTheme="minorEastAsia"/>
        </w:rPr>
        <w:t xml:space="preserve">240 </w:t>
      </w:r>
      <w:proofErr w:type="spellStart"/>
      <w:r w:rsidRPr="00EA2888">
        <w:rPr>
          <w:rFonts w:eastAsiaTheme="minorEastAsia"/>
        </w:rPr>
        <w:t>gigalitres</w:t>
      </w:r>
      <w:proofErr w:type="spellEnd"/>
      <w:r w:rsidRPr="00EA2888">
        <w:rPr>
          <w:rFonts w:eastAsiaTheme="minorEastAsia"/>
        </w:rPr>
        <w:t xml:space="preserve"> in augmentations by 2012</w:t>
      </w:r>
      <w:r>
        <w:rPr>
          <w:rFonts w:eastAsiaTheme="minorEastAsia"/>
        </w:rPr>
        <w:t xml:space="preserve">, including the construction of a </w:t>
      </w:r>
      <w:r w:rsidRPr="00EA2888">
        <w:rPr>
          <w:rFonts w:eastAsiaTheme="minorEastAsia"/>
        </w:rPr>
        <w:t xml:space="preserve">150 </w:t>
      </w:r>
      <w:proofErr w:type="spellStart"/>
      <w:r w:rsidRPr="00EA2888">
        <w:rPr>
          <w:rFonts w:eastAsiaTheme="minorEastAsia"/>
        </w:rPr>
        <w:t>gigalitre</w:t>
      </w:r>
      <w:proofErr w:type="spellEnd"/>
      <w:r w:rsidRPr="00EA2888">
        <w:rPr>
          <w:rFonts w:eastAsiaTheme="minorEastAsia"/>
        </w:rPr>
        <w:t xml:space="preserve"> desalination</w:t>
      </w:r>
      <w:r>
        <w:rPr>
          <w:rFonts w:eastAsiaTheme="minorEastAsia"/>
        </w:rPr>
        <w:t xml:space="preserve"> plant</w:t>
      </w:r>
      <w:r w:rsidRPr="00EA2888">
        <w:rPr>
          <w:rFonts w:eastAsiaTheme="minorEastAsia"/>
        </w:rPr>
        <w:t xml:space="preserve">. </w:t>
      </w:r>
      <w:r>
        <w:rPr>
          <w:rFonts w:eastAsiaTheme="minorEastAsia"/>
        </w:rPr>
        <w:t xml:space="preserve">However, pervious assessments in 2004 and 2005 suggested that no significant infrastructure investment would be required until 2025 at the earliest, even incorporating the influence of climate change. </w:t>
      </w:r>
    </w:p>
    <w:p w14:paraId="0EE11F6A" w14:textId="77777777" w:rsidR="00CA63BE" w:rsidRDefault="00772DBF" w:rsidP="00772DBF">
      <w:pPr>
        <w:pStyle w:val="Heading2"/>
      </w:pPr>
      <w:r>
        <w:t>Potential remedy</w:t>
      </w:r>
    </w:p>
    <w:p w14:paraId="0EE11F6B" w14:textId="77777777" w:rsidR="00CA63BE" w:rsidRDefault="0031175C" w:rsidP="0031175C">
      <w:r>
        <w:t xml:space="preserve">The capacity to source water from climate independent sources in time frames significantly shorter than the system memory essentially acts as an upper bound on social losses associated with reservoir failure. It allows for the use of a risk management strategy based on augmentation with a climate independent water supply source. To inform such a strategy it is necessary to quantify the costs associated with maintaining a given reliability level. In addition, these </w:t>
      </w:r>
      <w:r w:rsidR="00CA63BE">
        <w:t xml:space="preserve">climate independent sources, such as recycling or desalination plants, have distinctly higher operating costs than the traditional gravity fed reservoirs. This creates an opportunity cost associated with water in storage – the capacity to avoid accessing an existing climate independent water supply source or to pre-emptively or unnecessarily augment a water supply system. </w:t>
      </w:r>
    </w:p>
    <w:p w14:paraId="0EE11F6C" w14:textId="77777777" w:rsidR="00EC58EB" w:rsidRPr="00EB5634" w:rsidRDefault="00EC58EB" w:rsidP="0031175C">
      <w:r w:rsidRPr="0031175C">
        <w:t xml:space="preserve">Since a water supply source, such as a desalination plant, can be built with a defined number of years and to a fixed reliable quantity, the cost of maintaining a given level of </w:t>
      </w:r>
      <w:proofErr w:type="spellStart"/>
      <w:r w:rsidRPr="0031175C">
        <w:t>reliabiltiy</w:t>
      </w:r>
      <w:proofErr w:type="spellEnd"/>
      <w:r w:rsidRPr="0031175C">
        <w:t xml:space="preserve"> can be quantified. </w:t>
      </w:r>
      <w:r w:rsidR="0031175C">
        <w:t xml:space="preserve">This means that long term performance metrics used to regulate urban water supplies can be costed. </w:t>
      </w:r>
      <w:r w:rsidR="00EB5634">
        <w:t xml:space="preserve">The technical paper, presented at the </w:t>
      </w:r>
      <w:proofErr w:type="spellStart"/>
      <w:r w:rsidR="00EB5634">
        <w:t>OzWater</w:t>
      </w:r>
      <w:proofErr w:type="spellEnd"/>
      <w:r w:rsidR="00EB5634">
        <w:t xml:space="preserve"> 2017 conference, on </w:t>
      </w:r>
      <w:r w:rsidR="00EB5634">
        <w:rPr>
          <w:i/>
        </w:rPr>
        <w:t xml:space="preserve">The cost of reliability </w:t>
      </w:r>
      <w:r w:rsidR="00EB5634">
        <w:t xml:space="preserve">set out a methodology to do this </w:t>
      </w:r>
      <w:r w:rsidR="00F925C3">
        <w:fldChar w:fldCharType="begin"/>
      </w:r>
      <w:r w:rsidR="00F925C3">
        <w:instrText xml:space="preserve"> ADDIN EN.CITE &lt;EndNote&gt;&lt;Cite&gt;&lt;Author&gt;Taylor&lt;/Author&gt;&lt;Year&gt;2017&lt;/Year&gt;&lt;RecNum&gt;105&lt;/RecNum&gt;&lt;DisplayText&gt;(Taylor 2017)&lt;/DisplayText&gt;&lt;record&gt;&lt;rec-number&gt;105&lt;/rec-number&gt;&lt;foreign-keys&gt;&lt;key app="EN" db-id="25x92wfzmexzaoepezb5d20t00tzvzepe99z" timestamp="1502881141"&gt;105&lt;/key&gt;&lt;/foreign-keys&gt;&lt;ref-type name="Conference Paper"&gt;47&lt;/ref-type&gt;&lt;contributors&gt;&lt;authors&gt;&lt;author&gt;Taylor, N M, Western, A., Langford, K.J. and Freebairn, J.&lt;/author&gt;&lt;/authors&gt;&lt;/contributors&gt;&lt;titles&gt;&lt;title&gt;The cost of reliability&lt;/title&gt;&lt;secondary-title&gt;OzWater 2017&lt;/secondary-title&gt;&lt;/titles&gt;&lt;number&gt;Water Pricing&lt;/number&gt;&lt;num-vols&gt;Changes in Governance, Policy, Regulation &amp;amp; Structure&lt;/num-vols&gt;&lt;dates&gt;&lt;year&gt;2017&lt;/year&gt;&lt;pub-dates&gt;&lt;date&gt;Tuesday 16 May, 2017&lt;/date&gt;&lt;/pub-dates&gt;&lt;/dates&gt;&lt;pub-location&gt;Sydney&lt;/pub-location&gt;&lt;urls&gt;&lt;/urls&gt;&lt;/record&gt;&lt;/Cite&gt;&lt;/EndNote&gt;</w:instrText>
      </w:r>
      <w:r w:rsidR="00F925C3">
        <w:fldChar w:fldCharType="separate"/>
      </w:r>
      <w:r w:rsidR="00F925C3">
        <w:rPr>
          <w:noProof/>
        </w:rPr>
        <w:t>(Taylor 2017)</w:t>
      </w:r>
      <w:r w:rsidR="00F925C3">
        <w:fldChar w:fldCharType="end"/>
      </w:r>
      <w:r w:rsidR="00EB5634">
        <w:t xml:space="preserve">. </w:t>
      </w:r>
    </w:p>
    <w:p w14:paraId="0EE11F6D" w14:textId="77777777" w:rsidR="00EC58EB" w:rsidRPr="007828FD" w:rsidRDefault="00EC58EB" w:rsidP="00EC58EB">
      <w:r w:rsidRPr="0031175C">
        <w:t xml:space="preserve">Consider the following conceptual two-period model where a reservoir operate is required to </w:t>
      </w:r>
      <w:proofErr w:type="spellStart"/>
      <w:r w:rsidRPr="0031175C">
        <w:t>maxmise</w:t>
      </w:r>
      <w:proofErr w:type="spellEnd"/>
      <w:r w:rsidRPr="0031175C">
        <w:t xml:space="preserve"> total utility while maintaining a minimum level of water delivery, and with a range of </w:t>
      </w:r>
      <w:proofErr w:type="spellStart"/>
      <w:r w:rsidRPr="0031175C">
        <w:t>augmention</w:t>
      </w:r>
      <w:proofErr w:type="spellEnd"/>
      <w:r w:rsidRPr="0031175C">
        <w:t xml:space="preserve"> options </w:t>
      </w:r>
      <m:oMath>
        <m:d>
          <m:dPr>
            <m:ctrlPr>
              <w:rPr>
                <w:rFonts w:ascii="Cambria Math" w:hAnsi="Cambria Math"/>
              </w:rPr>
            </m:ctrlPr>
          </m:dPr>
          <m:e>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e>
        </m:d>
      </m:oMath>
      <w:r w:rsidRPr="0031175C">
        <w:t xml:space="preserve"> available to ensure that this minimum can be met. This situation can be described as: </w:t>
      </w:r>
    </w:p>
    <w:p w14:paraId="0EE11F6E" w14:textId="77777777" w:rsidR="00EC58EB" w:rsidRDefault="00BB34CE" w:rsidP="0020407B">
      <w:pPr>
        <w:pStyle w:val="Caption"/>
      </w:pPr>
      <m:oMath>
        <m:func>
          <m:funcPr>
            <m:ctrlPr>
              <w:rPr>
                <w:rFonts w:ascii="Cambria Math" w:hAnsi="Cambria Math"/>
              </w:rPr>
            </m:ctrlPr>
          </m:funcPr>
          <m:fName>
            <m:r>
              <w:rPr>
                <w:rFonts w:ascii="Cambria Math" w:hAnsi="Cambria Math"/>
              </w:rPr>
              <m:t>max</m:t>
            </m:r>
          </m:fName>
          <m:e>
            <m:r>
              <w:rPr>
                <w:rFonts w:ascii="Cambria Math" w:hAnsi="Cambria Math"/>
              </w:rPr>
              <m:t>U</m:t>
            </m:r>
          </m:e>
        </m:func>
        <m:r>
          <w:rPr>
            <w:rFonts w:ascii="Cambria Math" w:hAnsi="Cambria Math"/>
          </w:rPr>
          <m:t>=</m:t>
        </m:r>
        <m:sSub>
          <m:sSubPr>
            <m:ctrlPr>
              <w:rPr>
                <w:rFonts w:ascii="Cambria Math" w:hAnsi="Cambria Math"/>
              </w:rPr>
            </m:ctrlPr>
          </m:sSubPr>
          <m:e>
            <m:r>
              <w:rPr>
                <w:rFonts w:ascii="Cambria Math" w:eastAsia="Times New Roman" w:hAnsi="Cambria Math"/>
              </w:rPr>
              <m:t>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eastAsia="Times New Roman" w:hAnsi="Cambria Math"/>
              </w:rPr>
              <m:t>TB</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eastAsia="Times New Roman" w:hAnsi="Cambria Math"/>
              </w:rPr>
              <m:t>Cost</m:t>
            </m:r>
          </m:e>
          <m:sub>
            <m:r>
              <w:rPr>
                <w:rFonts w:ascii="Cambria Math" w:hAnsi="Cambria Math"/>
              </w:rPr>
              <m:t>i</m:t>
            </m:r>
          </m:sub>
        </m:sSub>
        <m:d>
          <m:dPr>
            <m:ctrlPr>
              <w:rPr>
                <w:rFonts w:ascii="Cambria Math" w:hAnsi="Cambria Math"/>
              </w:rPr>
            </m:ctrlPr>
          </m:dPr>
          <m:e>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e>
        </m:d>
      </m:oMath>
      <w:r w:rsidR="00EC58EB" w:rsidRPr="00D96A03">
        <w:t xml:space="preserve">            </w:t>
      </w:r>
      <w:r w:rsidR="0031175C">
        <w:tab/>
      </w:r>
      <w:r w:rsidR="0031175C">
        <w:tab/>
      </w:r>
      <w:r w:rsidR="0031175C">
        <w:tab/>
      </w:r>
      <w:r w:rsidR="0031175C">
        <w:tab/>
      </w:r>
      <w:r w:rsidR="0031175C">
        <w:tab/>
      </w:r>
      <w:r w:rsidR="0020407B">
        <w:t xml:space="preserve">Equation </w:t>
      </w:r>
      <w:fldSimple w:instr=" SEQ Equation \* ARABIC ">
        <w:r w:rsidR="008B7848">
          <w:rPr>
            <w:noProof/>
          </w:rPr>
          <w:t>1</w:t>
        </w:r>
      </w:fldSimple>
    </w:p>
    <w:p w14:paraId="0EE11F6F" w14:textId="77777777" w:rsidR="00EC58EB" w:rsidRDefault="00EC58EB" w:rsidP="0020407B">
      <m:oMath>
        <m:r>
          <w:rPr>
            <w:rFonts w:ascii="Cambria Math" w:hAnsi="Cambria Math"/>
          </w:rPr>
          <m:t xml:space="preserve">s.t.  </m:t>
        </m:r>
      </m:oMath>
      <w:r w:rsidRPr="007828FD">
        <w:tab/>
      </w:r>
    </w:p>
    <w:p w14:paraId="0EE11F70" w14:textId="77777777" w:rsidR="00EC58EB" w:rsidRPr="007828FD" w:rsidRDefault="00BB34CE" w:rsidP="0020407B">
      <w:pPr>
        <w:pStyle w:val="Caption"/>
      </w:pPr>
      <m:oMath>
        <m:sSub>
          <m:sSubPr>
            <m:ctrlPr>
              <w:rPr>
                <w:rFonts w:ascii="Cambria Math" w:hAnsi="Cambria Math"/>
              </w:rPr>
            </m:ctrlPr>
          </m:sSubPr>
          <m:e>
            <m:r>
              <w:rPr>
                <w:rFonts w:ascii="Cambria Math" w:eastAsia="Times New Roman" w:hAnsi="Cambria Math"/>
              </w:rPr>
              <m:t>TB</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eastAsia="Times New Roman" w:hAnsi="Cambria Math"/>
              </w:rPr>
              <m:t>f</m:t>
            </m:r>
          </m:e>
          <m:sub>
            <m:r>
              <w:rPr>
                <w:rFonts w:ascii="Cambria Math" w:hAnsi="Cambria Math"/>
              </w:rPr>
              <m:t>j</m:t>
            </m:r>
          </m:sub>
        </m:sSub>
        <m:r>
          <w:rPr>
            <w:rFonts w:ascii="Cambria Math" w:hAnsi="Cambria Math"/>
          </w:rPr>
          <m:t>(</m:t>
        </m:r>
        <m:sSub>
          <m:sSubPr>
            <m:ctrlPr>
              <w:rPr>
                <w:rFonts w:ascii="Cambria Math" w:hAnsi="Cambria Math"/>
              </w:rPr>
            </m:ctrlPr>
          </m:sSubPr>
          <m:e>
            <m:r>
              <w:rPr>
                <w:rFonts w:ascii="Cambria Math" w:eastAsia="Times New Roman" w:hAnsi="Cambria Math"/>
              </w:rPr>
              <m:t>Q</m:t>
            </m:r>
          </m:e>
          <m:sub>
            <m:r>
              <w:rPr>
                <w:rFonts w:ascii="Cambria Math" w:hAnsi="Cambria Math"/>
              </w:rPr>
              <m:t>j</m:t>
            </m:r>
          </m:sub>
        </m:sSub>
        <m:r>
          <w:rPr>
            <w:rFonts w:ascii="Cambria Math" w:hAnsi="Cambria Math"/>
          </w:rPr>
          <m:t>)</m:t>
        </m:r>
      </m:oMath>
      <w:r w:rsidR="00EC58EB" w:rsidRPr="007828FD">
        <w:tab/>
      </w:r>
      <w:r w:rsidR="00EC58EB" w:rsidRPr="007828FD">
        <w:tab/>
      </w:r>
      <w:r w:rsidR="00EC58EB">
        <w:t xml:space="preserve">              </w:t>
      </w:r>
      <w:r w:rsidR="0031175C">
        <w:tab/>
      </w:r>
      <w:r w:rsidR="0031175C">
        <w:tab/>
      </w:r>
      <w:r w:rsidR="0031175C">
        <w:tab/>
      </w:r>
      <w:r w:rsidR="0031175C">
        <w:tab/>
      </w:r>
      <w:r w:rsidR="0031175C">
        <w:tab/>
      </w:r>
      <w:r w:rsidR="0020407B">
        <w:tab/>
        <w:t xml:space="preserve">Equation </w:t>
      </w:r>
      <w:fldSimple w:instr=" SEQ Equation \* ARABIC ">
        <w:r w:rsidR="008B7848">
          <w:rPr>
            <w:noProof/>
          </w:rPr>
          <w:t>2</w:t>
        </w:r>
      </w:fldSimple>
    </w:p>
    <w:p w14:paraId="0EE11F71" w14:textId="77777777" w:rsidR="00EC58EB" w:rsidRPr="007828FD" w:rsidRDefault="00BB34CE" w:rsidP="0020407B">
      <w:pPr>
        <w:pStyle w:val="Caption"/>
      </w:pPr>
      <m:oMath>
        <m:sSub>
          <m:sSubPr>
            <m:ctrlPr>
              <w:rPr>
                <w:rFonts w:ascii="Cambria Math" w:eastAsia="Times New Roman" w:hAnsi="Cambria Math"/>
              </w:rPr>
            </m:ctrlPr>
          </m:sSubPr>
          <m:e>
            <m:r>
              <w:rPr>
                <w:rFonts w:ascii="Cambria Math" w:eastAsia="Times New Roman" w:hAnsi="Cambria Math"/>
              </w:rPr>
              <m:t>Q</m:t>
            </m:r>
          </m:e>
          <m:sub>
            <m:r>
              <w:rPr>
                <w:rFonts w:ascii="Cambria Math" w:eastAsia="Times New Roman" w:hAnsi="Cambria Math"/>
              </w:rPr>
              <m:t>1</m:t>
            </m:r>
          </m:sub>
        </m:sSub>
        <m:r>
          <w:rPr>
            <w:rFonts w:ascii="Cambria Math" w:hAnsi="Cambria Math"/>
          </w:rPr>
          <m:t>+</m:t>
        </m:r>
        <m:sSub>
          <m:sSubPr>
            <m:ctrlPr>
              <w:rPr>
                <w:rFonts w:ascii="Cambria Math" w:eastAsia="Times New Roman" w:hAnsi="Cambria Math"/>
              </w:rPr>
            </m:ctrlPr>
          </m:sSubPr>
          <m:e>
            <m:r>
              <w:rPr>
                <w:rFonts w:ascii="Cambria Math" w:eastAsia="Times New Roman" w:hAnsi="Cambria Math"/>
              </w:rPr>
              <m:t>Q</m:t>
            </m:r>
          </m:e>
          <m:sub>
            <m:r>
              <w:rPr>
                <w:rFonts w:ascii="Cambria Math" w:eastAsia="Times New Roman" w:hAnsi="Cambria Math"/>
              </w:rPr>
              <m:t>2</m:t>
            </m:r>
          </m:sub>
        </m:sSub>
        <m:r>
          <w:rPr>
            <w:rFonts w:ascii="Cambria Math" w:hAnsi="Cambria Math"/>
          </w:rPr>
          <m:t>=S+</m:t>
        </m:r>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oMath>
      <w:r w:rsidR="00EC58EB" w:rsidRPr="007828FD">
        <w:tab/>
      </w:r>
      <w:r w:rsidR="00EC58EB">
        <w:t xml:space="preserve"> </w:t>
      </w:r>
      <w:r w:rsidR="00EC58EB">
        <w:tab/>
        <w:t xml:space="preserve">           </w:t>
      </w:r>
      <w:r w:rsidR="0031175C">
        <w:tab/>
      </w:r>
      <w:r w:rsidR="0031175C">
        <w:tab/>
      </w:r>
      <w:r w:rsidR="0031175C">
        <w:tab/>
      </w:r>
      <w:r w:rsidR="0031175C">
        <w:tab/>
      </w:r>
      <w:r w:rsidR="0031175C">
        <w:tab/>
      </w:r>
      <w:r w:rsidR="0020407B">
        <w:tab/>
        <w:t xml:space="preserve">Equation </w:t>
      </w:r>
      <w:fldSimple w:instr=" SEQ Equation \* ARABIC ">
        <w:r w:rsidR="008B7848">
          <w:rPr>
            <w:noProof/>
          </w:rPr>
          <w:t>3</w:t>
        </w:r>
      </w:fldSimple>
    </w:p>
    <w:bookmarkStart w:id="1" w:name="_Ref490647311"/>
    <w:p w14:paraId="0EE11F72" w14:textId="77777777" w:rsidR="00EC58EB" w:rsidRPr="007828FD" w:rsidRDefault="00BB34CE" w:rsidP="0020407B">
      <w:pPr>
        <w:pStyle w:val="Caption"/>
      </w:pPr>
      <m:oMath>
        <m:sSub>
          <m:sSubPr>
            <m:ctrlPr>
              <w:rPr>
                <w:rFonts w:ascii="Cambria Math" w:hAnsi="Cambria Math"/>
              </w:rPr>
            </m:ctrlPr>
          </m:sSubPr>
          <m:e>
            <m:r>
              <w:rPr>
                <w:rFonts w:ascii="Cambria Math" w:eastAsia="Times New Roman" w:hAnsi="Cambria Math"/>
              </w:rPr>
              <m:t>Q</m:t>
            </m:r>
          </m:e>
          <m:sub>
            <m:r>
              <w:rPr>
                <w:rFonts w:ascii="Cambria Math" w:hAnsi="Cambria Math"/>
              </w:rPr>
              <m:t>j</m:t>
            </m:r>
          </m:sub>
        </m:sSub>
        <m:r>
          <w:rPr>
            <w:rFonts w:ascii="Cambria Math" w:hAnsi="Cambria Math"/>
          </w:rPr>
          <m:t>≥</m:t>
        </m:r>
        <m:sSup>
          <m:sSupPr>
            <m:ctrlPr>
              <w:rPr>
                <w:rFonts w:ascii="Cambria Math" w:eastAsia="Times New Roman" w:hAnsi="Cambria Math"/>
              </w:rPr>
            </m:ctrlPr>
          </m:sSupPr>
          <m:e>
            <m:r>
              <w:rPr>
                <w:rFonts w:ascii="Cambria Math" w:eastAsia="Times New Roman" w:hAnsi="Cambria Math"/>
              </w:rPr>
              <m:t>D</m:t>
            </m:r>
          </m:e>
          <m:sup>
            <m:r>
              <w:rPr>
                <w:rFonts w:ascii="Cambria Math" w:eastAsia="Times New Roman" w:hAnsi="Cambria Math"/>
              </w:rPr>
              <m:t>m</m:t>
            </m:r>
          </m:sup>
        </m:sSup>
      </m:oMath>
      <w:r w:rsidR="00EC58EB" w:rsidRPr="007828FD">
        <w:tab/>
      </w:r>
      <w:r w:rsidR="00EC58EB" w:rsidRPr="007828FD">
        <w:tab/>
      </w:r>
      <w:r w:rsidR="00EC58EB">
        <w:t xml:space="preserve">            </w:t>
      </w:r>
      <w:r w:rsidR="0031175C">
        <w:tab/>
      </w:r>
      <w:r w:rsidR="0031175C">
        <w:tab/>
      </w:r>
      <w:r w:rsidR="0031175C">
        <w:tab/>
      </w:r>
      <w:r w:rsidR="0031175C">
        <w:tab/>
      </w:r>
      <w:r w:rsidR="0031175C">
        <w:tab/>
      </w:r>
      <w:r w:rsidR="0031175C">
        <w:tab/>
      </w:r>
      <w:r w:rsidR="0031175C">
        <w:tab/>
      </w:r>
      <w:r w:rsidR="0020407B">
        <w:t xml:space="preserve">Equation </w:t>
      </w:r>
      <w:fldSimple w:instr=" SEQ Equation \* ARABIC ">
        <w:r w:rsidR="008B7848">
          <w:rPr>
            <w:noProof/>
          </w:rPr>
          <w:t>4</w:t>
        </w:r>
      </w:fldSimple>
      <w:bookmarkEnd w:id="1"/>
    </w:p>
    <w:p w14:paraId="0EE11F73" w14:textId="77777777" w:rsidR="00EC58EB" w:rsidRDefault="00EC58EB" w:rsidP="00EC58EB">
      <w:pPr>
        <w:pStyle w:val="Body"/>
        <w:spacing w:before="0" w:after="0"/>
        <w:rPr>
          <w:rFonts w:cs="Arial"/>
        </w:rPr>
      </w:pPr>
    </w:p>
    <w:p w14:paraId="0EE11F74" w14:textId="77777777" w:rsidR="00EC58EB" w:rsidRPr="0031175C" w:rsidRDefault="00EC58EB" w:rsidP="0031175C">
      <w:r w:rsidRPr="0031175C">
        <w:t xml:space="preserve">Where </w:t>
      </w:r>
      <w:r w:rsidRPr="0031175C">
        <w:rPr>
          <w:i/>
        </w:rPr>
        <w:t>U</w:t>
      </w:r>
      <w:r>
        <w:t xml:space="preserve"> is utility, and </w:t>
      </w:r>
      <m:oMath>
        <m:sSub>
          <m:sSubPr>
            <m:ctrlPr>
              <w:rPr>
                <w:rFonts w:ascii="Cambria Math" w:hAnsi="Cambria Math"/>
              </w:rPr>
            </m:ctrlPr>
          </m:sSubPr>
          <m:e>
            <m:r>
              <w:rPr>
                <w:rFonts w:ascii="Cambria Math" w:hAnsi="Cambria Math"/>
              </w:rPr>
              <m:t>TB</m:t>
            </m:r>
          </m:e>
          <m:sub>
            <m:r>
              <w:rPr>
                <w:rFonts w:ascii="Cambria Math" w:hAnsi="Cambria Math"/>
              </w:rPr>
              <m:t>j</m:t>
            </m:r>
          </m:sub>
        </m:sSub>
      </m:oMath>
      <w:r w:rsidRPr="006C3CD8">
        <w:t xml:space="preserve"> is the total benefits of water released in period </w:t>
      </w:r>
      <w:r w:rsidRPr="0031175C">
        <w:rPr>
          <w:i/>
        </w:rPr>
        <w:t>j</w:t>
      </w:r>
      <w:r w:rsidRPr="006C3CD8">
        <w:t xml:space="preserve">. Costs </w:t>
      </w:r>
      <w:proofErr w:type="spellStart"/>
      <w:r w:rsidRPr="0031175C">
        <w:rPr>
          <w:i/>
        </w:rPr>
        <w:t>i</w:t>
      </w:r>
      <w:proofErr w:type="spellEnd"/>
      <w:r w:rsidRPr="0031175C">
        <w:t xml:space="preserve"> </w:t>
      </w:r>
      <w:r w:rsidRPr="006C3CD8">
        <w:t xml:space="preserve">are the costs associated with augmentation </w:t>
      </w:r>
      <w:proofErr w:type="spellStart"/>
      <w:r w:rsidRPr="0031175C">
        <w:t>i</w:t>
      </w:r>
      <w:proofErr w:type="spellEnd"/>
      <w:r w:rsidRPr="0031175C">
        <w:t xml:space="preserve"> </w:t>
      </w:r>
      <w:r w:rsidRPr="006C3CD8">
        <w:t xml:space="preserve">and there are 1, 2,…n possible augmentations that can be commissioned in the first period and be ready for use in the second period to produce quantity </w:t>
      </w:r>
      <m:oMath>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oMath>
      <w:r>
        <w:t xml:space="preserve">, </w:t>
      </w:r>
      <w:r>
        <w:lastRenderedPageBreak/>
        <w:t xml:space="preserve">and </w:t>
      </w:r>
      <m:oMath>
        <m:sSup>
          <m:sSupPr>
            <m:ctrlPr>
              <w:rPr>
                <w:rFonts w:ascii="Cambria Math" w:hAnsi="Cambria Math"/>
              </w:rPr>
            </m:ctrlPr>
          </m:sSupPr>
          <m:e>
            <m:r>
              <w:rPr>
                <w:rFonts w:ascii="Cambria Math" w:hAnsi="Cambria Math"/>
              </w:rPr>
              <m:t>D</m:t>
            </m:r>
          </m:e>
          <m:sup>
            <m:r>
              <w:rPr>
                <w:rFonts w:ascii="Cambria Math" w:hAnsi="Cambria Math"/>
              </w:rPr>
              <m:t>m</m:t>
            </m:r>
          </m:sup>
        </m:sSup>
      </m:oMath>
      <w:r>
        <w:t xml:space="preserve"> is the minimum level of demand that must be met. It should be noted that this model allocates available water between demand in period one and period two. As such, the </w:t>
      </w:r>
      <w:r w:rsidRPr="0055383D">
        <w:t>derived decision rules and outcomes will be functions of the predetermined initial stock, inflows and required final stock</w:t>
      </w:r>
      <w:r>
        <w:t xml:space="preserve">. </w:t>
      </w:r>
    </w:p>
    <w:p w14:paraId="0EE11F75" w14:textId="77777777" w:rsidR="00EC58EB" w:rsidRDefault="00EC58EB" w:rsidP="0031175C">
      <w:pPr>
        <w:rPr>
          <w:rFonts w:cs="Arial"/>
        </w:rPr>
      </w:pPr>
      <w:r>
        <w:rPr>
          <w:rFonts w:cs="Arial"/>
        </w:rPr>
        <w:t xml:space="preserve">The </w:t>
      </w:r>
      <w:proofErr w:type="spellStart"/>
      <w:r>
        <w:rPr>
          <w:rFonts w:cs="Arial"/>
        </w:rPr>
        <w:t>Lagrangian</w:t>
      </w:r>
      <w:proofErr w:type="spellEnd"/>
      <w:r>
        <w:rPr>
          <w:rFonts w:cs="Arial"/>
        </w:rPr>
        <w:t xml:space="preserve"> for this program is: </w:t>
      </w:r>
    </w:p>
    <w:p w14:paraId="0EE11F76" w14:textId="77777777" w:rsidR="00EC58EB" w:rsidRPr="00EC58EB" w:rsidRDefault="00EC58EB" w:rsidP="00EC58EB">
      <w:pPr>
        <w:ind w:left="720"/>
      </w:pPr>
      <m:oMathPara>
        <m:oMath>
          <m:r>
            <w:rPr>
              <w:rFonts w:ascii="Cambria Math" w:hAnsi="Cambria Math"/>
            </w:rPr>
            <m:t>L</m:t>
          </m:r>
          <m:d>
            <m:dPr>
              <m:ctrlPr>
                <w:rPr>
                  <w:rFonts w:ascii="Cambria Math" w:hAnsi="Cambria Math"/>
                  <w:i/>
                </w:rPr>
              </m:ctrlPr>
            </m:dPr>
            <m:e>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1</m:t>
                  </m:r>
                </m:sub>
              </m:sSub>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2</m:t>
                  </m:r>
                </m:sub>
              </m:sSub>
              <m:r>
                <w:rPr>
                  <w:rFonts w:ascii="Cambria Math" w:eastAsia="Times New Roman" w:hAnsi="Cambria Math"/>
                </w:rPr>
                <m:t>,</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a</m:t>
                  </m:r>
                </m:sup>
              </m:sSubSup>
              <m:r>
                <w:rPr>
                  <w:rFonts w:ascii="Cambria Math" w:eastAsia="Times New Roman" w:hAnsi="Cambria Math"/>
                </w:rPr>
                <m:t>,</m:t>
              </m:r>
              <m:r>
                <w:rPr>
                  <w:rFonts w:ascii="Cambria Math" w:hAnsi="Cambria Math"/>
                </w:rPr>
                <m:t>n,</m:t>
              </m:r>
              <m:sSub>
                <m:sSubPr>
                  <m:ctrlPr>
                    <w:rPr>
                      <w:rFonts w:ascii="Cambria Math" w:hAnsi="Cambria Math"/>
                      <w:i/>
                    </w:rPr>
                  </m:ctrlPr>
                </m:sSubPr>
                <m:e>
                  <m:r>
                    <w:rPr>
                      <w:rFonts w:ascii="Cambria Math" w:eastAsia="Times New Roman" w:hAnsi="Cambria Math"/>
                    </w:rPr>
                    <m:t>λ</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eastAsia="Times New Roman" w:hAnsi="Cambria Math"/>
                    </w:rPr>
                    <m:t>λ</m:t>
                  </m:r>
                </m:e>
                <m:sub>
                  <m:r>
                    <w:rPr>
                      <w:rFonts w:ascii="Cambria Math" w:hAnsi="Cambria Math"/>
                    </w:rPr>
                    <m:t>2</m:t>
                  </m:r>
                </m:sub>
              </m:sSub>
            </m:e>
          </m:d>
          <m:r>
            <w:rPr>
              <w:rFonts w:ascii="Cambria Math" w:hAnsi="Cambria Math"/>
            </w:rPr>
            <m:t>=-</m:t>
          </m:r>
          <m:sSub>
            <m:sSubPr>
              <m:ctrlPr>
                <w:rPr>
                  <w:rFonts w:ascii="Cambria Math" w:hAnsi="Cambria Math"/>
                  <w:i/>
                </w:rPr>
              </m:ctrlPr>
            </m:sSubPr>
            <m:e>
              <m:r>
                <w:rPr>
                  <w:rFonts w:ascii="Cambria Math" w:eastAsia="Times New Roman" w:hAnsi="Cambria Math"/>
                </w:rPr>
                <m:t>f</m:t>
              </m:r>
            </m:e>
            <m:sub>
              <m:r>
                <w:rPr>
                  <w:rFonts w:ascii="Cambria Math" w:hAnsi="Cambria Math"/>
                </w:rPr>
                <m:t>1</m:t>
              </m:r>
            </m:sub>
          </m:sSub>
          <m:d>
            <m:dPr>
              <m:ctrlPr>
                <w:rPr>
                  <w:rFonts w:ascii="Cambria Math" w:hAnsi="Cambria Math"/>
                  <w:i/>
                </w:rPr>
              </m:ctrlPr>
            </m:dPr>
            <m:e>
              <m:sSub>
                <m:sSubPr>
                  <m:ctrlPr>
                    <w:rPr>
                      <w:rFonts w:ascii="Cambria Math" w:hAnsi="Cambria Math"/>
                      <w:i/>
                    </w:rPr>
                  </m:ctrlPr>
                </m:sSubPr>
                <m:e>
                  <m:r>
                    <w:rPr>
                      <w:rFonts w:ascii="Cambria Math" w:eastAsia="Times New Roman" w:hAnsi="Cambria Math"/>
                    </w:rPr>
                    <m:t>Q</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eastAsia="Times New Roman" w:hAnsi="Cambria Math"/>
                </w:rPr>
                <m:t>f</m:t>
              </m:r>
            </m:e>
            <m:sub>
              <m:r>
                <w:rPr>
                  <w:rFonts w:ascii="Cambria Math" w:hAnsi="Cambria Math"/>
                </w:rPr>
                <m:t>2</m:t>
              </m:r>
            </m:sub>
          </m:sSub>
          <m:d>
            <m:dPr>
              <m:ctrlPr>
                <w:rPr>
                  <w:rFonts w:ascii="Cambria Math" w:hAnsi="Cambria Math"/>
                  <w:i/>
                </w:rPr>
              </m:ctrlPr>
            </m:dPr>
            <m:e>
              <m:sSub>
                <m:sSubPr>
                  <m:ctrlPr>
                    <w:rPr>
                      <w:rFonts w:ascii="Cambria Math" w:hAnsi="Cambria Math"/>
                      <w:i/>
                    </w:rPr>
                  </m:ctrlPr>
                </m:sSubPr>
                <m:e>
                  <m:r>
                    <w:rPr>
                      <w:rFonts w:ascii="Cambria Math" w:eastAsia="Times New Roman" w:hAnsi="Cambria Math"/>
                    </w:rPr>
                    <m:t>Q</m:t>
                  </m:r>
                </m:e>
                <m:sub>
                  <m:r>
                    <w:rPr>
                      <w:rFonts w:ascii="Cambria Math" w:hAnsi="Cambria Math"/>
                    </w:rPr>
                    <m:t>2</m:t>
                  </m:r>
                </m:sub>
              </m:sSub>
            </m:e>
          </m:d>
          <m:r>
            <w:rPr>
              <w:rFonts w:ascii="Cambria Math" w:hAnsi="Cambria Math"/>
            </w:rPr>
            <m:t>+cost(</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a</m:t>
              </m:r>
            </m:sup>
          </m:sSubSup>
          <m:r>
            <w:rPr>
              <w:rFonts w:ascii="Cambria Math" w:eastAsia="Times New Roman" w:hAnsi="Cambria Math"/>
            </w:rPr>
            <m:t>)</m:t>
          </m:r>
          <m:r>
            <w:rPr>
              <w:rFonts w:ascii="Cambria Math" w:hAnsi="Cambria Math"/>
            </w:rPr>
            <m:t>-n</m:t>
          </m:r>
          <m:d>
            <m:dPr>
              <m:ctrlPr>
                <w:rPr>
                  <w:rFonts w:ascii="Cambria Math" w:hAnsi="Cambria Math"/>
                  <w:i/>
                </w:rPr>
              </m:ctrlPr>
            </m:dPr>
            <m:e>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1</m:t>
                  </m:r>
                </m:sub>
              </m:sSub>
              <m:r>
                <w:rPr>
                  <w:rFonts w:ascii="Cambria Math" w:hAnsi="Cambria Math"/>
                </w:rPr>
                <m:t>+</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2</m:t>
                  </m:r>
                </m:sub>
              </m:sSub>
              <m:r>
                <w:rPr>
                  <w:rFonts w:ascii="Cambria Math" w:hAnsi="Cambria Math"/>
                </w:rPr>
                <m:t>-S-</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a</m:t>
                  </m:r>
                </m:sup>
              </m:sSubSup>
            </m:e>
          </m:d>
          <m:r>
            <w:rPr>
              <w:rFonts w:ascii="Cambria Math" w:hAnsi="Cambria Math"/>
            </w:rPr>
            <m:t>+</m:t>
          </m:r>
          <m:sSubSup>
            <m:sSubSupPr>
              <m:ctrlPr>
                <w:rPr>
                  <w:rFonts w:ascii="Cambria Math" w:eastAsia="Times New Roman" w:hAnsi="Cambria Math"/>
                  <w:i/>
                </w:rPr>
              </m:ctrlPr>
            </m:sSubSupPr>
            <m:e>
              <m:r>
                <w:rPr>
                  <w:rFonts w:ascii="Cambria Math" w:eastAsia="Times New Roman" w:hAnsi="Cambria Math"/>
                </w:rPr>
                <m:t>λ</m:t>
              </m:r>
            </m:e>
            <m:sub>
              <m:r>
                <w:rPr>
                  <w:rFonts w:ascii="Cambria Math" w:eastAsia="Times New Roman" w:hAnsi="Cambria Math"/>
                </w:rPr>
                <m:t>1</m:t>
              </m:r>
            </m:sub>
            <m:sup>
              <m:r>
                <w:rPr>
                  <w:rFonts w:ascii="Cambria Math" w:eastAsia="Times New Roman" w:hAnsi="Cambria Math"/>
                </w:rPr>
                <m:t xml:space="preserve"> </m:t>
              </m:r>
            </m:sup>
          </m:sSubSup>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D</m:t>
              </m:r>
            </m:e>
            <m:sup>
              <m:r>
                <w:rPr>
                  <w:rFonts w:ascii="Cambria Math" w:eastAsia="Times New Roman" w:hAnsi="Cambria Math"/>
                </w:rPr>
                <m:t>m</m:t>
              </m:r>
            </m:sup>
          </m:sSup>
          <m:r>
            <w:rPr>
              <w:rFonts w:ascii="Cambria Math" w:eastAsia="Times New Roman" w:hAnsi="Cambria Math"/>
            </w:rPr>
            <m:t>-</m:t>
          </m:r>
          <m:sSub>
            <m:sSubPr>
              <m:ctrlPr>
                <w:rPr>
                  <w:rFonts w:ascii="Cambria Math" w:hAnsi="Cambria Math"/>
                  <w:i/>
                </w:rPr>
              </m:ctrlPr>
            </m:sSubPr>
            <m:e>
              <m:r>
                <w:rPr>
                  <w:rFonts w:ascii="Cambria Math" w:eastAsia="Times New Roman" w:hAnsi="Cambria Math"/>
                </w:rPr>
                <m:t>Q</m:t>
              </m:r>
            </m:e>
            <m:sub>
              <m:r>
                <w:rPr>
                  <w:rFonts w:ascii="Cambria Math" w:hAnsi="Cambria Math"/>
                </w:rPr>
                <m:t>1</m:t>
              </m:r>
            </m:sub>
          </m:sSub>
          <m:r>
            <w:rPr>
              <w:rFonts w:ascii="Cambria Math" w:eastAsia="Times New Roman" w:hAnsi="Cambria Math"/>
            </w:rPr>
            <m:t>)</m:t>
          </m:r>
          <m:r>
            <w:rPr>
              <w:rFonts w:ascii="Cambria Math" w:hAnsi="Cambria Math"/>
            </w:rPr>
            <m:t>+</m:t>
          </m:r>
          <m:sSubSup>
            <m:sSubSupPr>
              <m:ctrlPr>
                <w:rPr>
                  <w:rFonts w:ascii="Cambria Math" w:eastAsia="Times New Roman" w:hAnsi="Cambria Math"/>
                  <w:i/>
                </w:rPr>
              </m:ctrlPr>
            </m:sSubSupPr>
            <m:e>
              <m:r>
                <w:rPr>
                  <w:rFonts w:ascii="Cambria Math" w:eastAsia="Times New Roman" w:hAnsi="Cambria Math"/>
                </w:rPr>
                <m:t>λ</m:t>
              </m:r>
            </m:e>
            <m:sub>
              <m:r>
                <w:rPr>
                  <w:rFonts w:ascii="Cambria Math" w:eastAsia="Times New Roman" w:hAnsi="Cambria Math"/>
                </w:rPr>
                <m:t>2</m:t>
              </m:r>
            </m:sub>
            <m:sup>
              <m:r>
                <w:rPr>
                  <w:rFonts w:ascii="Cambria Math" w:eastAsia="Times New Roman" w:hAnsi="Cambria Math"/>
                </w:rPr>
                <m:t xml:space="preserve"> </m:t>
              </m:r>
            </m:sup>
          </m:sSubSup>
          <m:r>
            <w:rPr>
              <w:rFonts w:ascii="Cambria Math" w:eastAsia="Times New Roman" w:hAnsi="Cambria Math"/>
            </w:rPr>
            <m:t>(</m:t>
          </m:r>
          <m:sSup>
            <m:sSupPr>
              <m:ctrlPr>
                <w:rPr>
                  <w:rFonts w:ascii="Cambria Math" w:eastAsia="Times New Roman" w:hAnsi="Cambria Math"/>
                </w:rPr>
              </m:ctrlPr>
            </m:sSupPr>
            <m:e>
              <m:r>
                <w:rPr>
                  <w:rFonts w:ascii="Cambria Math" w:eastAsia="Times New Roman" w:hAnsi="Cambria Math"/>
                </w:rPr>
                <m:t>D</m:t>
              </m:r>
            </m:e>
            <m:sup>
              <m:r>
                <w:rPr>
                  <w:rFonts w:ascii="Cambria Math" w:eastAsia="Times New Roman" w:hAnsi="Cambria Math"/>
                </w:rPr>
                <m:t>m</m:t>
              </m:r>
            </m:sup>
          </m:sSup>
          <m:r>
            <w:rPr>
              <w:rFonts w:ascii="Cambria Math" w:eastAsia="Times New Roman" w:hAnsi="Cambria Math"/>
            </w:rPr>
            <m:t>-</m:t>
          </m:r>
          <m:sSub>
            <m:sSubPr>
              <m:ctrlPr>
                <w:rPr>
                  <w:rFonts w:ascii="Cambria Math" w:hAnsi="Cambria Math"/>
                  <w:i/>
                </w:rPr>
              </m:ctrlPr>
            </m:sSubPr>
            <m:e>
              <m:r>
                <w:rPr>
                  <w:rFonts w:ascii="Cambria Math" w:eastAsia="Times New Roman" w:hAnsi="Cambria Math"/>
                </w:rPr>
                <m:t>Q</m:t>
              </m:r>
            </m:e>
            <m:sub>
              <m:r>
                <w:rPr>
                  <w:rFonts w:ascii="Cambria Math" w:hAnsi="Cambria Math"/>
                </w:rPr>
                <m:t>2</m:t>
              </m:r>
            </m:sub>
          </m:sSub>
          <m:r>
            <w:rPr>
              <w:rFonts w:ascii="Cambria Math" w:eastAsia="Times New Roman" w:hAnsi="Cambria Math"/>
            </w:rPr>
            <m:t>)</m:t>
          </m:r>
        </m:oMath>
      </m:oMathPara>
    </w:p>
    <w:p w14:paraId="0EE11F77" w14:textId="77777777" w:rsidR="00EC58EB" w:rsidRPr="0031175C" w:rsidRDefault="0031175C" w:rsidP="0031175C">
      <w:r>
        <w:t>A</w:t>
      </w:r>
      <w:r w:rsidR="00EC58EB" w:rsidRPr="0031175C">
        <w:t xml:space="preserve">pplying the </w:t>
      </w:r>
      <w:proofErr w:type="spellStart"/>
      <w:r w:rsidR="00EC58EB" w:rsidRPr="0031175C">
        <w:t>Karush</w:t>
      </w:r>
      <w:proofErr w:type="spellEnd"/>
      <w:r w:rsidR="00EC58EB" w:rsidRPr="0031175C">
        <w:t xml:space="preserve">–Kuhn–Tucker conditions under two scenarios shows that optimality is achieved when: </w:t>
      </w:r>
    </w:p>
    <w:p w14:paraId="0EE11F78" w14:textId="77777777" w:rsidR="00EC58EB" w:rsidRDefault="00EC58EB" w:rsidP="00EC58EB">
      <w:pPr>
        <w:pStyle w:val="Body"/>
        <w:spacing w:before="0" w:after="0"/>
        <w:rPr>
          <w:rFonts w:cs="Arial"/>
        </w:rPr>
      </w:pPr>
    </w:p>
    <w:p w14:paraId="0EE11F79" w14:textId="77777777" w:rsidR="00EC58EB" w:rsidRPr="005F45EC" w:rsidRDefault="00EC58EB" w:rsidP="005F45EC">
      <w:pPr>
        <w:pStyle w:val="ListParagraph"/>
        <w:numPr>
          <w:ilvl w:val="0"/>
          <w:numId w:val="6"/>
        </w:numPr>
      </w:pPr>
      <w:r w:rsidRPr="005F45EC">
        <w:t xml:space="preserve">Scenario 1: Plentiful water </w:t>
      </w:r>
    </w:p>
    <w:p w14:paraId="0EE11F7A" w14:textId="77777777" w:rsidR="00EC58EB" w:rsidRDefault="00EC58EB" w:rsidP="00EC58EB">
      <w:pPr>
        <w:pStyle w:val="Body"/>
        <w:spacing w:before="0" w:after="0"/>
        <w:rPr>
          <w:rFonts w:cs="Arial"/>
        </w:rPr>
      </w:pPr>
    </w:p>
    <w:bookmarkStart w:id="2" w:name="_Ref490647086"/>
    <w:p w14:paraId="0EE11F7B" w14:textId="77777777" w:rsidR="00EC58EB" w:rsidRPr="007828FD" w:rsidRDefault="00BB34CE" w:rsidP="008B7848">
      <w:pPr>
        <w:pStyle w:val="Caption"/>
      </w:pPr>
      <m:oMath>
        <m:sSup>
          <m:sSupPr>
            <m:ctrlPr>
              <w:rPr>
                <w:rFonts w:ascii="Cambria Math" w:eastAsia="Times New Roman" w:hAnsi="Cambria Math"/>
              </w:rPr>
            </m:ctrlPr>
          </m:sSupPr>
          <m:e>
            <m:r>
              <w:rPr>
                <w:rFonts w:ascii="Cambria Math" w:eastAsia="Times New Roman" w:hAnsi="Cambria Math"/>
              </w:rPr>
              <m:t>n</m:t>
            </m:r>
          </m:e>
          <m:sup>
            <m:r>
              <w:rPr>
                <w:rFonts w:ascii="Cambria Math" w:eastAsia="Times New Roman" w:hAnsi="Cambria Math"/>
              </w:rPr>
              <m:t>*</m:t>
            </m:r>
          </m:sup>
        </m:sSup>
        <m:r>
          <w:rPr>
            <w:rFonts w:ascii="Cambria Math" w:eastAsia="Times New Roman" w:hAnsi="Cambria Math"/>
          </w:rPr>
          <m:t>=</m:t>
        </m:r>
        <m:f>
          <m:fPr>
            <m:ctrlPr>
              <w:rPr>
                <w:rFonts w:ascii="Cambria Math" w:eastAsia="Times New Roman" w:hAnsi="Cambria Math"/>
              </w:rPr>
            </m:ctrlPr>
          </m:fPr>
          <m:num>
            <m:r>
              <w:rPr>
                <w:rFonts w:ascii="Cambria Math" w:eastAsia="Times New Roman"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eastAsia="Times New Roman" w:hAnsi="Cambria Math"/>
                      </w:rPr>
                      <m:t>Q</m:t>
                    </m:r>
                  </m:e>
                  <m:sub>
                    <m:r>
                      <w:rPr>
                        <w:rFonts w:ascii="Cambria Math" w:hAnsi="Cambria Math"/>
                      </w:rPr>
                      <m:t>1</m:t>
                    </m:r>
                  </m:sub>
                </m:sSub>
              </m:e>
            </m:d>
          </m:num>
          <m:den>
            <m:r>
              <w:rPr>
                <w:rFonts w:ascii="Cambria Math" w:eastAsia="Times New Roman" w:hAnsi="Cambria Math"/>
              </w:rPr>
              <m:t>∂</m:t>
            </m:r>
            <m:sSub>
              <m:sSubPr>
                <m:ctrlPr>
                  <w:rPr>
                    <w:rFonts w:ascii="Cambria Math" w:hAnsi="Cambria Math"/>
                  </w:rPr>
                </m:ctrlPr>
              </m:sSubPr>
              <m:e>
                <m:r>
                  <w:rPr>
                    <w:rFonts w:ascii="Cambria Math" w:eastAsia="Times New Roman" w:hAnsi="Cambria Math"/>
                  </w:rPr>
                  <m:t>Q</m:t>
                </m:r>
              </m:e>
              <m:sub>
                <m:r>
                  <w:rPr>
                    <w:rFonts w:ascii="Cambria Math" w:hAnsi="Cambria Math"/>
                  </w:rPr>
                  <m:t>1</m:t>
                </m:r>
              </m:sub>
            </m:sSub>
          </m:den>
        </m:f>
        <m:r>
          <w:rPr>
            <w:rFonts w:ascii="Cambria Math" w:hAnsi="Cambria Math"/>
          </w:rPr>
          <m:t>=</m:t>
        </m:r>
        <m:f>
          <m:fPr>
            <m:ctrlPr>
              <w:rPr>
                <w:rFonts w:ascii="Cambria Math" w:eastAsia="Times New Roman" w:hAnsi="Cambria Math"/>
              </w:rPr>
            </m:ctrlPr>
          </m:fPr>
          <m:num>
            <m:r>
              <w:rPr>
                <w:rFonts w:ascii="Cambria Math" w:eastAsia="Times New Roman"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eastAsia="Times New Roman" w:hAnsi="Cambria Math"/>
                      </w:rPr>
                      <m:t>Q</m:t>
                    </m:r>
                  </m:e>
                  <m:sub>
                    <m:r>
                      <w:rPr>
                        <w:rFonts w:ascii="Cambria Math" w:hAnsi="Cambria Math"/>
                      </w:rPr>
                      <m:t>2</m:t>
                    </m:r>
                  </m:sub>
                </m:sSub>
              </m:e>
            </m:d>
          </m:num>
          <m:den>
            <m:r>
              <w:rPr>
                <w:rFonts w:ascii="Cambria Math" w:eastAsia="Times New Roman" w:hAnsi="Cambria Math"/>
              </w:rPr>
              <m:t>∂</m:t>
            </m:r>
            <m:sSub>
              <m:sSubPr>
                <m:ctrlPr>
                  <w:rPr>
                    <w:rFonts w:ascii="Cambria Math" w:hAnsi="Cambria Math"/>
                  </w:rPr>
                </m:ctrlPr>
              </m:sSubPr>
              <m:e>
                <m:r>
                  <w:rPr>
                    <w:rFonts w:ascii="Cambria Math" w:eastAsia="Times New Roman" w:hAnsi="Cambria Math"/>
                  </w:rPr>
                  <m:t>Q</m:t>
                </m:r>
              </m:e>
              <m:sub>
                <m:r>
                  <w:rPr>
                    <w:rFonts w:ascii="Cambria Math" w:hAnsi="Cambria Math"/>
                  </w:rPr>
                  <m:t>2</m:t>
                </m:r>
              </m:sub>
            </m:sSub>
          </m:den>
        </m:f>
      </m:oMath>
      <w:r w:rsidR="00EC58EB">
        <w:tab/>
        <w:t xml:space="preserve">             </w:t>
      </w:r>
      <w:r w:rsidR="0031175C">
        <w:tab/>
      </w:r>
      <w:r w:rsidR="0031175C">
        <w:tab/>
      </w:r>
      <w:r w:rsidR="0031175C">
        <w:tab/>
      </w:r>
      <w:r w:rsidR="0031175C">
        <w:tab/>
      </w:r>
      <w:r w:rsidR="0031175C">
        <w:tab/>
      </w:r>
      <w:r w:rsidR="005F45EC">
        <w:tab/>
      </w:r>
      <w:r w:rsidR="0031175C">
        <w:tab/>
      </w:r>
      <w:r w:rsidR="008B7848">
        <w:t xml:space="preserve">Equation </w:t>
      </w:r>
      <w:fldSimple w:instr=" SEQ Equation \* ARABIC ">
        <w:r w:rsidR="008B7848">
          <w:rPr>
            <w:noProof/>
          </w:rPr>
          <w:t>5</w:t>
        </w:r>
      </w:fldSimple>
      <w:bookmarkEnd w:id="2"/>
    </w:p>
    <w:p w14:paraId="0EE11F7C" w14:textId="77777777" w:rsidR="00EC58EB" w:rsidRPr="007828FD" w:rsidRDefault="00EC58EB" w:rsidP="00EC58EB">
      <w:r>
        <w:t xml:space="preserve">This suggests that total benefits are optimised when marginal benefits today are equivalent to marginal benefits tomorrow when constraint (4) is not binding. </w:t>
      </w:r>
    </w:p>
    <w:p w14:paraId="0EE11F7D" w14:textId="77777777" w:rsidR="00EC58EB" w:rsidRDefault="00EC58EB" w:rsidP="00EC58EB">
      <w:pPr>
        <w:pStyle w:val="Body"/>
        <w:spacing w:before="0" w:after="0"/>
        <w:rPr>
          <w:rFonts w:cs="Arial"/>
        </w:rPr>
      </w:pPr>
    </w:p>
    <w:p w14:paraId="0EE11F7E" w14:textId="77777777" w:rsidR="00EC58EB" w:rsidRPr="005F45EC" w:rsidRDefault="00EC58EB" w:rsidP="005F45EC">
      <w:pPr>
        <w:pStyle w:val="ListParagraph"/>
        <w:numPr>
          <w:ilvl w:val="0"/>
          <w:numId w:val="6"/>
        </w:numPr>
      </w:pPr>
      <w:r w:rsidRPr="005F45EC">
        <w:t>Scenario 2: Scarce water in period II</w:t>
      </w:r>
    </w:p>
    <w:p w14:paraId="0EE11F7F" w14:textId="77777777" w:rsidR="00EC58EB" w:rsidRDefault="00EC58EB" w:rsidP="00EC58EB">
      <w:pPr>
        <w:pStyle w:val="Body"/>
        <w:spacing w:before="0" w:after="0"/>
        <w:rPr>
          <w:rFonts w:cs="Arial"/>
        </w:rPr>
      </w:pPr>
    </w:p>
    <w:bookmarkStart w:id="3" w:name="_Ref490647101"/>
    <w:p w14:paraId="0EE11F80" w14:textId="77777777" w:rsidR="00EC58EB" w:rsidRPr="00FC715E" w:rsidRDefault="00BB34CE" w:rsidP="008B7848">
      <w:pPr>
        <w:pStyle w:val="Caption"/>
      </w:pPr>
      <m:oMath>
        <m:sSup>
          <m:sSupPr>
            <m:ctrlPr>
              <w:rPr>
                <w:rFonts w:ascii="Cambria Math" w:eastAsia="Times New Roman" w:hAnsi="Cambria Math"/>
              </w:rPr>
            </m:ctrlPr>
          </m:sSupPr>
          <m:e>
            <m:r>
              <w:rPr>
                <w:rFonts w:ascii="Cambria Math" w:eastAsia="Times New Roman" w:hAnsi="Cambria Math"/>
              </w:rPr>
              <m:t>n</m:t>
            </m:r>
          </m:e>
          <m:sup>
            <m:r>
              <w:rPr>
                <w:rFonts w:ascii="Cambria Math" w:eastAsia="Times New Roman" w:hAnsi="Cambria Math"/>
              </w:rPr>
              <m:t>*</m:t>
            </m:r>
          </m:sup>
        </m:sSup>
        <m:r>
          <w:rPr>
            <w:rFonts w:ascii="Cambria Math" w:eastAsia="Times New Roman" w:hAnsi="Cambria Math"/>
          </w:rPr>
          <m:t>=</m:t>
        </m:r>
        <m:f>
          <m:fPr>
            <m:ctrlPr>
              <w:rPr>
                <w:rFonts w:ascii="Cambria Math" w:eastAsia="Times New Roman" w:hAnsi="Cambria Math"/>
              </w:rPr>
            </m:ctrlPr>
          </m:fPr>
          <m:num>
            <m:r>
              <w:rPr>
                <w:rFonts w:ascii="Cambria Math" w:eastAsia="Times New Roman" w:hAnsi="Cambria Math"/>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eastAsia="Times New Roman" w:hAnsi="Cambria Math"/>
                      </w:rPr>
                      <m:t>Q</m:t>
                    </m:r>
                  </m:e>
                  <m:sub>
                    <m:r>
                      <w:rPr>
                        <w:rFonts w:ascii="Cambria Math" w:hAnsi="Cambria Math"/>
                      </w:rPr>
                      <m:t>1</m:t>
                    </m:r>
                  </m:sub>
                </m:sSub>
              </m:e>
            </m:d>
          </m:num>
          <m:den>
            <m:r>
              <w:rPr>
                <w:rFonts w:ascii="Cambria Math" w:eastAsia="Times New Roman" w:hAnsi="Cambria Math"/>
              </w:rPr>
              <m:t>∂</m:t>
            </m:r>
            <m:sSub>
              <m:sSubPr>
                <m:ctrlPr>
                  <w:rPr>
                    <w:rFonts w:ascii="Cambria Math" w:hAnsi="Cambria Math"/>
                  </w:rPr>
                </m:ctrlPr>
              </m:sSubPr>
              <m:e>
                <m:r>
                  <w:rPr>
                    <w:rFonts w:ascii="Cambria Math" w:eastAsia="Times New Roman" w:hAnsi="Cambria Math"/>
                  </w:rPr>
                  <m:t>Q</m:t>
                </m:r>
              </m:e>
              <m:sub>
                <m:r>
                  <w:rPr>
                    <w:rFonts w:ascii="Cambria Math" w:hAnsi="Cambria Math"/>
                  </w:rPr>
                  <m:t>1</m:t>
                </m:r>
              </m:sub>
            </m:sSub>
          </m:den>
        </m:f>
        <m:r>
          <w:rPr>
            <w:rFonts w:ascii="Cambria Math" w:hAnsi="Cambria Math"/>
          </w:rPr>
          <m:t>=</m:t>
        </m:r>
        <m:f>
          <m:fPr>
            <m:ctrlPr>
              <w:rPr>
                <w:rFonts w:ascii="Cambria Math" w:eastAsia="Times New Roman" w:hAnsi="Cambria Math"/>
              </w:rPr>
            </m:ctrlPr>
          </m:fPr>
          <m:num>
            <m:r>
              <w:rPr>
                <w:rFonts w:ascii="Cambria Math" w:eastAsia="Times New Roman" w:hAnsi="Cambria Math"/>
              </w:rPr>
              <m:t>∂cost(</m:t>
            </m:r>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r>
              <w:rPr>
                <w:rFonts w:ascii="Cambria Math" w:eastAsia="Times New Roman" w:hAnsi="Cambria Math"/>
              </w:rPr>
              <m:t>)</m:t>
            </m:r>
          </m:num>
          <m:den>
            <m:r>
              <w:rPr>
                <w:rFonts w:ascii="Cambria Math" w:eastAsia="Times New Roman" w:hAnsi="Cambria Math"/>
              </w:rPr>
              <m:t>∂</m:t>
            </m:r>
            <m:sSubSup>
              <m:sSubSupPr>
                <m:ctrlPr>
                  <w:rPr>
                    <w:rFonts w:ascii="Cambria Math" w:hAnsi="Cambria Math"/>
                  </w:rPr>
                </m:ctrlPr>
              </m:sSubSupPr>
              <m:e>
                <m:r>
                  <w:rPr>
                    <w:rFonts w:ascii="Cambria Math" w:hAnsi="Cambria Math"/>
                  </w:rPr>
                  <m:t>S</m:t>
                </m:r>
              </m:e>
              <m:sub>
                <m:r>
                  <w:rPr>
                    <w:rFonts w:ascii="Cambria Math" w:hAnsi="Cambria Math"/>
                  </w:rPr>
                  <m:t>i</m:t>
                </m:r>
              </m:sub>
              <m:sup>
                <m:r>
                  <w:rPr>
                    <w:rFonts w:ascii="Cambria Math" w:hAnsi="Cambria Math"/>
                  </w:rPr>
                  <m:t>a</m:t>
                </m:r>
              </m:sup>
            </m:sSubSup>
          </m:den>
        </m:f>
      </m:oMath>
      <w:r w:rsidR="00EC58EB">
        <w:t xml:space="preserve"> </w:t>
      </w:r>
      <w:r w:rsidR="00EC58EB">
        <w:tab/>
        <w:t xml:space="preserve">             </w:t>
      </w:r>
      <w:r w:rsidR="0031175C">
        <w:tab/>
      </w:r>
      <w:r w:rsidR="0031175C">
        <w:tab/>
      </w:r>
      <w:r w:rsidR="0031175C">
        <w:tab/>
      </w:r>
      <w:r w:rsidR="0031175C">
        <w:tab/>
      </w:r>
      <w:r w:rsidR="0031175C">
        <w:tab/>
      </w:r>
      <w:r w:rsidR="005F45EC">
        <w:tab/>
      </w:r>
      <w:r w:rsidR="0031175C">
        <w:tab/>
      </w:r>
      <w:r w:rsidR="008B7848">
        <w:t xml:space="preserve">Equation </w:t>
      </w:r>
      <w:fldSimple w:instr=" SEQ Equation \* ARABIC ">
        <w:r w:rsidR="008B7848">
          <w:rPr>
            <w:noProof/>
          </w:rPr>
          <w:t>6</w:t>
        </w:r>
      </w:fldSimple>
      <w:bookmarkEnd w:id="3"/>
    </w:p>
    <w:p w14:paraId="0EE11F81" w14:textId="77777777" w:rsidR="00EC58EB" w:rsidRDefault="00EC58EB" w:rsidP="00EC58EB">
      <w:pPr>
        <w:pStyle w:val="Body"/>
        <w:spacing w:before="0" w:after="0"/>
        <w:rPr>
          <w:rFonts w:cs="Arial"/>
        </w:rPr>
      </w:pPr>
    </w:p>
    <w:p w14:paraId="0EE11F82" w14:textId="77777777" w:rsidR="00EC58EB" w:rsidRPr="0031175C" w:rsidRDefault="00EC58EB" w:rsidP="0031175C">
      <w:r w:rsidRPr="0031175C">
        <w:t xml:space="preserve">Which suggests optimality is achieved when water is scarce in period two by charging the marginal cost of the augmentation in period 1. If a desalination plant has already been built, than the marginal cost of the </w:t>
      </w:r>
      <w:proofErr w:type="spellStart"/>
      <w:r w:rsidRPr="0031175C">
        <w:t>agumentation</w:t>
      </w:r>
      <w:proofErr w:type="spellEnd"/>
      <w:r w:rsidRPr="0031175C">
        <w:t xml:space="preserve"> operating cost; if plant to be built, then the marginal cost is the operating cost plus annual fixed cost for depreciation and interest.</w:t>
      </w:r>
    </w:p>
    <w:p w14:paraId="0EE11F83" w14:textId="77777777" w:rsidR="00EC58EB" w:rsidRDefault="00EC58EB" w:rsidP="0031175C">
      <w:r>
        <w:t>It should also be noted that manufactured water supply sources require a lead time to develop. As a consequence, it is necessary to evaluate the decision over two periods of a length associated with the construction time. For instance, a desalination plant may take four years to plan and construct, or approximately two years to construct it if planning has already been complete. This augmentation timeframe establishes the length of the two periods and is a critical factor in establishing the cost of reliability for a water supply system.</w:t>
      </w:r>
    </w:p>
    <w:p w14:paraId="0EE11F84" w14:textId="77777777" w:rsidR="005F45EC" w:rsidRDefault="005F45EC" w:rsidP="0020407B">
      <w:r>
        <w:t xml:space="preserve">The program presented </w:t>
      </w:r>
      <w:r w:rsidR="0031175C" w:rsidRPr="0031175C">
        <w:t>set o</w:t>
      </w:r>
      <w:r w:rsidR="00EB5634">
        <w:t>ut a deterministic way for attr</w:t>
      </w:r>
      <w:r w:rsidR="0031175C" w:rsidRPr="0031175C">
        <w:t xml:space="preserve">ibuting the cost of reliability. An alternative method, more applicable to real world scenarios, is to quantify the cost of reliability regulations via simulation. </w:t>
      </w:r>
    </w:p>
    <w:p w14:paraId="0EE11F85" w14:textId="77777777" w:rsidR="0020407B" w:rsidRPr="0020407B" w:rsidRDefault="00EB5634" w:rsidP="0020407B">
      <w:r>
        <w:t xml:space="preserve">The </w:t>
      </w:r>
      <w:r w:rsidR="005F45EC">
        <w:t>conference paper by Taylor, et al, 2017</w:t>
      </w:r>
      <w:r>
        <w:t xml:space="preserve"> takes the deterministic based reliability constraint, from </w:t>
      </w:r>
      <w:r w:rsidR="005F45EC">
        <w:fldChar w:fldCharType="begin"/>
      </w:r>
      <w:r w:rsidR="005F45EC">
        <w:instrText xml:space="preserve"> REF _Ref490647311 \h </w:instrText>
      </w:r>
      <w:r w:rsidR="005F45EC">
        <w:fldChar w:fldCharType="separate"/>
      </w:r>
      <w:r w:rsidR="005F45EC">
        <w:t xml:space="preserve">Equation </w:t>
      </w:r>
      <w:r w:rsidR="005F45EC">
        <w:rPr>
          <w:noProof/>
        </w:rPr>
        <w:t>4</w:t>
      </w:r>
      <w:r w:rsidR="005F45EC">
        <w:fldChar w:fldCharType="end"/>
      </w:r>
      <w:r>
        <w:t xml:space="preserve">, and converts it to a probabilistic one reflecting a stylised service level obligation equivalent to those in place for Australia’s mainland urban water authorities. </w:t>
      </w:r>
      <w:r w:rsidR="0020407B" w:rsidRPr="0020407B">
        <w:t xml:space="preserve">The methodology is demonstrated through an application to a single reservoir system that can be augmented with a desalination plant of scalable but unknown size.  This system is sized to be a reasonable representation of a major metropolitan water supply and we use an aggregation of the inflows to the four main reservoirs constituting the urban water supply of Melbourne: the Thomson, Upper </w:t>
      </w:r>
      <w:r w:rsidR="0020407B" w:rsidRPr="0020407B">
        <w:lastRenderedPageBreak/>
        <w:t xml:space="preserve">Yarra, </w:t>
      </w:r>
      <w:proofErr w:type="spellStart"/>
      <w:r w:rsidR="0020407B" w:rsidRPr="0020407B">
        <w:t>O’Shannassy</w:t>
      </w:r>
      <w:proofErr w:type="spellEnd"/>
      <w:r w:rsidR="0020407B" w:rsidRPr="0020407B">
        <w:t xml:space="preserve"> and Maroondah reservoirs. Data were available to form a single 97-year (1913-2010) reconstructed </w:t>
      </w:r>
      <w:proofErr w:type="spellStart"/>
      <w:r w:rsidR="0020407B" w:rsidRPr="0020407B">
        <w:t>streamflow</w:t>
      </w:r>
      <w:proofErr w:type="spellEnd"/>
      <w:r w:rsidR="0020407B" w:rsidRPr="0020407B">
        <w:t xml:space="preserve"> data series. An annual lag one autoregressive AR(1) model with parameter uncertainty was fitted using the Stochastic Climate Library </w:t>
      </w:r>
      <w:r w:rsidR="00F925C3">
        <w:fldChar w:fldCharType="begin"/>
      </w:r>
      <w:r w:rsidR="00F925C3">
        <w:instrText xml:space="preserve"> ADDIN EN.CITE &lt;EndNote&gt;&lt;Cite&gt;&lt;Author&gt;Srikanthan&lt;/Author&gt;&lt;Year&gt;2007&lt;/Year&gt;&lt;RecNum&gt;43&lt;/RecNum&gt;&lt;DisplayText&gt;(Srikanthan 2007)&lt;/DisplayText&gt;&lt;record&gt;&lt;rec-number&gt;43&lt;/rec-number&gt;&lt;foreign-keys&gt;&lt;key app="EN" db-id="25x92wfzmexzaoepezb5d20t00tzvzepe99z" timestamp="1492480405"&gt;43&lt;/key&gt;&lt;/foreign-keys&gt;&lt;ref-type name="Report"&gt;27&lt;/ref-type&gt;&lt;contributors&gt;&lt;authors&gt;&lt;author&gt;Srikanthan, S., Chiew, F., and Frost, A., &lt;/author&gt;&lt;/authors&gt;&lt;/contributors&gt;&lt;titles&gt;&lt;title&gt;Stochastic Climate Library toolkit&lt;/title&gt;&lt;/titles&gt;&lt;dates&gt;&lt;year&gt;2007&lt;/year&gt;&lt;/dates&gt;&lt;publisher&gt;Stochastic Climate Library&lt;/publisher&gt;&lt;urls&gt;&lt;related-urls&gt;&lt;url&gt;https://toolkit.ewater.org.au/Tools/DownloadDocumentation.aspx?id=1000251&lt;/url&gt;&lt;/related-urls&gt;&lt;/urls&gt;&lt;/record&gt;&lt;/Cite&gt;&lt;/EndNote&gt;</w:instrText>
      </w:r>
      <w:r w:rsidR="00F925C3">
        <w:fldChar w:fldCharType="separate"/>
      </w:r>
      <w:r w:rsidR="00F925C3">
        <w:rPr>
          <w:noProof/>
        </w:rPr>
        <w:t>(Srikanthan 2007)</w:t>
      </w:r>
      <w:r w:rsidR="00F925C3">
        <w:fldChar w:fldCharType="end"/>
      </w:r>
      <w:r w:rsidR="0020407B" w:rsidRPr="0020407B">
        <w:t xml:space="preserve"> and 200,000 synthetic 50 year hydrological realisations were produced.</w:t>
      </w:r>
    </w:p>
    <w:p w14:paraId="0EE11F86" w14:textId="77777777" w:rsidR="0020407B" w:rsidRPr="005B0B44" w:rsidRDefault="0020407B" w:rsidP="00CA63BE">
      <w:r w:rsidRPr="005B0B44">
        <w:t xml:space="preserve">This water supply system examined the probability of failure at a range of initial storage increments. This is described in </w:t>
      </w:r>
      <w:r w:rsidR="005B0B44">
        <w:fldChar w:fldCharType="begin"/>
      </w:r>
      <w:r w:rsidR="005B0B44">
        <w:instrText xml:space="preserve"> REF _Ref490649603 \h </w:instrText>
      </w:r>
      <w:r w:rsidR="005B0B44">
        <w:fldChar w:fldCharType="separate"/>
      </w:r>
      <w:r w:rsidR="005B0B44">
        <w:t xml:space="preserve">Figure </w:t>
      </w:r>
      <w:r w:rsidR="005B0B44">
        <w:rPr>
          <w:noProof/>
        </w:rPr>
        <w:t>1</w:t>
      </w:r>
      <w:r w:rsidR="005B0B44">
        <w:fldChar w:fldCharType="end"/>
      </w:r>
      <w:r w:rsidRPr="005B0B44">
        <w:t xml:space="preserve">. </w:t>
      </w:r>
    </w:p>
    <w:p w14:paraId="0EE11F87" w14:textId="77777777" w:rsidR="0020407B" w:rsidRDefault="0020407B" w:rsidP="005B0B44">
      <w:pPr>
        <w:jc w:val="center"/>
        <w:rPr>
          <w:rFonts w:ascii="Arial" w:eastAsia="Times New Roman" w:hAnsi="Arial" w:cs="Arial"/>
          <w:sz w:val="20"/>
          <w:szCs w:val="20"/>
        </w:rPr>
      </w:pPr>
      <w:r w:rsidRPr="00C101A4">
        <w:rPr>
          <w:noProof/>
          <w:lang w:eastAsia="en-AU"/>
        </w:rPr>
        <w:drawing>
          <wp:inline distT="0" distB="0" distL="0" distR="0" wp14:anchorId="0EE11FC1" wp14:editId="0EE11FC2">
            <wp:extent cx="2959100" cy="2222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9100" cy="2222500"/>
                    </a:xfrm>
                    <a:prstGeom prst="rect">
                      <a:avLst/>
                    </a:prstGeom>
                    <a:noFill/>
                    <a:ln>
                      <a:noFill/>
                    </a:ln>
                  </pic:spPr>
                </pic:pic>
              </a:graphicData>
            </a:graphic>
          </wp:inline>
        </w:drawing>
      </w:r>
    </w:p>
    <w:p w14:paraId="0EE11F88" w14:textId="77777777" w:rsidR="005B0B44" w:rsidRDefault="005B0B44" w:rsidP="005B0B44">
      <w:pPr>
        <w:pStyle w:val="Caption"/>
        <w:jc w:val="center"/>
        <w:rPr>
          <w:rFonts w:ascii="Arial" w:eastAsia="Times New Roman" w:hAnsi="Arial" w:cs="Arial"/>
          <w:sz w:val="20"/>
          <w:szCs w:val="20"/>
        </w:rPr>
      </w:pPr>
      <w:bookmarkStart w:id="4" w:name="_Ref490649603"/>
      <w:r>
        <w:t xml:space="preserve">Figure </w:t>
      </w:r>
      <w:fldSimple w:instr=" SEQ Figure \* ARABIC ">
        <w:r>
          <w:rPr>
            <w:noProof/>
          </w:rPr>
          <w:t>1</w:t>
        </w:r>
      </w:fldSimple>
      <w:bookmarkEnd w:id="4"/>
      <w:r>
        <w:t>: Probability of failure for each initial storage increment</w:t>
      </w:r>
    </w:p>
    <w:p w14:paraId="0EE11F89" w14:textId="77777777" w:rsidR="0031175C" w:rsidRPr="005B0B44" w:rsidRDefault="0020407B" w:rsidP="00CA63BE">
      <w:r w:rsidRPr="005B0B44">
        <w:t>To identify the level of storage at which the constraint of</w:t>
      </w:r>
      <w:r w:rsidR="005B0B44">
        <w:fldChar w:fldCharType="begin"/>
      </w:r>
      <w:r w:rsidR="005B0B44">
        <w:instrText xml:space="preserve"> REF _Ref490647311 \h  \* MERGEFORMAT </w:instrText>
      </w:r>
      <w:r w:rsidR="005B0B44">
        <w:fldChar w:fldCharType="separate"/>
      </w:r>
      <w:r w:rsidR="005B0B44">
        <w:t xml:space="preserve"> Equation 4</w:t>
      </w:r>
      <w:r w:rsidR="005B0B44">
        <w:fldChar w:fldCharType="end"/>
      </w:r>
      <w:r w:rsidRPr="005B0B44">
        <w:t xml:space="preserve"> violated the reliability requirements of the service level obligations requires defining the timeframe in which an augmentation can take</w:t>
      </w:r>
      <w:r w:rsidR="005B0B44">
        <w:t xml:space="preserve"> place. Based on an assumed two-</w:t>
      </w:r>
      <w:r w:rsidRPr="005B0B44">
        <w:t xml:space="preserve">year lead time, the cost of maintaining the reliability standards can be shown in </w:t>
      </w:r>
      <w:r w:rsidR="005B0B44">
        <w:fldChar w:fldCharType="begin"/>
      </w:r>
      <w:r w:rsidR="005B0B44">
        <w:instrText xml:space="preserve"> REF _Ref490649606 \h </w:instrText>
      </w:r>
      <w:r w:rsidR="005B0B44">
        <w:fldChar w:fldCharType="separate"/>
      </w:r>
      <w:r w:rsidR="005B0B44">
        <w:t xml:space="preserve">Figure </w:t>
      </w:r>
      <w:r w:rsidR="005B0B44">
        <w:rPr>
          <w:noProof/>
        </w:rPr>
        <w:t>2</w:t>
      </w:r>
      <w:r w:rsidR="005B0B44">
        <w:fldChar w:fldCharType="end"/>
      </w:r>
      <w:r w:rsidRPr="005B0B44">
        <w:t xml:space="preserve">. </w:t>
      </w:r>
    </w:p>
    <w:p w14:paraId="0EE11F8A" w14:textId="77777777" w:rsidR="0020407B" w:rsidRDefault="0020407B" w:rsidP="005B0B44">
      <w:pPr>
        <w:jc w:val="center"/>
        <w:rPr>
          <w:rFonts w:ascii="Arial" w:eastAsia="Times New Roman" w:hAnsi="Arial" w:cs="Arial"/>
          <w:sz w:val="20"/>
          <w:szCs w:val="20"/>
        </w:rPr>
      </w:pPr>
      <w:r w:rsidRPr="00C101A4">
        <w:rPr>
          <w:noProof/>
          <w:lang w:eastAsia="en-AU"/>
        </w:rPr>
        <w:drawing>
          <wp:inline distT="0" distB="0" distL="0" distR="0" wp14:anchorId="0EE11FC3" wp14:editId="0EE11FC4">
            <wp:extent cx="2914650"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4650" cy="1695450"/>
                    </a:xfrm>
                    <a:prstGeom prst="rect">
                      <a:avLst/>
                    </a:prstGeom>
                    <a:noFill/>
                    <a:ln>
                      <a:noFill/>
                    </a:ln>
                  </pic:spPr>
                </pic:pic>
              </a:graphicData>
            </a:graphic>
          </wp:inline>
        </w:drawing>
      </w:r>
    </w:p>
    <w:p w14:paraId="0EE11F8B" w14:textId="77777777" w:rsidR="0020407B" w:rsidRDefault="005B0B44" w:rsidP="005B0B44">
      <w:pPr>
        <w:pStyle w:val="Caption"/>
        <w:jc w:val="center"/>
        <w:rPr>
          <w:rFonts w:ascii="Arial" w:eastAsia="Times New Roman" w:hAnsi="Arial" w:cs="Arial"/>
          <w:sz w:val="20"/>
          <w:szCs w:val="20"/>
        </w:rPr>
      </w:pPr>
      <w:bookmarkStart w:id="5" w:name="_Ref490649606"/>
      <w:r>
        <w:t xml:space="preserve">Figure </w:t>
      </w:r>
      <w:fldSimple w:instr=" SEQ Figure \* ARABIC ">
        <w:r>
          <w:rPr>
            <w:noProof/>
          </w:rPr>
          <w:t>2</w:t>
        </w:r>
      </w:fldSimple>
      <w:bookmarkEnd w:id="5"/>
      <w:r>
        <w:t>: The cost of maintaining a reliability standard</w:t>
      </w:r>
    </w:p>
    <w:p w14:paraId="0EE11F8C" w14:textId="77777777" w:rsidR="0020407B" w:rsidRPr="005B0B44" w:rsidRDefault="005B0B44" w:rsidP="00CA63BE">
      <w:r w:rsidRPr="005B0B44">
        <w:t xml:space="preserve">The paper made a range of simplifying assumptions and then subjected a number of them to a stress test. It did so by examining </w:t>
      </w:r>
      <w:r w:rsidR="0020407B" w:rsidRPr="005B0B44">
        <w:t xml:space="preserve">the consequences of changing: </w:t>
      </w:r>
    </w:p>
    <w:p w14:paraId="0EE11F8D" w14:textId="77777777" w:rsidR="0020407B" w:rsidRPr="005B0B44" w:rsidRDefault="0020407B" w:rsidP="005B0B44">
      <w:pPr>
        <w:pStyle w:val="ListParagraph"/>
        <w:numPr>
          <w:ilvl w:val="0"/>
          <w:numId w:val="6"/>
        </w:numPr>
      </w:pPr>
      <w:r w:rsidRPr="005B0B44">
        <w:t xml:space="preserve">The amount of water deemed necessary for life; </w:t>
      </w:r>
    </w:p>
    <w:p w14:paraId="0EE11F8E" w14:textId="77777777" w:rsidR="0020407B" w:rsidRPr="005B0B44" w:rsidRDefault="0020407B" w:rsidP="005B0B44">
      <w:pPr>
        <w:pStyle w:val="ListParagraph"/>
        <w:numPr>
          <w:ilvl w:val="0"/>
          <w:numId w:val="6"/>
        </w:numPr>
      </w:pPr>
      <w:r w:rsidRPr="005B0B44">
        <w:t>The acceptable probability of failure; and</w:t>
      </w:r>
    </w:p>
    <w:p w14:paraId="0EE11F8F" w14:textId="77777777" w:rsidR="0020407B" w:rsidRPr="005B0B44" w:rsidRDefault="0020407B" w:rsidP="005B0B44">
      <w:pPr>
        <w:pStyle w:val="ListParagraph"/>
        <w:numPr>
          <w:ilvl w:val="0"/>
          <w:numId w:val="6"/>
        </w:numPr>
      </w:pPr>
      <w:r w:rsidRPr="005B0B44">
        <w:t>The augmentation timeframe.</w:t>
      </w:r>
    </w:p>
    <w:p w14:paraId="0EE11F90" w14:textId="77777777" w:rsidR="0020407B" w:rsidRPr="005B0B44" w:rsidRDefault="0020407B" w:rsidP="00CA63BE">
      <w:r w:rsidRPr="005B0B44">
        <w:t xml:space="preserve">The result was very significant differences in the costs of maintaining reliability. </w:t>
      </w:r>
    </w:p>
    <w:p w14:paraId="0EE11F91" w14:textId="77777777" w:rsidR="0020407B" w:rsidRPr="005B0B44" w:rsidRDefault="0020407B" w:rsidP="00CA63BE">
      <w:r w:rsidRPr="005B0B44">
        <w:t xml:space="preserve">It should be noted that the cost of maintaining a given level of reliability is not currently incorporated in the regulatory frameworks governing urban water supply systems. While these </w:t>
      </w:r>
      <w:r w:rsidRPr="005B0B44">
        <w:lastRenderedPageBreak/>
        <w:t xml:space="preserve">regulations discuss concepts such as reliability and security, they do not posit a means of quantifying them. Nor do they describe how actions by urban water providers influence these regulatory costs.  </w:t>
      </w:r>
    </w:p>
    <w:p w14:paraId="0EE11F92" w14:textId="77777777" w:rsidR="00F51102" w:rsidRDefault="005B0B44" w:rsidP="00F51102">
      <w:pPr>
        <w:pStyle w:val="Heading2"/>
      </w:pPr>
      <w:r>
        <w:t>Conclusion</w:t>
      </w:r>
    </w:p>
    <w:p w14:paraId="0EE11F93" w14:textId="77777777" w:rsidR="004B6384" w:rsidRDefault="005B0B44" w:rsidP="0020407B">
      <w:r w:rsidRPr="00F1574A">
        <w:t xml:space="preserve">The </w:t>
      </w:r>
      <w:r>
        <w:t xml:space="preserve">storage-yield-performance </w:t>
      </w:r>
      <w:r w:rsidRPr="00F1574A">
        <w:t>relationship described by hydrologist</w:t>
      </w:r>
      <w:r>
        <w:t>s</w:t>
      </w:r>
      <w:r w:rsidRPr="00F1574A">
        <w:t xml:space="preserve"> attempts to quantify the relationship between </w:t>
      </w:r>
      <w:r>
        <w:t xml:space="preserve">an </w:t>
      </w:r>
      <w:r w:rsidRPr="00F1574A">
        <w:t xml:space="preserve">uncertain </w:t>
      </w:r>
      <w:r>
        <w:t xml:space="preserve">naturally occurring hydrological resource and the yield produced by reservoirs. </w:t>
      </w:r>
      <w:r w:rsidR="004B6384">
        <w:t xml:space="preserve">Economic reforms to the urban water sector have to be based on the long-term performance metrics of hydrologists to adequately reflect the risks to the water supply system. </w:t>
      </w:r>
    </w:p>
    <w:p w14:paraId="0EE11F94" w14:textId="77777777" w:rsidR="00772DBF" w:rsidRDefault="004B6384">
      <w:r>
        <w:t xml:space="preserve">The University of Melbourne is undertaking a project, </w:t>
      </w:r>
      <w:r>
        <w:rPr>
          <w:i/>
        </w:rPr>
        <w:t>The economic value of water in storage</w:t>
      </w:r>
      <w:r>
        <w:t xml:space="preserve">, sponsored by the Department of Land, Water and Planning, Melbourne Water, Yarra Valley Water, City West Water, and South East Water. </w:t>
      </w:r>
      <w:r w:rsidR="005B0B44">
        <w:t xml:space="preserve">The project team of </w:t>
      </w:r>
      <w:r w:rsidR="0020407B">
        <w:t xml:space="preserve">Nathan Taylor, Professor Andrew Western, Professor John Langford, and Dr Mohammad </w:t>
      </w:r>
      <w:proofErr w:type="spellStart"/>
      <w:r w:rsidR="005B0B44" w:rsidRPr="005B0B44">
        <w:t>Azmi</w:t>
      </w:r>
      <w:proofErr w:type="spellEnd"/>
      <w:r w:rsidR="005B0B44">
        <w:t xml:space="preserve"> </w:t>
      </w:r>
      <w:r>
        <w:t xml:space="preserve">is </w:t>
      </w:r>
      <w:r w:rsidR="0020407B">
        <w:t xml:space="preserve">applying </w:t>
      </w:r>
      <w:r w:rsidR="005B0B44">
        <w:t xml:space="preserve">a modified approach to that presented in this report to quantify the costs of maintaining reliability for Melbourne’s water supply system. The project will examine how the existing regulatory structure creates a cost associated with maintaining reliability and then how this changes as operational decisions are altered.  </w:t>
      </w:r>
      <w:r>
        <w:t xml:space="preserve">This </w:t>
      </w:r>
      <w:r w:rsidR="005B0B44">
        <w:t xml:space="preserve">represents a significant step towards quantifying the hydrological risk of a water supply system in an economic context that enables alternative policy choices to be examined. </w:t>
      </w:r>
    </w:p>
    <w:p w14:paraId="0EE11F95" w14:textId="77777777" w:rsidR="000E4E96" w:rsidRDefault="000E4E96">
      <w:r>
        <w:t xml:space="preserve">Quantifying the costs associated with maintaining a standard of reliability is the first step in evaluating alternative water supply sources. This is because it establishes a consistent hydrological basis for comparing highly diverse water supply sources. It is also the basis for determining how to evaluate a portfolio of options. </w:t>
      </w:r>
    </w:p>
    <w:p w14:paraId="0EE11F96" w14:textId="77777777" w:rsidR="00F925C3" w:rsidRDefault="00F925C3"/>
    <w:p w14:paraId="0EE11F97" w14:textId="77777777" w:rsidR="00F925C3" w:rsidRDefault="00F925C3">
      <w:r>
        <w:br w:type="page"/>
      </w:r>
    </w:p>
    <w:p w14:paraId="0EE11F98" w14:textId="77777777" w:rsidR="00F925C3" w:rsidRDefault="006C6841" w:rsidP="006C6841">
      <w:pPr>
        <w:pStyle w:val="Heading1"/>
      </w:pPr>
      <w:r>
        <w:lastRenderedPageBreak/>
        <w:t>Bibliography</w:t>
      </w:r>
    </w:p>
    <w:p w14:paraId="0EE11F99" w14:textId="77777777" w:rsidR="00F925C3" w:rsidRPr="006C6841" w:rsidRDefault="00F925C3" w:rsidP="006C6841">
      <w:pPr>
        <w:pStyle w:val="EndNoteBibliography"/>
        <w:spacing w:before="120" w:after="0"/>
      </w:pPr>
      <w:r>
        <w:rPr>
          <w:rFonts w:asciiTheme="majorHAnsi" w:eastAsiaTheme="majorEastAsia" w:hAnsiTheme="majorHAnsi" w:cstheme="majorBidi"/>
          <w:color w:val="2F5496" w:themeColor="accent1" w:themeShade="BF"/>
          <w:sz w:val="32"/>
          <w:szCs w:val="32"/>
        </w:rPr>
        <w:fldChar w:fldCharType="begin"/>
      </w:r>
      <w:r>
        <w:rPr>
          <w:rFonts w:asciiTheme="majorHAnsi" w:eastAsiaTheme="majorEastAsia" w:hAnsiTheme="majorHAnsi" w:cstheme="majorBidi"/>
          <w:color w:val="2F5496" w:themeColor="accent1" w:themeShade="BF"/>
          <w:sz w:val="32"/>
          <w:szCs w:val="32"/>
        </w:rPr>
        <w:instrText xml:space="preserve"> ADDIN EN.REFLIST </w:instrText>
      </w:r>
      <w:r>
        <w:rPr>
          <w:rFonts w:asciiTheme="majorHAnsi" w:eastAsiaTheme="majorEastAsia" w:hAnsiTheme="majorHAnsi" w:cstheme="majorBidi"/>
          <w:color w:val="2F5496" w:themeColor="accent1" w:themeShade="BF"/>
          <w:sz w:val="32"/>
          <w:szCs w:val="32"/>
        </w:rPr>
        <w:fldChar w:fldCharType="separate"/>
      </w:r>
      <w:r w:rsidRPr="006C6841">
        <w:t xml:space="preserve">Boiteux, M. (1960). "Peak-load Pricing." </w:t>
      </w:r>
      <w:r w:rsidRPr="006C6841">
        <w:rPr>
          <w:u w:val="single"/>
        </w:rPr>
        <w:t>Journal of Business</w:t>
      </w:r>
      <w:r w:rsidRPr="006C6841">
        <w:t xml:space="preserve"> 33: 157–179.</w:t>
      </w:r>
    </w:p>
    <w:p w14:paraId="0EE11F9A" w14:textId="77777777" w:rsidR="00F925C3" w:rsidRPr="006C6841" w:rsidRDefault="00F925C3" w:rsidP="006C6841">
      <w:pPr>
        <w:pStyle w:val="EndNoteBibliography"/>
        <w:spacing w:before="120" w:after="0"/>
      </w:pPr>
      <w:r w:rsidRPr="006C6841">
        <w:t xml:space="preserve">Coase, R. H. (1946). "The marginal cost controversy." </w:t>
      </w:r>
      <w:r w:rsidRPr="006C6841">
        <w:rPr>
          <w:u w:val="single"/>
        </w:rPr>
        <w:t>Economica</w:t>
      </w:r>
      <w:r w:rsidRPr="006C6841">
        <w:t xml:space="preserve"> 13 (51): 169–182.</w:t>
      </w:r>
    </w:p>
    <w:p w14:paraId="0EE11F9B" w14:textId="77777777" w:rsidR="00F925C3" w:rsidRPr="006C6841" w:rsidRDefault="00F925C3" w:rsidP="006C6841">
      <w:pPr>
        <w:pStyle w:val="EndNoteBibliography"/>
        <w:spacing w:before="120" w:after="0"/>
      </w:pPr>
      <w:r w:rsidRPr="006C6841">
        <w:t>Commission, P. (2005). "Review of National Competition Policy reforms."</w:t>
      </w:r>
    </w:p>
    <w:p w14:paraId="0EE11F9C" w14:textId="77777777" w:rsidR="00F925C3" w:rsidRPr="006C6841" w:rsidRDefault="00F925C3" w:rsidP="006C6841">
      <w:pPr>
        <w:pStyle w:val="EndNoteBibliography"/>
        <w:spacing w:before="120" w:after="0"/>
      </w:pPr>
      <w:r w:rsidRPr="006C6841">
        <w:t>Department of energy and water supply (2013). Water security for South East Queensland - discussion paper on the review of the level of service objectives. Q. Government. Brisbane, Department of energy and water supply.</w:t>
      </w:r>
    </w:p>
    <w:p w14:paraId="0EE11F9D" w14:textId="77777777" w:rsidR="00F925C3" w:rsidRPr="006C6841" w:rsidRDefault="00F925C3" w:rsidP="006C6841">
      <w:pPr>
        <w:pStyle w:val="EndNoteBibliography"/>
        <w:spacing w:before="120" w:after="0"/>
      </w:pPr>
      <w:r w:rsidRPr="006C6841">
        <w:t xml:space="preserve">Dupuit, J. (1844). "De la mesure de l’utilité des travaux publics." </w:t>
      </w:r>
      <w:r w:rsidRPr="006C6841">
        <w:rPr>
          <w:u w:val="single"/>
        </w:rPr>
        <w:t>Annales des Ponts et Chaussées</w:t>
      </w:r>
      <w:r w:rsidRPr="006C6841">
        <w:t xml:space="preserve"> Memoirs et Documents: 332–375.</w:t>
      </w:r>
    </w:p>
    <w:p w14:paraId="0EE11F9E" w14:textId="77777777" w:rsidR="00F925C3" w:rsidRPr="006C6841" w:rsidRDefault="00F925C3" w:rsidP="006C6841">
      <w:pPr>
        <w:pStyle w:val="EndNoteBibliography"/>
        <w:spacing w:before="120" w:after="0"/>
      </w:pPr>
      <w:r w:rsidRPr="006C6841">
        <w:t xml:space="preserve">Elnaboulsi, J. C. (2001). "Nonlinear pricing and capacity planning for water and wastewater services." </w:t>
      </w:r>
      <w:r w:rsidRPr="006C6841">
        <w:rPr>
          <w:u w:val="single"/>
        </w:rPr>
        <w:t>Water Resources Management</w:t>
      </w:r>
      <w:r w:rsidRPr="006C6841">
        <w:t xml:space="preserve"> 15(1): 55-69.</w:t>
      </w:r>
    </w:p>
    <w:p w14:paraId="0EE11F9F" w14:textId="77777777" w:rsidR="00F925C3" w:rsidRPr="006C6841" w:rsidRDefault="00F925C3" w:rsidP="006C6841">
      <w:pPr>
        <w:pStyle w:val="EndNoteBibliography"/>
        <w:spacing w:before="120" w:after="0"/>
      </w:pPr>
      <w:r w:rsidRPr="006C6841">
        <w:t xml:space="preserve">Gillette, H. P. (1950.). " A creeping drought under way. ." </w:t>
      </w:r>
      <w:r w:rsidRPr="006C6841">
        <w:rPr>
          <w:u w:val="single"/>
        </w:rPr>
        <w:t>Water and Sewage Works,</w:t>
      </w:r>
      <w:r w:rsidRPr="006C6841">
        <w:t>: p. 104-105, .</w:t>
      </w:r>
    </w:p>
    <w:p w14:paraId="0EE11FA0" w14:textId="77777777" w:rsidR="00F925C3" w:rsidRPr="006C6841" w:rsidRDefault="00F925C3" w:rsidP="006C6841">
      <w:pPr>
        <w:pStyle w:val="EndNoteBibliography"/>
        <w:spacing w:before="120" w:after="0"/>
      </w:pPr>
      <w:r w:rsidRPr="006C6841">
        <w:t xml:space="preserve">Grafton, R. Q., L. Chu and T. Kompas (2015). "Optimal water tariffs and supply augmentation for cost-of-service regulated water utilities." </w:t>
      </w:r>
      <w:r w:rsidRPr="006C6841">
        <w:rPr>
          <w:u w:val="single"/>
        </w:rPr>
        <w:t>Utilities Policy</w:t>
      </w:r>
      <w:r w:rsidRPr="006C6841">
        <w:t xml:space="preserve"> 34: 54-62.</w:t>
      </w:r>
    </w:p>
    <w:p w14:paraId="0EE11FA1" w14:textId="77777777" w:rsidR="00F925C3" w:rsidRPr="006C6841" w:rsidRDefault="00F925C3" w:rsidP="006C6841">
      <w:pPr>
        <w:pStyle w:val="EndNoteBibliography"/>
        <w:spacing w:before="120" w:after="0"/>
      </w:pPr>
      <w:r w:rsidRPr="006C6841">
        <w:t xml:space="preserve">Grafton, R. Q., L. Chu, T. Kompas and M. Ward (2014). "Volumetric water pricing, social surplus and supply augmentation." </w:t>
      </w:r>
      <w:r w:rsidRPr="006C6841">
        <w:rPr>
          <w:u w:val="single"/>
        </w:rPr>
        <w:t>Water Resources and Economics</w:t>
      </w:r>
      <w:r w:rsidRPr="006C6841">
        <w:t xml:space="preserve"> 6: 74-87.</w:t>
      </w:r>
    </w:p>
    <w:p w14:paraId="0EE11FA2" w14:textId="77777777" w:rsidR="00F925C3" w:rsidRPr="006C6841" w:rsidRDefault="00F925C3" w:rsidP="006C6841">
      <w:pPr>
        <w:pStyle w:val="EndNoteBibliography"/>
        <w:spacing w:before="120" w:after="0"/>
      </w:pPr>
      <w:r w:rsidRPr="006C6841">
        <w:t xml:space="preserve">Grafton, R. Q. a. W., M. B. (2008, ). "‘Prices versus rationing: Marshallian surplus and mandatory water restrictions’." </w:t>
      </w:r>
      <w:r w:rsidRPr="006C6841">
        <w:rPr>
          <w:u w:val="single"/>
        </w:rPr>
        <w:t>Economic Record</w:t>
      </w:r>
      <w:r w:rsidRPr="006C6841">
        <w:t xml:space="preserve"> Vol. 84(Special Issue ): pp. S57–65.</w:t>
      </w:r>
    </w:p>
    <w:p w14:paraId="0EE11FA3" w14:textId="77777777" w:rsidR="00F925C3" w:rsidRPr="006C6841" w:rsidRDefault="00F925C3" w:rsidP="006C6841">
      <w:pPr>
        <w:pStyle w:val="EndNoteBibliography"/>
        <w:spacing w:before="120" w:after="0"/>
      </w:pPr>
      <w:r w:rsidRPr="006C6841">
        <w:t xml:space="preserve">Griffin, R. C. (2002). "EFFECTIVE WATER PRICING ' undertake conservation where more valuable ties , and any peripheral properties not currently." </w:t>
      </w:r>
      <w:r w:rsidRPr="006C6841">
        <w:rPr>
          <w:u w:val="single"/>
        </w:rPr>
        <w:t>October</w:t>
      </w:r>
      <w:r w:rsidRPr="006C6841">
        <w:t xml:space="preserve"> 37: 1335-1347.</w:t>
      </w:r>
    </w:p>
    <w:p w14:paraId="0EE11FA4" w14:textId="77777777" w:rsidR="00F925C3" w:rsidRPr="006C6841" w:rsidRDefault="00F925C3" w:rsidP="006C6841">
      <w:pPr>
        <w:pStyle w:val="EndNoteBibliography"/>
        <w:spacing w:before="120" w:after="0"/>
      </w:pPr>
      <w:r w:rsidRPr="006C6841">
        <w:t xml:space="preserve">Hewitt, J. A. (2000). An investigation into the reasons why water utilities choose particular residential rate structures. </w:t>
      </w:r>
      <w:r w:rsidRPr="006C6841">
        <w:rPr>
          <w:u w:val="single"/>
        </w:rPr>
        <w:t>The Political Economy of Water Pricing Reforms</w:t>
      </w:r>
      <w:r w:rsidRPr="006C6841">
        <w:t>. A. Dinar. New York., Oxford Univ. Press,: 259–277.</w:t>
      </w:r>
    </w:p>
    <w:p w14:paraId="0EE11FA5" w14:textId="77777777" w:rsidR="00F925C3" w:rsidRPr="006C6841" w:rsidRDefault="00F925C3" w:rsidP="006C6841">
      <w:pPr>
        <w:pStyle w:val="EndNoteBibliography"/>
        <w:spacing w:before="120" w:after="0"/>
      </w:pPr>
      <w:r w:rsidRPr="006C6841">
        <w:t xml:space="preserve">Hotelling, H. (1931). "The economics of exhaustible resources." </w:t>
      </w:r>
      <w:r w:rsidRPr="006C6841">
        <w:rPr>
          <w:u w:val="single"/>
        </w:rPr>
        <w:t>Journal. Polit. Econ.</w:t>
      </w:r>
      <w:r w:rsidRPr="006C6841">
        <w:t xml:space="preserve"> 39(2): 137–175.</w:t>
      </w:r>
    </w:p>
    <w:p w14:paraId="0EE11FA6" w14:textId="77777777" w:rsidR="00F925C3" w:rsidRPr="006C6841" w:rsidRDefault="00F925C3" w:rsidP="006C6841">
      <w:pPr>
        <w:pStyle w:val="EndNoteBibliography"/>
        <w:spacing w:before="120" w:after="0"/>
      </w:pPr>
      <w:r w:rsidRPr="006C6841">
        <w:t xml:space="preserve">Hu, T., X.-Z. Zhang, X. Zeng and J. Wang (2016). "A Two-Step Approach for Analytical Optimal Hedging with Two Triggers." </w:t>
      </w:r>
      <w:r w:rsidRPr="006C6841">
        <w:rPr>
          <w:u w:val="single"/>
        </w:rPr>
        <w:t>Water</w:t>
      </w:r>
      <w:r w:rsidRPr="006C6841">
        <w:t xml:space="preserve"> 8(2): 52.</w:t>
      </w:r>
    </w:p>
    <w:p w14:paraId="0EE11FA7" w14:textId="77777777" w:rsidR="00F925C3" w:rsidRPr="006C6841" w:rsidRDefault="00F925C3" w:rsidP="006C6841">
      <w:pPr>
        <w:pStyle w:val="EndNoteBibliography"/>
        <w:spacing w:before="120" w:after="0"/>
      </w:pPr>
      <w:r w:rsidRPr="006C6841">
        <w:t xml:space="preserve">Hughes, N., A. Hafi and T. Goesch (2009). "Urban water management: optimal price and investment policy under climate variability." </w:t>
      </w:r>
      <w:r w:rsidRPr="006C6841">
        <w:rPr>
          <w:u w:val="single"/>
        </w:rPr>
        <w:t>Australian Journal of Agricultural and Resource Economics</w:t>
      </w:r>
      <w:r w:rsidRPr="006C6841">
        <w:t xml:space="preserve"> 53(2): 175-192.</w:t>
      </w:r>
    </w:p>
    <w:p w14:paraId="0EE11FA8" w14:textId="77777777" w:rsidR="00F925C3" w:rsidRPr="006C6841" w:rsidRDefault="00F925C3" w:rsidP="006C6841">
      <w:pPr>
        <w:pStyle w:val="EndNoteBibliography"/>
        <w:spacing w:before="120" w:after="0"/>
      </w:pPr>
      <w:r w:rsidRPr="006C6841">
        <w:t xml:space="preserve">Hurst, H. E. (1951). "Long-term storage capacity of reservoirs. ." </w:t>
      </w:r>
      <w:r w:rsidRPr="006C6841">
        <w:rPr>
          <w:u w:val="single"/>
        </w:rPr>
        <w:t xml:space="preserve">Transactions of the American Society of Civil Engineers, </w:t>
      </w:r>
      <w:r w:rsidRPr="006C6841">
        <w:t>Volume 116,: Pages 770--799.</w:t>
      </w:r>
    </w:p>
    <w:p w14:paraId="0EE11FA9" w14:textId="77777777" w:rsidR="00F925C3" w:rsidRPr="006C6841" w:rsidRDefault="00F925C3" w:rsidP="006C6841">
      <w:pPr>
        <w:pStyle w:val="EndNoteBibliography"/>
        <w:spacing w:before="120" w:after="0"/>
      </w:pPr>
      <w:r w:rsidRPr="006C6841">
        <w:t xml:space="preserve">Kiem, A. S. and S. W. Franks (2004). "Multi-decadal variability of drought risk, eastern Australia." </w:t>
      </w:r>
      <w:r w:rsidRPr="006C6841">
        <w:rPr>
          <w:u w:val="single"/>
        </w:rPr>
        <w:t>Hydrological Processes</w:t>
      </w:r>
      <w:r w:rsidRPr="006C6841">
        <w:t xml:space="preserve"> 18(11): 2039-2050.</w:t>
      </w:r>
    </w:p>
    <w:p w14:paraId="0EE11FAA" w14:textId="77777777" w:rsidR="00F925C3" w:rsidRPr="006C6841" w:rsidRDefault="00F925C3" w:rsidP="006C6841">
      <w:pPr>
        <w:pStyle w:val="EndNoteBibliography"/>
        <w:spacing w:before="120" w:after="0"/>
      </w:pPr>
      <w:r w:rsidRPr="006C6841">
        <w:t xml:space="preserve">Mann, P. C., Robert J. Saunders, and Jeremy J. Warford (1980). "A Note on Capital Indivisibility and the Definition of Marginal Cost." </w:t>
      </w:r>
      <w:r w:rsidRPr="006C6841">
        <w:rPr>
          <w:u w:val="single"/>
        </w:rPr>
        <w:t xml:space="preserve">Water Resources Research </w:t>
      </w:r>
      <w:r w:rsidRPr="006C6841">
        <w:t>16: 602-604.</w:t>
      </w:r>
    </w:p>
    <w:p w14:paraId="0EE11FAB" w14:textId="77777777" w:rsidR="00F925C3" w:rsidRPr="006C6841" w:rsidRDefault="00F925C3" w:rsidP="006C6841">
      <w:pPr>
        <w:pStyle w:val="EndNoteBibliography"/>
        <w:spacing w:before="120" w:after="0"/>
      </w:pPr>
      <w:r w:rsidRPr="006C6841">
        <w:t xml:space="preserve">McMahon, T. A. and R. G. Mein (1986). </w:t>
      </w:r>
      <w:r w:rsidRPr="006C6841">
        <w:rPr>
          <w:u w:val="single"/>
        </w:rPr>
        <w:t>River and reservoir yield</w:t>
      </w:r>
      <w:r w:rsidRPr="006C6841">
        <w:t>, Water Resources Publications Fort Collins, CO.</w:t>
      </w:r>
    </w:p>
    <w:p w14:paraId="0EE11FAC" w14:textId="77777777" w:rsidR="00F925C3" w:rsidRPr="006C6841" w:rsidRDefault="00F925C3" w:rsidP="006C6841">
      <w:pPr>
        <w:pStyle w:val="EndNoteBibliography"/>
        <w:spacing w:before="120" w:after="0"/>
      </w:pPr>
      <w:r w:rsidRPr="006C6841">
        <w:t xml:space="preserve">Monteiro, H. and C. Roseta‐Palma (2011). "Pricing for scarcity? An efficiency analysis of increasing block tariffs." </w:t>
      </w:r>
      <w:r w:rsidRPr="006C6841">
        <w:rPr>
          <w:u w:val="single"/>
        </w:rPr>
        <w:t>Water Resources Research</w:t>
      </w:r>
      <w:r w:rsidRPr="006C6841">
        <w:t xml:space="preserve"> 47(6).</w:t>
      </w:r>
    </w:p>
    <w:p w14:paraId="0EE11FAD" w14:textId="77777777" w:rsidR="00F925C3" w:rsidRPr="006C6841" w:rsidRDefault="00F925C3" w:rsidP="006C6841">
      <w:pPr>
        <w:pStyle w:val="EndNoteBibliography"/>
        <w:spacing w:before="120" w:after="0"/>
      </w:pPr>
      <w:r w:rsidRPr="006C6841">
        <w:t>NERA, E. C. (2012). An Economic Framework for Estimating Long Run Marginal Costs in the Victorian Water Industry. S. W. Fund. Sydney.</w:t>
      </w:r>
    </w:p>
    <w:p w14:paraId="0EE11FAE" w14:textId="77777777" w:rsidR="00F925C3" w:rsidRPr="006C6841" w:rsidRDefault="00F925C3" w:rsidP="006C6841">
      <w:pPr>
        <w:pStyle w:val="EndNoteBibliography"/>
        <w:spacing w:before="120" w:after="0"/>
      </w:pPr>
      <w:r w:rsidRPr="006C6841">
        <w:lastRenderedPageBreak/>
        <w:t xml:space="preserve">Ng, Y.-K. (1987). "Equity, Efficiency and Financial Viability: Public-Utility Pricing with Special Reference to Water Supply." </w:t>
      </w:r>
      <w:r w:rsidRPr="006C6841">
        <w:rPr>
          <w:u w:val="single"/>
        </w:rPr>
        <w:t>Australian Economic Review</w:t>
      </w:r>
      <w:r w:rsidRPr="006C6841">
        <w:t xml:space="preserve"> 20(3): 21-35.</w:t>
      </w:r>
    </w:p>
    <w:p w14:paraId="0EE11FAF" w14:textId="77777777" w:rsidR="00F925C3" w:rsidRPr="006C6841" w:rsidRDefault="00F925C3" w:rsidP="006C6841">
      <w:pPr>
        <w:pStyle w:val="EndNoteBibliography"/>
        <w:spacing w:before="120" w:after="0"/>
      </w:pPr>
      <w:r w:rsidRPr="006C6841">
        <w:t>OECD, O. f. E. C.-o. a. D. (2003). Social Issues in the Provision and Pricing of Water Services. Paris.</w:t>
      </w:r>
    </w:p>
    <w:p w14:paraId="0EE11FB0" w14:textId="77777777" w:rsidR="00F925C3" w:rsidRPr="006C6841" w:rsidRDefault="00F925C3" w:rsidP="006C6841">
      <w:pPr>
        <w:pStyle w:val="EndNoteBibliography"/>
        <w:spacing w:before="120" w:after="0"/>
      </w:pPr>
      <w:r w:rsidRPr="006C6841">
        <w:t xml:space="preserve">OECD, O. f. E. C.-o. a. D. (2006). Water: The Experience in OECD Countries </w:t>
      </w:r>
      <w:r w:rsidRPr="006C6841">
        <w:rPr>
          <w:u w:val="single"/>
        </w:rPr>
        <w:t>Environmental Performance Reviews</w:t>
      </w:r>
      <w:r w:rsidRPr="006C6841">
        <w:t>. Paris.</w:t>
      </w:r>
    </w:p>
    <w:p w14:paraId="0EE11FB1" w14:textId="77777777" w:rsidR="00F925C3" w:rsidRPr="006C6841" w:rsidRDefault="00F925C3" w:rsidP="006C6841">
      <w:pPr>
        <w:pStyle w:val="EndNoteBibliography"/>
        <w:spacing w:before="120" w:after="0"/>
      </w:pPr>
      <w:r w:rsidRPr="006C6841">
        <w:t>OECD, O. f. E. C.-o. a. D. (2009). Managing Water for All: An OECD Perspective on Pricing and Financing. Paris.</w:t>
      </w:r>
    </w:p>
    <w:p w14:paraId="0EE11FB2" w14:textId="77777777" w:rsidR="00F925C3" w:rsidRPr="006C6841" w:rsidRDefault="00F925C3" w:rsidP="006C6841">
      <w:pPr>
        <w:pStyle w:val="EndNoteBibliography"/>
        <w:spacing w:before="120" w:after="0"/>
      </w:pPr>
      <w:r w:rsidRPr="006C6841">
        <w:t xml:space="preserve">Pretto, P. B., F. H. S. Chiew, T. A. McMahon, R. M. Vogel and J. R. Stedinger (1997). "The (mis)behavior of behavior analysis storage estimates." </w:t>
      </w:r>
      <w:r w:rsidRPr="006C6841">
        <w:rPr>
          <w:u w:val="single"/>
        </w:rPr>
        <w:t>Water Resources Research</w:t>
      </w:r>
      <w:r w:rsidRPr="006C6841">
        <w:t xml:space="preserve"> 33(4): 703-709.</w:t>
      </w:r>
    </w:p>
    <w:p w14:paraId="0EE11FB3" w14:textId="77777777" w:rsidR="00F925C3" w:rsidRPr="006C6841" w:rsidRDefault="00F925C3" w:rsidP="006C6841">
      <w:pPr>
        <w:pStyle w:val="EndNoteBibliography"/>
        <w:spacing w:before="120" w:after="0"/>
      </w:pPr>
      <w:r w:rsidRPr="006C6841">
        <w:t xml:space="preserve">Productivity Commission (2011). "Australia’s urban water sector." </w:t>
      </w:r>
      <w:r w:rsidRPr="006C6841">
        <w:rPr>
          <w:u w:val="single"/>
        </w:rPr>
        <w:t>Inquiry report</w:t>
      </w:r>
      <w:r w:rsidRPr="006C6841">
        <w:t>(55).</w:t>
      </w:r>
    </w:p>
    <w:p w14:paraId="0EE11FB4" w14:textId="77777777" w:rsidR="00F925C3" w:rsidRPr="006C6841" w:rsidRDefault="00F925C3" w:rsidP="006C6841">
      <w:pPr>
        <w:pStyle w:val="EndNoteBibliography"/>
        <w:spacing w:before="120"/>
      </w:pPr>
      <w:r w:rsidRPr="006C6841">
        <w:t>Randall, A. (1981). "Property Entitlements and Pricing Policies for a Maturing</w:t>
      </w:r>
    </w:p>
    <w:p w14:paraId="0EE11FB5" w14:textId="77777777" w:rsidR="00F925C3" w:rsidRPr="006C6841" w:rsidRDefault="00F925C3" w:rsidP="006C6841">
      <w:pPr>
        <w:pStyle w:val="EndNoteBibliography"/>
        <w:spacing w:before="120" w:after="0"/>
      </w:pPr>
      <w:r w:rsidRPr="006C6841">
        <w:t xml:space="preserve">Water Economy." </w:t>
      </w:r>
      <w:r w:rsidRPr="006C6841">
        <w:rPr>
          <w:u w:val="single"/>
        </w:rPr>
        <w:t xml:space="preserve">Aust. J. Agric. Econ. </w:t>
      </w:r>
      <w:r w:rsidRPr="006C6841">
        <w:t>25: 195–212.</w:t>
      </w:r>
    </w:p>
    <w:p w14:paraId="0EE11FB6" w14:textId="77777777" w:rsidR="00F925C3" w:rsidRPr="006C6841" w:rsidRDefault="00F925C3" w:rsidP="006C6841">
      <w:pPr>
        <w:pStyle w:val="EndNoteBibliography"/>
        <w:spacing w:before="120" w:after="0"/>
      </w:pPr>
      <w:r w:rsidRPr="006C6841">
        <w:t xml:space="preserve">Saunders, R. J., and J. J. Warford (1976). </w:t>
      </w:r>
      <w:r w:rsidRPr="006C6841">
        <w:rPr>
          <w:u w:val="single"/>
        </w:rPr>
        <w:t>Village Water Supply: Economics and Policy in the Developing World</w:t>
      </w:r>
      <w:r w:rsidRPr="006C6841">
        <w:t>. Baltimore, Md., Johns Hopkins University Press.</w:t>
      </w:r>
    </w:p>
    <w:p w14:paraId="0EE11FB7" w14:textId="77777777" w:rsidR="00F925C3" w:rsidRPr="006C6841" w:rsidRDefault="00F925C3" w:rsidP="006C6841">
      <w:pPr>
        <w:pStyle w:val="EndNoteBibliography"/>
        <w:spacing w:before="120" w:after="0"/>
      </w:pPr>
      <w:r w:rsidRPr="006C6841">
        <w:t>Srikanthan, S., Chiew, F., and Frost, A., (2007). Stochastic Climate Library toolkit, Stochastic Climate Library.</w:t>
      </w:r>
    </w:p>
    <w:p w14:paraId="0EE11FB8" w14:textId="77777777" w:rsidR="00F925C3" w:rsidRPr="006C6841" w:rsidRDefault="00F925C3" w:rsidP="006C6841">
      <w:pPr>
        <w:pStyle w:val="EndNoteBibliography"/>
        <w:spacing w:before="120" w:after="0"/>
      </w:pPr>
      <w:r w:rsidRPr="006C6841">
        <w:t xml:space="preserve">Tannehill, I. R. (1971). </w:t>
      </w:r>
      <w:r w:rsidRPr="006C6841">
        <w:rPr>
          <w:u w:val="single"/>
        </w:rPr>
        <w:t>Drought: Its Causes and Effects</w:t>
      </w:r>
      <w:r w:rsidRPr="006C6841">
        <w:t>.</w:t>
      </w:r>
    </w:p>
    <w:p w14:paraId="0EE11FB9" w14:textId="77777777" w:rsidR="00F925C3" w:rsidRPr="006C6841" w:rsidRDefault="00F925C3" w:rsidP="006C6841">
      <w:pPr>
        <w:pStyle w:val="EndNoteBibliography"/>
        <w:spacing w:before="120" w:after="0"/>
      </w:pPr>
      <w:r w:rsidRPr="006C6841">
        <w:t xml:space="preserve">Taylor, N. M., Western, A., Langford, K.J. and Freebairn, J. (2017). The cost of reliability. </w:t>
      </w:r>
      <w:r w:rsidRPr="006C6841">
        <w:rPr>
          <w:u w:val="single"/>
        </w:rPr>
        <w:t>OzWater 2017</w:t>
      </w:r>
      <w:r w:rsidRPr="006C6841">
        <w:t>. Sydney.</w:t>
      </w:r>
    </w:p>
    <w:p w14:paraId="0EE11FBA" w14:textId="77777777" w:rsidR="00F925C3" w:rsidRPr="006C6841" w:rsidRDefault="00F925C3" w:rsidP="006C6841">
      <w:pPr>
        <w:pStyle w:val="EndNoteBibliography"/>
        <w:spacing w:before="120" w:after="0"/>
      </w:pPr>
      <w:r w:rsidRPr="006C6841">
        <w:t xml:space="preserve">Turvey, R. (1976 ). "Analyzing the Marginal Cost of Water Supply " </w:t>
      </w:r>
      <w:r w:rsidRPr="006C6841">
        <w:rPr>
          <w:u w:val="single"/>
        </w:rPr>
        <w:t xml:space="preserve">Land Economics </w:t>
      </w:r>
      <w:r w:rsidRPr="006C6841">
        <w:t>52: 158-168.</w:t>
      </w:r>
    </w:p>
    <w:p w14:paraId="0EE11FBB" w14:textId="77777777" w:rsidR="00F925C3" w:rsidRPr="006C6841" w:rsidRDefault="00F925C3" w:rsidP="006C6841">
      <w:pPr>
        <w:pStyle w:val="EndNoteBibliography"/>
        <w:spacing w:before="120" w:after="0"/>
      </w:pPr>
      <w:r w:rsidRPr="006C6841">
        <w:t>UN, T. F. a. A. O. o. t. U. N. (2011). THE STATE OF THE WORLD’S LAND AND WATER RESOURCES FOR FOOD AND AGRICULTURE: Managing systems at risk. 2 Park Sq. Milton Park, Abingdon, Earthscan.</w:t>
      </w:r>
    </w:p>
    <w:p w14:paraId="0EE11FBC" w14:textId="77777777" w:rsidR="00F925C3" w:rsidRPr="006C6841" w:rsidRDefault="00F925C3" w:rsidP="006C6841">
      <w:pPr>
        <w:pStyle w:val="EndNoteBibliography"/>
        <w:spacing w:before="120" w:after="0"/>
      </w:pPr>
      <w:r w:rsidRPr="006C6841">
        <w:t xml:space="preserve">Zetland, D. and C. Gasson (2013). "A global survey of urban water tariffs: are they sustainable, efficient and fair?" </w:t>
      </w:r>
      <w:r w:rsidRPr="006C6841">
        <w:rPr>
          <w:u w:val="single"/>
        </w:rPr>
        <w:t>International Journal of Water Resources Development</w:t>
      </w:r>
      <w:r w:rsidRPr="006C6841">
        <w:t xml:space="preserve"> 29(3): 327-342.</w:t>
      </w:r>
    </w:p>
    <w:p w14:paraId="0EE11FBD" w14:textId="77777777" w:rsidR="00F925C3" w:rsidRPr="006C6841" w:rsidRDefault="00F925C3" w:rsidP="006C6841">
      <w:pPr>
        <w:pStyle w:val="EndNoteBibliography"/>
        <w:spacing w:before="120"/>
      </w:pPr>
      <w:r w:rsidRPr="006C6841">
        <w:t xml:space="preserve">Zhao, T. and J. Zhao (2014). "Optimizing operation of water supply reservoir: The role of constraints." </w:t>
      </w:r>
      <w:r w:rsidRPr="006C6841">
        <w:rPr>
          <w:u w:val="single"/>
        </w:rPr>
        <w:t>Mathematical Problems in Engineering</w:t>
      </w:r>
      <w:r w:rsidRPr="006C6841">
        <w:t xml:space="preserve"> 2014.</w:t>
      </w:r>
    </w:p>
    <w:p w14:paraId="0EE11FBE" w14:textId="77777777" w:rsidR="00F925C3" w:rsidRDefault="00F925C3">
      <w:pP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fldChar w:fldCharType="end"/>
      </w:r>
    </w:p>
    <w:sectPr w:rsidR="00F925C3" w:rsidSect="00FC0EBF">
      <w:footerReference w:type="defaul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11FC7" w14:textId="77777777" w:rsidR="006D475E" w:rsidRDefault="006D475E" w:rsidP="004B6384">
      <w:pPr>
        <w:spacing w:after="0" w:line="240" w:lineRule="auto"/>
      </w:pPr>
      <w:r>
        <w:separator/>
      </w:r>
    </w:p>
  </w:endnote>
  <w:endnote w:type="continuationSeparator" w:id="0">
    <w:p w14:paraId="0EE11FC8" w14:textId="77777777" w:rsidR="006D475E" w:rsidRDefault="006D475E" w:rsidP="004B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102701"/>
      <w:docPartObj>
        <w:docPartGallery w:val="Page Numbers (Bottom of Page)"/>
        <w:docPartUnique/>
      </w:docPartObj>
    </w:sdtPr>
    <w:sdtEndPr/>
    <w:sdtContent>
      <w:p w14:paraId="0EE11FC9" w14:textId="77777777" w:rsidR="004B6384" w:rsidRDefault="004B6384">
        <w:pPr>
          <w:pStyle w:val="Footer"/>
          <w:jc w:val="right"/>
        </w:pPr>
        <w:r>
          <w:t xml:space="preserve">Page | </w:t>
        </w:r>
        <w:r>
          <w:fldChar w:fldCharType="begin"/>
        </w:r>
        <w:r>
          <w:instrText xml:space="preserve"> PAGE   \* MERGEFORMAT </w:instrText>
        </w:r>
        <w:r>
          <w:fldChar w:fldCharType="separate"/>
        </w:r>
        <w:r w:rsidR="00BB34CE">
          <w:rPr>
            <w:noProof/>
          </w:rPr>
          <w:t>9</w:t>
        </w:r>
        <w:r>
          <w:rPr>
            <w:noProof/>
          </w:rPr>
          <w:fldChar w:fldCharType="end"/>
        </w:r>
        <w:r>
          <w:t xml:space="preserve"> </w:t>
        </w:r>
      </w:p>
    </w:sdtContent>
  </w:sdt>
  <w:p w14:paraId="0EE11FCA" w14:textId="77777777" w:rsidR="004B6384" w:rsidRDefault="004B63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11FC5" w14:textId="77777777" w:rsidR="006D475E" w:rsidRDefault="006D475E" w:rsidP="004B6384">
      <w:pPr>
        <w:spacing w:after="0" w:line="240" w:lineRule="auto"/>
      </w:pPr>
      <w:r>
        <w:separator/>
      </w:r>
    </w:p>
  </w:footnote>
  <w:footnote w:type="continuationSeparator" w:id="0">
    <w:p w14:paraId="0EE11FC6" w14:textId="77777777" w:rsidR="006D475E" w:rsidRDefault="006D475E" w:rsidP="004B63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77754"/>
    <w:multiLevelType w:val="hybridMultilevel"/>
    <w:tmpl w:val="DA6613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4C2B5347"/>
    <w:multiLevelType w:val="hybridMultilevel"/>
    <w:tmpl w:val="8B002072"/>
    <w:lvl w:ilvl="0" w:tplc="720CA4D2">
      <w:start w:val="1"/>
      <w:numFmt w:val="bullet"/>
      <w:pStyle w:val="Li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B5B7C76"/>
    <w:multiLevelType w:val="hybridMultilevel"/>
    <w:tmpl w:val="F6CA6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636D1649"/>
    <w:multiLevelType w:val="hybridMultilevel"/>
    <w:tmpl w:val="46B2AA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6BEC07F5"/>
    <w:multiLevelType w:val="hybridMultilevel"/>
    <w:tmpl w:val="CE0C2A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x92wfzmexzaoepezb5d20t00tzvzepe99z&quot;&gt;My EndNote Library&lt;record-ids&gt;&lt;item&gt;5&lt;/item&gt;&lt;item&gt;6&lt;/item&gt;&lt;item&gt;12&lt;/item&gt;&lt;item&gt;37&lt;/item&gt;&lt;item&gt;38&lt;/item&gt;&lt;item&gt;42&lt;/item&gt;&lt;item&gt;43&lt;/item&gt;&lt;item&gt;69&lt;/item&gt;&lt;item&gt;70&lt;/item&gt;&lt;item&gt;71&lt;/item&gt;&lt;item&gt;76&lt;/item&gt;&lt;item&gt;77&lt;/item&gt;&lt;item&gt;79&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5&lt;/item&gt;&lt;/record-ids&gt;&lt;/item&gt;&lt;/Libraries&gt;"/>
  </w:docVars>
  <w:rsids>
    <w:rsidRoot w:val="00516AC0"/>
    <w:rsid w:val="00011F74"/>
    <w:rsid w:val="000814FF"/>
    <w:rsid w:val="000B2AAB"/>
    <w:rsid w:val="000E4AE5"/>
    <w:rsid w:val="000E4E96"/>
    <w:rsid w:val="000F7BC3"/>
    <w:rsid w:val="001D548E"/>
    <w:rsid w:val="001D6F46"/>
    <w:rsid w:val="001E57EB"/>
    <w:rsid w:val="0020407B"/>
    <w:rsid w:val="00232443"/>
    <w:rsid w:val="00246D29"/>
    <w:rsid w:val="00250577"/>
    <w:rsid w:val="00276001"/>
    <w:rsid w:val="00276777"/>
    <w:rsid w:val="002B2226"/>
    <w:rsid w:val="0031175C"/>
    <w:rsid w:val="00330E32"/>
    <w:rsid w:val="0035639D"/>
    <w:rsid w:val="004B344A"/>
    <w:rsid w:val="004B6384"/>
    <w:rsid w:val="00516AC0"/>
    <w:rsid w:val="00523F6E"/>
    <w:rsid w:val="005277A4"/>
    <w:rsid w:val="00575FA0"/>
    <w:rsid w:val="005B0B44"/>
    <w:rsid w:val="005F45EC"/>
    <w:rsid w:val="00694B9B"/>
    <w:rsid w:val="006B181B"/>
    <w:rsid w:val="006C6841"/>
    <w:rsid w:val="006D475E"/>
    <w:rsid w:val="00703B04"/>
    <w:rsid w:val="00714538"/>
    <w:rsid w:val="00736826"/>
    <w:rsid w:val="00772DBF"/>
    <w:rsid w:val="008007C3"/>
    <w:rsid w:val="008B7848"/>
    <w:rsid w:val="008F5C88"/>
    <w:rsid w:val="008F62B5"/>
    <w:rsid w:val="00916CF1"/>
    <w:rsid w:val="009364DA"/>
    <w:rsid w:val="00944E79"/>
    <w:rsid w:val="00956D06"/>
    <w:rsid w:val="009D1DCB"/>
    <w:rsid w:val="009D24AF"/>
    <w:rsid w:val="00A61AEB"/>
    <w:rsid w:val="00A71C07"/>
    <w:rsid w:val="00AC408E"/>
    <w:rsid w:val="00AE1AD5"/>
    <w:rsid w:val="00BB34CE"/>
    <w:rsid w:val="00BB50D9"/>
    <w:rsid w:val="00BC527A"/>
    <w:rsid w:val="00BD6ECE"/>
    <w:rsid w:val="00C210A8"/>
    <w:rsid w:val="00CA63BE"/>
    <w:rsid w:val="00CD56B6"/>
    <w:rsid w:val="00CE6216"/>
    <w:rsid w:val="00D31653"/>
    <w:rsid w:val="00D6228C"/>
    <w:rsid w:val="00DA0EC1"/>
    <w:rsid w:val="00DB6DC5"/>
    <w:rsid w:val="00DC7E4B"/>
    <w:rsid w:val="00DE30A6"/>
    <w:rsid w:val="00E7338B"/>
    <w:rsid w:val="00E8127E"/>
    <w:rsid w:val="00E90522"/>
    <w:rsid w:val="00EB08EC"/>
    <w:rsid w:val="00EB5634"/>
    <w:rsid w:val="00EC58EB"/>
    <w:rsid w:val="00ED2328"/>
    <w:rsid w:val="00F25380"/>
    <w:rsid w:val="00F31103"/>
    <w:rsid w:val="00F51102"/>
    <w:rsid w:val="00F8161F"/>
    <w:rsid w:val="00F925C3"/>
    <w:rsid w:val="00FC0E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6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F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5FA0"/>
    <w:rPr>
      <w:rFonts w:asciiTheme="majorHAnsi" w:eastAsiaTheme="majorEastAsia" w:hAnsiTheme="majorHAnsi" w:cstheme="majorBidi"/>
      <w:color w:val="2F5496" w:themeColor="accent1" w:themeShade="BF"/>
      <w:sz w:val="26"/>
      <w:szCs w:val="26"/>
    </w:rPr>
  </w:style>
  <w:style w:type="paragraph" w:styleId="BodyText">
    <w:name w:val="Body Text"/>
    <w:link w:val="BodyTextChar"/>
    <w:qFormat/>
    <w:rsid w:val="00276001"/>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276001"/>
    <w:rPr>
      <w:rFonts w:ascii="Times New Roman" w:eastAsia="Times New Roman" w:hAnsi="Times New Roman" w:cs="Times New Roman"/>
      <w:sz w:val="24"/>
      <w:szCs w:val="20"/>
      <w:lang w:eastAsia="en-AU"/>
    </w:rPr>
  </w:style>
  <w:style w:type="paragraph" w:customStyle="1" w:styleId="BoxSpaceAboveElement">
    <w:name w:val="Box Space Above Element"/>
    <w:basedOn w:val="Normal"/>
    <w:link w:val="BoxSpaceAboveElementChar"/>
    <w:qFormat/>
    <w:rsid w:val="00276001"/>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276001"/>
    <w:rPr>
      <w:rFonts w:ascii="Times New Roman" w:eastAsia="Times New Roman" w:hAnsi="Times New Roman" w:cs="Times New Roman"/>
      <w:b/>
      <w:vanish/>
      <w:color w:val="FF00FF"/>
      <w:sz w:val="14"/>
      <w:szCs w:val="20"/>
      <w:lang w:eastAsia="en-AU"/>
    </w:rPr>
  </w:style>
  <w:style w:type="paragraph" w:customStyle="1" w:styleId="InformationRequestBullet">
    <w:name w:val="Information Request Bullet"/>
    <w:basedOn w:val="ListBullet"/>
    <w:next w:val="BodyText"/>
    <w:rsid w:val="00DE30A6"/>
    <w:p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DE30A6"/>
    <w:pPr>
      <w:numPr>
        <w:numId w:val="1"/>
      </w:numPr>
      <w:contextualSpacing/>
    </w:pPr>
  </w:style>
  <w:style w:type="paragraph" w:styleId="ListParagraph">
    <w:name w:val="List Paragraph"/>
    <w:basedOn w:val="Normal"/>
    <w:uiPriority w:val="34"/>
    <w:qFormat/>
    <w:rsid w:val="00D6228C"/>
    <w:pPr>
      <w:spacing w:after="200" w:line="276" w:lineRule="auto"/>
      <w:ind w:left="720"/>
      <w:contextualSpacing/>
    </w:pPr>
  </w:style>
  <w:style w:type="paragraph" w:customStyle="1" w:styleId="Body">
    <w:name w:val="Body"/>
    <w:basedOn w:val="Normal"/>
    <w:rsid w:val="00EC58EB"/>
    <w:pPr>
      <w:spacing w:before="60" w:after="60" w:line="240" w:lineRule="auto"/>
      <w:jc w:val="both"/>
    </w:pPr>
    <w:rPr>
      <w:rFonts w:ascii="Arial" w:eastAsia="Times New Roman" w:hAnsi="Arial" w:cs="Times New Roman"/>
      <w:noProof/>
      <w:sz w:val="20"/>
      <w:szCs w:val="20"/>
    </w:rPr>
  </w:style>
  <w:style w:type="paragraph" w:styleId="Caption">
    <w:name w:val="caption"/>
    <w:basedOn w:val="Normal"/>
    <w:next w:val="Normal"/>
    <w:uiPriority w:val="35"/>
    <w:unhideWhenUsed/>
    <w:qFormat/>
    <w:rsid w:val="0020407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B6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384"/>
  </w:style>
  <w:style w:type="paragraph" w:styleId="Footer">
    <w:name w:val="footer"/>
    <w:basedOn w:val="Normal"/>
    <w:link w:val="FooterChar"/>
    <w:uiPriority w:val="99"/>
    <w:unhideWhenUsed/>
    <w:rsid w:val="004B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384"/>
  </w:style>
  <w:style w:type="paragraph" w:styleId="NoSpacing">
    <w:name w:val="No Spacing"/>
    <w:link w:val="NoSpacingChar"/>
    <w:uiPriority w:val="1"/>
    <w:qFormat/>
    <w:rsid w:val="00FC0E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C0EBF"/>
    <w:rPr>
      <w:rFonts w:eastAsiaTheme="minorEastAsia"/>
      <w:lang w:val="en-US"/>
    </w:rPr>
  </w:style>
  <w:style w:type="paragraph" w:customStyle="1" w:styleId="EndNoteBibliographyTitle">
    <w:name w:val="EndNote Bibliography Title"/>
    <w:basedOn w:val="Normal"/>
    <w:link w:val="EndNoteBibliographyTitleChar"/>
    <w:rsid w:val="00F925C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25C3"/>
    <w:rPr>
      <w:rFonts w:ascii="Calibri" w:hAnsi="Calibri" w:cs="Calibri"/>
      <w:noProof/>
      <w:lang w:val="en-US"/>
    </w:rPr>
  </w:style>
  <w:style w:type="paragraph" w:customStyle="1" w:styleId="EndNoteBibliography">
    <w:name w:val="EndNote Bibliography"/>
    <w:basedOn w:val="Normal"/>
    <w:link w:val="EndNoteBibliographyChar"/>
    <w:rsid w:val="00F925C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25C3"/>
    <w:rPr>
      <w:rFonts w:ascii="Calibri" w:hAnsi="Calibri" w:cs="Calibri"/>
      <w:noProof/>
      <w:lang w:val="en-US"/>
    </w:rPr>
  </w:style>
  <w:style w:type="paragraph" w:styleId="BalloonText">
    <w:name w:val="Balloon Text"/>
    <w:basedOn w:val="Normal"/>
    <w:link w:val="BalloonTextChar"/>
    <w:uiPriority w:val="99"/>
    <w:semiHidden/>
    <w:unhideWhenUsed/>
    <w:rsid w:val="00BB3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4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6A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F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AC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5FA0"/>
    <w:rPr>
      <w:rFonts w:asciiTheme="majorHAnsi" w:eastAsiaTheme="majorEastAsia" w:hAnsiTheme="majorHAnsi" w:cstheme="majorBidi"/>
      <w:color w:val="2F5496" w:themeColor="accent1" w:themeShade="BF"/>
      <w:sz w:val="26"/>
      <w:szCs w:val="26"/>
    </w:rPr>
  </w:style>
  <w:style w:type="paragraph" w:styleId="BodyText">
    <w:name w:val="Body Text"/>
    <w:link w:val="BodyTextChar"/>
    <w:qFormat/>
    <w:rsid w:val="00276001"/>
    <w:pPr>
      <w:spacing w:before="240" w:after="0" w:line="300" w:lineRule="atLeast"/>
      <w:jc w:val="both"/>
    </w:pPr>
    <w:rPr>
      <w:rFonts w:ascii="Times New Roman" w:eastAsia="Times New Roman" w:hAnsi="Times New Roman" w:cs="Times New Roman"/>
      <w:sz w:val="24"/>
      <w:szCs w:val="20"/>
      <w:lang w:eastAsia="en-AU"/>
    </w:rPr>
  </w:style>
  <w:style w:type="character" w:customStyle="1" w:styleId="BodyTextChar">
    <w:name w:val="Body Text Char"/>
    <w:basedOn w:val="DefaultParagraphFont"/>
    <w:link w:val="BodyText"/>
    <w:rsid w:val="00276001"/>
    <w:rPr>
      <w:rFonts w:ascii="Times New Roman" w:eastAsia="Times New Roman" w:hAnsi="Times New Roman" w:cs="Times New Roman"/>
      <w:sz w:val="24"/>
      <w:szCs w:val="20"/>
      <w:lang w:eastAsia="en-AU"/>
    </w:rPr>
  </w:style>
  <w:style w:type="paragraph" w:customStyle="1" w:styleId="BoxSpaceAboveElement">
    <w:name w:val="Box Space Above Element"/>
    <w:basedOn w:val="Normal"/>
    <w:link w:val="BoxSpaceAboveElementChar"/>
    <w:qFormat/>
    <w:rsid w:val="00276001"/>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276001"/>
    <w:rPr>
      <w:rFonts w:ascii="Times New Roman" w:eastAsia="Times New Roman" w:hAnsi="Times New Roman" w:cs="Times New Roman"/>
      <w:b/>
      <w:vanish/>
      <w:color w:val="FF00FF"/>
      <w:sz w:val="14"/>
      <w:szCs w:val="20"/>
      <w:lang w:eastAsia="en-AU"/>
    </w:rPr>
  </w:style>
  <w:style w:type="paragraph" w:customStyle="1" w:styleId="InformationRequestBullet">
    <w:name w:val="Information Request Bullet"/>
    <w:basedOn w:val="ListBullet"/>
    <w:next w:val="BodyText"/>
    <w:rsid w:val="00DE30A6"/>
    <w:p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DE30A6"/>
    <w:pPr>
      <w:numPr>
        <w:numId w:val="1"/>
      </w:numPr>
      <w:contextualSpacing/>
    </w:pPr>
  </w:style>
  <w:style w:type="paragraph" w:styleId="ListParagraph">
    <w:name w:val="List Paragraph"/>
    <w:basedOn w:val="Normal"/>
    <w:uiPriority w:val="34"/>
    <w:qFormat/>
    <w:rsid w:val="00D6228C"/>
    <w:pPr>
      <w:spacing w:after="200" w:line="276" w:lineRule="auto"/>
      <w:ind w:left="720"/>
      <w:contextualSpacing/>
    </w:pPr>
  </w:style>
  <w:style w:type="paragraph" w:customStyle="1" w:styleId="Body">
    <w:name w:val="Body"/>
    <w:basedOn w:val="Normal"/>
    <w:rsid w:val="00EC58EB"/>
    <w:pPr>
      <w:spacing w:before="60" w:after="60" w:line="240" w:lineRule="auto"/>
      <w:jc w:val="both"/>
    </w:pPr>
    <w:rPr>
      <w:rFonts w:ascii="Arial" w:eastAsia="Times New Roman" w:hAnsi="Arial" w:cs="Times New Roman"/>
      <w:noProof/>
      <w:sz w:val="20"/>
      <w:szCs w:val="20"/>
    </w:rPr>
  </w:style>
  <w:style w:type="paragraph" w:styleId="Caption">
    <w:name w:val="caption"/>
    <w:basedOn w:val="Normal"/>
    <w:next w:val="Normal"/>
    <w:uiPriority w:val="35"/>
    <w:unhideWhenUsed/>
    <w:qFormat/>
    <w:rsid w:val="0020407B"/>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B63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384"/>
  </w:style>
  <w:style w:type="paragraph" w:styleId="Footer">
    <w:name w:val="footer"/>
    <w:basedOn w:val="Normal"/>
    <w:link w:val="FooterChar"/>
    <w:uiPriority w:val="99"/>
    <w:unhideWhenUsed/>
    <w:rsid w:val="004B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384"/>
  </w:style>
  <w:style w:type="paragraph" w:styleId="NoSpacing">
    <w:name w:val="No Spacing"/>
    <w:link w:val="NoSpacingChar"/>
    <w:uiPriority w:val="1"/>
    <w:qFormat/>
    <w:rsid w:val="00FC0EB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C0EBF"/>
    <w:rPr>
      <w:rFonts w:eastAsiaTheme="minorEastAsia"/>
      <w:lang w:val="en-US"/>
    </w:rPr>
  </w:style>
  <w:style w:type="paragraph" w:customStyle="1" w:styleId="EndNoteBibliographyTitle">
    <w:name w:val="EndNote Bibliography Title"/>
    <w:basedOn w:val="Normal"/>
    <w:link w:val="EndNoteBibliographyTitleChar"/>
    <w:rsid w:val="00F925C3"/>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925C3"/>
    <w:rPr>
      <w:rFonts w:ascii="Calibri" w:hAnsi="Calibri" w:cs="Calibri"/>
      <w:noProof/>
      <w:lang w:val="en-US"/>
    </w:rPr>
  </w:style>
  <w:style w:type="paragraph" w:customStyle="1" w:styleId="EndNoteBibliography">
    <w:name w:val="EndNote Bibliography"/>
    <w:basedOn w:val="Normal"/>
    <w:link w:val="EndNoteBibliographyChar"/>
    <w:rsid w:val="00F925C3"/>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925C3"/>
    <w:rPr>
      <w:rFonts w:ascii="Calibri" w:hAnsi="Calibri" w:cs="Calibri"/>
      <w:noProof/>
      <w:lang w:val="en-US"/>
    </w:rPr>
  </w:style>
  <w:style w:type="paragraph" w:styleId="BalloonText">
    <w:name w:val="Balloon Text"/>
    <w:basedOn w:val="Normal"/>
    <w:link w:val="BalloonTextChar"/>
    <w:uiPriority w:val="99"/>
    <w:semiHidden/>
    <w:unhideWhenUsed/>
    <w:rsid w:val="00BB3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4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jpeg"/><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C8BC4-7682-49E4-952D-435A092DC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41CD6-D39F-4ED1-ADD8-E4607A411B23}">
  <ds:schemaRefs>
    <ds:schemaRef ds:uri="http://schemas.microsoft.com/office/2006/metadata/customXsn"/>
  </ds:schemaRefs>
</ds:datastoreItem>
</file>

<file path=customXml/itemProps3.xml><?xml version="1.0" encoding="utf-8"?>
<ds:datastoreItem xmlns:ds="http://schemas.openxmlformats.org/officeDocument/2006/customXml" ds:itemID="{3F6138AF-851C-480A-A94F-2E001CAFFF29}">
  <ds:schemaRefs>
    <ds:schemaRef ds:uri="Microsoft.SharePoint.Taxonomy.ContentTypeSync"/>
  </ds:schemaRefs>
</ds:datastoreItem>
</file>

<file path=customXml/itemProps4.xml><?xml version="1.0" encoding="utf-8"?>
<ds:datastoreItem xmlns:ds="http://schemas.openxmlformats.org/officeDocument/2006/customXml" ds:itemID="{4EDCB78B-96F2-4536-9FC1-A2D163CEFFA1}">
  <ds:schemaRefs>
    <ds:schemaRef ds:uri="http://schemas.microsoft.com/sharepoint/events"/>
  </ds:schemaRefs>
</ds:datastoreItem>
</file>

<file path=customXml/itemProps5.xml><?xml version="1.0" encoding="utf-8"?>
<ds:datastoreItem xmlns:ds="http://schemas.openxmlformats.org/officeDocument/2006/customXml" ds:itemID="{0D301ECB-FEFB-4E14-9AF2-3F5727A472CB}">
  <ds:schemaRefs>
    <ds:schemaRef ds:uri="http://schemas.microsoft.com/sharepoint/v3/contenttype/forms"/>
  </ds:schemaRefs>
</ds:datastoreItem>
</file>

<file path=customXml/itemProps6.xml><?xml version="1.0" encoding="utf-8"?>
<ds:datastoreItem xmlns:ds="http://schemas.openxmlformats.org/officeDocument/2006/customXml" ds:itemID="{004CB6AE-EEFC-40D1-997C-FE80B6B00261}">
  <ds:schemaRefs>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3f4bcce7-ac1a-4c9d-aa3e-7e77695652db"/>
    <ds:schemaRef ds:uri="http://schemas.microsoft.com/sharepoint/v3"/>
    <ds:schemaRef ds:uri="http://www.w3.org/XML/1998/namespace"/>
  </ds:schemaRefs>
</ds:datastoreItem>
</file>

<file path=customXml/itemProps7.xml><?xml version="1.0" encoding="utf-8"?>
<ds:datastoreItem xmlns:ds="http://schemas.openxmlformats.org/officeDocument/2006/customXml" ds:itemID="{DC69D8D1-B3BA-410D-AD31-FBCF55E14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9A551A12.dotm</Template>
  <TotalTime>1</TotalTime>
  <Pages>11</Pages>
  <Words>9992</Words>
  <Characters>56955</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Submission 83 - University of Melbourne - National Water Reform - Public inquiry</vt:lpstr>
    </vt:vector>
  </TitlesOfParts>
  <Company>University of Melbourne</Company>
  <LinksUpToDate>false</LinksUpToDate>
  <CharactersWithSpaces>66814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83 - University of Melbourne - National Water Reform - Public inquiry</dc:title>
  <dc:subject/>
  <dc:creator>University of Melbourne</dc:creator>
  <cp:keywords/>
  <dc:description/>
  <cp:lastModifiedBy>Alston, Chris</cp:lastModifiedBy>
  <cp:revision>4</cp:revision>
  <dcterms:created xsi:type="dcterms:W3CDTF">2017-08-23T04:24:00Z</dcterms:created>
  <dcterms:modified xsi:type="dcterms:W3CDTF">2017-08-23T05:05:00Z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