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B4E" w:rsidRDefault="00922338">
      <w:r>
        <w:t>The Northern Territory is of strategic importance to Australia but its resources and potential are left untapped due to lack of infrastructure, population and services. Reducing our GST revenue will do nothing for the long-term national interest. It will only ensure the NT stagnates. More funds are required, not less. There is rhetoric unaccompanied by action.</w:t>
      </w:r>
      <w:bookmarkStart w:id="0" w:name="_GoBack"/>
      <w:bookmarkEnd w:id="0"/>
    </w:p>
    <w:sectPr w:rsidR="009A7B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338"/>
    <w:rsid w:val="00922338"/>
    <w:rsid w:val="009A7B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E149A-B81E-4CA0-AC3D-037B3B38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Submission DR59 - Jack Priestley - Horizontal Fiscal Equalisation - Public inquiry</vt:lpstr>
    </vt:vector>
  </TitlesOfParts>
  <Company/>
  <LinksUpToDate>false</LinksUpToDate>
  <CharactersWithSpaces>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DR59 - Jack Priestley - Horizontal Fiscal Equalisation - Public inquiry</dc:title>
  <dc:subject/>
  <dc:creator>Jack Priestley</dc:creator>
  <cp:keywords/>
  <dc:description/>
  <cp:lastModifiedBy>Pimperl, Mark</cp:lastModifiedBy>
  <cp:revision>2</cp:revision>
  <dcterms:created xsi:type="dcterms:W3CDTF">2017-10-31T04:57:00Z</dcterms:created>
  <dcterms:modified xsi:type="dcterms:W3CDTF">2017-10-31T04:59:00Z</dcterms:modified>
</cp:coreProperties>
</file>