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589D8B" w14:textId="15E85ECB" w:rsidR="0002375A" w:rsidRDefault="00480D3D" w:rsidP="00480D3D">
      <w:pPr>
        <w:spacing w:after="0"/>
        <w:jc w:val="center"/>
        <w:rPr>
          <w:b/>
          <w:u w:val="single"/>
        </w:rPr>
      </w:pPr>
      <w:r>
        <w:rPr>
          <w:b/>
          <w:u w:val="single"/>
        </w:rPr>
        <w:t>Murray Darling Basin Plan</w:t>
      </w:r>
    </w:p>
    <w:p w14:paraId="0E89472C" w14:textId="02C6DCEE" w:rsidR="00480D3D" w:rsidRDefault="00480D3D" w:rsidP="00480D3D">
      <w:pPr>
        <w:spacing w:after="0"/>
        <w:jc w:val="center"/>
        <w:rPr>
          <w:b/>
          <w:u w:val="single"/>
        </w:rPr>
      </w:pPr>
      <w:r>
        <w:rPr>
          <w:b/>
          <w:u w:val="single"/>
        </w:rPr>
        <w:t>Inquiry: Five-year assessment</w:t>
      </w:r>
    </w:p>
    <w:p w14:paraId="22164358" w14:textId="4C114A06" w:rsidR="00480D3D" w:rsidRDefault="00480D3D" w:rsidP="00480D3D">
      <w:pPr>
        <w:spacing w:after="0"/>
        <w:jc w:val="center"/>
        <w:rPr>
          <w:b/>
          <w:u w:val="single"/>
        </w:rPr>
      </w:pPr>
      <w:r>
        <w:rPr>
          <w:b/>
          <w:u w:val="single"/>
        </w:rPr>
        <w:t>Submission</w:t>
      </w:r>
    </w:p>
    <w:p w14:paraId="4E51A936" w14:textId="77777777" w:rsidR="00480D3D" w:rsidRDefault="00480D3D" w:rsidP="00480D3D">
      <w:pPr>
        <w:spacing w:after="0"/>
        <w:jc w:val="center"/>
        <w:rPr>
          <w:b/>
          <w:u w:val="single"/>
        </w:rPr>
      </w:pPr>
    </w:p>
    <w:p w14:paraId="5445225A" w14:textId="77777777" w:rsidR="0002375A" w:rsidRDefault="0002375A" w:rsidP="0002375A">
      <w:pPr>
        <w:spacing w:after="0"/>
        <w:rPr>
          <w:b/>
          <w:u w:val="single"/>
        </w:rPr>
      </w:pPr>
    </w:p>
    <w:p w14:paraId="3E1E9A49" w14:textId="77777777" w:rsidR="0002375A" w:rsidRDefault="00454926" w:rsidP="0002375A">
      <w:pPr>
        <w:spacing w:after="0"/>
        <w:rPr>
          <w:b/>
          <w:u w:val="single"/>
        </w:rPr>
      </w:pPr>
      <w:r w:rsidRPr="003915BE">
        <w:rPr>
          <w:b/>
          <w:u w:val="single"/>
        </w:rPr>
        <w:t>Accounting of water</w:t>
      </w:r>
    </w:p>
    <w:p w14:paraId="4778A9ED" w14:textId="15E2DE45" w:rsidR="0002375A" w:rsidRDefault="0002375A" w:rsidP="0002375A">
      <w:pPr>
        <w:spacing w:after="0"/>
        <w:ind w:left="720"/>
      </w:pPr>
      <w:r w:rsidRPr="0002375A">
        <w:t xml:space="preserve">I believe that the accounting for water in the system is simply </w:t>
      </w:r>
      <w:r>
        <w:t>not through enough and with current technology it is possible to establish a central data base that can monitor the volume of water in the basin on a live basis.</w:t>
      </w:r>
    </w:p>
    <w:p w14:paraId="3B75C227" w14:textId="2FA617C7" w:rsidR="0002375A" w:rsidRDefault="0002375A" w:rsidP="0002375A">
      <w:pPr>
        <w:spacing w:after="0"/>
        <w:ind w:left="720"/>
      </w:pPr>
    </w:p>
    <w:p w14:paraId="11EAFD52" w14:textId="2B04EB85" w:rsidR="0002375A" w:rsidRDefault="0002375A" w:rsidP="0002375A">
      <w:pPr>
        <w:spacing w:after="0"/>
        <w:ind w:left="720"/>
      </w:pPr>
      <w:r>
        <w:t xml:space="preserve">All water should be accounted for that is present between the </w:t>
      </w:r>
      <w:r w:rsidRPr="00FF79C6">
        <w:rPr>
          <w:b/>
          <w:u w:val="single"/>
        </w:rPr>
        <w:t>ridge lines</w:t>
      </w:r>
      <w:r>
        <w:t xml:space="preserve"> of each valley.</w:t>
      </w:r>
    </w:p>
    <w:p w14:paraId="76CC1432" w14:textId="0E2FBBED" w:rsidR="0002375A" w:rsidRDefault="0002375A" w:rsidP="0002375A">
      <w:pPr>
        <w:spacing w:after="0"/>
        <w:ind w:left="720"/>
      </w:pPr>
    </w:p>
    <w:p w14:paraId="58492D04" w14:textId="6A18F07E" w:rsidR="0002375A" w:rsidRDefault="0002375A" w:rsidP="0002375A">
      <w:pPr>
        <w:spacing w:after="0"/>
        <w:ind w:left="720"/>
      </w:pPr>
      <w:r>
        <w:t>That water should include all</w:t>
      </w:r>
      <w:r w:rsidR="00842E6A">
        <w:t xml:space="preserve"> flows including,</w:t>
      </w:r>
      <w:r>
        <w:t xml:space="preserve"> overland flows</w:t>
      </w:r>
      <w:r w:rsidR="00842E6A">
        <w:t>,</w:t>
      </w:r>
      <w:r>
        <w:t xml:space="preserve"> subsurface flows</w:t>
      </w:r>
      <w:r w:rsidR="00842E6A">
        <w:t xml:space="preserve"> as well as main channel flows,</w:t>
      </w:r>
      <w:r>
        <w:t xml:space="preserve"> as in the end they are all interconnected.</w:t>
      </w:r>
    </w:p>
    <w:p w14:paraId="510A21F6" w14:textId="0CC5AFA4" w:rsidR="0002375A" w:rsidRDefault="0002375A" w:rsidP="0002375A">
      <w:pPr>
        <w:spacing w:after="0"/>
        <w:ind w:left="720"/>
      </w:pPr>
    </w:p>
    <w:p w14:paraId="0D067CA1" w14:textId="39E8CF97" w:rsidR="001E4CE9" w:rsidRDefault="0002375A" w:rsidP="001E4CE9">
      <w:pPr>
        <w:spacing w:after="0"/>
        <w:ind w:left="720"/>
      </w:pPr>
      <w:r>
        <w:t>I therefore believe that;</w:t>
      </w:r>
    </w:p>
    <w:p w14:paraId="3370A3BB" w14:textId="428C4C0E" w:rsidR="001E4CE9" w:rsidRDefault="001E4CE9" w:rsidP="001E4CE9">
      <w:pPr>
        <w:pStyle w:val="ListParagraph"/>
        <w:numPr>
          <w:ilvl w:val="0"/>
          <w:numId w:val="1"/>
        </w:numPr>
        <w:spacing w:after="0"/>
      </w:pPr>
      <w:r>
        <w:t>A central data base be established for all AUSTRALIAN rivers.</w:t>
      </w:r>
      <w:r w:rsidR="00842E6A">
        <w:t xml:space="preserve"> (It would not be hard to set up a code to identify where the water originates and where it is extracted)</w:t>
      </w:r>
    </w:p>
    <w:p w14:paraId="2FBA209A" w14:textId="77777777" w:rsidR="001E4CE9" w:rsidRDefault="001E4CE9" w:rsidP="001E4CE9">
      <w:pPr>
        <w:pStyle w:val="ListParagraph"/>
        <w:numPr>
          <w:ilvl w:val="1"/>
          <w:numId w:val="1"/>
        </w:numPr>
        <w:spacing w:after="0"/>
      </w:pPr>
      <w:r>
        <w:t>That data base record</w:t>
      </w:r>
    </w:p>
    <w:p w14:paraId="68EFBC18" w14:textId="50980A56" w:rsidR="001E4CE9" w:rsidRDefault="001E4CE9" w:rsidP="001E4CE9">
      <w:pPr>
        <w:pStyle w:val="ListParagraph"/>
        <w:numPr>
          <w:ilvl w:val="2"/>
          <w:numId w:val="1"/>
        </w:numPr>
        <w:spacing w:after="0"/>
      </w:pPr>
      <w:r>
        <w:t>All flows in those rivers</w:t>
      </w:r>
    </w:p>
    <w:p w14:paraId="73D15749" w14:textId="36FED4E9" w:rsidR="00FF79C6" w:rsidRDefault="00FF79C6" w:rsidP="001E4CE9">
      <w:pPr>
        <w:pStyle w:val="ListParagraph"/>
        <w:numPr>
          <w:ilvl w:val="2"/>
          <w:numId w:val="1"/>
        </w:numPr>
        <w:spacing w:after="0"/>
      </w:pPr>
      <w:r>
        <w:t>All extractions</w:t>
      </w:r>
    </w:p>
    <w:p w14:paraId="0C0CED85" w14:textId="436BE182" w:rsidR="001E4CE9" w:rsidRDefault="001E4CE9" w:rsidP="001E4CE9">
      <w:pPr>
        <w:pStyle w:val="ListParagraph"/>
        <w:numPr>
          <w:ilvl w:val="2"/>
          <w:numId w:val="1"/>
        </w:numPr>
        <w:spacing w:after="0"/>
      </w:pPr>
      <w:r>
        <w:t>All licences</w:t>
      </w:r>
    </w:p>
    <w:p w14:paraId="524B0053" w14:textId="7FFAF372" w:rsidR="001E4CE9" w:rsidRDefault="001E4CE9" w:rsidP="001E4CE9">
      <w:pPr>
        <w:pStyle w:val="ListParagraph"/>
        <w:numPr>
          <w:ilvl w:val="2"/>
          <w:numId w:val="1"/>
        </w:numPr>
        <w:spacing w:after="0"/>
      </w:pPr>
      <w:r>
        <w:t>Have trading facilities so that registered persons/entities are able to trade licences electronically (</w:t>
      </w:r>
      <w:r w:rsidR="00842E6A">
        <w:t>like</w:t>
      </w:r>
      <w:r>
        <w:t xml:space="preserve"> share trading) </w:t>
      </w:r>
    </w:p>
    <w:p w14:paraId="5AA3D316" w14:textId="1BDEED86" w:rsidR="0002375A" w:rsidRDefault="00454926" w:rsidP="001E4CE9">
      <w:pPr>
        <w:pStyle w:val="ListParagraph"/>
        <w:numPr>
          <w:ilvl w:val="1"/>
          <w:numId w:val="1"/>
        </w:numPr>
        <w:spacing w:after="0"/>
      </w:pPr>
      <w:r>
        <w:t xml:space="preserve">All streams should have monitors at regular intervals </w:t>
      </w:r>
    </w:p>
    <w:p w14:paraId="59E5DCF1" w14:textId="17F9EE07" w:rsidR="00454926" w:rsidRDefault="00454926" w:rsidP="001E4CE9">
      <w:pPr>
        <w:pStyle w:val="ListParagraph"/>
        <w:numPr>
          <w:ilvl w:val="1"/>
          <w:numId w:val="1"/>
        </w:numPr>
        <w:spacing w:after="0"/>
      </w:pPr>
      <w:r>
        <w:t>All pumps should have meters and those meters should be</w:t>
      </w:r>
      <w:r w:rsidR="001E4CE9">
        <w:t xml:space="preserve"> at source of extraction; i.e.</w:t>
      </w:r>
      <w:r>
        <w:t xml:space="preserve"> on the river.</w:t>
      </w:r>
    </w:p>
    <w:p w14:paraId="6259DD3E" w14:textId="77777777" w:rsidR="00454926" w:rsidRDefault="00454926" w:rsidP="001E4CE9">
      <w:pPr>
        <w:pStyle w:val="ListParagraph"/>
        <w:numPr>
          <w:ilvl w:val="1"/>
          <w:numId w:val="1"/>
        </w:numPr>
        <w:spacing w:after="0"/>
      </w:pPr>
      <w:r>
        <w:t>All sensors should take readings at 15-minute intervals</w:t>
      </w:r>
    </w:p>
    <w:p w14:paraId="14A41ADB" w14:textId="07B271B2" w:rsidR="00842E6A" w:rsidRDefault="00454926" w:rsidP="001E4CE9">
      <w:pPr>
        <w:pStyle w:val="ListParagraph"/>
        <w:numPr>
          <w:ilvl w:val="1"/>
          <w:numId w:val="1"/>
        </w:numPr>
        <w:spacing w:after="0"/>
      </w:pPr>
      <w:r>
        <w:t xml:space="preserve">All readings should be transmitted to </w:t>
      </w:r>
      <w:r w:rsidR="00FF79C6">
        <w:t>the</w:t>
      </w:r>
      <w:r>
        <w:t xml:space="preserve"> central data base.</w:t>
      </w:r>
      <w:r w:rsidR="00842E6A" w:rsidRPr="00842E6A">
        <w:t xml:space="preserve"> </w:t>
      </w:r>
    </w:p>
    <w:p w14:paraId="10F0FBBD" w14:textId="1B4E8B55" w:rsidR="00842E6A" w:rsidRDefault="00842E6A" w:rsidP="00842E6A">
      <w:pPr>
        <w:pStyle w:val="ListParagraph"/>
        <w:numPr>
          <w:ilvl w:val="1"/>
          <w:numId w:val="1"/>
        </w:numPr>
        <w:spacing w:after="0"/>
      </w:pPr>
      <w:r>
        <w:t xml:space="preserve">All interested parties to have access to </w:t>
      </w:r>
      <w:r w:rsidRPr="00842E6A">
        <w:rPr>
          <w:b/>
          <w:u w:val="single"/>
        </w:rPr>
        <w:t>all</w:t>
      </w:r>
      <w:r>
        <w:t xml:space="preserve"> offers to buy and sell.</w:t>
      </w:r>
    </w:p>
    <w:p w14:paraId="4845DA0F" w14:textId="3C973C4C" w:rsidR="001E4CE9" w:rsidRDefault="00454926" w:rsidP="00842E6A">
      <w:pPr>
        <w:pStyle w:val="ListParagraph"/>
        <w:numPr>
          <w:ilvl w:val="0"/>
          <w:numId w:val="1"/>
        </w:numPr>
        <w:spacing w:after="0"/>
      </w:pPr>
      <w:r>
        <w:t>The data base to be monitored for;</w:t>
      </w:r>
    </w:p>
    <w:p w14:paraId="6B5C4C2B" w14:textId="213F499E" w:rsidR="00842E6A" w:rsidRDefault="00454926" w:rsidP="00842E6A">
      <w:pPr>
        <w:pStyle w:val="ListParagraph"/>
        <w:numPr>
          <w:ilvl w:val="1"/>
          <w:numId w:val="1"/>
        </w:numPr>
        <w:spacing w:after="0"/>
      </w:pPr>
      <w:r>
        <w:t>Actual Readings</w:t>
      </w:r>
      <w:r w:rsidR="001E4CE9">
        <w:t xml:space="preserve"> (when a reading is not received on time an immediate notice (electronically) be sent to the </w:t>
      </w:r>
      <w:r w:rsidR="00FF79C6">
        <w:t>extractor</w:t>
      </w:r>
      <w:r w:rsidR="001E4CE9">
        <w:t xml:space="preserve"> and the local authority demanding that the problem be fixed</w:t>
      </w:r>
      <w:r w:rsidR="00FF79C6">
        <w:t xml:space="preserve"> immediately.</w:t>
      </w:r>
    </w:p>
    <w:p w14:paraId="6F8F8B0E" w14:textId="77777777" w:rsidR="00842E6A" w:rsidRDefault="00454926" w:rsidP="00842E6A">
      <w:pPr>
        <w:pStyle w:val="ListParagraph"/>
        <w:numPr>
          <w:ilvl w:val="0"/>
          <w:numId w:val="1"/>
        </w:numPr>
        <w:spacing w:after="0"/>
      </w:pPr>
      <w:r>
        <w:t xml:space="preserve">Local water authorities e.g. </w:t>
      </w:r>
      <w:proofErr w:type="gramStart"/>
      <w:r>
        <w:t>Lower</w:t>
      </w:r>
      <w:proofErr w:type="gramEnd"/>
      <w:r>
        <w:t xml:space="preserve"> Murray Water</w:t>
      </w:r>
      <w:r w:rsidR="00842E6A">
        <w:t>.</w:t>
      </w:r>
    </w:p>
    <w:p w14:paraId="5B1AE124" w14:textId="77777777" w:rsidR="00842E6A" w:rsidRDefault="00454926" w:rsidP="00842E6A">
      <w:pPr>
        <w:pStyle w:val="ListParagraph"/>
        <w:numPr>
          <w:ilvl w:val="1"/>
          <w:numId w:val="1"/>
        </w:numPr>
        <w:spacing w:after="0"/>
      </w:pPr>
      <w:r>
        <w:t xml:space="preserve"> </w:t>
      </w:r>
      <w:r w:rsidR="00842E6A">
        <w:t>N</w:t>
      </w:r>
      <w:r w:rsidR="003915BE">
        <w:t>ot be involved in recording,</w:t>
      </w:r>
    </w:p>
    <w:p w14:paraId="686113D4" w14:textId="2AC7EEA7" w:rsidR="00842E6A" w:rsidRDefault="003915BE" w:rsidP="00842E6A">
      <w:pPr>
        <w:pStyle w:val="ListParagraph"/>
        <w:numPr>
          <w:ilvl w:val="1"/>
          <w:numId w:val="1"/>
        </w:numPr>
        <w:spacing w:after="0"/>
      </w:pPr>
      <w:r>
        <w:t xml:space="preserve"> </w:t>
      </w:r>
      <w:r w:rsidR="00FF79C6">
        <w:t>T</w:t>
      </w:r>
      <w:r>
        <w:t>heir customers to be connected direct to central data base.</w:t>
      </w:r>
      <w:r w:rsidR="00842E6A">
        <w:t xml:space="preserve"> </w:t>
      </w:r>
    </w:p>
    <w:p w14:paraId="2B603AC7" w14:textId="6383C135" w:rsidR="00842E6A" w:rsidRDefault="00842E6A" w:rsidP="00842E6A">
      <w:pPr>
        <w:pStyle w:val="ListParagraph"/>
        <w:numPr>
          <w:ilvl w:val="1"/>
          <w:numId w:val="1"/>
        </w:numPr>
        <w:spacing w:after="0"/>
      </w:pPr>
      <w:r>
        <w:t xml:space="preserve">Water authorities to have access to data </w:t>
      </w:r>
      <w:r w:rsidR="00FF79C6">
        <w:t>for</w:t>
      </w:r>
      <w:r>
        <w:t xml:space="preserve"> their districts.</w:t>
      </w:r>
    </w:p>
    <w:p w14:paraId="7C718AE4" w14:textId="5E90343B" w:rsidR="003915BE" w:rsidRDefault="00842E6A" w:rsidP="00842E6A">
      <w:pPr>
        <w:pStyle w:val="ListParagraph"/>
        <w:numPr>
          <w:ilvl w:val="1"/>
          <w:numId w:val="1"/>
        </w:numPr>
        <w:spacing w:after="0"/>
      </w:pPr>
      <w:r>
        <w:t>Water authorities</w:t>
      </w:r>
      <w:r w:rsidR="00FF79C6">
        <w:t xml:space="preserve"> and extractor</w:t>
      </w:r>
      <w:r>
        <w:t xml:space="preserve"> to be advised</w:t>
      </w:r>
      <w:r w:rsidR="00FF79C6">
        <w:t xml:space="preserve"> (electronically)</w:t>
      </w:r>
      <w:r>
        <w:t xml:space="preserve"> </w:t>
      </w:r>
      <w:r w:rsidR="00FF79C6">
        <w:t>when</w:t>
      </w:r>
      <w:r>
        <w:t xml:space="preserve"> an irrigator exceeds their licence volume.</w:t>
      </w:r>
    </w:p>
    <w:p w14:paraId="5D30945F" w14:textId="7B914AAC" w:rsidR="00480D3D" w:rsidRDefault="00480D3D" w:rsidP="00480D3D">
      <w:pPr>
        <w:pStyle w:val="ListParagraph"/>
        <w:spacing w:after="0"/>
        <w:ind w:left="2520"/>
      </w:pPr>
    </w:p>
    <w:p w14:paraId="0FEAB26E" w14:textId="77777777" w:rsidR="00132357" w:rsidRDefault="00132357" w:rsidP="00480D3D">
      <w:pPr>
        <w:pStyle w:val="ListParagraph"/>
        <w:spacing w:after="0"/>
        <w:ind w:left="2520"/>
      </w:pPr>
    </w:p>
    <w:p w14:paraId="6DAD294D" w14:textId="16F03C1B" w:rsidR="00480D3D" w:rsidRDefault="00480D3D" w:rsidP="00480D3D">
      <w:pPr>
        <w:spacing w:after="0"/>
        <w:rPr>
          <w:b/>
          <w:u w:val="single"/>
        </w:rPr>
      </w:pPr>
      <w:r w:rsidRPr="00480D3D">
        <w:rPr>
          <w:b/>
          <w:u w:val="single"/>
        </w:rPr>
        <w:lastRenderedPageBreak/>
        <w:t>Inflows into the Murray-Graphs showing moving averages</w:t>
      </w:r>
    </w:p>
    <w:p w14:paraId="193E9062" w14:textId="77777777" w:rsidR="00132357" w:rsidRDefault="00132357" w:rsidP="00480D3D">
      <w:pPr>
        <w:spacing w:after="0"/>
        <w:rPr>
          <w:b/>
          <w:u w:val="single"/>
        </w:rPr>
      </w:pPr>
    </w:p>
    <w:p w14:paraId="250AD90E" w14:textId="63E9A605" w:rsidR="00132357" w:rsidRPr="00132357" w:rsidRDefault="00132357" w:rsidP="00480D3D">
      <w:pPr>
        <w:spacing w:after="0"/>
      </w:pPr>
      <w:r>
        <w:tab/>
        <w:t>The data used was supplied by MDBA, these graphs show a serious shortfall in recent years which should give people plenty of worry about the future and the ability of the river to provide all the water people are expecting under current plans.</w:t>
      </w:r>
    </w:p>
    <w:p w14:paraId="5CADA95A" w14:textId="08FDA83E" w:rsidR="004955E8" w:rsidRDefault="004955E8" w:rsidP="00480D3D">
      <w:pPr>
        <w:spacing w:after="0"/>
        <w:rPr>
          <w:b/>
          <w:u w:val="single"/>
        </w:rPr>
      </w:pPr>
      <w:r>
        <w:rPr>
          <w:noProof/>
          <w:lang w:eastAsia="en-AU"/>
        </w:rPr>
        <w:lastRenderedPageBreak/>
        <w:drawing>
          <wp:inline distT="0" distB="0" distL="0" distR="0" wp14:anchorId="7E23425F" wp14:editId="2DDCC1A5">
            <wp:extent cx="9772650" cy="6477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9772650" cy="6477000"/>
                    </a:xfrm>
                    <a:prstGeom prst="rect">
                      <a:avLst/>
                    </a:prstGeom>
                  </pic:spPr>
                </pic:pic>
              </a:graphicData>
            </a:graphic>
          </wp:inline>
        </w:drawing>
      </w:r>
    </w:p>
    <w:p w14:paraId="062C0913" w14:textId="07E5113A" w:rsidR="004955E8" w:rsidRDefault="00F93B50" w:rsidP="00480D3D">
      <w:pPr>
        <w:spacing w:after="0"/>
        <w:rPr>
          <w:b/>
          <w:u w:val="single"/>
        </w:rPr>
      </w:pPr>
      <w:r>
        <w:rPr>
          <w:noProof/>
          <w:lang w:eastAsia="en-AU"/>
        </w:rPr>
        <w:drawing>
          <wp:inline distT="0" distB="0" distL="0" distR="0" wp14:anchorId="79D28F98" wp14:editId="499C1179">
            <wp:extent cx="9858375" cy="67341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858375" cy="6734175"/>
                    </a:xfrm>
                    <a:prstGeom prst="rect">
                      <a:avLst/>
                    </a:prstGeom>
                  </pic:spPr>
                </pic:pic>
              </a:graphicData>
            </a:graphic>
          </wp:inline>
        </w:drawing>
      </w:r>
    </w:p>
    <w:p w14:paraId="6A0E4ABA" w14:textId="0473EDD9" w:rsidR="004955E8" w:rsidRDefault="004955E8" w:rsidP="00480D3D">
      <w:pPr>
        <w:spacing w:after="0"/>
        <w:rPr>
          <w:b/>
          <w:u w:val="single"/>
        </w:rPr>
      </w:pPr>
      <w:r>
        <w:rPr>
          <w:noProof/>
          <w:lang w:eastAsia="en-AU"/>
        </w:rPr>
        <w:drawing>
          <wp:inline distT="0" distB="0" distL="0" distR="0" wp14:anchorId="24CF7FF7" wp14:editId="799DB835">
            <wp:extent cx="9925050" cy="65627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9925050" cy="6562725"/>
                    </a:xfrm>
                    <a:prstGeom prst="rect">
                      <a:avLst/>
                    </a:prstGeom>
                  </pic:spPr>
                </pic:pic>
              </a:graphicData>
            </a:graphic>
          </wp:inline>
        </w:drawing>
      </w:r>
    </w:p>
    <w:p w14:paraId="6E7850B5" w14:textId="1831A4CA" w:rsidR="00132357" w:rsidRDefault="00132357" w:rsidP="00480D3D">
      <w:pPr>
        <w:spacing w:after="0"/>
        <w:rPr>
          <w:b/>
          <w:u w:val="single"/>
        </w:rPr>
      </w:pPr>
      <w:r>
        <w:rPr>
          <w:noProof/>
          <w:lang w:eastAsia="en-AU"/>
        </w:rPr>
        <w:drawing>
          <wp:inline distT="0" distB="0" distL="0" distR="0" wp14:anchorId="7509E108" wp14:editId="38DA23AE">
            <wp:extent cx="9982200" cy="64674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9982200" cy="6467475"/>
                    </a:xfrm>
                    <a:prstGeom prst="rect">
                      <a:avLst/>
                    </a:prstGeom>
                  </pic:spPr>
                </pic:pic>
              </a:graphicData>
            </a:graphic>
          </wp:inline>
        </w:drawing>
      </w:r>
    </w:p>
    <w:p w14:paraId="438B8F2E" w14:textId="3B2CDD74" w:rsidR="00132357" w:rsidRDefault="00132357" w:rsidP="00480D3D">
      <w:pPr>
        <w:spacing w:after="0"/>
        <w:rPr>
          <w:b/>
          <w:u w:val="single"/>
        </w:rPr>
      </w:pPr>
      <w:r>
        <w:rPr>
          <w:noProof/>
          <w:lang w:eastAsia="en-AU"/>
        </w:rPr>
        <w:drawing>
          <wp:inline distT="0" distB="0" distL="0" distR="0" wp14:anchorId="433890A2" wp14:editId="7AFB4A72">
            <wp:extent cx="9791700" cy="6629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9791700" cy="6629400"/>
                    </a:xfrm>
                    <a:prstGeom prst="rect">
                      <a:avLst/>
                    </a:prstGeom>
                  </pic:spPr>
                </pic:pic>
              </a:graphicData>
            </a:graphic>
          </wp:inline>
        </w:drawing>
      </w:r>
    </w:p>
    <w:p w14:paraId="06F6903C" w14:textId="36387C75" w:rsidR="004955E8" w:rsidRDefault="004955E8" w:rsidP="00480D3D">
      <w:pPr>
        <w:spacing w:after="0"/>
        <w:rPr>
          <w:b/>
          <w:u w:val="single"/>
        </w:rPr>
      </w:pPr>
    </w:p>
    <w:p w14:paraId="7911E8F1" w14:textId="3984C9A4" w:rsidR="004955E8" w:rsidRDefault="004955E8" w:rsidP="00480D3D">
      <w:pPr>
        <w:spacing w:after="0"/>
        <w:rPr>
          <w:b/>
          <w:u w:val="single"/>
        </w:rPr>
      </w:pPr>
    </w:p>
    <w:p w14:paraId="2512CEAA" w14:textId="77777777" w:rsidR="004955E8" w:rsidRDefault="004955E8" w:rsidP="00480D3D">
      <w:pPr>
        <w:spacing w:after="0"/>
        <w:rPr>
          <w:b/>
          <w:u w:val="single"/>
        </w:rPr>
      </w:pPr>
    </w:p>
    <w:p w14:paraId="42D6B27E" w14:textId="7C517265" w:rsidR="00480D3D" w:rsidRPr="00480D3D" w:rsidRDefault="004955E8" w:rsidP="00480D3D">
      <w:pPr>
        <w:spacing w:after="0"/>
        <w:rPr>
          <w:b/>
          <w:u w:val="single"/>
        </w:rPr>
      </w:pPr>
      <w:r>
        <w:rPr>
          <w:noProof/>
          <w:lang w:eastAsia="en-AU"/>
        </w:rPr>
        <w:drawing>
          <wp:inline distT="0" distB="0" distL="0" distR="0" wp14:anchorId="5B9E9522" wp14:editId="29D42816">
            <wp:extent cx="6645910" cy="3139858"/>
            <wp:effectExtent l="0" t="0" r="254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645910" cy="3139858"/>
                    </a:xfrm>
                    <a:prstGeom prst="rect">
                      <a:avLst/>
                    </a:prstGeom>
                  </pic:spPr>
                </pic:pic>
              </a:graphicData>
            </a:graphic>
          </wp:inline>
        </w:drawing>
      </w:r>
    </w:p>
    <w:p w14:paraId="2AEA3D86" w14:textId="77777777" w:rsidR="00454926" w:rsidRDefault="00454926" w:rsidP="0002375A">
      <w:pPr>
        <w:spacing w:after="0"/>
      </w:pPr>
    </w:p>
    <w:p w14:paraId="7746F858" w14:textId="77777777" w:rsidR="003915BE" w:rsidRDefault="003915BE" w:rsidP="0002375A">
      <w:pPr>
        <w:spacing w:after="0"/>
      </w:pPr>
      <w:r>
        <w:t>Lindsay Leake</w:t>
      </w:r>
    </w:p>
    <w:p w14:paraId="5E26BF81" w14:textId="32C3ED34" w:rsidR="003915BE" w:rsidRDefault="003915BE" w:rsidP="0002375A">
      <w:pPr>
        <w:spacing w:after="0"/>
      </w:pPr>
      <w:bookmarkStart w:id="0" w:name="_GoBack"/>
      <w:bookmarkEnd w:id="0"/>
    </w:p>
    <w:p w14:paraId="0F8D984D" w14:textId="77777777" w:rsidR="003915BE" w:rsidRDefault="003915BE" w:rsidP="0002375A">
      <w:pPr>
        <w:spacing w:after="0"/>
      </w:pPr>
    </w:p>
    <w:p w14:paraId="46186CAF" w14:textId="77777777" w:rsidR="00452125" w:rsidRDefault="00452125" w:rsidP="003915BE">
      <w:pPr>
        <w:spacing w:after="0"/>
      </w:pPr>
    </w:p>
    <w:p w14:paraId="320E3D95" w14:textId="77777777" w:rsidR="00452125" w:rsidRDefault="00452125" w:rsidP="00452125">
      <w:pPr>
        <w:spacing w:after="0"/>
        <w:ind w:left="720"/>
      </w:pPr>
    </w:p>
    <w:sectPr w:rsidR="00452125" w:rsidSect="004955E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893014"/>
    <w:multiLevelType w:val="hybridMultilevel"/>
    <w:tmpl w:val="068C6182"/>
    <w:lvl w:ilvl="0" w:tplc="0C09000F">
      <w:start w:val="1"/>
      <w:numFmt w:val="decimal"/>
      <w:lvlText w:val="%1."/>
      <w:lvlJc w:val="lef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 w15:restartNumberingAfterBreak="0">
    <w:nsid w:val="6A0C0A37"/>
    <w:multiLevelType w:val="hybridMultilevel"/>
    <w:tmpl w:val="1968FA1C"/>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6AE93B58"/>
    <w:multiLevelType w:val="hybridMultilevel"/>
    <w:tmpl w:val="C18CB83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926"/>
    <w:rsid w:val="0002375A"/>
    <w:rsid w:val="00132357"/>
    <w:rsid w:val="001E4CE9"/>
    <w:rsid w:val="003915BE"/>
    <w:rsid w:val="00452125"/>
    <w:rsid w:val="00454926"/>
    <w:rsid w:val="00480D3D"/>
    <w:rsid w:val="004955E8"/>
    <w:rsid w:val="005F5886"/>
    <w:rsid w:val="00615676"/>
    <w:rsid w:val="00842E6A"/>
    <w:rsid w:val="00B533B9"/>
    <w:rsid w:val="00D362D7"/>
    <w:rsid w:val="00DB03FB"/>
    <w:rsid w:val="00F93B50"/>
    <w:rsid w:val="00FF79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E2C01"/>
  <w15:chartTrackingRefBased/>
  <w15:docId w15:val="{FB164A6C-A4CB-4A2E-A4C9-EF62A5967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926"/>
    <w:pPr>
      <w:ind w:left="720"/>
      <w:contextualSpacing/>
    </w:pPr>
  </w:style>
  <w:style w:type="character" w:styleId="Hyperlink">
    <w:name w:val="Hyperlink"/>
    <w:basedOn w:val="DefaultParagraphFont"/>
    <w:uiPriority w:val="99"/>
    <w:unhideWhenUsed/>
    <w:rsid w:val="003915BE"/>
    <w:rPr>
      <w:color w:val="0563C1" w:themeColor="hyperlink"/>
      <w:u w:val="single"/>
    </w:rPr>
  </w:style>
  <w:style w:type="character" w:customStyle="1" w:styleId="UnresolvedMention">
    <w:name w:val="Unresolved Mention"/>
    <w:basedOn w:val="DefaultParagraphFont"/>
    <w:uiPriority w:val="99"/>
    <w:semiHidden/>
    <w:unhideWhenUsed/>
    <w:rsid w:val="003915BE"/>
    <w:rPr>
      <w:color w:val="808080"/>
      <w:shd w:val="clear" w:color="auto" w:fill="E6E6E6"/>
    </w:rPr>
  </w:style>
  <w:style w:type="paragraph" w:styleId="BalloonText">
    <w:name w:val="Balloon Text"/>
    <w:basedOn w:val="Normal"/>
    <w:link w:val="BalloonTextChar"/>
    <w:uiPriority w:val="99"/>
    <w:semiHidden/>
    <w:unhideWhenUsed/>
    <w:rsid w:val="004521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21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image" Target="media/image5.png"/><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D92C32A174DC5842B464C967A33B7D17" ma:contentTypeVersion="0" ma:contentTypeDescription="" ma:contentTypeScope="" ma:versionID="bb9035d9b395138587e3b5f1cdb4d957">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32e73555378ce327706944e149075593"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139;#Submissions|c6e0dbf8-5444-433c-844d-d567dd519a05"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_dlc_DocId xmlns="3f4bcce7-ac1a-4c9d-aa3e-7e77695652db">PCDOC-679391099-40</_dlc_DocId>
    <_dlc_DocIdUrl xmlns="3f4bcce7-ac1a-4c9d-aa3e-7e77695652db">
      <Url>http://inet.pc.gov.au/pmo/inq/mdbp/_layouts/15/DocIdRedir.aspx?ID=PCDOC-679391099-40</Url>
      <Description>PCDOC-679391099-40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SharedContentType xmlns="Microsoft.SharePoint.Taxonomy.ContentTypeSync" SourceId="70da5c63-8548-4ac8-9616-83b0f373280e" ContentTypeId="0x0101007916246811615643A710C6FEAFF56A871105" PreviousValue="false"/>
</file>

<file path=customXml/itemProps1.xml><?xml version="1.0" encoding="utf-8"?>
<ds:datastoreItem xmlns:ds="http://schemas.openxmlformats.org/officeDocument/2006/customXml" ds:itemID="{93CACDE5-4319-4059-A8A9-F130F5A3A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78AFCD-BD17-42C2-A711-D01C70260638}">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f4bcce7-ac1a-4c9d-aa3e-7e77695652db"/>
    <ds:schemaRef ds:uri="http://www.w3.org/XML/1998/namespace"/>
    <ds:schemaRef ds:uri="http://purl.org/dc/dcmitype/"/>
  </ds:schemaRefs>
</ds:datastoreItem>
</file>

<file path=customXml/itemProps3.xml><?xml version="1.0" encoding="utf-8"?>
<ds:datastoreItem xmlns:ds="http://schemas.openxmlformats.org/officeDocument/2006/customXml" ds:itemID="{2507D55D-A645-4573-BCB1-92494328F8F7}">
  <ds:schemaRefs>
    <ds:schemaRef ds:uri="http://schemas.microsoft.com/sharepoint/v3/contenttype/forms"/>
  </ds:schemaRefs>
</ds:datastoreItem>
</file>

<file path=customXml/itemProps4.xml><?xml version="1.0" encoding="utf-8"?>
<ds:datastoreItem xmlns:ds="http://schemas.openxmlformats.org/officeDocument/2006/customXml" ds:itemID="{1128AB83-9A98-4BB1-A15A-9DD71ED27D6C}">
  <ds:schemaRefs>
    <ds:schemaRef ds:uri="http://schemas.microsoft.com/sharepoint/events"/>
  </ds:schemaRefs>
</ds:datastoreItem>
</file>

<file path=customXml/itemProps5.xml><?xml version="1.0" encoding="utf-8"?>
<ds:datastoreItem xmlns:ds="http://schemas.openxmlformats.org/officeDocument/2006/customXml" ds:itemID="{A5F4AF7F-82C2-42C2-A5CD-5008D5015825}">
  <ds:schemaRefs>
    <ds:schemaRef ds:uri="http://schemas.microsoft.com/office/2006/metadata/customXsn"/>
  </ds:schemaRefs>
</ds:datastoreItem>
</file>

<file path=customXml/itemProps6.xml><?xml version="1.0" encoding="utf-8"?>
<ds:datastoreItem xmlns:ds="http://schemas.openxmlformats.org/officeDocument/2006/customXml" ds:itemID="{0CBC5D07-7F8E-45A9-AB4B-0F9E9D9E861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308</Words>
  <Characters>1869</Characters>
  <Application>Microsoft Office Word</Application>
  <DocSecurity>0</DocSecurity>
  <Lines>29</Lines>
  <Paragraphs>6</Paragraphs>
  <ScaleCrop>false</ScaleCrop>
  <HeadingPairs>
    <vt:vector size="2" baseType="variant">
      <vt:variant>
        <vt:lpstr>Title</vt:lpstr>
      </vt:variant>
      <vt:variant>
        <vt:i4>1</vt:i4>
      </vt:variant>
    </vt:vector>
  </HeadingPairs>
  <TitlesOfParts>
    <vt:vector size="1" baseType="lpstr">
      <vt:lpstr>Submission 20 - Lindsay Leake - Murray-Darling Basin Plan: Five-year assessment - Public inquiry</vt:lpstr>
    </vt:vector>
  </TitlesOfParts>
  <Company>Lindsay Leake</Company>
  <LinksUpToDate>false</LinksUpToDate>
  <CharactersWithSpaces>2171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20 - Lindsay Leake - Murray-Darling Basin Plan: Five-year assessment - Public inquiry</dc:title>
  <dc:subject/>
  <dc:creator>Lindsay Leake</dc:creator>
  <cp:keywords/>
  <dc:description/>
  <cp:lastModifiedBy>Productivity Commission</cp:lastModifiedBy>
  <cp:revision>5</cp:revision>
  <cp:lastPrinted>2017-10-03T12:54:00Z</cp:lastPrinted>
  <dcterms:created xsi:type="dcterms:W3CDTF">2018-04-19T05:20:00Z</dcterms:created>
  <dcterms:modified xsi:type="dcterms:W3CDTF">2018-04-19T23:27:00Z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0x0101007916246811615643A710C6FEAFF56A87110500D92C32A174DC5842B464C967A33B7D17</vt:lpwstr>
  </property>
  <property fmtid="{D5CDD505-2E9C-101B-9397-08002B2CF9AE}" pid="3" name="Record Tag">
    <vt:lpwstr>139;#Submissions|c6e0dbf8-5444-433c-844d-d567dd519a05</vt:lpwstr>
  </property>
  <property fmtid="{D5CDD505-2E9C-101B-9397-08002B2CF9AE}" pid="4" name="TaxKeyword">
    <vt:lpwstr/>
  </property>
  <property fmtid="{D5CDD505-2E9C-101B-9397-08002B2CF9AE}" pid="5" name="_dlc_DocIdItemGuid">
    <vt:lpwstr>95088f3f-a23e-4989-b67f-e953fb5ae50a</vt:lpwstr>
  </property>
</Properties>
</file>