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0"/>
        <w:gridCol w:w="3832"/>
        <w:gridCol w:w="3832"/>
      </w:tblGrid>
      <w:tr w:rsidR="00C0095C" w:rsidRPr="00714517" w14:paraId="3EAE2E91" w14:textId="77777777" w:rsidTr="00C0095C">
        <w:tc>
          <w:tcPr>
            <w:tcW w:w="5410" w:type="dxa"/>
          </w:tcPr>
          <w:p w14:paraId="6611BE1C" w14:textId="70462B37" w:rsidR="00C0095C" w:rsidRPr="00714517" w:rsidRDefault="00C0095C" w:rsidP="003404F6">
            <w:pPr>
              <w:shd w:val="clear" w:color="auto" w:fill="FFFFFF"/>
              <w:textAlignment w:val="center"/>
              <w:rPr>
                <w:rFonts w:ascii="Arial" w:eastAsia="Times New Roman" w:hAnsi="Arial" w:cs="Arial"/>
                <w:lang w:eastAsia="en-AU"/>
              </w:rPr>
            </w:pPr>
          </w:p>
        </w:tc>
        <w:tc>
          <w:tcPr>
            <w:tcW w:w="3832" w:type="dxa"/>
            <w:vMerge w:val="restart"/>
          </w:tcPr>
          <w:p w14:paraId="6482B914" w14:textId="4EF4DD7B" w:rsidR="00C0095C" w:rsidRPr="00714517" w:rsidRDefault="00C0095C" w:rsidP="0085240F">
            <w:pPr>
              <w:shd w:val="clear" w:color="auto" w:fill="FFFFFF"/>
              <w:textAlignment w:val="center"/>
              <w:rPr>
                <w:rFonts w:ascii="Arial" w:eastAsia="Times New Roman" w:hAnsi="Arial" w:cs="Arial"/>
                <w:b/>
                <w:lang w:eastAsia="en-AU"/>
              </w:rPr>
            </w:pPr>
          </w:p>
        </w:tc>
        <w:tc>
          <w:tcPr>
            <w:tcW w:w="3832" w:type="dxa"/>
          </w:tcPr>
          <w:p w14:paraId="060310F5" w14:textId="77777777" w:rsidR="00C0095C" w:rsidRPr="00714517" w:rsidRDefault="00C0095C" w:rsidP="0085240F">
            <w:pPr>
              <w:shd w:val="clear" w:color="auto" w:fill="FFFFFF"/>
              <w:spacing w:line="240" w:lineRule="atLeast"/>
              <w:textAlignment w:val="center"/>
              <w:rPr>
                <w:rFonts w:ascii="Arial" w:eastAsia="Times New Roman" w:hAnsi="Arial" w:cs="Arial"/>
                <w:b/>
                <w:lang w:eastAsia="en-AU"/>
              </w:rPr>
            </w:pPr>
          </w:p>
        </w:tc>
      </w:tr>
      <w:tr w:rsidR="00C0095C" w:rsidRPr="00714517" w14:paraId="5D13C672" w14:textId="77777777" w:rsidTr="00C0095C">
        <w:tc>
          <w:tcPr>
            <w:tcW w:w="5410" w:type="dxa"/>
          </w:tcPr>
          <w:p w14:paraId="3B3D46EB" w14:textId="77777777" w:rsidR="00C0095C" w:rsidRPr="00714517" w:rsidRDefault="00C0095C" w:rsidP="003404F6">
            <w:pPr>
              <w:shd w:val="clear" w:color="auto" w:fill="FFFFFF"/>
              <w:textAlignment w:val="center"/>
              <w:rPr>
                <w:rFonts w:ascii="Arial" w:eastAsia="Times New Roman" w:hAnsi="Arial" w:cs="Arial"/>
                <w:lang w:eastAsia="en-AU"/>
              </w:rPr>
            </w:pPr>
          </w:p>
        </w:tc>
        <w:tc>
          <w:tcPr>
            <w:tcW w:w="3832" w:type="dxa"/>
            <w:vMerge/>
          </w:tcPr>
          <w:p w14:paraId="38D681D5" w14:textId="77777777" w:rsidR="00C0095C" w:rsidRPr="00714517" w:rsidRDefault="00C0095C" w:rsidP="0085240F">
            <w:pPr>
              <w:shd w:val="clear" w:color="auto" w:fill="FFFFFF"/>
              <w:spacing w:line="240" w:lineRule="atLeast"/>
              <w:textAlignment w:val="center"/>
              <w:rPr>
                <w:rFonts w:ascii="Arial" w:eastAsia="Times New Roman" w:hAnsi="Arial" w:cs="Arial"/>
                <w:lang w:eastAsia="en-AU"/>
              </w:rPr>
            </w:pPr>
          </w:p>
        </w:tc>
        <w:tc>
          <w:tcPr>
            <w:tcW w:w="3832" w:type="dxa"/>
          </w:tcPr>
          <w:p w14:paraId="183FA7C4" w14:textId="77777777" w:rsidR="00C0095C" w:rsidRPr="00714517" w:rsidRDefault="00C0095C"/>
        </w:tc>
      </w:tr>
      <w:tr w:rsidR="00C0095C" w:rsidRPr="00EA00BE" w14:paraId="1F33F487" w14:textId="77777777" w:rsidTr="00C0095C">
        <w:tc>
          <w:tcPr>
            <w:tcW w:w="5410" w:type="dxa"/>
          </w:tcPr>
          <w:p w14:paraId="5AB0DEC0" w14:textId="70349680" w:rsidR="00C0095C" w:rsidRPr="00EA00BE" w:rsidRDefault="00857BC5" w:rsidP="008A058E">
            <w:pPr>
              <w:shd w:val="clear" w:color="auto" w:fill="FFFFFF"/>
              <w:textAlignment w:val="center"/>
              <w:rPr>
                <w:rFonts w:ascii="Arial" w:eastAsia="Times New Roman" w:hAnsi="Arial" w:cs="Arial"/>
                <w:b/>
                <w:lang w:eastAsia="en-AU"/>
              </w:rPr>
            </w:pPr>
            <w:r>
              <w:rPr>
                <w:rFonts w:ascii="Arial" w:eastAsia="Times New Roman" w:hAnsi="Arial" w:cs="Arial"/>
                <w:b/>
                <w:lang w:eastAsia="en-AU"/>
              </w:rPr>
              <w:t xml:space="preserve">31 </w:t>
            </w:r>
            <w:r w:rsidR="00906C10">
              <w:rPr>
                <w:rFonts w:ascii="Arial" w:eastAsia="Times New Roman" w:hAnsi="Arial" w:cs="Arial"/>
                <w:b/>
                <w:lang w:eastAsia="en-AU"/>
              </w:rPr>
              <w:t>May 2018</w:t>
            </w:r>
          </w:p>
          <w:p w14:paraId="4E5E55B3" w14:textId="77777777" w:rsidR="00DA397C" w:rsidRPr="00EA00BE" w:rsidRDefault="00DA397C" w:rsidP="008A058E">
            <w:pPr>
              <w:shd w:val="clear" w:color="auto" w:fill="FFFFFF"/>
              <w:textAlignment w:val="center"/>
              <w:rPr>
                <w:rFonts w:ascii="Arial" w:eastAsia="Times New Roman" w:hAnsi="Arial" w:cs="Arial"/>
                <w:b/>
                <w:lang w:eastAsia="en-AU"/>
              </w:rPr>
            </w:pPr>
          </w:p>
          <w:p w14:paraId="2CF20ABF" w14:textId="6ABB18AF" w:rsidR="00920268" w:rsidRDefault="00857BC5" w:rsidP="008A058E">
            <w:pPr>
              <w:shd w:val="clear" w:color="auto" w:fill="FFFFFF"/>
              <w:textAlignment w:val="center"/>
              <w:rPr>
                <w:rFonts w:ascii="Arial" w:eastAsia="Times New Roman" w:hAnsi="Arial" w:cs="Arial"/>
                <w:b/>
                <w:lang w:eastAsia="en-AU"/>
              </w:rPr>
            </w:pPr>
            <w:r>
              <w:rPr>
                <w:rFonts w:ascii="Arial" w:eastAsia="Times New Roman" w:hAnsi="Arial" w:cs="Arial"/>
                <w:b/>
                <w:lang w:eastAsia="en-AU"/>
              </w:rPr>
              <w:t>Australian Government</w:t>
            </w:r>
          </w:p>
          <w:p w14:paraId="33B94F17" w14:textId="67E52685" w:rsidR="00857BC5" w:rsidRPr="00EA00BE" w:rsidRDefault="00857BC5" w:rsidP="008A058E">
            <w:pPr>
              <w:shd w:val="clear" w:color="auto" w:fill="FFFFFF"/>
              <w:textAlignment w:val="center"/>
              <w:rPr>
                <w:rFonts w:ascii="Arial" w:eastAsia="Times New Roman" w:hAnsi="Arial" w:cs="Arial"/>
                <w:b/>
                <w:lang w:eastAsia="en-AU"/>
              </w:rPr>
            </w:pPr>
            <w:r>
              <w:rPr>
                <w:rFonts w:ascii="Arial" w:eastAsia="Times New Roman" w:hAnsi="Arial" w:cs="Arial"/>
                <w:b/>
                <w:lang w:eastAsia="en-AU"/>
              </w:rPr>
              <w:t>Productivity Commission</w:t>
            </w:r>
          </w:p>
        </w:tc>
        <w:tc>
          <w:tcPr>
            <w:tcW w:w="3832" w:type="dxa"/>
            <w:vMerge/>
          </w:tcPr>
          <w:p w14:paraId="671C0676" w14:textId="77777777" w:rsidR="00C0095C" w:rsidRPr="00EA00BE" w:rsidRDefault="00C0095C" w:rsidP="0085240F">
            <w:pPr>
              <w:shd w:val="clear" w:color="auto" w:fill="FFFFFF"/>
              <w:spacing w:line="240" w:lineRule="atLeast"/>
              <w:textAlignment w:val="center"/>
              <w:rPr>
                <w:rFonts w:ascii="Arial" w:eastAsia="Times New Roman" w:hAnsi="Arial" w:cs="Arial"/>
                <w:b/>
                <w:sz w:val="20"/>
                <w:szCs w:val="24"/>
                <w:lang w:eastAsia="en-AU"/>
              </w:rPr>
            </w:pPr>
          </w:p>
        </w:tc>
        <w:tc>
          <w:tcPr>
            <w:tcW w:w="3832" w:type="dxa"/>
          </w:tcPr>
          <w:p w14:paraId="3930C64B" w14:textId="77777777" w:rsidR="00C0095C" w:rsidRPr="00EA00BE" w:rsidRDefault="00C0095C">
            <w:pPr>
              <w:rPr>
                <w:b/>
                <w:sz w:val="20"/>
              </w:rPr>
            </w:pPr>
          </w:p>
        </w:tc>
      </w:tr>
    </w:tbl>
    <w:p w14:paraId="2738AB3F" w14:textId="77777777" w:rsidR="00714517" w:rsidRDefault="00714517" w:rsidP="00DA397C">
      <w:pPr>
        <w:shd w:val="clear" w:color="auto" w:fill="FFFFFF"/>
        <w:spacing w:after="0" w:line="240" w:lineRule="atLeast"/>
        <w:textAlignment w:val="center"/>
        <w:rPr>
          <w:sz w:val="24"/>
          <w:szCs w:val="24"/>
        </w:rPr>
      </w:pPr>
    </w:p>
    <w:p w14:paraId="440E5F50" w14:textId="2C2002AF" w:rsidR="00DA397C" w:rsidRDefault="00857BC5" w:rsidP="00DA397C">
      <w:pPr>
        <w:shd w:val="clear" w:color="auto" w:fill="FFFFFF"/>
        <w:spacing w:after="0" w:line="240" w:lineRule="atLeast"/>
        <w:textAlignment w:val="center"/>
        <w:rPr>
          <w:rFonts w:ascii="Arial" w:hAnsi="Arial" w:cs="Arial"/>
        </w:rPr>
      </w:pPr>
      <w:r>
        <w:rPr>
          <w:rFonts w:ascii="Arial" w:hAnsi="Arial" w:cs="Arial"/>
        </w:rPr>
        <w:t>To whom it may concern</w:t>
      </w:r>
    </w:p>
    <w:p w14:paraId="47A2D72D" w14:textId="4D25A3AD" w:rsidR="00920268" w:rsidRDefault="00920268" w:rsidP="00DA397C">
      <w:pPr>
        <w:shd w:val="clear" w:color="auto" w:fill="FFFFFF"/>
        <w:spacing w:after="0" w:line="240" w:lineRule="atLeast"/>
        <w:textAlignment w:val="center"/>
        <w:rPr>
          <w:rFonts w:ascii="Arial" w:hAnsi="Arial" w:cs="Arial"/>
        </w:rPr>
      </w:pPr>
    </w:p>
    <w:p w14:paraId="380504E1" w14:textId="0CD8639B" w:rsidR="00920268" w:rsidRPr="00857BC5" w:rsidRDefault="00920268" w:rsidP="00DA397C">
      <w:pPr>
        <w:shd w:val="clear" w:color="auto" w:fill="FFFFFF"/>
        <w:spacing w:after="0" w:line="240" w:lineRule="atLeast"/>
        <w:textAlignment w:val="center"/>
        <w:rPr>
          <w:rFonts w:ascii="Arial" w:hAnsi="Arial" w:cs="Arial"/>
          <w:b/>
        </w:rPr>
      </w:pPr>
      <w:r w:rsidRPr="00920268">
        <w:rPr>
          <w:rFonts w:ascii="Arial" w:hAnsi="Arial" w:cs="Arial"/>
          <w:b/>
        </w:rPr>
        <w:t xml:space="preserve">Re: </w:t>
      </w:r>
      <w:r w:rsidR="00857BC5">
        <w:rPr>
          <w:rFonts w:ascii="Arial" w:hAnsi="Arial" w:cs="Arial"/>
          <w:b/>
        </w:rPr>
        <w:t xml:space="preserve">Productivity </w:t>
      </w:r>
      <w:r w:rsidR="00857BC5" w:rsidRPr="00857BC5">
        <w:rPr>
          <w:rFonts w:ascii="Arial" w:hAnsi="Arial" w:cs="Arial"/>
          <w:b/>
        </w:rPr>
        <w:t xml:space="preserve">Commission </w:t>
      </w:r>
      <w:r w:rsidR="00857BC5">
        <w:rPr>
          <w:rFonts w:ascii="Arial" w:hAnsi="Arial" w:cs="Arial"/>
          <w:b/>
        </w:rPr>
        <w:t>R</w:t>
      </w:r>
      <w:r w:rsidR="00857BC5" w:rsidRPr="00857BC5">
        <w:rPr>
          <w:rFonts w:ascii="Arial" w:hAnsi="Arial" w:cs="Arial"/>
          <w:b/>
        </w:rPr>
        <w:t>eport</w:t>
      </w:r>
      <w:r w:rsidR="00857BC5">
        <w:rPr>
          <w:rFonts w:ascii="Arial" w:hAnsi="Arial" w:cs="Arial"/>
          <w:b/>
        </w:rPr>
        <w:t xml:space="preserve">: </w:t>
      </w:r>
      <w:r w:rsidR="00857BC5" w:rsidRPr="009716C0">
        <w:rPr>
          <w:rFonts w:ascii="Arial" w:hAnsi="Arial" w:cs="Arial"/>
          <w:b/>
        </w:rPr>
        <w:t>Superannuation</w:t>
      </w:r>
      <w:r w:rsidR="00857BC5" w:rsidRPr="00857BC5">
        <w:rPr>
          <w:rFonts w:ascii="Arial" w:hAnsi="Arial" w:cs="Arial"/>
          <w:b/>
        </w:rPr>
        <w:t>: Assessing Efficiency and Competitiveness.</w:t>
      </w:r>
    </w:p>
    <w:p w14:paraId="766B4837" w14:textId="77777777" w:rsidR="00A16B8B" w:rsidRDefault="00A16B8B" w:rsidP="00DA397C">
      <w:pPr>
        <w:shd w:val="clear" w:color="auto" w:fill="FFFFFF"/>
        <w:spacing w:after="0" w:line="240" w:lineRule="atLeast"/>
        <w:textAlignment w:val="center"/>
        <w:rPr>
          <w:rFonts w:ascii="Arial" w:hAnsi="Arial" w:cs="Arial"/>
        </w:rPr>
      </w:pPr>
    </w:p>
    <w:p w14:paraId="20E913DF" w14:textId="3AB60B5C" w:rsidR="00BB3396" w:rsidRDefault="00DA397C" w:rsidP="00857BC5">
      <w:pPr>
        <w:shd w:val="clear" w:color="auto" w:fill="FFFFFF"/>
        <w:spacing w:after="0" w:line="240" w:lineRule="atLeast"/>
        <w:textAlignment w:val="center"/>
        <w:rPr>
          <w:rFonts w:ascii="Arial" w:hAnsi="Arial" w:cs="Arial"/>
        </w:rPr>
      </w:pPr>
      <w:r w:rsidRPr="00953AB9">
        <w:rPr>
          <w:rFonts w:ascii="Arial" w:hAnsi="Arial" w:cs="Arial"/>
        </w:rPr>
        <w:t xml:space="preserve">Thank you for </w:t>
      </w:r>
      <w:r w:rsidR="00857BC5">
        <w:rPr>
          <w:rFonts w:ascii="Arial" w:hAnsi="Arial" w:cs="Arial"/>
        </w:rPr>
        <w:t>the opportunity to make this submission.</w:t>
      </w:r>
    </w:p>
    <w:p w14:paraId="74DE8F3A" w14:textId="192996DD" w:rsidR="00857BC5" w:rsidRDefault="00857BC5" w:rsidP="00857BC5">
      <w:pPr>
        <w:shd w:val="clear" w:color="auto" w:fill="FFFFFF"/>
        <w:spacing w:after="0" w:line="240" w:lineRule="atLeast"/>
        <w:textAlignment w:val="center"/>
        <w:rPr>
          <w:rFonts w:ascii="Arial" w:hAnsi="Arial" w:cs="Arial"/>
        </w:rPr>
      </w:pPr>
    </w:p>
    <w:p w14:paraId="1B48E521" w14:textId="60FD5BE3" w:rsidR="00857BC5" w:rsidRDefault="00857BC5" w:rsidP="00857BC5">
      <w:pPr>
        <w:shd w:val="clear" w:color="auto" w:fill="FFFFFF"/>
        <w:spacing w:after="0" w:line="240" w:lineRule="atLeast"/>
        <w:textAlignment w:val="center"/>
        <w:rPr>
          <w:rFonts w:ascii="Arial" w:hAnsi="Arial" w:cs="Arial"/>
        </w:rPr>
      </w:pPr>
      <w:r>
        <w:rPr>
          <w:rFonts w:ascii="Arial" w:hAnsi="Arial" w:cs="Arial"/>
        </w:rPr>
        <w:t xml:space="preserve">I have been employed within financial services for </w:t>
      </w:r>
      <w:r w:rsidR="00EC228B">
        <w:rPr>
          <w:rFonts w:ascii="Arial" w:hAnsi="Arial" w:cs="Arial"/>
        </w:rPr>
        <w:t>many</w:t>
      </w:r>
      <w:r>
        <w:rPr>
          <w:rFonts w:ascii="Arial" w:hAnsi="Arial" w:cs="Arial"/>
        </w:rPr>
        <w:t xml:space="preserve"> years before retiring </w:t>
      </w:r>
      <w:r w:rsidR="00851D70">
        <w:rPr>
          <w:rFonts w:ascii="Arial" w:hAnsi="Arial" w:cs="Arial"/>
        </w:rPr>
        <w:t xml:space="preserve">recently </w:t>
      </w:r>
      <w:r>
        <w:rPr>
          <w:rFonts w:ascii="Arial" w:hAnsi="Arial" w:cs="Arial"/>
        </w:rPr>
        <w:t>from full time work. I have held numerous senior positions wit</w:t>
      </w:r>
      <w:r w:rsidR="00254349">
        <w:rPr>
          <w:rFonts w:ascii="Arial" w:hAnsi="Arial" w:cs="Arial"/>
        </w:rPr>
        <w:t>hin</w:t>
      </w:r>
      <w:r>
        <w:rPr>
          <w:rFonts w:ascii="Arial" w:hAnsi="Arial" w:cs="Arial"/>
        </w:rPr>
        <w:t xml:space="preserve"> major industry players and my most recent experience has been within a major Australian Superannuation fund where my responsibilities included presenting regularly to the Board of Trustees</w:t>
      </w:r>
      <w:r w:rsidR="009716C0">
        <w:rPr>
          <w:rFonts w:ascii="Arial" w:hAnsi="Arial" w:cs="Arial"/>
        </w:rPr>
        <w:t>’ Investment Committee</w:t>
      </w:r>
      <w:r>
        <w:rPr>
          <w:rFonts w:ascii="Arial" w:hAnsi="Arial" w:cs="Arial"/>
        </w:rPr>
        <w:t xml:space="preserve"> on investment performance and risk within the fund.</w:t>
      </w:r>
    </w:p>
    <w:p w14:paraId="29DC07AD" w14:textId="77777777" w:rsidR="00857BC5" w:rsidRDefault="00857BC5" w:rsidP="00857BC5">
      <w:pPr>
        <w:shd w:val="clear" w:color="auto" w:fill="FFFFFF"/>
        <w:spacing w:after="0" w:line="240" w:lineRule="atLeast"/>
        <w:textAlignment w:val="center"/>
        <w:rPr>
          <w:rFonts w:ascii="Arial" w:hAnsi="Arial" w:cs="Arial"/>
        </w:rPr>
      </w:pPr>
    </w:p>
    <w:p w14:paraId="6B8D5A40" w14:textId="39F72991" w:rsidR="00857BC5" w:rsidRDefault="00857BC5" w:rsidP="00857BC5">
      <w:pPr>
        <w:shd w:val="clear" w:color="auto" w:fill="FFFFFF"/>
        <w:spacing w:after="0" w:line="240" w:lineRule="atLeast"/>
        <w:textAlignment w:val="center"/>
        <w:rPr>
          <w:rFonts w:ascii="Arial" w:hAnsi="Arial" w:cs="Arial"/>
        </w:rPr>
      </w:pPr>
      <w:r>
        <w:rPr>
          <w:rFonts w:ascii="Arial" w:hAnsi="Arial" w:cs="Arial"/>
        </w:rPr>
        <w:t xml:space="preserve">I continue to </w:t>
      </w:r>
      <w:r w:rsidR="00254349">
        <w:rPr>
          <w:rFonts w:ascii="Arial" w:hAnsi="Arial" w:cs="Arial"/>
        </w:rPr>
        <w:t xml:space="preserve">provide consulting services, </w:t>
      </w:r>
      <w:r>
        <w:rPr>
          <w:rFonts w:ascii="Arial" w:hAnsi="Arial" w:cs="Arial"/>
        </w:rPr>
        <w:t xml:space="preserve">write papers and present at industry conferences </w:t>
      </w:r>
      <w:r w:rsidR="00254349">
        <w:rPr>
          <w:rFonts w:ascii="Arial" w:hAnsi="Arial" w:cs="Arial"/>
        </w:rPr>
        <w:t xml:space="preserve">during part time retirement. My presentations and published papers relate primarily to the Australian superannuation industry and </w:t>
      </w:r>
      <w:r w:rsidR="006735F7">
        <w:rPr>
          <w:rFonts w:ascii="Arial" w:hAnsi="Arial" w:cs="Arial"/>
        </w:rPr>
        <w:t xml:space="preserve">in particular </w:t>
      </w:r>
      <w:r w:rsidR="00254349">
        <w:rPr>
          <w:rFonts w:ascii="Arial" w:hAnsi="Arial" w:cs="Arial"/>
        </w:rPr>
        <w:t>to investment performance analytics</w:t>
      </w:r>
      <w:r w:rsidR="006735F7">
        <w:rPr>
          <w:rFonts w:ascii="Arial" w:hAnsi="Arial" w:cs="Arial"/>
        </w:rPr>
        <w:t>.</w:t>
      </w:r>
    </w:p>
    <w:p w14:paraId="5A026189" w14:textId="2864B803" w:rsidR="006735F7" w:rsidRDefault="006735F7" w:rsidP="00857BC5">
      <w:pPr>
        <w:shd w:val="clear" w:color="auto" w:fill="FFFFFF"/>
        <w:spacing w:after="0" w:line="240" w:lineRule="atLeast"/>
        <w:textAlignment w:val="center"/>
        <w:rPr>
          <w:rFonts w:ascii="Arial" w:hAnsi="Arial" w:cs="Arial"/>
        </w:rPr>
      </w:pPr>
    </w:p>
    <w:p w14:paraId="3AF40C81" w14:textId="63BB2076" w:rsidR="006735F7" w:rsidRDefault="006735F7" w:rsidP="00857BC5">
      <w:pPr>
        <w:shd w:val="clear" w:color="auto" w:fill="FFFFFF"/>
        <w:spacing w:after="0" w:line="240" w:lineRule="atLeast"/>
        <w:textAlignment w:val="center"/>
        <w:rPr>
          <w:rFonts w:ascii="Arial" w:hAnsi="Arial" w:cs="Arial"/>
        </w:rPr>
      </w:pPr>
      <w:r>
        <w:rPr>
          <w:rFonts w:ascii="Arial" w:hAnsi="Arial" w:cs="Arial"/>
        </w:rPr>
        <w:t xml:space="preserve">My research and presentations now include content that </w:t>
      </w:r>
      <w:r w:rsidR="00173942">
        <w:rPr>
          <w:rFonts w:ascii="Arial" w:hAnsi="Arial" w:cs="Arial"/>
        </w:rPr>
        <w:t>is</w:t>
      </w:r>
      <w:r>
        <w:rPr>
          <w:rFonts w:ascii="Arial" w:hAnsi="Arial" w:cs="Arial"/>
        </w:rPr>
        <w:t xml:space="preserve"> unlikely to have been permitted </w:t>
      </w:r>
      <w:r w:rsidR="00173942">
        <w:rPr>
          <w:rFonts w:ascii="Arial" w:hAnsi="Arial" w:cs="Arial"/>
        </w:rPr>
        <w:t xml:space="preserve">during my time </w:t>
      </w:r>
      <w:r>
        <w:rPr>
          <w:rFonts w:ascii="Arial" w:hAnsi="Arial" w:cs="Arial"/>
        </w:rPr>
        <w:t>as an employee of a superannuation fund or investment man</w:t>
      </w:r>
      <w:r w:rsidR="002E7C4A">
        <w:rPr>
          <w:rFonts w:ascii="Arial" w:hAnsi="Arial" w:cs="Arial"/>
        </w:rPr>
        <w:t>a</w:t>
      </w:r>
      <w:r>
        <w:rPr>
          <w:rFonts w:ascii="Arial" w:hAnsi="Arial" w:cs="Arial"/>
        </w:rPr>
        <w:t xml:space="preserve">ger due to its controversial </w:t>
      </w:r>
      <w:r w:rsidR="00BD452D">
        <w:rPr>
          <w:rFonts w:ascii="Arial" w:hAnsi="Arial" w:cs="Arial"/>
        </w:rPr>
        <w:t>findings</w:t>
      </w:r>
      <w:r>
        <w:rPr>
          <w:rFonts w:ascii="Arial" w:hAnsi="Arial" w:cs="Arial"/>
        </w:rPr>
        <w:t xml:space="preserve">. It gives me pleasure (and to some extent relief) to be able to </w:t>
      </w:r>
      <w:r w:rsidR="00173942">
        <w:rPr>
          <w:rFonts w:ascii="Arial" w:hAnsi="Arial" w:cs="Arial"/>
        </w:rPr>
        <w:t>share my views</w:t>
      </w:r>
      <w:r>
        <w:rPr>
          <w:rFonts w:ascii="Arial" w:hAnsi="Arial" w:cs="Arial"/>
        </w:rPr>
        <w:t xml:space="preserve"> openly over recent times and I am happy to share my observations with you.</w:t>
      </w:r>
    </w:p>
    <w:p w14:paraId="5F440E74" w14:textId="50EB5F2B" w:rsidR="006735F7" w:rsidRDefault="006735F7" w:rsidP="00857BC5">
      <w:pPr>
        <w:shd w:val="clear" w:color="auto" w:fill="FFFFFF"/>
        <w:spacing w:after="0" w:line="240" w:lineRule="atLeast"/>
        <w:textAlignment w:val="center"/>
        <w:rPr>
          <w:rFonts w:ascii="Arial" w:hAnsi="Arial" w:cs="Arial"/>
        </w:rPr>
      </w:pPr>
    </w:p>
    <w:p w14:paraId="70AEC517" w14:textId="6E36963B" w:rsidR="006735F7" w:rsidRDefault="006735F7" w:rsidP="00857BC5">
      <w:pPr>
        <w:shd w:val="clear" w:color="auto" w:fill="FFFFFF"/>
        <w:spacing w:after="0" w:line="240" w:lineRule="atLeast"/>
        <w:textAlignment w:val="center"/>
        <w:rPr>
          <w:rFonts w:ascii="Arial" w:hAnsi="Arial" w:cs="Arial"/>
        </w:rPr>
      </w:pPr>
      <w:r>
        <w:rPr>
          <w:rFonts w:ascii="Arial" w:hAnsi="Arial" w:cs="Arial"/>
        </w:rPr>
        <w:t>I wish to highlight four key areas where</w:t>
      </w:r>
      <w:r w:rsidR="00CA7E2F">
        <w:rPr>
          <w:rFonts w:ascii="Arial" w:hAnsi="Arial" w:cs="Arial"/>
        </w:rPr>
        <w:t xml:space="preserve"> my experience indicates that</w:t>
      </w:r>
      <w:r>
        <w:rPr>
          <w:rFonts w:ascii="Arial" w:hAnsi="Arial" w:cs="Arial"/>
        </w:rPr>
        <w:t xml:space="preserve"> superannuation funds may not be acting in the best interests of their mem</w:t>
      </w:r>
      <w:bookmarkStart w:id="0" w:name="_GoBack"/>
      <w:bookmarkEnd w:id="0"/>
      <w:r>
        <w:rPr>
          <w:rFonts w:ascii="Arial" w:hAnsi="Arial" w:cs="Arial"/>
        </w:rPr>
        <w:t>bers</w:t>
      </w:r>
      <w:r w:rsidR="00173942">
        <w:rPr>
          <w:rFonts w:ascii="Arial" w:hAnsi="Arial" w:cs="Arial"/>
        </w:rPr>
        <w:t xml:space="preserve"> i.e.</w:t>
      </w:r>
    </w:p>
    <w:p w14:paraId="3F2E3591" w14:textId="6AC9D750" w:rsidR="00173942" w:rsidRDefault="00173942" w:rsidP="00857BC5">
      <w:pPr>
        <w:shd w:val="clear" w:color="auto" w:fill="FFFFFF"/>
        <w:spacing w:after="0" w:line="240" w:lineRule="atLeast"/>
        <w:textAlignment w:val="center"/>
        <w:rPr>
          <w:rFonts w:ascii="Arial" w:hAnsi="Arial" w:cs="Arial"/>
        </w:rPr>
      </w:pPr>
    </w:p>
    <w:p w14:paraId="4611100C" w14:textId="77777777" w:rsidR="00173942" w:rsidRDefault="00173942" w:rsidP="00173942">
      <w:pPr>
        <w:pStyle w:val="ListParagraph"/>
        <w:numPr>
          <w:ilvl w:val="0"/>
          <w:numId w:val="18"/>
        </w:numPr>
        <w:shd w:val="clear" w:color="auto" w:fill="FFFFFF"/>
        <w:spacing w:after="0" w:line="240" w:lineRule="atLeast"/>
        <w:textAlignment w:val="center"/>
        <w:rPr>
          <w:rFonts w:ascii="Arial" w:hAnsi="Arial" w:cs="Arial"/>
        </w:rPr>
      </w:pPr>
      <w:r>
        <w:rPr>
          <w:rFonts w:ascii="Arial" w:hAnsi="Arial" w:cs="Arial"/>
        </w:rPr>
        <w:t>Misleading members in relation to the relative risk of member investment options</w:t>
      </w:r>
    </w:p>
    <w:p w14:paraId="17A169EA" w14:textId="77777777" w:rsidR="00173942" w:rsidRDefault="00173942" w:rsidP="00173942">
      <w:pPr>
        <w:pStyle w:val="ListParagraph"/>
        <w:numPr>
          <w:ilvl w:val="0"/>
          <w:numId w:val="18"/>
        </w:numPr>
        <w:shd w:val="clear" w:color="auto" w:fill="FFFFFF"/>
        <w:spacing w:after="0" w:line="240" w:lineRule="atLeast"/>
        <w:textAlignment w:val="center"/>
        <w:rPr>
          <w:rFonts w:ascii="Arial" w:hAnsi="Arial" w:cs="Arial"/>
        </w:rPr>
      </w:pPr>
      <w:r>
        <w:rPr>
          <w:rFonts w:ascii="Arial" w:hAnsi="Arial" w:cs="Arial"/>
        </w:rPr>
        <w:t>Inappropriate long-term investment measurement methodologies</w:t>
      </w:r>
    </w:p>
    <w:p w14:paraId="5C55F785" w14:textId="19D97870" w:rsidR="00173942" w:rsidRDefault="00173942" w:rsidP="00173942">
      <w:pPr>
        <w:pStyle w:val="ListParagraph"/>
        <w:numPr>
          <w:ilvl w:val="0"/>
          <w:numId w:val="18"/>
        </w:numPr>
        <w:shd w:val="clear" w:color="auto" w:fill="FFFFFF"/>
        <w:spacing w:after="0" w:line="240" w:lineRule="atLeast"/>
        <w:textAlignment w:val="center"/>
        <w:rPr>
          <w:rFonts w:ascii="Arial" w:hAnsi="Arial" w:cs="Arial"/>
        </w:rPr>
      </w:pPr>
      <w:r>
        <w:rPr>
          <w:rFonts w:ascii="Arial" w:hAnsi="Arial" w:cs="Arial"/>
        </w:rPr>
        <w:t>Pursuit of active investment management strategies</w:t>
      </w:r>
    </w:p>
    <w:p w14:paraId="33279DF0" w14:textId="10451B99" w:rsidR="00173942" w:rsidRDefault="00173942" w:rsidP="00173942">
      <w:pPr>
        <w:pStyle w:val="ListParagraph"/>
        <w:numPr>
          <w:ilvl w:val="0"/>
          <w:numId w:val="18"/>
        </w:numPr>
        <w:shd w:val="clear" w:color="auto" w:fill="FFFFFF"/>
        <w:spacing w:after="0" w:line="240" w:lineRule="atLeast"/>
        <w:textAlignment w:val="center"/>
        <w:rPr>
          <w:rFonts w:ascii="Arial" w:hAnsi="Arial" w:cs="Arial"/>
        </w:rPr>
      </w:pPr>
      <w:r>
        <w:rPr>
          <w:rFonts w:ascii="Arial" w:hAnsi="Arial" w:cs="Arial"/>
        </w:rPr>
        <w:t>Management of the fund’s single biggest expense i.e. tax</w:t>
      </w:r>
    </w:p>
    <w:p w14:paraId="464067E4" w14:textId="271F58E0" w:rsidR="00173942" w:rsidRDefault="00173942" w:rsidP="00173942">
      <w:pPr>
        <w:shd w:val="clear" w:color="auto" w:fill="FFFFFF"/>
        <w:spacing w:after="0" w:line="240" w:lineRule="atLeast"/>
        <w:textAlignment w:val="center"/>
        <w:rPr>
          <w:rFonts w:ascii="Arial" w:hAnsi="Arial" w:cs="Arial"/>
        </w:rPr>
      </w:pPr>
    </w:p>
    <w:p w14:paraId="78A15F04" w14:textId="29C05A72" w:rsidR="00173942" w:rsidRDefault="00173942" w:rsidP="00173942">
      <w:pPr>
        <w:shd w:val="clear" w:color="auto" w:fill="FFFFFF"/>
        <w:spacing w:after="0" w:line="240" w:lineRule="atLeast"/>
        <w:textAlignment w:val="center"/>
        <w:rPr>
          <w:rFonts w:ascii="Arial" w:hAnsi="Arial" w:cs="Arial"/>
        </w:rPr>
      </w:pPr>
      <w:r>
        <w:rPr>
          <w:rFonts w:ascii="Arial" w:hAnsi="Arial" w:cs="Arial"/>
        </w:rPr>
        <w:t>The end product of this continues to materially reduce the financial wellbeing of superannuation fund members in retirement. I provide more detail as follows.</w:t>
      </w:r>
    </w:p>
    <w:p w14:paraId="251DF69C" w14:textId="098A8C27" w:rsidR="00173942" w:rsidRDefault="00173942" w:rsidP="00173942">
      <w:pPr>
        <w:shd w:val="clear" w:color="auto" w:fill="FFFFFF"/>
        <w:spacing w:after="0" w:line="240" w:lineRule="atLeast"/>
        <w:textAlignment w:val="center"/>
        <w:rPr>
          <w:rFonts w:ascii="Arial" w:hAnsi="Arial" w:cs="Arial"/>
        </w:rPr>
      </w:pPr>
    </w:p>
    <w:p w14:paraId="21CF2BDA" w14:textId="6AAB7D91" w:rsidR="00173942" w:rsidRPr="00173942" w:rsidRDefault="00173942" w:rsidP="00173942">
      <w:pPr>
        <w:shd w:val="clear" w:color="auto" w:fill="FFFFFF"/>
        <w:spacing w:after="0" w:line="240" w:lineRule="atLeast"/>
        <w:textAlignment w:val="center"/>
        <w:rPr>
          <w:rFonts w:ascii="Arial" w:hAnsi="Arial" w:cs="Arial"/>
          <w:b/>
        </w:rPr>
      </w:pPr>
      <w:r w:rsidRPr="00173942">
        <w:rPr>
          <w:rFonts w:ascii="Arial" w:hAnsi="Arial" w:cs="Arial"/>
          <w:b/>
        </w:rPr>
        <w:t>Misleading members in relation to the relative risk of member investment options</w:t>
      </w:r>
    </w:p>
    <w:p w14:paraId="4FFD09BA" w14:textId="396B0D8C" w:rsidR="00173942" w:rsidRDefault="00173942" w:rsidP="00173942">
      <w:pPr>
        <w:shd w:val="clear" w:color="auto" w:fill="FFFFFF"/>
        <w:spacing w:after="0" w:line="240" w:lineRule="atLeast"/>
        <w:textAlignment w:val="center"/>
        <w:rPr>
          <w:rFonts w:ascii="Arial" w:hAnsi="Arial" w:cs="Arial"/>
        </w:rPr>
      </w:pPr>
    </w:p>
    <w:p w14:paraId="5AF379B1" w14:textId="52DE92A8" w:rsidR="00173942" w:rsidRDefault="00173942" w:rsidP="00173942">
      <w:pPr>
        <w:shd w:val="clear" w:color="auto" w:fill="FFFFFF"/>
        <w:spacing w:after="0" w:line="240" w:lineRule="atLeast"/>
        <w:textAlignment w:val="center"/>
        <w:rPr>
          <w:rFonts w:ascii="Arial" w:hAnsi="Arial" w:cs="Arial"/>
        </w:rPr>
      </w:pPr>
      <w:r>
        <w:rPr>
          <w:rFonts w:ascii="Arial" w:hAnsi="Arial" w:cs="Arial"/>
        </w:rPr>
        <w:t>Superannuation funds consistently use short term market volatility as a proxy for risk. They seem to totally miss the point that risk for a superannuation fund member is “running out of money during retirement” which may have l</w:t>
      </w:r>
      <w:r w:rsidR="00711C5A">
        <w:rPr>
          <w:rFonts w:ascii="Arial" w:hAnsi="Arial" w:cs="Arial"/>
        </w:rPr>
        <w:t>ittle or no correlation with market volatility. Your draft report quite correctly makes the observation that lifecycle options may not be achieving their stated objectives for this very reason.</w:t>
      </w:r>
    </w:p>
    <w:p w14:paraId="3FAD136B" w14:textId="6DCEC849" w:rsidR="00711C5A" w:rsidRDefault="00711C5A" w:rsidP="00173942">
      <w:pPr>
        <w:shd w:val="clear" w:color="auto" w:fill="FFFFFF"/>
        <w:spacing w:after="0" w:line="240" w:lineRule="atLeast"/>
        <w:textAlignment w:val="center"/>
        <w:rPr>
          <w:rFonts w:ascii="Arial" w:hAnsi="Arial" w:cs="Arial"/>
        </w:rPr>
      </w:pPr>
    </w:p>
    <w:p w14:paraId="30E67F3F" w14:textId="4B906B6D" w:rsidR="00711C5A" w:rsidRDefault="00711C5A" w:rsidP="00173942">
      <w:pPr>
        <w:shd w:val="clear" w:color="auto" w:fill="FFFFFF"/>
        <w:spacing w:after="0" w:line="240" w:lineRule="atLeast"/>
        <w:textAlignment w:val="center"/>
        <w:rPr>
          <w:rFonts w:ascii="Arial" w:hAnsi="Arial" w:cs="Arial"/>
        </w:rPr>
      </w:pPr>
      <w:r>
        <w:rPr>
          <w:rFonts w:ascii="Arial" w:hAnsi="Arial" w:cs="Arial"/>
        </w:rPr>
        <w:t xml:space="preserve">I refer you to a paper I published in the February 2018 edition of ASFA’s Superfunds magazine on this subject. A copy </w:t>
      </w:r>
      <w:r w:rsidR="009716C0">
        <w:rPr>
          <w:rFonts w:ascii="Arial" w:hAnsi="Arial" w:cs="Arial"/>
        </w:rPr>
        <w:t>o</w:t>
      </w:r>
      <w:r>
        <w:rPr>
          <w:rFonts w:ascii="Arial" w:hAnsi="Arial" w:cs="Arial"/>
        </w:rPr>
        <w:t xml:space="preserve">f the </w:t>
      </w:r>
      <w:r w:rsidR="0073413E">
        <w:rPr>
          <w:rFonts w:ascii="Arial" w:hAnsi="Arial" w:cs="Arial"/>
        </w:rPr>
        <w:t xml:space="preserve">latest paper version of the </w:t>
      </w:r>
      <w:r>
        <w:rPr>
          <w:rFonts w:ascii="Arial" w:hAnsi="Arial" w:cs="Arial"/>
        </w:rPr>
        <w:t>paper is attached.</w:t>
      </w:r>
    </w:p>
    <w:p w14:paraId="3F7C9CD3" w14:textId="2A991668" w:rsidR="00711C5A" w:rsidRDefault="00711C5A" w:rsidP="00173942">
      <w:pPr>
        <w:shd w:val="clear" w:color="auto" w:fill="FFFFFF"/>
        <w:spacing w:after="0" w:line="240" w:lineRule="atLeast"/>
        <w:textAlignment w:val="center"/>
        <w:rPr>
          <w:rFonts w:ascii="Arial" w:hAnsi="Arial" w:cs="Arial"/>
        </w:rPr>
      </w:pPr>
    </w:p>
    <w:p w14:paraId="4DFD5FC2" w14:textId="5F7C7BF0" w:rsidR="00711C5A" w:rsidRPr="008A379C" w:rsidRDefault="00711C5A" w:rsidP="00173942">
      <w:pPr>
        <w:shd w:val="clear" w:color="auto" w:fill="FFFFFF"/>
        <w:spacing w:after="0" w:line="240" w:lineRule="atLeast"/>
        <w:textAlignment w:val="center"/>
        <w:rPr>
          <w:rFonts w:ascii="Arial" w:hAnsi="Arial" w:cs="Arial"/>
          <w:b/>
        </w:rPr>
      </w:pPr>
      <w:r w:rsidRPr="008A379C">
        <w:rPr>
          <w:rFonts w:ascii="Arial" w:hAnsi="Arial" w:cs="Arial"/>
          <w:b/>
        </w:rPr>
        <w:t>Inappropriate long-term investment measurement methodologies</w:t>
      </w:r>
    </w:p>
    <w:p w14:paraId="45ABA232" w14:textId="647A233E" w:rsidR="00711C5A" w:rsidRPr="008A379C" w:rsidRDefault="00711C5A" w:rsidP="00173942">
      <w:pPr>
        <w:shd w:val="clear" w:color="auto" w:fill="FFFFFF"/>
        <w:spacing w:after="0" w:line="240" w:lineRule="atLeast"/>
        <w:textAlignment w:val="center"/>
        <w:rPr>
          <w:rFonts w:ascii="Arial" w:hAnsi="Arial" w:cs="Arial"/>
          <w:b/>
        </w:rPr>
      </w:pPr>
    </w:p>
    <w:p w14:paraId="3CA6DB83" w14:textId="7624E0F0" w:rsidR="00711C5A" w:rsidRDefault="00711C5A" w:rsidP="00173942">
      <w:pPr>
        <w:shd w:val="clear" w:color="auto" w:fill="FFFFFF"/>
        <w:spacing w:after="0" w:line="240" w:lineRule="atLeast"/>
        <w:textAlignment w:val="center"/>
        <w:rPr>
          <w:rFonts w:ascii="Arial" w:hAnsi="Arial" w:cs="Arial"/>
        </w:rPr>
      </w:pPr>
      <w:r>
        <w:rPr>
          <w:rFonts w:ascii="Arial" w:hAnsi="Arial" w:cs="Arial"/>
        </w:rPr>
        <w:lastRenderedPageBreak/>
        <w:t xml:space="preserve">Superannuation fund investment managers are incentivised to focus on short term investment horizons whilst their focus should be on </w:t>
      </w:r>
      <w:r w:rsidR="008A379C">
        <w:rPr>
          <w:rFonts w:ascii="Arial" w:hAnsi="Arial" w:cs="Arial"/>
        </w:rPr>
        <w:t>l</w:t>
      </w:r>
      <w:r>
        <w:rPr>
          <w:rFonts w:ascii="Arial" w:hAnsi="Arial" w:cs="Arial"/>
        </w:rPr>
        <w:t>ong term horizons (greater than 50 years)</w:t>
      </w:r>
      <w:r w:rsidR="008A379C">
        <w:rPr>
          <w:rFonts w:ascii="Arial" w:hAnsi="Arial" w:cs="Arial"/>
        </w:rPr>
        <w:t xml:space="preserve">. Measurement of </w:t>
      </w:r>
      <w:r w:rsidR="00851D70">
        <w:rPr>
          <w:rFonts w:ascii="Arial" w:hAnsi="Arial" w:cs="Arial"/>
        </w:rPr>
        <w:t xml:space="preserve">absolute </w:t>
      </w:r>
      <w:r w:rsidR="00EA2630">
        <w:rPr>
          <w:rFonts w:ascii="Arial" w:hAnsi="Arial" w:cs="Arial"/>
        </w:rPr>
        <w:t>short-term</w:t>
      </w:r>
      <w:r w:rsidR="008A379C">
        <w:rPr>
          <w:rFonts w:ascii="Arial" w:hAnsi="Arial" w:cs="Arial"/>
        </w:rPr>
        <w:t xml:space="preserve"> investment performance is subject primarily to external factors rather than the managers’ skills and is not appropriately measured within a superannuation fund. I refer you to a paper I published in the Journal of </w:t>
      </w:r>
      <w:r w:rsidR="00EC24EF">
        <w:rPr>
          <w:rFonts w:ascii="Arial" w:hAnsi="Arial" w:cs="Arial"/>
        </w:rPr>
        <w:t>Securities Operations and Custody</w:t>
      </w:r>
      <w:r w:rsidR="008A379C">
        <w:rPr>
          <w:rFonts w:ascii="Arial" w:hAnsi="Arial" w:cs="Arial"/>
        </w:rPr>
        <w:t xml:space="preserve"> in 201</w:t>
      </w:r>
      <w:r w:rsidR="00227A56">
        <w:rPr>
          <w:rFonts w:ascii="Arial" w:hAnsi="Arial" w:cs="Arial"/>
        </w:rPr>
        <w:t>5</w:t>
      </w:r>
      <w:r w:rsidR="008A379C">
        <w:rPr>
          <w:rFonts w:ascii="Arial" w:hAnsi="Arial" w:cs="Arial"/>
        </w:rPr>
        <w:t xml:space="preserve"> a copy of which is attached.</w:t>
      </w:r>
    </w:p>
    <w:p w14:paraId="4EF14BD1" w14:textId="19F65DE1" w:rsidR="008A379C" w:rsidRDefault="008A379C" w:rsidP="00173942">
      <w:pPr>
        <w:shd w:val="clear" w:color="auto" w:fill="FFFFFF"/>
        <w:spacing w:after="0" w:line="240" w:lineRule="atLeast"/>
        <w:textAlignment w:val="center"/>
        <w:rPr>
          <w:rFonts w:ascii="Arial" w:hAnsi="Arial" w:cs="Arial"/>
        </w:rPr>
      </w:pPr>
    </w:p>
    <w:p w14:paraId="1DE5A140" w14:textId="5AC263D1" w:rsidR="008A379C" w:rsidRPr="008A379C" w:rsidRDefault="008A379C" w:rsidP="008A379C">
      <w:pPr>
        <w:shd w:val="clear" w:color="auto" w:fill="FFFFFF"/>
        <w:spacing w:after="0" w:line="240" w:lineRule="atLeast"/>
        <w:textAlignment w:val="center"/>
        <w:rPr>
          <w:rFonts w:ascii="Arial" w:hAnsi="Arial" w:cs="Arial"/>
          <w:b/>
        </w:rPr>
      </w:pPr>
      <w:r w:rsidRPr="008A379C">
        <w:rPr>
          <w:rFonts w:ascii="Arial" w:hAnsi="Arial" w:cs="Arial"/>
          <w:b/>
        </w:rPr>
        <w:t>Pursuit of active investment management strategies</w:t>
      </w:r>
    </w:p>
    <w:p w14:paraId="6E7C302D" w14:textId="2D5113BA" w:rsidR="008A379C" w:rsidRDefault="008A379C" w:rsidP="008A379C">
      <w:pPr>
        <w:shd w:val="clear" w:color="auto" w:fill="FFFFFF"/>
        <w:spacing w:after="0" w:line="240" w:lineRule="atLeast"/>
        <w:textAlignment w:val="center"/>
        <w:rPr>
          <w:rFonts w:ascii="Arial" w:hAnsi="Arial" w:cs="Arial"/>
        </w:rPr>
      </w:pPr>
    </w:p>
    <w:p w14:paraId="1A6E9745" w14:textId="33D10055" w:rsidR="008A379C" w:rsidRDefault="008A379C" w:rsidP="008A379C">
      <w:pPr>
        <w:shd w:val="clear" w:color="auto" w:fill="FFFFFF"/>
        <w:spacing w:after="0" w:line="240" w:lineRule="atLeast"/>
        <w:textAlignment w:val="center"/>
        <w:rPr>
          <w:rFonts w:ascii="Arial" w:hAnsi="Arial" w:cs="Arial"/>
        </w:rPr>
      </w:pPr>
      <w:r>
        <w:rPr>
          <w:rFonts w:ascii="Arial" w:hAnsi="Arial" w:cs="Arial"/>
        </w:rPr>
        <w:t xml:space="preserve">Extensive empirical evidence substantiates the fact that active investment managers </w:t>
      </w:r>
      <w:r w:rsidR="00CF79DC">
        <w:rPr>
          <w:rFonts w:ascii="Arial" w:hAnsi="Arial" w:cs="Arial"/>
        </w:rPr>
        <w:t>cannot</w:t>
      </w:r>
      <w:r>
        <w:rPr>
          <w:rFonts w:ascii="Arial" w:hAnsi="Arial" w:cs="Arial"/>
        </w:rPr>
        <w:t xml:space="preserve"> beat the market. Superannuation funds consistently choose to ignore the facts and incur investment management fees on active management that can be in the region of ten times greater than for equivalent passively managed portfolios. Active management does </w:t>
      </w:r>
      <w:r w:rsidR="009716C0">
        <w:rPr>
          <w:rFonts w:ascii="Arial" w:hAnsi="Arial" w:cs="Arial"/>
        </w:rPr>
        <w:t>o</w:t>
      </w:r>
      <w:r>
        <w:rPr>
          <w:rFonts w:ascii="Arial" w:hAnsi="Arial" w:cs="Arial"/>
        </w:rPr>
        <w:t>f course mean more and more expensive investment managers</w:t>
      </w:r>
      <w:r w:rsidR="007D6495">
        <w:rPr>
          <w:rFonts w:ascii="Arial" w:hAnsi="Arial" w:cs="Arial"/>
        </w:rPr>
        <w:t xml:space="preserve"> and asset consultants</w:t>
      </w:r>
      <w:r>
        <w:rPr>
          <w:rFonts w:ascii="Arial" w:hAnsi="Arial" w:cs="Arial"/>
        </w:rPr>
        <w:t xml:space="preserve"> being employed in pursuit of the holy grail of outperfor</w:t>
      </w:r>
      <w:r w:rsidR="009716C0">
        <w:rPr>
          <w:rFonts w:ascii="Arial" w:hAnsi="Arial" w:cs="Arial"/>
        </w:rPr>
        <w:t xml:space="preserve">mance. Clearly there is a conflict of interest for those responsible for setting </w:t>
      </w:r>
      <w:r w:rsidR="00851D70">
        <w:rPr>
          <w:rFonts w:ascii="Arial" w:hAnsi="Arial" w:cs="Arial"/>
        </w:rPr>
        <w:t xml:space="preserve">active </w:t>
      </w:r>
      <w:r w:rsidR="009716C0">
        <w:rPr>
          <w:rFonts w:ascii="Arial" w:hAnsi="Arial" w:cs="Arial"/>
        </w:rPr>
        <w:t>investment strategies.</w:t>
      </w:r>
    </w:p>
    <w:p w14:paraId="04439512" w14:textId="2FBA8D9C" w:rsidR="009716C0" w:rsidRDefault="009716C0" w:rsidP="008A379C">
      <w:pPr>
        <w:shd w:val="clear" w:color="auto" w:fill="FFFFFF"/>
        <w:spacing w:after="0" w:line="240" w:lineRule="atLeast"/>
        <w:textAlignment w:val="center"/>
        <w:rPr>
          <w:rFonts w:ascii="Arial" w:hAnsi="Arial" w:cs="Arial"/>
        </w:rPr>
      </w:pPr>
    </w:p>
    <w:p w14:paraId="22D76ABF" w14:textId="20CBA42B" w:rsidR="009716C0" w:rsidRPr="009716C0" w:rsidRDefault="009716C0" w:rsidP="008A379C">
      <w:pPr>
        <w:shd w:val="clear" w:color="auto" w:fill="FFFFFF"/>
        <w:spacing w:after="0" w:line="240" w:lineRule="atLeast"/>
        <w:textAlignment w:val="center"/>
        <w:rPr>
          <w:rFonts w:ascii="Arial" w:hAnsi="Arial" w:cs="Arial"/>
          <w:b/>
        </w:rPr>
      </w:pPr>
      <w:r w:rsidRPr="009716C0">
        <w:rPr>
          <w:rFonts w:ascii="Arial" w:hAnsi="Arial" w:cs="Arial"/>
          <w:b/>
        </w:rPr>
        <w:t>Management of the fund’s single biggest expense i.e. tax</w:t>
      </w:r>
    </w:p>
    <w:p w14:paraId="3F65B74D" w14:textId="3C35C8DC" w:rsidR="009716C0" w:rsidRDefault="009716C0" w:rsidP="008A379C">
      <w:pPr>
        <w:shd w:val="clear" w:color="auto" w:fill="FFFFFF"/>
        <w:spacing w:after="0" w:line="240" w:lineRule="atLeast"/>
        <w:textAlignment w:val="center"/>
        <w:rPr>
          <w:rFonts w:ascii="Arial" w:hAnsi="Arial" w:cs="Arial"/>
        </w:rPr>
      </w:pPr>
    </w:p>
    <w:p w14:paraId="7FC98C7F" w14:textId="12EC9E5E" w:rsidR="006735F7" w:rsidRDefault="009716C0" w:rsidP="00857BC5">
      <w:pPr>
        <w:shd w:val="clear" w:color="auto" w:fill="FFFFFF"/>
        <w:spacing w:after="0" w:line="240" w:lineRule="atLeast"/>
        <w:textAlignment w:val="center"/>
        <w:rPr>
          <w:rFonts w:ascii="Arial" w:hAnsi="Arial" w:cs="Arial"/>
        </w:rPr>
      </w:pPr>
      <w:r>
        <w:rPr>
          <w:rFonts w:ascii="Arial" w:hAnsi="Arial" w:cs="Arial"/>
        </w:rPr>
        <w:t xml:space="preserve">Whilst superannuation fund trustees are required by the SIS Act to take tax consequences into account in devising their investment strategies it is abundantly clear that the </w:t>
      </w:r>
      <w:r w:rsidR="00CF79DC">
        <w:rPr>
          <w:rFonts w:ascii="Arial" w:hAnsi="Arial" w:cs="Arial"/>
        </w:rPr>
        <w:t>clear majority</w:t>
      </w:r>
      <w:r>
        <w:rPr>
          <w:rFonts w:ascii="Arial" w:hAnsi="Arial" w:cs="Arial"/>
        </w:rPr>
        <w:t xml:space="preserve"> pay only lip service to this requirement. The use of active investment strategies which incur far greater tax costs than passive strategies is one simple example of where the tax impact is either ignored or inadequately managed. Other examples of poor or non-existent management of tax expense include the impact of asset allocation changes, the use of derivatives and investing in overseas jurisdictions.</w:t>
      </w:r>
    </w:p>
    <w:p w14:paraId="41591890" w14:textId="121019CB" w:rsidR="009716C0" w:rsidRDefault="009716C0" w:rsidP="00857BC5">
      <w:pPr>
        <w:shd w:val="clear" w:color="auto" w:fill="FFFFFF"/>
        <w:spacing w:after="0" w:line="240" w:lineRule="atLeast"/>
        <w:textAlignment w:val="center"/>
        <w:rPr>
          <w:rFonts w:ascii="Arial" w:hAnsi="Arial" w:cs="Arial"/>
        </w:rPr>
      </w:pPr>
    </w:p>
    <w:p w14:paraId="0EBA2D2F" w14:textId="3F41BEA8" w:rsidR="009716C0" w:rsidRDefault="009716C0" w:rsidP="00857BC5">
      <w:pPr>
        <w:shd w:val="clear" w:color="auto" w:fill="FFFFFF"/>
        <w:spacing w:after="0" w:line="240" w:lineRule="atLeast"/>
        <w:textAlignment w:val="center"/>
        <w:rPr>
          <w:rFonts w:ascii="Arial" w:hAnsi="Arial" w:cs="Arial"/>
        </w:rPr>
      </w:pPr>
      <w:r>
        <w:rPr>
          <w:rFonts w:ascii="Arial" w:hAnsi="Arial" w:cs="Arial"/>
        </w:rPr>
        <w:t xml:space="preserve">In conclusion it is evident to me that </w:t>
      </w:r>
      <w:r w:rsidR="00840E7E">
        <w:rPr>
          <w:rFonts w:ascii="Arial" w:hAnsi="Arial" w:cs="Arial"/>
        </w:rPr>
        <w:t>members’ money is consistently being spent in lining the pockets of investment managers</w:t>
      </w:r>
      <w:r w:rsidR="001971D9">
        <w:rPr>
          <w:rFonts w:ascii="Arial" w:hAnsi="Arial" w:cs="Arial"/>
        </w:rPr>
        <w:t xml:space="preserve"> and asset consultants</w:t>
      </w:r>
      <w:r w:rsidR="00840E7E">
        <w:rPr>
          <w:rFonts w:ascii="Arial" w:hAnsi="Arial" w:cs="Arial"/>
        </w:rPr>
        <w:t xml:space="preserve"> at the expense of members’ comfort in retirement. I note that one major superannuation fund offers their default product with an investment expense of 1.45% per annum and a similar “no frills” indexed product at a cost of 0.06% per annum. Given the industry rule of thumb that one percent of additional fees per annum over 40 years can result in 40% less money in retirement this is a remarkable difference in fees for a service with no guarantee of long term success.</w:t>
      </w:r>
    </w:p>
    <w:p w14:paraId="41D73AF3" w14:textId="78FD5D15" w:rsidR="003875F1" w:rsidRDefault="003875F1" w:rsidP="00857BC5">
      <w:pPr>
        <w:shd w:val="clear" w:color="auto" w:fill="FFFFFF"/>
        <w:spacing w:after="0" w:line="240" w:lineRule="atLeast"/>
        <w:textAlignment w:val="center"/>
        <w:rPr>
          <w:rFonts w:ascii="Arial" w:hAnsi="Arial" w:cs="Arial"/>
        </w:rPr>
      </w:pPr>
    </w:p>
    <w:p w14:paraId="2AE8F98C" w14:textId="74089D1B" w:rsidR="003875F1" w:rsidRDefault="003875F1" w:rsidP="00857BC5">
      <w:pPr>
        <w:shd w:val="clear" w:color="auto" w:fill="FFFFFF"/>
        <w:spacing w:after="0" w:line="240" w:lineRule="atLeast"/>
        <w:textAlignment w:val="center"/>
        <w:rPr>
          <w:rFonts w:ascii="Arial" w:hAnsi="Arial" w:cs="Arial"/>
        </w:rPr>
      </w:pPr>
      <w:r>
        <w:rPr>
          <w:rFonts w:ascii="Arial" w:hAnsi="Arial" w:cs="Arial"/>
        </w:rPr>
        <w:t>One is bound to ask why the product that charges fees 24 times greater is the default MySuper product</w:t>
      </w:r>
      <w:r w:rsidR="001971D9">
        <w:rPr>
          <w:rFonts w:ascii="Arial" w:hAnsi="Arial" w:cs="Arial"/>
        </w:rPr>
        <w:t xml:space="preserve"> within the fund</w:t>
      </w:r>
      <w:r>
        <w:rPr>
          <w:rFonts w:ascii="Arial" w:hAnsi="Arial" w:cs="Arial"/>
        </w:rPr>
        <w:t>.</w:t>
      </w:r>
    </w:p>
    <w:p w14:paraId="6429D280" w14:textId="337D67EB" w:rsidR="006735F7" w:rsidRDefault="006735F7" w:rsidP="00857BC5">
      <w:pPr>
        <w:shd w:val="clear" w:color="auto" w:fill="FFFFFF"/>
        <w:spacing w:after="0" w:line="240" w:lineRule="atLeast"/>
        <w:textAlignment w:val="center"/>
        <w:rPr>
          <w:rFonts w:ascii="Arial" w:hAnsi="Arial" w:cs="Arial"/>
        </w:rPr>
      </w:pPr>
    </w:p>
    <w:p w14:paraId="6825A9E0" w14:textId="07F2D803" w:rsidR="00857BC5" w:rsidRDefault="00857BC5" w:rsidP="00857BC5">
      <w:pPr>
        <w:shd w:val="clear" w:color="auto" w:fill="FFFFFF"/>
        <w:spacing w:after="0" w:line="240" w:lineRule="atLeast"/>
        <w:textAlignment w:val="center"/>
        <w:rPr>
          <w:rFonts w:ascii="Arial" w:hAnsi="Arial" w:cs="Arial"/>
        </w:rPr>
      </w:pPr>
    </w:p>
    <w:p w14:paraId="0A559235" w14:textId="77777777" w:rsidR="00857BC5" w:rsidRPr="00953AB9" w:rsidRDefault="00857BC5" w:rsidP="00857BC5">
      <w:pPr>
        <w:shd w:val="clear" w:color="auto" w:fill="FFFFFF"/>
        <w:spacing w:after="0" w:line="240" w:lineRule="atLeast"/>
        <w:textAlignment w:val="center"/>
        <w:rPr>
          <w:rFonts w:ascii="Arial" w:hAnsi="Arial" w:cs="Arial"/>
        </w:rPr>
      </w:pPr>
    </w:p>
    <w:p w14:paraId="28AC1573" w14:textId="77777777" w:rsidR="00BB3396" w:rsidRPr="00953AB9" w:rsidRDefault="00BB3396" w:rsidP="00BB3396">
      <w:pPr>
        <w:pStyle w:val="NormalWeb"/>
        <w:shd w:val="clear" w:color="auto" w:fill="FFFFFF"/>
        <w:spacing w:before="0" w:beforeAutospacing="0" w:after="240" w:afterAutospacing="0"/>
        <w:rPr>
          <w:rFonts w:ascii="Arial" w:eastAsiaTheme="minorHAnsi" w:hAnsi="Arial" w:cs="Arial"/>
          <w:sz w:val="22"/>
          <w:szCs w:val="22"/>
          <w:lang w:eastAsia="en-US"/>
        </w:rPr>
      </w:pPr>
      <w:r w:rsidRPr="00953AB9">
        <w:rPr>
          <w:rFonts w:ascii="Arial" w:eastAsiaTheme="minorHAnsi" w:hAnsi="Arial" w:cs="Arial"/>
          <w:sz w:val="22"/>
          <w:szCs w:val="22"/>
          <w:lang w:eastAsia="en-US"/>
        </w:rPr>
        <w:t>Kind Regards</w:t>
      </w:r>
    </w:p>
    <w:p w14:paraId="6CBFA288" w14:textId="77777777" w:rsidR="00BB3396" w:rsidRPr="00953AB9" w:rsidRDefault="00BB3396" w:rsidP="00BB3396">
      <w:pPr>
        <w:pStyle w:val="NormalWeb"/>
        <w:shd w:val="clear" w:color="auto" w:fill="FFFFFF"/>
        <w:spacing w:before="0" w:beforeAutospacing="0" w:after="240" w:afterAutospacing="0"/>
        <w:rPr>
          <w:rFonts w:ascii="Arial" w:eastAsiaTheme="minorHAnsi" w:hAnsi="Arial" w:cs="Arial"/>
          <w:sz w:val="22"/>
          <w:szCs w:val="22"/>
          <w:lang w:eastAsia="en-US"/>
        </w:rPr>
      </w:pPr>
    </w:p>
    <w:sectPr w:rsidR="00BB3396" w:rsidRPr="00953A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79A43" w14:textId="77777777" w:rsidR="00EA2630" w:rsidRDefault="00EA2630" w:rsidP="005E78BF">
      <w:pPr>
        <w:spacing w:after="0" w:line="240" w:lineRule="auto"/>
      </w:pPr>
      <w:r>
        <w:separator/>
      </w:r>
    </w:p>
  </w:endnote>
  <w:endnote w:type="continuationSeparator" w:id="0">
    <w:p w14:paraId="73F38A1B" w14:textId="77777777" w:rsidR="00EA2630" w:rsidRDefault="00EA2630" w:rsidP="005E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2A2C2" w14:textId="77777777" w:rsidR="00EA2630" w:rsidRDefault="00EA2630" w:rsidP="005E78BF">
      <w:pPr>
        <w:spacing w:after="0" w:line="240" w:lineRule="auto"/>
      </w:pPr>
      <w:r>
        <w:separator/>
      </w:r>
    </w:p>
  </w:footnote>
  <w:footnote w:type="continuationSeparator" w:id="0">
    <w:p w14:paraId="086868CB" w14:textId="77777777" w:rsidR="00EA2630" w:rsidRDefault="00EA2630" w:rsidP="005E7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76184"/>
    <w:multiLevelType w:val="hybridMultilevel"/>
    <w:tmpl w:val="D7A8F2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C717D8"/>
    <w:multiLevelType w:val="hybridMultilevel"/>
    <w:tmpl w:val="C53C34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DF7307"/>
    <w:multiLevelType w:val="hybridMultilevel"/>
    <w:tmpl w:val="70BA02A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1D4FF0"/>
    <w:multiLevelType w:val="hybridMultilevel"/>
    <w:tmpl w:val="EE4216C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CF07C9"/>
    <w:multiLevelType w:val="multilevel"/>
    <w:tmpl w:val="A57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14A89"/>
    <w:multiLevelType w:val="hybridMultilevel"/>
    <w:tmpl w:val="7194BB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F27A54"/>
    <w:multiLevelType w:val="hybridMultilevel"/>
    <w:tmpl w:val="5D284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B83410"/>
    <w:multiLevelType w:val="hybridMultilevel"/>
    <w:tmpl w:val="D7A8F2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E24694"/>
    <w:multiLevelType w:val="hybridMultilevel"/>
    <w:tmpl w:val="B580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3E4806"/>
    <w:multiLevelType w:val="hybridMultilevel"/>
    <w:tmpl w:val="9760A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150A93"/>
    <w:multiLevelType w:val="hybridMultilevel"/>
    <w:tmpl w:val="2492769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6C40BD8"/>
    <w:multiLevelType w:val="hybridMultilevel"/>
    <w:tmpl w:val="2F4E2C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2D31E8"/>
    <w:multiLevelType w:val="multilevel"/>
    <w:tmpl w:val="BD8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04124"/>
    <w:multiLevelType w:val="hybridMultilevel"/>
    <w:tmpl w:val="7FB82A2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4AD2570"/>
    <w:multiLevelType w:val="hybridMultilevel"/>
    <w:tmpl w:val="C1FA50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524CF7"/>
    <w:multiLevelType w:val="hybridMultilevel"/>
    <w:tmpl w:val="B6EE448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5DD2AB0"/>
    <w:multiLevelType w:val="hybridMultilevel"/>
    <w:tmpl w:val="95845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6801B30"/>
    <w:multiLevelType w:val="hybridMultilevel"/>
    <w:tmpl w:val="72CA1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415E6"/>
    <w:multiLevelType w:val="hybridMultilevel"/>
    <w:tmpl w:val="D7A8F2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0A63D2"/>
    <w:multiLevelType w:val="multilevel"/>
    <w:tmpl w:val="5794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F2C36"/>
    <w:multiLevelType w:val="hybridMultilevel"/>
    <w:tmpl w:val="A306B4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4"/>
  </w:num>
  <w:num w:numId="3">
    <w:abstractNumId w:val="19"/>
  </w:num>
  <w:num w:numId="4">
    <w:abstractNumId w:val="2"/>
  </w:num>
  <w:num w:numId="5">
    <w:abstractNumId w:val="20"/>
  </w:num>
  <w:num w:numId="6">
    <w:abstractNumId w:val="10"/>
  </w:num>
  <w:num w:numId="7">
    <w:abstractNumId w:val="17"/>
  </w:num>
  <w:num w:numId="8">
    <w:abstractNumId w:val="13"/>
  </w:num>
  <w:num w:numId="9">
    <w:abstractNumId w:val="16"/>
  </w:num>
  <w:num w:numId="10">
    <w:abstractNumId w:val="1"/>
  </w:num>
  <w:num w:numId="11">
    <w:abstractNumId w:val="15"/>
  </w:num>
  <w:num w:numId="12">
    <w:abstractNumId w:val="6"/>
  </w:num>
  <w:num w:numId="13">
    <w:abstractNumId w:val="3"/>
  </w:num>
  <w:num w:numId="14">
    <w:abstractNumId w:val="14"/>
  </w:num>
  <w:num w:numId="15">
    <w:abstractNumId w:val="11"/>
  </w:num>
  <w:num w:numId="16">
    <w:abstractNumId w:val="8"/>
  </w:num>
  <w:num w:numId="17">
    <w:abstractNumId w:val="9"/>
  </w:num>
  <w:num w:numId="18">
    <w:abstractNumId w:val="18"/>
  </w:num>
  <w:num w:numId="19">
    <w:abstractNumId w:val="5"/>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ailMerge>
    <w:mainDocumentType w:val="formLetters"/>
    <w:dataType w:val="textFile"/>
    <w:activeRecord w:val="-1"/>
  </w:mailMerg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22"/>
    <w:rsid w:val="00007928"/>
    <w:rsid w:val="00044C03"/>
    <w:rsid w:val="001010C2"/>
    <w:rsid w:val="00114FA9"/>
    <w:rsid w:val="00156E3B"/>
    <w:rsid w:val="0016410A"/>
    <w:rsid w:val="001673BF"/>
    <w:rsid w:val="001717F5"/>
    <w:rsid w:val="00173942"/>
    <w:rsid w:val="001971D9"/>
    <w:rsid w:val="001E0098"/>
    <w:rsid w:val="00204128"/>
    <w:rsid w:val="00212D3C"/>
    <w:rsid w:val="00227A56"/>
    <w:rsid w:val="0025161C"/>
    <w:rsid w:val="00254349"/>
    <w:rsid w:val="002716C8"/>
    <w:rsid w:val="002E7C4A"/>
    <w:rsid w:val="0033576A"/>
    <w:rsid w:val="003404F6"/>
    <w:rsid w:val="003875F1"/>
    <w:rsid w:val="003877CA"/>
    <w:rsid w:val="003D4AFA"/>
    <w:rsid w:val="003E6726"/>
    <w:rsid w:val="003F1659"/>
    <w:rsid w:val="0047412D"/>
    <w:rsid w:val="004B7BD2"/>
    <w:rsid w:val="00500F42"/>
    <w:rsid w:val="005316F2"/>
    <w:rsid w:val="00554A77"/>
    <w:rsid w:val="005B6C52"/>
    <w:rsid w:val="005C287A"/>
    <w:rsid w:val="005E78BF"/>
    <w:rsid w:val="0066698F"/>
    <w:rsid w:val="006735F7"/>
    <w:rsid w:val="00680BFE"/>
    <w:rsid w:val="00681320"/>
    <w:rsid w:val="006935A6"/>
    <w:rsid w:val="006A1A72"/>
    <w:rsid w:val="006A4275"/>
    <w:rsid w:val="006A430C"/>
    <w:rsid w:val="006C4EA5"/>
    <w:rsid w:val="006E57F7"/>
    <w:rsid w:val="006F695D"/>
    <w:rsid w:val="007109DF"/>
    <w:rsid w:val="00711C5A"/>
    <w:rsid w:val="00714517"/>
    <w:rsid w:val="007264A7"/>
    <w:rsid w:val="0073413E"/>
    <w:rsid w:val="00762201"/>
    <w:rsid w:val="007751F9"/>
    <w:rsid w:val="00777D30"/>
    <w:rsid w:val="00791197"/>
    <w:rsid w:val="007A5206"/>
    <w:rsid w:val="007A7B98"/>
    <w:rsid w:val="007D6495"/>
    <w:rsid w:val="008161C1"/>
    <w:rsid w:val="00840E7E"/>
    <w:rsid w:val="00851D70"/>
    <w:rsid w:val="0085240F"/>
    <w:rsid w:val="008528E4"/>
    <w:rsid w:val="00857BC5"/>
    <w:rsid w:val="008863FE"/>
    <w:rsid w:val="008A058E"/>
    <w:rsid w:val="008A379C"/>
    <w:rsid w:val="008A4205"/>
    <w:rsid w:val="008D55CD"/>
    <w:rsid w:val="00906C10"/>
    <w:rsid w:val="00920268"/>
    <w:rsid w:val="00946745"/>
    <w:rsid w:val="00953AB9"/>
    <w:rsid w:val="009716C0"/>
    <w:rsid w:val="00980CC6"/>
    <w:rsid w:val="00982F8E"/>
    <w:rsid w:val="00986E7A"/>
    <w:rsid w:val="009B165D"/>
    <w:rsid w:val="00A04CB0"/>
    <w:rsid w:val="00A16B8B"/>
    <w:rsid w:val="00A21D4A"/>
    <w:rsid w:val="00A360EC"/>
    <w:rsid w:val="00A44A25"/>
    <w:rsid w:val="00A52E2D"/>
    <w:rsid w:val="00A7732C"/>
    <w:rsid w:val="00B053AE"/>
    <w:rsid w:val="00B52BB6"/>
    <w:rsid w:val="00B66CD2"/>
    <w:rsid w:val="00B9267A"/>
    <w:rsid w:val="00BB3396"/>
    <w:rsid w:val="00BB4EF1"/>
    <w:rsid w:val="00BD452D"/>
    <w:rsid w:val="00BE18BE"/>
    <w:rsid w:val="00C0095C"/>
    <w:rsid w:val="00C0312B"/>
    <w:rsid w:val="00C053AD"/>
    <w:rsid w:val="00CA7E2F"/>
    <w:rsid w:val="00CB2AAB"/>
    <w:rsid w:val="00CC1990"/>
    <w:rsid w:val="00CE30DA"/>
    <w:rsid w:val="00CF79DC"/>
    <w:rsid w:val="00D651AB"/>
    <w:rsid w:val="00D8096A"/>
    <w:rsid w:val="00D91004"/>
    <w:rsid w:val="00D96BD5"/>
    <w:rsid w:val="00DA397C"/>
    <w:rsid w:val="00DA3AEB"/>
    <w:rsid w:val="00DA7370"/>
    <w:rsid w:val="00DD60DB"/>
    <w:rsid w:val="00DE3B29"/>
    <w:rsid w:val="00E0453D"/>
    <w:rsid w:val="00E051AE"/>
    <w:rsid w:val="00E31875"/>
    <w:rsid w:val="00E34601"/>
    <w:rsid w:val="00E4204B"/>
    <w:rsid w:val="00EA00BE"/>
    <w:rsid w:val="00EA2630"/>
    <w:rsid w:val="00EB186D"/>
    <w:rsid w:val="00EB3151"/>
    <w:rsid w:val="00EC228B"/>
    <w:rsid w:val="00EC24EF"/>
    <w:rsid w:val="00ED2948"/>
    <w:rsid w:val="00ED3A22"/>
    <w:rsid w:val="00EF7EDC"/>
    <w:rsid w:val="00F0059D"/>
    <w:rsid w:val="00F028A8"/>
    <w:rsid w:val="00F17E1A"/>
    <w:rsid w:val="00F22522"/>
    <w:rsid w:val="00F45F70"/>
    <w:rsid w:val="00F853AF"/>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D7FF08"/>
  <w15:docId w15:val="{F332D661-625F-40BB-9919-7D3C6506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FA"/>
  </w:style>
  <w:style w:type="paragraph" w:styleId="Heading1">
    <w:name w:val="heading 1"/>
    <w:basedOn w:val="Normal"/>
    <w:link w:val="Heading1Char"/>
    <w:uiPriority w:val="9"/>
    <w:qFormat/>
    <w:rsid w:val="00791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A22"/>
    <w:rPr>
      <w:rFonts w:ascii="Tahoma" w:hAnsi="Tahoma" w:cs="Tahoma"/>
      <w:sz w:val="16"/>
      <w:szCs w:val="16"/>
    </w:rPr>
  </w:style>
  <w:style w:type="character" w:styleId="HTMLCite">
    <w:name w:val="HTML Cite"/>
    <w:basedOn w:val="DefaultParagraphFont"/>
    <w:uiPriority w:val="99"/>
    <w:semiHidden/>
    <w:unhideWhenUsed/>
    <w:rsid w:val="00C053AD"/>
    <w:rPr>
      <w:i/>
      <w:iCs/>
    </w:rPr>
  </w:style>
  <w:style w:type="character" w:styleId="Hyperlink">
    <w:name w:val="Hyperlink"/>
    <w:basedOn w:val="DefaultParagraphFont"/>
    <w:uiPriority w:val="99"/>
    <w:unhideWhenUsed/>
    <w:rsid w:val="00F853AF"/>
    <w:rPr>
      <w:color w:val="0000FF" w:themeColor="hyperlink"/>
      <w:u w:val="single"/>
    </w:rPr>
  </w:style>
  <w:style w:type="character" w:styleId="FollowedHyperlink">
    <w:name w:val="FollowedHyperlink"/>
    <w:basedOn w:val="DefaultParagraphFont"/>
    <w:uiPriority w:val="99"/>
    <w:semiHidden/>
    <w:unhideWhenUsed/>
    <w:rsid w:val="004B7BD2"/>
    <w:rPr>
      <w:color w:val="800080" w:themeColor="followedHyperlink"/>
      <w:u w:val="single"/>
    </w:rPr>
  </w:style>
  <w:style w:type="character" w:customStyle="1" w:styleId="Heading1Char">
    <w:name w:val="Heading 1 Char"/>
    <w:basedOn w:val="DefaultParagraphFont"/>
    <w:link w:val="Heading1"/>
    <w:uiPriority w:val="9"/>
    <w:rsid w:val="00791197"/>
    <w:rPr>
      <w:rFonts w:ascii="Times New Roman" w:eastAsia="Times New Roman" w:hAnsi="Times New Roman" w:cs="Times New Roman"/>
      <w:b/>
      <w:bCs/>
      <w:kern w:val="36"/>
      <w:sz w:val="48"/>
      <w:szCs w:val="48"/>
      <w:lang w:eastAsia="en-AU"/>
    </w:rPr>
  </w:style>
  <w:style w:type="character" w:customStyle="1" w:styleId="watch-title">
    <w:name w:val="watch-title"/>
    <w:basedOn w:val="DefaultParagraphFont"/>
    <w:rsid w:val="00791197"/>
  </w:style>
  <w:style w:type="paragraph" w:customStyle="1" w:styleId="PolicyBodyText1">
    <w:name w:val="Policy Body Text 1"/>
    <w:basedOn w:val="Normal"/>
    <w:link w:val="PolicyBodyText1Char"/>
    <w:rsid w:val="003D4AFA"/>
    <w:pPr>
      <w:spacing w:after="240" w:line="260" w:lineRule="atLeast"/>
      <w:jc w:val="both"/>
    </w:pPr>
    <w:rPr>
      <w:rFonts w:ascii="Arial" w:eastAsia="Times New Roman" w:hAnsi="Arial" w:cs="Times New Roman"/>
      <w:szCs w:val="24"/>
      <w:lang w:eastAsia="en-AU"/>
    </w:rPr>
  </w:style>
  <w:style w:type="character" w:customStyle="1" w:styleId="PolicyBodyText1Char">
    <w:name w:val="Policy Body Text 1 Char"/>
    <w:link w:val="PolicyBodyText1"/>
    <w:rsid w:val="003D4AFA"/>
    <w:rPr>
      <w:rFonts w:ascii="Arial" w:eastAsia="Times New Roman" w:hAnsi="Arial" w:cs="Times New Roman"/>
      <w:szCs w:val="24"/>
      <w:lang w:eastAsia="en-AU"/>
    </w:rPr>
  </w:style>
  <w:style w:type="paragraph" w:styleId="ListParagraph">
    <w:name w:val="List Paragraph"/>
    <w:basedOn w:val="Normal"/>
    <w:uiPriority w:val="34"/>
    <w:qFormat/>
    <w:rsid w:val="00CB2AAB"/>
    <w:pPr>
      <w:ind w:left="720"/>
      <w:contextualSpacing/>
    </w:pPr>
  </w:style>
  <w:style w:type="paragraph" w:styleId="Header">
    <w:name w:val="header"/>
    <w:basedOn w:val="Normal"/>
    <w:link w:val="HeaderChar"/>
    <w:uiPriority w:val="99"/>
    <w:unhideWhenUsed/>
    <w:rsid w:val="005E7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8BF"/>
  </w:style>
  <w:style w:type="paragraph" w:styleId="Footer">
    <w:name w:val="footer"/>
    <w:basedOn w:val="Normal"/>
    <w:link w:val="FooterChar"/>
    <w:uiPriority w:val="99"/>
    <w:unhideWhenUsed/>
    <w:rsid w:val="005E7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8BF"/>
  </w:style>
  <w:style w:type="table" w:styleId="TableGrid">
    <w:name w:val="Table Grid"/>
    <w:basedOn w:val="TableNormal"/>
    <w:uiPriority w:val="59"/>
    <w:rsid w:val="0071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63F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66221">
      <w:bodyDiv w:val="1"/>
      <w:marLeft w:val="0"/>
      <w:marRight w:val="0"/>
      <w:marTop w:val="0"/>
      <w:marBottom w:val="0"/>
      <w:divBdr>
        <w:top w:val="none" w:sz="0" w:space="0" w:color="auto"/>
        <w:left w:val="none" w:sz="0" w:space="0" w:color="auto"/>
        <w:bottom w:val="none" w:sz="0" w:space="0" w:color="auto"/>
        <w:right w:val="none" w:sz="0" w:space="0" w:color="auto"/>
      </w:divBdr>
    </w:div>
    <w:div w:id="286089730">
      <w:bodyDiv w:val="1"/>
      <w:marLeft w:val="0"/>
      <w:marRight w:val="0"/>
      <w:marTop w:val="0"/>
      <w:marBottom w:val="0"/>
      <w:divBdr>
        <w:top w:val="none" w:sz="0" w:space="0" w:color="auto"/>
        <w:left w:val="none" w:sz="0" w:space="0" w:color="auto"/>
        <w:bottom w:val="none" w:sz="0" w:space="0" w:color="auto"/>
        <w:right w:val="none" w:sz="0" w:space="0" w:color="auto"/>
      </w:divBdr>
    </w:div>
    <w:div w:id="350452487">
      <w:bodyDiv w:val="1"/>
      <w:marLeft w:val="0"/>
      <w:marRight w:val="0"/>
      <w:marTop w:val="0"/>
      <w:marBottom w:val="0"/>
      <w:divBdr>
        <w:top w:val="none" w:sz="0" w:space="0" w:color="auto"/>
        <w:left w:val="none" w:sz="0" w:space="0" w:color="auto"/>
        <w:bottom w:val="none" w:sz="0" w:space="0" w:color="auto"/>
        <w:right w:val="none" w:sz="0" w:space="0" w:color="auto"/>
      </w:divBdr>
      <w:divsChild>
        <w:div w:id="847865680">
          <w:marLeft w:val="45"/>
          <w:marRight w:val="45"/>
          <w:marTop w:val="0"/>
          <w:marBottom w:val="0"/>
          <w:divBdr>
            <w:top w:val="none" w:sz="0" w:space="0" w:color="auto"/>
            <w:left w:val="none" w:sz="0" w:space="0" w:color="auto"/>
            <w:bottom w:val="none" w:sz="0" w:space="0" w:color="auto"/>
            <w:right w:val="none" w:sz="0" w:space="0" w:color="auto"/>
          </w:divBdr>
          <w:divsChild>
            <w:div w:id="3928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3918">
      <w:bodyDiv w:val="1"/>
      <w:marLeft w:val="0"/>
      <w:marRight w:val="0"/>
      <w:marTop w:val="0"/>
      <w:marBottom w:val="0"/>
      <w:divBdr>
        <w:top w:val="none" w:sz="0" w:space="0" w:color="auto"/>
        <w:left w:val="none" w:sz="0" w:space="0" w:color="auto"/>
        <w:bottom w:val="none" w:sz="0" w:space="0" w:color="auto"/>
        <w:right w:val="none" w:sz="0" w:space="0" w:color="auto"/>
      </w:divBdr>
    </w:div>
    <w:div w:id="784229804">
      <w:bodyDiv w:val="1"/>
      <w:marLeft w:val="0"/>
      <w:marRight w:val="0"/>
      <w:marTop w:val="0"/>
      <w:marBottom w:val="0"/>
      <w:divBdr>
        <w:top w:val="none" w:sz="0" w:space="0" w:color="auto"/>
        <w:left w:val="none" w:sz="0" w:space="0" w:color="auto"/>
        <w:bottom w:val="none" w:sz="0" w:space="0" w:color="auto"/>
        <w:right w:val="none" w:sz="0" w:space="0" w:color="auto"/>
      </w:divBdr>
      <w:divsChild>
        <w:div w:id="405693255">
          <w:marLeft w:val="45"/>
          <w:marRight w:val="45"/>
          <w:marTop w:val="0"/>
          <w:marBottom w:val="0"/>
          <w:divBdr>
            <w:top w:val="none" w:sz="0" w:space="0" w:color="auto"/>
            <w:left w:val="none" w:sz="0" w:space="0" w:color="auto"/>
            <w:bottom w:val="none" w:sz="0" w:space="0" w:color="auto"/>
            <w:right w:val="none" w:sz="0" w:space="0" w:color="auto"/>
          </w:divBdr>
          <w:divsChild>
            <w:div w:id="19882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7386">
      <w:bodyDiv w:val="1"/>
      <w:marLeft w:val="0"/>
      <w:marRight w:val="0"/>
      <w:marTop w:val="0"/>
      <w:marBottom w:val="0"/>
      <w:divBdr>
        <w:top w:val="none" w:sz="0" w:space="0" w:color="auto"/>
        <w:left w:val="none" w:sz="0" w:space="0" w:color="auto"/>
        <w:bottom w:val="none" w:sz="0" w:space="0" w:color="auto"/>
        <w:right w:val="none" w:sz="0" w:space="0" w:color="auto"/>
      </w:divBdr>
    </w:div>
    <w:div w:id="1276517271">
      <w:bodyDiv w:val="1"/>
      <w:marLeft w:val="0"/>
      <w:marRight w:val="0"/>
      <w:marTop w:val="0"/>
      <w:marBottom w:val="0"/>
      <w:divBdr>
        <w:top w:val="none" w:sz="0" w:space="0" w:color="auto"/>
        <w:left w:val="none" w:sz="0" w:space="0" w:color="auto"/>
        <w:bottom w:val="none" w:sz="0" w:space="0" w:color="auto"/>
        <w:right w:val="none" w:sz="0" w:space="0" w:color="auto"/>
      </w:divBdr>
    </w:div>
    <w:div w:id="1484661831">
      <w:bodyDiv w:val="1"/>
      <w:marLeft w:val="0"/>
      <w:marRight w:val="0"/>
      <w:marTop w:val="0"/>
      <w:marBottom w:val="0"/>
      <w:divBdr>
        <w:top w:val="none" w:sz="0" w:space="0" w:color="auto"/>
        <w:left w:val="none" w:sz="0" w:space="0" w:color="auto"/>
        <w:bottom w:val="none" w:sz="0" w:space="0" w:color="auto"/>
        <w:right w:val="none" w:sz="0" w:space="0" w:color="auto"/>
      </w:divBdr>
      <w:divsChild>
        <w:div w:id="1553538005">
          <w:marLeft w:val="45"/>
          <w:marRight w:val="45"/>
          <w:marTop w:val="0"/>
          <w:marBottom w:val="0"/>
          <w:divBdr>
            <w:top w:val="none" w:sz="0" w:space="0" w:color="auto"/>
            <w:left w:val="none" w:sz="0" w:space="0" w:color="auto"/>
            <w:bottom w:val="none" w:sz="0" w:space="0" w:color="auto"/>
            <w:right w:val="none" w:sz="0" w:space="0" w:color="auto"/>
          </w:divBdr>
          <w:divsChild>
            <w:div w:id="13400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3FC9-1C73-46AB-9672-61A49C55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DR107 - Kyle Ringrose - Superannuation: Assessing Efficiency and Competitiveness - Public inquiry</vt:lpstr>
    </vt:vector>
  </TitlesOfParts>
  <Company>Kyle Ringrose</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DR107 - Kyle Ringrose - Superannuation: Assessing Efficiency and Competitiveness - Public inquiry</dc:title>
  <dc:subject/>
  <dc:creator>Kyle Ringrose</dc:creator>
  <cp:keywords/>
  <dc:description/>
  <cp:lastModifiedBy>Productivity Commission</cp:lastModifiedBy>
  <cp:revision>19</cp:revision>
  <cp:lastPrinted>2016-07-05T04:09:00Z</cp:lastPrinted>
  <dcterms:created xsi:type="dcterms:W3CDTF">2018-05-31T03:42:00Z</dcterms:created>
  <dcterms:modified xsi:type="dcterms:W3CDTF">2018-06-06T05:26:00Z</dcterms:modified>
</cp:coreProperties>
</file>