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D868F" w14:textId="152DE2CD" w:rsidR="00F93D20" w:rsidRDefault="00F93D20" w:rsidP="00683D4D">
      <w:pPr>
        <w:rPr>
          <w:rFonts w:cstheme="minorHAnsi"/>
          <w:b/>
          <w:sz w:val="52"/>
          <w:szCs w:val="52"/>
        </w:rPr>
      </w:pPr>
      <w:bookmarkStart w:id="0" w:name="_GoBack"/>
      <w:bookmarkEnd w:id="0"/>
      <w:r w:rsidRPr="004B30A3">
        <w:rPr>
          <w:noProof/>
          <w:lang w:eastAsia="en-AU"/>
        </w:rPr>
        <w:drawing>
          <wp:anchor distT="0" distB="0" distL="114300" distR="114300" simplePos="0" relativeHeight="251661312" behindDoc="1" locked="0" layoutInCell="1" allowOverlap="1" wp14:anchorId="564BCE72" wp14:editId="1C852F04">
            <wp:simplePos x="0" y="0"/>
            <wp:positionH relativeFrom="margin">
              <wp:posOffset>1676400</wp:posOffset>
            </wp:positionH>
            <wp:positionV relativeFrom="paragraph">
              <wp:posOffset>438150</wp:posOffset>
            </wp:positionV>
            <wp:extent cx="2400300" cy="962025"/>
            <wp:effectExtent l="0" t="0" r="0" b="9525"/>
            <wp:wrapNone/>
            <wp:docPr id="2" name="Picture 2" descr="11086 E Report Logo cl#DF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086 E Report Logo cl#DF92"/>
                    <pic:cNvPicPr>
                      <a:picLocks noChangeAspect="1" noChangeArrowheads="1"/>
                    </pic:cNvPicPr>
                  </pic:nvPicPr>
                  <pic:blipFill>
                    <a:blip r:embed="rId14" cstate="print"/>
                    <a:srcRect/>
                    <a:stretch>
                      <a:fillRect/>
                    </a:stretch>
                  </pic:blipFill>
                  <pic:spPr bwMode="auto">
                    <a:xfrm>
                      <a:off x="0" y="0"/>
                      <a:ext cx="2400300" cy="962025"/>
                    </a:xfrm>
                    <a:prstGeom prst="rect">
                      <a:avLst/>
                    </a:prstGeom>
                    <a:noFill/>
                  </pic:spPr>
                </pic:pic>
              </a:graphicData>
            </a:graphic>
          </wp:anchor>
        </w:drawing>
      </w:r>
    </w:p>
    <w:p w14:paraId="17A7E31F" w14:textId="2C0D0EA3" w:rsidR="00F93D20" w:rsidRDefault="00F93D20" w:rsidP="00683D4D">
      <w:pPr>
        <w:rPr>
          <w:rFonts w:cstheme="minorHAnsi"/>
          <w:b/>
          <w:sz w:val="52"/>
          <w:szCs w:val="52"/>
        </w:rPr>
      </w:pPr>
    </w:p>
    <w:p w14:paraId="6A4C8506" w14:textId="475EE3FC" w:rsidR="00F93D20" w:rsidRDefault="00F93D20" w:rsidP="00683D4D">
      <w:pPr>
        <w:rPr>
          <w:rFonts w:cstheme="minorHAnsi"/>
          <w:b/>
          <w:sz w:val="52"/>
          <w:szCs w:val="52"/>
        </w:rPr>
      </w:pPr>
    </w:p>
    <w:p w14:paraId="29F9D12B" w14:textId="69EBC693" w:rsidR="00F93D20" w:rsidRDefault="00F93D20" w:rsidP="00683D4D">
      <w:pPr>
        <w:rPr>
          <w:rFonts w:cstheme="minorHAnsi"/>
          <w:b/>
          <w:sz w:val="52"/>
          <w:szCs w:val="52"/>
        </w:rPr>
      </w:pPr>
    </w:p>
    <w:p w14:paraId="2144BD96" w14:textId="77777777" w:rsidR="00F93D20" w:rsidRDefault="00F93D20" w:rsidP="00683D4D">
      <w:pPr>
        <w:rPr>
          <w:rFonts w:cstheme="minorHAnsi"/>
          <w:b/>
          <w:sz w:val="52"/>
          <w:szCs w:val="52"/>
        </w:rPr>
      </w:pPr>
    </w:p>
    <w:p w14:paraId="241B5EA4" w14:textId="6FDA3589" w:rsidR="00683D4D" w:rsidRPr="00F93D20" w:rsidRDefault="00683D4D" w:rsidP="006B438D">
      <w:pPr>
        <w:spacing w:after="0" w:line="240" w:lineRule="auto"/>
        <w:jc w:val="center"/>
        <w:rPr>
          <w:rFonts w:cstheme="minorHAnsi"/>
          <w:b/>
          <w:sz w:val="52"/>
          <w:szCs w:val="52"/>
        </w:rPr>
      </w:pPr>
      <w:r w:rsidRPr="00F93D20">
        <w:rPr>
          <w:rFonts w:cstheme="minorHAnsi"/>
          <w:b/>
          <w:sz w:val="52"/>
          <w:szCs w:val="52"/>
        </w:rPr>
        <w:t>ANU College of Health and Medicine</w:t>
      </w:r>
    </w:p>
    <w:p w14:paraId="490A8076" w14:textId="214D760A" w:rsidR="00683D4D" w:rsidRPr="00F93D20" w:rsidRDefault="00683D4D" w:rsidP="006B438D">
      <w:pPr>
        <w:spacing w:after="0" w:line="240" w:lineRule="auto"/>
        <w:jc w:val="center"/>
        <w:rPr>
          <w:rFonts w:cstheme="minorHAnsi"/>
          <w:i/>
          <w:sz w:val="32"/>
          <w:szCs w:val="32"/>
        </w:rPr>
      </w:pPr>
      <w:r w:rsidRPr="00F93D20">
        <w:rPr>
          <w:rFonts w:cstheme="minorHAnsi"/>
          <w:i/>
          <w:sz w:val="32"/>
          <w:szCs w:val="32"/>
        </w:rPr>
        <w:t>Better health for our people, our nation and our world</w:t>
      </w:r>
    </w:p>
    <w:p w14:paraId="6F171E3B" w14:textId="2208E9CB" w:rsidR="00F93D20" w:rsidRDefault="00F93D20" w:rsidP="006B438D">
      <w:pPr>
        <w:spacing w:after="0" w:line="240" w:lineRule="auto"/>
        <w:jc w:val="center"/>
        <w:rPr>
          <w:rFonts w:cstheme="minorHAnsi"/>
          <w:b/>
          <w:sz w:val="52"/>
          <w:szCs w:val="52"/>
        </w:rPr>
      </w:pPr>
    </w:p>
    <w:p w14:paraId="4AFDD082" w14:textId="23D9A479" w:rsidR="006B438D" w:rsidRDefault="006B438D" w:rsidP="006B438D">
      <w:pPr>
        <w:spacing w:after="0" w:line="240" w:lineRule="auto"/>
        <w:jc w:val="center"/>
        <w:rPr>
          <w:rFonts w:cstheme="minorHAnsi"/>
          <w:b/>
          <w:sz w:val="52"/>
          <w:szCs w:val="52"/>
        </w:rPr>
      </w:pPr>
    </w:p>
    <w:p w14:paraId="6F877B1D" w14:textId="77777777" w:rsidR="006B438D" w:rsidRDefault="006B438D" w:rsidP="006B438D">
      <w:pPr>
        <w:spacing w:after="0" w:line="240" w:lineRule="auto"/>
        <w:jc w:val="center"/>
        <w:rPr>
          <w:rFonts w:cstheme="minorHAnsi"/>
          <w:b/>
          <w:sz w:val="52"/>
          <w:szCs w:val="52"/>
        </w:rPr>
      </w:pPr>
    </w:p>
    <w:p w14:paraId="5BEEEC19" w14:textId="77777777" w:rsidR="00F93D20" w:rsidRDefault="00F93D20" w:rsidP="006B438D">
      <w:pPr>
        <w:spacing w:after="0" w:line="240" w:lineRule="auto"/>
        <w:jc w:val="center"/>
        <w:rPr>
          <w:rFonts w:cstheme="minorHAnsi"/>
          <w:b/>
          <w:sz w:val="52"/>
          <w:szCs w:val="52"/>
        </w:rPr>
      </w:pPr>
    </w:p>
    <w:p w14:paraId="1118AB30" w14:textId="32A0645A" w:rsidR="00F93D20" w:rsidRPr="006B438D" w:rsidRDefault="00683D4D" w:rsidP="006B438D">
      <w:pPr>
        <w:spacing w:after="0" w:line="240" w:lineRule="auto"/>
        <w:jc w:val="center"/>
        <w:rPr>
          <w:rFonts w:cstheme="minorHAnsi"/>
          <w:b/>
          <w:sz w:val="44"/>
          <w:szCs w:val="44"/>
        </w:rPr>
      </w:pPr>
      <w:r w:rsidRPr="006B438D">
        <w:rPr>
          <w:rFonts w:cstheme="minorHAnsi"/>
          <w:b/>
          <w:sz w:val="44"/>
          <w:szCs w:val="44"/>
        </w:rPr>
        <w:t>Submission to the</w:t>
      </w:r>
    </w:p>
    <w:p w14:paraId="32EF0243" w14:textId="7A6C1A3D" w:rsidR="00683D4D" w:rsidRPr="006B438D" w:rsidRDefault="00683D4D" w:rsidP="006B438D">
      <w:pPr>
        <w:spacing w:after="0" w:line="240" w:lineRule="auto"/>
        <w:jc w:val="center"/>
        <w:rPr>
          <w:rFonts w:cstheme="minorHAnsi"/>
          <w:b/>
          <w:sz w:val="44"/>
          <w:szCs w:val="44"/>
        </w:rPr>
      </w:pPr>
      <w:r w:rsidRPr="006B438D">
        <w:rPr>
          <w:rFonts w:cstheme="minorHAnsi"/>
          <w:b/>
          <w:sz w:val="44"/>
          <w:szCs w:val="44"/>
        </w:rPr>
        <w:t>Productivity Commission Inquiry into Mental Health and Suicide Prevention</w:t>
      </w:r>
    </w:p>
    <w:p w14:paraId="20379325" w14:textId="05EF5D74" w:rsidR="00F93D20" w:rsidRDefault="00F93D20" w:rsidP="006B438D">
      <w:pPr>
        <w:spacing w:after="0" w:line="240" w:lineRule="auto"/>
        <w:jc w:val="center"/>
        <w:rPr>
          <w:rFonts w:cstheme="minorHAnsi"/>
          <w:b/>
          <w:sz w:val="52"/>
          <w:szCs w:val="52"/>
        </w:rPr>
      </w:pPr>
    </w:p>
    <w:p w14:paraId="4AE0F193" w14:textId="33B62BC9" w:rsidR="00F93D20" w:rsidRDefault="00F93D20" w:rsidP="006B438D">
      <w:pPr>
        <w:spacing w:after="0" w:line="240" w:lineRule="auto"/>
        <w:jc w:val="center"/>
        <w:rPr>
          <w:rFonts w:cstheme="minorHAnsi"/>
          <w:b/>
          <w:sz w:val="52"/>
          <w:szCs w:val="52"/>
        </w:rPr>
      </w:pPr>
    </w:p>
    <w:p w14:paraId="6EBA82CD" w14:textId="0438E8F0" w:rsidR="006B438D" w:rsidRDefault="006B438D" w:rsidP="006B438D">
      <w:pPr>
        <w:spacing w:after="0" w:line="240" w:lineRule="auto"/>
        <w:jc w:val="center"/>
        <w:rPr>
          <w:rFonts w:cstheme="minorHAnsi"/>
          <w:b/>
          <w:sz w:val="52"/>
          <w:szCs w:val="52"/>
        </w:rPr>
      </w:pPr>
    </w:p>
    <w:p w14:paraId="164CF969" w14:textId="77777777" w:rsidR="006B438D" w:rsidRDefault="006B438D" w:rsidP="006B438D">
      <w:pPr>
        <w:spacing w:after="0" w:line="240" w:lineRule="auto"/>
        <w:jc w:val="center"/>
        <w:rPr>
          <w:rFonts w:cstheme="minorHAnsi"/>
          <w:b/>
          <w:sz w:val="52"/>
          <w:szCs w:val="52"/>
        </w:rPr>
      </w:pPr>
    </w:p>
    <w:p w14:paraId="260B7B99" w14:textId="721C65CA" w:rsidR="00F93D20" w:rsidRPr="00F93D20" w:rsidRDefault="00F93D20" w:rsidP="006B438D">
      <w:pPr>
        <w:spacing w:after="0" w:line="240" w:lineRule="auto"/>
        <w:jc w:val="center"/>
        <w:rPr>
          <w:rFonts w:cstheme="minorHAnsi"/>
          <w:b/>
          <w:sz w:val="40"/>
          <w:szCs w:val="40"/>
        </w:rPr>
      </w:pPr>
      <w:r w:rsidRPr="00F93D20">
        <w:rPr>
          <w:rFonts w:cstheme="minorHAnsi"/>
          <w:b/>
          <w:sz w:val="40"/>
          <w:szCs w:val="40"/>
        </w:rPr>
        <w:t>December 2019 (</w:t>
      </w:r>
      <w:r w:rsidR="00632000">
        <w:rPr>
          <w:rFonts w:cstheme="minorHAnsi"/>
          <w:b/>
          <w:sz w:val="40"/>
          <w:szCs w:val="40"/>
        </w:rPr>
        <w:t xml:space="preserve">Final </w:t>
      </w:r>
      <w:r w:rsidRPr="00F93D20">
        <w:rPr>
          <w:rFonts w:cstheme="minorHAnsi"/>
          <w:b/>
          <w:sz w:val="40"/>
          <w:szCs w:val="40"/>
        </w:rPr>
        <w:t>Draft)</w:t>
      </w:r>
    </w:p>
    <w:p w14:paraId="63D9E9DC" w14:textId="77777777" w:rsidR="00F93D20" w:rsidRDefault="00F93D20" w:rsidP="00F93D20">
      <w:pPr>
        <w:jc w:val="center"/>
        <w:rPr>
          <w:rFonts w:cstheme="minorHAnsi"/>
          <w:sz w:val="24"/>
          <w:szCs w:val="24"/>
          <w:u w:val="single"/>
        </w:rPr>
      </w:pPr>
      <w:r>
        <w:rPr>
          <w:rFonts w:cstheme="minorHAnsi"/>
          <w:sz w:val="24"/>
          <w:szCs w:val="24"/>
          <w:u w:val="single"/>
        </w:rPr>
        <w:br w:type="page"/>
      </w:r>
    </w:p>
    <w:sdt>
      <w:sdtPr>
        <w:rPr>
          <w:rFonts w:asciiTheme="minorHAnsi" w:eastAsiaTheme="minorHAnsi" w:hAnsiTheme="minorHAnsi" w:cstheme="minorBidi"/>
          <w:color w:val="auto"/>
          <w:sz w:val="22"/>
          <w:szCs w:val="22"/>
          <w:lang w:val="en-AU"/>
        </w:rPr>
        <w:id w:val="-614287266"/>
        <w:docPartObj>
          <w:docPartGallery w:val="Table of Contents"/>
          <w:docPartUnique/>
        </w:docPartObj>
      </w:sdtPr>
      <w:sdtEndPr>
        <w:rPr>
          <w:b/>
          <w:bCs/>
          <w:noProof/>
          <w:sz w:val="24"/>
          <w:szCs w:val="24"/>
        </w:rPr>
      </w:sdtEndPr>
      <w:sdtContent>
        <w:p w14:paraId="7B3689C3" w14:textId="2AFE027B" w:rsidR="002C1E3A" w:rsidRPr="00F94270" w:rsidRDefault="002C1E3A">
          <w:pPr>
            <w:pStyle w:val="TOCHeading"/>
            <w:rPr>
              <w:sz w:val="24"/>
              <w:szCs w:val="24"/>
            </w:rPr>
          </w:pPr>
          <w:r>
            <w:t>Contents</w:t>
          </w:r>
        </w:p>
        <w:p w14:paraId="53D909C3" w14:textId="4C698706" w:rsidR="004E7496" w:rsidRDefault="002C1E3A">
          <w:pPr>
            <w:pStyle w:val="TOC1"/>
            <w:tabs>
              <w:tab w:val="right" w:leader="dot" w:pos="9016"/>
            </w:tabs>
            <w:rPr>
              <w:rFonts w:eastAsiaTheme="minorEastAsia"/>
              <w:noProof/>
              <w:lang w:eastAsia="en-AU"/>
            </w:rPr>
          </w:pPr>
          <w:r w:rsidRPr="00F94270">
            <w:rPr>
              <w:sz w:val="24"/>
              <w:szCs w:val="24"/>
            </w:rPr>
            <w:fldChar w:fldCharType="begin"/>
          </w:r>
          <w:r w:rsidRPr="00F94270">
            <w:rPr>
              <w:sz w:val="24"/>
              <w:szCs w:val="24"/>
            </w:rPr>
            <w:instrText xml:space="preserve"> TOC \o "1-3" \h \z \u </w:instrText>
          </w:r>
          <w:r w:rsidRPr="00F94270">
            <w:rPr>
              <w:sz w:val="24"/>
              <w:szCs w:val="24"/>
            </w:rPr>
            <w:fldChar w:fldCharType="separate"/>
          </w:r>
          <w:hyperlink w:anchor="_Toc29197222" w:history="1">
            <w:r w:rsidR="004E7496" w:rsidRPr="0091465F">
              <w:rPr>
                <w:rStyle w:val="Hyperlink"/>
                <w:noProof/>
              </w:rPr>
              <w:t>List of Contributors</w:t>
            </w:r>
            <w:r w:rsidR="004E7496">
              <w:rPr>
                <w:noProof/>
                <w:webHidden/>
              </w:rPr>
              <w:tab/>
            </w:r>
            <w:r w:rsidR="004E7496">
              <w:rPr>
                <w:noProof/>
                <w:webHidden/>
              </w:rPr>
              <w:fldChar w:fldCharType="begin"/>
            </w:r>
            <w:r w:rsidR="004E7496">
              <w:rPr>
                <w:noProof/>
                <w:webHidden/>
              </w:rPr>
              <w:instrText xml:space="preserve"> PAGEREF _Toc29197222 \h </w:instrText>
            </w:r>
            <w:r w:rsidR="004E7496">
              <w:rPr>
                <w:noProof/>
                <w:webHidden/>
              </w:rPr>
            </w:r>
            <w:r w:rsidR="004E7496">
              <w:rPr>
                <w:noProof/>
                <w:webHidden/>
              </w:rPr>
              <w:fldChar w:fldCharType="separate"/>
            </w:r>
            <w:r w:rsidR="004E7496">
              <w:rPr>
                <w:noProof/>
                <w:webHidden/>
              </w:rPr>
              <w:t>3</w:t>
            </w:r>
            <w:r w:rsidR="004E7496">
              <w:rPr>
                <w:noProof/>
                <w:webHidden/>
              </w:rPr>
              <w:fldChar w:fldCharType="end"/>
            </w:r>
          </w:hyperlink>
        </w:p>
        <w:p w14:paraId="48585FC5" w14:textId="664A5D8F" w:rsidR="004E7496" w:rsidRDefault="007638F2">
          <w:pPr>
            <w:pStyle w:val="TOC1"/>
            <w:tabs>
              <w:tab w:val="right" w:leader="dot" w:pos="9016"/>
            </w:tabs>
            <w:rPr>
              <w:rFonts w:eastAsiaTheme="minorEastAsia"/>
              <w:noProof/>
              <w:lang w:eastAsia="en-AU"/>
            </w:rPr>
          </w:pPr>
          <w:hyperlink w:anchor="_Toc29197223" w:history="1">
            <w:r w:rsidR="004E7496" w:rsidRPr="0091465F">
              <w:rPr>
                <w:rStyle w:val="Hyperlink"/>
                <w:noProof/>
              </w:rPr>
              <w:t>About the College</w:t>
            </w:r>
            <w:r w:rsidR="004E7496">
              <w:rPr>
                <w:noProof/>
                <w:webHidden/>
              </w:rPr>
              <w:tab/>
            </w:r>
            <w:r w:rsidR="004E7496">
              <w:rPr>
                <w:noProof/>
                <w:webHidden/>
              </w:rPr>
              <w:fldChar w:fldCharType="begin"/>
            </w:r>
            <w:r w:rsidR="004E7496">
              <w:rPr>
                <w:noProof/>
                <w:webHidden/>
              </w:rPr>
              <w:instrText xml:space="preserve"> PAGEREF _Toc29197223 \h </w:instrText>
            </w:r>
            <w:r w:rsidR="004E7496">
              <w:rPr>
                <w:noProof/>
                <w:webHidden/>
              </w:rPr>
            </w:r>
            <w:r w:rsidR="004E7496">
              <w:rPr>
                <w:noProof/>
                <w:webHidden/>
              </w:rPr>
              <w:fldChar w:fldCharType="separate"/>
            </w:r>
            <w:r w:rsidR="004E7496">
              <w:rPr>
                <w:noProof/>
                <w:webHidden/>
              </w:rPr>
              <w:t>4</w:t>
            </w:r>
            <w:r w:rsidR="004E7496">
              <w:rPr>
                <w:noProof/>
                <w:webHidden/>
              </w:rPr>
              <w:fldChar w:fldCharType="end"/>
            </w:r>
          </w:hyperlink>
        </w:p>
        <w:p w14:paraId="015EF1EB" w14:textId="61E80D09" w:rsidR="004E7496" w:rsidRDefault="007638F2">
          <w:pPr>
            <w:pStyle w:val="TOC2"/>
            <w:tabs>
              <w:tab w:val="right" w:leader="dot" w:pos="9016"/>
            </w:tabs>
            <w:rPr>
              <w:rFonts w:eastAsiaTheme="minorEastAsia"/>
              <w:noProof/>
              <w:lang w:eastAsia="en-AU"/>
            </w:rPr>
          </w:pPr>
          <w:hyperlink w:anchor="_Toc29197224" w:history="1">
            <w:r w:rsidR="004E7496" w:rsidRPr="0091465F">
              <w:rPr>
                <w:rStyle w:val="Hyperlink"/>
                <w:noProof/>
              </w:rPr>
              <w:t>Research areas</w:t>
            </w:r>
            <w:r w:rsidR="004E7496">
              <w:rPr>
                <w:noProof/>
                <w:webHidden/>
              </w:rPr>
              <w:tab/>
            </w:r>
            <w:r w:rsidR="004E7496">
              <w:rPr>
                <w:noProof/>
                <w:webHidden/>
              </w:rPr>
              <w:fldChar w:fldCharType="begin"/>
            </w:r>
            <w:r w:rsidR="004E7496">
              <w:rPr>
                <w:noProof/>
                <w:webHidden/>
              </w:rPr>
              <w:instrText xml:space="preserve"> PAGEREF _Toc29197224 \h </w:instrText>
            </w:r>
            <w:r w:rsidR="004E7496">
              <w:rPr>
                <w:noProof/>
                <w:webHidden/>
              </w:rPr>
            </w:r>
            <w:r w:rsidR="004E7496">
              <w:rPr>
                <w:noProof/>
                <w:webHidden/>
              </w:rPr>
              <w:fldChar w:fldCharType="separate"/>
            </w:r>
            <w:r w:rsidR="004E7496">
              <w:rPr>
                <w:noProof/>
                <w:webHidden/>
              </w:rPr>
              <w:t>4</w:t>
            </w:r>
            <w:r w:rsidR="004E7496">
              <w:rPr>
                <w:noProof/>
                <w:webHidden/>
              </w:rPr>
              <w:fldChar w:fldCharType="end"/>
            </w:r>
          </w:hyperlink>
        </w:p>
        <w:p w14:paraId="327386AF" w14:textId="64DD2505" w:rsidR="004E7496" w:rsidRDefault="007638F2">
          <w:pPr>
            <w:pStyle w:val="TOC2"/>
            <w:tabs>
              <w:tab w:val="right" w:leader="dot" w:pos="9016"/>
            </w:tabs>
            <w:rPr>
              <w:rFonts w:eastAsiaTheme="minorEastAsia"/>
              <w:noProof/>
              <w:lang w:eastAsia="en-AU"/>
            </w:rPr>
          </w:pPr>
          <w:hyperlink w:anchor="_Toc29197225" w:history="1">
            <w:r w:rsidR="004E7496" w:rsidRPr="0091465F">
              <w:rPr>
                <w:rStyle w:val="Hyperlink"/>
                <w:noProof/>
              </w:rPr>
              <w:t>About this Submission</w:t>
            </w:r>
            <w:r w:rsidR="004E7496">
              <w:rPr>
                <w:noProof/>
                <w:webHidden/>
              </w:rPr>
              <w:tab/>
            </w:r>
            <w:r w:rsidR="004E7496">
              <w:rPr>
                <w:noProof/>
                <w:webHidden/>
              </w:rPr>
              <w:fldChar w:fldCharType="begin"/>
            </w:r>
            <w:r w:rsidR="004E7496">
              <w:rPr>
                <w:noProof/>
                <w:webHidden/>
              </w:rPr>
              <w:instrText xml:space="preserve"> PAGEREF _Toc29197225 \h </w:instrText>
            </w:r>
            <w:r w:rsidR="004E7496">
              <w:rPr>
                <w:noProof/>
                <w:webHidden/>
              </w:rPr>
            </w:r>
            <w:r w:rsidR="004E7496">
              <w:rPr>
                <w:noProof/>
                <w:webHidden/>
              </w:rPr>
              <w:fldChar w:fldCharType="separate"/>
            </w:r>
            <w:r w:rsidR="004E7496">
              <w:rPr>
                <w:noProof/>
                <w:webHidden/>
              </w:rPr>
              <w:t>4</w:t>
            </w:r>
            <w:r w:rsidR="004E7496">
              <w:rPr>
                <w:noProof/>
                <w:webHidden/>
              </w:rPr>
              <w:fldChar w:fldCharType="end"/>
            </w:r>
          </w:hyperlink>
        </w:p>
        <w:p w14:paraId="1502B7E7" w14:textId="7900A7CB" w:rsidR="004E7496" w:rsidRDefault="007638F2">
          <w:pPr>
            <w:pStyle w:val="TOC1"/>
            <w:tabs>
              <w:tab w:val="right" w:leader="dot" w:pos="9016"/>
            </w:tabs>
            <w:rPr>
              <w:rFonts w:eastAsiaTheme="minorEastAsia"/>
              <w:noProof/>
              <w:lang w:eastAsia="en-AU"/>
            </w:rPr>
          </w:pPr>
          <w:hyperlink w:anchor="_Toc29197226" w:history="1">
            <w:r w:rsidR="004E7496" w:rsidRPr="0091465F">
              <w:rPr>
                <w:rStyle w:val="Hyperlink"/>
                <w:noProof/>
              </w:rPr>
              <w:t>Recommended Areas for Further Consideration</w:t>
            </w:r>
            <w:r w:rsidR="004E7496">
              <w:rPr>
                <w:noProof/>
                <w:webHidden/>
              </w:rPr>
              <w:tab/>
            </w:r>
            <w:r w:rsidR="004E7496">
              <w:rPr>
                <w:noProof/>
                <w:webHidden/>
              </w:rPr>
              <w:fldChar w:fldCharType="begin"/>
            </w:r>
            <w:r w:rsidR="004E7496">
              <w:rPr>
                <w:noProof/>
                <w:webHidden/>
              </w:rPr>
              <w:instrText xml:space="preserve"> PAGEREF _Toc29197226 \h </w:instrText>
            </w:r>
            <w:r w:rsidR="004E7496">
              <w:rPr>
                <w:noProof/>
                <w:webHidden/>
              </w:rPr>
            </w:r>
            <w:r w:rsidR="004E7496">
              <w:rPr>
                <w:noProof/>
                <w:webHidden/>
              </w:rPr>
              <w:fldChar w:fldCharType="separate"/>
            </w:r>
            <w:r w:rsidR="004E7496">
              <w:rPr>
                <w:noProof/>
                <w:webHidden/>
              </w:rPr>
              <w:t>5</w:t>
            </w:r>
            <w:r w:rsidR="004E7496">
              <w:rPr>
                <w:noProof/>
                <w:webHidden/>
              </w:rPr>
              <w:fldChar w:fldCharType="end"/>
            </w:r>
          </w:hyperlink>
        </w:p>
        <w:p w14:paraId="2455CD1C" w14:textId="181FA17F" w:rsidR="004E7496" w:rsidRDefault="007638F2">
          <w:pPr>
            <w:pStyle w:val="TOC2"/>
            <w:tabs>
              <w:tab w:val="right" w:leader="dot" w:pos="9016"/>
            </w:tabs>
            <w:rPr>
              <w:rFonts w:eastAsiaTheme="minorEastAsia"/>
              <w:noProof/>
              <w:lang w:eastAsia="en-AU"/>
            </w:rPr>
          </w:pPr>
          <w:hyperlink w:anchor="_Toc29197227" w:history="1">
            <w:r w:rsidR="004E7496" w:rsidRPr="0091465F">
              <w:rPr>
                <w:rStyle w:val="Hyperlink"/>
                <w:rFonts w:eastAsia="Times New Roman"/>
                <w:noProof/>
                <w:lang w:eastAsia="en-AU"/>
              </w:rPr>
              <w:t>Mental Health Research Funding</w:t>
            </w:r>
            <w:r w:rsidR="004E7496">
              <w:rPr>
                <w:noProof/>
                <w:webHidden/>
              </w:rPr>
              <w:tab/>
            </w:r>
            <w:r w:rsidR="004E7496">
              <w:rPr>
                <w:noProof/>
                <w:webHidden/>
              </w:rPr>
              <w:fldChar w:fldCharType="begin"/>
            </w:r>
            <w:r w:rsidR="004E7496">
              <w:rPr>
                <w:noProof/>
                <w:webHidden/>
              </w:rPr>
              <w:instrText xml:space="preserve"> PAGEREF _Toc29197227 \h </w:instrText>
            </w:r>
            <w:r w:rsidR="004E7496">
              <w:rPr>
                <w:noProof/>
                <w:webHidden/>
              </w:rPr>
            </w:r>
            <w:r w:rsidR="004E7496">
              <w:rPr>
                <w:noProof/>
                <w:webHidden/>
              </w:rPr>
              <w:fldChar w:fldCharType="separate"/>
            </w:r>
            <w:r w:rsidR="004E7496">
              <w:rPr>
                <w:noProof/>
                <w:webHidden/>
              </w:rPr>
              <w:t>5</w:t>
            </w:r>
            <w:r w:rsidR="004E7496">
              <w:rPr>
                <w:noProof/>
                <w:webHidden/>
              </w:rPr>
              <w:fldChar w:fldCharType="end"/>
            </w:r>
          </w:hyperlink>
        </w:p>
        <w:p w14:paraId="0AAA5F23" w14:textId="002E44B1" w:rsidR="004E7496" w:rsidRDefault="007638F2">
          <w:pPr>
            <w:pStyle w:val="TOC2"/>
            <w:tabs>
              <w:tab w:val="right" w:leader="dot" w:pos="9016"/>
            </w:tabs>
            <w:rPr>
              <w:rFonts w:eastAsiaTheme="minorEastAsia"/>
              <w:noProof/>
              <w:lang w:eastAsia="en-AU"/>
            </w:rPr>
          </w:pPr>
          <w:hyperlink w:anchor="_Toc29197228" w:history="1">
            <w:r w:rsidR="004E7496" w:rsidRPr="0091465F">
              <w:rPr>
                <w:rStyle w:val="Hyperlink"/>
                <w:rFonts w:eastAsia="Times New Roman"/>
                <w:noProof/>
                <w:lang w:eastAsia="en-AU"/>
              </w:rPr>
              <w:t>Assessment Tools</w:t>
            </w:r>
            <w:r w:rsidR="004E7496">
              <w:rPr>
                <w:noProof/>
                <w:webHidden/>
              </w:rPr>
              <w:tab/>
            </w:r>
            <w:r w:rsidR="004E7496">
              <w:rPr>
                <w:noProof/>
                <w:webHidden/>
              </w:rPr>
              <w:fldChar w:fldCharType="begin"/>
            </w:r>
            <w:r w:rsidR="004E7496">
              <w:rPr>
                <w:noProof/>
                <w:webHidden/>
              </w:rPr>
              <w:instrText xml:space="preserve"> PAGEREF _Toc29197228 \h </w:instrText>
            </w:r>
            <w:r w:rsidR="004E7496">
              <w:rPr>
                <w:noProof/>
                <w:webHidden/>
              </w:rPr>
            </w:r>
            <w:r w:rsidR="004E7496">
              <w:rPr>
                <w:noProof/>
                <w:webHidden/>
              </w:rPr>
              <w:fldChar w:fldCharType="separate"/>
            </w:r>
            <w:r w:rsidR="004E7496">
              <w:rPr>
                <w:noProof/>
                <w:webHidden/>
              </w:rPr>
              <w:t>5</w:t>
            </w:r>
            <w:r w:rsidR="004E7496">
              <w:rPr>
                <w:noProof/>
                <w:webHidden/>
              </w:rPr>
              <w:fldChar w:fldCharType="end"/>
            </w:r>
          </w:hyperlink>
        </w:p>
        <w:p w14:paraId="45108723" w14:textId="1E7D3E14" w:rsidR="004E7496" w:rsidRDefault="007638F2">
          <w:pPr>
            <w:pStyle w:val="TOC2"/>
            <w:tabs>
              <w:tab w:val="right" w:leader="dot" w:pos="9016"/>
            </w:tabs>
            <w:rPr>
              <w:rFonts w:eastAsiaTheme="minorEastAsia"/>
              <w:noProof/>
              <w:lang w:eastAsia="en-AU"/>
            </w:rPr>
          </w:pPr>
          <w:hyperlink w:anchor="_Toc29197229" w:history="1">
            <w:r w:rsidR="004E7496" w:rsidRPr="0091465F">
              <w:rPr>
                <w:rStyle w:val="Hyperlink"/>
                <w:noProof/>
              </w:rPr>
              <w:t>Regional decision-making</w:t>
            </w:r>
            <w:r w:rsidR="004E7496">
              <w:rPr>
                <w:noProof/>
                <w:webHidden/>
              </w:rPr>
              <w:tab/>
            </w:r>
            <w:r w:rsidR="004E7496">
              <w:rPr>
                <w:noProof/>
                <w:webHidden/>
              </w:rPr>
              <w:fldChar w:fldCharType="begin"/>
            </w:r>
            <w:r w:rsidR="004E7496">
              <w:rPr>
                <w:noProof/>
                <w:webHidden/>
              </w:rPr>
              <w:instrText xml:space="preserve"> PAGEREF _Toc29197229 \h </w:instrText>
            </w:r>
            <w:r w:rsidR="004E7496">
              <w:rPr>
                <w:noProof/>
                <w:webHidden/>
              </w:rPr>
            </w:r>
            <w:r w:rsidR="004E7496">
              <w:rPr>
                <w:noProof/>
                <w:webHidden/>
              </w:rPr>
              <w:fldChar w:fldCharType="separate"/>
            </w:r>
            <w:r w:rsidR="004E7496">
              <w:rPr>
                <w:noProof/>
                <w:webHidden/>
              </w:rPr>
              <w:t>6</w:t>
            </w:r>
            <w:r w:rsidR="004E7496">
              <w:rPr>
                <w:noProof/>
                <w:webHidden/>
              </w:rPr>
              <w:fldChar w:fldCharType="end"/>
            </w:r>
          </w:hyperlink>
        </w:p>
        <w:p w14:paraId="261D1B80" w14:textId="2280DABD" w:rsidR="004E7496" w:rsidRDefault="007638F2">
          <w:pPr>
            <w:pStyle w:val="TOC2"/>
            <w:tabs>
              <w:tab w:val="right" w:leader="dot" w:pos="9016"/>
            </w:tabs>
            <w:rPr>
              <w:rFonts w:eastAsiaTheme="minorEastAsia"/>
              <w:noProof/>
              <w:lang w:eastAsia="en-AU"/>
            </w:rPr>
          </w:pPr>
          <w:hyperlink w:anchor="_Toc29197230" w:history="1">
            <w:r w:rsidR="004E7496" w:rsidRPr="0091465F">
              <w:rPr>
                <w:rStyle w:val="Hyperlink"/>
                <w:noProof/>
              </w:rPr>
              <w:t>Mapping</w:t>
            </w:r>
            <w:r w:rsidR="004E7496">
              <w:rPr>
                <w:noProof/>
                <w:webHidden/>
              </w:rPr>
              <w:tab/>
            </w:r>
            <w:r w:rsidR="004E7496">
              <w:rPr>
                <w:noProof/>
                <w:webHidden/>
              </w:rPr>
              <w:fldChar w:fldCharType="begin"/>
            </w:r>
            <w:r w:rsidR="004E7496">
              <w:rPr>
                <w:noProof/>
                <w:webHidden/>
              </w:rPr>
              <w:instrText xml:space="preserve"> PAGEREF _Toc29197230 \h </w:instrText>
            </w:r>
            <w:r w:rsidR="004E7496">
              <w:rPr>
                <w:noProof/>
                <w:webHidden/>
              </w:rPr>
            </w:r>
            <w:r w:rsidR="004E7496">
              <w:rPr>
                <w:noProof/>
                <w:webHidden/>
              </w:rPr>
              <w:fldChar w:fldCharType="separate"/>
            </w:r>
            <w:r w:rsidR="004E7496">
              <w:rPr>
                <w:noProof/>
                <w:webHidden/>
              </w:rPr>
              <w:t>6</w:t>
            </w:r>
            <w:r w:rsidR="004E7496">
              <w:rPr>
                <w:noProof/>
                <w:webHidden/>
              </w:rPr>
              <w:fldChar w:fldCharType="end"/>
            </w:r>
          </w:hyperlink>
        </w:p>
        <w:p w14:paraId="45B4CE1F" w14:textId="17BC9607" w:rsidR="004E7496" w:rsidRDefault="007638F2">
          <w:pPr>
            <w:pStyle w:val="TOC2"/>
            <w:tabs>
              <w:tab w:val="right" w:leader="dot" w:pos="9016"/>
            </w:tabs>
            <w:rPr>
              <w:rFonts w:eastAsiaTheme="minorEastAsia"/>
              <w:noProof/>
              <w:lang w:eastAsia="en-AU"/>
            </w:rPr>
          </w:pPr>
          <w:hyperlink w:anchor="_Toc29197231" w:history="1">
            <w:r w:rsidR="004E7496" w:rsidRPr="0091465F">
              <w:rPr>
                <w:rStyle w:val="Hyperlink"/>
                <w:noProof/>
              </w:rPr>
              <w:t>Consumer Engagement</w:t>
            </w:r>
            <w:r w:rsidR="004E7496">
              <w:rPr>
                <w:noProof/>
                <w:webHidden/>
              </w:rPr>
              <w:tab/>
            </w:r>
            <w:r w:rsidR="004E7496">
              <w:rPr>
                <w:noProof/>
                <w:webHidden/>
              </w:rPr>
              <w:fldChar w:fldCharType="begin"/>
            </w:r>
            <w:r w:rsidR="004E7496">
              <w:rPr>
                <w:noProof/>
                <w:webHidden/>
              </w:rPr>
              <w:instrText xml:space="preserve"> PAGEREF _Toc29197231 \h </w:instrText>
            </w:r>
            <w:r w:rsidR="004E7496">
              <w:rPr>
                <w:noProof/>
                <w:webHidden/>
              </w:rPr>
            </w:r>
            <w:r w:rsidR="004E7496">
              <w:rPr>
                <w:noProof/>
                <w:webHidden/>
              </w:rPr>
              <w:fldChar w:fldCharType="separate"/>
            </w:r>
            <w:r w:rsidR="004E7496">
              <w:rPr>
                <w:noProof/>
                <w:webHidden/>
              </w:rPr>
              <w:t>10</w:t>
            </w:r>
            <w:r w:rsidR="004E7496">
              <w:rPr>
                <w:noProof/>
                <w:webHidden/>
              </w:rPr>
              <w:fldChar w:fldCharType="end"/>
            </w:r>
          </w:hyperlink>
        </w:p>
        <w:p w14:paraId="4454662F" w14:textId="4184B376" w:rsidR="004E7496" w:rsidRDefault="007638F2">
          <w:pPr>
            <w:pStyle w:val="TOC2"/>
            <w:tabs>
              <w:tab w:val="right" w:leader="dot" w:pos="9016"/>
            </w:tabs>
            <w:rPr>
              <w:rFonts w:eastAsiaTheme="minorEastAsia"/>
              <w:noProof/>
              <w:lang w:eastAsia="en-AU"/>
            </w:rPr>
          </w:pPr>
          <w:hyperlink w:anchor="_Toc29197232" w:history="1">
            <w:r w:rsidR="004E7496" w:rsidRPr="0091465F">
              <w:rPr>
                <w:rStyle w:val="Hyperlink"/>
                <w:noProof/>
              </w:rPr>
              <w:t>Stepped care</w:t>
            </w:r>
            <w:r w:rsidR="004E7496">
              <w:rPr>
                <w:noProof/>
                <w:webHidden/>
              </w:rPr>
              <w:tab/>
            </w:r>
            <w:r w:rsidR="004E7496">
              <w:rPr>
                <w:noProof/>
                <w:webHidden/>
              </w:rPr>
              <w:fldChar w:fldCharType="begin"/>
            </w:r>
            <w:r w:rsidR="004E7496">
              <w:rPr>
                <w:noProof/>
                <w:webHidden/>
              </w:rPr>
              <w:instrText xml:space="preserve"> PAGEREF _Toc29197232 \h </w:instrText>
            </w:r>
            <w:r w:rsidR="004E7496">
              <w:rPr>
                <w:noProof/>
                <w:webHidden/>
              </w:rPr>
            </w:r>
            <w:r w:rsidR="004E7496">
              <w:rPr>
                <w:noProof/>
                <w:webHidden/>
              </w:rPr>
              <w:fldChar w:fldCharType="separate"/>
            </w:r>
            <w:r w:rsidR="004E7496">
              <w:rPr>
                <w:noProof/>
                <w:webHidden/>
              </w:rPr>
              <w:t>10</w:t>
            </w:r>
            <w:r w:rsidR="004E7496">
              <w:rPr>
                <w:noProof/>
                <w:webHidden/>
              </w:rPr>
              <w:fldChar w:fldCharType="end"/>
            </w:r>
          </w:hyperlink>
        </w:p>
        <w:p w14:paraId="74E0FAA1" w14:textId="2C64817C" w:rsidR="004E7496" w:rsidRDefault="007638F2">
          <w:pPr>
            <w:pStyle w:val="TOC2"/>
            <w:tabs>
              <w:tab w:val="right" w:leader="dot" w:pos="9016"/>
            </w:tabs>
            <w:rPr>
              <w:rFonts w:eastAsiaTheme="minorEastAsia"/>
              <w:noProof/>
              <w:lang w:eastAsia="en-AU"/>
            </w:rPr>
          </w:pPr>
          <w:hyperlink w:anchor="_Toc29197233" w:history="1">
            <w:r w:rsidR="004E7496" w:rsidRPr="0091465F">
              <w:rPr>
                <w:rStyle w:val="Hyperlink"/>
                <w:noProof/>
              </w:rPr>
              <w:t>Link-me trial</w:t>
            </w:r>
            <w:r w:rsidR="004E7496">
              <w:rPr>
                <w:noProof/>
                <w:webHidden/>
              </w:rPr>
              <w:tab/>
            </w:r>
            <w:r w:rsidR="004E7496">
              <w:rPr>
                <w:noProof/>
                <w:webHidden/>
              </w:rPr>
              <w:fldChar w:fldCharType="begin"/>
            </w:r>
            <w:r w:rsidR="004E7496">
              <w:rPr>
                <w:noProof/>
                <w:webHidden/>
              </w:rPr>
              <w:instrText xml:space="preserve"> PAGEREF _Toc29197233 \h </w:instrText>
            </w:r>
            <w:r w:rsidR="004E7496">
              <w:rPr>
                <w:noProof/>
                <w:webHidden/>
              </w:rPr>
            </w:r>
            <w:r w:rsidR="004E7496">
              <w:rPr>
                <w:noProof/>
                <w:webHidden/>
              </w:rPr>
              <w:fldChar w:fldCharType="separate"/>
            </w:r>
            <w:r w:rsidR="004E7496">
              <w:rPr>
                <w:noProof/>
                <w:webHidden/>
              </w:rPr>
              <w:t>10</w:t>
            </w:r>
            <w:r w:rsidR="004E7496">
              <w:rPr>
                <w:noProof/>
                <w:webHidden/>
              </w:rPr>
              <w:fldChar w:fldCharType="end"/>
            </w:r>
          </w:hyperlink>
        </w:p>
        <w:p w14:paraId="75FBDF5B" w14:textId="29BA1278" w:rsidR="004E7496" w:rsidRDefault="007638F2">
          <w:pPr>
            <w:pStyle w:val="TOC2"/>
            <w:tabs>
              <w:tab w:val="right" w:leader="dot" w:pos="9016"/>
            </w:tabs>
            <w:rPr>
              <w:rFonts w:eastAsiaTheme="minorEastAsia"/>
              <w:noProof/>
              <w:lang w:eastAsia="en-AU"/>
            </w:rPr>
          </w:pPr>
          <w:hyperlink w:anchor="_Toc29197234" w:history="1">
            <w:r w:rsidR="004E7496" w:rsidRPr="0091465F">
              <w:rPr>
                <w:rStyle w:val="Hyperlink"/>
                <w:noProof/>
              </w:rPr>
              <w:t>Online programs</w:t>
            </w:r>
            <w:r w:rsidR="004E7496">
              <w:rPr>
                <w:noProof/>
                <w:webHidden/>
              </w:rPr>
              <w:tab/>
            </w:r>
            <w:r w:rsidR="004E7496">
              <w:rPr>
                <w:noProof/>
                <w:webHidden/>
              </w:rPr>
              <w:fldChar w:fldCharType="begin"/>
            </w:r>
            <w:r w:rsidR="004E7496">
              <w:rPr>
                <w:noProof/>
                <w:webHidden/>
              </w:rPr>
              <w:instrText xml:space="preserve"> PAGEREF _Toc29197234 \h </w:instrText>
            </w:r>
            <w:r w:rsidR="004E7496">
              <w:rPr>
                <w:noProof/>
                <w:webHidden/>
              </w:rPr>
            </w:r>
            <w:r w:rsidR="004E7496">
              <w:rPr>
                <w:noProof/>
                <w:webHidden/>
              </w:rPr>
              <w:fldChar w:fldCharType="separate"/>
            </w:r>
            <w:r w:rsidR="004E7496">
              <w:rPr>
                <w:noProof/>
                <w:webHidden/>
              </w:rPr>
              <w:t>11</w:t>
            </w:r>
            <w:r w:rsidR="004E7496">
              <w:rPr>
                <w:noProof/>
                <w:webHidden/>
              </w:rPr>
              <w:fldChar w:fldCharType="end"/>
            </w:r>
          </w:hyperlink>
        </w:p>
        <w:p w14:paraId="5AB4A36A" w14:textId="04EBBCAE" w:rsidR="004E7496" w:rsidRDefault="007638F2">
          <w:pPr>
            <w:pStyle w:val="TOC2"/>
            <w:tabs>
              <w:tab w:val="right" w:leader="dot" w:pos="9016"/>
            </w:tabs>
            <w:rPr>
              <w:rFonts w:eastAsiaTheme="minorEastAsia"/>
              <w:noProof/>
              <w:lang w:eastAsia="en-AU"/>
            </w:rPr>
          </w:pPr>
          <w:hyperlink w:anchor="_Toc29197235" w:history="1">
            <w:r w:rsidR="004E7496" w:rsidRPr="0091465F">
              <w:rPr>
                <w:rStyle w:val="Hyperlink"/>
                <w:noProof/>
              </w:rPr>
              <w:t>Mental health training</w:t>
            </w:r>
            <w:r w:rsidR="004E7496">
              <w:rPr>
                <w:noProof/>
                <w:webHidden/>
              </w:rPr>
              <w:tab/>
            </w:r>
            <w:r w:rsidR="004E7496">
              <w:rPr>
                <w:noProof/>
                <w:webHidden/>
              </w:rPr>
              <w:fldChar w:fldCharType="begin"/>
            </w:r>
            <w:r w:rsidR="004E7496">
              <w:rPr>
                <w:noProof/>
                <w:webHidden/>
              </w:rPr>
              <w:instrText xml:space="preserve"> PAGEREF _Toc29197235 \h </w:instrText>
            </w:r>
            <w:r w:rsidR="004E7496">
              <w:rPr>
                <w:noProof/>
                <w:webHidden/>
              </w:rPr>
            </w:r>
            <w:r w:rsidR="004E7496">
              <w:rPr>
                <w:noProof/>
                <w:webHidden/>
              </w:rPr>
              <w:fldChar w:fldCharType="separate"/>
            </w:r>
            <w:r w:rsidR="004E7496">
              <w:rPr>
                <w:noProof/>
                <w:webHidden/>
              </w:rPr>
              <w:t>11</w:t>
            </w:r>
            <w:r w:rsidR="004E7496">
              <w:rPr>
                <w:noProof/>
                <w:webHidden/>
              </w:rPr>
              <w:fldChar w:fldCharType="end"/>
            </w:r>
          </w:hyperlink>
        </w:p>
        <w:p w14:paraId="5EEDEF00" w14:textId="17DE7552" w:rsidR="004E7496" w:rsidRDefault="007638F2">
          <w:pPr>
            <w:pStyle w:val="TOC2"/>
            <w:tabs>
              <w:tab w:val="right" w:leader="dot" w:pos="9016"/>
            </w:tabs>
            <w:rPr>
              <w:rFonts w:eastAsiaTheme="minorEastAsia"/>
              <w:noProof/>
              <w:lang w:eastAsia="en-AU"/>
            </w:rPr>
          </w:pPr>
          <w:hyperlink w:anchor="_Toc29197236" w:history="1">
            <w:r w:rsidR="004E7496" w:rsidRPr="0091465F">
              <w:rPr>
                <w:rStyle w:val="Hyperlink"/>
                <w:noProof/>
              </w:rPr>
              <w:t>Social &amp; emotional learning programs; wellbeing leaders</w:t>
            </w:r>
            <w:r w:rsidR="004E7496">
              <w:rPr>
                <w:noProof/>
                <w:webHidden/>
              </w:rPr>
              <w:tab/>
            </w:r>
            <w:r w:rsidR="004E7496">
              <w:rPr>
                <w:noProof/>
                <w:webHidden/>
              </w:rPr>
              <w:fldChar w:fldCharType="begin"/>
            </w:r>
            <w:r w:rsidR="004E7496">
              <w:rPr>
                <w:noProof/>
                <w:webHidden/>
              </w:rPr>
              <w:instrText xml:space="preserve"> PAGEREF _Toc29197236 \h </w:instrText>
            </w:r>
            <w:r w:rsidR="004E7496">
              <w:rPr>
                <w:noProof/>
                <w:webHidden/>
              </w:rPr>
            </w:r>
            <w:r w:rsidR="004E7496">
              <w:rPr>
                <w:noProof/>
                <w:webHidden/>
              </w:rPr>
              <w:fldChar w:fldCharType="separate"/>
            </w:r>
            <w:r w:rsidR="004E7496">
              <w:rPr>
                <w:noProof/>
                <w:webHidden/>
              </w:rPr>
              <w:t>11</w:t>
            </w:r>
            <w:r w:rsidR="004E7496">
              <w:rPr>
                <w:noProof/>
                <w:webHidden/>
              </w:rPr>
              <w:fldChar w:fldCharType="end"/>
            </w:r>
          </w:hyperlink>
        </w:p>
        <w:p w14:paraId="68F6B681" w14:textId="19893B33" w:rsidR="004E7496" w:rsidRDefault="007638F2">
          <w:pPr>
            <w:pStyle w:val="TOC2"/>
            <w:tabs>
              <w:tab w:val="right" w:leader="dot" w:pos="9016"/>
            </w:tabs>
            <w:rPr>
              <w:rFonts w:eastAsiaTheme="minorEastAsia"/>
              <w:noProof/>
              <w:lang w:eastAsia="en-AU"/>
            </w:rPr>
          </w:pPr>
          <w:hyperlink w:anchor="_Toc29197237" w:history="1">
            <w:r w:rsidR="004E7496" w:rsidRPr="0091465F">
              <w:rPr>
                <w:rStyle w:val="Hyperlink"/>
                <w:noProof/>
              </w:rPr>
              <w:t>Stigma reduction</w:t>
            </w:r>
            <w:r w:rsidR="004E7496">
              <w:rPr>
                <w:noProof/>
                <w:webHidden/>
              </w:rPr>
              <w:tab/>
            </w:r>
            <w:r w:rsidR="004E7496">
              <w:rPr>
                <w:noProof/>
                <w:webHidden/>
              </w:rPr>
              <w:fldChar w:fldCharType="begin"/>
            </w:r>
            <w:r w:rsidR="004E7496">
              <w:rPr>
                <w:noProof/>
                <w:webHidden/>
              </w:rPr>
              <w:instrText xml:space="preserve"> PAGEREF _Toc29197237 \h </w:instrText>
            </w:r>
            <w:r w:rsidR="004E7496">
              <w:rPr>
                <w:noProof/>
                <w:webHidden/>
              </w:rPr>
            </w:r>
            <w:r w:rsidR="004E7496">
              <w:rPr>
                <w:noProof/>
                <w:webHidden/>
              </w:rPr>
              <w:fldChar w:fldCharType="separate"/>
            </w:r>
            <w:r w:rsidR="004E7496">
              <w:rPr>
                <w:noProof/>
                <w:webHidden/>
              </w:rPr>
              <w:t>12</w:t>
            </w:r>
            <w:r w:rsidR="004E7496">
              <w:rPr>
                <w:noProof/>
                <w:webHidden/>
              </w:rPr>
              <w:fldChar w:fldCharType="end"/>
            </w:r>
          </w:hyperlink>
        </w:p>
        <w:p w14:paraId="5BC45518" w14:textId="57670260" w:rsidR="004E7496" w:rsidRDefault="007638F2">
          <w:pPr>
            <w:pStyle w:val="TOC2"/>
            <w:tabs>
              <w:tab w:val="right" w:leader="dot" w:pos="9016"/>
            </w:tabs>
            <w:rPr>
              <w:rFonts w:eastAsiaTheme="minorEastAsia"/>
              <w:noProof/>
              <w:lang w:eastAsia="en-AU"/>
            </w:rPr>
          </w:pPr>
          <w:hyperlink w:anchor="_Toc29197238" w:history="1">
            <w:r w:rsidR="004E7496" w:rsidRPr="0091465F">
              <w:rPr>
                <w:rStyle w:val="Hyperlink"/>
                <w:noProof/>
              </w:rPr>
              <w:t>Suicide and Aftercare</w:t>
            </w:r>
            <w:r w:rsidR="004E7496">
              <w:rPr>
                <w:noProof/>
                <w:webHidden/>
              </w:rPr>
              <w:tab/>
            </w:r>
            <w:r w:rsidR="004E7496">
              <w:rPr>
                <w:noProof/>
                <w:webHidden/>
              </w:rPr>
              <w:fldChar w:fldCharType="begin"/>
            </w:r>
            <w:r w:rsidR="004E7496">
              <w:rPr>
                <w:noProof/>
                <w:webHidden/>
              </w:rPr>
              <w:instrText xml:space="preserve"> PAGEREF _Toc29197238 \h </w:instrText>
            </w:r>
            <w:r w:rsidR="004E7496">
              <w:rPr>
                <w:noProof/>
                <w:webHidden/>
              </w:rPr>
            </w:r>
            <w:r w:rsidR="004E7496">
              <w:rPr>
                <w:noProof/>
                <w:webHidden/>
              </w:rPr>
              <w:fldChar w:fldCharType="separate"/>
            </w:r>
            <w:r w:rsidR="004E7496">
              <w:rPr>
                <w:noProof/>
                <w:webHidden/>
              </w:rPr>
              <w:t>12</w:t>
            </w:r>
            <w:r w:rsidR="004E7496">
              <w:rPr>
                <w:noProof/>
                <w:webHidden/>
              </w:rPr>
              <w:fldChar w:fldCharType="end"/>
            </w:r>
          </w:hyperlink>
        </w:p>
        <w:p w14:paraId="16015895" w14:textId="011AFD62" w:rsidR="004E7496" w:rsidRDefault="007638F2">
          <w:pPr>
            <w:pStyle w:val="TOC2"/>
            <w:tabs>
              <w:tab w:val="right" w:leader="dot" w:pos="9016"/>
            </w:tabs>
            <w:rPr>
              <w:rFonts w:eastAsiaTheme="minorEastAsia"/>
              <w:noProof/>
              <w:lang w:eastAsia="en-AU"/>
            </w:rPr>
          </w:pPr>
          <w:hyperlink w:anchor="_Toc29197239" w:history="1">
            <w:r w:rsidR="004E7496" w:rsidRPr="0091465F">
              <w:rPr>
                <w:rStyle w:val="Hyperlink"/>
                <w:noProof/>
              </w:rPr>
              <w:t>Early Childhood</w:t>
            </w:r>
            <w:r w:rsidR="004E7496">
              <w:rPr>
                <w:noProof/>
                <w:webHidden/>
              </w:rPr>
              <w:tab/>
            </w:r>
            <w:r w:rsidR="004E7496">
              <w:rPr>
                <w:noProof/>
                <w:webHidden/>
              </w:rPr>
              <w:fldChar w:fldCharType="begin"/>
            </w:r>
            <w:r w:rsidR="004E7496">
              <w:rPr>
                <w:noProof/>
                <w:webHidden/>
              </w:rPr>
              <w:instrText xml:space="preserve"> PAGEREF _Toc29197239 \h </w:instrText>
            </w:r>
            <w:r w:rsidR="004E7496">
              <w:rPr>
                <w:noProof/>
                <w:webHidden/>
              </w:rPr>
            </w:r>
            <w:r w:rsidR="004E7496">
              <w:rPr>
                <w:noProof/>
                <w:webHidden/>
              </w:rPr>
              <w:fldChar w:fldCharType="separate"/>
            </w:r>
            <w:r w:rsidR="004E7496">
              <w:rPr>
                <w:noProof/>
                <w:webHidden/>
              </w:rPr>
              <w:t>12</w:t>
            </w:r>
            <w:r w:rsidR="004E7496">
              <w:rPr>
                <w:noProof/>
                <w:webHidden/>
              </w:rPr>
              <w:fldChar w:fldCharType="end"/>
            </w:r>
          </w:hyperlink>
        </w:p>
        <w:p w14:paraId="4CAFFDF5" w14:textId="008835C6" w:rsidR="004E7496" w:rsidRDefault="007638F2">
          <w:pPr>
            <w:pStyle w:val="TOC2"/>
            <w:tabs>
              <w:tab w:val="right" w:leader="dot" w:pos="9016"/>
            </w:tabs>
            <w:rPr>
              <w:rFonts w:eastAsiaTheme="minorEastAsia"/>
              <w:noProof/>
              <w:lang w:eastAsia="en-AU"/>
            </w:rPr>
          </w:pPr>
          <w:hyperlink w:anchor="_Toc29197240" w:history="1">
            <w:r w:rsidR="004E7496" w:rsidRPr="0091465F">
              <w:rPr>
                <w:rStyle w:val="Hyperlink"/>
                <w:noProof/>
              </w:rPr>
              <w:t>Expansion of LSAC funding to include analysis of existing data</w:t>
            </w:r>
            <w:r w:rsidR="004E7496">
              <w:rPr>
                <w:noProof/>
                <w:webHidden/>
              </w:rPr>
              <w:tab/>
            </w:r>
            <w:r w:rsidR="004E7496">
              <w:rPr>
                <w:noProof/>
                <w:webHidden/>
              </w:rPr>
              <w:fldChar w:fldCharType="begin"/>
            </w:r>
            <w:r w:rsidR="004E7496">
              <w:rPr>
                <w:noProof/>
                <w:webHidden/>
              </w:rPr>
              <w:instrText xml:space="preserve"> PAGEREF _Toc29197240 \h </w:instrText>
            </w:r>
            <w:r w:rsidR="004E7496">
              <w:rPr>
                <w:noProof/>
                <w:webHidden/>
              </w:rPr>
            </w:r>
            <w:r w:rsidR="004E7496">
              <w:rPr>
                <w:noProof/>
                <w:webHidden/>
              </w:rPr>
              <w:fldChar w:fldCharType="separate"/>
            </w:r>
            <w:r w:rsidR="004E7496">
              <w:rPr>
                <w:noProof/>
                <w:webHidden/>
              </w:rPr>
              <w:t>13</w:t>
            </w:r>
            <w:r w:rsidR="004E7496">
              <w:rPr>
                <w:noProof/>
                <w:webHidden/>
              </w:rPr>
              <w:fldChar w:fldCharType="end"/>
            </w:r>
          </w:hyperlink>
        </w:p>
        <w:p w14:paraId="16AE71D4" w14:textId="1E70B377" w:rsidR="004E7496" w:rsidRDefault="007638F2">
          <w:pPr>
            <w:pStyle w:val="TOC2"/>
            <w:tabs>
              <w:tab w:val="right" w:leader="dot" w:pos="9016"/>
            </w:tabs>
            <w:rPr>
              <w:rFonts w:eastAsiaTheme="minorEastAsia"/>
              <w:noProof/>
              <w:lang w:eastAsia="en-AU"/>
            </w:rPr>
          </w:pPr>
          <w:hyperlink w:anchor="_Toc29197241" w:history="1">
            <w:r w:rsidR="004E7496" w:rsidRPr="0091465F">
              <w:rPr>
                <w:rStyle w:val="Hyperlink"/>
                <w:noProof/>
              </w:rPr>
              <w:t>Young adults</w:t>
            </w:r>
            <w:r w:rsidR="004E7496">
              <w:rPr>
                <w:noProof/>
                <w:webHidden/>
              </w:rPr>
              <w:tab/>
            </w:r>
            <w:r w:rsidR="004E7496">
              <w:rPr>
                <w:noProof/>
                <w:webHidden/>
              </w:rPr>
              <w:fldChar w:fldCharType="begin"/>
            </w:r>
            <w:r w:rsidR="004E7496">
              <w:rPr>
                <w:noProof/>
                <w:webHidden/>
              </w:rPr>
              <w:instrText xml:space="preserve"> PAGEREF _Toc29197241 \h </w:instrText>
            </w:r>
            <w:r w:rsidR="004E7496">
              <w:rPr>
                <w:noProof/>
                <w:webHidden/>
              </w:rPr>
            </w:r>
            <w:r w:rsidR="004E7496">
              <w:rPr>
                <w:noProof/>
                <w:webHidden/>
              </w:rPr>
              <w:fldChar w:fldCharType="separate"/>
            </w:r>
            <w:r w:rsidR="004E7496">
              <w:rPr>
                <w:noProof/>
                <w:webHidden/>
              </w:rPr>
              <w:t>14</w:t>
            </w:r>
            <w:r w:rsidR="004E7496">
              <w:rPr>
                <w:noProof/>
                <w:webHidden/>
              </w:rPr>
              <w:fldChar w:fldCharType="end"/>
            </w:r>
          </w:hyperlink>
        </w:p>
        <w:p w14:paraId="3D5192FB" w14:textId="1FDEEE9C" w:rsidR="004E7496" w:rsidRDefault="007638F2">
          <w:pPr>
            <w:pStyle w:val="TOC2"/>
            <w:tabs>
              <w:tab w:val="right" w:leader="dot" w:pos="9016"/>
            </w:tabs>
            <w:rPr>
              <w:rFonts w:eastAsiaTheme="minorEastAsia"/>
              <w:noProof/>
              <w:lang w:eastAsia="en-AU"/>
            </w:rPr>
          </w:pPr>
          <w:hyperlink w:anchor="_Toc29197242" w:history="1">
            <w:r w:rsidR="004E7496" w:rsidRPr="0091465F">
              <w:rPr>
                <w:rStyle w:val="Hyperlink"/>
                <w:bCs/>
                <w:noProof/>
              </w:rPr>
              <w:t>Activities That Support the Mental Health and Wellbeing of Students</w:t>
            </w:r>
            <w:r w:rsidR="004E7496">
              <w:rPr>
                <w:noProof/>
                <w:webHidden/>
              </w:rPr>
              <w:tab/>
            </w:r>
            <w:r w:rsidR="004E7496">
              <w:rPr>
                <w:noProof/>
                <w:webHidden/>
              </w:rPr>
              <w:fldChar w:fldCharType="begin"/>
            </w:r>
            <w:r w:rsidR="004E7496">
              <w:rPr>
                <w:noProof/>
                <w:webHidden/>
              </w:rPr>
              <w:instrText xml:space="preserve"> PAGEREF _Toc29197242 \h </w:instrText>
            </w:r>
            <w:r w:rsidR="004E7496">
              <w:rPr>
                <w:noProof/>
                <w:webHidden/>
              </w:rPr>
            </w:r>
            <w:r w:rsidR="004E7496">
              <w:rPr>
                <w:noProof/>
                <w:webHidden/>
              </w:rPr>
              <w:fldChar w:fldCharType="separate"/>
            </w:r>
            <w:r w:rsidR="004E7496">
              <w:rPr>
                <w:noProof/>
                <w:webHidden/>
              </w:rPr>
              <w:t>15</w:t>
            </w:r>
            <w:r w:rsidR="004E7496">
              <w:rPr>
                <w:noProof/>
                <w:webHidden/>
              </w:rPr>
              <w:fldChar w:fldCharType="end"/>
            </w:r>
          </w:hyperlink>
        </w:p>
        <w:p w14:paraId="7D806D2A" w14:textId="675FFB95" w:rsidR="004E7496" w:rsidRDefault="007638F2">
          <w:pPr>
            <w:pStyle w:val="TOC3"/>
            <w:tabs>
              <w:tab w:val="right" w:leader="dot" w:pos="9016"/>
            </w:tabs>
            <w:rPr>
              <w:rFonts w:eastAsiaTheme="minorEastAsia"/>
              <w:noProof/>
              <w:lang w:eastAsia="en-AU"/>
            </w:rPr>
          </w:pPr>
          <w:hyperlink w:anchor="_Toc29197243" w:history="1">
            <w:r w:rsidR="004E7496" w:rsidRPr="0091465F">
              <w:rPr>
                <w:rStyle w:val="Hyperlink"/>
                <w:noProof/>
              </w:rPr>
              <w:t>Counselling</w:t>
            </w:r>
            <w:r w:rsidR="004E7496">
              <w:rPr>
                <w:noProof/>
                <w:webHidden/>
              </w:rPr>
              <w:tab/>
            </w:r>
            <w:r w:rsidR="004E7496">
              <w:rPr>
                <w:noProof/>
                <w:webHidden/>
              </w:rPr>
              <w:fldChar w:fldCharType="begin"/>
            </w:r>
            <w:r w:rsidR="004E7496">
              <w:rPr>
                <w:noProof/>
                <w:webHidden/>
              </w:rPr>
              <w:instrText xml:space="preserve"> PAGEREF _Toc29197243 \h </w:instrText>
            </w:r>
            <w:r w:rsidR="004E7496">
              <w:rPr>
                <w:noProof/>
                <w:webHidden/>
              </w:rPr>
            </w:r>
            <w:r w:rsidR="004E7496">
              <w:rPr>
                <w:noProof/>
                <w:webHidden/>
              </w:rPr>
              <w:fldChar w:fldCharType="separate"/>
            </w:r>
            <w:r w:rsidR="004E7496">
              <w:rPr>
                <w:noProof/>
                <w:webHidden/>
              </w:rPr>
              <w:t>15</w:t>
            </w:r>
            <w:r w:rsidR="004E7496">
              <w:rPr>
                <w:noProof/>
                <w:webHidden/>
              </w:rPr>
              <w:fldChar w:fldCharType="end"/>
            </w:r>
          </w:hyperlink>
        </w:p>
        <w:p w14:paraId="42E8D71F" w14:textId="29FFDD90" w:rsidR="004E7496" w:rsidRDefault="007638F2">
          <w:pPr>
            <w:pStyle w:val="TOC3"/>
            <w:tabs>
              <w:tab w:val="right" w:leader="dot" w:pos="9016"/>
            </w:tabs>
            <w:rPr>
              <w:rFonts w:eastAsiaTheme="minorEastAsia"/>
              <w:noProof/>
              <w:lang w:eastAsia="en-AU"/>
            </w:rPr>
          </w:pPr>
          <w:hyperlink w:anchor="_Toc29197244" w:history="1">
            <w:r w:rsidR="004E7496" w:rsidRPr="0091465F">
              <w:rPr>
                <w:rStyle w:val="Hyperlink"/>
                <w:noProof/>
              </w:rPr>
              <w:t>Uni Clinic and Online Services</w:t>
            </w:r>
            <w:r w:rsidR="004E7496">
              <w:rPr>
                <w:noProof/>
                <w:webHidden/>
              </w:rPr>
              <w:tab/>
            </w:r>
            <w:r w:rsidR="004E7496">
              <w:rPr>
                <w:noProof/>
                <w:webHidden/>
              </w:rPr>
              <w:fldChar w:fldCharType="begin"/>
            </w:r>
            <w:r w:rsidR="004E7496">
              <w:rPr>
                <w:noProof/>
                <w:webHidden/>
              </w:rPr>
              <w:instrText xml:space="preserve"> PAGEREF _Toc29197244 \h </w:instrText>
            </w:r>
            <w:r w:rsidR="004E7496">
              <w:rPr>
                <w:noProof/>
                <w:webHidden/>
              </w:rPr>
            </w:r>
            <w:r w:rsidR="004E7496">
              <w:rPr>
                <w:noProof/>
                <w:webHidden/>
              </w:rPr>
              <w:fldChar w:fldCharType="separate"/>
            </w:r>
            <w:r w:rsidR="004E7496">
              <w:rPr>
                <w:noProof/>
                <w:webHidden/>
              </w:rPr>
              <w:t>15</w:t>
            </w:r>
            <w:r w:rsidR="004E7496">
              <w:rPr>
                <w:noProof/>
                <w:webHidden/>
              </w:rPr>
              <w:fldChar w:fldCharType="end"/>
            </w:r>
          </w:hyperlink>
        </w:p>
        <w:p w14:paraId="7991ABA1" w14:textId="2BCC07AC" w:rsidR="004E7496" w:rsidRDefault="007638F2">
          <w:pPr>
            <w:pStyle w:val="TOC3"/>
            <w:tabs>
              <w:tab w:val="right" w:leader="dot" w:pos="9016"/>
            </w:tabs>
            <w:rPr>
              <w:rFonts w:eastAsiaTheme="minorEastAsia"/>
              <w:noProof/>
              <w:lang w:eastAsia="en-AU"/>
            </w:rPr>
          </w:pPr>
          <w:hyperlink w:anchor="_Toc29197245" w:history="1">
            <w:r w:rsidR="004E7496" w:rsidRPr="0091465F">
              <w:rPr>
                <w:rStyle w:val="Hyperlink"/>
                <w:noProof/>
              </w:rPr>
              <w:t>Courses</w:t>
            </w:r>
            <w:r w:rsidR="004E7496">
              <w:rPr>
                <w:noProof/>
                <w:webHidden/>
              </w:rPr>
              <w:tab/>
            </w:r>
            <w:r w:rsidR="004E7496">
              <w:rPr>
                <w:noProof/>
                <w:webHidden/>
              </w:rPr>
              <w:fldChar w:fldCharType="begin"/>
            </w:r>
            <w:r w:rsidR="004E7496">
              <w:rPr>
                <w:noProof/>
                <w:webHidden/>
              </w:rPr>
              <w:instrText xml:space="preserve"> PAGEREF _Toc29197245 \h </w:instrText>
            </w:r>
            <w:r w:rsidR="004E7496">
              <w:rPr>
                <w:noProof/>
                <w:webHidden/>
              </w:rPr>
            </w:r>
            <w:r w:rsidR="004E7496">
              <w:rPr>
                <w:noProof/>
                <w:webHidden/>
              </w:rPr>
              <w:fldChar w:fldCharType="separate"/>
            </w:r>
            <w:r w:rsidR="004E7496">
              <w:rPr>
                <w:noProof/>
                <w:webHidden/>
              </w:rPr>
              <w:t>16</w:t>
            </w:r>
            <w:r w:rsidR="004E7496">
              <w:rPr>
                <w:noProof/>
                <w:webHidden/>
              </w:rPr>
              <w:fldChar w:fldCharType="end"/>
            </w:r>
          </w:hyperlink>
        </w:p>
        <w:p w14:paraId="64724ADA" w14:textId="0086F51F" w:rsidR="004E7496" w:rsidRDefault="007638F2">
          <w:pPr>
            <w:pStyle w:val="TOC2"/>
            <w:tabs>
              <w:tab w:val="right" w:leader="dot" w:pos="9016"/>
            </w:tabs>
            <w:rPr>
              <w:rFonts w:eastAsiaTheme="minorEastAsia"/>
              <w:noProof/>
              <w:lang w:eastAsia="en-AU"/>
            </w:rPr>
          </w:pPr>
          <w:hyperlink w:anchor="_Toc29197246" w:history="1">
            <w:r w:rsidR="004E7496" w:rsidRPr="0091465F">
              <w:rPr>
                <w:rStyle w:val="Hyperlink"/>
                <w:noProof/>
              </w:rPr>
              <w:t>Psychological health and safety in workplace health and safety (WHS) laws</w:t>
            </w:r>
            <w:r w:rsidR="004E7496">
              <w:rPr>
                <w:noProof/>
                <w:webHidden/>
              </w:rPr>
              <w:tab/>
            </w:r>
            <w:r w:rsidR="004E7496">
              <w:rPr>
                <w:noProof/>
                <w:webHidden/>
              </w:rPr>
              <w:fldChar w:fldCharType="begin"/>
            </w:r>
            <w:r w:rsidR="004E7496">
              <w:rPr>
                <w:noProof/>
                <w:webHidden/>
              </w:rPr>
              <w:instrText xml:space="preserve"> PAGEREF _Toc29197246 \h </w:instrText>
            </w:r>
            <w:r w:rsidR="004E7496">
              <w:rPr>
                <w:noProof/>
                <w:webHidden/>
              </w:rPr>
            </w:r>
            <w:r w:rsidR="004E7496">
              <w:rPr>
                <w:noProof/>
                <w:webHidden/>
              </w:rPr>
              <w:fldChar w:fldCharType="separate"/>
            </w:r>
            <w:r w:rsidR="004E7496">
              <w:rPr>
                <w:noProof/>
                <w:webHidden/>
              </w:rPr>
              <w:t>17</w:t>
            </w:r>
            <w:r w:rsidR="004E7496">
              <w:rPr>
                <w:noProof/>
                <w:webHidden/>
              </w:rPr>
              <w:fldChar w:fldCharType="end"/>
            </w:r>
          </w:hyperlink>
        </w:p>
        <w:p w14:paraId="0FAE87B5" w14:textId="6360B0AF" w:rsidR="004E7496" w:rsidRDefault="007638F2">
          <w:pPr>
            <w:pStyle w:val="TOC1"/>
            <w:tabs>
              <w:tab w:val="right" w:leader="dot" w:pos="9016"/>
            </w:tabs>
            <w:rPr>
              <w:rFonts w:eastAsiaTheme="minorEastAsia"/>
              <w:noProof/>
              <w:lang w:eastAsia="en-AU"/>
            </w:rPr>
          </w:pPr>
          <w:hyperlink w:anchor="_Toc29197247" w:history="1">
            <w:r w:rsidR="004E7496" w:rsidRPr="0091465F">
              <w:rPr>
                <w:rStyle w:val="Hyperlink"/>
                <w:noProof/>
              </w:rPr>
              <w:t>Other Suggestions for the Final Report</w:t>
            </w:r>
            <w:r w:rsidR="004E7496">
              <w:rPr>
                <w:noProof/>
                <w:webHidden/>
              </w:rPr>
              <w:tab/>
            </w:r>
            <w:r w:rsidR="004E7496">
              <w:rPr>
                <w:noProof/>
                <w:webHidden/>
              </w:rPr>
              <w:fldChar w:fldCharType="begin"/>
            </w:r>
            <w:r w:rsidR="004E7496">
              <w:rPr>
                <w:noProof/>
                <w:webHidden/>
              </w:rPr>
              <w:instrText xml:space="preserve"> PAGEREF _Toc29197247 \h </w:instrText>
            </w:r>
            <w:r w:rsidR="004E7496">
              <w:rPr>
                <w:noProof/>
                <w:webHidden/>
              </w:rPr>
            </w:r>
            <w:r w:rsidR="004E7496">
              <w:rPr>
                <w:noProof/>
                <w:webHidden/>
              </w:rPr>
              <w:fldChar w:fldCharType="separate"/>
            </w:r>
            <w:r w:rsidR="004E7496">
              <w:rPr>
                <w:noProof/>
                <w:webHidden/>
              </w:rPr>
              <w:t>18</w:t>
            </w:r>
            <w:r w:rsidR="004E7496">
              <w:rPr>
                <w:noProof/>
                <w:webHidden/>
              </w:rPr>
              <w:fldChar w:fldCharType="end"/>
            </w:r>
          </w:hyperlink>
        </w:p>
        <w:p w14:paraId="3598DD8E" w14:textId="1EDFA2D7" w:rsidR="004E7496" w:rsidRDefault="007638F2">
          <w:pPr>
            <w:pStyle w:val="TOC2"/>
            <w:tabs>
              <w:tab w:val="right" w:leader="dot" w:pos="9016"/>
            </w:tabs>
            <w:rPr>
              <w:rFonts w:eastAsiaTheme="minorEastAsia"/>
              <w:noProof/>
              <w:lang w:eastAsia="en-AU"/>
            </w:rPr>
          </w:pPr>
          <w:hyperlink w:anchor="_Toc29197248" w:history="1">
            <w:r w:rsidR="004E7496" w:rsidRPr="0091465F">
              <w:rPr>
                <w:rStyle w:val="Hyperlink"/>
                <w:noProof/>
              </w:rPr>
              <w:t>Greater focus on young adults</w:t>
            </w:r>
            <w:r w:rsidR="004E7496">
              <w:rPr>
                <w:noProof/>
                <w:webHidden/>
              </w:rPr>
              <w:tab/>
            </w:r>
            <w:r w:rsidR="004E7496">
              <w:rPr>
                <w:noProof/>
                <w:webHidden/>
              </w:rPr>
              <w:fldChar w:fldCharType="begin"/>
            </w:r>
            <w:r w:rsidR="004E7496">
              <w:rPr>
                <w:noProof/>
                <w:webHidden/>
              </w:rPr>
              <w:instrText xml:space="preserve"> PAGEREF _Toc29197248 \h </w:instrText>
            </w:r>
            <w:r w:rsidR="004E7496">
              <w:rPr>
                <w:noProof/>
                <w:webHidden/>
              </w:rPr>
            </w:r>
            <w:r w:rsidR="004E7496">
              <w:rPr>
                <w:noProof/>
                <w:webHidden/>
              </w:rPr>
              <w:fldChar w:fldCharType="separate"/>
            </w:r>
            <w:r w:rsidR="004E7496">
              <w:rPr>
                <w:noProof/>
                <w:webHidden/>
              </w:rPr>
              <w:t>18</w:t>
            </w:r>
            <w:r w:rsidR="004E7496">
              <w:rPr>
                <w:noProof/>
                <w:webHidden/>
              </w:rPr>
              <w:fldChar w:fldCharType="end"/>
            </w:r>
          </w:hyperlink>
        </w:p>
        <w:p w14:paraId="44787045" w14:textId="778A788E" w:rsidR="004E7496" w:rsidRDefault="007638F2">
          <w:pPr>
            <w:pStyle w:val="TOC2"/>
            <w:tabs>
              <w:tab w:val="right" w:leader="dot" w:pos="9016"/>
            </w:tabs>
            <w:rPr>
              <w:rFonts w:eastAsiaTheme="minorEastAsia"/>
              <w:noProof/>
              <w:lang w:eastAsia="en-AU"/>
            </w:rPr>
          </w:pPr>
          <w:hyperlink w:anchor="_Toc29197249" w:history="1">
            <w:r w:rsidR="004E7496" w:rsidRPr="0091465F">
              <w:rPr>
                <w:rStyle w:val="Hyperlink"/>
                <w:noProof/>
              </w:rPr>
              <w:t>Implementing a population health perspective</w:t>
            </w:r>
            <w:r w:rsidR="004E7496">
              <w:rPr>
                <w:noProof/>
                <w:webHidden/>
              </w:rPr>
              <w:tab/>
            </w:r>
            <w:r w:rsidR="004E7496">
              <w:rPr>
                <w:noProof/>
                <w:webHidden/>
              </w:rPr>
              <w:fldChar w:fldCharType="begin"/>
            </w:r>
            <w:r w:rsidR="004E7496">
              <w:rPr>
                <w:noProof/>
                <w:webHidden/>
              </w:rPr>
              <w:instrText xml:space="preserve"> PAGEREF _Toc29197249 \h </w:instrText>
            </w:r>
            <w:r w:rsidR="004E7496">
              <w:rPr>
                <w:noProof/>
                <w:webHidden/>
              </w:rPr>
            </w:r>
            <w:r w:rsidR="004E7496">
              <w:rPr>
                <w:noProof/>
                <w:webHidden/>
              </w:rPr>
              <w:fldChar w:fldCharType="separate"/>
            </w:r>
            <w:r w:rsidR="004E7496">
              <w:rPr>
                <w:noProof/>
                <w:webHidden/>
              </w:rPr>
              <w:t>19</w:t>
            </w:r>
            <w:r w:rsidR="004E7496">
              <w:rPr>
                <w:noProof/>
                <w:webHidden/>
              </w:rPr>
              <w:fldChar w:fldCharType="end"/>
            </w:r>
          </w:hyperlink>
        </w:p>
        <w:p w14:paraId="5B77DF2E" w14:textId="4ADA7AEB" w:rsidR="004E7496" w:rsidRDefault="007638F2">
          <w:pPr>
            <w:pStyle w:val="TOC2"/>
            <w:tabs>
              <w:tab w:val="right" w:leader="dot" w:pos="9016"/>
            </w:tabs>
            <w:rPr>
              <w:rFonts w:eastAsiaTheme="minorEastAsia"/>
              <w:noProof/>
              <w:lang w:eastAsia="en-AU"/>
            </w:rPr>
          </w:pPr>
          <w:hyperlink w:anchor="_Toc29197250" w:history="1">
            <w:r w:rsidR="004E7496" w:rsidRPr="0091465F">
              <w:rPr>
                <w:rStyle w:val="Hyperlink"/>
                <w:noProof/>
              </w:rPr>
              <w:t>The Role of Psychologists and Clinical Psychologists</w:t>
            </w:r>
            <w:r w:rsidR="004E7496">
              <w:rPr>
                <w:noProof/>
                <w:webHidden/>
              </w:rPr>
              <w:tab/>
            </w:r>
            <w:r w:rsidR="004E7496">
              <w:rPr>
                <w:noProof/>
                <w:webHidden/>
              </w:rPr>
              <w:fldChar w:fldCharType="begin"/>
            </w:r>
            <w:r w:rsidR="004E7496">
              <w:rPr>
                <w:noProof/>
                <w:webHidden/>
              </w:rPr>
              <w:instrText xml:space="preserve"> PAGEREF _Toc29197250 \h </w:instrText>
            </w:r>
            <w:r w:rsidR="004E7496">
              <w:rPr>
                <w:noProof/>
                <w:webHidden/>
              </w:rPr>
            </w:r>
            <w:r w:rsidR="004E7496">
              <w:rPr>
                <w:noProof/>
                <w:webHidden/>
              </w:rPr>
              <w:fldChar w:fldCharType="separate"/>
            </w:r>
            <w:r w:rsidR="004E7496">
              <w:rPr>
                <w:noProof/>
                <w:webHidden/>
              </w:rPr>
              <w:t>20</w:t>
            </w:r>
            <w:r w:rsidR="004E7496">
              <w:rPr>
                <w:noProof/>
                <w:webHidden/>
              </w:rPr>
              <w:fldChar w:fldCharType="end"/>
            </w:r>
          </w:hyperlink>
        </w:p>
        <w:p w14:paraId="20B9D8EE" w14:textId="03A8FC90" w:rsidR="004E7496" w:rsidRDefault="007638F2">
          <w:pPr>
            <w:pStyle w:val="TOC2"/>
            <w:tabs>
              <w:tab w:val="right" w:leader="dot" w:pos="9016"/>
            </w:tabs>
            <w:rPr>
              <w:rFonts w:eastAsiaTheme="minorEastAsia"/>
              <w:noProof/>
              <w:lang w:eastAsia="en-AU"/>
            </w:rPr>
          </w:pPr>
          <w:hyperlink w:anchor="_Toc29197251" w:history="1">
            <w:r w:rsidR="004E7496" w:rsidRPr="0091465F">
              <w:rPr>
                <w:rStyle w:val="Hyperlink"/>
                <w:noProof/>
              </w:rPr>
              <w:t>Mental Health Treatment Plans</w:t>
            </w:r>
            <w:r w:rsidR="004E7496">
              <w:rPr>
                <w:noProof/>
                <w:webHidden/>
              </w:rPr>
              <w:tab/>
            </w:r>
            <w:r w:rsidR="004E7496">
              <w:rPr>
                <w:noProof/>
                <w:webHidden/>
              </w:rPr>
              <w:fldChar w:fldCharType="begin"/>
            </w:r>
            <w:r w:rsidR="004E7496">
              <w:rPr>
                <w:noProof/>
                <w:webHidden/>
              </w:rPr>
              <w:instrText xml:space="preserve"> PAGEREF _Toc29197251 \h </w:instrText>
            </w:r>
            <w:r w:rsidR="004E7496">
              <w:rPr>
                <w:noProof/>
                <w:webHidden/>
              </w:rPr>
            </w:r>
            <w:r w:rsidR="004E7496">
              <w:rPr>
                <w:noProof/>
                <w:webHidden/>
              </w:rPr>
              <w:fldChar w:fldCharType="separate"/>
            </w:r>
            <w:r w:rsidR="004E7496">
              <w:rPr>
                <w:noProof/>
                <w:webHidden/>
              </w:rPr>
              <w:t>24</w:t>
            </w:r>
            <w:r w:rsidR="004E7496">
              <w:rPr>
                <w:noProof/>
                <w:webHidden/>
              </w:rPr>
              <w:fldChar w:fldCharType="end"/>
            </w:r>
          </w:hyperlink>
        </w:p>
        <w:p w14:paraId="14C3E78C" w14:textId="254152FF" w:rsidR="004E7496" w:rsidRDefault="007638F2">
          <w:pPr>
            <w:pStyle w:val="TOC2"/>
            <w:tabs>
              <w:tab w:val="right" w:leader="dot" w:pos="9016"/>
            </w:tabs>
            <w:rPr>
              <w:rFonts w:eastAsiaTheme="minorEastAsia"/>
              <w:noProof/>
              <w:lang w:eastAsia="en-AU"/>
            </w:rPr>
          </w:pPr>
          <w:hyperlink w:anchor="_Toc29197252" w:history="1">
            <w:r w:rsidR="004E7496" w:rsidRPr="0091465F">
              <w:rPr>
                <w:rStyle w:val="Hyperlink"/>
                <w:noProof/>
              </w:rPr>
              <w:t>The Need to Build a Strong Evidence Base and Evaluative Feedback</w:t>
            </w:r>
            <w:r w:rsidR="004E7496">
              <w:rPr>
                <w:noProof/>
                <w:webHidden/>
              </w:rPr>
              <w:tab/>
            </w:r>
            <w:r w:rsidR="004E7496">
              <w:rPr>
                <w:noProof/>
                <w:webHidden/>
              </w:rPr>
              <w:fldChar w:fldCharType="begin"/>
            </w:r>
            <w:r w:rsidR="004E7496">
              <w:rPr>
                <w:noProof/>
                <w:webHidden/>
              </w:rPr>
              <w:instrText xml:space="preserve"> PAGEREF _Toc29197252 \h </w:instrText>
            </w:r>
            <w:r w:rsidR="004E7496">
              <w:rPr>
                <w:noProof/>
                <w:webHidden/>
              </w:rPr>
            </w:r>
            <w:r w:rsidR="004E7496">
              <w:rPr>
                <w:noProof/>
                <w:webHidden/>
              </w:rPr>
              <w:fldChar w:fldCharType="separate"/>
            </w:r>
            <w:r w:rsidR="004E7496">
              <w:rPr>
                <w:noProof/>
                <w:webHidden/>
              </w:rPr>
              <w:t>24</w:t>
            </w:r>
            <w:r w:rsidR="004E7496">
              <w:rPr>
                <w:noProof/>
                <w:webHidden/>
              </w:rPr>
              <w:fldChar w:fldCharType="end"/>
            </w:r>
          </w:hyperlink>
        </w:p>
        <w:p w14:paraId="3A96AB78" w14:textId="0EAB32FC" w:rsidR="004E7496" w:rsidRDefault="007638F2">
          <w:pPr>
            <w:pStyle w:val="TOC1"/>
            <w:tabs>
              <w:tab w:val="right" w:leader="dot" w:pos="9016"/>
            </w:tabs>
            <w:rPr>
              <w:rFonts w:eastAsiaTheme="minorEastAsia"/>
              <w:noProof/>
              <w:lang w:eastAsia="en-AU"/>
            </w:rPr>
          </w:pPr>
          <w:hyperlink w:anchor="_Toc29197253" w:history="1">
            <w:r w:rsidR="004E7496" w:rsidRPr="0091465F">
              <w:rPr>
                <w:rStyle w:val="Hyperlink"/>
                <w:noProof/>
              </w:rPr>
              <w:t>References</w:t>
            </w:r>
            <w:r w:rsidR="004E7496">
              <w:rPr>
                <w:noProof/>
                <w:webHidden/>
              </w:rPr>
              <w:tab/>
            </w:r>
            <w:r w:rsidR="004E7496">
              <w:rPr>
                <w:noProof/>
                <w:webHidden/>
              </w:rPr>
              <w:fldChar w:fldCharType="begin"/>
            </w:r>
            <w:r w:rsidR="004E7496">
              <w:rPr>
                <w:noProof/>
                <w:webHidden/>
              </w:rPr>
              <w:instrText xml:space="preserve"> PAGEREF _Toc29197253 \h </w:instrText>
            </w:r>
            <w:r w:rsidR="004E7496">
              <w:rPr>
                <w:noProof/>
                <w:webHidden/>
              </w:rPr>
            </w:r>
            <w:r w:rsidR="004E7496">
              <w:rPr>
                <w:noProof/>
                <w:webHidden/>
              </w:rPr>
              <w:fldChar w:fldCharType="separate"/>
            </w:r>
            <w:r w:rsidR="004E7496">
              <w:rPr>
                <w:noProof/>
                <w:webHidden/>
              </w:rPr>
              <w:t>26</w:t>
            </w:r>
            <w:r w:rsidR="004E7496">
              <w:rPr>
                <w:noProof/>
                <w:webHidden/>
              </w:rPr>
              <w:fldChar w:fldCharType="end"/>
            </w:r>
          </w:hyperlink>
        </w:p>
        <w:p w14:paraId="764FF31A" w14:textId="413CEA9E" w:rsidR="002C1E3A" w:rsidRPr="00F94270" w:rsidRDefault="002C1E3A" w:rsidP="00F94270">
          <w:pPr>
            <w:pStyle w:val="TOC1"/>
            <w:tabs>
              <w:tab w:val="right" w:leader="dot" w:pos="9016"/>
            </w:tabs>
            <w:rPr>
              <w:sz w:val="24"/>
              <w:szCs w:val="24"/>
            </w:rPr>
          </w:pPr>
          <w:r w:rsidRPr="00F94270">
            <w:rPr>
              <w:b/>
              <w:bCs/>
              <w:noProof/>
              <w:sz w:val="24"/>
              <w:szCs w:val="24"/>
            </w:rPr>
            <w:fldChar w:fldCharType="end"/>
          </w:r>
        </w:p>
      </w:sdtContent>
    </w:sdt>
    <w:p w14:paraId="6FFA5393" w14:textId="426422C1" w:rsidR="00552973" w:rsidRDefault="002C1E3A" w:rsidP="00F94270">
      <w:pPr>
        <w:pStyle w:val="Heading1"/>
      </w:pPr>
      <w:r>
        <w:br w:type="page"/>
      </w:r>
      <w:bookmarkStart w:id="1" w:name="_Toc29197222"/>
      <w:r w:rsidR="00552973">
        <w:lastRenderedPageBreak/>
        <w:t>List of Contributors</w:t>
      </w:r>
      <w:bookmarkEnd w:id="1"/>
    </w:p>
    <w:p w14:paraId="1CA7623F" w14:textId="1DB4700A" w:rsidR="00552973" w:rsidRPr="00552973" w:rsidRDefault="00552973" w:rsidP="00552973">
      <w:r>
        <w:t>(in alphabetical order)</w:t>
      </w:r>
    </w:p>
    <w:tbl>
      <w:tblPr>
        <w:tblStyle w:val="TableGrid"/>
        <w:tblW w:w="0" w:type="auto"/>
        <w:tblLook w:val="04A0" w:firstRow="1" w:lastRow="0" w:firstColumn="1" w:lastColumn="0" w:noHBand="0" w:noVBand="1"/>
      </w:tblPr>
      <w:tblGrid>
        <w:gridCol w:w="3397"/>
        <w:gridCol w:w="5619"/>
      </w:tblGrid>
      <w:tr w:rsidR="00552973" w:rsidRPr="00552973" w14:paraId="43A1BDB7" w14:textId="77777777" w:rsidTr="00552973">
        <w:tc>
          <w:tcPr>
            <w:tcW w:w="3397" w:type="dxa"/>
          </w:tcPr>
          <w:p w14:paraId="6E4A8C51" w14:textId="24699514" w:rsidR="00552973" w:rsidRPr="00552973" w:rsidRDefault="00552973" w:rsidP="00552973">
            <w:pPr>
              <w:rPr>
                <w:rFonts w:cstheme="minorHAnsi"/>
                <w:b/>
                <w:bCs/>
                <w:sz w:val="24"/>
                <w:szCs w:val="24"/>
              </w:rPr>
            </w:pPr>
            <w:r w:rsidRPr="00552973">
              <w:rPr>
                <w:rFonts w:cstheme="minorHAnsi"/>
                <w:b/>
                <w:bCs/>
                <w:sz w:val="24"/>
                <w:szCs w:val="24"/>
              </w:rPr>
              <w:t>Name</w:t>
            </w:r>
          </w:p>
        </w:tc>
        <w:tc>
          <w:tcPr>
            <w:tcW w:w="5619" w:type="dxa"/>
          </w:tcPr>
          <w:p w14:paraId="3CF5FAC2" w14:textId="3399F864" w:rsidR="00552973" w:rsidRPr="00552973" w:rsidRDefault="00552973" w:rsidP="00552973">
            <w:pPr>
              <w:rPr>
                <w:rFonts w:cstheme="minorHAnsi"/>
                <w:b/>
                <w:bCs/>
                <w:sz w:val="24"/>
                <w:szCs w:val="24"/>
              </w:rPr>
            </w:pPr>
            <w:r w:rsidRPr="00552973">
              <w:rPr>
                <w:rFonts w:cstheme="minorHAnsi"/>
                <w:b/>
                <w:bCs/>
                <w:sz w:val="24"/>
                <w:szCs w:val="24"/>
              </w:rPr>
              <w:t>Position</w:t>
            </w:r>
          </w:p>
        </w:tc>
      </w:tr>
      <w:tr w:rsidR="00552973" w:rsidRPr="00552973" w14:paraId="0D4B4151" w14:textId="77777777" w:rsidTr="00647EB4">
        <w:tc>
          <w:tcPr>
            <w:tcW w:w="3397" w:type="dxa"/>
          </w:tcPr>
          <w:p w14:paraId="100B0086" w14:textId="77777777" w:rsidR="00552973" w:rsidRPr="00552973" w:rsidRDefault="00552973" w:rsidP="00647EB4">
            <w:pPr>
              <w:rPr>
                <w:rFonts w:cstheme="minorHAnsi"/>
                <w:sz w:val="24"/>
                <w:szCs w:val="24"/>
              </w:rPr>
            </w:pPr>
            <w:r w:rsidRPr="00552973">
              <w:rPr>
                <w:rFonts w:cstheme="minorHAnsi"/>
                <w:sz w:val="24"/>
                <w:szCs w:val="24"/>
              </w:rPr>
              <w:t>Dr Michelle Banfield</w:t>
            </w:r>
          </w:p>
        </w:tc>
        <w:tc>
          <w:tcPr>
            <w:tcW w:w="5619" w:type="dxa"/>
          </w:tcPr>
          <w:p w14:paraId="111FD56C" w14:textId="1AEC7E2B" w:rsidR="00552973" w:rsidRPr="00552973" w:rsidRDefault="003A0ADA" w:rsidP="00647EB4">
            <w:pPr>
              <w:rPr>
                <w:rFonts w:cstheme="minorHAnsi"/>
                <w:sz w:val="24"/>
                <w:szCs w:val="24"/>
              </w:rPr>
            </w:pPr>
            <w:r>
              <w:rPr>
                <w:rFonts w:cstheme="minorHAnsi"/>
                <w:sz w:val="24"/>
                <w:szCs w:val="24"/>
              </w:rPr>
              <w:t>Research Fellow, Centre for Mental Health Research</w:t>
            </w:r>
          </w:p>
        </w:tc>
      </w:tr>
      <w:tr w:rsidR="00552973" w:rsidRPr="00552973" w14:paraId="1365B990" w14:textId="77777777" w:rsidTr="00552973">
        <w:tc>
          <w:tcPr>
            <w:tcW w:w="3397" w:type="dxa"/>
          </w:tcPr>
          <w:p w14:paraId="2EF7FC22" w14:textId="1BB7FB83" w:rsidR="00552973" w:rsidRPr="00552973" w:rsidRDefault="00552973" w:rsidP="00552973">
            <w:pPr>
              <w:rPr>
                <w:rFonts w:cstheme="minorHAnsi"/>
                <w:sz w:val="24"/>
                <w:szCs w:val="24"/>
              </w:rPr>
            </w:pPr>
            <w:r w:rsidRPr="00552973">
              <w:rPr>
                <w:rFonts w:cstheme="minorHAnsi"/>
                <w:sz w:val="24"/>
                <w:szCs w:val="24"/>
              </w:rPr>
              <w:t>Professor Philip Batterham</w:t>
            </w:r>
          </w:p>
        </w:tc>
        <w:tc>
          <w:tcPr>
            <w:tcW w:w="5619" w:type="dxa"/>
          </w:tcPr>
          <w:p w14:paraId="7A907858" w14:textId="589C9F79" w:rsidR="00552973" w:rsidRPr="00552973" w:rsidRDefault="003A0ADA" w:rsidP="003A0ADA">
            <w:pPr>
              <w:rPr>
                <w:rFonts w:cstheme="minorHAnsi"/>
                <w:sz w:val="24"/>
                <w:szCs w:val="24"/>
              </w:rPr>
            </w:pPr>
            <w:r w:rsidRPr="003A0ADA">
              <w:rPr>
                <w:rFonts w:cstheme="minorHAnsi"/>
                <w:sz w:val="24"/>
                <w:szCs w:val="24"/>
              </w:rPr>
              <w:t>Deputy Head</w:t>
            </w:r>
            <w:r>
              <w:rPr>
                <w:rFonts w:cstheme="minorHAnsi"/>
                <w:sz w:val="24"/>
                <w:szCs w:val="24"/>
              </w:rPr>
              <w:t xml:space="preserve">, </w:t>
            </w:r>
            <w:r w:rsidRPr="003A0ADA">
              <w:rPr>
                <w:rFonts w:cstheme="minorHAnsi"/>
                <w:sz w:val="24"/>
                <w:szCs w:val="24"/>
              </w:rPr>
              <w:t>Centre for Mental Health Research</w:t>
            </w:r>
          </w:p>
        </w:tc>
      </w:tr>
      <w:tr w:rsidR="00552973" w:rsidRPr="00552973" w14:paraId="44AF6CEC" w14:textId="77777777" w:rsidTr="00552973">
        <w:tc>
          <w:tcPr>
            <w:tcW w:w="3397" w:type="dxa"/>
          </w:tcPr>
          <w:p w14:paraId="408C8AE0" w14:textId="6F16D8DA" w:rsidR="00552973" w:rsidRPr="00552973" w:rsidRDefault="00552973" w:rsidP="00552973">
            <w:pPr>
              <w:rPr>
                <w:rFonts w:cstheme="minorHAnsi"/>
                <w:sz w:val="24"/>
                <w:szCs w:val="24"/>
              </w:rPr>
            </w:pPr>
            <w:r w:rsidRPr="00552973">
              <w:rPr>
                <w:rFonts w:cstheme="minorHAnsi"/>
                <w:sz w:val="24"/>
                <w:szCs w:val="24"/>
              </w:rPr>
              <w:t>Assoc Prof Alison Calear</w:t>
            </w:r>
          </w:p>
        </w:tc>
        <w:tc>
          <w:tcPr>
            <w:tcW w:w="5619" w:type="dxa"/>
          </w:tcPr>
          <w:p w14:paraId="6AB88ABD" w14:textId="299A71C1" w:rsidR="00552973" w:rsidRPr="00552973" w:rsidRDefault="003A0ADA" w:rsidP="00552973">
            <w:pPr>
              <w:rPr>
                <w:rFonts w:cstheme="minorHAnsi"/>
                <w:sz w:val="24"/>
                <w:szCs w:val="24"/>
              </w:rPr>
            </w:pPr>
            <w:r>
              <w:rPr>
                <w:rFonts w:cstheme="minorHAnsi"/>
                <w:sz w:val="24"/>
                <w:szCs w:val="24"/>
              </w:rPr>
              <w:t>NHMRC Fellow, Centre for Mental Health Research</w:t>
            </w:r>
          </w:p>
        </w:tc>
      </w:tr>
      <w:tr w:rsidR="00552973" w:rsidRPr="00552973" w14:paraId="7D55543D" w14:textId="77777777" w:rsidTr="00647EB4">
        <w:tc>
          <w:tcPr>
            <w:tcW w:w="3397" w:type="dxa"/>
          </w:tcPr>
          <w:p w14:paraId="0243ED6C" w14:textId="4810EA3B" w:rsidR="00552973" w:rsidRPr="00552973" w:rsidRDefault="003A0ADA" w:rsidP="00647EB4">
            <w:pPr>
              <w:rPr>
                <w:rFonts w:cstheme="minorHAnsi"/>
                <w:sz w:val="24"/>
                <w:szCs w:val="24"/>
              </w:rPr>
            </w:pPr>
            <w:r>
              <w:rPr>
                <w:rFonts w:cstheme="minorHAnsi"/>
                <w:sz w:val="24"/>
                <w:szCs w:val="24"/>
              </w:rPr>
              <w:t>Assoc Prof</w:t>
            </w:r>
            <w:r w:rsidR="00552973" w:rsidRPr="00552973">
              <w:rPr>
                <w:rFonts w:cstheme="minorHAnsi"/>
                <w:sz w:val="24"/>
                <w:szCs w:val="24"/>
              </w:rPr>
              <w:t xml:space="preserve"> Bruce Christensen</w:t>
            </w:r>
          </w:p>
        </w:tc>
        <w:tc>
          <w:tcPr>
            <w:tcW w:w="5619" w:type="dxa"/>
          </w:tcPr>
          <w:p w14:paraId="02F7F3EC" w14:textId="1D997A3F" w:rsidR="00552973" w:rsidRPr="00552973" w:rsidRDefault="00493308" w:rsidP="003A0ADA">
            <w:pPr>
              <w:rPr>
                <w:rFonts w:cstheme="minorHAnsi"/>
                <w:sz w:val="24"/>
                <w:szCs w:val="24"/>
              </w:rPr>
            </w:pPr>
            <w:r>
              <w:rPr>
                <w:rFonts w:cstheme="minorHAnsi"/>
                <w:sz w:val="24"/>
                <w:szCs w:val="24"/>
              </w:rPr>
              <w:t xml:space="preserve">Associate Professor, Research School </w:t>
            </w:r>
            <w:r w:rsidR="003A0ADA" w:rsidRPr="003A0ADA">
              <w:rPr>
                <w:rFonts w:cstheme="minorHAnsi"/>
                <w:sz w:val="24"/>
                <w:szCs w:val="24"/>
              </w:rPr>
              <w:t>of Psychology</w:t>
            </w:r>
          </w:p>
        </w:tc>
      </w:tr>
      <w:tr w:rsidR="00552973" w:rsidRPr="00552973" w14:paraId="6F6EEC7E" w14:textId="77777777" w:rsidTr="00647EB4">
        <w:tc>
          <w:tcPr>
            <w:tcW w:w="3397" w:type="dxa"/>
          </w:tcPr>
          <w:p w14:paraId="4A444154" w14:textId="77777777" w:rsidR="00552973" w:rsidRPr="00552973" w:rsidRDefault="00552973" w:rsidP="00647EB4">
            <w:pPr>
              <w:rPr>
                <w:rFonts w:cstheme="minorHAnsi"/>
                <w:sz w:val="24"/>
                <w:szCs w:val="24"/>
              </w:rPr>
            </w:pPr>
            <w:r w:rsidRPr="00552973">
              <w:rPr>
                <w:rFonts w:cstheme="minorHAnsi"/>
                <w:sz w:val="24"/>
                <w:szCs w:val="24"/>
              </w:rPr>
              <w:t>Dr Liana Leach</w:t>
            </w:r>
          </w:p>
        </w:tc>
        <w:tc>
          <w:tcPr>
            <w:tcW w:w="5619" w:type="dxa"/>
          </w:tcPr>
          <w:p w14:paraId="378B209D" w14:textId="640E01D8" w:rsidR="00552973" w:rsidRPr="00552973" w:rsidRDefault="003A0ADA" w:rsidP="003A0ADA">
            <w:pPr>
              <w:rPr>
                <w:rFonts w:cstheme="minorHAnsi"/>
                <w:sz w:val="24"/>
                <w:szCs w:val="24"/>
              </w:rPr>
            </w:pPr>
            <w:r w:rsidRPr="003A0ADA">
              <w:rPr>
                <w:rFonts w:cstheme="minorHAnsi"/>
                <w:sz w:val="24"/>
                <w:szCs w:val="24"/>
              </w:rPr>
              <w:t>Research Fellow</w:t>
            </w:r>
            <w:r>
              <w:rPr>
                <w:rFonts w:cstheme="minorHAnsi"/>
                <w:sz w:val="24"/>
                <w:szCs w:val="24"/>
              </w:rPr>
              <w:t xml:space="preserve">, </w:t>
            </w:r>
            <w:r w:rsidRPr="003A0ADA">
              <w:rPr>
                <w:rFonts w:cstheme="minorHAnsi"/>
                <w:sz w:val="24"/>
                <w:szCs w:val="24"/>
              </w:rPr>
              <w:t>Centre for Research on Ageing Health &amp; Wellbeing</w:t>
            </w:r>
          </w:p>
        </w:tc>
      </w:tr>
      <w:tr w:rsidR="00552973" w:rsidRPr="00552973" w14:paraId="015046BA" w14:textId="77777777" w:rsidTr="00647EB4">
        <w:tc>
          <w:tcPr>
            <w:tcW w:w="3397" w:type="dxa"/>
          </w:tcPr>
          <w:p w14:paraId="12CAEB4F" w14:textId="77777777" w:rsidR="00552973" w:rsidRPr="00552973" w:rsidRDefault="00552973" w:rsidP="00647EB4">
            <w:pPr>
              <w:rPr>
                <w:rFonts w:cstheme="minorHAnsi"/>
                <w:sz w:val="24"/>
                <w:szCs w:val="24"/>
              </w:rPr>
            </w:pPr>
            <w:r w:rsidRPr="00552973">
              <w:rPr>
                <w:rFonts w:cstheme="minorHAnsi"/>
                <w:sz w:val="24"/>
                <w:szCs w:val="24"/>
              </w:rPr>
              <w:t>Dr Sonia McCallum</w:t>
            </w:r>
          </w:p>
        </w:tc>
        <w:tc>
          <w:tcPr>
            <w:tcW w:w="5619" w:type="dxa"/>
          </w:tcPr>
          <w:p w14:paraId="0DB20401" w14:textId="5A00358F" w:rsidR="00552973" w:rsidRPr="00552973" w:rsidRDefault="003A0ADA" w:rsidP="003A0ADA">
            <w:pPr>
              <w:rPr>
                <w:rFonts w:cstheme="minorHAnsi"/>
                <w:sz w:val="24"/>
                <w:szCs w:val="24"/>
              </w:rPr>
            </w:pPr>
            <w:r w:rsidRPr="003A0ADA">
              <w:rPr>
                <w:rFonts w:cstheme="minorHAnsi"/>
                <w:sz w:val="24"/>
                <w:szCs w:val="24"/>
              </w:rPr>
              <w:t>Postdoctoral Fellow</w:t>
            </w:r>
            <w:r>
              <w:rPr>
                <w:rFonts w:cstheme="minorHAnsi"/>
                <w:sz w:val="24"/>
                <w:szCs w:val="24"/>
              </w:rPr>
              <w:t xml:space="preserve">, </w:t>
            </w:r>
            <w:r w:rsidRPr="003A0ADA">
              <w:rPr>
                <w:rFonts w:cstheme="minorHAnsi"/>
                <w:sz w:val="24"/>
                <w:szCs w:val="24"/>
              </w:rPr>
              <w:t>Centre for Mental Health Research</w:t>
            </w:r>
          </w:p>
        </w:tc>
      </w:tr>
      <w:tr w:rsidR="00493308" w:rsidRPr="00552973" w14:paraId="526D6259" w14:textId="77777777" w:rsidTr="00647EB4">
        <w:tc>
          <w:tcPr>
            <w:tcW w:w="3397" w:type="dxa"/>
          </w:tcPr>
          <w:p w14:paraId="32602604" w14:textId="0FA12369" w:rsidR="00493308" w:rsidRPr="00552973" w:rsidRDefault="00493308" w:rsidP="00493308">
            <w:pPr>
              <w:rPr>
                <w:rFonts w:cstheme="minorHAnsi"/>
                <w:sz w:val="24"/>
                <w:szCs w:val="24"/>
              </w:rPr>
            </w:pPr>
            <w:r>
              <w:rPr>
                <w:rFonts w:cstheme="minorHAnsi"/>
                <w:sz w:val="24"/>
                <w:szCs w:val="24"/>
              </w:rPr>
              <w:t>Professor Richard O’Kearney</w:t>
            </w:r>
          </w:p>
        </w:tc>
        <w:tc>
          <w:tcPr>
            <w:tcW w:w="5619" w:type="dxa"/>
          </w:tcPr>
          <w:p w14:paraId="2D9F46D7" w14:textId="33D82160" w:rsidR="00493308" w:rsidRPr="003A0ADA" w:rsidRDefault="00493308" w:rsidP="00493308">
            <w:pPr>
              <w:rPr>
                <w:rFonts w:cstheme="minorHAnsi"/>
                <w:sz w:val="24"/>
                <w:szCs w:val="24"/>
              </w:rPr>
            </w:pPr>
            <w:r>
              <w:rPr>
                <w:rFonts w:cstheme="minorHAnsi"/>
                <w:sz w:val="24"/>
                <w:szCs w:val="24"/>
              </w:rPr>
              <w:t>Professor, Research School of Psychology</w:t>
            </w:r>
          </w:p>
        </w:tc>
      </w:tr>
      <w:tr w:rsidR="00552973" w:rsidRPr="00552973" w14:paraId="1BB61BCA" w14:textId="77777777" w:rsidTr="00647EB4">
        <w:tc>
          <w:tcPr>
            <w:tcW w:w="3397" w:type="dxa"/>
          </w:tcPr>
          <w:p w14:paraId="70217F63" w14:textId="0FC82078" w:rsidR="00552973" w:rsidRPr="00552973" w:rsidRDefault="003A0ADA" w:rsidP="00647EB4">
            <w:pPr>
              <w:rPr>
                <w:rFonts w:cstheme="minorHAnsi"/>
                <w:sz w:val="24"/>
                <w:szCs w:val="24"/>
              </w:rPr>
            </w:pPr>
            <w:r>
              <w:rPr>
                <w:rFonts w:cstheme="minorHAnsi"/>
                <w:sz w:val="24"/>
                <w:szCs w:val="24"/>
              </w:rPr>
              <w:t>Assoc Prof</w:t>
            </w:r>
            <w:r w:rsidR="00552973" w:rsidRPr="00552973">
              <w:rPr>
                <w:rFonts w:cstheme="minorHAnsi"/>
                <w:sz w:val="24"/>
                <w:szCs w:val="24"/>
              </w:rPr>
              <w:t xml:space="preserve"> Elizabeth Rieger</w:t>
            </w:r>
          </w:p>
        </w:tc>
        <w:tc>
          <w:tcPr>
            <w:tcW w:w="5619" w:type="dxa"/>
          </w:tcPr>
          <w:p w14:paraId="5020F725" w14:textId="7473FCD6" w:rsidR="00552973" w:rsidRPr="00552973" w:rsidRDefault="00493308" w:rsidP="003A0ADA">
            <w:pPr>
              <w:rPr>
                <w:rFonts w:cstheme="minorHAnsi"/>
                <w:sz w:val="24"/>
                <w:szCs w:val="24"/>
              </w:rPr>
            </w:pPr>
            <w:r>
              <w:rPr>
                <w:rFonts w:cstheme="minorHAnsi"/>
                <w:sz w:val="24"/>
                <w:szCs w:val="24"/>
              </w:rPr>
              <w:t xml:space="preserve">Associate Professor, </w:t>
            </w:r>
            <w:r w:rsidR="003A0ADA" w:rsidRPr="003A0ADA">
              <w:rPr>
                <w:rFonts w:cstheme="minorHAnsi"/>
                <w:sz w:val="24"/>
                <w:szCs w:val="24"/>
              </w:rPr>
              <w:t>Research School of Psychology</w:t>
            </w:r>
          </w:p>
        </w:tc>
      </w:tr>
      <w:tr w:rsidR="00552973" w:rsidRPr="00552973" w14:paraId="1174F66D" w14:textId="77777777" w:rsidTr="00552973">
        <w:tc>
          <w:tcPr>
            <w:tcW w:w="3397" w:type="dxa"/>
          </w:tcPr>
          <w:p w14:paraId="18F261AB" w14:textId="6B9C5748" w:rsidR="00552973" w:rsidRPr="00552973" w:rsidRDefault="00552973" w:rsidP="00552973">
            <w:pPr>
              <w:rPr>
                <w:rFonts w:cstheme="minorHAnsi"/>
                <w:sz w:val="24"/>
                <w:szCs w:val="24"/>
              </w:rPr>
            </w:pPr>
            <w:r w:rsidRPr="00552973">
              <w:rPr>
                <w:rFonts w:cstheme="minorHAnsi"/>
                <w:sz w:val="24"/>
                <w:szCs w:val="24"/>
              </w:rPr>
              <w:t>Dr Sebastian Rosenberg</w:t>
            </w:r>
          </w:p>
        </w:tc>
        <w:tc>
          <w:tcPr>
            <w:tcW w:w="5619" w:type="dxa"/>
          </w:tcPr>
          <w:p w14:paraId="25999EFC" w14:textId="47DE5BB2" w:rsidR="00552973" w:rsidRPr="00552973" w:rsidRDefault="003A0ADA" w:rsidP="00552973">
            <w:pPr>
              <w:rPr>
                <w:rFonts w:cstheme="minorHAnsi"/>
                <w:sz w:val="24"/>
                <w:szCs w:val="24"/>
              </w:rPr>
            </w:pPr>
            <w:r>
              <w:rPr>
                <w:rFonts w:cstheme="minorHAnsi"/>
                <w:sz w:val="24"/>
                <w:szCs w:val="24"/>
              </w:rPr>
              <w:t>Head, Mental Health Policy Unit, Centre for Mental Health Research</w:t>
            </w:r>
          </w:p>
        </w:tc>
      </w:tr>
      <w:tr w:rsidR="00552973" w:rsidRPr="00552973" w14:paraId="4A009481" w14:textId="77777777" w:rsidTr="00647EB4">
        <w:tc>
          <w:tcPr>
            <w:tcW w:w="3397" w:type="dxa"/>
          </w:tcPr>
          <w:p w14:paraId="17EAE555" w14:textId="77777777" w:rsidR="00552973" w:rsidRPr="00552973" w:rsidRDefault="00552973" w:rsidP="00647EB4">
            <w:pPr>
              <w:rPr>
                <w:rFonts w:cstheme="minorHAnsi"/>
                <w:sz w:val="24"/>
                <w:szCs w:val="24"/>
              </w:rPr>
            </w:pPr>
            <w:r w:rsidRPr="00552973">
              <w:rPr>
                <w:rFonts w:cstheme="minorHAnsi"/>
                <w:sz w:val="24"/>
                <w:szCs w:val="24"/>
              </w:rPr>
              <w:t>Professor Luis Salvador-Carulla</w:t>
            </w:r>
          </w:p>
        </w:tc>
        <w:tc>
          <w:tcPr>
            <w:tcW w:w="5619" w:type="dxa"/>
          </w:tcPr>
          <w:p w14:paraId="296CB24A" w14:textId="1F0F1964" w:rsidR="00552973" w:rsidRPr="00552973" w:rsidRDefault="003A0ADA" w:rsidP="00647EB4">
            <w:pPr>
              <w:rPr>
                <w:rFonts w:cstheme="minorHAnsi"/>
                <w:sz w:val="24"/>
                <w:szCs w:val="24"/>
              </w:rPr>
            </w:pPr>
            <w:r>
              <w:rPr>
                <w:rFonts w:cstheme="minorHAnsi"/>
                <w:sz w:val="24"/>
                <w:szCs w:val="24"/>
              </w:rPr>
              <w:t>Head, Centre for Mental Health Research, Research School of Population Health</w:t>
            </w:r>
          </w:p>
        </w:tc>
      </w:tr>
      <w:tr w:rsidR="00552973" w:rsidRPr="00552973" w14:paraId="4C227174" w14:textId="77777777" w:rsidTr="00552973">
        <w:tc>
          <w:tcPr>
            <w:tcW w:w="3397" w:type="dxa"/>
          </w:tcPr>
          <w:p w14:paraId="4F1E7502" w14:textId="29E76272" w:rsidR="00552973" w:rsidRPr="00552973" w:rsidRDefault="00552973" w:rsidP="00552973">
            <w:pPr>
              <w:rPr>
                <w:rFonts w:cstheme="minorHAnsi"/>
                <w:sz w:val="24"/>
                <w:szCs w:val="24"/>
              </w:rPr>
            </w:pPr>
            <w:r w:rsidRPr="00552973">
              <w:rPr>
                <w:rFonts w:cstheme="minorHAnsi"/>
                <w:sz w:val="24"/>
                <w:szCs w:val="24"/>
              </w:rPr>
              <w:t>Professor Lyndall Strazdins</w:t>
            </w:r>
          </w:p>
        </w:tc>
        <w:tc>
          <w:tcPr>
            <w:tcW w:w="5619" w:type="dxa"/>
          </w:tcPr>
          <w:p w14:paraId="30A72FF2" w14:textId="183C4EE5" w:rsidR="003A0ADA" w:rsidRPr="003A0ADA" w:rsidRDefault="003A0ADA" w:rsidP="003A0ADA">
            <w:pPr>
              <w:rPr>
                <w:rFonts w:cstheme="minorHAnsi"/>
                <w:sz w:val="24"/>
                <w:szCs w:val="24"/>
              </w:rPr>
            </w:pPr>
            <w:r w:rsidRPr="003A0ADA">
              <w:rPr>
                <w:rFonts w:cstheme="minorHAnsi"/>
                <w:sz w:val="24"/>
                <w:szCs w:val="24"/>
              </w:rPr>
              <w:t>Director</w:t>
            </w:r>
            <w:r>
              <w:rPr>
                <w:rFonts w:cstheme="minorHAnsi"/>
                <w:sz w:val="24"/>
                <w:szCs w:val="24"/>
              </w:rPr>
              <w:t xml:space="preserve">, </w:t>
            </w:r>
            <w:r w:rsidRPr="003A0ADA">
              <w:rPr>
                <w:rFonts w:cstheme="minorHAnsi"/>
                <w:sz w:val="24"/>
                <w:szCs w:val="24"/>
              </w:rPr>
              <w:t>ANU College of Health and Medicine</w:t>
            </w:r>
          </w:p>
          <w:p w14:paraId="5E7BBD85" w14:textId="18E721C5" w:rsidR="00552973" w:rsidRPr="00552973" w:rsidRDefault="003A0ADA" w:rsidP="003A0ADA">
            <w:pPr>
              <w:rPr>
                <w:rFonts w:cstheme="minorHAnsi"/>
                <w:sz w:val="24"/>
                <w:szCs w:val="24"/>
              </w:rPr>
            </w:pPr>
            <w:r w:rsidRPr="003A0ADA">
              <w:rPr>
                <w:rFonts w:cstheme="minorHAnsi"/>
                <w:sz w:val="24"/>
                <w:szCs w:val="24"/>
              </w:rPr>
              <w:t>Research School of Population Health</w:t>
            </w:r>
          </w:p>
        </w:tc>
      </w:tr>
      <w:tr w:rsidR="00552973" w:rsidRPr="00552973" w14:paraId="6C69F231" w14:textId="77777777" w:rsidTr="00552973">
        <w:tc>
          <w:tcPr>
            <w:tcW w:w="3397" w:type="dxa"/>
          </w:tcPr>
          <w:p w14:paraId="60675CAF" w14:textId="03AEC469" w:rsidR="00552973" w:rsidRPr="00552973" w:rsidRDefault="007A5F7F" w:rsidP="00552973">
            <w:pPr>
              <w:rPr>
                <w:rFonts w:cstheme="minorHAnsi"/>
                <w:sz w:val="24"/>
                <w:szCs w:val="24"/>
              </w:rPr>
            </w:pPr>
            <w:r>
              <w:rPr>
                <w:rFonts w:cstheme="minorHAnsi"/>
                <w:sz w:val="24"/>
                <w:szCs w:val="24"/>
              </w:rPr>
              <w:t>Ms</w:t>
            </w:r>
            <w:r w:rsidR="00552973" w:rsidRPr="00552973">
              <w:rPr>
                <w:rFonts w:cstheme="minorHAnsi"/>
                <w:sz w:val="24"/>
                <w:szCs w:val="24"/>
              </w:rPr>
              <w:t xml:space="preserve"> Jennifer Welsh</w:t>
            </w:r>
          </w:p>
        </w:tc>
        <w:tc>
          <w:tcPr>
            <w:tcW w:w="5619" w:type="dxa"/>
          </w:tcPr>
          <w:p w14:paraId="785B94D7" w14:textId="16B76D05" w:rsidR="00552973" w:rsidRPr="00552973" w:rsidRDefault="007A5F7F" w:rsidP="00552973">
            <w:pPr>
              <w:rPr>
                <w:rFonts w:cstheme="minorHAnsi"/>
                <w:sz w:val="24"/>
                <w:szCs w:val="24"/>
              </w:rPr>
            </w:pPr>
            <w:r>
              <w:rPr>
                <w:rFonts w:cstheme="minorHAnsi"/>
                <w:sz w:val="24"/>
                <w:szCs w:val="24"/>
              </w:rPr>
              <w:t>Research Fellow</w:t>
            </w:r>
            <w:r w:rsidR="003A0ADA">
              <w:rPr>
                <w:rFonts w:cstheme="minorHAnsi"/>
                <w:sz w:val="24"/>
                <w:szCs w:val="24"/>
              </w:rPr>
              <w:t>, Research School of Population Heath</w:t>
            </w:r>
          </w:p>
        </w:tc>
      </w:tr>
      <w:tr w:rsidR="00552973" w:rsidRPr="00552973" w14:paraId="46189769" w14:textId="77777777" w:rsidTr="00552973">
        <w:tc>
          <w:tcPr>
            <w:tcW w:w="3397" w:type="dxa"/>
          </w:tcPr>
          <w:p w14:paraId="261DCA3B" w14:textId="6198DB36" w:rsidR="00552973" w:rsidRPr="00552973" w:rsidRDefault="00552973" w:rsidP="00552973">
            <w:pPr>
              <w:rPr>
                <w:rFonts w:cstheme="minorHAnsi"/>
                <w:sz w:val="24"/>
                <w:szCs w:val="24"/>
              </w:rPr>
            </w:pPr>
            <w:r w:rsidRPr="00552973">
              <w:rPr>
                <w:rFonts w:cstheme="minorHAnsi"/>
                <w:sz w:val="24"/>
                <w:szCs w:val="24"/>
              </w:rPr>
              <w:t>Dr Amelia Y</w:t>
            </w:r>
            <w:r>
              <w:rPr>
                <w:rFonts w:cstheme="minorHAnsi"/>
                <w:sz w:val="24"/>
                <w:szCs w:val="24"/>
              </w:rPr>
              <w:t>azidjoglou</w:t>
            </w:r>
          </w:p>
        </w:tc>
        <w:tc>
          <w:tcPr>
            <w:tcW w:w="5619" w:type="dxa"/>
          </w:tcPr>
          <w:p w14:paraId="5FE3ED6F" w14:textId="6F91E241" w:rsidR="00552973" w:rsidRPr="00552973" w:rsidRDefault="00552973" w:rsidP="00552973">
            <w:pPr>
              <w:rPr>
                <w:rFonts w:cstheme="minorHAnsi"/>
                <w:sz w:val="24"/>
                <w:szCs w:val="24"/>
              </w:rPr>
            </w:pPr>
            <w:r>
              <w:rPr>
                <w:rFonts w:cstheme="minorHAnsi"/>
                <w:sz w:val="24"/>
                <w:szCs w:val="24"/>
              </w:rPr>
              <w:t>Student, Research School of Population Heath</w:t>
            </w:r>
          </w:p>
        </w:tc>
      </w:tr>
    </w:tbl>
    <w:p w14:paraId="4E64088A" w14:textId="77777777" w:rsidR="00552973" w:rsidRDefault="00552973" w:rsidP="002C1E3A">
      <w:pPr>
        <w:pStyle w:val="Heading1"/>
      </w:pPr>
    </w:p>
    <w:p w14:paraId="5057E40F" w14:textId="77777777" w:rsidR="00552973" w:rsidRDefault="00552973" w:rsidP="002C1E3A">
      <w:pPr>
        <w:pStyle w:val="Heading1"/>
      </w:pPr>
    </w:p>
    <w:p w14:paraId="408C0DF8" w14:textId="77777777" w:rsidR="00552973" w:rsidRDefault="00552973" w:rsidP="002C1E3A">
      <w:pPr>
        <w:pStyle w:val="Heading1"/>
      </w:pPr>
    </w:p>
    <w:p w14:paraId="31179A95" w14:textId="77777777" w:rsidR="00552973" w:rsidRDefault="00552973">
      <w:pPr>
        <w:rPr>
          <w:rFonts w:asciiTheme="majorHAnsi" w:eastAsiaTheme="majorEastAsia" w:hAnsiTheme="majorHAnsi" w:cstheme="majorBidi"/>
          <w:color w:val="2E74B5" w:themeColor="accent1" w:themeShade="BF"/>
          <w:sz w:val="32"/>
          <w:szCs w:val="32"/>
        </w:rPr>
      </w:pPr>
      <w:r>
        <w:br w:type="page"/>
      </w:r>
    </w:p>
    <w:p w14:paraId="1636A48D" w14:textId="5800C878" w:rsidR="00683D4D" w:rsidRDefault="00683D4D" w:rsidP="002C1E3A">
      <w:pPr>
        <w:pStyle w:val="Heading1"/>
      </w:pPr>
      <w:bookmarkStart w:id="2" w:name="_Toc29197223"/>
      <w:r w:rsidRPr="00074904">
        <w:lastRenderedPageBreak/>
        <w:t>About the College</w:t>
      </w:r>
      <w:bookmarkEnd w:id="2"/>
    </w:p>
    <w:p w14:paraId="11036FF5" w14:textId="77777777" w:rsidR="00005E9E" w:rsidRPr="00005E9E" w:rsidRDefault="00005E9E" w:rsidP="00005E9E">
      <w:pPr>
        <w:spacing w:after="0" w:line="240" w:lineRule="auto"/>
      </w:pPr>
    </w:p>
    <w:p w14:paraId="49537164" w14:textId="77777777" w:rsidR="00683D4D" w:rsidRPr="00074904" w:rsidRDefault="00683D4D" w:rsidP="00005E9E">
      <w:pPr>
        <w:spacing w:after="0" w:line="240" w:lineRule="auto"/>
        <w:rPr>
          <w:rFonts w:cstheme="minorHAnsi"/>
          <w:sz w:val="24"/>
          <w:szCs w:val="24"/>
        </w:rPr>
      </w:pPr>
      <w:r w:rsidRPr="00074904">
        <w:rPr>
          <w:rFonts w:cstheme="minorHAnsi"/>
          <w:sz w:val="24"/>
          <w:szCs w:val="24"/>
        </w:rPr>
        <w:t>ANU prides itself on its international reputation for health and medical sciences research and education. Our influential outreach activities include a national role in promoting research-driven public policy, and strong connections to fundamental biosciences.</w:t>
      </w:r>
    </w:p>
    <w:p w14:paraId="2C7A5BDE" w14:textId="77777777" w:rsidR="00005E9E" w:rsidRDefault="00005E9E" w:rsidP="00005E9E">
      <w:pPr>
        <w:pStyle w:val="Heading2"/>
        <w:spacing w:before="0" w:line="240" w:lineRule="auto"/>
      </w:pPr>
    </w:p>
    <w:p w14:paraId="2131DDB3" w14:textId="6D232432" w:rsidR="00683D4D" w:rsidRDefault="00683D4D" w:rsidP="002C1E3A">
      <w:pPr>
        <w:pStyle w:val="Heading2"/>
      </w:pPr>
      <w:bookmarkStart w:id="3" w:name="_Toc29197224"/>
      <w:r w:rsidRPr="006B438D">
        <w:t>Research areas</w:t>
      </w:r>
      <w:bookmarkEnd w:id="3"/>
    </w:p>
    <w:p w14:paraId="7830761E" w14:textId="77777777" w:rsidR="00005E9E" w:rsidRPr="00005E9E" w:rsidRDefault="00005E9E" w:rsidP="00005E9E">
      <w:pPr>
        <w:keepNext/>
        <w:keepLines/>
        <w:spacing w:after="0" w:line="240" w:lineRule="auto"/>
        <w:outlineLvl w:val="1"/>
      </w:pPr>
    </w:p>
    <w:p w14:paraId="2808202F" w14:textId="77777777" w:rsidR="00493308" w:rsidRPr="00074904" w:rsidRDefault="00493308" w:rsidP="00493308">
      <w:pPr>
        <w:rPr>
          <w:rFonts w:cstheme="minorHAnsi"/>
          <w:sz w:val="24"/>
          <w:szCs w:val="24"/>
        </w:rPr>
      </w:pPr>
      <w:r w:rsidRPr="00074904">
        <w:rPr>
          <w:rFonts w:cstheme="minorHAnsi"/>
          <w:sz w:val="24"/>
          <w:szCs w:val="24"/>
        </w:rPr>
        <w:t xml:space="preserve">Mental health </w:t>
      </w:r>
      <w:r>
        <w:rPr>
          <w:rFonts w:cstheme="minorHAnsi"/>
          <w:sz w:val="24"/>
          <w:szCs w:val="24"/>
        </w:rPr>
        <w:t>and</w:t>
      </w:r>
      <w:r w:rsidRPr="00074904">
        <w:rPr>
          <w:rFonts w:cstheme="minorHAnsi"/>
          <w:sz w:val="24"/>
          <w:szCs w:val="24"/>
        </w:rPr>
        <w:t xml:space="preserve"> cognition - We take an interdisciplinary approach, including world-class behavioural research with applications in e-health, </w:t>
      </w:r>
      <w:r>
        <w:rPr>
          <w:rFonts w:cstheme="minorHAnsi"/>
          <w:sz w:val="24"/>
          <w:szCs w:val="24"/>
        </w:rPr>
        <w:t>mental health and wellbeing across the lifespan</w:t>
      </w:r>
      <w:r w:rsidRPr="00074904">
        <w:rPr>
          <w:rFonts w:cstheme="minorHAnsi"/>
          <w:sz w:val="24"/>
          <w:szCs w:val="24"/>
        </w:rPr>
        <w:t>, chronic disease management</w:t>
      </w:r>
      <w:r>
        <w:rPr>
          <w:rFonts w:cstheme="minorHAnsi"/>
          <w:sz w:val="24"/>
          <w:szCs w:val="24"/>
        </w:rPr>
        <w:t>, social psychology</w:t>
      </w:r>
      <w:r w:rsidRPr="00074904">
        <w:rPr>
          <w:rFonts w:cstheme="minorHAnsi"/>
          <w:sz w:val="24"/>
          <w:szCs w:val="24"/>
        </w:rPr>
        <w:t xml:space="preserve"> and perceptual psychology. ANU is a global leader in mental health, collaborating with governments, foundations and service providers.</w:t>
      </w:r>
    </w:p>
    <w:p w14:paraId="1CB7769F" w14:textId="77777777" w:rsidR="00683D4D" w:rsidRPr="00074904" w:rsidRDefault="00683D4D" w:rsidP="00683D4D">
      <w:pPr>
        <w:rPr>
          <w:rFonts w:cstheme="minorHAnsi"/>
          <w:sz w:val="24"/>
          <w:szCs w:val="24"/>
        </w:rPr>
      </w:pPr>
      <w:r w:rsidRPr="00074904">
        <w:rPr>
          <w:rFonts w:cstheme="minorHAnsi"/>
          <w:sz w:val="24"/>
          <w:szCs w:val="24"/>
        </w:rPr>
        <w:t>Population health - ANU is striving to improve health outcomes through discovery, education and translation into effective health policy and practice. ANU is one of two Australian universities rated ‘well above world standard’ for public health and health service research in the 2012 Excellence in Research for Australia evaluation.</w:t>
      </w:r>
    </w:p>
    <w:p w14:paraId="454E64A3" w14:textId="77777777" w:rsidR="00683D4D" w:rsidRPr="00074904" w:rsidRDefault="00683D4D" w:rsidP="00683D4D">
      <w:pPr>
        <w:rPr>
          <w:rFonts w:cstheme="minorHAnsi"/>
          <w:sz w:val="24"/>
          <w:szCs w:val="24"/>
        </w:rPr>
      </w:pPr>
      <w:r w:rsidRPr="00074904">
        <w:rPr>
          <w:rFonts w:cstheme="minorHAnsi"/>
          <w:sz w:val="24"/>
          <w:szCs w:val="24"/>
        </w:rPr>
        <w:t>Health policy - Our highly regarded work in this area is breaking down barriers to health care such as access, costs and insufficient resources in Australia and globally. Our expertise spans epidemiology, economics, regulation, informatics and health care with a clear public policy translation emphasis.</w:t>
      </w:r>
    </w:p>
    <w:p w14:paraId="6B77A7DD" w14:textId="42A886C5" w:rsidR="00683D4D" w:rsidRPr="00074904" w:rsidRDefault="00683D4D" w:rsidP="00683D4D">
      <w:pPr>
        <w:rPr>
          <w:rFonts w:cstheme="minorHAnsi"/>
          <w:sz w:val="24"/>
          <w:szCs w:val="24"/>
        </w:rPr>
      </w:pPr>
      <w:r w:rsidRPr="00074904">
        <w:rPr>
          <w:rFonts w:cstheme="minorHAnsi"/>
          <w:sz w:val="24"/>
          <w:szCs w:val="24"/>
        </w:rPr>
        <w:t xml:space="preserve">Combating diseases </w:t>
      </w:r>
      <w:r w:rsidR="00493308">
        <w:rPr>
          <w:rFonts w:cstheme="minorHAnsi"/>
          <w:sz w:val="24"/>
          <w:szCs w:val="24"/>
        </w:rPr>
        <w:t>and</w:t>
      </w:r>
      <w:r w:rsidRPr="00074904">
        <w:rPr>
          <w:rFonts w:cstheme="minorHAnsi"/>
          <w:sz w:val="24"/>
          <w:szCs w:val="24"/>
        </w:rPr>
        <w:t xml:space="preserve"> conditions - Our researchers are tackling complex diseases such as cancer, infection and immunity, diabetes, obesity, vision loss, neurological diseases and other conditions. We combine expertise in basic discovery, clinical medicine and practice through our hospital and health provider partnerships, and translation into policy to improve the health outcomes for all people.</w:t>
      </w:r>
    </w:p>
    <w:p w14:paraId="686FC3A4" w14:textId="0699A23D" w:rsidR="00683D4D" w:rsidRDefault="00683D4D" w:rsidP="002C1E3A">
      <w:pPr>
        <w:pStyle w:val="Heading2"/>
      </w:pPr>
      <w:bookmarkStart w:id="4" w:name="_Toc29197225"/>
      <w:r w:rsidRPr="00074904">
        <w:t>About this Submission</w:t>
      </w:r>
      <w:bookmarkEnd w:id="4"/>
    </w:p>
    <w:p w14:paraId="4EF1A187" w14:textId="77777777" w:rsidR="00005E9E" w:rsidRPr="00005E9E" w:rsidRDefault="00005E9E" w:rsidP="00005E9E">
      <w:pPr>
        <w:spacing w:after="0" w:line="240" w:lineRule="auto"/>
      </w:pPr>
    </w:p>
    <w:p w14:paraId="22B15C3F" w14:textId="77777777" w:rsidR="00683D4D" w:rsidRPr="00074904" w:rsidRDefault="00683D4D" w:rsidP="00683D4D">
      <w:pPr>
        <w:rPr>
          <w:rFonts w:cstheme="minorHAnsi"/>
          <w:sz w:val="24"/>
          <w:szCs w:val="24"/>
        </w:rPr>
      </w:pPr>
      <w:r w:rsidRPr="00074904">
        <w:rPr>
          <w:rFonts w:cstheme="minorHAnsi"/>
          <w:sz w:val="24"/>
          <w:szCs w:val="24"/>
        </w:rPr>
        <w:t xml:space="preserve">The College wishes to congratulate the Productivity Commission for its willingness to investigate one of the most important and neglected areas of Australian health care.  While there have been many reports and inquiries over past decades, the College is mindful of the specific and important opportunity this Inquiry represents, to set mental health properly in the context of social and economic development.  </w:t>
      </w:r>
      <w:r w:rsidR="00512030" w:rsidRPr="00074904">
        <w:rPr>
          <w:rFonts w:cstheme="minorHAnsi"/>
          <w:sz w:val="24"/>
          <w:szCs w:val="24"/>
        </w:rPr>
        <w:t>We hope the suggestions made below help the Commission further strengthen the ideas and recommendations made in the Inquiry’s final report.</w:t>
      </w:r>
    </w:p>
    <w:p w14:paraId="092CA56C" w14:textId="3F4E0FA8" w:rsidR="00512030" w:rsidRDefault="00512030" w:rsidP="00683D4D">
      <w:pPr>
        <w:rPr>
          <w:rFonts w:cstheme="minorHAnsi"/>
          <w:sz w:val="24"/>
          <w:szCs w:val="24"/>
        </w:rPr>
      </w:pPr>
      <w:r w:rsidRPr="00074904">
        <w:rPr>
          <w:rFonts w:cstheme="minorHAnsi"/>
          <w:sz w:val="24"/>
          <w:szCs w:val="24"/>
        </w:rPr>
        <w:t xml:space="preserve">On this basis, we present some ideas which reflect </w:t>
      </w:r>
      <w:r w:rsidR="00B1564F" w:rsidRPr="00074904">
        <w:rPr>
          <w:rFonts w:cstheme="minorHAnsi"/>
          <w:sz w:val="24"/>
          <w:szCs w:val="24"/>
        </w:rPr>
        <w:t xml:space="preserve">both </w:t>
      </w:r>
      <w:r w:rsidRPr="00074904">
        <w:rPr>
          <w:rFonts w:cstheme="minorHAnsi"/>
          <w:sz w:val="24"/>
          <w:szCs w:val="24"/>
        </w:rPr>
        <w:t>the College’s expertise</w:t>
      </w:r>
      <w:r w:rsidR="00B1564F" w:rsidRPr="00074904">
        <w:rPr>
          <w:rFonts w:cstheme="minorHAnsi"/>
          <w:sz w:val="24"/>
          <w:szCs w:val="24"/>
        </w:rPr>
        <w:t xml:space="preserve"> and represent </w:t>
      </w:r>
      <w:r w:rsidR="007D09D2" w:rsidRPr="00074904">
        <w:rPr>
          <w:rFonts w:cstheme="minorHAnsi"/>
          <w:sz w:val="24"/>
          <w:szCs w:val="24"/>
        </w:rPr>
        <w:t xml:space="preserve">opportunities to further strengthen recommendations made in the </w:t>
      </w:r>
      <w:r w:rsidR="00B1564F" w:rsidRPr="00074904">
        <w:rPr>
          <w:rFonts w:cstheme="minorHAnsi"/>
          <w:sz w:val="24"/>
          <w:szCs w:val="24"/>
        </w:rPr>
        <w:t xml:space="preserve">draft </w:t>
      </w:r>
      <w:r w:rsidR="007D09D2" w:rsidRPr="00074904">
        <w:rPr>
          <w:rFonts w:cstheme="minorHAnsi"/>
          <w:sz w:val="24"/>
          <w:szCs w:val="24"/>
        </w:rPr>
        <w:t>report.</w:t>
      </w:r>
    </w:p>
    <w:p w14:paraId="30BB7DB1" w14:textId="10035F8B" w:rsidR="00E25C64" w:rsidRPr="00074904" w:rsidRDefault="00E25C64" w:rsidP="00683D4D">
      <w:pPr>
        <w:rPr>
          <w:rFonts w:cstheme="minorHAnsi"/>
          <w:sz w:val="24"/>
          <w:szCs w:val="24"/>
        </w:rPr>
      </w:pPr>
      <w:r>
        <w:rPr>
          <w:rFonts w:cstheme="minorHAnsi"/>
          <w:sz w:val="24"/>
          <w:szCs w:val="24"/>
        </w:rPr>
        <w:t>Staff at the College are available to the Commission to further elucidate the points raised in this submission or provide any other assistance.</w:t>
      </w:r>
    </w:p>
    <w:p w14:paraId="47403D2F" w14:textId="77777777" w:rsidR="002C1E3A" w:rsidRDefault="002C1E3A">
      <w:pPr>
        <w:rPr>
          <w:rFonts w:cstheme="minorHAnsi"/>
          <w:sz w:val="24"/>
          <w:szCs w:val="24"/>
          <w:u w:val="single"/>
        </w:rPr>
      </w:pPr>
      <w:r>
        <w:rPr>
          <w:rFonts w:cstheme="minorHAnsi"/>
          <w:sz w:val="24"/>
          <w:szCs w:val="24"/>
          <w:u w:val="single"/>
        </w:rPr>
        <w:br w:type="page"/>
      </w:r>
    </w:p>
    <w:p w14:paraId="2B14D0EC" w14:textId="2FB626C3" w:rsidR="002C1E3A" w:rsidRDefault="002C1E3A" w:rsidP="002C1E3A">
      <w:pPr>
        <w:pStyle w:val="Heading1"/>
      </w:pPr>
      <w:bookmarkStart w:id="5" w:name="_Toc29197226"/>
      <w:r>
        <w:lastRenderedPageBreak/>
        <w:t>Recommended Areas for Further Consideration</w:t>
      </w:r>
      <w:bookmarkEnd w:id="5"/>
    </w:p>
    <w:p w14:paraId="5798D06B" w14:textId="77777777" w:rsidR="00005E9E" w:rsidRPr="00005E9E" w:rsidRDefault="00005E9E" w:rsidP="00005E9E">
      <w:pPr>
        <w:spacing w:after="0" w:line="240" w:lineRule="auto"/>
      </w:pPr>
    </w:p>
    <w:p w14:paraId="23647A28" w14:textId="305F6692" w:rsidR="00077BCD" w:rsidRDefault="00077BCD" w:rsidP="00647EB4">
      <w:pPr>
        <w:pStyle w:val="Heading2"/>
        <w:rPr>
          <w:rFonts w:eastAsia="Times New Roman"/>
          <w:lang w:eastAsia="en-AU"/>
        </w:rPr>
      </w:pPr>
      <w:bookmarkStart w:id="6" w:name="_Toc29197227"/>
      <w:r>
        <w:rPr>
          <w:rFonts w:eastAsia="Times New Roman"/>
          <w:lang w:eastAsia="en-AU"/>
        </w:rPr>
        <w:t xml:space="preserve">Mental Health </w:t>
      </w:r>
      <w:r w:rsidR="00647EB4">
        <w:rPr>
          <w:rFonts w:eastAsia="Times New Roman"/>
          <w:lang w:eastAsia="en-AU"/>
        </w:rPr>
        <w:t xml:space="preserve">Research </w:t>
      </w:r>
      <w:r>
        <w:rPr>
          <w:rFonts w:eastAsia="Times New Roman"/>
          <w:lang w:eastAsia="en-AU"/>
        </w:rPr>
        <w:t>Funding</w:t>
      </w:r>
      <w:bookmarkEnd w:id="6"/>
    </w:p>
    <w:p w14:paraId="24251C56" w14:textId="33146290" w:rsidR="00647EB4" w:rsidRDefault="00647EB4" w:rsidP="00647EB4">
      <w:pPr>
        <w:spacing w:before="100" w:beforeAutospacing="1" w:after="100" w:afterAutospacing="1" w:line="240" w:lineRule="auto"/>
        <w:rPr>
          <w:rFonts w:ascii="Calibri" w:eastAsia="Times New Roman" w:hAnsi="Calibri" w:cs="Calibri"/>
          <w:sz w:val="24"/>
          <w:szCs w:val="24"/>
          <w:lang w:eastAsia="en-AU"/>
        </w:rPr>
      </w:pPr>
      <w:r w:rsidRPr="00647EB4">
        <w:rPr>
          <w:rFonts w:ascii="Calibri" w:eastAsia="Times New Roman" w:hAnsi="Calibri" w:cs="Calibri"/>
          <w:sz w:val="24"/>
          <w:szCs w:val="24"/>
          <w:lang w:eastAsia="en-AU"/>
        </w:rPr>
        <w:t xml:space="preserve">One of our key considerations and concerns in relation to the draft report is in relation to funding for mental health and related research.  The draft provides very limited consideration of research funding mechanisms. There are very few funding opportunities for mental health research, and success rates with major funders are exceedingly low for mental health research (Batterham et al 2016 and Christensen et al 2011). The model for establishing a clinical trials network for mental health requires careful consideration. The majority of existing clinical trials networks connect hospital services, which is an irrelevant setting for the vast majority of people experiencing mental ill health. A large proportion of people experiencing mental illness do not seek any clinical care. A clinical trials network would need to account for this challenge, connecting community-based services, primary care services and </w:t>
      </w:r>
      <w:r w:rsidR="00D35368">
        <w:rPr>
          <w:rFonts w:ascii="Calibri" w:eastAsia="Times New Roman" w:hAnsi="Calibri" w:cs="Calibri"/>
          <w:sz w:val="24"/>
          <w:szCs w:val="24"/>
          <w:lang w:eastAsia="en-AU"/>
        </w:rPr>
        <w:t xml:space="preserve">directly to </w:t>
      </w:r>
      <w:r w:rsidRPr="00647EB4">
        <w:rPr>
          <w:rFonts w:ascii="Calibri" w:eastAsia="Times New Roman" w:hAnsi="Calibri" w:cs="Calibri"/>
          <w:sz w:val="24"/>
          <w:szCs w:val="24"/>
          <w:lang w:eastAsia="en-AU"/>
        </w:rPr>
        <w:t>consumers living in the community.</w:t>
      </w:r>
    </w:p>
    <w:p w14:paraId="58B8ED05" w14:textId="6FC62374" w:rsidR="00647EB4" w:rsidRPr="00647EB4" w:rsidRDefault="00647EB4" w:rsidP="00647EB4">
      <w:pPr>
        <w:spacing w:before="100" w:beforeAutospacing="1" w:after="100" w:afterAutospacing="1" w:line="240" w:lineRule="auto"/>
        <w:rPr>
          <w:rFonts w:ascii="Calibri" w:eastAsia="Times New Roman" w:hAnsi="Calibri" w:cs="Calibri"/>
          <w:sz w:val="24"/>
          <w:szCs w:val="24"/>
          <w:lang w:eastAsia="en-AU"/>
        </w:rPr>
      </w:pPr>
      <w:r>
        <w:rPr>
          <w:rFonts w:ascii="Calibri" w:eastAsia="Times New Roman" w:hAnsi="Calibri" w:cs="Calibri"/>
          <w:sz w:val="24"/>
          <w:szCs w:val="24"/>
          <w:lang w:eastAsia="en-AU"/>
        </w:rPr>
        <w:t>Issues surrounding mental health research</w:t>
      </w:r>
      <w:r w:rsidR="00077BCD">
        <w:rPr>
          <w:rFonts w:ascii="Calibri" w:eastAsia="Times New Roman" w:hAnsi="Calibri" w:cs="Calibri"/>
          <w:sz w:val="24"/>
          <w:szCs w:val="24"/>
          <w:lang w:eastAsia="en-AU"/>
        </w:rPr>
        <w:t xml:space="preserve"> funding</w:t>
      </w:r>
      <w:r>
        <w:rPr>
          <w:rFonts w:ascii="Calibri" w:eastAsia="Times New Roman" w:hAnsi="Calibri" w:cs="Calibri"/>
          <w:sz w:val="24"/>
          <w:szCs w:val="24"/>
          <w:lang w:eastAsia="en-AU"/>
        </w:rPr>
        <w:t xml:space="preserve"> are further complicated when considering the systemic issues associated</w:t>
      </w:r>
      <w:r w:rsidR="00125057">
        <w:rPr>
          <w:rFonts w:ascii="Calibri" w:eastAsia="Times New Roman" w:hAnsi="Calibri" w:cs="Calibri"/>
          <w:sz w:val="24"/>
          <w:szCs w:val="24"/>
          <w:lang w:eastAsia="en-AU"/>
        </w:rPr>
        <w:t xml:space="preserve"> </w:t>
      </w:r>
      <w:r w:rsidR="00C62D9C">
        <w:rPr>
          <w:rFonts w:ascii="Calibri" w:eastAsia="Times New Roman" w:hAnsi="Calibri" w:cs="Calibri"/>
          <w:sz w:val="24"/>
          <w:szCs w:val="24"/>
          <w:lang w:eastAsia="en-AU"/>
        </w:rPr>
        <w:t xml:space="preserve">with </w:t>
      </w:r>
      <w:r w:rsidR="00125057">
        <w:rPr>
          <w:rFonts w:ascii="Calibri" w:eastAsia="Times New Roman" w:hAnsi="Calibri" w:cs="Calibri"/>
          <w:sz w:val="24"/>
          <w:szCs w:val="24"/>
          <w:lang w:eastAsia="en-AU"/>
        </w:rPr>
        <w:t>it</w:t>
      </w:r>
      <w:r>
        <w:rPr>
          <w:rFonts w:ascii="Calibri" w:eastAsia="Times New Roman" w:hAnsi="Calibri" w:cs="Calibri"/>
          <w:sz w:val="24"/>
          <w:szCs w:val="24"/>
          <w:lang w:eastAsia="en-AU"/>
        </w:rPr>
        <w:t xml:space="preserve">.  </w:t>
      </w:r>
      <w:r w:rsidR="00125057">
        <w:rPr>
          <w:rFonts w:ascii="Calibri" w:eastAsia="Times New Roman" w:hAnsi="Calibri" w:cs="Calibri"/>
          <w:sz w:val="24"/>
          <w:szCs w:val="24"/>
          <w:lang w:eastAsia="en-AU"/>
        </w:rPr>
        <w:t xml:space="preserve">Existing mechanisms for funding, like the NHMRC, tend to have a clinical or medical focus. </w:t>
      </w:r>
      <w:r w:rsidR="009D7B13" w:rsidRPr="009D7B13">
        <w:rPr>
          <w:rFonts w:ascii="Calibri" w:eastAsia="Times New Roman" w:hAnsi="Calibri" w:cs="Calibri"/>
          <w:sz w:val="24"/>
          <w:szCs w:val="24"/>
          <w:lang w:eastAsia="en-AU"/>
        </w:rPr>
        <w:t xml:space="preserve">As such, research tends to be less likely to receive funding if it has a psychosocial or public health focus, which leads to limited opportunities for health eco-systems, lived experience, or preventative research. </w:t>
      </w:r>
      <w:r w:rsidR="009D7B13">
        <w:rPr>
          <w:rFonts w:ascii="Calibri" w:eastAsia="Times New Roman" w:hAnsi="Calibri" w:cs="Calibri"/>
          <w:sz w:val="24"/>
          <w:szCs w:val="24"/>
          <w:lang w:eastAsia="en-AU"/>
        </w:rPr>
        <w:t>These areas of</w:t>
      </w:r>
      <w:r>
        <w:rPr>
          <w:rFonts w:ascii="Calibri" w:eastAsia="Times New Roman" w:hAnsi="Calibri" w:cs="Calibri"/>
          <w:sz w:val="24"/>
          <w:szCs w:val="24"/>
          <w:lang w:eastAsia="en-AU"/>
        </w:rPr>
        <w:t xml:space="preserve"> research </w:t>
      </w:r>
      <w:r w:rsidR="009D7B13">
        <w:rPr>
          <w:rFonts w:ascii="Calibri" w:eastAsia="Times New Roman" w:hAnsi="Calibri" w:cs="Calibri"/>
          <w:sz w:val="24"/>
          <w:szCs w:val="24"/>
          <w:lang w:eastAsia="en-AU"/>
        </w:rPr>
        <w:t>are</w:t>
      </w:r>
      <w:r w:rsidR="00C62D9C">
        <w:rPr>
          <w:rFonts w:ascii="Calibri" w:eastAsia="Times New Roman" w:hAnsi="Calibri" w:cs="Calibri"/>
          <w:sz w:val="24"/>
          <w:szCs w:val="24"/>
          <w:lang w:eastAsia="en-AU"/>
        </w:rPr>
        <w:t xml:space="preserve"> </w:t>
      </w:r>
      <w:r>
        <w:rPr>
          <w:rFonts w:ascii="Calibri" w:eastAsia="Times New Roman" w:hAnsi="Calibri" w:cs="Calibri"/>
          <w:sz w:val="24"/>
          <w:szCs w:val="24"/>
          <w:lang w:eastAsia="en-AU"/>
        </w:rPr>
        <w:t>critical to placing mental health and illness in its proper social context, understanding causes and contributors to recovery</w:t>
      </w:r>
      <w:r w:rsidR="00077BCD">
        <w:rPr>
          <w:rFonts w:ascii="Calibri" w:eastAsia="Times New Roman" w:hAnsi="Calibri" w:cs="Calibri"/>
          <w:sz w:val="24"/>
          <w:szCs w:val="24"/>
          <w:lang w:eastAsia="en-AU"/>
        </w:rPr>
        <w:t xml:space="preserve"> (Furst et al 2019</w:t>
      </w:r>
      <w:r w:rsidR="0026096A">
        <w:rPr>
          <w:rFonts w:ascii="Calibri" w:eastAsia="Times New Roman" w:hAnsi="Calibri" w:cs="Calibri"/>
          <w:sz w:val="24"/>
          <w:szCs w:val="24"/>
          <w:lang w:eastAsia="en-AU"/>
        </w:rPr>
        <w:t xml:space="preserve"> and Banfield et al 2014</w:t>
      </w:r>
      <w:r w:rsidR="00077BCD">
        <w:rPr>
          <w:rFonts w:ascii="Calibri" w:eastAsia="Times New Roman" w:hAnsi="Calibri" w:cs="Calibri"/>
          <w:sz w:val="24"/>
          <w:szCs w:val="24"/>
          <w:lang w:eastAsia="en-AU"/>
        </w:rPr>
        <w:t>)</w:t>
      </w:r>
      <w:r>
        <w:rPr>
          <w:rFonts w:ascii="Calibri" w:eastAsia="Times New Roman" w:hAnsi="Calibri" w:cs="Calibri"/>
          <w:sz w:val="24"/>
          <w:szCs w:val="24"/>
          <w:lang w:eastAsia="en-AU"/>
        </w:rPr>
        <w:t>.</w:t>
      </w:r>
      <w:r w:rsidR="00077BCD">
        <w:rPr>
          <w:rFonts w:ascii="Calibri" w:eastAsia="Times New Roman" w:hAnsi="Calibri" w:cs="Calibri"/>
          <w:sz w:val="24"/>
          <w:szCs w:val="24"/>
          <w:lang w:eastAsia="en-AU"/>
        </w:rPr>
        <w:t xml:space="preserve">  </w:t>
      </w:r>
    </w:p>
    <w:p w14:paraId="589D8957" w14:textId="77777777" w:rsidR="00647EB4" w:rsidRPr="00074904" w:rsidRDefault="00647EB4" w:rsidP="00647EB4">
      <w:pPr>
        <w:rPr>
          <w:rFonts w:cstheme="minorHAnsi"/>
          <w:b/>
          <w:sz w:val="24"/>
          <w:szCs w:val="24"/>
        </w:rPr>
      </w:pPr>
      <w:r w:rsidRPr="00074904">
        <w:rPr>
          <w:rFonts w:cstheme="minorHAnsi"/>
          <w:b/>
          <w:sz w:val="24"/>
          <w:szCs w:val="24"/>
        </w:rPr>
        <w:t>Suggestions for the Final Report:</w:t>
      </w:r>
    </w:p>
    <w:p w14:paraId="2EAAACA4" w14:textId="6D048981" w:rsidR="00647EB4" w:rsidRDefault="00647EB4" w:rsidP="00647EB4">
      <w:pPr>
        <w:pStyle w:val="ListParagraph"/>
        <w:numPr>
          <w:ilvl w:val="0"/>
          <w:numId w:val="2"/>
        </w:numPr>
        <w:rPr>
          <w:rFonts w:cstheme="minorHAnsi"/>
          <w:sz w:val="24"/>
          <w:szCs w:val="24"/>
        </w:rPr>
      </w:pPr>
      <w:r>
        <w:rPr>
          <w:rFonts w:cstheme="minorHAnsi"/>
          <w:sz w:val="24"/>
          <w:szCs w:val="24"/>
        </w:rPr>
        <w:t>The final report should call for the development of a new national mental health research strategy,</w:t>
      </w:r>
      <w:r w:rsidR="00077BCD">
        <w:rPr>
          <w:rFonts w:cstheme="minorHAnsi"/>
          <w:sz w:val="24"/>
          <w:szCs w:val="24"/>
        </w:rPr>
        <w:t xml:space="preserve"> taking into account health eco-system</w:t>
      </w:r>
      <w:r w:rsidR="00C62D9C">
        <w:rPr>
          <w:rFonts w:cstheme="minorHAnsi"/>
          <w:sz w:val="24"/>
          <w:szCs w:val="24"/>
        </w:rPr>
        <w:t>,</w:t>
      </w:r>
      <w:r w:rsidR="00077BCD">
        <w:rPr>
          <w:rFonts w:cstheme="minorHAnsi"/>
          <w:sz w:val="24"/>
          <w:szCs w:val="24"/>
        </w:rPr>
        <w:t xml:space="preserve"> </w:t>
      </w:r>
      <w:r w:rsidR="00C62D9C">
        <w:rPr>
          <w:rFonts w:cstheme="minorHAnsi"/>
          <w:sz w:val="24"/>
          <w:szCs w:val="24"/>
        </w:rPr>
        <w:t xml:space="preserve">lived experience, and preventative </w:t>
      </w:r>
      <w:r w:rsidR="00077BCD">
        <w:rPr>
          <w:rFonts w:cstheme="minorHAnsi"/>
          <w:sz w:val="24"/>
          <w:szCs w:val="24"/>
        </w:rPr>
        <w:t>approach</w:t>
      </w:r>
      <w:r w:rsidR="00B40F71">
        <w:rPr>
          <w:rFonts w:cstheme="minorHAnsi"/>
          <w:sz w:val="24"/>
          <w:szCs w:val="24"/>
        </w:rPr>
        <w:t>es</w:t>
      </w:r>
      <w:r w:rsidR="00077BCD">
        <w:rPr>
          <w:rFonts w:cstheme="minorHAnsi"/>
          <w:sz w:val="24"/>
          <w:szCs w:val="24"/>
        </w:rPr>
        <w:t>,</w:t>
      </w:r>
      <w:r>
        <w:rPr>
          <w:rFonts w:cstheme="minorHAnsi"/>
          <w:sz w:val="24"/>
          <w:szCs w:val="24"/>
        </w:rPr>
        <w:t xml:space="preserve"> to guide funding priorities in a transparent manner.  </w:t>
      </w:r>
    </w:p>
    <w:p w14:paraId="428EF96A" w14:textId="3786540D" w:rsidR="00647EB4" w:rsidRPr="00074904" w:rsidRDefault="00647EB4" w:rsidP="00647EB4">
      <w:pPr>
        <w:pStyle w:val="ListParagraph"/>
        <w:numPr>
          <w:ilvl w:val="0"/>
          <w:numId w:val="2"/>
        </w:numPr>
        <w:rPr>
          <w:rFonts w:cstheme="minorHAnsi"/>
          <w:sz w:val="24"/>
          <w:szCs w:val="24"/>
        </w:rPr>
      </w:pPr>
      <w:r>
        <w:rPr>
          <w:rFonts w:cstheme="minorHAnsi"/>
          <w:sz w:val="24"/>
          <w:szCs w:val="24"/>
        </w:rPr>
        <w:t>There should be some consideration to a mechanism to ensure mental health gets a fair share of total research funding</w:t>
      </w:r>
      <w:r w:rsidR="00077BCD">
        <w:rPr>
          <w:rFonts w:cstheme="minorHAnsi"/>
          <w:sz w:val="24"/>
          <w:szCs w:val="24"/>
        </w:rPr>
        <w:t>.</w:t>
      </w:r>
    </w:p>
    <w:p w14:paraId="068469FA" w14:textId="77777777" w:rsidR="00077BCD" w:rsidRDefault="00077BCD" w:rsidP="00077BCD">
      <w:pPr>
        <w:pStyle w:val="Heading2"/>
        <w:rPr>
          <w:rFonts w:eastAsia="Times New Roman"/>
          <w:lang w:eastAsia="en-AU"/>
        </w:rPr>
      </w:pPr>
      <w:bookmarkStart w:id="7" w:name="_Toc29197228"/>
      <w:r>
        <w:rPr>
          <w:rFonts w:eastAsia="Times New Roman"/>
          <w:lang w:eastAsia="en-AU"/>
        </w:rPr>
        <w:t>Assessment Tools</w:t>
      </w:r>
      <w:bookmarkEnd w:id="7"/>
    </w:p>
    <w:p w14:paraId="6E413394" w14:textId="179E6292" w:rsidR="00647EB4" w:rsidRPr="00647EB4" w:rsidRDefault="00647EB4" w:rsidP="00647EB4">
      <w:pPr>
        <w:spacing w:before="100" w:beforeAutospacing="1" w:after="100" w:afterAutospacing="1" w:line="240" w:lineRule="auto"/>
        <w:rPr>
          <w:rFonts w:ascii="Times New Roman" w:eastAsia="Times New Roman" w:hAnsi="Times New Roman" w:cs="Times New Roman"/>
          <w:sz w:val="24"/>
          <w:szCs w:val="24"/>
          <w:lang w:eastAsia="en-AU"/>
        </w:rPr>
      </w:pPr>
      <w:r w:rsidRPr="00077BCD">
        <w:rPr>
          <w:rFonts w:ascii="Calibri" w:eastAsia="Times New Roman" w:hAnsi="Calibri" w:cs="Calibri"/>
          <w:sz w:val="24"/>
          <w:szCs w:val="24"/>
          <w:lang w:eastAsia="en-AU"/>
        </w:rPr>
        <w:t xml:space="preserve">There is little consideration in the </w:t>
      </w:r>
      <w:r w:rsidR="00077BCD">
        <w:rPr>
          <w:rFonts w:ascii="Calibri" w:eastAsia="Times New Roman" w:hAnsi="Calibri" w:cs="Calibri"/>
          <w:sz w:val="24"/>
          <w:szCs w:val="24"/>
          <w:lang w:eastAsia="en-AU"/>
        </w:rPr>
        <w:t xml:space="preserve">draft </w:t>
      </w:r>
      <w:r w:rsidRPr="00077BCD">
        <w:rPr>
          <w:rFonts w:ascii="Calibri" w:eastAsia="Times New Roman" w:hAnsi="Calibri" w:cs="Calibri"/>
          <w:sz w:val="24"/>
          <w:szCs w:val="24"/>
          <w:lang w:eastAsia="en-AU"/>
        </w:rPr>
        <w:t>recommendations of the potential benefits of more accurate and targeted assessment tools. The wholesale use of the K10 as a measure of psychological distress (including in the minimum dataset) may be irrelevant for many services and is a relatively weak proxy for specific mental health outcomes. More accurate measures of psychological distress exist (Batterham et al 2018</w:t>
      </w:r>
      <w:r w:rsidR="002E6317">
        <w:rPr>
          <w:rFonts w:ascii="Calibri" w:eastAsia="Times New Roman" w:hAnsi="Calibri" w:cs="Calibri"/>
          <w:sz w:val="24"/>
          <w:szCs w:val="24"/>
          <w:lang w:eastAsia="en-AU"/>
        </w:rPr>
        <w:t>)</w:t>
      </w:r>
      <w:r w:rsidRPr="00077BCD">
        <w:rPr>
          <w:rFonts w:ascii="Calibri" w:eastAsia="Times New Roman" w:hAnsi="Calibri" w:cs="Calibri"/>
          <w:sz w:val="24"/>
          <w:szCs w:val="24"/>
          <w:lang w:eastAsia="en-AU"/>
        </w:rPr>
        <w:t>. Recommendations for inclusion of accurate screening measures for specific mental health problems may also be beneficial, as would recommendations around more routine assessment of suicidal thoughts and behaviours. Furthermore, the use of (better) metrics of functioning and recovery may be more relevant than symptom measures in many service settings.</w:t>
      </w:r>
      <w:r w:rsidRPr="00647EB4">
        <w:rPr>
          <w:rFonts w:ascii="Calibri" w:eastAsia="Times New Roman" w:hAnsi="Calibri" w:cs="Calibri"/>
          <w:color w:val="1F497D"/>
          <w:lang w:eastAsia="en-AU"/>
        </w:rPr>
        <w:t> </w:t>
      </w:r>
    </w:p>
    <w:p w14:paraId="7510882D" w14:textId="77777777" w:rsidR="00647EB4" w:rsidRPr="00647EB4" w:rsidRDefault="00647EB4" w:rsidP="00647EB4">
      <w:pPr>
        <w:spacing w:before="100" w:beforeAutospacing="1" w:after="100" w:afterAutospacing="1" w:line="240" w:lineRule="auto"/>
        <w:rPr>
          <w:rFonts w:ascii="Times New Roman" w:eastAsia="Times New Roman" w:hAnsi="Times New Roman" w:cs="Times New Roman"/>
          <w:sz w:val="24"/>
          <w:szCs w:val="24"/>
          <w:lang w:eastAsia="en-AU"/>
        </w:rPr>
      </w:pPr>
      <w:r w:rsidRPr="00647EB4">
        <w:rPr>
          <w:rFonts w:ascii="Calibri" w:eastAsia="Times New Roman" w:hAnsi="Calibri" w:cs="Calibri"/>
          <w:color w:val="1F497D"/>
          <w:lang w:eastAsia="en-AU"/>
        </w:rPr>
        <w:t> </w:t>
      </w:r>
    </w:p>
    <w:p w14:paraId="0213CA2C" w14:textId="07F05F23" w:rsidR="00683D4D" w:rsidRDefault="0028235D" w:rsidP="002C1E3A">
      <w:pPr>
        <w:pStyle w:val="Heading2"/>
      </w:pPr>
      <w:bookmarkStart w:id="8" w:name="_Toc29197229"/>
      <w:r w:rsidRPr="00074904">
        <w:lastRenderedPageBreak/>
        <w:t>Regional decision-making</w:t>
      </w:r>
      <w:bookmarkEnd w:id="8"/>
    </w:p>
    <w:p w14:paraId="2B7E6695" w14:textId="77777777" w:rsidR="00005E9E" w:rsidRPr="00005E9E" w:rsidRDefault="00005E9E" w:rsidP="00005E9E">
      <w:pPr>
        <w:spacing w:after="0" w:line="240" w:lineRule="auto"/>
      </w:pPr>
    </w:p>
    <w:p w14:paraId="4C3FBE65" w14:textId="5647059D" w:rsidR="00E974DA" w:rsidRPr="00074904" w:rsidRDefault="0028235D" w:rsidP="00683D4D">
      <w:pPr>
        <w:rPr>
          <w:rFonts w:cstheme="minorHAnsi"/>
          <w:sz w:val="24"/>
          <w:szCs w:val="24"/>
        </w:rPr>
      </w:pPr>
      <w:r w:rsidRPr="00074904">
        <w:rPr>
          <w:rFonts w:cstheme="minorHAnsi"/>
          <w:sz w:val="24"/>
          <w:szCs w:val="24"/>
        </w:rPr>
        <w:t xml:space="preserve">This suggestion relates to Information Request 23.1 in relation to the Architecture of the Future Information System. </w:t>
      </w:r>
      <w:r w:rsidR="00387715" w:rsidRPr="00074904">
        <w:rPr>
          <w:rFonts w:cstheme="minorHAnsi"/>
          <w:sz w:val="24"/>
          <w:szCs w:val="24"/>
        </w:rPr>
        <w:t>T</w:t>
      </w:r>
      <w:r w:rsidRPr="00074904">
        <w:rPr>
          <w:rFonts w:cstheme="minorHAnsi"/>
          <w:sz w:val="24"/>
          <w:szCs w:val="24"/>
        </w:rPr>
        <w:t xml:space="preserve">he focus of the draft report is on </w:t>
      </w:r>
      <w:r w:rsidR="00E974DA" w:rsidRPr="00074904">
        <w:rPr>
          <w:rFonts w:cstheme="minorHAnsi"/>
          <w:sz w:val="24"/>
          <w:szCs w:val="24"/>
        </w:rPr>
        <w:t>the</w:t>
      </w:r>
      <w:r w:rsidRPr="00074904">
        <w:rPr>
          <w:rFonts w:cstheme="minorHAnsi"/>
          <w:sz w:val="24"/>
          <w:szCs w:val="24"/>
        </w:rPr>
        <w:t xml:space="preserve"> ‘Renovate’ or ‘Rebuild’ models.  While the Rebuild model seems sensible and more potent, we must be careful to avoid an undesirable separation</w:t>
      </w:r>
      <w:r w:rsidR="00C85901" w:rsidRPr="00074904">
        <w:rPr>
          <w:rFonts w:cstheme="minorHAnsi"/>
          <w:sz w:val="24"/>
          <w:szCs w:val="24"/>
        </w:rPr>
        <w:t xml:space="preserve"> </w:t>
      </w:r>
      <w:r w:rsidRPr="00074904">
        <w:rPr>
          <w:rFonts w:cstheme="minorHAnsi"/>
          <w:sz w:val="24"/>
          <w:szCs w:val="24"/>
        </w:rPr>
        <w:t xml:space="preserve">between mental </w:t>
      </w:r>
      <w:r w:rsidR="00AB48DA" w:rsidRPr="00074904">
        <w:rPr>
          <w:rFonts w:cstheme="minorHAnsi"/>
          <w:sz w:val="24"/>
          <w:szCs w:val="24"/>
        </w:rPr>
        <w:t>and physical health issues, given they often go hand in hand.</w:t>
      </w:r>
      <w:r w:rsidR="00E974DA" w:rsidRPr="00074904">
        <w:rPr>
          <w:rFonts w:cstheme="minorHAnsi"/>
          <w:sz w:val="24"/>
          <w:szCs w:val="24"/>
        </w:rPr>
        <w:t xml:space="preserve"> Recommendation 22.1 (page 99) is where the Commission suggest</w:t>
      </w:r>
      <w:r w:rsidR="00493308">
        <w:rPr>
          <w:rFonts w:cstheme="minorHAnsi"/>
          <w:sz w:val="24"/>
          <w:szCs w:val="24"/>
        </w:rPr>
        <w:t>s</w:t>
      </w:r>
      <w:r w:rsidR="00E974DA" w:rsidRPr="00074904">
        <w:rPr>
          <w:rFonts w:cstheme="minorHAnsi"/>
          <w:sz w:val="24"/>
          <w:szCs w:val="24"/>
        </w:rPr>
        <w:t xml:space="preserve"> that as part of a new national agreement the Council of Australian Governments </w:t>
      </w:r>
    </w:p>
    <w:p w14:paraId="4477FC50" w14:textId="77777777" w:rsidR="00E974DA" w:rsidRPr="00074904" w:rsidRDefault="00E974DA" w:rsidP="00E974DA">
      <w:pPr>
        <w:ind w:left="720"/>
        <w:rPr>
          <w:rFonts w:cstheme="minorHAnsi"/>
          <w:i/>
          <w:sz w:val="24"/>
          <w:szCs w:val="24"/>
        </w:rPr>
      </w:pPr>
      <w:r w:rsidRPr="00074904">
        <w:rPr>
          <w:rFonts w:cstheme="minorHAnsi"/>
          <w:i/>
          <w:sz w:val="24"/>
          <w:szCs w:val="24"/>
        </w:rPr>
        <w:t>recognises the importance of separating funding and governance arrangements of mental health from those of physical health to strengthen the accountability of individual jurisdictions for mental health outcomes.</w:t>
      </w:r>
    </w:p>
    <w:p w14:paraId="4A176ED1" w14:textId="77777777" w:rsidR="00E974DA" w:rsidRPr="00074904" w:rsidRDefault="00E974DA" w:rsidP="00683D4D">
      <w:pPr>
        <w:rPr>
          <w:rFonts w:cstheme="minorHAnsi"/>
          <w:sz w:val="24"/>
          <w:szCs w:val="24"/>
        </w:rPr>
      </w:pPr>
      <w:r w:rsidRPr="00074904">
        <w:rPr>
          <w:rFonts w:cstheme="minorHAnsi"/>
          <w:sz w:val="24"/>
          <w:szCs w:val="24"/>
        </w:rPr>
        <w:t xml:space="preserve">This recommendation is understandable given the focus here is on clearer governance.  </w:t>
      </w:r>
      <w:r w:rsidR="00B34D68" w:rsidRPr="00074904">
        <w:rPr>
          <w:rFonts w:cstheme="minorHAnsi"/>
          <w:sz w:val="24"/>
          <w:szCs w:val="24"/>
        </w:rPr>
        <w:t xml:space="preserve">However, many people with mental illness also have physical co-morbidities and chronic conditions, such as diabetes, cardio-vascular disorders and the like.  These are the main contributors to reduced life expectancy among this population. It is not possible to put the consumer at the centre of care while splitting physical from mental health, even if the aim is to create some administrative or financial simplicity. </w:t>
      </w:r>
      <w:r w:rsidRPr="00074904">
        <w:rPr>
          <w:rFonts w:cstheme="minorHAnsi"/>
          <w:sz w:val="24"/>
          <w:szCs w:val="24"/>
        </w:rPr>
        <w:t xml:space="preserve">Contemporary thinking in good mental health care is focusing more on issues of integration.  This recommendation promotes separation. </w:t>
      </w:r>
    </w:p>
    <w:p w14:paraId="00031508" w14:textId="6990608E" w:rsidR="00B34D68" w:rsidRPr="00074904" w:rsidRDefault="00B34D68" w:rsidP="00683D4D">
      <w:pPr>
        <w:rPr>
          <w:rFonts w:cstheme="minorHAnsi"/>
          <w:sz w:val="24"/>
          <w:szCs w:val="24"/>
        </w:rPr>
      </w:pPr>
      <w:r w:rsidRPr="00074904">
        <w:rPr>
          <w:rFonts w:cstheme="minorHAnsi"/>
          <w:sz w:val="24"/>
          <w:szCs w:val="24"/>
        </w:rPr>
        <w:t xml:space="preserve">The draft report also places considerable stock in the capacity of </w:t>
      </w:r>
      <w:r w:rsidR="00005E9E" w:rsidRPr="00074904">
        <w:rPr>
          <w:rFonts w:cstheme="minorHAnsi"/>
          <w:sz w:val="24"/>
          <w:szCs w:val="24"/>
        </w:rPr>
        <w:t>activity-based</w:t>
      </w:r>
      <w:r w:rsidRPr="00074904">
        <w:rPr>
          <w:rFonts w:cstheme="minorHAnsi"/>
          <w:sz w:val="24"/>
          <w:szCs w:val="24"/>
        </w:rPr>
        <w:t xml:space="preserve"> funding to drive the development of community and hospital-avoidance focused mental health services, particularly those provided by the non-government sector.  This contention deserves much more investigation.</w:t>
      </w:r>
    </w:p>
    <w:p w14:paraId="114A83DD" w14:textId="77777777" w:rsidR="00E974DA" w:rsidRPr="00074904" w:rsidRDefault="00E974DA" w:rsidP="00E974DA">
      <w:pPr>
        <w:rPr>
          <w:rFonts w:cstheme="minorHAnsi"/>
          <w:b/>
          <w:sz w:val="24"/>
          <w:szCs w:val="24"/>
        </w:rPr>
      </w:pPr>
      <w:r w:rsidRPr="00074904">
        <w:rPr>
          <w:rFonts w:cstheme="minorHAnsi"/>
          <w:b/>
          <w:sz w:val="24"/>
          <w:szCs w:val="24"/>
        </w:rPr>
        <w:t>Suggestions for the Final Report:</w:t>
      </w:r>
    </w:p>
    <w:p w14:paraId="72B1725A" w14:textId="77777777" w:rsidR="00E974DA" w:rsidRPr="00074904" w:rsidRDefault="00E974DA" w:rsidP="00E974DA">
      <w:pPr>
        <w:pStyle w:val="ListParagraph"/>
        <w:numPr>
          <w:ilvl w:val="0"/>
          <w:numId w:val="2"/>
        </w:numPr>
        <w:rPr>
          <w:rFonts w:cstheme="minorHAnsi"/>
          <w:sz w:val="24"/>
          <w:szCs w:val="24"/>
        </w:rPr>
      </w:pPr>
      <w:r w:rsidRPr="00074904">
        <w:rPr>
          <w:rFonts w:cstheme="minorHAnsi"/>
          <w:sz w:val="24"/>
          <w:szCs w:val="24"/>
        </w:rPr>
        <w:t xml:space="preserve">The Rebuild model should be further crafted to ensure it avoids </w:t>
      </w:r>
      <w:r w:rsidR="00B34D68" w:rsidRPr="00074904">
        <w:rPr>
          <w:rFonts w:cstheme="minorHAnsi"/>
          <w:sz w:val="24"/>
          <w:szCs w:val="24"/>
        </w:rPr>
        <w:t>u</w:t>
      </w:r>
      <w:r w:rsidRPr="00074904">
        <w:rPr>
          <w:rFonts w:cstheme="minorHAnsi"/>
          <w:sz w:val="24"/>
          <w:szCs w:val="24"/>
        </w:rPr>
        <w:t xml:space="preserve">ndesirable separation of </w:t>
      </w:r>
      <w:r w:rsidR="00B34D68" w:rsidRPr="00074904">
        <w:rPr>
          <w:rFonts w:cstheme="minorHAnsi"/>
          <w:sz w:val="24"/>
          <w:szCs w:val="24"/>
        </w:rPr>
        <w:t xml:space="preserve">the </w:t>
      </w:r>
      <w:r w:rsidRPr="00074904">
        <w:rPr>
          <w:rFonts w:cstheme="minorHAnsi"/>
          <w:sz w:val="24"/>
          <w:szCs w:val="24"/>
        </w:rPr>
        <w:t>mental and physical health</w:t>
      </w:r>
      <w:r w:rsidR="00B34D68" w:rsidRPr="00074904">
        <w:rPr>
          <w:rFonts w:cstheme="minorHAnsi"/>
          <w:sz w:val="24"/>
          <w:szCs w:val="24"/>
        </w:rPr>
        <w:t xml:space="preserve"> needs of people.</w:t>
      </w:r>
    </w:p>
    <w:p w14:paraId="1C7CCFC9" w14:textId="636BF1DF" w:rsidR="00B34D68" w:rsidRPr="00074904" w:rsidRDefault="00B34D68" w:rsidP="00E974DA">
      <w:pPr>
        <w:pStyle w:val="ListParagraph"/>
        <w:numPr>
          <w:ilvl w:val="0"/>
          <w:numId w:val="2"/>
        </w:numPr>
        <w:rPr>
          <w:rFonts w:cstheme="minorHAnsi"/>
          <w:sz w:val="24"/>
          <w:szCs w:val="24"/>
        </w:rPr>
      </w:pPr>
      <w:r w:rsidRPr="00074904">
        <w:rPr>
          <w:rFonts w:cstheme="minorHAnsi"/>
          <w:sz w:val="24"/>
          <w:szCs w:val="24"/>
        </w:rPr>
        <w:t xml:space="preserve">The role of </w:t>
      </w:r>
      <w:r w:rsidR="00005E9E" w:rsidRPr="00074904">
        <w:rPr>
          <w:rFonts w:cstheme="minorHAnsi"/>
          <w:sz w:val="24"/>
          <w:szCs w:val="24"/>
        </w:rPr>
        <w:t>activity-based</w:t>
      </w:r>
      <w:r w:rsidRPr="00074904">
        <w:rPr>
          <w:rFonts w:cstheme="minorHAnsi"/>
          <w:sz w:val="24"/>
          <w:szCs w:val="24"/>
        </w:rPr>
        <w:t xml:space="preserve"> funding in providing the necessary structures and incentives to drive non-hospital care should be examined in more detail.</w:t>
      </w:r>
    </w:p>
    <w:p w14:paraId="7B3C0F3C" w14:textId="2D09FC12" w:rsidR="007D09D2" w:rsidRDefault="007D09D2" w:rsidP="002C1E3A">
      <w:pPr>
        <w:pStyle w:val="Heading2"/>
      </w:pPr>
      <w:bookmarkStart w:id="9" w:name="_Toc29197230"/>
      <w:r w:rsidRPr="00074904">
        <w:t>Mapping</w:t>
      </w:r>
      <w:bookmarkEnd w:id="9"/>
    </w:p>
    <w:p w14:paraId="7318015F" w14:textId="77777777" w:rsidR="00005E9E" w:rsidRPr="00005E9E" w:rsidRDefault="00005E9E" w:rsidP="00005E9E">
      <w:pPr>
        <w:spacing w:after="0" w:line="240" w:lineRule="auto"/>
      </w:pPr>
    </w:p>
    <w:p w14:paraId="53CBDE46" w14:textId="12B25E0D" w:rsidR="007A5F7F" w:rsidRDefault="00B34D68" w:rsidP="007A5F7F">
      <w:pPr>
        <w:rPr>
          <w:rFonts w:cstheme="minorHAnsi"/>
          <w:sz w:val="24"/>
          <w:szCs w:val="24"/>
        </w:rPr>
      </w:pPr>
      <w:r w:rsidRPr="00074904">
        <w:rPr>
          <w:rFonts w:cstheme="minorHAnsi"/>
          <w:sz w:val="24"/>
          <w:szCs w:val="24"/>
        </w:rPr>
        <w:t>T</w:t>
      </w:r>
      <w:r w:rsidR="00387715" w:rsidRPr="00074904">
        <w:rPr>
          <w:rFonts w:cstheme="minorHAnsi"/>
          <w:sz w:val="24"/>
          <w:szCs w:val="24"/>
        </w:rPr>
        <w:t xml:space="preserve">here is another </w:t>
      </w:r>
      <w:r w:rsidR="007D09D2" w:rsidRPr="00074904">
        <w:rPr>
          <w:rFonts w:cstheme="minorHAnsi"/>
          <w:sz w:val="24"/>
          <w:szCs w:val="24"/>
        </w:rPr>
        <w:t xml:space="preserve">important </w:t>
      </w:r>
      <w:r w:rsidR="00387715" w:rsidRPr="00074904">
        <w:rPr>
          <w:rFonts w:cstheme="minorHAnsi"/>
          <w:sz w:val="24"/>
          <w:szCs w:val="24"/>
        </w:rPr>
        <w:t xml:space="preserve">issue here, which concerns the extent to which local </w:t>
      </w:r>
      <w:r w:rsidR="00434417" w:rsidRPr="00074904">
        <w:rPr>
          <w:rFonts w:cstheme="minorHAnsi"/>
          <w:sz w:val="24"/>
          <w:szCs w:val="24"/>
        </w:rPr>
        <w:t>regional</w:t>
      </w:r>
      <w:r w:rsidR="00387715" w:rsidRPr="00074904">
        <w:rPr>
          <w:rFonts w:cstheme="minorHAnsi"/>
          <w:sz w:val="24"/>
          <w:szCs w:val="24"/>
        </w:rPr>
        <w:t xml:space="preserve"> decision-makers have the tools, skills and </w:t>
      </w:r>
      <w:r w:rsidR="00434417" w:rsidRPr="00074904">
        <w:rPr>
          <w:rFonts w:cstheme="minorHAnsi"/>
          <w:sz w:val="24"/>
          <w:szCs w:val="24"/>
        </w:rPr>
        <w:t>resources</w:t>
      </w:r>
      <w:r w:rsidR="00387715" w:rsidRPr="00074904">
        <w:rPr>
          <w:rFonts w:cstheme="minorHAnsi"/>
          <w:sz w:val="24"/>
          <w:szCs w:val="24"/>
        </w:rPr>
        <w:t xml:space="preserve"> to properly plan and model the mental health system they need to address population needs</w:t>
      </w:r>
      <w:r w:rsidR="00D053C6">
        <w:rPr>
          <w:rFonts w:cstheme="minorHAnsi"/>
          <w:sz w:val="24"/>
          <w:szCs w:val="24"/>
        </w:rPr>
        <w:t xml:space="preserve"> (Salvador-Carulla et al 2005, 2007 and 2017)</w:t>
      </w:r>
      <w:r w:rsidR="00387715" w:rsidRPr="00074904">
        <w:rPr>
          <w:rFonts w:cstheme="minorHAnsi"/>
          <w:sz w:val="24"/>
          <w:szCs w:val="24"/>
        </w:rPr>
        <w:t>.  A key gap in the draft report was the failure to refer to the Atlases of Integrated Mental Health Care generated by the Centre for Mental Health Research</w:t>
      </w:r>
      <w:r w:rsidR="00C62D9C">
        <w:rPr>
          <w:rFonts w:cstheme="minorHAnsi"/>
          <w:sz w:val="24"/>
          <w:szCs w:val="24"/>
        </w:rPr>
        <w:t>, ANU</w:t>
      </w:r>
      <w:r w:rsidR="00387715" w:rsidRPr="00074904">
        <w:rPr>
          <w:rFonts w:cstheme="minorHAnsi"/>
          <w:sz w:val="24"/>
          <w:szCs w:val="24"/>
        </w:rPr>
        <w:t xml:space="preserve"> (often working with partner organisations).  </w:t>
      </w:r>
    </w:p>
    <w:p w14:paraId="5828809C" w14:textId="5A231798" w:rsidR="007A5F7F" w:rsidRDefault="007A5F7F" w:rsidP="007A5F7F">
      <w:pPr>
        <w:rPr>
          <w:rFonts w:cstheme="minorHAnsi"/>
          <w:sz w:val="24"/>
          <w:szCs w:val="24"/>
        </w:rPr>
      </w:pPr>
      <w:r w:rsidRPr="00074904">
        <w:rPr>
          <w:rFonts w:cstheme="minorHAnsi"/>
          <w:sz w:val="24"/>
          <w:szCs w:val="24"/>
        </w:rPr>
        <w:t xml:space="preserve">These Atlases </w:t>
      </w:r>
      <w:r>
        <w:rPr>
          <w:rFonts w:cstheme="minorHAnsi"/>
          <w:sz w:val="24"/>
          <w:szCs w:val="24"/>
        </w:rPr>
        <w:t xml:space="preserve">use an international classification system developed by members of CMHR in collaboration with an international panel of experts in mental health care assessment and allow comparisons of the patterns of mental health care across different regions and countries. </w:t>
      </w:r>
    </w:p>
    <w:p w14:paraId="45366BA1" w14:textId="6C30B3A5" w:rsidR="007A5F7F" w:rsidRDefault="007A5F7F" w:rsidP="007A5F7F">
      <w:pPr>
        <w:rPr>
          <w:rFonts w:cstheme="minorHAnsi"/>
          <w:sz w:val="24"/>
          <w:szCs w:val="24"/>
        </w:rPr>
      </w:pPr>
      <w:r>
        <w:rPr>
          <w:rFonts w:cstheme="minorHAnsi"/>
          <w:sz w:val="24"/>
          <w:szCs w:val="24"/>
        </w:rPr>
        <w:lastRenderedPageBreak/>
        <w:t xml:space="preserve">This system has been used in over 34 countries (Romero et al, 2019) and the mapping in Australia </w:t>
      </w:r>
      <w:r w:rsidRPr="00074904">
        <w:rPr>
          <w:rFonts w:cstheme="minorHAnsi"/>
          <w:sz w:val="24"/>
          <w:szCs w:val="24"/>
        </w:rPr>
        <w:t>now cover</w:t>
      </w:r>
      <w:r w:rsidR="00C62D9C">
        <w:rPr>
          <w:rFonts w:cstheme="minorHAnsi"/>
          <w:sz w:val="24"/>
          <w:szCs w:val="24"/>
        </w:rPr>
        <w:t>s</w:t>
      </w:r>
      <w:r w:rsidRPr="00074904">
        <w:rPr>
          <w:rFonts w:cstheme="minorHAnsi"/>
          <w:sz w:val="24"/>
          <w:szCs w:val="24"/>
        </w:rPr>
        <w:t xml:space="preserve"> more than 50% of the Australian population and are part of a sophisticated suite of decision support tools which regional planners will need if they are to do better</w:t>
      </w:r>
      <w:r>
        <w:rPr>
          <w:rFonts w:cstheme="minorHAnsi"/>
          <w:sz w:val="24"/>
          <w:szCs w:val="24"/>
        </w:rPr>
        <w:t xml:space="preserve">. More information on the Atlas and mapping can be found here: </w:t>
      </w:r>
      <w:hyperlink r:id="rId15" w:history="1">
        <w:r w:rsidRPr="000B1C9F">
          <w:rPr>
            <w:rStyle w:val="Hyperlink"/>
            <w:rFonts w:cstheme="minorHAnsi"/>
            <w:sz w:val="24"/>
            <w:szCs w:val="24"/>
          </w:rPr>
          <w:t>https://rsph.anu.edu.au/research/projects/atlas-mental-health-care</w:t>
        </w:r>
      </w:hyperlink>
      <w:r>
        <w:rPr>
          <w:rFonts w:cstheme="minorHAnsi"/>
          <w:sz w:val="24"/>
          <w:szCs w:val="24"/>
        </w:rPr>
        <w:t>.</w:t>
      </w:r>
    </w:p>
    <w:p w14:paraId="6E4A8241" w14:textId="3DB53C28" w:rsidR="007A1B1F" w:rsidRPr="00493308" w:rsidRDefault="007A1B1F" w:rsidP="007A5F7F">
      <w:pPr>
        <w:rPr>
          <w:rFonts w:cstheme="minorHAnsi"/>
          <w:sz w:val="24"/>
          <w:szCs w:val="24"/>
        </w:rPr>
      </w:pPr>
      <w:r w:rsidRPr="00493308">
        <w:rPr>
          <w:rFonts w:cstheme="minorHAnsi"/>
          <w:sz w:val="24"/>
          <w:szCs w:val="24"/>
        </w:rPr>
        <w:t>Atlas evidence indicates that Australia is not following a community care approach in comparison with EU countries. There are major missing links that prevent setting up coherent pathways of care</w:t>
      </w:r>
      <w:r w:rsidR="00493308">
        <w:rPr>
          <w:rFonts w:cstheme="minorHAnsi"/>
          <w:sz w:val="24"/>
          <w:szCs w:val="24"/>
        </w:rPr>
        <w:t xml:space="preserve"> for consumers with</w:t>
      </w:r>
      <w:r w:rsidRPr="00493308">
        <w:rPr>
          <w:rFonts w:cstheme="minorHAnsi"/>
          <w:sz w:val="24"/>
          <w:szCs w:val="24"/>
        </w:rPr>
        <w:t xml:space="preserve"> moderate to severe </w:t>
      </w:r>
      <w:r w:rsidR="00493308">
        <w:rPr>
          <w:rFonts w:cstheme="minorHAnsi"/>
          <w:sz w:val="24"/>
          <w:szCs w:val="24"/>
        </w:rPr>
        <w:t>mental health problems</w:t>
      </w:r>
      <w:r w:rsidRPr="00493308">
        <w:rPr>
          <w:rFonts w:cstheme="minorHAnsi"/>
          <w:sz w:val="24"/>
          <w:szCs w:val="24"/>
        </w:rPr>
        <w:t xml:space="preserve">. The data reinforces </w:t>
      </w:r>
      <w:r w:rsidR="00FD3AFC" w:rsidRPr="00493308">
        <w:rPr>
          <w:rFonts w:cstheme="minorHAnsi"/>
          <w:sz w:val="24"/>
          <w:szCs w:val="24"/>
        </w:rPr>
        <w:t xml:space="preserve">the image of </w:t>
      </w:r>
      <w:r w:rsidRPr="00493308">
        <w:rPr>
          <w:rFonts w:cstheme="minorHAnsi"/>
          <w:sz w:val="24"/>
          <w:szCs w:val="24"/>
        </w:rPr>
        <w:t xml:space="preserve">Australia as a hospital-based system with low access to </w:t>
      </w:r>
      <w:r w:rsidR="00FD3AFC" w:rsidRPr="00493308">
        <w:rPr>
          <w:rFonts w:cstheme="minorHAnsi"/>
          <w:sz w:val="24"/>
          <w:szCs w:val="24"/>
        </w:rPr>
        <w:t xml:space="preserve">mental health </w:t>
      </w:r>
      <w:r w:rsidRPr="00493308">
        <w:rPr>
          <w:rFonts w:cstheme="minorHAnsi"/>
          <w:sz w:val="24"/>
          <w:szCs w:val="24"/>
        </w:rPr>
        <w:t xml:space="preserve">care. The data </w:t>
      </w:r>
      <w:r w:rsidR="00FD3AFC" w:rsidRPr="00493308">
        <w:rPr>
          <w:rFonts w:cstheme="minorHAnsi"/>
          <w:sz w:val="24"/>
          <w:szCs w:val="24"/>
        </w:rPr>
        <w:t xml:space="preserve">supports </w:t>
      </w:r>
      <w:r w:rsidRPr="00493308">
        <w:rPr>
          <w:rFonts w:cstheme="minorHAnsi"/>
          <w:sz w:val="24"/>
          <w:szCs w:val="24"/>
        </w:rPr>
        <w:t>the recommendation of the National Mental Health Commission’s 2014 report for significant investment in community services.</w:t>
      </w:r>
    </w:p>
    <w:p w14:paraId="0A35D820" w14:textId="77777777" w:rsidR="007A5F7F" w:rsidRDefault="007A1B1F" w:rsidP="004C3A82">
      <w:pPr>
        <w:pStyle w:val="xmsonormal"/>
        <w:rPr>
          <w:rFonts w:asciiTheme="minorHAnsi" w:hAnsiTheme="minorHAnsi" w:cstheme="minorHAnsi"/>
        </w:rPr>
      </w:pPr>
      <w:r w:rsidRPr="00074904">
        <w:rPr>
          <w:rFonts w:asciiTheme="minorHAnsi" w:hAnsiTheme="minorHAnsi" w:cstheme="minorHAnsi"/>
        </w:rPr>
        <w:t xml:space="preserve">The </w:t>
      </w:r>
      <w:r w:rsidR="00FD3AFC">
        <w:rPr>
          <w:rFonts w:asciiTheme="minorHAnsi" w:hAnsiTheme="minorHAnsi" w:cstheme="minorHAnsi"/>
        </w:rPr>
        <w:t>data also</w:t>
      </w:r>
      <w:r w:rsidR="00005E9E">
        <w:rPr>
          <w:rFonts w:asciiTheme="minorHAnsi" w:hAnsiTheme="minorHAnsi" w:cstheme="minorHAnsi"/>
        </w:rPr>
        <w:t xml:space="preserve"> reveals</w:t>
      </w:r>
      <w:r w:rsidR="004C3A82" w:rsidRPr="00074904">
        <w:rPr>
          <w:rFonts w:asciiTheme="minorHAnsi" w:hAnsiTheme="minorHAnsi" w:cstheme="minorHAnsi"/>
        </w:rPr>
        <w:t xml:space="preserve"> m</w:t>
      </w:r>
      <w:r w:rsidRPr="00074904">
        <w:rPr>
          <w:rFonts w:asciiTheme="minorHAnsi" w:hAnsiTheme="minorHAnsi" w:cstheme="minorHAnsi"/>
        </w:rPr>
        <w:t>ajor regional differences in the pattern of service delivery</w:t>
      </w:r>
      <w:r w:rsidR="00FD3AFC">
        <w:rPr>
          <w:rFonts w:asciiTheme="minorHAnsi" w:hAnsiTheme="minorHAnsi" w:cstheme="minorHAnsi"/>
        </w:rPr>
        <w:t>, with</w:t>
      </w:r>
      <w:r w:rsidR="004C3A82" w:rsidRPr="00074904">
        <w:rPr>
          <w:rFonts w:asciiTheme="minorHAnsi" w:hAnsiTheme="minorHAnsi" w:cstheme="minorHAnsi"/>
        </w:rPr>
        <w:t xml:space="preserve"> significant differences in </w:t>
      </w:r>
      <w:r w:rsidRPr="00074904">
        <w:rPr>
          <w:rFonts w:asciiTheme="minorHAnsi" w:hAnsiTheme="minorHAnsi" w:cstheme="minorHAnsi"/>
        </w:rPr>
        <w:t xml:space="preserve">workforce profiles and service availability </w:t>
      </w:r>
      <w:r w:rsidR="004C3A82" w:rsidRPr="00074904">
        <w:rPr>
          <w:rFonts w:asciiTheme="minorHAnsi" w:hAnsiTheme="minorHAnsi" w:cstheme="minorHAnsi"/>
        </w:rPr>
        <w:t xml:space="preserve">across different Primary Health Networks and between (and within) </w:t>
      </w:r>
      <w:r w:rsidRPr="00074904">
        <w:rPr>
          <w:rFonts w:asciiTheme="minorHAnsi" w:hAnsiTheme="minorHAnsi" w:cstheme="minorHAnsi"/>
        </w:rPr>
        <w:t>rural and urban areas</w:t>
      </w:r>
      <w:r w:rsidR="004C3A82" w:rsidRPr="00074904">
        <w:rPr>
          <w:rFonts w:asciiTheme="minorHAnsi" w:hAnsiTheme="minorHAnsi" w:cstheme="minorHAnsi"/>
        </w:rPr>
        <w:t xml:space="preserve">.  The Atlas permits formal and standardised comparisons between Australia and other countries.  </w:t>
      </w:r>
    </w:p>
    <w:p w14:paraId="5AC5CB14" w14:textId="4EB0F7C6" w:rsidR="004C3A82" w:rsidRPr="00074904" w:rsidRDefault="004C3A82" w:rsidP="004C3A82">
      <w:pPr>
        <w:pStyle w:val="xmsonormal"/>
        <w:rPr>
          <w:rFonts w:asciiTheme="minorHAnsi" w:hAnsiTheme="minorHAnsi" w:cstheme="minorHAnsi"/>
        </w:rPr>
      </w:pPr>
      <w:r w:rsidRPr="00074904">
        <w:rPr>
          <w:rFonts w:asciiTheme="minorHAnsi" w:hAnsiTheme="minorHAnsi" w:cstheme="minorHAnsi"/>
        </w:rPr>
        <w:t xml:space="preserve">In comparison to eight EU nations, Australia has some significant differences, including in relation to: </w:t>
      </w:r>
    </w:p>
    <w:p w14:paraId="1188C131" w14:textId="327D7CB5" w:rsidR="007A1B1F" w:rsidRPr="00074904" w:rsidRDefault="007A1B1F" w:rsidP="00005E9E">
      <w:pPr>
        <w:pStyle w:val="xmsolistparagraph"/>
        <w:numPr>
          <w:ilvl w:val="0"/>
          <w:numId w:val="9"/>
        </w:numPr>
        <w:spacing w:before="0" w:beforeAutospacing="0" w:after="0" w:afterAutospacing="0"/>
        <w:rPr>
          <w:rFonts w:asciiTheme="minorHAnsi" w:hAnsiTheme="minorHAnsi" w:cstheme="minorHAnsi"/>
        </w:rPr>
      </w:pPr>
      <w:r w:rsidRPr="00074904">
        <w:rPr>
          <w:rFonts w:asciiTheme="minorHAnsi" w:hAnsiTheme="minorHAnsi" w:cstheme="minorHAnsi"/>
        </w:rPr>
        <w:t>Residential care (Hospital and community)</w:t>
      </w:r>
    </w:p>
    <w:p w14:paraId="46682667" w14:textId="54AC3804" w:rsidR="007A1B1F" w:rsidRPr="00074904" w:rsidRDefault="007A1B1F" w:rsidP="00005E9E">
      <w:pPr>
        <w:pStyle w:val="xmsolistparagraph"/>
        <w:numPr>
          <w:ilvl w:val="0"/>
          <w:numId w:val="11"/>
        </w:numPr>
        <w:spacing w:before="0" w:beforeAutospacing="0" w:after="0" w:afterAutospacing="0"/>
        <w:rPr>
          <w:rFonts w:asciiTheme="minorHAnsi" w:hAnsiTheme="minorHAnsi" w:cstheme="minorHAnsi"/>
        </w:rPr>
      </w:pPr>
      <w:r w:rsidRPr="00074904">
        <w:rPr>
          <w:rFonts w:asciiTheme="minorHAnsi" w:hAnsiTheme="minorHAnsi" w:cstheme="minorHAnsi"/>
        </w:rPr>
        <w:t>Higher number of acute wards per 100,000 pop but similar number of beds</w:t>
      </w:r>
    </w:p>
    <w:p w14:paraId="249620B3" w14:textId="36CA078B" w:rsidR="007A1B1F" w:rsidRPr="00074904" w:rsidRDefault="007A1B1F" w:rsidP="00005E9E">
      <w:pPr>
        <w:pStyle w:val="xmsolistparagraph"/>
        <w:numPr>
          <w:ilvl w:val="0"/>
          <w:numId w:val="11"/>
        </w:numPr>
        <w:spacing w:before="0" w:beforeAutospacing="0" w:after="0" w:afterAutospacing="0"/>
        <w:rPr>
          <w:rFonts w:asciiTheme="minorHAnsi" w:hAnsiTheme="minorHAnsi" w:cstheme="minorHAnsi"/>
        </w:rPr>
      </w:pPr>
      <w:r w:rsidRPr="00074904">
        <w:rPr>
          <w:rFonts w:asciiTheme="minorHAnsi" w:hAnsiTheme="minorHAnsi" w:cstheme="minorHAnsi"/>
        </w:rPr>
        <w:t>Higher number of high intensity community residential beds but lower number of beds</w:t>
      </w:r>
    </w:p>
    <w:p w14:paraId="2E71405B" w14:textId="057AC634" w:rsidR="007A1B1F" w:rsidRPr="00074904" w:rsidRDefault="007A1B1F" w:rsidP="00005E9E">
      <w:pPr>
        <w:pStyle w:val="xmsolistparagraph"/>
        <w:numPr>
          <w:ilvl w:val="0"/>
          <w:numId w:val="11"/>
        </w:numPr>
        <w:spacing w:before="0" w:beforeAutospacing="0" w:after="0" w:afterAutospacing="0"/>
        <w:rPr>
          <w:rFonts w:asciiTheme="minorHAnsi" w:hAnsiTheme="minorHAnsi" w:cstheme="minorHAnsi"/>
        </w:rPr>
      </w:pPr>
      <w:r w:rsidRPr="00074904">
        <w:rPr>
          <w:rFonts w:asciiTheme="minorHAnsi" w:hAnsiTheme="minorHAnsi" w:cstheme="minorHAnsi"/>
        </w:rPr>
        <w:t>Lower number of subacute (beds and services)</w:t>
      </w:r>
    </w:p>
    <w:p w14:paraId="49BEA7EB" w14:textId="6AB6B3B0" w:rsidR="007A1B1F" w:rsidRPr="00074904" w:rsidRDefault="007A1B1F" w:rsidP="00005E9E">
      <w:pPr>
        <w:pStyle w:val="xmsolistparagraph"/>
        <w:numPr>
          <w:ilvl w:val="0"/>
          <w:numId w:val="11"/>
        </w:numPr>
        <w:spacing w:before="0" w:beforeAutospacing="0" w:after="0" w:afterAutospacing="0"/>
        <w:rPr>
          <w:rFonts w:asciiTheme="minorHAnsi" w:hAnsiTheme="minorHAnsi" w:cstheme="minorHAnsi"/>
        </w:rPr>
      </w:pPr>
      <w:r w:rsidRPr="00074904">
        <w:rPr>
          <w:rFonts w:asciiTheme="minorHAnsi" w:hAnsiTheme="minorHAnsi" w:cstheme="minorHAnsi"/>
        </w:rPr>
        <w:t>Absen</w:t>
      </w:r>
      <w:r w:rsidR="00FD3AFC">
        <w:rPr>
          <w:rFonts w:asciiTheme="minorHAnsi" w:hAnsiTheme="minorHAnsi" w:cstheme="minorHAnsi"/>
        </w:rPr>
        <w:t>ce of</w:t>
      </w:r>
      <w:r w:rsidRPr="00074904">
        <w:rPr>
          <w:rFonts w:asciiTheme="minorHAnsi" w:hAnsiTheme="minorHAnsi" w:cstheme="minorHAnsi"/>
        </w:rPr>
        <w:t xml:space="preserve"> alternatives to hospitalization </w:t>
      </w:r>
    </w:p>
    <w:p w14:paraId="323CB970" w14:textId="36CACDFD" w:rsidR="007A1B1F" w:rsidRDefault="007A1B1F" w:rsidP="00005E9E">
      <w:pPr>
        <w:pStyle w:val="xmsolistparagraph"/>
        <w:numPr>
          <w:ilvl w:val="0"/>
          <w:numId w:val="11"/>
        </w:numPr>
        <w:spacing w:before="0" w:beforeAutospacing="0" w:after="0" w:afterAutospacing="0"/>
        <w:rPr>
          <w:rFonts w:asciiTheme="minorHAnsi" w:hAnsiTheme="minorHAnsi" w:cstheme="minorHAnsi"/>
        </w:rPr>
      </w:pPr>
      <w:r w:rsidRPr="00074904">
        <w:rPr>
          <w:rFonts w:asciiTheme="minorHAnsi" w:hAnsiTheme="minorHAnsi" w:cstheme="minorHAnsi"/>
        </w:rPr>
        <w:t xml:space="preserve">Lower number of low intensity supported accommodation and </w:t>
      </w:r>
      <w:r w:rsidR="00FD3AFC">
        <w:rPr>
          <w:rFonts w:asciiTheme="minorHAnsi" w:hAnsiTheme="minorHAnsi" w:cstheme="minorHAnsi"/>
        </w:rPr>
        <w:t>community accommodation</w:t>
      </w:r>
    </w:p>
    <w:p w14:paraId="1D4D2154" w14:textId="77777777" w:rsidR="00005E9E" w:rsidRPr="00074904" w:rsidRDefault="00005E9E" w:rsidP="00005E9E">
      <w:pPr>
        <w:pStyle w:val="xmsolistparagraph"/>
        <w:spacing w:before="0" w:beforeAutospacing="0" w:after="0" w:afterAutospacing="0"/>
        <w:ind w:left="720"/>
        <w:rPr>
          <w:rFonts w:asciiTheme="minorHAnsi" w:hAnsiTheme="minorHAnsi" w:cstheme="minorHAnsi"/>
        </w:rPr>
      </w:pPr>
    </w:p>
    <w:p w14:paraId="5EA2DA13" w14:textId="6E6F82B2" w:rsidR="007A1B1F" w:rsidRPr="00074904" w:rsidRDefault="007A1B1F" w:rsidP="00005E9E">
      <w:pPr>
        <w:pStyle w:val="xmsolistparagraph"/>
        <w:numPr>
          <w:ilvl w:val="0"/>
          <w:numId w:val="2"/>
        </w:numPr>
        <w:spacing w:before="0" w:beforeAutospacing="0" w:after="0" w:afterAutospacing="0"/>
        <w:ind w:left="357" w:hanging="357"/>
        <w:rPr>
          <w:rFonts w:asciiTheme="minorHAnsi" w:hAnsiTheme="minorHAnsi" w:cstheme="minorHAnsi"/>
        </w:rPr>
      </w:pPr>
      <w:r w:rsidRPr="00074904">
        <w:rPr>
          <w:rFonts w:asciiTheme="minorHAnsi" w:hAnsiTheme="minorHAnsi" w:cstheme="minorHAnsi"/>
        </w:rPr>
        <w:t>Outpatient care</w:t>
      </w:r>
    </w:p>
    <w:p w14:paraId="2894E352" w14:textId="0AFFDC51" w:rsidR="007A1B1F" w:rsidRPr="00074904" w:rsidRDefault="007A1B1F" w:rsidP="00005E9E">
      <w:pPr>
        <w:pStyle w:val="xmsolistparagraph"/>
        <w:numPr>
          <w:ilvl w:val="0"/>
          <w:numId w:val="10"/>
        </w:numPr>
        <w:spacing w:before="0" w:beforeAutospacing="0" w:after="0" w:afterAutospacing="0"/>
        <w:rPr>
          <w:rFonts w:asciiTheme="minorHAnsi" w:hAnsiTheme="minorHAnsi" w:cstheme="minorHAnsi"/>
        </w:rPr>
      </w:pPr>
      <w:r w:rsidRPr="00074904">
        <w:rPr>
          <w:rFonts w:asciiTheme="minorHAnsi" w:hAnsiTheme="minorHAnsi" w:cstheme="minorHAnsi"/>
        </w:rPr>
        <w:t>Lower number of community mental health centres</w:t>
      </w:r>
    </w:p>
    <w:p w14:paraId="72E18126" w14:textId="04DC7160" w:rsidR="007A1B1F" w:rsidRPr="00074904" w:rsidRDefault="007A1B1F" w:rsidP="00005E9E">
      <w:pPr>
        <w:pStyle w:val="xmsolistparagraph"/>
        <w:numPr>
          <w:ilvl w:val="0"/>
          <w:numId w:val="10"/>
        </w:numPr>
        <w:spacing w:before="0" w:beforeAutospacing="0" w:after="0" w:afterAutospacing="0"/>
        <w:rPr>
          <w:rFonts w:asciiTheme="minorHAnsi" w:hAnsiTheme="minorHAnsi" w:cstheme="minorHAnsi"/>
        </w:rPr>
      </w:pPr>
      <w:r w:rsidRPr="00074904">
        <w:rPr>
          <w:rFonts w:asciiTheme="minorHAnsi" w:hAnsiTheme="minorHAnsi" w:cstheme="minorHAnsi"/>
        </w:rPr>
        <w:t>Higher number of health and social outpatient care</w:t>
      </w:r>
      <w:r w:rsidR="00FD3AFC">
        <w:rPr>
          <w:rFonts w:asciiTheme="minorHAnsi" w:hAnsiTheme="minorHAnsi" w:cstheme="minorHAnsi"/>
        </w:rPr>
        <w:t>,</w:t>
      </w:r>
      <w:r w:rsidRPr="00074904">
        <w:rPr>
          <w:rFonts w:asciiTheme="minorHAnsi" w:hAnsiTheme="minorHAnsi" w:cstheme="minorHAnsi"/>
        </w:rPr>
        <w:t xml:space="preserve"> mainly mobile</w:t>
      </w:r>
    </w:p>
    <w:p w14:paraId="50249021" w14:textId="1B4AC124" w:rsidR="007A1B1F" w:rsidRDefault="007A1B1F" w:rsidP="00005E9E">
      <w:pPr>
        <w:pStyle w:val="xmsolistparagraph"/>
        <w:numPr>
          <w:ilvl w:val="0"/>
          <w:numId w:val="10"/>
        </w:numPr>
        <w:spacing w:before="0" w:beforeAutospacing="0" w:after="0" w:afterAutospacing="0"/>
        <w:rPr>
          <w:rFonts w:asciiTheme="minorHAnsi" w:hAnsiTheme="minorHAnsi" w:cstheme="minorHAnsi"/>
        </w:rPr>
      </w:pPr>
      <w:r w:rsidRPr="00074904">
        <w:rPr>
          <w:rFonts w:asciiTheme="minorHAnsi" w:hAnsiTheme="minorHAnsi" w:cstheme="minorHAnsi"/>
        </w:rPr>
        <w:t>Higher number of emergency services (outpatient acute non mobile</w:t>
      </w:r>
      <w:r w:rsidR="00FD3AFC">
        <w:rPr>
          <w:rFonts w:asciiTheme="minorHAnsi" w:hAnsiTheme="minorHAnsi" w:cstheme="minorHAnsi"/>
        </w:rPr>
        <w:t xml:space="preserve"> care</w:t>
      </w:r>
      <w:r w:rsidR="00005E9E">
        <w:rPr>
          <w:rFonts w:asciiTheme="minorHAnsi" w:hAnsiTheme="minorHAnsi" w:cstheme="minorHAnsi"/>
        </w:rPr>
        <w:t>)</w:t>
      </w:r>
    </w:p>
    <w:p w14:paraId="1DE03E66" w14:textId="77777777" w:rsidR="00005E9E" w:rsidRPr="00074904" w:rsidRDefault="00005E9E" w:rsidP="00005E9E">
      <w:pPr>
        <w:pStyle w:val="xmsolistparagraph"/>
        <w:spacing w:before="0" w:beforeAutospacing="0" w:after="0" w:afterAutospacing="0"/>
        <w:ind w:left="717"/>
        <w:rPr>
          <w:rFonts w:asciiTheme="minorHAnsi" w:hAnsiTheme="minorHAnsi" w:cstheme="minorHAnsi"/>
        </w:rPr>
      </w:pPr>
    </w:p>
    <w:p w14:paraId="25BA2F9C" w14:textId="28AB8D64" w:rsidR="007A1B1F" w:rsidRPr="00074904" w:rsidRDefault="007A1B1F" w:rsidP="00005E9E">
      <w:pPr>
        <w:pStyle w:val="xmsolistparagraph"/>
        <w:numPr>
          <w:ilvl w:val="0"/>
          <w:numId w:val="2"/>
        </w:numPr>
        <w:spacing w:before="0" w:beforeAutospacing="0" w:after="0" w:afterAutospacing="0"/>
        <w:rPr>
          <w:rFonts w:asciiTheme="minorHAnsi" w:hAnsiTheme="minorHAnsi" w:cstheme="minorHAnsi"/>
        </w:rPr>
      </w:pPr>
      <w:r w:rsidRPr="00074904">
        <w:rPr>
          <w:rFonts w:asciiTheme="minorHAnsi" w:hAnsiTheme="minorHAnsi" w:cstheme="minorHAnsi"/>
        </w:rPr>
        <w:t xml:space="preserve">Day care                                                                                                                                                                                    </w:t>
      </w:r>
    </w:p>
    <w:p w14:paraId="72C1438B" w14:textId="32536DF5" w:rsidR="007A1B1F" w:rsidRPr="00074904" w:rsidRDefault="007A1B1F" w:rsidP="00005E9E">
      <w:pPr>
        <w:pStyle w:val="xmsolistparagraph"/>
        <w:numPr>
          <w:ilvl w:val="1"/>
          <w:numId w:val="2"/>
        </w:numPr>
        <w:spacing w:before="0" w:beforeAutospacing="0" w:after="0" w:afterAutospacing="0"/>
        <w:ind w:left="709" w:hanging="425"/>
        <w:rPr>
          <w:rFonts w:asciiTheme="minorHAnsi" w:hAnsiTheme="minorHAnsi" w:cstheme="minorHAnsi"/>
        </w:rPr>
      </w:pPr>
      <w:r w:rsidRPr="00074904">
        <w:rPr>
          <w:rFonts w:asciiTheme="minorHAnsi" w:hAnsiTheme="minorHAnsi" w:cstheme="minorHAnsi"/>
        </w:rPr>
        <w:t>Lower number of day care and nearly absence of many types of day care</w:t>
      </w:r>
    </w:p>
    <w:p w14:paraId="7B491D75" w14:textId="46FB028B" w:rsidR="007A1B1F" w:rsidRPr="00074904" w:rsidRDefault="007A1B1F" w:rsidP="00005E9E">
      <w:pPr>
        <w:pStyle w:val="xmsolistparagraph"/>
        <w:numPr>
          <w:ilvl w:val="1"/>
          <w:numId w:val="2"/>
        </w:numPr>
        <w:spacing w:before="0" w:beforeAutospacing="0" w:after="0" w:afterAutospacing="0"/>
        <w:ind w:left="709" w:hanging="425"/>
        <w:rPr>
          <w:rFonts w:asciiTheme="minorHAnsi" w:hAnsiTheme="minorHAnsi" w:cstheme="minorHAnsi"/>
        </w:rPr>
      </w:pPr>
      <w:r w:rsidRPr="00074904">
        <w:rPr>
          <w:rFonts w:asciiTheme="minorHAnsi" w:hAnsiTheme="minorHAnsi" w:cstheme="minorHAnsi"/>
        </w:rPr>
        <w:t>Similar number of low skilled low intensity low structured day care (social club)</w:t>
      </w:r>
    </w:p>
    <w:p w14:paraId="3EFC1C59" w14:textId="0F8B748D" w:rsidR="007A1B1F" w:rsidRPr="00074904" w:rsidRDefault="007A1B1F" w:rsidP="00005E9E">
      <w:pPr>
        <w:pStyle w:val="xmsolistparagraph"/>
        <w:numPr>
          <w:ilvl w:val="1"/>
          <w:numId w:val="2"/>
        </w:numPr>
        <w:spacing w:before="0" w:beforeAutospacing="0" w:after="0" w:afterAutospacing="0"/>
        <w:ind w:left="709" w:hanging="425"/>
        <w:rPr>
          <w:rFonts w:asciiTheme="minorHAnsi" w:hAnsiTheme="minorHAnsi" w:cstheme="minorHAnsi"/>
        </w:rPr>
      </w:pPr>
      <w:r w:rsidRPr="00074904">
        <w:rPr>
          <w:rFonts w:asciiTheme="minorHAnsi" w:hAnsiTheme="minorHAnsi" w:cstheme="minorHAnsi"/>
        </w:rPr>
        <w:t>Dearth of day care</w:t>
      </w:r>
    </w:p>
    <w:p w14:paraId="68D84C22" w14:textId="53009F09" w:rsidR="007A1B1F" w:rsidRPr="00074904" w:rsidRDefault="007A1B1F" w:rsidP="00005E9E">
      <w:pPr>
        <w:pStyle w:val="xmsolistparagraph"/>
        <w:numPr>
          <w:ilvl w:val="1"/>
          <w:numId w:val="2"/>
        </w:numPr>
        <w:spacing w:before="0" w:beforeAutospacing="0" w:after="0" w:afterAutospacing="0"/>
        <w:ind w:left="709" w:hanging="425"/>
        <w:rPr>
          <w:rFonts w:asciiTheme="minorHAnsi" w:hAnsiTheme="minorHAnsi" w:cstheme="minorHAnsi"/>
        </w:rPr>
      </w:pPr>
      <w:r w:rsidRPr="00074904">
        <w:rPr>
          <w:rFonts w:asciiTheme="minorHAnsi" w:hAnsiTheme="minorHAnsi" w:cstheme="minorHAnsi"/>
        </w:rPr>
        <w:t>Low structured day care</w:t>
      </w:r>
    </w:p>
    <w:p w14:paraId="48ACE87E" w14:textId="614E3880" w:rsidR="007A1B1F" w:rsidRDefault="007A1B1F" w:rsidP="00005E9E">
      <w:pPr>
        <w:pStyle w:val="xmsolistparagraph"/>
        <w:numPr>
          <w:ilvl w:val="1"/>
          <w:numId w:val="2"/>
        </w:numPr>
        <w:spacing w:before="0" w:beforeAutospacing="0" w:after="0" w:afterAutospacing="0"/>
        <w:ind w:left="709" w:hanging="425"/>
        <w:rPr>
          <w:rFonts w:asciiTheme="minorHAnsi" w:hAnsiTheme="minorHAnsi" w:cstheme="minorHAnsi"/>
        </w:rPr>
      </w:pPr>
      <w:r w:rsidRPr="00074904">
        <w:rPr>
          <w:rFonts w:asciiTheme="minorHAnsi" w:hAnsiTheme="minorHAnsi" w:cstheme="minorHAnsi"/>
        </w:rPr>
        <w:t>Low employment care mostly focused on supported accommodation</w:t>
      </w:r>
    </w:p>
    <w:p w14:paraId="10DA6C55" w14:textId="77777777" w:rsidR="00FD3AFC" w:rsidRPr="00074904" w:rsidRDefault="00FD3AFC" w:rsidP="00005E9E">
      <w:pPr>
        <w:pStyle w:val="xmsolistparagraph"/>
        <w:spacing w:before="0" w:beforeAutospacing="0" w:after="0" w:afterAutospacing="0"/>
        <w:ind w:left="709"/>
        <w:rPr>
          <w:rFonts w:asciiTheme="minorHAnsi" w:hAnsiTheme="minorHAnsi" w:cstheme="minorHAnsi"/>
        </w:rPr>
      </w:pPr>
    </w:p>
    <w:p w14:paraId="55B8E2D1" w14:textId="15CA31D1" w:rsidR="007A1B1F" w:rsidRPr="00074904" w:rsidRDefault="007A1B1F" w:rsidP="00005E9E">
      <w:pPr>
        <w:pStyle w:val="xmsolistparagraph"/>
        <w:numPr>
          <w:ilvl w:val="0"/>
          <w:numId w:val="2"/>
        </w:numPr>
        <w:spacing w:before="0" w:beforeAutospacing="0" w:after="0" w:afterAutospacing="0"/>
        <w:ind w:left="357" w:hanging="357"/>
        <w:rPr>
          <w:rFonts w:asciiTheme="minorHAnsi" w:hAnsiTheme="minorHAnsi" w:cstheme="minorHAnsi"/>
        </w:rPr>
      </w:pPr>
      <w:r w:rsidRPr="00074904">
        <w:rPr>
          <w:rFonts w:asciiTheme="minorHAnsi" w:hAnsiTheme="minorHAnsi" w:cstheme="minorHAnsi"/>
        </w:rPr>
        <w:t>Accessibility services</w:t>
      </w:r>
    </w:p>
    <w:p w14:paraId="30E25D12" w14:textId="2E26D2FD" w:rsidR="007A1B1F" w:rsidRPr="00074904" w:rsidRDefault="007A1B1F" w:rsidP="00005E9E">
      <w:pPr>
        <w:pStyle w:val="xmsolistparagraph"/>
        <w:numPr>
          <w:ilvl w:val="0"/>
          <w:numId w:val="12"/>
        </w:numPr>
        <w:spacing w:before="0" w:beforeAutospacing="0" w:after="0" w:afterAutospacing="0"/>
        <w:ind w:left="709" w:hanging="425"/>
        <w:rPr>
          <w:rFonts w:asciiTheme="minorHAnsi" w:hAnsiTheme="minorHAnsi" w:cstheme="minorHAnsi"/>
        </w:rPr>
      </w:pPr>
      <w:r w:rsidRPr="00074904">
        <w:rPr>
          <w:rFonts w:asciiTheme="minorHAnsi" w:hAnsiTheme="minorHAnsi" w:cstheme="minorHAnsi"/>
        </w:rPr>
        <w:t>Nearly absent in Europe</w:t>
      </w:r>
      <w:r w:rsidR="007A5F7F">
        <w:rPr>
          <w:rFonts w:asciiTheme="minorHAnsi" w:hAnsiTheme="minorHAnsi" w:cstheme="minorHAnsi"/>
        </w:rPr>
        <w:t xml:space="preserve">, </w:t>
      </w:r>
      <w:r w:rsidRPr="00074904">
        <w:rPr>
          <w:rFonts w:asciiTheme="minorHAnsi" w:hAnsiTheme="minorHAnsi" w:cstheme="minorHAnsi"/>
        </w:rPr>
        <w:t xml:space="preserve">where this type of care is provided as </w:t>
      </w:r>
      <w:r w:rsidR="00FD3AFC">
        <w:rPr>
          <w:rFonts w:asciiTheme="minorHAnsi" w:hAnsiTheme="minorHAnsi" w:cstheme="minorHAnsi"/>
        </w:rPr>
        <w:t>an integrated</w:t>
      </w:r>
      <w:r w:rsidRPr="00074904">
        <w:rPr>
          <w:rFonts w:asciiTheme="minorHAnsi" w:hAnsiTheme="minorHAnsi" w:cstheme="minorHAnsi"/>
        </w:rPr>
        <w:t xml:space="preserve"> module in community mental health centres and other organisations</w:t>
      </w:r>
      <w:r w:rsidR="00FD3AFC">
        <w:rPr>
          <w:rFonts w:asciiTheme="minorHAnsi" w:hAnsiTheme="minorHAnsi" w:cstheme="minorHAnsi"/>
        </w:rPr>
        <w:t xml:space="preserve">. In </w:t>
      </w:r>
      <w:r w:rsidRPr="00074904">
        <w:rPr>
          <w:rFonts w:asciiTheme="minorHAnsi" w:hAnsiTheme="minorHAnsi" w:cstheme="minorHAnsi"/>
        </w:rPr>
        <w:t xml:space="preserve">Australia </w:t>
      </w:r>
      <w:r w:rsidR="00FD3AFC">
        <w:rPr>
          <w:rFonts w:asciiTheme="minorHAnsi" w:hAnsiTheme="minorHAnsi" w:cstheme="minorHAnsi"/>
        </w:rPr>
        <w:t>these services are provided by separate organisations</w:t>
      </w:r>
    </w:p>
    <w:p w14:paraId="771939A7" w14:textId="3EC68AFF" w:rsidR="007A1B1F" w:rsidRDefault="007A1B1F" w:rsidP="00005E9E">
      <w:pPr>
        <w:pStyle w:val="xmsolistparagraph"/>
        <w:numPr>
          <w:ilvl w:val="0"/>
          <w:numId w:val="12"/>
        </w:numPr>
        <w:spacing w:before="0" w:beforeAutospacing="0" w:after="0" w:afterAutospacing="0"/>
        <w:ind w:left="709" w:hanging="425"/>
        <w:rPr>
          <w:rFonts w:asciiTheme="minorHAnsi" w:hAnsiTheme="minorHAnsi" w:cstheme="minorHAnsi"/>
        </w:rPr>
      </w:pPr>
      <w:r w:rsidRPr="00074904">
        <w:rPr>
          <w:rFonts w:asciiTheme="minorHAnsi" w:hAnsiTheme="minorHAnsi" w:cstheme="minorHAnsi"/>
        </w:rPr>
        <w:lastRenderedPageBreak/>
        <w:t>High differences in Australia in care coordination, information and other accessibility across PHNs</w:t>
      </w:r>
    </w:p>
    <w:p w14:paraId="47E09A81" w14:textId="77777777" w:rsidR="00493308" w:rsidRDefault="00493308" w:rsidP="005A7A51">
      <w:pPr>
        <w:pStyle w:val="xmsolistparagraph"/>
        <w:spacing w:before="0" w:beforeAutospacing="0" w:after="0" w:afterAutospacing="0"/>
        <w:rPr>
          <w:rFonts w:asciiTheme="minorHAnsi" w:hAnsiTheme="minorHAnsi" w:cstheme="minorHAnsi"/>
        </w:rPr>
      </w:pPr>
    </w:p>
    <w:p w14:paraId="75B605FF" w14:textId="34727593" w:rsidR="005A7A51" w:rsidRDefault="00995B68" w:rsidP="005A7A51">
      <w:pPr>
        <w:pStyle w:val="xmsolistparagraph"/>
        <w:spacing w:before="0" w:beforeAutospacing="0" w:after="0" w:afterAutospacing="0"/>
        <w:rPr>
          <w:rFonts w:asciiTheme="minorHAnsi" w:hAnsiTheme="minorHAnsi" w:cstheme="minorHAnsi"/>
        </w:rPr>
      </w:pPr>
      <w:r>
        <w:rPr>
          <w:rFonts w:asciiTheme="minorHAnsi" w:hAnsiTheme="minorHAnsi" w:cstheme="minorHAnsi"/>
        </w:rPr>
        <w:t>The Atlas can drive useful comparisons.  The figures below compare mental health service provision in 11 Primary Health Networks and 10 health districts in 8 European countries, per 100,</w:t>
      </w:r>
      <w:r w:rsidR="009D41DF">
        <w:rPr>
          <w:rFonts w:asciiTheme="minorHAnsi" w:hAnsiTheme="minorHAnsi" w:cstheme="minorHAnsi"/>
        </w:rPr>
        <w:t>000 population, for h</w:t>
      </w:r>
      <w:r w:rsidR="005A7A51">
        <w:rPr>
          <w:rFonts w:asciiTheme="minorHAnsi" w:hAnsiTheme="minorHAnsi" w:cstheme="minorHAnsi"/>
        </w:rPr>
        <w:t>ospital and community residential care</w:t>
      </w:r>
      <w:r w:rsidR="00EA1199">
        <w:rPr>
          <w:rFonts w:asciiTheme="minorHAnsi" w:hAnsiTheme="minorHAnsi" w:cstheme="minorHAnsi"/>
        </w:rPr>
        <w:t xml:space="preserve"> (Figure 1)</w:t>
      </w:r>
      <w:r w:rsidR="005A7A51">
        <w:rPr>
          <w:rFonts w:asciiTheme="minorHAnsi" w:hAnsiTheme="minorHAnsi" w:cstheme="minorHAnsi"/>
        </w:rPr>
        <w:t xml:space="preserve">; </w:t>
      </w:r>
      <w:r w:rsidR="009D41DF">
        <w:rPr>
          <w:rFonts w:asciiTheme="minorHAnsi" w:hAnsiTheme="minorHAnsi" w:cstheme="minorHAnsi"/>
        </w:rPr>
        <w:t>o</w:t>
      </w:r>
      <w:r w:rsidR="005A7A51">
        <w:rPr>
          <w:rFonts w:asciiTheme="minorHAnsi" w:hAnsiTheme="minorHAnsi" w:cstheme="minorHAnsi"/>
        </w:rPr>
        <w:t>utpatient and emergency care</w:t>
      </w:r>
      <w:r w:rsidR="00EA1199">
        <w:rPr>
          <w:rFonts w:asciiTheme="minorHAnsi" w:hAnsiTheme="minorHAnsi" w:cstheme="minorHAnsi"/>
        </w:rPr>
        <w:t xml:space="preserve"> (Figure 2)</w:t>
      </w:r>
      <w:r w:rsidR="009D41DF">
        <w:rPr>
          <w:rFonts w:asciiTheme="minorHAnsi" w:hAnsiTheme="minorHAnsi" w:cstheme="minorHAnsi"/>
        </w:rPr>
        <w:t>; and d</w:t>
      </w:r>
      <w:r w:rsidR="005A7A51">
        <w:rPr>
          <w:rFonts w:asciiTheme="minorHAnsi" w:hAnsiTheme="minorHAnsi" w:cstheme="minorHAnsi"/>
        </w:rPr>
        <w:t>ay care</w:t>
      </w:r>
      <w:r w:rsidR="00EA1199">
        <w:rPr>
          <w:rFonts w:asciiTheme="minorHAnsi" w:hAnsiTheme="minorHAnsi" w:cstheme="minorHAnsi"/>
        </w:rPr>
        <w:t xml:space="preserve"> (Figure 3)</w:t>
      </w:r>
      <w:r w:rsidR="005A7A51">
        <w:rPr>
          <w:rFonts w:asciiTheme="minorHAnsi" w:hAnsiTheme="minorHAnsi" w:cstheme="minorHAnsi"/>
        </w:rPr>
        <w:t>.</w:t>
      </w:r>
    </w:p>
    <w:p w14:paraId="1E0225AE" w14:textId="36F8D526" w:rsidR="005A7A51" w:rsidRDefault="005A7A51" w:rsidP="005A7A51">
      <w:pPr>
        <w:pStyle w:val="xmsolistparagraph"/>
        <w:spacing w:before="0" w:beforeAutospacing="0" w:after="0" w:afterAutospacing="0"/>
        <w:rPr>
          <w:rFonts w:asciiTheme="minorHAnsi" w:hAnsiTheme="minorHAnsi" w:cstheme="minorHAnsi"/>
        </w:rPr>
      </w:pPr>
    </w:p>
    <w:p w14:paraId="536C3956" w14:textId="77777777" w:rsidR="005A7A51" w:rsidRDefault="005A7A51" w:rsidP="005A7A51">
      <w:pPr>
        <w:pStyle w:val="xmsolistparagraph"/>
        <w:spacing w:before="0" w:beforeAutospacing="0" w:after="0" w:afterAutospacing="0"/>
        <w:rPr>
          <w:rFonts w:asciiTheme="minorHAnsi" w:hAnsiTheme="minorHAnsi" w:cstheme="minorHAnsi"/>
        </w:rPr>
      </w:pPr>
      <w:r w:rsidRPr="007C2CD3">
        <w:rPr>
          <w:rFonts w:asciiTheme="minorHAnsi" w:hAnsiTheme="minorHAnsi" w:cstheme="minorHAnsi"/>
          <w:noProof/>
        </w:rPr>
        <w:drawing>
          <wp:inline distT="0" distB="0" distL="0" distR="0" wp14:anchorId="042E0BC7" wp14:editId="7586964D">
            <wp:extent cx="5731510" cy="3234187"/>
            <wp:effectExtent l="0" t="0" r="254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3234187"/>
                    </a:xfrm>
                    <a:prstGeom prst="rect">
                      <a:avLst/>
                    </a:prstGeom>
                    <a:noFill/>
                    <a:ln>
                      <a:noFill/>
                    </a:ln>
                  </pic:spPr>
                </pic:pic>
              </a:graphicData>
            </a:graphic>
          </wp:inline>
        </w:drawing>
      </w:r>
    </w:p>
    <w:p w14:paraId="4A198D03" w14:textId="2B5DCC85" w:rsidR="009D41DF" w:rsidRPr="006350C4" w:rsidRDefault="009D41DF" w:rsidP="005A7A51">
      <w:pPr>
        <w:pStyle w:val="xmsolistparagraph"/>
        <w:spacing w:before="0" w:beforeAutospacing="0" w:after="0" w:afterAutospacing="0"/>
        <w:rPr>
          <w:rFonts w:asciiTheme="minorHAnsi" w:hAnsiTheme="minorHAnsi" w:cstheme="minorHAnsi"/>
          <w:i/>
        </w:rPr>
      </w:pPr>
      <w:r w:rsidRPr="006350C4">
        <w:rPr>
          <w:rFonts w:asciiTheme="minorHAnsi" w:hAnsiTheme="minorHAnsi" w:cstheme="minorHAnsi"/>
          <w:i/>
        </w:rPr>
        <w:t xml:space="preserve">Figure </w:t>
      </w:r>
      <w:r w:rsidR="00EA1199">
        <w:rPr>
          <w:rFonts w:asciiTheme="minorHAnsi" w:hAnsiTheme="minorHAnsi" w:cstheme="minorHAnsi"/>
          <w:i/>
        </w:rPr>
        <w:t>1</w:t>
      </w:r>
      <w:r w:rsidRPr="006350C4">
        <w:rPr>
          <w:rFonts w:asciiTheme="minorHAnsi" w:hAnsiTheme="minorHAnsi" w:cstheme="minorHAnsi"/>
          <w:i/>
        </w:rPr>
        <w:t xml:space="preserve"> – Hospital and Residential Care</w:t>
      </w:r>
    </w:p>
    <w:p w14:paraId="79E069C3" w14:textId="0315F185" w:rsidR="005A7A51" w:rsidRDefault="005A7A51" w:rsidP="009D41DF">
      <w:pPr>
        <w:pStyle w:val="xmsolistparagraph"/>
        <w:spacing w:before="0" w:beforeAutospacing="0" w:after="0" w:afterAutospacing="0"/>
        <w:rPr>
          <w:rFonts w:asciiTheme="minorHAnsi" w:hAnsiTheme="minorHAnsi" w:cstheme="minorHAnsi"/>
        </w:rPr>
      </w:pPr>
    </w:p>
    <w:p w14:paraId="31464FA8" w14:textId="77777777" w:rsidR="005A7A51" w:rsidRDefault="005A7A51" w:rsidP="009D41DF">
      <w:pPr>
        <w:pStyle w:val="xmsolistparagraph"/>
        <w:spacing w:before="0" w:beforeAutospacing="0" w:after="0" w:afterAutospacing="0"/>
        <w:jc w:val="both"/>
        <w:rPr>
          <w:rFonts w:asciiTheme="minorHAnsi" w:hAnsiTheme="minorHAnsi" w:cstheme="minorHAnsi"/>
        </w:rPr>
      </w:pPr>
      <w:r w:rsidRPr="007C2CD3">
        <w:rPr>
          <w:rFonts w:asciiTheme="minorHAnsi" w:hAnsiTheme="minorHAnsi" w:cstheme="minorHAnsi"/>
          <w:noProof/>
        </w:rPr>
        <w:drawing>
          <wp:inline distT="0" distB="0" distL="0" distR="0" wp14:anchorId="4740ECFA" wp14:editId="20D006F8">
            <wp:extent cx="5731510" cy="329914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3299145"/>
                    </a:xfrm>
                    <a:prstGeom prst="rect">
                      <a:avLst/>
                    </a:prstGeom>
                    <a:noFill/>
                    <a:ln>
                      <a:noFill/>
                    </a:ln>
                  </pic:spPr>
                </pic:pic>
              </a:graphicData>
            </a:graphic>
          </wp:inline>
        </w:drawing>
      </w:r>
    </w:p>
    <w:p w14:paraId="24DB3715" w14:textId="4FC2342F" w:rsidR="009D41DF" w:rsidRPr="006350C4" w:rsidRDefault="009D41DF" w:rsidP="009D41DF">
      <w:pPr>
        <w:pStyle w:val="xmsolistparagraph"/>
        <w:spacing w:before="0" w:beforeAutospacing="0" w:after="0" w:afterAutospacing="0"/>
        <w:rPr>
          <w:rFonts w:asciiTheme="minorHAnsi" w:hAnsiTheme="minorHAnsi" w:cstheme="minorHAnsi"/>
          <w:i/>
        </w:rPr>
      </w:pPr>
      <w:r w:rsidRPr="006350C4">
        <w:rPr>
          <w:rFonts w:asciiTheme="minorHAnsi" w:hAnsiTheme="minorHAnsi" w:cstheme="minorHAnsi"/>
          <w:i/>
        </w:rPr>
        <w:t xml:space="preserve">Figure </w:t>
      </w:r>
      <w:r w:rsidR="00EA1199">
        <w:rPr>
          <w:rFonts w:asciiTheme="minorHAnsi" w:hAnsiTheme="minorHAnsi" w:cstheme="minorHAnsi"/>
          <w:i/>
        </w:rPr>
        <w:t>2</w:t>
      </w:r>
      <w:r w:rsidRPr="006350C4">
        <w:rPr>
          <w:rFonts w:asciiTheme="minorHAnsi" w:hAnsiTheme="minorHAnsi" w:cstheme="minorHAnsi"/>
          <w:i/>
        </w:rPr>
        <w:t xml:space="preserve"> – Outpatient and emergency care</w:t>
      </w:r>
    </w:p>
    <w:p w14:paraId="39BD0E52" w14:textId="77777777" w:rsidR="009D41DF" w:rsidRPr="00074904" w:rsidRDefault="009D41DF" w:rsidP="009D41DF">
      <w:pPr>
        <w:pStyle w:val="xmsolistparagraph"/>
        <w:spacing w:before="0" w:beforeAutospacing="0" w:after="0" w:afterAutospacing="0"/>
        <w:jc w:val="both"/>
        <w:rPr>
          <w:rFonts w:asciiTheme="minorHAnsi" w:hAnsiTheme="minorHAnsi" w:cstheme="minorHAnsi"/>
        </w:rPr>
      </w:pPr>
    </w:p>
    <w:p w14:paraId="25EAF760" w14:textId="7723E44A" w:rsidR="005A7A51" w:rsidRDefault="009D41DF" w:rsidP="00EA1199">
      <w:pPr>
        <w:rPr>
          <w:rFonts w:cstheme="minorHAnsi"/>
          <w:sz w:val="24"/>
          <w:szCs w:val="24"/>
        </w:rPr>
      </w:pPr>
      <w:r>
        <w:rPr>
          <w:rFonts w:cstheme="minorHAnsi"/>
          <w:sz w:val="24"/>
          <w:szCs w:val="24"/>
        </w:rPr>
        <w:lastRenderedPageBreak/>
        <w:t xml:space="preserve">             </w:t>
      </w:r>
      <w:r w:rsidR="005A7A51" w:rsidRPr="007C2CD3">
        <w:rPr>
          <w:rFonts w:cstheme="minorHAnsi"/>
          <w:noProof/>
          <w:sz w:val="24"/>
          <w:szCs w:val="24"/>
          <w:lang w:eastAsia="en-AU"/>
        </w:rPr>
        <w:drawing>
          <wp:inline distT="0" distB="0" distL="0" distR="0" wp14:anchorId="67A80AE5" wp14:editId="297E8C8E">
            <wp:extent cx="5730712" cy="3288030"/>
            <wp:effectExtent l="0" t="0" r="381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0885" cy="3299604"/>
                    </a:xfrm>
                    <a:prstGeom prst="rect">
                      <a:avLst/>
                    </a:prstGeom>
                    <a:noFill/>
                    <a:ln>
                      <a:noFill/>
                    </a:ln>
                  </pic:spPr>
                </pic:pic>
              </a:graphicData>
            </a:graphic>
          </wp:inline>
        </w:drawing>
      </w:r>
    </w:p>
    <w:p w14:paraId="4220ECED" w14:textId="3037B528" w:rsidR="005A7A51" w:rsidRPr="006350C4" w:rsidRDefault="009D41DF" w:rsidP="009D41DF">
      <w:pPr>
        <w:pStyle w:val="xmsolistparagraph"/>
        <w:spacing w:before="0" w:beforeAutospacing="0" w:after="0" w:afterAutospacing="0"/>
        <w:rPr>
          <w:rFonts w:asciiTheme="minorHAnsi" w:hAnsiTheme="minorHAnsi" w:cstheme="minorHAnsi"/>
          <w:i/>
        </w:rPr>
      </w:pPr>
      <w:r w:rsidRPr="006350C4">
        <w:rPr>
          <w:rFonts w:asciiTheme="minorHAnsi" w:hAnsiTheme="minorHAnsi" w:cstheme="minorHAnsi"/>
          <w:i/>
        </w:rPr>
        <w:t xml:space="preserve">Figure </w:t>
      </w:r>
      <w:r w:rsidR="00EA1199">
        <w:rPr>
          <w:rFonts w:asciiTheme="minorHAnsi" w:hAnsiTheme="minorHAnsi" w:cstheme="minorHAnsi"/>
          <w:i/>
        </w:rPr>
        <w:t>3</w:t>
      </w:r>
      <w:r w:rsidRPr="006350C4">
        <w:rPr>
          <w:rFonts w:asciiTheme="minorHAnsi" w:hAnsiTheme="minorHAnsi" w:cstheme="minorHAnsi"/>
          <w:i/>
        </w:rPr>
        <w:t xml:space="preserve"> – Day Care</w:t>
      </w:r>
    </w:p>
    <w:p w14:paraId="31FBEF15" w14:textId="77777777" w:rsidR="009D41DF" w:rsidRDefault="009D41DF" w:rsidP="009D41DF">
      <w:pPr>
        <w:pStyle w:val="xmsolistparagraph"/>
        <w:spacing w:before="0" w:beforeAutospacing="0" w:after="0" w:afterAutospacing="0"/>
        <w:rPr>
          <w:rFonts w:cstheme="minorHAnsi"/>
        </w:rPr>
      </w:pPr>
    </w:p>
    <w:p w14:paraId="5898401F" w14:textId="77777777" w:rsidR="00FD3AFC" w:rsidRDefault="00387715" w:rsidP="00683D4D">
      <w:pPr>
        <w:rPr>
          <w:rFonts w:cstheme="minorHAnsi"/>
          <w:sz w:val="24"/>
          <w:szCs w:val="24"/>
        </w:rPr>
      </w:pPr>
      <w:r w:rsidRPr="00074904">
        <w:rPr>
          <w:rFonts w:cstheme="minorHAnsi"/>
          <w:sz w:val="24"/>
          <w:szCs w:val="24"/>
        </w:rPr>
        <w:t xml:space="preserve">The draft report does refer to the </w:t>
      </w:r>
      <w:r w:rsidR="00434417" w:rsidRPr="00074904">
        <w:rPr>
          <w:rFonts w:cstheme="minorHAnsi"/>
          <w:sz w:val="24"/>
          <w:szCs w:val="24"/>
        </w:rPr>
        <w:t>National</w:t>
      </w:r>
      <w:r w:rsidRPr="00074904">
        <w:rPr>
          <w:rFonts w:cstheme="minorHAnsi"/>
          <w:sz w:val="24"/>
          <w:szCs w:val="24"/>
        </w:rPr>
        <w:t xml:space="preserve"> Mental </w:t>
      </w:r>
      <w:r w:rsidR="00434417" w:rsidRPr="00074904">
        <w:rPr>
          <w:rFonts w:cstheme="minorHAnsi"/>
          <w:sz w:val="24"/>
          <w:szCs w:val="24"/>
        </w:rPr>
        <w:t>Health</w:t>
      </w:r>
      <w:r w:rsidRPr="00074904">
        <w:rPr>
          <w:rFonts w:cstheme="minorHAnsi"/>
          <w:sz w:val="24"/>
          <w:szCs w:val="24"/>
        </w:rPr>
        <w:t xml:space="preserve"> </w:t>
      </w:r>
      <w:r w:rsidR="00434417" w:rsidRPr="00074904">
        <w:rPr>
          <w:rFonts w:cstheme="minorHAnsi"/>
          <w:sz w:val="24"/>
          <w:szCs w:val="24"/>
        </w:rPr>
        <w:t>Service</w:t>
      </w:r>
      <w:r w:rsidRPr="00074904">
        <w:rPr>
          <w:rFonts w:cstheme="minorHAnsi"/>
          <w:sz w:val="24"/>
          <w:szCs w:val="24"/>
        </w:rPr>
        <w:t xml:space="preserve"> Planning </w:t>
      </w:r>
      <w:r w:rsidR="00434417" w:rsidRPr="00074904">
        <w:rPr>
          <w:rFonts w:cstheme="minorHAnsi"/>
          <w:sz w:val="24"/>
          <w:szCs w:val="24"/>
        </w:rPr>
        <w:t>Framework</w:t>
      </w:r>
      <w:r w:rsidR="00E44C9C" w:rsidRPr="00074904">
        <w:rPr>
          <w:rFonts w:cstheme="minorHAnsi"/>
          <w:sz w:val="24"/>
          <w:szCs w:val="24"/>
        </w:rPr>
        <w:t xml:space="preserve">.  The support from CoAG for the Framework is acknowledged.  </w:t>
      </w:r>
    </w:p>
    <w:p w14:paraId="3AACD319" w14:textId="0CC5EC93" w:rsidR="00E25C64" w:rsidRDefault="00E44C9C" w:rsidP="00683D4D">
      <w:pPr>
        <w:rPr>
          <w:rFonts w:cstheme="minorHAnsi"/>
          <w:sz w:val="24"/>
          <w:szCs w:val="24"/>
        </w:rPr>
      </w:pPr>
      <w:r w:rsidRPr="00074904">
        <w:rPr>
          <w:rFonts w:cstheme="minorHAnsi"/>
          <w:sz w:val="24"/>
          <w:szCs w:val="24"/>
        </w:rPr>
        <w:t xml:space="preserve">However, a recent project undertaken by the ANU suggests that the Framework has some important </w:t>
      </w:r>
      <w:r w:rsidR="005A7A51" w:rsidRPr="00074904">
        <w:rPr>
          <w:rFonts w:cstheme="minorHAnsi"/>
          <w:sz w:val="24"/>
          <w:szCs w:val="24"/>
        </w:rPr>
        <w:t>limitations</w:t>
      </w:r>
      <w:r w:rsidR="005A7A51">
        <w:rPr>
          <w:rFonts w:cstheme="minorHAnsi"/>
          <w:sz w:val="24"/>
          <w:szCs w:val="24"/>
        </w:rPr>
        <w:t>,</w:t>
      </w:r>
      <w:r w:rsidR="005A7A51" w:rsidRPr="00074904">
        <w:rPr>
          <w:rFonts w:cstheme="minorHAnsi"/>
          <w:sz w:val="24"/>
          <w:szCs w:val="24"/>
        </w:rPr>
        <w:t xml:space="preserve"> particularly that</w:t>
      </w:r>
      <w:r w:rsidRPr="00074904">
        <w:rPr>
          <w:rFonts w:cstheme="minorHAnsi"/>
          <w:sz w:val="24"/>
          <w:szCs w:val="24"/>
        </w:rPr>
        <w:t xml:space="preserve"> it does not permit useful regional and international comparisons to be established.  </w:t>
      </w:r>
    </w:p>
    <w:p w14:paraId="6366DAA9" w14:textId="43AC0E49" w:rsidR="007A1B1F" w:rsidRPr="00074904" w:rsidRDefault="00E44C9C" w:rsidP="00683D4D">
      <w:pPr>
        <w:rPr>
          <w:rFonts w:cstheme="minorHAnsi"/>
          <w:sz w:val="24"/>
          <w:szCs w:val="24"/>
        </w:rPr>
      </w:pPr>
      <w:r w:rsidRPr="00074904">
        <w:rPr>
          <w:rFonts w:cstheme="minorHAnsi"/>
          <w:sz w:val="24"/>
          <w:szCs w:val="24"/>
        </w:rPr>
        <w:t xml:space="preserve">Its cost and complexity </w:t>
      </w:r>
      <w:r w:rsidR="00005E9E" w:rsidRPr="00074904">
        <w:rPr>
          <w:rFonts w:cstheme="minorHAnsi"/>
          <w:sz w:val="24"/>
          <w:szCs w:val="24"/>
        </w:rPr>
        <w:t>are</w:t>
      </w:r>
      <w:r w:rsidRPr="00074904">
        <w:rPr>
          <w:rFonts w:cstheme="minorHAnsi"/>
          <w:sz w:val="24"/>
          <w:szCs w:val="24"/>
        </w:rPr>
        <w:t xml:space="preserve"> affecting its utility among decision-makers.  Licences to use the </w:t>
      </w:r>
      <w:r w:rsidR="00434417" w:rsidRPr="00074904">
        <w:rPr>
          <w:rFonts w:cstheme="minorHAnsi"/>
          <w:sz w:val="24"/>
          <w:szCs w:val="24"/>
        </w:rPr>
        <w:t>Framework</w:t>
      </w:r>
      <w:r w:rsidR="007D09D2" w:rsidRPr="00074904">
        <w:rPr>
          <w:rFonts w:cstheme="minorHAnsi"/>
          <w:sz w:val="24"/>
          <w:szCs w:val="24"/>
        </w:rPr>
        <w:t xml:space="preserve"> are n</w:t>
      </w:r>
      <w:r w:rsidRPr="00074904">
        <w:rPr>
          <w:rFonts w:cstheme="minorHAnsi"/>
          <w:sz w:val="24"/>
          <w:szCs w:val="24"/>
        </w:rPr>
        <w:t xml:space="preserve">ot being bought.  Regions are operating with bespoke </w:t>
      </w:r>
      <w:r w:rsidR="00434417" w:rsidRPr="00074904">
        <w:rPr>
          <w:rFonts w:cstheme="minorHAnsi"/>
          <w:sz w:val="24"/>
          <w:szCs w:val="24"/>
        </w:rPr>
        <w:t>systems</w:t>
      </w:r>
      <w:r w:rsidRPr="00074904">
        <w:rPr>
          <w:rFonts w:cstheme="minorHAnsi"/>
          <w:sz w:val="24"/>
          <w:szCs w:val="24"/>
        </w:rPr>
        <w:t xml:space="preserve"> or with nothing.  This is an </w:t>
      </w:r>
      <w:r w:rsidR="00FD3AFC">
        <w:rPr>
          <w:rFonts w:cstheme="minorHAnsi"/>
          <w:sz w:val="24"/>
          <w:szCs w:val="24"/>
        </w:rPr>
        <w:t>undesirable</w:t>
      </w:r>
      <w:r w:rsidRPr="00074904">
        <w:rPr>
          <w:rFonts w:cstheme="minorHAnsi"/>
          <w:sz w:val="24"/>
          <w:szCs w:val="24"/>
        </w:rPr>
        <w:t xml:space="preserve"> approach to planning mental health in the 21</w:t>
      </w:r>
      <w:r w:rsidRPr="00074904">
        <w:rPr>
          <w:rFonts w:cstheme="minorHAnsi"/>
          <w:sz w:val="24"/>
          <w:szCs w:val="24"/>
          <w:vertAlign w:val="superscript"/>
        </w:rPr>
        <w:t>st</w:t>
      </w:r>
      <w:r w:rsidRPr="00074904">
        <w:rPr>
          <w:rFonts w:cstheme="minorHAnsi"/>
          <w:sz w:val="24"/>
          <w:szCs w:val="24"/>
        </w:rPr>
        <w:t xml:space="preserve"> century.</w:t>
      </w:r>
      <w:r w:rsidR="007D09D2" w:rsidRPr="00074904">
        <w:rPr>
          <w:rFonts w:cstheme="minorHAnsi"/>
          <w:sz w:val="24"/>
          <w:szCs w:val="24"/>
        </w:rPr>
        <w:t xml:space="preserve">  </w:t>
      </w:r>
    </w:p>
    <w:p w14:paraId="7C86665F" w14:textId="6BC127DC" w:rsidR="0028235D" w:rsidRPr="00074904" w:rsidRDefault="007D09D2" w:rsidP="00683D4D">
      <w:pPr>
        <w:rPr>
          <w:rFonts w:cstheme="minorHAnsi"/>
          <w:sz w:val="24"/>
          <w:szCs w:val="24"/>
        </w:rPr>
      </w:pPr>
      <w:r w:rsidRPr="00074904">
        <w:rPr>
          <w:rFonts w:cstheme="minorHAnsi"/>
          <w:sz w:val="24"/>
          <w:szCs w:val="24"/>
        </w:rPr>
        <w:t xml:space="preserve">We note that subsequent to the release of the </w:t>
      </w:r>
      <w:r w:rsidR="00B1564F" w:rsidRPr="00074904">
        <w:rPr>
          <w:rFonts w:cstheme="minorHAnsi"/>
          <w:sz w:val="24"/>
          <w:szCs w:val="24"/>
        </w:rPr>
        <w:t>draft</w:t>
      </w:r>
      <w:r w:rsidRPr="00074904">
        <w:rPr>
          <w:rFonts w:cstheme="minorHAnsi"/>
          <w:sz w:val="24"/>
          <w:szCs w:val="24"/>
        </w:rPr>
        <w:t xml:space="preserve"> report, the Commission has sought and received a comprehensive briefing on </w:t>
      </w:r>
      <w:r w:rsidR="00EC2608">
        <w:rPr>
          <w:rFonts w:cstheme="minorHAnsi"/>
          <w:sz w:val="24"/>
          <w:szCs w:val="24"/>
        </w:rPr>
        <w:t xml:space="preserve">the </w:t>
      </w:r>
      <w:r w:rsidRPr="00074904">
        <w:rPr>
          <w:rFonts w:cstheme="minorHAnsi"/>
          <w:sz w:val="24"/>
          <w:szCs w:val="24"/>
        </w:rPr>
        <w:t>Atlas from Professor Salvador-Carulla.</w:t>
      </w:r>
    </w:p>
    <w:p w14:paraId="4B124971" w14:textId="77777777" w:rsidR="00E44C9C" w:rsidRPr="00074904" w:rsidRDefault="00434417" w:rsidP="00683D4D">
      <w:pPr>
        <w:rPr>
          <w:rFonts w:cstheme="minorHAnsi"/>
          <w:b/>
          <w:sz w:val="24"/>
          <w:szCs w:val="24"/>
        </w:rPr>
      </w:pPr>
      <w:r w:rsidRPr="00074904">
        <w:rPr>
          <w:rFonts w:cstheme="minorHAnsi"/>
          <w:b/>
          <w:sz w:val="24"/>
          <w:szCs w:val="24"/>
        </w:rPr>
        <w:t>Suggestions for the Final Report</w:t>
      </w:r>
      <w:r w:rsidR="00E44C9C" w:rsidRPr="00074904">
        <w:rPr>
          <w:rFonts w:cstheme="minorHAnsi"/>
          <w:b/>
          <w:sz w:val="24"/>
          <w:szCs w:val="24"/>
        </w:rPr>
        <w:t>:</w:t>
      </w:r>
    </w:p>
    <w:p w14:paraId="17984281" w14:textId="6A1C1DCA" w:rsidR="00FC31E7" w:rsidRPr="00074904" w:rsidRDefault="00FC31E7" w:rsidP="00434417">
      <w:pPr>
        <w:pStyle w:val="ListParagraph"/>
        <w:numPr>
          <w:ilvl w:val="0"/>
          <w:numId w:val="1"/>
        </w:numPr>
        <w:rPr>
          <w:rFonts w:cstheme="minorHAnsi"/>
          <w:sz w:val="24"/>
          <w:szCs w:val="24"/>
        </w:rPr>
      </w:pPr>
      <w:r w:rsidRPr="00074904">
        <w:rPr>
          <w:rFonts w:cstheme="minorHAnsi"/>
          <w:sz w:val="24"/>
          <w:szCs w:val="24"/>
        </w:rPr>
        <w:t xml:space="preserve">That the </w:t>
      </w:r>
      <w:r w:rsidR="005D6AA9">
        <w:rPr>
          <w:rFonts w:cstheme="minorHAnsi"/>
          <w:sz w:val="24"/>
          <w:szCs w:val="24"/>
        </w:rPr>
        <w:t>Productivity Commission (</w:t>
      </w:r>
      <w:r w:rsidRPr="00074904">
        <w:rPr>
          <w:rFonts w:cstheme="minorHAnsi"/>
          <w:sz w:val="24"/>
          <w:szCs w:val="24"/>
        </w:rPr>
        <w:t>PC</w:t>
      </w:r>
      <w:r w:rsidR="005D6AA9">
        <w:rPr>
          <w:rFonts w:cstheme="minorHAnsi"/>
          <w:sz w:val="24"/>
          <w:szCs w:val="24"/>
        </w:rPr>
        <w:t>)</w:t>
      </w:r>
      <w:r w:rsidRPr="00074904">
        <w:rPr>
          <w:rFonts w:cstheme="minorHAnsi"/>
          <w:sz w:val="24"/>
          <w:szCs w:val="24"/>
        </w:rPr>
        <w:t xml:space="preserve"> recommends the Atlas be used to map the whole of Australia.</w:t>
      </w:r>
    </w:p>
    <w:p w14:paraId="473C0928" w14:textId="5E4D8099" w:rsidR="003965D5" w:rsidRPr="00074904" w:rsidRDefault="003965D5" w:rsidP="00434417">
      <w:pPr>
        <w:pStyle w:val="ListParagraph"/>
        <w:numPr>
          <w:ilvl w:val="0"/>
          <w:numId w:val="1"/>
        </w:numPr>
        <w:rPr>
          <w:rFonts w:cstheme="minorHAnsi"/>
          <w:sz w:val="24"/>
          <w:szCs w:val="24"/>
        </w:rPr>
      </w:pPr>
      <w:r w:rsidRPr="00074904">
        <w:rPr>
          <w:rFonts w:cstheme="minorHAnsi"/>
          <w:sz w:val="24"/>
          <w:szCs w:val="24"/>
        </w:rPr>
        <w:t>A key focus of the mapping should be on psychosocial</w:t>
      </w:r>
      <w:r w:rsidR="00FD3AFC">
        <w:rPr>
          <w:rFonts w:cstheme="minorHAnsi"/>
          <w:sz w:val="24"/>
          <w:szCs w:val="24"/>
        </w:rPr>
        <w:t xml:space="preserve"> and community</w:t>
      </w:r>
      <w:r w:rsidRPr="00074904">
        <w:rPr>
          <w:rFonts w:cstheme="minorHAnsi"/>
          <w:sz w:val="24"/>
          <w:szCs w:val="24"/>
        </w:rPr>
        <w:t xml:space="preserve"> services.</w:t>
      </w:r>
    </w:p>
    <w:p w14:paraId="65382982" w14:textId="77777777" w:rsidR="00E44C9C" w:rsidRPr="00074904" w:rsidRDefault="00E44C9C" w:rsidP="00434417">
      <w:pPr>
        <w:pStyle w:val="ListParagraph"/>
        <w:numPr>
          <w:ilvl w:val="0"/>
          <w:numId w:val="1"/>
        </w:numPr>
        <w:rPr>
          <w:rFonts w:cstheme="minorHAnsi"/>
          <w:sz w:val="24"/>
          <w:szCs w:val="24"/>
        </w:rPr>
      </w:pPr>
      <w:r w:rsidRPr="00074904">
        <w:rPr>
          <w:rFonts w:cstheme="minorHAnsi"/>
          <w:sz w:val="24"/>
          <w:szCs w:val="24"/>
        </w:rPr>
        <w:t xml:space="preserve">That the PC final report recommends an </w:t>
      </w:r>
      <w:r w:rsidR="00FC31E7" w:rsidRPr="00074904">
        <w:rPr>
          <w:rFonts w:cstheme="minorHAnsi"/>
          <w:sz w:val="24"/>
          <w:szCs w:val="24"/>
        </w:rPr>
        <w:t>independent</w:t>
      </w:r>
      <w:r w:rsidRPr="00074904">
        <w:rPr>
          <w:rFonts w:cstheme="minorHAnsi"/>
          <w:sz w:val="24"/>
          <w:szCs w:val="24"/>
        </w:rPr>
        <w:t xml:space="preserve"> national stocktake of approaches to mental health planning and decision-making, ensuring a transparent and publicly accessible approach which fully reflects the social determinants of mental health.</w:t>
      </w:r>
    </w:p>
    <w:p w14:paraId="369D423C" w14:textId="77777777" w:rsidR="00FC31E7" w:rsidRPr="00074904" w:rsidRDefault="00FC31E7" w:rsidP="00434417">
      <w:pPr>
        <w:pStyle w:val="ListParagraph"/>
        <w:numPr>
          <w:ilvl w:val="0"/>
          <w:numId w:val="1"/>
        </w:numPr>
        <w:rPr>
          <w:rFonts w:cstheme="minorHAnsi"/>
          <w:sz w:val="24"/>
          <w:szCs w:val="24"/>
        </w:rPr>
      </w:pPr>
      <w:r w:rsidRPr="00074904">
        <w:rPr>
          <w:rFonts w:cstheme="minorHAnsi"/>
          <w:sz w:val="24"/>
          <w:szCs w:val="24"/>
        </w:rPr>
        <w:t xml:space="preserve">The PC could also recommend that as part of the stocktake, a scoping paper is developed to identify the range of decision-support tools, </w:t>
      </w:r>
      <w:r w:rsidR="00434417" w:rsidRPr="00074904">
        <w:rPr>
          <w:rFonts w:cstheme="minorHAnsi"/>
          <w:sz w:val="24"/>
          <w:szCs w:val="24"/>
        </w:rPr>
        <w:t>systems</w:t>
      </w:r>
      <w:r w:rsidRPr="00074904">
        <w:rPr>
          <w:rFonts w:cstheme="minorHAnsi"/>
          <w:sz w:val="24"/>
          <w:szCs w:val="24"/>
        </w:rPr>
        <w:t xml:space="preserve"> and skills necessary to make regional mental health planning a practical </w:t>
      </w:r>
      <w:r w:rsidR="00434417" w:rsidRPr="00074904">
        <w:rPr>
          <w:rFonts w:cstheme="minorHAnsi"/>
          <w:sz w:val="24"/>
          <w:szCs w:val="24"/>
        </w:rPr>
        <w:t>reality.</w:t>
      </w:r>
    </w:p>
    <w:p w14:paraId="4A02C1C0" w14:textId="77777777" w:rsidR="007D09D2" w:rsidRPr="00074904" w:rsidRDefault="007D09D2" w:rsidP="00434417">
      <w:pPr>
        <w:pStyle w:val="ListParagraph"/>
        <w:numPr>
          <w:ilvl w:val="0"/>
          <w:numId w:val="1"/>
        </w:numPr>
        <w:rPr>
          <w:rFonts w:cstheme="minorHAnsi"/>
          <w:sz w:val="24"/>
          <w:szCs w:val="24"/>
        </w:rPr>
      </w:pPr>
      <w:r w:rsidRPr="00074904">
        <w:rPr>
          <w:rFonts w:cstheme="minorHAnsi"/>
          <w:sz w:val="24"/>
          <w:szCs w:val="24"/>
        </w:rPr>
        <w:lastRenderedPageBreak/>
        <w:t>The PC should embrace the concept of health eco-system research, in order to properly place the future development of mental health in proper context.</w:t>
      </w:r>
    </w:p>
    <w:p w14:paraId="0D2FFBAC" w14:textId="77777777" w:rsidR="00FD3AFC" w:rsidRDefault="00FC31E7" w:rsidP="00FD3AFC">
      <w:pPr>
        <w:pStyle w:val="Heading2"/>
      </w:pPr>
      <w:bookmarkStart w:id="10" w:name="_Toc29197231"/>
      <w:r w:rsidRPr="00074904">
        <w:t>Consumer Engagement</w:t>
      </w:r>
      <w:bookmarkEnd w:id="10"/>
    </w:p>
    <w:p w14:paraId="00B9819C" w14:textId="77777777" w:rsidR="008B3141" w:rsidRDefault="008B3141" w:rsidP="00005E9E">
      <w:pPr>
        <w:spacing w:after="0" w:line="240" w:lineRule="auto"/>
        <w:rPr>
          <w:rFonts w:cstheme="minorHAnsi"/>
          <w:sz w:val="24"/>
          <w:szCs w:val="24"/>
          <w:u w:val="single"/>
        </w:rPr>
      </w:pPr>
    </w:p>
    <w:p w14:paraId="4C1DCC09" w14:textId="544285FB" w:rsidR="00FC31E7" w:rsidRPr="00074904" w:rsidRDefault="00005E9E" w:rsidP="00683D4D">
      <w:pPr>
        <w:rPr>
          <w:rFonts w:cstheme="minorHAnsi"/>
          <w:sz w:val="24"/>
          <w:szCs w:val="24"/>
        </w:rPr>
      </w:pPr>
      <w:r w:rsidRPr="00005E9E">
        <w:rPr>
          <w:rFonts w:cstheme="minorHAnsi"/>
          <w:sz w:val="24"/>
          <w:szCs w:val="24"/>
        </w:rPr>
        <w:t xml:space="preserve">We strongly agree with </w:t>
      </w:r>
      <w:r w:rsidR="00B1564F" w:rsidRPr="00005E9E">
        <w:rPr>
          <w:rFonts w:cstheme="minorHAnsi"/>
          <w:sz w:val="24"/>
          <w:szCs w:val="24"/>
        </w:rPr>
        <w:t xml:space="preserve">draft recommendation </w:t>
      </w:r>
      <w:r w:rsidR="007D09D2" w:rsidRPr="00005E9E">
        <w:rPr>
          <w:rFonts w:cstheme="minorHAnsi"/>
          <w:sz w:val="24"/>
          <w:szCs w:val="24"/>
        </w:rPr>
        <w:t>22.3</w:t>
      </w:r>
      <w:r w:rsidR="00FF7A0C">
        <w:rPr>
          <w:rFonts w:cstheme="minorHAnsi"/>
          <w:sz w:val="24"/>
          <w:szCs w:val="24"/>
        </w:rPr>
        <w:t xml:space="preserve">. </w:t>
      </w:r>
      <w:r w:rsidR="007D09D2" w:rsidRPr="00074904">
        <w:rPr>
          <w:rFonts w:cstheme="minorHAnsi"/>
          <w:sz w:val="24"/>
          <w:szCs w:val="24"/>
        </w:rPr>
        <w:t xml:space="preserve">However, consumer and carer engagement is likely to remain tokenistic in many settings unless it is properly </w:t>
      </w:r>
      <w:r w:rsidR="00FE72CF" w:rsidRPr="00074904">
        <w:rPr>
          <w:rFonts w:cstheme="minorHAnsi"/>
          <w:sz w:val="24"/>
          <w:szCs w:val="24"/>
        </w:rPr>
        <w:t>resourced,</w:t>
      </w:r>
      <w:r w:rsidR="007D09D2" w:rsidRPr="00074904">
        <w:rPr>
          <w:rFonts w:cstheme="minorHAnsi"/>
          <w:sz w:val="24"/>
          <w:szCs w:val="24"/>
        </w:rPr>
        <w:t xml:space="preserve"> and agencies are accountable for implementing strong systems to enhance meaningful participation.</w:t>
      </w:r>
    </w:p>
    <w:p w14:paraId="2E2940CC" w14:textId="77777777" w:rsidR="00C66DE1" w:rsidRPr="00074904" w:rsidRDefault="00C66DE1" w:rsidP="00C66DE1">
      <w:pPr>
        <w:rPr>
          <w:rFonts w:cstheme="minorHAnsi"/>
          <w:b/>
          <w:sz w:val="24"/>
          <w:szCs w:val="24"/>
        </w:rPr>
      </w:pPr>
      <w:r w:rsidRPr="00074904">
        <w:rPr>
          <w:rFonts w:cstheme="minorHAnsi"/>
          <w:b/>
          <w:sz w:val="24"/>
          <w:szCs w:val="24"/>
        </w:rPr>
        <w:t>Suggestions for the Final Report:</w:t>
      </w:r>
    </w:p>
    <w:p w14:paraId="7FA7AF8B" w14:textId="497A444C" w:rsidR="007D09D2" w:rsidRPr="00074904" w:rsidRDefault="00C66DE1" w:rsidP="00C66DE1">
      <w:pPr>
        <w:pStyle w:val="ListParagraph"/>
        <w:numPr>
          <w:ilvl w:val="0"/>
          <w:numId w:val="4"/>
        </w:numPr>
        <w:rPr>
          <w:rFonts w:cstheme="minorHAnsi"/>
          <w:sz w:val="24"/>
          <w:szCs w:val="24"/>
        </w:rPr>
      </w:pPr>
      <w:r w:rsidRPr="00074904">
        <w:rPr>
          <w:rFonts w:cstheme="minorHAnsi"/>
          <w:sz w:val="24"/>
          <w:szCs w:val="24"/>
        </w:rPr>
        <w:t xml:space="preserve">That the PC </w:t>
      </w:r>
      <w:r w:rsidR="00FF7A0C">
        <w:rPr>
          <w:rFonts w:cstheme="minorHAnsi"/>
          <w:sz w:val="24"/>
          <w:szCs w:val="24"/>
        </w:rPr>
        <w:t xml:space="preserve">recommend obtaining </w:t>
      </w:r>
      <w:r w:rsidRPr="00074904">
        <w:rPr>
          <w:rFonts w:cstheme="minorHAnsi"/>
          <w:sz w:val="24"/>
          <w:szCs w:val="24"/>
        </w:rPr>
        <w:t xml:space="preserve">detail about how to build the organisational and staffing infrastructure necessary to ensure the </w:t>
      </w:r>
      <w:r w:rsidR="00FF7A0C">
        <w:rPr>
          <w:rFonts w:cstheme="minorHAnsi"/>
          <w:sz w:val="24"/>
          <w:szCs w:val="24"/>
        </w:rPr>
        <w:t xml:space="preserve">representative, </w:t>
      </w:r>
      <w:r w:rsidRPr="00074904">
        <w:rPr>
          <w:rFonts w:cstheme="minorHAnsi"/>
          <w:sz w:val="24"/>
          <w:szCs w:val="24"/>
        </w:rPr>
        <w:t>professional and strategic engagement of consumers (and carers) in all aspects of mental health planning and decision-making.</w:t>
      </w:r>
    </w:p>
    <w:p w14:paraId="28FBAA94" w14:textId="5D0B9F0F" w:rsidR="007D09D2" w:rsidRPr="00074904" w:rsidRDefault="007D09D2" w:rsidP="00005E9E">
      <w:pPr>
        <w:pStyle w:val="Heading2"/>
      </w:pPr>
      <w:bookmarkStart w:id="11" w:name="_Toc29197232"/>
      <w:r w:rsidRPr="00074904">
        <w:t>Stepped care</w:t>
      </w:r>
      <w:bookmarkEnd w:id="11"/>
    </w:p>
    <w:p w14:paraId="704E5A3E" w14:textId="08E8F1CA" w:rsidR="00005E9E" w:rsidRDefault="00005E9E" w:rsidP="00005E9E">
      <w:pPr>
        <w:spacing w:after="0" w:line="240" w:lineRule="auto"/>
        <w:rPr>
          <w:rFonts w:cstheme="minorHAnsi"/>
          <w:sz w:val="24"/>
          <w:szCs w:val="24"/>
        </w:rPr>
      </w:pPr>
    </w:p>
    <w:p w14:paraId="5B9355DB" w14:textId="77777777" w:rsidR="00005E9E" w:rsidRDefault="00005E9E" w:rsidP="00683D4D">
      <w:pPr>
        <w:rPr>
          <w:rFonts w:cstheme="minorHAnsi"/>
          <w:sz w:val="24"/>
          <w:szCs w:val="24"/>
        </w:rPr>
      </w:pPr>
      <w:r>
        <w:rPr>
          <w:rFonts w:cstheme="minorHAnsi"/>
          <w:sz w:val="24"/>
          <w:szCs w:val="24"/>
        </w:rPr>
        <w:t xml:space="preserve">Comments here pertain to recommendations 5.3 and 6.1.  </w:t>
      </w:r>
    </w:p>
    <w:p w14:paraId="317CCDBA" w14:textId="7E6607AE" w:rsidR="00005E9E" w:rsidRDefault="007D09D2" w:rsidP="00683D4D">
      <w:pPr>
        <w:rPr>
          <w:rFonts w:cstheme="minorHAnsi"/>
          <w:sz w:val="24"/>
          <w:szCs w:val="24"/>
        </w:rPr>
      </w:pPr>
      <w:r w:rsidRPr="00074904">
        <w:rPr>
          <w:rFonts w:cstheme="minorHAnsi"/>
          <w:sz w:val="24"/>
          <w:szCs w:val="24"/>
        </w:rPr>
        <w:t xml:space="preserve">While stepped care models have promise, there is limited Level 1 (RCT or meta-analysis) evidence that stepped care is more effective or cost-effective than traditional forms of care </w:t>
      </w:r>
      <w:r w:rsidR="00087D1B">
        <w:rPr>
          <w:rFonts w:cstheme="minorHAnsi"/>
          <w:sz w:val="24"/>
          <w:szCs w:val="24"/>
        </w:rPr>
        <w:t xml:space="preserve"> </w:t>
      </w:r>
      <w:r w:rsidR="00D053C6">
        <w:rPr>
          <w:rFonts w:cstheme="minorHAnsi"/>
          <w:sz w:val="24"/>
          <w:szCs w:val="24"/>
        </w:rPr>
        <w:br/>
        <w:t>(</w:t>
      </w:r>
      <w:r w:rsidRPr="00074904">
        <w:rPr>
          <w:rFonts w:cstheme="minorHAnsi"/>
          <w:sz w:val="24"/>
          <w:szCs w:val="24"/>
        </w:rPr>
        <w:t>Van Straten et al</w:t>
      </w:r>
      <w:r w:rsidR="00087D1B">
        <w:rPr>
          <w:rFonts w:cstheme="minorHAnsi"/>
          <w:sz w:val="24"/>
          <w:szCs w:val="24"/>
        </w:rPr>
        <w:t>,</w:t>
      </w:r>
      <w:r w:rsidRPr="00074904">
        <w:rPr>
          <w:rFonts w:cstheme="minorHAnsi"/>
          <w:sz w:val="24"/>
          <w:szCs w:val="24"/>
        </w:rPr>
        <w:t xml:space="preserve"> 2015). </w:t>
      </w:r>
    </w:p>
    <w:p w14:paraId="59CBC4E2" w14:textId="1BED1783" w:rsidR="007D09D2" w:rsidRDefault="007D09D2" w:rsidP="00683D4D">
      <w:pPr>
        <w:rPr>
          <w:rFonts w:cstheme="minorHAnsi"/>
          <w:sz w:val="24"/>
          <w:szCs w:val="24"/>
        </w:rPr>
      </w:pPr>
      <w:r w:rsidRPr="00074904">
        <w:rPr>
          <w:rFonts w:cstheme="minorHAnsi"/>
          <w:sz w:val="24"/>
          <w:szCs w:val="24"/>
        </w:rPr>
        <w:t>The recommendation would benefit from the inclusion of a call to resource research and evaluation to assess the efficacy, safety, cost-effectiveness and implementation of stepped care models.</w:t>
      </w:r>
    </w:p>
    <w:p w14:paraId="71ABC63E" w14:textId="7881F533" w:rsidR="00005E9E" w:rsidRDefault="00005E9E" w:rsidP="00683D4D">
      <w:pPr>
        <w:rPr>
          <w:rFonts w:cstheme="minorHAnsi"/>
          <w:sz w:val="24"/>
          <w:szCs w:val="24"/>
        </w:rPr>
      </w:pPr>
      <w:r>
        <w:rPr>
          <w:rFonts w:cstheme="minorHAnsi"/>
          <w:sz w:val="24"/>
          <w:szCs w:val="24"/>
        </w:rPr>
        <w:t>Stepped care is also predicated on the capacity to very closely monitor individual clients, to ensure they are on the right ‘step’ according to their needs and to determine the right time to shift between steps.  This level of monitoring is not currently operating in Australia.</w:t>
      </w:r>
    </w:p>
    <w:p w14:paraId="4CE8A843" w14:textId="77777777" w:rsidR="00005E9E" w:rsidRPr="00074904" w:rsidRDefault="00005E9E" w:rsidP="00005E9E">
      <w:pPr>
        <w:rPr>
          <w:rFonts w:cstheme="minorHAnsi"/>
          <w:b/>
          <w:sz w:val="24"/>
          <w:szCs w:val="24"/>
        </w:rPr>
      </w:pPr>
      <w:r w:rsidRPr="00074904">
        <w:rPr>
          <w:rFonts w:cstheme="minorHAnsi"/>
          <w:b/>
          <w:sz w:val="24"/>
          <w:szCs w:val="24"/>
        </w:rPr>
        <w:t>Suggestions for the Final Report:</w:t>
      </w:r>
    </w:p>
    <w:p w14:paraId="148BFA45" w14:textId="537E3EB6" w:rsidR="00005E9E" w:rsidRPr="00074904" w:rsidRDefault="00005E9E" w:rsidP="00005E9E">
      <w:pPr>
        <w:pStyle w:val="ListParagraph"/>
        <w:numPr>
          <w:ilvl w:val="0"/>
          <w:numId w:val="4"/>
        </w:numPr>
        <w:rPr>
          <w:rFonts w:cstheme="minorHAnsi"/>
          <w:sz w:val="24"/>
          <w:szCs w:val="24"/>
        </w:rPr>
      </w:pPr>
      <w:r>
        <w:rPr>
          <w:rFonts w:cstheme="minorHAnsi"/>
          <w:sz w:val="24"/>
          <w:szCs w:val="24"/>
        </w:rPr>
        <w:t>That the PC recommend a detailed review of approaches to organising mental health care, across the whole spectrum of needs, from self-care to forensic care, including the issue of monitoring and movement of consumers across this spectrum.</w:t>
      </w:r>
    </w:p>
    <w:p w14:paraId="794CF920" w14:textId="4B425998" w:rsidR="007D09D2" w:rsidRDefault="007D09D2" w:rsidP="00851B49">
      <w:pPr>
        <w:pStyle w:val="Heading2"/>
      </w:pPr>
      <w:bookmarkStart w:id="12" w:name="_Toc29197233"/>
      <w:r w:rsidRPr="00074904">
        <w:t>Link-me trial</w:t>
      </w:r>
      <w:bookmarkEnd w:id="12"/>
      <w:r w:rsidRPr="00074904">
        <w:tab/>
      </w:r>
    </w:p>
    <w:p w14:paraId="4B7400C6" w14:textId="77777777" w:rsidR="00851B49" w:rsidRPr="00851B49" w:rsidRDefault="00851B49" w:rsidP="005752BC">
      <w:pPr>
        <w:spacing w:after="0" w:line="240" w:lineRule="auto"/>
      </w:pPr>
    </w:p>
    <w:p w14:paraId="12F34926" w14:textId="494939D4" w:rsidR="00851B49" w:rsidRDefault="00851B49" w:rsidP="00683D4D">
      <w:pPr>
        <w:rPr>
          <w:rFonts w:cstheme="minorHAnsi"/>
          <w:sz w:val="24"/>
          <w:szCs w:val="24"/>
        </w:rPr>
      </w:pPr>
      <w:r>
        <w:rPr>
          <w:rFonts w:cstheme="minorHAnsi"/>
          <w:sz w:val="24"/>
          <w:szCs w:val="24"/>
        </w:rPr>
        <w:t xml:space="preserve">In relation to recommendation draft </w:t>
      </w:r>
      <w:r w:rsidR="007D09D2" w:rsidRPr="00074904">
        <w:rPr>
          <w:rFonts w:cstheme="minorHAnsi"/>
          <w:sz w:val="24"/>
          <w:szCs w:val="24"/>
        </w:rPr>
        <w:t>Finding 5.1</w:t>
      </w:r>
      <w:r>
        <w:rPr>
          <w:rFonts w:cstheme="minorHAnsi"/>
          <w:sz w:val="24"/>
          <w:szCs w:val="24"/>
        </w:rPr>
        <w:t>, it is worth noting that th</w:t>
      </w:r>
      <w:r w:rsidR="007D09D2" w:rsidRPr="00074904">
        <w:rPr>
          <w:rFonts w:cstheme="minorHAnsi"/>
          <w:sz w:val="24"/>
          <w:szCs w:val="24"/>
        </w:rPr>
        <w:t xml:space="preserve">ere </w:t>
      </w:r>
      <w:r>
        <w:rPr>
          <w:rFonts w:cstheme="minorHAnsi"/>
          <w:sz w:val="24"/>
          <w:szCs w:val="24"/>
        </w:rPr>
        <w:t>is</w:t>
      </w:r>
      <w:r w:rsidR="007D09D2" w:rsidRPr="00074904">
        <w:rPr>
          <w:rFonts w:cstheme="minorHAnsi"/>
          <w:sz w:val="24"/>
          <w:szCs w:val="24"/>
        </w:rPr>
        <w:t xml:space="preserve"> a range of other decision support tools for </w:t>
      </w:r>
      <w:r>
        <w:rPr>
          <w:rFonts w:cstheme="minorHAnsi"/>
          <w:sz w:val="24"/>
          <w:szCs w:val="24"/>
        </w:rPr>
        <w:t xml:space="preserve">General Practitioners (GPs) </w:t>
      </w:r>
      <w:r w:rsidR="007D09D2" w:rsidRPr="00074904">
        <w:rPr>
          <w:rFonts w:cstheme="minorHAnsi"/>
          <w:sz w:val="24"/>
          <w:szCs w:val="24"/>
        </w:rPr>
        <w:t>that may be similarly effective to Link-me</w:t>
      </w:r>
      <w:r w:rsidR="00D053C6">
        <w:rPr>
          <w:rFonts w:cstheme="minorHAnsi"/>
          <w:sz w:val="24"/>
          <w:szCs w:val="24"/>
        </w:rPr>
        <w:t xml:space="preserve"> (Anderson et al 2019 and Kurian et al 2009).</w:t>
      </w:r>
    </w:p>
    <w:p w14:paraId="30787069" w14:textId="77777777" w:rsidR="00A92322" w:rsidRDefault="00A92322">
      <w:pPr>
        <w:rPr>
          <w:rFonts w:asciiTheme="majorHAnsi" w:eastAsiaTheme="majorEastAsia" w:hAnsiTheme="majorHAnsi" w:cstheme="majorBidi"/>
          <w:color w:val="2E74B5" w:themeColor="accent1" w:themeShade="BF"/>
          <w:sz w:val="26"/>
          <w:szCs w:val="26"/>
        </w:rPr>
      </w:pPr>
      <w:r>
        <w:br w:type="page"/>
      </w:r>
    </w:p>
    <w:p w14:paraId="552202BC" w14:textId="32382F39" w:rsidR="007D09D2" w:rsidRDefault="007D09D2" w:rsidP="00851B49">
      <w:pPr>
        <w:pStyle w:val="Heading2"/>
      </w:pPr>
      <w:bookmarkStart w:id="13" w:name="_Toc29197234"/>
      <w:r w:rsidRPr="00074904">
        <w:lastRenderedPageBreak/>
        <w:t>Online programs</w:t>
      </w:r>
      <w:bookmarkEnd w:id="13"/>
      <w:r w:rsidRPr="00074904">
        <w:tab/>
      </w:r>
    </w:p>
    <w:p w14:paraId="2941CDF7" w14:textId="77777777" w:rsidR="00851B49" w:rsidRPr="00851B49" w:rsidRDefault="00851B49" w:rsidP="00851B49">
      <w:pPr>
        <w:spacing w:after="0" w:line="240" w:lineRule="auto"/>
      </w:pPr>
    </w:p>
    <w:p w14:paraId="722D048C" w14:textId="54C68B16" w:rsidR="00E07499" w:rsidRDefault="00851B49" w:rsidP="00683D4D">
      <w:pPr>
        <w:rPr>
          <w:rFonts w:cstheme="minorHAnsi"/>
          <w:sz w:val="24"/>
          <w:szCs w:val="24"/>
        </w:rPr>
      </w:pPr>
      <w:r>
        <w:rPr>
          <w:rFonts w:cstheme="minorHAnsi"/>
          <w:sz w:val="24"/>
          <w:szCs w:val="24"/>
        </w:rPr>
        <w:t>R</w:t>
      </w:r>
      <w:r w:rsidR="007D09D2" w:rsidRPr="00074904">
        <w:rPr>
          <w:rFonts w:cstheme="minorHAnsi"/>
          <w:sz w:val="24"/>
          <w:szCs w:val="24"/>
        </w:rPr>
        <w:t>ecommendation</w:t>
      </w:r>
      <w:r>
        <w:rPr>
          <w:rFonts w:cstheme="minorHAnsi"/>
          <w:sz w:val="24"/>
          <w:szCs w:val="24"/>
        </w:rPr>
        <w:t xml:space="preserve"> 6.1 suggests</w:t>
      </w:r>
      <w:r w:rsidR="007D09D2" w:rsidRPr="00074904">
        <w:rPr>
          <w:rFonts w:cstheme="minorHAnsi"/>
          <w:sz w:val="24"/>
          <w:szCs w:val="24"/>
        </w:rPr>
        <w:t xml:space="preserve"> that online treatments should be integrated with GP services</w:t>
      </w:r>
      <w:r>
        <w:rPr>
          <w:rFonts w:cstheme="minorHAnsi"/>
          <w:sz w:val="24"/>
          <w:szCs w:val="24"/>
        </w:rPr>
        <w:t xml:space="preserve"> but</w:t>
      </w:r>
      <w:r w:rsidR="007D09D2" w:rsidRPr="00074904">
        <w:rPr>
          <w:rFonts w:cstheme="minorHAnsi"/>
          <w:sz w:val="24"/>
          <w:szCs w:val="24"/>
        </w:rPr>
        <w:t xml:space="preserve"> neglects the issue that many people who use online services either do</w:t>
      </w:r>
      <w:r w:rsidR="00493308">
        <w:rPr>
          <w:rFonts w:cstheme="minorHAnsi"/>
          <w:sz w:val="24"/>
          <w:szCs w:val="24"/>
        </w:rPr>
        <w:t xml:space="preserve"> </w:t>
      </w:r>
      <w:r w:rsidR="007D09D2" w:rsidRPr="00074904">
        <w:rPr>
          <w:rFonts w:cstheme="minorHAnsi"/>
          <w:sz w:val="24"/>
          <w:szCs w:val="24"/>
        </w:rPr>
        <w:t>n</w:t>
      </w:r>
      <w:r w:rsidR="00493308">
        <w:rPr>
          <w:rFonts w:cstheme="minorHAnsi"/>
          <w:sz w:val="24"/>
          <w:szCs w:val="24"/>
        </w:rPr>
        <w:t>o</w:t>
      </w:r>
      <w:r w:rsidR="007D09D2" w:rsidRPr="00074904">
        <w:rPr>
          <w:rFonts w:cstheme="minorHAnsi"/>
          <w:sz w:val="24"/>
          <w:szCs w:val="24"/>
        </w:rPr>
        <w:t>t have a GP or do</w:t>
      </w:r>
      <w:r w:rsidR="00493308">
        <w:rPr>
          <w:rFonts w:cstheme="minorHAnsi"/>
          <w:sz w:val="24"/>
          <w:szCs w:val="24"/>
        </w:rPr>
        <w:t xml:space="preserve"> </w:t>
      </w:r>
      <w:r w:rsidR="007D09D2" w:rsidRPr="00074904">
        <w:rPr>
          <w:rFonts w:cstheme="minorHAnsi"/>
          <w:sz w:val="24"/>
          <w:szCs w:val="24"/>
        </w:rPr>
        <w:t>n</w:t>
      </w:r>
      <w:r w:rsidR="00493308">
        <w:rPr>
          <w:rFonts w:cstheme="minorHAnsi"/>
          <w:sz w:val="24"/>
          <w:szCs w:val="24"/>
        </w:rPr>
        <w:t>o</w:t>
      </w:r>
      <w:r w:rsidR="007D09D2" w:rsidRPr="00074904">
        <w:rPr>
          <w:rFonts w:cstheme="minorHAnsi"/>
          <w:sz w:val="24"/>
          <w:szCs w:val="24"/>
        </w:rPr>
        <w:t xml:space="preserve">t want to engage with health services regarding their mental health. Furthermore, many health professionals are reluctant to recommend or support online treatments. </w:t>
      </w:r>
    </w:p>
    <w:p w14:paraId="14CFCA54" w14:textId="4414701C" w:rsidR="007D09D2" w:rsidRDefault="007D09D2" w:rsidP="00683D4D">
      <w:pPr>
        <w:rPr>
          <w:rFonts w:cstheme="minorHAnsi"/>
          <w:sz w:val="24"/>
          <w:szCs w:val="24"/>
        </w:rPr>
      </w:pPr>
      <w:r w:rsidRPr="00074904">
        <w:rPr>
          <w:rFonts w:cstheme="minorHAnsi"/>
          <w:sz w:val="24"/>
          <w:szCs w:val="24"/>
        </w:rPr>
        <w:t xml:space="preserve">A paper cited in the review summarises the </w:t>
      </w:r>
      <w:r w:rsidR="00087D1B" w:rsidRPr="00074904">
        <w:rPr>
          <w:rFonts w:cstheme="minorHAnsi"/>
          <w:sz w:val="24"/>
          <w:szCs w:val="24"/>
        </w:rPr>
        <w:t>challenges</w:t>
      </w:r>
      <w:r w:rsidRPr="00074904">
        <w:rPr>
          <w:rFonts w:cstheme="minorHAnsi"/>
          <w:sz w:val="24"/>
          <w:szCs w:val="24"/>
        </w:rPr>
        <w:t xml:space="preserve"> around integration of online services (Batterham et al 2015).</w:t>
      </w:r>
    </w:p>
    <w:p w14:paraId="2E7CFEA3" w14:textId="77777777" w:rsidR="00087D1B" w:rsidRPr="00074904" w:rsidRDefault="00087D1B" w:rsidP="00087D1B">
      <w:pPr>
        <w:rPr>
          <w:rFonts w:cstheme="minorHAnsi"/>
          <w:b/>
          <w:sz w:val="24"/>
          <w:szCs w:val="24"/>
        </w:rPr>
      </w:pPr>
      <w:r w:rsidRPr="00074904">
        <w:rPr>
          <w:rFonts w:cstheme="minorHAnsi"/>
          <w:b/>
          <w:sz w:val="24"/>
          <w:szCs w:val="24"/>
        </w:rPr>
        <w:t>Suggestions for the Final Report:</w:t>
      </w:r>
    </w:p>
    <w:p w14:paraId="780337B4" w14:textId="2260F9F0" w:rsidR="00087D1B" w:rsidRPr="00087D1B" w:rsidRDefault="00087D1B" w:rsidP="00087D1B">
      <w:pPr>
        <w:pStyle w:val="ListParagraph"/>
        <w:numPr>
          <w:ilvl w:val="0"/>
          <w:numId w:val="13"/>
        </w:numPr>
        <w:rPr>
          <w:rFonts w:cstheme="minorHAnsi"/>
          <w:sz w:val="24"/>
          <w:szCs w:val="24"/>
        </w:rPr>
      </w:pPr>
      <w:r w:rsidRPr="00087D1B">
        <w:rPr>
          <w:rFonts w:cstheme="minorHAnsi"/>
          <w:sz w:val="24"/>
          <w:szCs w:val="24"/>
        </w:rPr>
        <w:t>That the PC recommend detailed research into how best to integrate online mental health programs as genuine elements in a more complete ‘stepped care’ response to mental illness.  Critical here is the interface between online and face to face therapies.</w:t>
      </w:r>
    </w:p>
    <w:p w14:paraId="19D10BD6" w14:textId="77777777" w:rsidR="00087D1B" w:rsidRDefault="007D09D2" w:rsidP="00087D1B">
      <w:pPr>
        <w:pStyle w:val="Heading2"/>
      </w:pPr>
      <w:bookmarkStart w:id="14" w:name="_Toc29197235"/>
      <w:r w:rsidRPr="00074904">
        <w:t>Mental health training</w:t>
      </w:r>
      <w:bookmarkEnd w:id="14"/>
    </w:p>
    <w:p w14:paraId="0291BECD" w14:textId="4C55FCD3" w:rsidR="007D09D2" w:rsidRPr="00074904" w:rsidRDefault="007D09D2" w:rsidP="00087D1B">
      <w:pPr>
        <w:pStyle w:val="Heading2"/>
        <w:spacing w:before="0" w:line="240" w:lineRule="auto"/>
      </w:pPr>
      <w:r w:rsidRPr="00074904">
        <w:tab/>
      </w:r>
    </w:p>
    <w:p w14:paraId="4DBAEFDD" w14:textId="41ABFC6C" w:rsidR="007D09D2" w:rsidRPr="00074904" w:rsidRDefault="007D09D2" w:rsidP="00683D4D">
      <w:pPr>
        <w:rPr>
          <w:rFonts w:cstheme="minorHAnsi"/>
          <w:sz w:val="24"/>
          <w:szCs w:val="24"/>
          <w:u w:val="single"/>
        </w:rPr>
      </w:pPr>
      <w:r w:rsidRPr="00074904">
        <w:rPr>
          <w:rFonts w:cstheme="minorHAnsi"/>
          <w:sz w:val="24"/>
          <w:szCs w:val="24"/>
        </w:rPr>
        <w:t>We agree with recommendation</w:t>
      </w:r>
      <w:r w:rsidR="00087D1B">
        <w:rPr>
          <w:rFonts w:cstheme="minorHAnsi"/>
          <w:sz w:val="24"/>
          <w:szCs w:val="24"/>
        </w:rPr>
        <w:t xml:space="preserve"> 11.5</w:t>
      </w:r>
      <w:r w:rsidR="00087D1B" w:rsidRPr="00074904">
        <w:rPr>
          <w:rFonts w:cstheme="minorHAnsi"/>
          <w:sz w:val="24"/>
          <w:szCs w:val="24"/>
        </w:rPr>
        <w:t xml:space="preserve"> but</w:t>
      </w:r>
      <w:r w:rsidRPr="00074904">
        <w:rPr>
          <w:rFonts w:cstheme="minorHAnsi"/>
          <w:sz w:val="24"/>
          <w:szCs w:val="24"/>
        </w:rPr>
        <w:t xml:space="preserve"> would also like to emphasise that there is a particular gap around suicide prevention training for doctors</w:t>
      </w:r>
      <w:r w:rsidR="00087D1B">
        <w:rPr>
          <w:rFonts w:cstheme="minorHAnsi"/>
          <w:sz w:val="24"/>
          <w:szCs w:val="24"/>
        </w:rPr>
        <w:t xml:space="preserve"> as demonstrated by</w:t>
      </w:r>
      <w:r w:rsidRPr="00074904">
        <w:rPr>
          <w:rFonts w:cstheme="minorHAnsi"/>
          <w:sz w:val="24"/>
          <w:szCs w:val="24"/>
        </w:rPr>
        <w:t xml:space="preserve"> Chan et al 2014</w:t>
      </w:r>
      <w:r w:rsidR="00087D1B">
        <w:rPr>
          <w:rFonts w:cstheme="minorHAnsi"/>
          <w:sz w:val="24"/>
          <w:szCs w:val="24"/>
        </w:rPr>
        <w:t>. This should be considered as part of future training needs.</w:t>
      </w:r>
    </w:p>
    <w:p w14:paraId="14FB4A36" w14:textId="77777777" w:rsidR="00087D1B" w:rsidRDefault="007D09D2" w:rsidP="00087D1B">
      <w:pPr>
        <w:pStyle w:val="Heading2"/>
      </w:pPr>
      <w:bookmarkStart w:id="15" w:name="_Toc29197236"/>
      <w:r w:rsidRPr="00074904">
        <w:t>Social &amp; emotional learning programs; wellbeing leaders</w:t>
      </w:r>
      <w:bookmarkEnd w:id="15"/>
    </w:p>
    <w:p w14:paraId="1790C176" w14:textId="1659FAE8" w:rsidR="007D09D2" w:rsidRPr="00074904" w:rsidRDefault="007D09D2" w:rsidP="00087D1B">
      <w:pPr>
        <w:pStyle w:val="Heading2"/>
        <w:spacing w:before="0" w:line="240" w:lineRule="auto"/>
      </w:pPr>
      <w:r w:rsidRPr="00074904">
        <w:tab/>
      </w:r>
    </w:p>
    <w:p w14:paraId="16A40C57" w14:textId="0DD44300" w:rsidR="00003617" w:rsidRPr="00074904" w:rsidRDefault="00087D1B" w:rsidP="00003617">
      <w:pPr>
        <w:rPr>
          <w:rFonts w:cstheme="minorHAnsi"/>
          <w:sz w:val="24"/>
          <w:szCs w:val="24"/>
        </w:rPr>
      </w:pPr>
      <w:r>
        <w:rPr>
          <w:rFonts w:cstheme="minorHAnsi"/>
          <w:sz w:val="24"/>
          <w:szCs w:val="24"/>
        </w:rPr>
        <w:t xml:space="preserve">These comments pertain to recommendations </w:t>
      </w:r>
      <w:r w:rsidR="007D09D2" w:rsidRPr="00074904">
        <w:rPr>
          <w:rFonts w:cstheme="minorHAnsi"/>
          <w:sz w:val="24"/>
          <w:szCs w:val="24"/>
        </w:rPr>
        <w:t>17.3, 17.5</w:t>
      </w:r>
      <w:r>
        <w:rPr>
          <w:rFonts w:cstheme="minorHAnsi"/>
          <w:sz w:val="24"/>
          <w:szCs w:val="24"/>
        </w:rPr>
        <w:t>. W</w:t>
      </w:r>
      <w:r w:rsidR="007D09D2" w:rsidRPr="00074904">
        <w:rPr>
          <w:rFonts w:cstheme="minorHAnsi"/>
          <w:sz w:val="24"/>
          <w:szCs w:val="24"/>
        </w:rPr>
        <w:t xml:space="preserve">hile social and emotional </w:t>
      </w:r>
      <w:r w:rsidR="00EC2608">
        <w:rPr>
          <w:rFonts w:cstheme="minorHAnsi"/>
          <w:sz w:val="24"/>
          <w:szCs w:val="24"/>
        </w:rPr>
        <w:t xml:space="preserve">learning </w:t>
      </w:r>
      <w:r w:rsidR="007D09D2" w:rsidRPr="00074904">
        <w:rPr>
          <w:rFonts w:cstheme="minorHAnsi"/>
          <w:sz w:val="24"/>
          <w:szCs w:val="24"/>
        </w:rPr>
        <w:t xml:space="preserve">programs </w:t>
      </w:r>
      <w:r w:rsidR="00003617">
        <w:rPr>
          <w:rFonts w:cstheme="minorHAnsi"/>
          <w:sz w:val="24"/>
          <w:szCs w:val="24"/>
        </w:rPr>
        <w:t>could</w:t>
      </w:r>
      <w:r w:rsidR="007D09D2" w:rsidRPr="00074904">
        <w:rPr>
          <w:rFonts w:cstheme="minorHAnsi"/>
          <w:sz w:val="24"/>
          <w:szCs w:val="24"/>
        </w:rPr>
        <w:t xml:space="preserve"> be beneficial, there are limited programs with Level 1 evidence of </w:t>
      </w:r>
      <w:r w:rsidRPr="00074904">
        <w:rPr>
          <w:rFonts w:cstheme="minorHAnsi"/>
          <w:sz w:val="24"/>
          <w:szCs w:val="24"/>
        </w:rPr>
        <w:t>effectiveness</w:t>
      </w:r>
      <w:r w:rsidR="007D09D2" w:rsidRPr="00074904">
        <w:rPr>
          <w:rFonts w:cstheme="minorHAnsi"/>
          <w:sz w:val="24"/>
          <w:szCs w:val="24"/>
        </w:rPr>
        <w:t xml:space="preserve"> for reducing mental health symptoms or mental illness. </w:t>
      </w:r>
      <w:r w:rsidR="00003617" w:rsidRPr="00074904">
        <w:rPr>
          <w:rFonts w:cstheme="minorHAnsi"/>
          <w:sz w:val="24"/>
          <w:szCs w:val="24"/>
        </w:rPr>
        <w:t>Well-resourced, rigorous evaluations (preferably RCTs) of any such program should be undertaken before scaling up</w:t>
      </w:r>
      <w:r w:rsidR="00003617">
        <w:rPr>
          <w:rFonts w:cstheme="minorHAnsi"/>
          <w:sz w:val="24"/>
          <w:szCs w:val="24"/>
        </w:rPr>
        <w:t xml:space="preserve">. </w:t>
      </w:r>
      <w:r w:rsidR="00003617" w:rsidRPr="00074904">
        <w:rPr>
          <w:rFonts w:cstheme="minorHAnsi"/>
          <w:sz w:val="24"/>
          <w:szCs w:val="24"/>
        </w:rPr>
        <w:t>In contrast, there is strong evidence that Cognitive Behavioural Therapy-based programs (including online programs such as Climate Schools) can have preventative effects on depression and anxiety outcomes in adolescents</w:t>
      </w:r>
      <w:r w:rsidR="00003617">
        <w:rPr>
          <w:rFonts w:cstheme="minorHAnsi"/>
          <w:sz w:val="24"/>
          <w:szCs w:val="24"/>
        </w:rPr>
        <w:t xml:space="preserve"> (C</w:t>
      </w:r>
      <w:r w:rsidR="00003617" w:rsidRPr="00074904">
        <w:rPr>
          <w:rFonts w:cstheme="minorHAnsi"/>
          <w:sz w:val="24"/>
          <w:szCs w:val="24"/>
        </w:rPr>
        <w:t>alear &amp; Christensen 2010</w:t>
      </w:r>
      <w:r w:rsidR="0026096A">
        <w:rPr>
          <w:rFonts w:cstheme="minorHAnsi"/>
          <w:sz w:val="24"/>
          <w:szCs w:val="24"/>
        </w:rPr>
        <w:t xml:space="preserve"> and Werner-Seidler et al 2017</w:t>
      </w:r>
      <w:r w:rsidR="00003617">
        <w:rPr>
          <w:rFonts w:cstheme="minorHAnsi"/>
          <w:sz w:val="24"/>
          <w:szCs w:val="24"/>
        </w:rPr>
        <w:t>).</w:t>
      </w:r>
      <w:r w:rsidR="00003617" w:rsidRPr="00074904">
        <w:rPr>
          <w:rFonts w:cstheme="minorHAnsi"/>
          <w:sz w:val="24"/>
          <w:szCs w:val="24"/>
        </w:rPr>
        <w:t xml:space="preserve"> Indeed, a previous school-based trial has indicated that a CBT approach is significantly more effective than a non-specific emotional wellbeing approach (Pössel et al 2013</w:t>
      </w:r>
      <w:r w:rsidR="00003617">
        <w:rPr>
          <w:rFonts w:cstheme="minorHAnsi"/>
          <w:sz w:val="24"/>
          <w:szCs w:val="24"/>
        </w:rPr>
        <w:t>)</w:t>
      </w:r>
      <w:r w:rsidR="00003617" w:rsidRPr="00074904">
        <w:rPr>
          <w:rFonts w:cstheme="minorHAnsi"/>
          <w:sz w:val="24"/>
          <w:szCs w:val="24"/>
        </w:rPr>
        <w:t>.</w:t>
      </w:r>
    </w:p>
    <w:p w14:paraId="3059FB70" w14:textId="173BB11E" w:rsidR="00003617" w:rsidRDefault="00003617" w:rsidP="00683D4D">
      <w:pPr>
        <w:rPr>
          <w:rFonts w:cstheme="minorHAnsi"/>
          <w:sz w:val="24"/>
          <w:szCs w:val="24"/>
        </w:rPr>
      </w:pPr>
      <w:r>
        <w:rPr>
          <w:rFonts w:cstheme="minorHAnsi"/>
          <w:sz w:val="24"/>
          <w:szCs w:val="24"/>
        </w:rPr>
        <w:t>In addition, the promotion of</w:t>
      </w:r>
      <w:r w:rsidRPr="00003617">
        <w:rPr>
          <w:rFonts w:cstheme="minorHAnsi"/>
          <w:sz w:val="24"/>
          <w:szCs w:val="24"/>
        </w:rPr>
        <w:t xml:space="preserve"> social and emotion</w:t>
      </w:r>
      <w:r>
        <w:rPr>
          <w:rFonts w:cstheme="minorHAnsi"/>
          <w:sz w:val="24"/>
          <w:szCs w:val="24"/>
        </w:rPr>
        <w:t xml:space="preserve">al learning programs above the </w:t>
      </w:r>
      <w:r w:rsidRPr="00003617">
        <w:rPr>
          <w:rFonts w:cstheme="minorHAnsi"/>
          <w:sz w:val="24"/>
          <w:szCs w:val="24"/>
        </w:rPr>
        <w:t xml:space="preserve">delivery of evidence-based mental health prevention programs in schools that directly target anxiety, depression and suicide </w:t>
      </w:r>
      <w:r>
        <w:rPr>
          <w:rFonts w:cstheme="minorHAnsi"/>
          <w:sz w:val="24"/>
          <w:szCs w:val="24"/>
        </w:rPr>
        <w:t>perpetuates</w:t>
      </w:r>
      <w:r w:rsidRPr="00003617">
        <w:rPr>
          <w:rFonts w:cstheme="minorHAnsi"/>
          <w:sz w:val="24"/>
          <w:szCs w:val="24"/>
        </w:rPr>
        <w:t xml:space="preserve"> the stigma </w:t>
      </w:r>
      <w:r>
        <w:rPr>
          <w:rFonts w:cstheme="minorHAnsi"/>
          <w:sz w:val="24"/>
          <w:szCs w:val="24"/>
        </w:rPr>
        <w:t>surrounding</w:t>
      </w:r>
      <w:r w:rsidRPr="00003617">
        <w:rPr>
          <w:rFonts w:cstheme="minorHAnsi"/>
          <w:sz w:val="24"/>
          <w:szCs w:val="24"/>
        </w:rPr>
        <w:t xml:space="preserve"> mental health and send the message to young people that mental health issues are shameful and thus shouldn't be discussed or directly targeted. Young people need to be made aware of mental health problems, how to seek help for them and given the skills and strategies to directly prevent and treat them.</w:t>
      </w:r>
    </w:p>
    <w:p w14:paraId="3A6E97AE" w14:textId="77777777" w:rsidR="00A92322" w:rsidRDefault="007D09D2" w:rsidP="00683D4D">
      <w:pPr>
        <w:rPr>
          <w:rFonts w:cstheme="minorHAnsi"/>
          <w:sz w:val="24"/>
          <w:szCs w:val="24"/>
        </w:rPr>
      </w:pPr>
      <w:r w:rsidRPr="00074904">
        <w:rPr>
          <w:rFonts w:cstheme="minorHAnsi"/>
          <w:sz w:val="24"/>
          <w:szCs w:val="24"/>
        </w:rPr>
        <w:t xml:space="preserve">Similarly, there is limited evidence that wellbeing leaders (or pastoral care coordinators) have direct effects on mental health outcomes for young people, with considerable costs involved in resourcing such a program. </w:t>
      </w:r>
    </w:p>
    <w:p w14:paraId="4E606CD9" w14:textId="1371429F" w:rsidR="003440C3" w:rsidRDefault="007D09D2" w:rsidP="00683D4D">
      <w:pPr>
        <w:rPr>
          <w:rFonts w:cstheme="minorHAnsi"/>
          <w:sz w:val="24"/>
          <w:szCs w:val="24"/>
        </w:rPr>
      </w:pPr>
      <w:r w:rsidRPr="00074904">
        <w:rPr>
          <w:rFonts w:cstheme="minorHAnsi"/>
          <w:sz w:val="24"/>
          <w:szCs w:val="24"/>
        </w:rPr>
        <w:lastRenderedPageBreak/>
        <w:t>Considerable caution should</w:t>
      </w:r>
      <w:r w:rsidR="00FE72CF">
        <w:rPr>
          <w:rFonts w:cstheme="minorHAnsi"/>
          <w:sz w:val="24"/>
          <w:szCs w:val="24"/>
        </w:rPr>
        <w:t xml:space="preserve"> be</w:t>
      </w:r>
      <w:r w:rsidRPr="00074904">
        <w:rPr>
          <w:rFonts w:cstheme="minorHAnsi"/>
          <w:sz w:val="24"/>
          <w:szCs w:val="24"/>
        </w:rPr>
        <w:t xml:space="preserve"> taken in implementing programs that have </w:t>
      </w:r>
      <w:r w:rsidR="0042216D">
        <w:rPr>
          <w:rFonts w:cstheme="minorHAnsi"/>
          <w:sz w:val="24"/>
          <w:szCs w:val="24"/>
        </w:rPr>
        <w:t>limited</w:t>
      </w:r>
      <w:r w:rsidRPr="00074904">
        <w:rPr>
          <w:rFonts w:cstheme="minorHAnsi"/>
          <w:sz w:val="24"/>
          <w:szCs w:val="24"/>
        </w:rPr>
        <w:t xml:space="preserve"> Level 1 evidence of effectiveness for mental health outcomes. </w:t>
      </w:r>
    </w:p>
    <w:p w14:paraId="5AF80D79" w14:textId="77777777" w:rsidR="0042216D" w:rsidRPr="00074904" w:rsidRDefault="0042216D" w:rsidP="0042216D">
      <w:pPr>
        <w:rPr>
          <w:rFonts w:cstheme="minorHAnsi"/>
          <w:b/>
          <w:sz w:val="24"/>
          <w:szCs w:val="24"/>
        </w:rPr>
      </w:pPr>
      <w:r w:rsidRPr="00074904">
        <w:rPr>
          <w:rFonts w:cstheme="minorHAnsi"/>
          <w:b/>
          <w:sz w:val="24"/>
          <w:szCs w:val="24"/>
        </w:rPr>
        <w:t>Suggestions for the Final Report:</w:t>
      </w:r>
    </w:p>
    <w:p w14:paraId="6D1E9D4F" w14:textId="7E4F0D4A" w:rsidR="00003617" w:rsidRDefault="00003617" w:rsidP="0042216D">
      <w:pPr>
        <w:pStyle w:val="ListParagraph"/>
        <w:numPr>
          <w:ilvl w:val="0"/>
          <w:numId w:val="4"/>
        </w:numPr>
        <w:rPr>
          <w:rFonts w:cstheme="minorHAnsi"/>
          <w:sz w:val="24"/>
          <w:szCs w:val="24"/>
        </w:rPr>
      </w:pPr>
      <w:r>
        <w:rPr>
          <w:rFonts w:cstheme="minorHAnsi"/>
          <w:sz w:val="24"/>
          <w:szCs w:val="24"/>
        </w:rPr>
        <w:t xml:space="preserve">That evidence-based program that directly target anxiety, depression and suicide should be implemented in schools, as well as evidence-based social and emotional learning programs. </w:t>
      </w:r>
    </w:p>
    <w:p w14:paraId="7929BC36" w14:textId="10C83ED1" w:rsidR="0042216D" w:rsidRPr="00074904" w:rsidRDefault="0042216D" w:rsidP="0042216D">
      <w:pPr>
        <w:pStyle w:val="ListParagraph"/>
        <w:numPr>
          <w:ilvl w:val="0"/>
          <w:numId w:val="4"/>
        </w:numPr>
        <w:rPr>
          <w:rFonts w:cstheme="minorHAnsi"/>
          <w:sz w:val="24"/>
          <w:szCs w:val="24"/>
        </w:rPr>
      </w:pPr>
      <w:r>
        <w:rPr>
          <w:rFonts w:cstheme="minorHAnsi"/>
          <w:sz w:val="24"/>
          <w:szCs w:val="24"/>
        </w:rPr>
        <w:t>That the wellbeing leader concept be carefully evaluated before resource-intensive national implementation is considered.</w:t>
      </w:r>
    </w:p>
    <w:p w14:paraId="15A4778A" w14:textId="77777777" w:rsidR="000D3197" w:rsidRDefault="007D09D2" w:rsidP="000D3197">
      <w:pPr>
        <w:pStyle w:val="Heading2"/>
      </w:pPr>
      <w:bookmarkStart w:id="16" w:name="_Toc29197237"/>
      <w:r w:rsidRPr="00074904">
        <w:t>Stigma reduction</w:t>
      </w:r>
      <w:bookmarkEnd w:id="16"/>
    </w:p>
    <w:p w14:paraId="2C9DC912" w14:textId="287B1A16" w:rsidR="007D09D2" w:rsidRPr="00074904" w:rsidRDefault="007D09D2" w:rsidP="000D3197">
      <w:pPr>
        <w:pStyle w:val="Heading2"/>
      </w:pPr>
      <w:r w:rsidRPr="00074904">
        <w:tab/>
      </w:r>
    </w:p>
    <w:p w14:paraId="3C377D39" w14:textId="7C67A11B" w:rsidR="007D09D2" w:rsidRPr="00074904" w:rsidRDefault="000D3197" w:rsidP="00683D4D">
      <w:pPr>
        <w:rPr>
          <w:rFonts w:cstheme="minorHAnsi"/>
          <w:sz w:val="24"/>
          <w:szCs w:val="24"/>
        </w:rPr>
      </w:pPr>
      <w:r>
        <w:rPr>
          <w:rFonts w:cstheme="minorHAnsi"/>
          <w:sz w:val="24"/>
          <w:szCs w:val="24"/>
        </w:rPr>
        <w:t xml:space="preserve">As stated in recommendation </w:t>
      </w:r>
      <w:r w:rsidR="007D09D2" w:rsidRPr="00074904">
        <w:rPr>
          <w:rFonts w:cstheme="minorHAnsi"/>
          <w:sz w:val="24"/>
          <w:szCs w:val="24"/>
        </w:rPr>
        <w:t>20.1</w:t>
      </w:r>
      <w:r>
        <w:rPr>
          <w:rFonts w:cstheme="minorHAnsi"/>
          <w:sz w:val="24"/>
          <w:szCs w:val="24"/>
        </w:rPr>
        <w:t xml:space="preserve"> s</w:t>
      </w:r>
      <w:r w:rsidR="007D09D2" w:rsidRPr="00074904">
        <w:rPr>
          <w:rFonts w:cstheme="minorHAnsi"/>
          <w:sz w:val="24"/>
          <w:szCs w:val="24"/>
        </w:rPr>
        <w:t>tigma reduction</w:t>
      </w:r>
      <w:r>
        <w:rPr>
          <w:rFonts w:cstheme="minorHAnsi"/>
          <w:sz w:val="24"/>
          <w:szCs w:val="24"/>
        </w:rPr>
        <w:t xml:space="preserve"> in mental health</w:t>
      </w:r>
      <w:r w:rsidR="007D09D2" w:rsidRPr="00074904">
        <w:rPr>
          <w:rFonts w:cstheme="minorHAnsi"/>
          <w:sz w:val="24"/>
          <w:szCs w:val="24"/>
        </w:rPr>
        <w:t xml:space="preserve"> is an important goal. However, there is a need for further research, as there are few programs that have demonstrated reliable change in individual attitudes in the long term. Furthermore, without changing broader attitudes around mental health</w:t>
      </w:r>
      <w:r w:rsidR="00EC2608">
        <w:rPr>
          <w:rFonts w:cstheme="minorHAnsi"/>
          <w:sz w:val="24"/>
          <w:szCs w:val="24"/>
        </w:rPr>
        <w:t xml:space="preserve"> and help-seeking</w:t>
      </w:r>
      <w:r w:rsidR="007D09D2" w:rsidRPr="00074904">
        <w:rPr>
          <w:rFonts w:cstheme="minorHAnsi"/>
          <w:sz w:val="24"/>
          <w:szCs w:val="24"/>
        </w:rPr>
        <w:t>, such as preferences for self-reliance, poor outcomes including delays in help seeking may not change.</w:t>
      </w:r>
    </w:p>
    <w:p w14:paraId="089897D4" w14:textId="77777777" w:rsidR="000D3197" w:rsidRPr="00074904" w:rsidRDefault="000D3197" w:rsidP="000D3197">
      <w:pPr>
        <w:rPr>
          <w:rFonts w:cstheme="minorHAnsi"/>
          <w:b/>
          <w:sz w:val="24"/>
          <w:szCs w:val="24"/>
        </w:rPr>
      </w:pPr>
      <w:r w:rsidRPr="00074904">
        <w:rPr>
          <w:rFonts w:cstheme="minorHAnsi"/>
          <w:b/>
          <w:sz w:val="24"/>
          <w:szCs w:val="24"/>
        </w:rPr>
        <w:t>Suggestions for the Final Report:</w:t>
      </w:r>
    </w:p>
    <w:p w14:paraId="61055C2E" w14:textId="4C13681F" w:rsidR="000D3197" w:rsidRPr="00074904" w:rsidRDefault="000D3197" w:rsidP="000D3197">
      <w:pPr>
        <w:pStyle w:val="ListParagraph"/>
        <w:numPr>
          <w:ilvl w:val="0"/>
          <w:numId w:val="4"/>
        </w:numPr>
        <w:rPr>
          <w:rFonts w:cstheme="minorHAnsi"/>
          <w:sz w:val="24"/>
          <w:szCs w:val="24"/>
        </w:rPr>
      </w:pPr>
      <w:r>
        <w:rPr>
          <w:rFonts w:cstheme="minorHAnsi"/>
          <w:sz w:val="24"/>
          <w:szCs w:val="24"/>
        </w:rPr>
        <w:t>That the PC support new research into the effectiveness of comparative approaches to mental health stigma reduction</w:t>
      </w:r>
      <w:r w:rsidR="000D14E2">
        <w:rPr>
          <w:rFonts w:cstheme="minorHAnsi"/>
          <w:sz w:val="24"/>
          <w:szCs w:val="24"/>
        </w:rPr>
        <w:t>, focusing both on disorder-specific stigma and the stigma associated with seeking help</w:t>
      </w:r>
      <w:r>
        <w:rPr>
          <w:rFonts w:cstheme="minorHAnsi"/>
          <w:sz w:val="24"/>
          <w:szCs w:val="24"/>
        </w:rPr>
        <w:t>.</w:t>
      </w:r>
    </w:p>
    <w:p w14:paraId="2380D48E" w14:textId="77777777" w:rsidR="000D3197" w:rsidRDefault="000D3197" w:rsidP="000D3197">
      <w:pPr>
        <w:pStyle w:val="Heading2"/>
        <w:rPr>
          <w:rFonts w:asciiTheme="minorHAnsi" w:hAnsiTheme="minorHAnsi"/>
        </w:rPr>
      </w:pPr>
      <w:bookmarkStart w:id="17" w:name="_Toc29197238"/>
      <w:r>
        <w:t xml:space="preserve">Suicide and </w:t>
      </w:r>
      <w:r w:rsidR="007D09D2" w:rsidRPr="00074904">
        <w:rPr>
          <w:rFonts w:asciiTheme="minorHAnsi" w:hAnsiTheme="minorHAnsi"/>
        </w:rPr>
        <w:t>Aftercare</w:t>
      </w:r>
      <w:bookmarkEnd w:id="17"/>
    </w:p>
    <w:p w14:paraId="202C0A73" w14:textId="6D6A5662" w:rsidR="007D09D2" w:rsidRPr="00074904" w:rsidRDefault="007D09D2" w:rsidP="00E25C64">
      <w:pPr>
        <w:pStyle w:val="Heading2"/>
        <w:spacing w:before="0" w:line="240" w:lineRule="auto"/>
        <w:rPr>
          <w:rFonts w:asciiTheme="minorHAnsi" w:hAnsiTheme="minorHAnsi"/>
        </w:rPr>
      </w:pPr>
      <w:r w:rsidRPr="00074904">
        <w:rPr>
          <w:rFonts w:asciiTheme="minorHAnsi" w:hAnsiTheme="minorHAnsi"/>
        </w:rPr>
        <w:tab/>
      </w:r>
    </w:p>
    <w:p w14:paraId="549993F3" w14:textId="6C6582E9" w:rsidR="007D09D2" w:rsidRPr="00074904" w:rsidRDefault="000D3197" w:rsidP="00683D4D">
      <w:pPr>
        <w:rPr>
          <w:rFonts w:cstheme="minorHAnsi"/>
          <w:sz w:val="24"/>
          <w:szCs w:val="24"/>
        </w:rPr>
      </w:pPr>
      <w:r>
        <w:rPr>
          <w:rFonts w:cstheme="minorHAnsi"/>
          <w:sz w:val="24"/>
          <w:szCs w:val="24"/>
        </w:rPr>
        <w:t xml:space="preserve">As stated in recommendation </w:t>
      </w:r>
      <w:r w:rsidR="007D09D2" w:rsidRPr="00074904">
        <w:rPr>
          <w:rFonts w:cstheme="minorHAnsi"/>
          <w:sz w:val="24"/>
          <w:szCs w:val="24"/>
        </w:rPr>
        <w:t>21.1</w:t>
      </w:r>
      <w:r>
        <w:rPr>
          <w:rFonts w:cstheme="minorHAnsi"/>
          <w:sz w:val="24"/>
          <w:szCs w:val="24"/>
        </w:rPr>
        <w:t>, un</w:t>
      </w:r>
      <w:r w:rsidR="007D09D2" w:rsidRPr="00074904">
        <w:rPr>
          <w:rFonts w:cstheme="minorHAnsi"/>
          <w:sz w:val="24"/>
          <w:szCs w:val="24"/>
        </w:rPr>
        <w:t>iversal aftercare is highly important. However, there remains a need to evaluate which elements of aftercare are most effective for whom, and identify optimal implementation models for aftercare services. Furthermore, it may be noted that aftercare is likely to be less effective if it is not complemented by a range of other programs, such as training of frontline workers, greater access to evidence-based treatments, and reducing access to lethal means, along with systems to evaluate and implement these programs.</w:t>
      </w:r>
    </w:p>
    <w:p w14:paraId="31F6212C" w14:textId="77777777" w:rsidR="00C66DE1" w:rsidRPr="00074904" w:rsidRDefault="00C66DE1" w:rsidP="00D40F13">
      <w:pPr>
        <w:pStyle w:val="Heading2"/>
      </w:pPr>
      <w:bookmarkStart w:id="18" w:name="_Toc29197239"/>
      <w:r w:rsidRPr="00074904">
        <w:t>Early Childhood</w:t>
      </w:r>
      <w:bookmarkEnd w:id="18"/>
    </w:p>
    <w:p w14:paraId="4A63550C" w14:textId="77777777" w:rsidR="00C66DE1" w:rsidRPr="00074904" w:rsidRDefault="00C66DE1" w:rsidP="00D40F13">
      <w:pPr>
        <w:spacing w:after="0" w:line="240" w:lineRule="auto"/>
        <w:rPr>
          <w:rFonts w:cstheme="minorHAnsi"/>
          <w:sz w:val="24"/>
          <w:szCs w:val="24"/>
        </w:rPr>
      </w:pPr>
    </w:p>
    <w:p w14:paraId="5FC292D0" w14:textId="0E551A61" w:rsidR="00C66DE1" w:rsidRPr="00074904" w:rsidRDefault="00D40F13" w:rsidP="00C66DE1">
      <w:pPr>
        <w:rPr>
          <w:rFonts w:cstheme="minorHAnsi"/>
          <w:sz w:val="24"/>
          <w:szCs w:val="24"/>
        </w:rPr>
      </w:pPr>
      <w:r w:rsidRPr="00074904">
        <w:rPr>
          <w:rFonts w:cstheme="minorHAnsi"/>
          <w:sz w:val="24"/>
          <w:szCs w:val="24"/>
        </w:rPr>
        <w:t>Addressing family resources, particularly time and money, to ensure equitable access to parent education programs</w:t>
      </w:r>
      <w:r>
        <w:rPr>
          <w:rFonts w:cstheme="minorHAnsi"/>
          <w:sz w:val="24"/>
          <w:szCs w:val="24"/>
        </w:rPr>
        <w:t>.</w:t>
      </w:r>
      <w:r w:rsidR="00FA0BCB">
        <w:rPr>
          <w:rFonts w:cstheme="minorHAnsi"/>
          <w:sz w:val="24"/>
          <w:szCs w:val="24"/>
        </w:rPr>
        <w:t xml:space="preserve">  Recommendation </w:t>
      </w:r>
      <w:r w:rsidR="00C66DE1" w:rsidRPr="00074904">
        <w:rPr>
          <w:rFonts w:cstheme="minorHAnsi"/>
          <w:sz w:val="24"/>
          <w:szCs w:val="24"/>
        </w:rPr>
        <w:t xml:space="preserve">17.2 </w:t>
      </w:r>
      <w:r w:rsidR="00FA0BCB">
        <w:rPr>
          <w:rFonts w:cstheme="minorHAnsi"/>
          <w:sz w:val="24"/>
          <w:szCs w:val="24"/>
        </w:rPr>
        <w:t>suggests that s</w:t>
      </w:r>
      <w:r w:rsidR="00C66DE1" w:rsidRPr="00074904">
        <w:rPr>
          <w:rFonts w:cstheme="minorHAnsi"/>
          <w:sz w:val="24"/>
          <w:szCs w:val="24"/>
        </w:rPr>
        <w:t xml:space="preserve">tate and territory </w:t>
      </w:r>
      <w:r w:rsidR="00FA0BCB">
        <w:rPr>
          <w:rFonts w:cstheme="minorHAnsi"/>
          <w:sz w:val="24"/>
          <w:szCs w:val="24"/>
        </w:rPr>
        <w:t>g</w:t>
      </w:r>
      <w:r w:rsidR="00C66DE1" w:rsidRPr="00074904">
        <w:rPr>
          <w:rFonts w:cstheme="minorHAnsi"/>
          <w:sz w:val="24"/>
          <w:szCs w:val="24"/>
        </w:rPr>
        <w:t xml:space="preserve">overnments should expand the provision of parent education programs </w:t>
      </w:r>
      <w:r w:rsidR="00A137FC" w:rsidRPr="00074904">
        <w:rPr>
          <w:rFonts w:cstheme="minorHAnsi"/>
          <w:sz w:val="24"/>
          <w:szCs w:val="24"/>
        </w:rPr>
        <w:t>th</w:t>
      </w:r>
      <w:r w:rsidR="00A137FC">
        <w:rPr>
          <w:rFonts w:cstheme="minorHAnsi"/>
          <w:sz w:val="24"/>
          <w:szCs w:val="24"/>
        </w:rPr>
        <w:t>rough</w:t>
      </w:r>
      <w:r w:rsidR="00A137FC" w:rsidRPr="00074904">
        <w:rPr>
          <w:rFonts w:cstheme="minorHAnsi"/>
          <w:sz w:val="24"/>
          <w:szCs w:val="24"/>
        </w:rPr>
        <w:t xml:space="preserve"> </w:t>
      </w:r>
      <w:r w:rsidR="00C66DE1" w:rsidRPr="00074904">
        <w:rPr>
          <w:rFonts w:cstheme="minorHAnsi"/>
          <w:sz w:val="24"/>
          <w:szCs w:val="24"/>
        </w:rPr>
        <w:t xml:space="preserve">child and family health centres. </w:t>
      </w:r>
    </w:p>
    <w:p w14:paraId="03E64902" w14:textId="77777777" w:rsidR="00A92322" w:rsidRDefault="00C66DE1" w:rsidP="00C66DE1">
      <w:pPr>
        <w:rPr>
          <w:rFonts w:cstheme="minorHAnsi"/>
          <w:sz w:val="24"/>
          <w:szCs w:val="24"/>
        </w:rPr>
      </w:pPr>
      <w:r w:rsidRPr="00074904">
        <w:rPr>
          <w:rFonts w:cstheme="minorHAnsi"/>
          <w:sz w:val="24"/>
          <w:szCs w:val="24"/>
        </w:rPr>
        <w:t xml:space="preserve">Research on enrolment and engagement in preventative parenting education programs have found that lack of time and scheduling conflicts are the top barriers to participation and retention (Dumas, Nissley-Tsiopinis, &amp; Moreland, 2007; Gross, Julion, &amp; Fogg, 2001). </w:t>
      </w:r>
    </w:p>
    <w:p w14:paraId="461077F8" w14:textId="7B1586EE" w:rsidR="00C66DE1" w:rsidRPr="00074904" w:rsidRDefault="00C66DE1" w:rsidP="00C66DE1">
      <w:pPr>
        <w:rPr>
          <w:rFonts w:cstheme="minorHAnsi"/>
          <w:sz w:val="24"/>
          <w:szCs w:val="24"/>
        </w:rPr>
      </w:pPr>
      <w:r w:rsidRPr="00074904">
        <w:rPr>
          <w:rFonts w:cstheme="minorHAnsi"/>
          <w:sz w:val="24"/>
          <w:szCs w:val="24"/>
        </w:rPr>
        <w:lastRenderedPageBreak/>
        <w:t xml:space="preserve">One study found that mothers who reported the lowest levels of time constraints were approximately three times more likely to enrol in a program than those who reported the highest time constraints (Dumka, Garza, Roosa, &amp; Stoerzinger, 1997). </w:t>
      </w:r>
    </w:p>
    <w:p w14:paraId="09FF08DC" w14:textId="77777777" w:rsidR="00FA0BCB" w:rsidRDefault="00C66DE1" w:rsidP="00C66DE1">
      <w:pPr>
        <w:rPr>
          <w:rFonts w:cstheme="minorHAnsi"/>
          <w:sz w:val="24"/>
          <w:szCs w:val="24"/>
        </w:rPr>
      </w:pPr>
      <w:r w:rsidRPr="00074904">
        <w:rPr>
          <w:rFonts w:cstheme="minorHAnsi"/>
          <w:sz w:val="24"/>
          <w:szCs w:val="24"/>
        </w:rPr>
        <w:t>The program Raising Successful Children Program, an eight session preventative parent program designed for high-risk minority parents from low-income-inner city communities, considered time-related barriers to attendance by scheduling sessions at times convenient to parents, providing transport to families to and from the session, providing meals for all family members, and providing child care (Dumka et al., 1997). The participation rate for this program was 70%, much higher than in comparable projects. The SafeCare® Dad to Kids (Dad2K) program found that having a home-based program with flexible scheduling meant employed and unemployed fathers were equally able to prioritise program participation</w:t>
      </w:r>
      <w:r w:rsidR="00FA0BCB">
        <w:rPr>
          <w:rFonts w:cstheme="minorHAnsi"/>
          <w:sz w:val="24"/>
          <w:szCs w:val="24"/>
        </w:rPr>
        <w:t xml:space="preserve"> </w:t>
      </w:r>
      <w:r w:rsidRPr="00074904">
        <w:rPr>
          <w:rFonts w:cstheme="minorHAnsi"/>
          <w:sz w:val="24"/>
          <w:szCs w:val="24"/>
        </w:rPr>
        <w:t xml:space="preserve">(Rostad, Self-Brown, Boyd Jr, Osborne, &amp; Patterson, 2017). </w:t>
      </w:r>
    </w:p>
    <w:p w14:paraId="5DCC9A87" w14:textId="104BB1E4" w:rsidR="00C66DE1" w:rsidRPr="00074904" w:rsidRDefault="00C66DE1" w:rsidP="00C66DE1">
      <w:pPr>
        <w:rPr>
          <w:rFonts w:cstheme="minorHAnsi"/>
          <w:sz w:val="24"/>
          <w:szCs w:val="24"/>
        </w:rPr>
      </w:pPr>
      <w:r w:rsidRPr="00074904">
        <w:rPr>
          <w:rFonts w:cstheme="minorHAnsi"/>
          <w:sz w:val="24"/>
          <w:szCs w:val="24"/>
        </w:rPr>
        <w:t xml:space="preserve">The Success Through the Incredible Years Program, a five-year study of relatively low-cost behavioural programs for young children at risk of long-term conduct problems, incorporated measures to reduce time-related barriers to success (Foster, Johnson-Shelton, &amp; Taylor, 2007). Time-costs accounted for 5-20% of total cost of the parenting program (Foster et al., 2007). While program costs could be reduced by not offering time-saving options (e.g. </w:t>
      </w:r>
      <w:r w:rsidR="00FE72CF" w:rsidRPr="00074904">
        <w:rPr>
          <w:rFonts w:cstheme="minorHAnsi"/>
          <w:sz w:val="24"/>
          <w:szCs w:val="24"/>
        </w:rPr>
        <w:t>childcare</w:t>
      </w:r>
      <w:r w:rsidRPr="00074904">
        <w:rPr>
          <w:rFonts w:cstheme="minorHAnsi"/>
          <w:sz w:val="24"/>
          <w:szCs w:val="24"/>
        </w:rPr>
        <w:t xml:space="preserve"> and meals), this would likely affect the participation rate, and authors warn that ignoring non budgetary time costs can lead to bad policy decisions (Foster et al., 2007). While offering monetary incentives for attending parenting programs was found to increase enrolment, they were less effective in retention (Dumas, Begle, French, &amp; Pearl, 2010; Pfitzner, Humphreys, &amp; Hegarty, 2017).</w:t>
      </w:r>
    </w:p>
    <w:p w14:paraId="7ABB0FA1" w14:textId="77777777" w:rsidR="00C66DE1" w:rsidRPr="00074904" w:rsidRDefault="00C66DE1" w:rsidP="00C66DE1">
      <w:pPr>
        <w:rPr>
          <w:rFonts w:cstheme="minorHAnsi"/>
          <w:sz w:val="24"/>
          <w:szCs w:val="24"/>
        </w:rPr>
      </w:pPr>
      <w:r w:rsidRPr="00074904">
        <w:rPr>
          <w:rFonts w:cstheme="minorHAnsi"/>
          <w:sz w:val="24"/>
          <w:szCs w:val="24"/>
        </w:rPr>
        <w:t xml:space="preserve">Furthermore, the Family Wellbeing Framework developed by the Department of Social Services describes the interaction of factors impacting on family resources and function that are relevant to children’s health outcomes. They list income and time, among others, as significant resources required for families to function and essential to children (Department of Social Services, 2018). </w:t>
      </w:r>
    </w:p>
    <w:p w14:paraId="4D383FCF" w14:textId="77777777" w:rsidR="00FA0BCB" w:rsidRPr="00074904" w:rsidRDefault="00FA0BCB" w:rsidP="00FA0BCB">
      <w:pPr>
        <w:rPr>
          <w:rFonts w:cstheme="minorHAnsi"/>
          <w:b/>
          <w:sz w:val="24"/>
          <w:szCs w:val="24"/>
        </w:rPr>
      </w:pPr>
      <w:r w:rsidRPr="00074904">
        <w:rPr>
          <w:rFonts w:cstheme="minorHAnsi"/>
          <w:b/>
          <w:sz w:val="24"/>
          <w:szCs w:val="24"/>
        </w:rPr>
        <w:t>Suggestions for the Final Report:</w:t>
      </w:r>
    </w:p>
    <w:p w14:paraId="2554584F" w14:textId="77777777" w:rsidR="00FA0BCB" w:rsidRPr="00FA0BCB" w:rsidRDefault="00FA0BCB" w:rsidP="00FA0BCB">
      <w:pPr>
        <w:pStyle w:val="ListParagraph"/>
        <w:numPr>
          <w:ilvl w:val="0"/>
          <w:numId w:val="4"/>
        </w:numPr>
        <w:rPr>
          <w:rFonts w:cstheme="minorHAnsi"/>
          <w:sz w:val="24"/>
          <w:szCs w:val="24"/>
        </w:rPr>
      </w:pPr>
      <w:r w:rsidRPr="00FA0BCB">
        <w:rPr>
          <w:rFonts w:cstheme="minorHAnsi"/>
          <w:sz w:val="24"/>
          <w:szCs w:val="24"/>
        </w:rPr>
        <w:t xml:space="preserve">To strengthen the Productivity Commission’s recommendation, it is vital that parent education programs consider the influence of family resources, particularly time and money, to ensure fair and equitable access to the program and resources.    </w:t>
      </w:r>
    </w:p>
    <w:p w14:paraId="2F825D5E" w14:textId="77777777" w:rsidR="00AA68C9" w:rsidRPr="00074904" w:rsidRDefault="00AA68C9" w:rsidP="00BC3915">
      <w:pPr>
        <w:pStyle w:val="Heading2"/>
      </w:pPr>
      <w:bookmarkStart w:id="19" w:name="_Toc29197240"/>
      <w:r w:rsidRPr="00074904">
        <w:t>Expansion of LSAC funding to include analysis of existing data</w:t>
      </w:r>
      <w:bookmarkEnd w:id="19"/>
      <w:r w:rsidRPr="00074904">
        <w:tab/>
      </w:r>
    </w:p>
    <w:p w14:paraId="6807ED4E" w14:textId="77777777" w:rsidR="00BC3915" w:rsidRDefault="00BC3915" w:rsidP="00BC3915">
      <w:pPr>
        <w:spacing w:after="0" w:line="240" w:lineRule="auto"/>
        <w:rPr>
          <w:rFonts w:cstheme="minorHAnsi"/>
          <w:sz w:val="24"/>
          <w:szCs w:val="24"/>
        </w:rPr>
      </w:pPr>
    </w:p>
    <w:p w14:paraId="74C8195D" w14:textId="1FA6C0F5" w:rsidR="00BC3915" w:rsidRDefault="00BC3915" w:rsidP="00AA68C9">
      <w:pPr>
        <w:rPr>
          <w:rFonts w:cstheme="minorHAnsi"/>
          <w:sz w:val="24"/>
          <w:szCs w:val="24"/>
        </w:rPr>
      </w:pPr>
      <w:r>
        <w:rPr>
          <w:rFonts w:cstheme="minorHAnsi"/>
          <w:sz w:val="24"/>
          <w:szCs w:val="24"/>
        </w:rPr>
        <w:t xml:space="preserve">These comments pertain to recommendation 17.6 and the </w:t>
      </w:r>
      <w:r w:rsidRPr="00BC3915">
        <w:rPr>
          <w:rFonts w:cstheme="minorHAnsi"/>
          <w:sz w:val="24"/>
          <w:szCs w:val="24"/>
        </w:rPr>
        <w:t>Longitudinal Study of Australian Children</w:t>
      </w:r>
      <w:r>
        <w:rPr>
          <w:rFonts w:cstheme="minorHAnsi"/>
          <w:sz w:val="24"/>
          <w:szCs w:val="24"/>
        </w:rPr>
        <w:t xml:space="preserve"> (LSAC).</w:t>
      </w:r>
    </w:p>
    <w:p w14:paraId="4087BBB2" w14:textId="4C81B481" w:rsidR="00AA68C9" w:rsidRPr="00074904" w:rsidRDefault="00AA68C9" w:rsidP="00AA68C9">
      <w:pPr>
        <w:rPr>
          <w:rFonts w:cstheme="minorHAnsi"/>
          <w:sz w:val="24"/>
          <w:szCs w:val="24"/>
        </w:rPr>
      </w:pPr>
      <w:r w:rsidRPr="00074904">
        <w:rPr>
          <w:rFonts w:cstheme="minorHAnsi"/>
          <w:sz w:val="24"/>
          <w:szCs w:val="24"/>
        </w:rPr>
        <w:t xml:space="preserve">There are 11 key research questions that guides the study, clustered around the themes of child and family functioning, health, </w:t>
      </w:r>
      <w:r w:rsidR="00BC3915" w:rsidRPr="00074904">
        <w:rPr>
          <w:rFonts w:cstheme="minorHAnsi"/>
          <w:sz w:val="24"/>
          <w:szCs w:val="24"/>
        </w:rPr>
        <w:t>childcare</w:t>
      </w:r>
      <w:r w:rsidRPr="00074904">
        <w:rPr>
          <w:rFonts w:cstheme="minorHAnsi"/>
          <w:sz w:val="24"/>
          <w:szCs w:val="24"/>
        </w:rPr>
        <w:t>, and education such as:</w:t>
      </w:r>
    </w:p>
    <w:p w14:paraId="323882B1" w14:textId="45F6789C" w:rsidR="00AA68C9" w:rsidRPr="00BC3915" w:rsidRDefault="00AA68C9" w:rsidP="00BC3915">
      <w:pPr>
        <w:pStyle w:val="ListParagraph"/>
        <w:numPr>
          <w:ilvl w:val="0"/>
          <w:numId w:val="4"/>
        </w:numPr>
        <w:rPr>
          <w:rFonts w:cstheme="minorHAnsi"/>
          <w:sz w:val="24"/>
          <w:szCs w:val="24"/>
        </w:rPr>
      </w:pPr>
      <w:r w:rsidRPr="00BC3915">
        <w:rPr>
          <w:rFonts w:cstheme="minorHAnsi"/>
          <w:sz w:val="24"/>
          <w:szCs w:val="24"/>
        </w:rPr>
        <w:t>What factors influence a child's physical health and development over time? What is the effect of physical health on a child's overall wellbeing and on other specific outcomes, and how does this influence change over time?</w:t>
      </w:r>
    </w:p>
    <w:p w14:paraId="3CFA90C6" w14:textId="47DA3CAA" w:rsidR="00AA68C9" w:rsidRPr="00BC3915" w:rsidRDefault="00AA68C9" w:rsidP="00BC3915">
      <w:pPr>
        <w:pStyle w:val="ListParagraph"/>
        <w:numPr>
          <w:ilvl w:val="0"/>
          <w:numId w:val="4"/>
        </w:numPr>
        <w:rPr>
          <w:rFonts w:cstheme="minorHAnsi"/>
          <w:sz w:val="24"/>
          <w:szCs w:val="24"/>
        </w:rPr>
      </w:pPr>
      <w:r w:rsidRPr="00BC3915">
        <w:rPr>
          <w:rFonts w:cstheme="minorHAnsi"/>
          <w:sz w:val="24"/>
          <w:szCs w:val="24"/>
        </w:rPr>
        <w:lastRenderedPageBreak/>
        <w:t>What are the impacts of children's use of time on individual outcomes (such as physical fitness and obesity, family relationships, social skills, and learning)? How does the impact of different patterns of time use change over time?</w:t>
      </w:r>
    </w:p>
    <w:p w14:paraId="7390D8EA" w14:textId="71E1BBAD" w:rsidR="00AA68C9" w:rsidRPr="00074904" w:rsidRDefault="00BC3915" w:rsidP="00AA68C9">
      <w:pPr>
        <w:rPr>
          <w:rFonts w:cstheme="minorHAnsi"/>
          <w:sz w:val="24"/>
          <w:szCs w:val="24"/>
        </w:rPr>
      </w:pPr>
      <w:r>
        <w:rPr>
          <w:rFonts w:cstheme="minorHAnsi"/>
          <w:sz w:val="24"/>
          <w:szCs w:val="24"/>
        </w:rPr>
        <w:t xml:space="preserve">The LSAC </w:t>
      </w:r>
      <w:r w:rsidR="00AA68C9" w:rsidRPr="00074904">
        <w:rPr>
          <w:rFonts w:cstheme="minorHAnsi"/>
          <w:sz w:val="24"/>
          <w:szCs w:val="24"/>
        </w:rPr>
        <w:t xml:space="preserve">includes a large variety of direct measures used in conjunction with indirect measures such as physical activity and </w:t>
      </w:r>
      <w:r w:rsidR="00A137FC" w:rsidRPr="00074904">
        <w:rPr>
          <w:rFonts w:cstheme="minorHAnsi"/>
          <w:sz w:val="24"/>
          <w:szCs w:val="24"/>
        </w:rPr>
        <w:t>BMI, which</w:t>
      </w:r>
      <w:r w:rsidR="00AA68C9" w:rsidRPr="00074904">
        <w:rPr>
          <w:rFonts w:cstheme="minorHAnsi"/>
          <w:sz w:val="24"/>
          <w:szCs w:val="24"/>
        </w:rPr>
        <w:t xml:space="preserve"> intersect with mental health. The vast array of measures enables detailed investigation into multiple factors and their complex interactions that affect children’s health. Importantly, the findings from the LSAC have been instrumental in guiding and informing public policy and assisted in the development of the government Paid Parent Leave scheme and in childhood education and care. </w:t>
      </w:r>
    </w:p>
    <w:p w14:paraId="4CD9E781" w14:textId="77777777" w:rsidR="00BC3915" w:rsidRPr="00074904" w:rsidRDefault="00BC3915" w:rsidP="00BC3915">
      <w:pPr>
        <w:rPr>
          <w:rFonts w:cstheme="minorHAnsi"/>
          <w:b/>
          <w:sz w:val="24"/>
          <w:szCs w:val="24"/>
        </w:rPr>
      </w:pPr>
      <w:r w:rsidRPr="00074904">
        <w:rPr>
          <w:rFonts w:cstheme="minorHAnsi"/>
          <w:b/>
          <w:sz w:val="24"/>
          <w:szCs w:val="24"/>
        </w:rPr>
        <w:t>Suggestions for the Final Report:</w:t>
      </w:r>
    </w:p>
    <w:p w14:paraId="0E8DCB54" w14:textId="3D8A5742" w:rsidR="00BC3915" w:rsidRPr="00BC3915" w:rsidRDefault="00BC3915" w:rsidP="00BC3915">
      <w:pPr>
        <w:pStyle w:val="ListParagraph"/>
        <w:numPr>
          <w:ilvl w:val="0"/>
          <w:numId w:val="15"/>
        </w:numPr>
        <w:rPr>
          <w:rFonts w:cstheme="minorHAnsi"/>
          <w:sz w:val="24"/>
          <w:szCs w:val="24"/>
        </w:rPr>
      </w:pPr>
      <w:r>
        <w:rPr>
          <w:rFonts w:cstheme="minorHAnsi"/>
          <w:sz w:val="24"/>
          <w:szCs w:val="24"/>
        </w:rPr>
        <w:t>The draft report already recommends t</w:t>
      </w:r>
      <w:r w:rsidRPr="00BC3915">
        <w:rPr>
          <w:rFonts w:cstheme="minorHAnsi"/>
          <w:sz w:val="24"/>
          <w:szCs w:val="24"/>
        </w:rPr>
        <w:t xml:space="preserve">he Australian Government fund the Australian Institute of Family Studies to establish new cohorts of the Longitudinal Study of Australian Children at regular intervals. </w:t>
      </w:r>
      <w:r>
        <w:rPr>
          <w:rFonts w:cstheme="minorHAnsi"/>
          <w:sz w:val="24"/>
          <w:szCs w:val="24"/>
        </w:rPr>
        <w:t>We suggest t</w:t>
      </w:r>
      <w:r w:rsidRPr="00BC3915">
        <w:rPr>
          <w:rFonts w:cstheme="minorHAnsi"/>
          <w:sz w:val="24"/>
          <w:szCs w:val="24"/>
        </w:rPr>
        <w:t>he Productivity Commission’s recommendation should be extended to include not just the funding of new cohorts but, the detailed analysis of existing data to take advantage of the wealth of data already collected.</w:t>
      </w:r>
    </w:p>
    <w:p w14:paraId="69214231" w14:textId="364949EE" w:rsidR="00AA68C9" w:rsidRDefault="00AA68C9" w:rsidP="00BC3915">
      <w:pPr>
        <w:pStyle w:val="Heading2"/>
      </w:pPr>
      <w:bookmarkStart w:id="20" w:name="_Toc29197241"/>
      <w:r w:rsidRPr="00074904">
        <w:t>Young adults</w:t>
      </w:r>
      <w:bookmarkEnd w:id="20"/>
    </w:p>
    <w:p w14:paraId="34A5EF60" w14:textId="77777777" w:rsidR="00BC3915" w:rsidRPr="00BC3915" w:rsidRDefault="00BC3915" w:rsidP="00BC3915">
      <w:pPr>
        <w:spacing w:after="0" w:line="240" w:lineRule="auto"/>
      </w:pPr>
    </w:p>
    <w:p w14:paraId="0BCB7D89" w14:textId="77777777" w:rsidR="00BC3915" w:rsidRPr="00074904" w:rsidRDefault="00BC3915" w:rsidP="00BC3915">
      <w:pPr>
        <w:rPr>
          <w:rFonts w:cstheme="minorHAnsi"/>
          <w:sz w:val="24"/>
          <w:szCs w:val="24"/>
        </w:rPr>
      </w:pPr>
      <w:r w:rsidRPr="00074904">
        <w:rPr>
          <w:rFonts w:cstheme="minorHAnsi"/>
          <w:sz w:val="24"/>
          <w:szCs w:val="24"/>
        </w:rPr>
        <w:t>Inclusion of evidence from the LSAC on multiple factors pertaining to students’ mental health are incorporated in preventative measures</w:t>
      </w:r>
      <w:r w:rsidRPr="00074904">
        <w:rPr>
          <w:rFonts w:cstheme="minorHAnsi"/>
          <w:sz w:val="24"/>
          <w:szCs w:val="24"/>
        </w:rPr>
        <w:tab/>
        <w:t>Part IV: Early intervention and prevention</w:t>
      </w:r>
    </w:p>
    <w:p w14:paraId="595E3912" w14:textId="58994681" w:rsidR="00AA68C9" w:rsidRPr="00074904" w:rsidRDefault="00BC3915" w:rsidP="00AA68C9">
      <w:pPr>
        <w:rPr>
          <w:rFonts w:cstheme="minorHAnsi"/>
          <w:sz w:val="24"/>
          <w:szCs w:val="24"/>
        </w:rPr>
      </w:pPr>
      <w:r>
        <w:rPr>
          <w:rFonts w:cstheme="minorHAnsi"/>
          <w:sz w:val="24"/>
          <w:szCs w:val="24"/>
        </w:rPr>
        <w:t xml:space="preserve">Recommendation 18.2 </w:t>
      </w:r>
      <w:r w:rsidR="00AA68C9" w:rsidRPr="00074904">
        <w:rPr>
          <w:rFonts w:cstheme="minorHAnsi"/>
          <w:sz w:val="24"/>
          <w:szCs w:val="24"/>
        </w:rPr>
        <w:t>to improve the student mental health and wellbeing strategy is welcomed</w:t>
      </w:r>
      <w:r>
        <w:rPr>
          <w:rFonts w:cstheme="minorHAnsi"/>
          <w:sz w:val="24"/>
          <w:szCs w:val="24"/>
        </w:rPr>
        <w:t>. However,</w:t>
      </w:r>
      <w:r w:rsidR="00AA68C9" w:rsidRPr="00074904">
        <w:rPr>
          <w:rFonts w:cstheme="minorHAnsi"/>
          <w:sz w:val="24"/>
          <w:szCs w:val="24"/>
        </w:rPr>
        <w:t xml:space="preserve"> it is important to ensure that prevention programs address the social and economic drivers impacting on health and that programs are evidenced based. </w:t>
      </w:r>
    </w:p>
    <w:p w14:paraId="7FC1619B" w14:textId="327D1E38" w:rsidR="00AA68C9" w:rsidRPr="00074904" w:rsidRDefault="00AA68C9" w:rsidP="00AA68C9">
      <w:pPr>
        <w:rPr>
          <w:rFonts w:cstheme="minorHAnsi"/>
          <w:sz w:val="24"/>
          <w:szCs w:val="24"/>
        </w:rPr>
      </w:pPr>
      <w:r w:rsidRPr="00074904">
        <w:rPr>
          <w:rFonts w:cstheme="minorHAnsi"/>
          <w:sz w:val="24"/>
          <w:szCs w:val="24"/>
        </w:rPr>
        <w:t xml:space="preserve">The consideration and integration of the main drivers impacting on mental health is key to preventative programs and mitigating harm. </w:t>
      </w:r>
      <w:r w:rsidR="0041162A">
        <w:rPr>
          <w:rFonts w:cstheme="minorHAnsi"/>
          <w:sz w:val="24"/>
          <w:szCs w:val="24"/>
        </w:rPr>
        <w:t>Again, t</w:t>
      </w:r>
      <w:r w:rsidRPr="00074904">
        <w:rPr>
          <w:rFonts w:cstheme="minorHAnsi"/>
          <w:sz w:val="24"/>
          <w:szCs w:val="24"/>
        </w:rPr>
        <w:t>he LSAC serves as a vital resource for understanding the complex suite of factors and issue</w:t>
      </w:r>
      <w:r w:rsidR="00A137FC">
        <w:rPr>
          <w:rFonts w:cstheme="minorHAnsi"/>
          <w:sz w:val="24"/>
          <w:szCs w:val="24"/>
        </w:rPr>
        <w:t>s</w:t>
      </w:r>
      <w:r w:rsidRPr="00074904">
        <w:rPr>
          <w:rFonts w:cstheme="minorHAnsi"/>
          <w:sz w:val="24"/>
          <w:szCs w:val="24"/>
        </w:rPr>
        <w:t xml:space="preserve"> that contribute to students’ mental health. It enables valuable insight into aspects such as education, family, employment, finances and social activities that are key to providing a holistic understanding of mental health in student</w:t>
      </w:r>
      <w:r w:rsidR="00D542F9">
        <w:rPr>
          <w:rFonts w:cstheme="minorHAnsi"/>
          <w:sz w:val="24"/>
          <w:szCs w:val="24"/>
        </w:rPr>
        <w:t>s</w:t>
      </w:r>
      <w:r w:rsidRPr="00074904">
        <w:rPr>
          <w:rFonts w:cstheme="minorHAnsi"/>
          <w:sz w:val="24"/>
          <w:szCs w:val="24"/>
        </w:rPr>
        <w:t xml:space="preserve">. Due to the wealth of data the LSAC provides, the incorporation of this evidence into preventative strategies is crucial.      </w:t>
      </w:r>
    </w:p>
    <w:p w14:paraId="0D74AE79" w14:textId="77777777" w:rsidR="00BC3915" w:rsidRPr="00074904" w:rsidRDefault="00BC3915" w:rsidP="00BC3915">
      <w:pPr>
        <w:rPr>
          <w:rFonts w:cstheme="minorHAnsi"/>
          <w:b/>
          <w:sz w:val="24"/>
          <w:szCs w:val="24"/>
        </w:rPr>
      </w:pPr>
      <w:r w:rsidRPr="00074904">
        <w:rPr>
          <w:rFonts w:cstheme="minorHAnsi"/>
          <w:b/>
          <w:sz w:val="24"/>
          <w:szCs w:val="24"/>
        </w:rPr>
        <w:t>Suggestions for the Final Report:</w:t>
      </w:r>
    </w:p>
    <w:p w14:paraId="45BB4EED" w14:textId="6B2B60BA" w:rsidR="00BC3915" w:rsidRDefault="00BC3915" w:rsidP="00BC3915">
      <w:pPr>
        <w:pStyle w:val="ListParagraph"/>
        <w:numPr>
          <w:ilvl w:val="0"/>
          <w:numId w:val="15"/>
        </w:numPr>
        <w:rPr>
          <w:rFonts w:cstheme="minorHAnsi"/>
          <w:sz w:val="24"/>
          <w:szCs w:val="24"/>
        </w:rPr>
      </w:pPr>
      <w:r w:rsidRPr="00BC3915">
        <w:rPr>
          <w:rFonts w:cstheme="minorHAnsi"/>
          <w:sz w:val="24"/>
          <w:szCs w:val="24"/>
        </w:rPr>
        <w:t>The Commission’s recommendation should be expanded to ensure that evidence from the LSAC on the multiple drivers that effect student’</w:t>
      </w:r>
      <w:r w:rsidR="00D542F9">
        <w:rPr>
          <w:rFonts w:cstheme="minorHAnsi"/>
          <w:sz w:val="24"/>
          <w:szCs w:val="24"/>
        </w:rPr>
        <w:t>s</w:t>
      </w:r>
      <w:r w:rsidRPr="00BC3915">
        <w:rPr>
          <w:rFonts w:cstheme="minorHAnsi"/>
          <w:sz w:val="24"/>
          <w:szCs w:val="24"/>
        </w:rPr>
        <w:t xml:space="preserve"> mental health is integrated into preventative strategies.</w:t>
      </w:r>
    </w:p>
    <w:p w14:paraId="082423E0" w14:textId="77777777" w:rsidR="006458D6" w:rsidRPr="006458D6" w:rsidRDefault="006458D6" w:rsidP="006458D6">
      <w:pPr>
        <w:pStyle w:val="Heading2"/>
        <w:spacing w:before="0" w:line="240" w:lineRule="auto"/>
        <w:rPr>
          <w:bCs/>
        </w:rPr>
      </w:pPr>
    </w:p>
    <w:p w14:paraId="036499F0" w14:textId="77777777" w:rsidR="00EB74D1" w:rsidRDefault="00EB74D1">
      <w:pPr>
        <w:rPr>
          <w:rFonts w:asciiTheme="majorHAnsi" w:eastAsiaTheme="majorEastAsia" w:hAnsiTheme="majorHAnsi" w:cstheme="majorBidi"/>
          <w:bCs/>
          <w:color w:val="2E74B5" w:themeColor="accent1" w:themeShade="BF"/>
          <w:sz w:val="26"/>
          <w:szCs w:val="26"/>
        </w:rPr>
      </w:pPr>
      <w:r>
        <w:rPr>
          <w:bCs/>
        </w:rPr>
        <w:br w:type="page"/>
      </w:r>
    </w:p>
    <w:p w14:paraId="3B1170CB" w14:textId="21F3071D" w:rsidR="006458D6" w:rsidRDefault="006458D6" w:rsidP="006458D6">
      <w:pPr>
        <w:pStyle w:val="Heading2"/>
        <w:rPr>
          <w:bCs/>
        </w:rPr>
      </w:pPr>
      <w:bookmarkStart w:id="21" w:name="_Toc29197242"/>
      <w:r w:rsidRPr="006458D6">
        <w:rPr>
          <w:bCs/>
        </w:rPr>
        <w:lastRenderedPageBreak/>
        <w:t>Activities That Support the Mental Health and Wellbeing of Students</w:t>
      </w:r>
      <w:bookmarkEnd w:id="21"/>
    </w:p>
    <w:p w14:paraId="5546286F" w14:textId="77777777" w:rsidR="006458D6" w:rsidRDefault="006458D6" w:rsidP="006458D6">
      <w:pPr>
        <w:spacing w:after="0" w:line="240" w:lineRule="auto"/>
        <w:rPr>
          <w:rFonts w:cstheme="minorHAnsi"/>
          <w:sz w:val="24"/>
          <w:szCs w:val="24"/>
        </w:rPr>
      </w:pPr>
    </w:p>
    <w:p w14:paraId="6A17FA50" w14:textId="77777777" w:rsidR="00E0550D" w:rsidRDefault="00E0550D" w:rsidP="00E0550D">
      <w:pPr>
        <w:pStyle w:val="Heading3"/>
      </w:pPr>
      <w:bookmarkStart w:id="22" w:name="_Toc29197243"/>
      <w:r>
        <w:t>Counselling</w:t>
      </w:r>
      <w:bookmarkEnd w:id="22"/>
    </w:p>
    <w:p w14:paraId="2720FA28" w14:textId="4EFA0ED6" w:rsidR="006458D6" w:rsidRPr="006458D6" w:rsidRDefault="006458D6" w:rsidP="006458D6">
      <w:pPr>
        <w:spacing w:line="276" w:lineRule="auto"/>
        <w:rPr>
          <w:rFonts w:cstheme="minorHAnsi"/>
          <w:sz w:val="24"/>
          <w:szCs w:val="24"/>
        </w:rPr>
      </w:pPr>
      <w:r>
        <w:rPr>
          <w:rFonts w:cstheme="minorHAnsi"/>
          <w:sz w:val="24"/>
          <w:szCs w:val="24"/>
        </w:rPr>
        <w:t xml:space="preserve">At Information Request 3.1, the draft </w:t>
      </w:r>
      <w:r w:rsidRPr="006458D6">
        <w:rPr>
          <w:rFonts w:cstheme="minorHAnsi"/>
          <w:sz w:val="24"/>
          <w:szCs w:val="24"/>
        </w:rPr>
        <w:t xml:space="preserve">Report requests information or methodologies that would help in estimating the cost of activities undertaken by educational institutions in supporting mental health and wellbeing. Listed below are a range of activities undertaken in the university sector for which data would be available for calculating cost and cost-effectiveness. The importance of this range of initiatives is underscored by </w:t>
      </w:r>
      <w:r w:rsidRPr="006458D6">
        <w:rPr>
          <w:rFonts w:ascii="Calibri" w:hAnsi="Calibri"/>
          <w:sz w:val="24"/>
          <w:szCs w:val="24"/>
        </w:rPr>
        <w:t xml:space="preserve">research indicating high levels of psychological distress among university students worldwide, including in Australia. For example, research has found that </w:t>
      </w:r>
      <w:r w:rsidRPr="006458D6">
        <w:rPr>
          <w:sz w:val="24"/>
          <w:szCs w:val="24"/>
        </w:rPr>
        <w:t xml:space="preserve">84% of students from Australian universities report elevated levels of psychological distress, and that </w:t>
      </w:r>
      <w:r w:rsidRPr="006458D6">
        <w:rPr>
          <w:rFonts w:cs="Times New Roman"/>
          <w:sz w:val="24"/>
          <w:szCs w:val="24"/>
        </w:rPr>
        <w:t>the proportion of students reporting “very high” levels of psychological distress is significantly higher than in the general population (19% compared to 3%)</w:t>
      </w:r>
      <w:r w:rsidRPr="006458D6">
        <w:rPr>
          <w:sz w:val="24"/>
          <w:szCs w:val="24"/>
        </w:rPr>
        <w:t xml:space="preserve"> (Stallman, 2010).</w:t>
      </w:r>
    </w:p>
    <w:p w14:paraId="1FB8E6C3" w14:textId="77777777" w:rsidR="006458D6" w:rsidRDefault="006458D6" w:rsidP="006458D6">
      <w:pPr>
        <w:spacing w:line="276" w:lineRule="auto"/>
        <w:rPr>
          <w:rFonts w:eastAsia="Times New Roman" w:cs="Times New Roman"/>
          <w:sz w:val="24"/>
          <w:szCs w:val="24"/>
        </w:rPr>
      </w:pPr>
      <w:r w:rsidRPr="006458D6">
        <w:rPr>
          <w:rFonts w:cstheme="minorHAnsi"/>
          <w:sz w:val="24"/>
          <w:szCs w:val="24"/>
        </w:rPr>
        <w:t xml:space="preserve">The most common approach to supporting the mental health and wellbeing of university students is via </w:t>
      </w:r>
      <w:r w:rsidRPr="006458D6">
        <w:rPr>
          <w:rFonts w:cstheme="minorHAnsi"/>
          <w:i/>
          <w:sz w:val="24"/>
          <w:szCs w:val="24"/>
        </w:rPr>
        <w:t>student counselling services</w:t>
      </w:r>
      <w:r w:rsidRPr="006458D6">
        <w:rPr>
          <w:rFonts w:cstheme="minorHAnsi"/>
          <w:sz w:val="24"/>
          <w:szCs w:val="24"/>
        </w:rPr>
        <w:t xml:space="preserve">. Data indicate that these services are unable to meet the mental health needs of students (Stallman, 2012), and compare unfavourably with international standards, with key problems including </w:t>
      </w:r>
      <w:r w:rsidRPr="006458D6">
        <w:rPr>
          <w:rFonts w:eastAsia="Times New Roman" w:cs="Times New Roman"/>
          <w:color w:val="1C1D1E"/>
          <w:sz w:val="24"/>
          <w:szCs w:val="24"/>
          <w:shd w:val="clear" w:color="auto" w:fill="FFFFFF"/>
        </w:rPr>
        <w:t>very high counsellor to student ratios, lower average number of consultations per student, and lower mental health qualifications of counsellors.</w:t>
      </w:r>
      <w:r w:rsidRPr="006458D6">
        <w:rPr>
          <w:rFonts w:eastAsia="Times New Roman" w:cs="Times New Roman"/>
          <w:sz w:val="24"/>
          <w:szCs w:val="24"/>
        </w:rPr>
        <w:t xml:space="preserve"> </w:t>
      </w:r>
    </w:p>
    <w:p w14:paraId="6F432B8B" w14:textId="00CD6994" w:rsidR="006458D6" w:rsidRPr="00074904" w:rsidRDefault="006458D6" w:rsidP="006458D6">
      <w:pPr>
        <w:rPr>
          <w:rFonts w:cstheme="minorHAnsi"/>
          <w:b/>
          <w:sz w:val="24"/>
          <w:szCs w:val="24"/>
        </w:rPr>
      </w:pPr>
      <w:r w:rsidRPr="00074904">
        <w:rPr>
          <w:rFonts w:cstheme="minorHAnsi"/>
          <w:b/>
          <w:sz w:val="24"/>
          <w:szCs w:val="24"/>
        </w:rPr>
        <w:t>Suggestions for the Final Report:</w:t>
      </w:r>
    </w:p>
    <w:p w14:paraId="1D4DE7F4" w14:textId="35358D68" w:rsidR="006458D6" w:rsidRPr="006458D6" w:rsidRDefault="006458D6" w:rsidP="006458D6">
      <w:pPr>
        <w:pStyle w:val="ListParagraph"/>
        <w:numPr>
          <w:ilvl w:val="0"/>
          <w:numId w:val="15"/>
        </w:numPr>
        <w:spacing w:line="276" w:lineRule="auto"/>
        <w:rPr>
          <w:rFonts w:eastAsia="Times New Roman" w:cs="Times New Roman"/>
          <w:sz w:val="24"/>
          <w:szCs w:val="24"/>
        </w:rPr>
      </w:pPr>
      <w:r>
        <w:rPr>
          <w:rFonts w:cstheme="minorHAnsi"/>
          <w:sz w:val="24"/>
          <w:szCs w:val="24"/>
        </w:rPr>
        <w:t>W</w:t>
      </w:r>
      <w:r w:rsidRPr="006458D6">
        <w:rPr>
          <w:rFonts w:cstheme="minorHAnsi"/>
          <w:sz w:val="24"/>
          <w:szCs w:val="24"/>
        </w:rPr>
        <w:t xml:space="preserve">e strongly support the Report’s </w:t>
      </w:r>
      <w:r>
        <w:rPr>
          <w:rFonts w:cstheme="minorHAnsi"/>
          <w:sz w:val="24"/>
          <w:szCs w:val="24"/>
        </w:rPr>
        <w:t>d</w:t>
      </w:r>
      <w:r w:rsidRPr="006458D6">
        <w:rPr>
          <w:rFonts w:cstheme="minorHAnsi"/>
          <w:sz w:val="24"/>
          <w:szCs w:val="24"/>
        </w:rPr>
        <w:t xml:space="preserve">raft </w:t>
      </w:r>
      <w:r>
        <w:rPr>
          <w:rFonts w:cstheme="minorHAnsi"/>
          <w:sz w:val="24"/>
          <w:szCs w:val="24"/>
        </w:rPr>
        <w:t>r</w:t>
      </w:r>
      <w:r w:rsidRPr="006458D6">
        <w:rPr>
          <w:rFonts w:cstheme="minorHAnsi"/>
          <w:sz w:val="24"/>
          <w:szCs w:val="24"/>
        </w:rPr>
        <w:t xml:space="preserve">ecommendation 18.2 targeting student mental health and wellbeing in tertiary education </w:t>
      </w:r>
      <w:r w:rsidR="00CE1CFC" w:rsidRPr="006458D6">
        <w:rPr>
          <w:rFonts w:cstheme="minorHAnsi"/>
          <w:sz w:val="24"/>
          <w:szCs w:val="24"/>
        </w:rPr>
        <w:t>institutions but</w:t>
      </w:r>
      <w:r w:rsidRPr="006458D6">
        <w:rPr>
          <w:rFonts w:cstheme="minorHAnsi"/>
          <w:sz w:val="24"/>
          <w:szCs w:val="24"/>
        </w:rPr>
        <w:t xml:space="preserve"> would request the inclusion of strategies for the appropriate resourcing of student counselling services.</w:t>
      </w:r>
    </w:p>
    <w:p w14:paraId="7419D865" w14:textId="66AFCD5A" w:rsidR="00E0550D" w:rsidRDefault="00E0550D" w:rsidP="00E0550D">
      <w:pPr>
        <w:pStyle w:val="Heading3"/>
      </w:pPr>
      <w:bookmarkStart w:id="23" w:name="_Toc29197244"/>
      <w:r>
        <w:t>Uni Clinic and Online Services</w:t>
      </w:r>
      <w:bookmarkEnd w:id="23"/>
    </w:p>
    <w:p w14:paraId="67D3D241" w14:textId="2D856B0D" w:rsidR="00926BBC" w:rsidRDefault="006458D6" w:rsidP="006458D6">
      <w:pPr>
        <w:spacing w:line="276" w:lineRule="auto"/>
        <w:rPr>
          <w:rFonts w:cstheme="minorHAnsi"/>
          <w:sz w:val="24"/>
          <w:szCs w:val="24"/>
        </w:rPr>
      </w:pPr>
      <w:r w:rsidRPr="006458D6">
        <w:rPr>
          <w:rFonts w:cstheme="minorHAnsi"/>
          <w:sz w:val="24"/>
          <w:szCs w:val="24"/>
        </w:rPr>
        <w:t xml:space="preserve">In addition to student counselling services, those universities offering postgraduate programs in clinical psychology will typically have </w:t>
      </w:r>
      <w:r w:rsidRPr="006458D6">
        <w:rPr>
          <w:rFonts w:cstheme="minorHAnsi"/>
          <w:i/>
          <w:sz w:val="24"/>
          <w:szCs w:val="24"/>
        </w:rPr>
        <w:t>Psychology Clinics</w:t>
      </w:r>
      <w:r w:rsidRPr="006458D6">
        <w:rPr>
          <w:rFonts w:cstheme="minorHAnsi"/>
          <w:sz w:val="24"/>
          <w:szCs w:val="24"/>
        </w:rPr>
        <w:t xml:space="preserve"> that function as placements for provisional psychologists to develop their clinical skills. University students comprise a significant proportion of the clients seen in these clinics, which </w:t>
      </w:r>
      <w:r w:rsidR="00CE1CFC" w:rsidRPr="006458D6">
        <w:rPr>
          <w:rFonts w:cstheme="minorHAnsi"/>
          <w:sz w:val="24"/>
          <w:szCs w:val="24"/>
        </w:rPr>
        <w:t>can</w:t>
      </w:r>
      <w:r w:rsidRPr="006458D6">
        <w:rPr>
          <w:rFonts w:cstheme="minorHAnsi"/>
          <w:sz w:val="24"/>
          <w:szCs w:val="24"/>
        </w:rPr>
        <w:t xml:space="preserve"> provide cost-effective care since clients are seen by provisional psychologists (under the close supervision of experienced clinical psychologists). </w:t>
      </w:r>
    </w:p>
    <w:p w14:paraId="01FE4191" w14:textId="77777777" w:rsidR="003440C3" w:rsidRDefault="006458D6" w:rsidP="006458D6">
      <w:pPr>
        <w:spacing w:line="276" w:lineRule="auto"/>
        <w:rPr>
          <w:rFonts w:ascii="Calibri" w:hAnsi="Calibri"/>
          <w:color w:val="000000"/>
          <w:sz w:val="24"/>
          <w:szCs w:val="24"/>
        </w:rPr>
      </w:pPr>
      <w:r w:rsidRPr="006458D6">
        <w:rPr>
          <w:rFonts w:cstheme="minorHAnsi"/>
          <w:sz w:val="24"/>
          <w:szCs w:val="24"/>
        </w:rPr>
        <w:t xml:space="preserve">As an example, the Psychology Clinic at the Australian National University (ANU) offers individual assessment and treatment for key issues affecting the student population, </w:t>
      </w:r>
      <w:r w:rsidRPr="006458D6">
        <w:rPr>
          <w:rFonts w:ascii="Calibri" w:hAnsi="Calibri"/>
          <w:color w:val="000000"/>
          <w:sz w:val="24"/>
          <w:szCs w:val="24"/>
        </w:rPr>
        <w:t xml:space="preserve">such as depressive disorders, anxiety disorders, psychotic disorders, bipolar disorders, substance-related disorders, eating disorders, personality disorders, somatic symptom disorder, interpersonal difficulties, grief, university transition and work-related stress, procrastination, perfectionism, identity concerns, self-harm, and sleep difficulties. </w:t>
      </w:r>
    </w:p>
    <w:p w14:paraId="5B01EC43" w14:textId="77777777" w:rsidR="003440C3" w:rsidRDefault="003440C3" w:rsidP="006458D6">
      <w:pPr>
        <w:spacing w:line="276" w:lineRule="auto"/>
        <w:rPr>
          <w:rFonts w:ascii="Calibri" w:hAnsi="Calibri"/>
          <w:color w:val="000000"/>
          <w:sz w:val="24"/>
          <w:szCs w:val="24"/>
        </w:rPr>
      </w:pPr>
    </w:p>
    <w:p w14:paraId="6527AD81" w14:textId="12261BB7" w:rsidR="00926BBC" w:rsidRDefault="006458D6" w:rsidP="006458D6">
      <w:pPr>
        <w:spacing w:line="276" w:lineRule="auto"/>
        <w:rPr>
          <w:rFonts w:cstheme="minorHAnsi"/>
          <w:sz w:val="24"/>
          <w:szCs w:val="24"/>
        </w:rPr>
      </w:pPr>
      <w:r w:rsidRPr="006458D6">
        <w:rPr>
          <w:rFonts w:cstheme="minorHAnsi"/>
          <w:sz w:val="24"/>
          <w:szCs w:val="24"/>
        </w:rPr>
        <w:lastRenderedPageBreak/>
        <w:t xml:space="preserve">Further broadening the reach of access to evidence-based approaches, the ANU Psychology Clinic offers </w:t>
      </w:r>
      <w:r w:rsidRPr="006458D6">
        <w:rPr>
          <w:rFonts w:ascii="Calibri" w:hAnsi="Calibri"/>
          <w:color w:val="000000"/>
          <w:sz w:val="24"/>
          <w:szCs w:val="24"/>
        </w:rPr>
        <w:t xml:space="preserve">skills-based group programs specifically targeting students including a Mood Management group, a Social Success group, a Sleep group, and an Emotional Regulation group. </w:t>
      </w:r>
      <w:r w:rsidRPr="006458D6">
        <w:rPr>
          <w:rFonts w:cstheme="minorHAnsi"/>
          <w:sz w:val="24"/>
          <w:szCs w:val="24"/>
        </w:rPr>
        <w:t xml:space="preserve">Broadening the reach of access to mental health and wellbeing support even further, the ANU Psychology Clinic has recently expanded to offer an e-Therapy Clinic designed to provide Psychological Treatments via video conferencing to remote areas of southern NSW. Services are provided through primary health networks and closely aligned with the Rural Clinical School of the ANU Medical School. Interventions focus on treating high prevalence conditions (e.g., anxiety and mood disorders) with mild to moderate severity/complexity. As such, these efforts go some distance to offering services to the underserviced sector of the Australian population labelled as the “missing middle” in the Report. Moreover, this initiative is also supporting recommendations by the Report that greater capacity for appropriate online access to clinical services be enhanced. </w:t>
      </w:r>
    </w:p>
    <w:p w14:paraId="0A5ACA39" w14:textId="77777777" w:rsidR="00926BBC" w:rsidRDefault="006458D6" w:rsidP="006458D6">
      <w:pPr>
        <w:spacing w:line="276" w:lineRule="auto"/>
        <w:rPr>
          <w:rFonts w:cstheme="minorHAnsi"/>
          <w:sz w:val="24"/>
          <w:szCs w:val="24"/>
        </w:rPr>
      </w:pPr>
      <w:r w:rsidRPr="006458D6">
        <w:rPr>
          <w:rFonts w:cstheme="minorHAnsi"/>
          <w:sz w:val="24"/>
          <w:szCs w:val="24"/>
        </w:rPr>
        <w:t xml:space="preserve">A key contribution in this regard is not only service provision, but the robust training of psychology students to understand the unique skills and challenges of delivering services remotely and online as well as the unique aspects of remote mental health. </w:t>
      </w:r>
    </w:p>
    <w:p w14:paraId="32923D01" w14:textId="77777777" w:rsidR="00926BBC" w:rsidRPr="00074904" w:rsidRDefault="00926BBC" w:rsidP="00926BBC">
      <w:pPr>
        <w:rPr>
          <w:rFonts w:cstheme="minorHAnsi"/>
          <w:b/>
          <w:sz w:val="24"/>
          <w:szCs w:val="24"/>
        </w:rPr>
      </w:pPr>
      <w:r w:rsidRPr="00074904">
        <w:rPr>
          <w:rFonts w:cstheme="minorHAnsi"/>
          <w:b/>
          <w:sz w:val="24"/>
          <w:szCs w:val="24"/>
        </w:rPr>
        <w:t>Suggestions for the Final Report:</w:t>
      </w:r>
    </w:p>
    <w:p w14:paraId="7EAD258F" w14:textId="66593155" w:rsidR="00926BBC" w:rsidRPr="00926BBC" w:rsidRDefault="00926BBC" w:rsidP="00926BBC">
      <w:pPr>
        <w:pStyle w:val="ListParagraph"/>
        <w:numPr>
          <w:ilvl w:val="0"/>
          <w:numId w:val="15"/>
        </w:numPr>
        <w:spacing w:line="276" w:lineRule="auto"/>
        <w:rPr>
          <w:rFonts w:cstheme="minorHAnsi"/>
          <w:sz w:val="24"/>
          <w:szCs w:val="24"/>
        </w:rPr>
      </w:pPr>
      <w:r w:rsidRPr="00926BBC">
        <w:rPr>
          <w:rFonts w:cstheme="minorHAnsi"/>
          <w:sz w:val="24"/>
          <w:szCs w:val="24"/>
        </w:rPr>
        <w:t xml:space="preserve">In this vein, </w:t>
      </w:r>
      <w:r w:rsidR="00E0550D">
        <w:rPr>
          <w:rFonts w:cstheme="minorHAnsi"/>
          <w:sz w:val="24"/>
          <w:szCs w:val="24"/>
        </w:rPr>
        <w:t xml:space="preserve">in addition to draft recommendation 6.1, we suggest </w:t>
      </w:r>
      <w:r w:rsidRPr="00926BBC">
        <w:rPr>
          <w:rFonts w:cstheme="minorHAnsi"/>
          <w:sz w:val="24"/>
          <w:szCs w:val="24"/>
        </w:rPr>
        <w:t xml:space="preserve">the Report also highlight the need for both electronic mental health services </w:t>
      </w:r>
      <w:r w:rsidRPr="00926BBC">
        <w:rPr>
          <w:rFonts w:cstheme="minorHAnsi"/>
          <w:i/>
          <w:sz w:val="24"/>
          <w:szCs w:val="24"/>
        </w:rPr>
        <w:t xml:space="preserve">and </w:t>
      </w:r>
      <w:r w:rsidRPr="00926BBC">
        <w:rPr>
          <w:rFonts w:cstheme="minorHAnsi"/>
          <w:sz w:val="24"/>
          <w:szCs w:val="24"/>
        </w:rPr>
        <w:t xml:space="preserve">robust training in the provision of </w:t>
      </w:r>
      <w:r w:rsidR="00E0550D">
        <w:rPr>
          <w:rFonts w:cstheme="minorHAnsi"/>
          <w:sz w:val="24"/>
          <w:szCs w:val="24"/>
        </w:rPr>
        <w:t>online services.</w:t>
      </w:r>
    </w:p>
    <w:p w14:paraId="17574380" w14:textId="77777777" w:rsidR="00E0550D" w:rsidRDefault="00E0550D" w:rsidP="00E0550D">
      <w:pPr>
        <w:pStyle w:val="Heading3"/>
      </w:pPr>
      <w:bookmarkStart w:id="24" w:name="_Toc29197245"/>
      <w:r>
        <w:t>Courses</w:t>
      </w:r>
      <w:bookmarkEnd w:id="24"/>
    </w:p>
    <w:p w14:paraId="3874AD64" w14:textId="322C0046" w:rsidR="006458D6" w:rsidRPr="006458D6" w:rsidRDefault="006458D6" w:rsidP="006458D6">
      <w:pPr>
        <w:spacing w:line="276" w:lineRule="auto"/>
        <w:rPr>
          <w:rFonts w:cstheme="minorHAnsi"/>
          <w:sz w:val="24"/>
          <w:szCs w:val="24"/>
        </w:rPr>
      </w:pPr>
      <w:r w:rsidRPr="006458D6">
        <w:rPr>
          <w:rFonts w:cstheme="minorHAnsi"/>
          <w:sz w:val="24"/>
          <w:szCs w:val="24"/>
        </w:rPr>
        <w:t xml:space="preserve">In addition to clinical service delivery, some universities include </w:t>
      </w:r>
      <w:r w:rsidRPr="006458D6">
        <w:rPr>
          <w:rFonts w:cstheme="minorHAnsi"/>
          <w:i/>
          <w:sz w:val="24"/>
          <w:szCs w:val="24"/>
        </w:rPr>
        <w:t>academic courses</w:t>
      </w:r>
      <w:r w:rsidRPr="006458D6">
        <w:rPr>
          <w:rFonts w:cstheme="minorHAnsi"/>
          <w:sz w:val="24"/>
          <w:szCs w:val="24"/>
        </w:rPr>
        <w:t xml:space="preserve"> designed to specifically target student mental health and wellbeing. For example, the Research School of Psychology at the ANU offers a course entitled “The Wellbeing Formula: </w:t>
      </w:r>
      <w:r w:rsidRPr="006458D6">
        <w:rPr>
          <w:rFonts w:ascii="Calibri" w:hAnsi="Calibri"/>
          <w:sz w:val="24"/>
          <w:szCs w:val="24"/>
        </w:rPr>
        <w:t>The Science and Practice of Making a Good Life</w:t>
      </w:r>
      <w:r w:rsidRPr="006458D6">
        <w:rPr>
          <w:rFonts w:ascii="Calibri" w:hAnsi="Calibri"/>
          <w:color w:val="000000"/>
          <w:sz w:val="24"/>
          <w:szCs w:val="24"/>
        </w:rPr>
        <w:t xml:space="preserve">” (PSYC1005). </w:t>
      </w:r>
      <w:r w:rsidRPr="006458D6">
        <w:rPr>
          <w:rFonts w:ascii="Calibri" w:hAnsi="Calibri"/>
          <w:sz w:val="24"/>
          <w:szCs w:val="24"/>
        </w:rPr>
        <w:t xml:space="preserve">The rationale for this course’s introduction was explicitly to provide an additional strategy to enhance student wellbeing, especially in the context of the </w:t>
      </w:r>
      <w:r w:rsidR="00CE1CFC" w:rsidRPr="006458D6">
        <w:rPr>
          <w:rFonts w:ascii="Calibri" w:hAnsi="Calibri"/>
          <w:sz w:val="24"/>
          <w:szCs w:val="24"/>
        </w:rPr>
        <w:t>overstretched</w:t>
      </w:r>
      <w:r w:rsidRPr="006458D6">
        <w:rPr>
          <w:rFonts w:ascii="Calibri" w:hAnsi="Calibri"/>
          <w:sz w:val="24"/>
          <w:szCs w:val="24"/>
        </w:rPr>
        <w:t xml:space="preserve"> student counselling services in Australian universities (Stallman, 2012). Specifically, the knowledge and practical skills taught in the course are designed to support student wellbeing using evidence-based strategies. This course has been comprehensively evaluated using both quantitative and qualitative approaches, which can contribute to establishing its cost-effectiveness.</w:t>
      </w:r>
    </w:p>
    <w:p w14:paraId="6515033C" w14:textId="77777777" w:rsidR="00EA1199" w:rsidRDefault="00EA1199">
      <w:pPr>
        <w:rPr>
          <w:rFonts w:asciiTheme="majorHAnsi" w:eastAsiaTheme="majorEastAsia" w:hAnsiTheme="majorHAnsi" w:cstheme="majorBidi"/>
          <w:color w:val="2E74B5" w:themeColor="accent1" w:themeShade="BF"/>
          <w:sz w:val="26"/>
          <w:szCs w:val="26"/>
        </w:rPr>
      </w:pPr>
      <w:r>
        <w:br w:type="page"/>
      </w:r>
    </w:p>
    <w:p w14:paraId="2A397502" w14:textId="643BCC2F" w:rsidR="00AA68C9" w:rsidRPr="00074904" w:rsidRDefault="00AA68C9" w:rsidP="0041162A">
      <w:pPr>
        <w:pStyle w:val="Heading2"/>
      </w:pPr>
      <w:bookmarkStart w:id="25" w:name="_Toc29197246"/>
      <w:r w:rsidRPr="00074904">
        <w:lastRenderedPageBreak/>
        <w:t>Psychological health and safety in workplace health and safety</w:t>
      </w:r>
      <w:r w:rsidR="0041162A">
        <w:t xml:space="preserve"> (WHS)</w:t>
      </w:r>
      <w:r w:rsidRPr="00074904">
        <w:t xml:space="preserve"> laws</w:t>
      </w:r>
      <w:bookmarkEnd w:id="25"/>
      <w:r w:rsidRPr="00074904">
        <w:t xml:space="preserve"> </w:t>
      </w:r>
    </w:p>
    <w:p w14:paraId="466D1519" w14:textId="77777777" w:rsidR="0041162A" w:rsidRDefault="0041162A" w:rsidP="0041162A">
      <w:pPr>
        <w:spacing w:after="0" w:line="240" w:lineRule="auto"/>
        <w:rPr>
          <w:rFonts w:cstheme="minorHAnsi"/>
          <w:sz w:val="24"/>
          <w:szCs w:val="24"/>
        </w:rPr>
      </w:pPr>
    </w:p>
    <w:p w14:paraId="546F269F" w14:textId="77777777" w:rsidR="009242D9" w:rsidRDefault="009242D9" w:rsidP="009242D9">
      <w:pPr>
        <w:rPr>
          <w:rFonts w:cstheme="minorHAnsi"/>
          <w:sz w:val="24"/>
          <w:szCs w:val="24"/>
        </w:rPr>
      </w:pPr>
      <w:r>
        <w:rPr>
          <w:rFonts w:cstheme="minorHAnsi"/>
          <w:sz w:val="24"/>
          <w:szCs w:val="24"/>
        </w:rPr>
        <w:t xml:space="preserve">These comments relate to recommendation 19.1. </w:t>
      </w:r>
    </w:p>
    <w:p w14:paraId="4729965A" w14:textId="77777777" w:rsidR="009242D9" w:rsidRDefault="009242D9" w:rsidP="009242D9">
      <w:pPr>
        <w:rPr>
          <w:rFonts w:cstheme="minorHAnsi"/>
          <w:sz w:val="24"/>
          <w:szCs w:val="24"/>
        </w:rPr>
      </w:pPr>
      <w:r w:rsidRPr="00074904">
        <w:rPr>
          <w:rFonts w:cstheme="minorHAnsi"/>
          <w:sz w:val="24"/>
          <w:szCs w:val="24"/>
        </w:rPr>
        <w:t>Psychosocial aspects of work are strongly associated with mental health. Psychosocial job characteristics include high job strain (i.e. a combination of high work demands/intensity concurrent with low autonomy at work), inadequate supervisor support, low job security (e.g. precarious work and underemployment), non-standard work schedules, long work hours</w:t>
      </w:r>
      <w:r>
        <w:rPr>
          <w:rFonts w:cstheme="minorHAnsi"/>
          <w:sz w:val="24"/>
          <w:szCs w:val="24"/>
        </w:rPr>
        <w:t>, workloads and work pressure</w:t>
      </w:r>
      <w:r w:rsidRPr="00074904">
        <w:rPr>
          <w:rFonts w:cstheme="minorHAnsi"/>
          <w:sz w:val="24"/>
          <w:szCs w:val="24"/>
        </w:rPr>
        <w:t xml:space="preserve"> and workplace bullying (Harvey et al., 2017; Stansfeld &amp; Candy, 2006). </w:t>
      </w:r>
    </w:p>
    <w:p w14:paraId="2179C673" w14:textId="77777777" w:rsidR="009242D9" w:rsidRDefault="009242D9" w:rsidP="009242D9">
      <w:pPr>
        <w:rPr>
          <w:rFonts w:cstheme="minorHAnsi"/>
          <w:sz w:val="24"/>
          <w:szCs w:val="24"/>
        </w:rPr>
      </w:pPr>
      <w:r w:rsidRPr="00074904">
        <w:rPr>
          <w:rFonts w:cstheme="minorHAnsi"/>
          <w:sz w:val="24"/>
          <w:szCs w:val="24"/>
        </w:rPr>
        <w:t xml:space="preserve">For example, workplace bullying is common in Australia with 7% of employees reporting current bullying and almost 50% reporting that they have been bullied at some point in their working life (Butterworth, Leach, &amp; Kiely, 2016). </w:t>
      </w:r>
    </w:p>
    <w:p w14:paraId="57BEF5C1" w14:textId="77777777" w:rsidR="009242D9" w:rsidRDefault="009242D9" w:rsidP="009242D9">
      <w:pPr>
        <w:rPr>
          <w:rFonts w:cstheme="minorHAnsi"/>
          <w:sz w:val="24"/>
          <w:szCs w:val="24"/>
        </w:rPr>
      </w:pPr>
      <w:r w:rsidRPr="00074904">
        <w:rPr>
          <w:rFonts w:cstheme="minorHAnsi"/>
          <w:sz w:val="24"/>
          <w:szCs w:val="24"/>
        </w:rPr>
        <w:t xml:space="preserve">Bullying is associated with 2-3-fold increases in anxiety and depression (Butterworth et al., 2016) and there is evidence of an association with suicidal ideation (Leach, Poyser, &amp; Butterworth, 2017). </w:t>
      </w:r>
    </w:p>
    <w:p w14:paraId="53E6CDFF" w14:textId="77777777" w:rsidR="009242D9" w:rsidRPr="007D10E3" w:rsidRDefault="009242D9" w:rsidP="009242D9">
      <w:pPr>
        <w:rPr>
          <w:rFonts w:cstheme="minorHAnsi"/>
          <w:sz w:val="24"/>
          <w:szCs w:val="24"/>
        </w:rPr>
      </w:pPr>
      <w:r w:rsidRPr="007D10E3">
        <w:rPr>
          <w:rFonts w:cstheme="minorHAnsi"/>
          <w:sz w:val="24"/>
          <w:szCs w:val="24"/>
        </w:rPr>
        <w:t xml:space="preserve">Long hours and excessive workloads are a major factor underlying burnout, low back pain and musculoskeletal injuries. </w:t>
      </w:r>
      <w:r w:rsidRPr="00AF43C7">
        <w:rPr>
          <w:rFonts w:cstheme="minorHAnsi"/>
          <w:sz w:val="24"/>
          <w:szCs w:val="24"/>
          <w:lang w:val="en-US"/>
        </w:rPr>
        <w:t>LaMontagne et al. 2008 found that the combination of excessive workloads and lack of autonomy (job strain) accounted 13.2% of depression rates among employed men [95% CI 1.1, 28.1] and 17.2% [95% CI 1.5, 34.9] among employed women. Estimation of job strain–attributable cases (21,437) versus "mental stress" compensation claims (696) suggest that claims statistics underestimate job strain–attributable depression by roughly 30-fold. Job strain and associated depression risks represent a substantial, preventable, and inequitably distributed public health problem. The social patterning of job strain-attributable depression parallels the social patterning of mental illness, suggesting that job strain is an important contributor to mental health inequalities.</w:t>
      </w:r>
    </w:p>
    <w:p w14:paraId="58798428" w14:textId="77777777" w:rsidR="009242D9" w:rsidRPr="00074904" w:rsidRDefault="009242D9" w:rsidP="009242D9">
      <w:pPr>
        <w:rPr>
          <w:rFonts w:cstheme="minorHAnsi"/>
          <w:sz w:val="24"/>
          <w:szCs w:val="24"/>
        </w:rPr>
      </w:pPr>
      <w:r>
        <w:rPr>
          <w:rFonts w:cstheme="minorHAnsi"/>
          <w:sz w:val="24"/>
          <w:szCs w:val="24"/>
        </w:rPr>
        <w:t xml:space="preserve">Currently WHS efforts take a reactive stance on psychosocial hazards. They usually respond to psychosocial hazards after they create an injury or claim.  There is no preventative strategy, or clear guidance on when psychosocial risks in the workplace become hazardous </w:t>
      </w:r>
      <w:r w:rsidRPr="00074904">
        <w:rPr>
          <w:rFonts w:cstheme="minorHAnsi"/>
          <w:sz w:val="24"/>
          <w:szCs w:val="24"/>
        </w:rPr>
        <w:t xml:space="preserve">Managers and supervisors, regulators and unions lack guidance on assessing or </w:t>
      </w:r>
      <w:r>
        <w:rPr>
          <w:rFonts w:cstheme="minorHAnsi"/>
          <w:sz w:val="24"/>
          <w:szCs w:val="24"/>
        </w:rPr>
        <w:t>preventing</w:t>
      </w:r>
      <w:r w:rsidRPr="00074904">
        <w:rPr>
          <w:rFonts w:cstheme="minorHAnsi"/>
          <w:sz w:val="24"/>
          <w:szCs w:val="24"/>
        </w:rPr>
        <w:t xml:space="preserve"> psychosocial hazards.</w:t>
      </w:r>
    </w:p>
    <w:p w14:paraId="48CFC82D" w14:textId="77777777" w:rsidR="009242D9" w:rsidRPr="00074904" w:rsidRDefault="009242D9" w:rsidP="009242D9">
      <w:pPr>
        <w:rPr>
          <w:rFonts w:cstheme="minorHAnsi"/>
          <w:sz w:val="24"/>
          <w:szCs w:val="24"/>
        </w:rPr>
      </w:pPr>
      <w:r w:rsidRPr="00074904">
        <w:rPr>
          <w:rFonts w:cstheme="minorHAnsi"/>
          <w:sz w:val="24"/>
          <w:szCs w:val="24"/>
        </w:rPr>
        <w:t>In order to address some of these concerns, a recent review</w:t>
      </w:r>
      <w:r>
        <w:rPr>
          <w:rFonts w:cstheme="minorHAnsi"/>
          <w:sz w:val="24"/>
          <w:szCs w:val="24"/>
        </w:rPr>
        <w:t xml:space="preserve"> (Boland 2018)</w:t>
      </w:r>
      <w:r w:rsidRPr="00074904">
        <w:rPr>
          <w:rFonts w:cstheme="minorHAnsi"/>
          <w:sz w:val="24"/>
          <w:szCs w:val="24"/>
        </w:rPr>
        <w:t xml:space="preserve"> </w:t>
      </w:r>
      <w:r>
        <w:rPr>
          <w:rFonts w:cstheme="minorHAnsi"/>
          <w:sz w:val="24"/>
          <w:szCs w:val="24"/>
        </w:rPr>
        <w:t>recommended</w:t>
      </w:r>
      <w:r w:rsidRPr="00074904">
        <w:rPr>
          <w:rFonts w:cstheme="minorHAnsi"/>
          <w:sz w:val="24"/>
          <w:szCs w:val="24"/>
        </w:rPr>
        <w:t xml:space="preserve"> to: </w:t>
      </w:r>
    </w:p>
    <w:p w14:paraId="663F316C" w14:textId="77777777" w:rsidR="009242D9" w:rsidRPr="0041162A" w:rsidRDefault="009242D9" w:rsidP="009242D9">
      <w:pPr>
        <w:ind w:left="720"/>
        <w:rPr>
          <w:rFonts w:cstheme="minorHAnsi"/>
          <w:i/>
          <w:iCs/>
          <w:sz w:val="24"/>
          <w:szCs w:val="24"/>
        </w:rPr>
      </w:pPr>
      <w:r w:rsidRPr="0041162A">
        <w:rPr>
          <w:rFonts w:cstheme="minorHAnsi"/>
          <w:i/>
          <w:iCs/>
          <w:sz w:val="24"/>
          <w:szCs w:val="24"/>
        </w:rPr>
        <w:t>Amend the model WHS Regulations to deal with how to identify the psychosocial risks associated with psychological injury and the appropriate control measures to manage those risks.</w:t>
      </w:r>
    </w:p>
    <w:p w14:paraId="501BD936" w14:textId="77777777" w:rsidR="00EA1199" w:rsidRDefault="00EA1199">
      <w:pPr>
        <w:rPr>
          <w:rFonts w:cstheme="minorHAnsi"/>
          <w:b/>
          <w:bCs/>
          <w:sz w:val="24"/>
          <w:szCs w:val="24"/>
        </w:rPr>
      </w:pPr>
      <w:r>
        <w:rPr>
          <w:rFonts w:cstheme="minorHAnsi"/>
          <w:b/>
          <w:bCs/>
          <w:sz w:val="24"/>
          <w:szCs w:val="24"/>
        </w:rPr>
        <w:br w:type="page"/>
      </w:r>
    </w:p>
    <w:p w14:paraId="2157FC97" w14:textId="7229FEAB" w:rsidR="009242D9" w:rsidRPr="0041162A" w:rsidRDefault="009242D9" w:rsidP="009242D9">
      <w:pPr>
        <w:rPr>
          <w:rFonts w:cstheme="minorHAnsi"/>
          <w:b/>
          <w:bCs/>
          <w:sz w:val="24"/>
          <w:szCs w:val="24"/>
        </w:rPr>
      </w:pPr>
      <w:r w:rsidRPr="0041162A">
        <w:rPr>
          <w:rFonts w:cstheme="minorHAnsi"/>
          <w:b/>
          <w:bCs/>
          <w:sz w:val="24"/>
          <w:szCs w:val="24"/>
        </w:rPr>
        <w:lastRenderedPageBreak/>
        <w:t>Suggestions for the Final Report:</w:t>
      </w:r>
    </w:p>
    <w:p w14:paraId="4781E61A" w14:textId="77777777" w:rsidR="009242D9" w:rsidRPr="0041162A" w:rsidRDefault="009242D9" w:rsidP="009242D9">
      <w:pPr>
        <w:pStyle w:val="ListParagraph"/>
        <w:numPr>
          <w:ilvl w:val="0"/>
          <w:numId w:val="15"/>
        </w:numPr>
        <w:rPr>
          <w:rFonts w:cstheme="minorHAnsi"/>
          <w:sz w:val="24"/>
          <w:szCs w:val="24"/>
        </w:rPr>
      </w:pPr>
      <w:r>
        <w:rPr>
          <w:rFonts w:cstheme="minorHAnsi"/>
          <w:sz w:val="24"/>
          <w:szCs w:val="24"/>
        </w:rPr>
        <w:t>The final report of the PC Inquiry should consider adopting Boland’s recommendation, focusing on r</w:t>
      </w:r>
      <w:r w:rsidRPr="0041162A">
        <w:rPr>
          <w:rFonts w:cstheme="minorHAnsi"/>
          <w:sz w:val="24"/>
          <w:szCs w:val="24"/>
        </w:rPr>
        <w:t>educing psychosocial adversity at work via WHS regulations and guidelines</w:t>
      </w:r>
      <w:r>
        <w:rPr>
          <w:rFonts w:cstheme="minorHAnsi"/>
          <w:sz w:val="24"/>
          <w:szCs w:val="24"/>
        </w:rPr>
        <w:t>, taking a proactive and preventive stance to prevent injury and support workplaces to ensure workplaces are mentally healthy environments for Australians</w:t>
      </w:r>
      <w:r w:rsidRPr="0041162A">
        <w:rPr>
          <w:rFonts w:cstheme="minorHAnsi"/>
          <w:sz w:val="24"/>
          <w:szCs w:val="24"/>
        </w:rPr>
        <w:t>.</w:t>
      </w:r>
    </w:p>
    <w:p w14:paraId="3682F436" w14:textId="640D24E3" w:rsidR="008A4BD3" w:rsidRPr="00074904" w:rsidRDefault="002E354E" w:rsidP="002E354E">
      <w:pPr>
        <w:pStyle w:val="Heading1"/>
        <w:rPr>
          <w:rFonts w:asciiTheme="minorHAnsi" w:hAnsiTheme="minorHAnsi"/>
        </w:rPr>
      </w:pPr>
      <w:bookmarkStart w:id="26" w:name="_Toc29197247"/>
      <w:r>
        <w:t>Other Suggestions for the Final Report</w:t>
      </w:r>
      <w:bookmarkEnd w:id="26"/>
      <w:r w:rsidR="008A4BD3" w:rsidRPr="00074904">
        <w:rPr>
          <w:rFonts w:asciiTheme="minorHAnsi" w:hAnsiTheme="minorHAnsi"/>
        </w:rPr>
        <w:tab/>
        <w:t xml:space="preserve"> </w:t>
      </w:r>
    </w:p>
    <w:p w14:paraId="22A4CC61" w14:textId="77777777" w:rsidR="00FE72CF" w:rsidRDefault="00FE72CF" w:rsidP="00E25C64">
      <w:pPr>
        <w:pStyle w:val="Heading2"/>
        <w:spacing w:before="0" w:line="240" w:lineRule="auto"/>
      </w:pPr>
    </w:p>
    <w:p w14:paraId="56AF37A0" w14:textId="68CBE3B3" w:rsidR="008A4BD3" w:rsidRDefault="008A4BD3" w:rsidP="002E354E">
      <w:pPr>
        <w:pStyle w:val="Heading2"/>
      </w:pPr>
      <w:bookmarkStart w:id="27" w:name="_Toc29197248"/>
      <w:r w:rsidRPr="00074904">
        <w:t>Greater focus on young adults</w:t>
      </w:r>
      <w:bookmarkEnd w:id="27"/>
    </w:p>
    <w:p w14:paraId="70EB315A" w14:textId="77777777" w:rsidR="00FE72CF" w:rsidRPr="00FE72CF" w:rsidRDefault="00FE72CF" w:rsidP="00FE72CF">
      <w:pPr>
        <w:spacing w:after="0" w:line="240" w:lineRule="auto"/>
      </w:pPr>
    </w:p>
    <w:p w14:paraId="5DDF1078" w14:textId="3C91B52C" w:rsidR="00FE72CF" w:rsidRDefault="00FE72CF" w:rsidP="002E354E">
      <w:pPr>
        <w:rPr>
          <w:rFonts w:cstheme="minorHAnsi"/>
          <w:sz w:val="24"/>
          <w:szCs w:val="24"/>
        </w:rPr>
      </w:pPr>
      <w:r>
        <w:rPr>
          <w:rFonts w:cstheme="minorHAnsi"/>
          <w:sz w:val="24"/>
          <w:szCs w:val="24"/>
        </w:rPr>
        <w:t>We welcome the draft report’s focus and recommendations</w:t>
      </w:r>
      <w:r w:rsidR="009509CD">
        <w:rPr>
          <w:rFonts w:cstheme="minorHAnsi"/>
          <w:sz w:val="24"/>
          <w:szCs w:val="24"/>
        </w:rPr>
        <w:t xml:space="preserve"> in</w:t>
      </w:r>
      <w:r>
        <w:rPr>
          <w:rFonts w:cstheme="minorHAnsi"/>
          <w:sz w:val="24"/>
          <w:szCs w:val="24"/>
        </w:rPr>
        <w:t xml:space="preserve"> relation to </w:t>
      </w:r>
      <w:r w:rsidR="008A4BD3" w:rsidRPr="00074904">
        <w:rPr>
          <w:rFonts w:cstheme="minorHAnsi"/>
          <w:sz w:val="24"/>
          <w:szCs w:val="24"/>
        </w:rPr>
        <w:t xml:space="preserve">the prevention and intervention of young adults. However, we would encourage the government to place a greater emphasis on the prevention of mental health disorders of young adults to further strengthen the report. </w:t>
      </w:r>
    </w:p>
    <w:p w14:paraId="60C7AC9C" w14:textId="77777777" w:rsidR="00FE72CF" w:rsidRDefault="008A4BD3" w:rsidP="002E354E">
      <w:pPr>
        <w:rPr>
          <w:rFonts w:cstheme="minorHAnsi"/>
          <w:sz w:val="24"/>
          <w:szCs w:val="24"/>
        </w:rPr>
      </w:pPr>
      <w:r w:rsidRPr="00074904">
        <w:rPr>
          <w:rFonts w:cstheme="minorHAnsi"/>
          <w:sz w:val="24"/>
          <w:szCs w:val="24"/>
        </w:rPr>
        <w:t xml:space="preserve">For young adults aged 16-24 years, mental health problems and disorders are responsible for the highest burden of disease accounting for almost 50% of all burden of disease for this age group </w:t>
      </w:r>
      <w:r w:rsidRPr="00074904">
        <w:rPr>
          <w:rFonts w:cstheme="minorHAnsi"/>
          <w:sz w:val="24"/>
          <w:szCs w:val="24"/>
        </w:rPr>
        <w:fldChar w:fldCharType="begin"/>
      </w:r>
      <w:r w:rsidRPr="00074904">
        <w:rPr>
          <w:rFonts w:cstheme="minorHAnsi"/>
          <w:sz w:val="24"/>
          <w:szCs w:val="24"/>
        </w:rPr>
        <w:instrText xml:space="preserve"> ADDIN EN.CITE &lt;EndNote&gt;&lt;Cite&gt;&lt;Author&gt;Australian Institute of Health and Welfare&lt;/Author&gt;&lt;Year&gt;2011&lt;/Year&gt;&lt;RecNum&gt;16&lt;/RecNum&gt;&lt;DisplayText&gt;(Australian Institute of Health and Welfare, 2011)&lt;/DisplayText&gt;&lt;record&gt;&lt;rec-number&gt;16&lt;/rec-number&gt;&lt;foreign-keys&gt;&lt;key app="EN" db-id="axvrzdws9etvs2eet5tptpruwwp0rpv2dvep" timestamp="1575583125"&gt;16&lt;/key&gt;&lt;/foreign-keys&gt;&lt;ref-type name="Government Document"&gt;46&lt;/ref-type&gt;&lt;contributors&gt;&lt;authors&gt;&lt;author&gt;Australian Institute of Health and Welfare,&lt;/author&gt;&lt;/authors&gt;&lt;/contributors&gt;&lt;titles&gt;&lt;title&gt;Young Australians: Their Health and Well-Being 2011&lt;/title&gt;&lt;/titles&gt;&lt;dates&gt;&lt;year&gt;2011&lt;/year&gt;&lt;/dates&gt;&lt;pub-location&gt;Canberra&lt;/pub-location&gt;&lt;publisher&gt;AIHW&lt;/publisher&gt;&lt;urls&gt;&lt;/urls&gt;&lt;/record&gt;&lt;/Cite&gt;&lt;/EndNote&gt;</w:instrText>
      </w:r>
      <w:r w:rsidRPr="00074904">
        <w:rPr>
          <w:rFonts w:cstheme="minorHAnsi"/>
          <w:sz w:val="24"/>
          <w:szCs w:val="24"/>
        </w:rPr>
        <w:fldChar w:fldCharType="separate"/>
      </w:r>
      <w:r w:rsidRPr="00074904">
        <w:rPr>
          <w:rFonts w:cstheme="minorHAnsi"/>
          <w:noProof/>
          <w:sz w:val="24"/>
          <w:szCs w:val="24"/>
        </w:rPr>
        <w:t>(Australian Institute of Health and Welfare, 2011)</w:t>
      </w:r>
      <w:r w:rsidRPr="00074904">
        <w:rPr>
          <w:rFonts w:cstheme="minorHAnsi"/>
          <w:sz w:val="24"/>
          <w:szCs w:val="24"/>
        </w:rPr>
        <w:fldChar w:fldCharType="end"/>
      </w:r>
      <w:r w:rsidRPr="00074904">
        <w:rPr>
          <w:rFonts w:cstheme="minorHAnsi"/>
          <w:sz w:val="24"/>
          <w:szCs w:val="24"/>
        </w:rPr>
        <w:t xml:space="preserve">. In 2007, 9% of all young Australians experienced high or very high levels of psychological distress and approximately one in four reported at least one mental disorder in the preceding 12 months </w:t>
      </w:r>
      <w:r w:rsidRPr="00074904">
        <w:rPr>
          <w:rFonts w:cstheme="minorHAnsi"/>
          <w:sz w:val="24"/>
          <w:szCs w:val="24"/>
        </w:rPr>
        <w:fldChar w:fldCharType="begin"/>
      </w:r>
      <w:r w:rsidRPr="00074904">
        <w:rPr>
          <w:rFonts w:cstheme="minorHAnsi"/>
          <w:sz w:val="24"/>
          <w:szCs w:val="24"/>
        </w:rPr>
        <w:instrText xml:space="preserve"> ADDIN EN.CITE &lt;EndNote&gt;&lt;Cite&gt;&lt;Author&gt;Australian Institute of Health and Welfare&lt;/Author&gt;&lt;Year&gt;2011&lt;/Year&gt;&lt;RecNum&gt;16&lt;/RecNum&gt;&lt;DisplayText&gt;(Australian Institute of Health and Welfare, 2011)&lt;/DisplayText&gt;&lt;record&gt;&lt;rec-number&gt;16&lt;/rec-number&gt;&lt;foreign-keys&gt;&lt;key app="EN" db-id="axvrzdws9etvs2eet5tptpruwwp0rpv2dvep" timestamp="1575583125"&gt;16&lt;/key&gt;&lt;/foreign-keys&gt;&lt;ref-type name="Government Document"&gt;46&lt;/ref-type&gt;&lt;contributors&gt;&lt;authors&gt;&lt;author&gt;Australian Institute of Health and Welfare,&lt;/author&gt;&lt;/authors&gt;&lt;/contributors&gt;&lt;titles&gt;&lt;title&gt;Young Australians: Their Health and Well-Being 2011&lt;/title&gt;&lt;/titles&gt;&lt;dates&gt;&lt;year&gt;2011&lt;/year&gt;&lt;/dates&gt;&lt;pub-location&gt;Canberra&lt;/pub-location&gt;&lt;publisher&gt;AIHW&lt;/publisher&gt;&lt;urls&gt;&lt;/urls&gt;&lt;/record&gt;&lt;/Cite&gt;&lt;/EndNote&gt;</w:instrText>
      </w:r>
      <w:r w:rsidRPr="00074904">
        <w:rPr>
          <w:rFonts w:cstheme="minorHAnsi"/>
          <w:sz w:val="24"/>
          <w:szCs w:val="24"/>
        </w:rPr>
        <w:fldChar w:fldCharType="separate"/>
      </w:r>
      <w:r w:rsidRPr="00074904">
        <w:rPr>
          <w:rFonts w:cstheme="minorHAnsi"/>
          <w:noProof/>
          <w:sz w:val="24"/>
          <w:szCs w:val="24"/>
        </w:rPr>
        <w:t>(Australian Institute of Health and Welfare, 2011)</w:t>
      </w:r>
      <w:r w:rsidRPr="00074904">
        <w:rPr>
          <w:rFonts w:cstheme="minorHAnsi"/>
          <w:sz w:val="24"/>
          <w:szCs w:val="24"/>
        </w:rPr>
        <w:fldChar w:fldCharType="end"/>
      </w:r>
      <w:r w:rsidRPr="00074904">
        <w:rPr>
          <w:rFonts w:cstheme="minorHAnsi"/>
          <w:sz w:val="24"/>
          <w:szCs w:val="24"/>
        </w:rPr>
        <w:t xml:space="preserve">. </w:t>
      </w:r>
    </w:p>
    <w:p w14:paraId="1387C72D" w14:textId="3D24423C" w:rsidR="00FE72CF" w:rsidRDefault="008A4BD3" w:rsidP="002E354E">
      <w:pPr>
        <w:rPr>
          <w:rFonts w:cstheme="minorHAnsi"/>
          <w:sz w:val="24"/>
          <w:szCs w:val="24"/>
        </w:rPr>
      </w:pPr>
      <w:r w:rsidRPr="00074904">
        <w:rPr>
          <w:rFonts w:cstheme="minorHAnsi"/>
          <w:sz w:val="24"/>
          <w:szCs w:val="24"/>
        </w:rPr>
        <w:t>As recognised by the Commission, university students are a particularly vulnerable group within this age range. Current evidence suggests that the prevalence of mental health problems is significantly higher in the student population and that they are more likely to report high or very high level of psychological distress compare</w:t>
      </w:r>
      <w:r w:rsidR="009509CD">
        <w:rPr>
          <w:rFonts w:cstheme="minorHAnsi"/>
          <w:sz w:val="24"/>
          <w:szCs w:val="24"/>
        </w:rPr>
        <w:t>d</w:t>
      </w:r>
      <w:r w:rsidRPr="00074904">
        <w:rPr>
          <w:rFonts w:cstheme="minorHAnsi"/>
          <w:sz w:val="24"/>
          <w:szCs w:val="24"/>
        </w:rPr>
        <w:t xml:space="preserve"> to the general population </w:t>
      </w:r>
      <w:r w:rsidRPr="00074904">
        <w:rPr>
          <w:rFonts w:cstheme="minorHAnsi"/>
          <w:sz w:val="24"/>
          <w:szCs w:val="24"/>
        </w:rPr>
        <w:fldChar w:fldCharType="begin"/>
      </w:r>
      <w:r w:rsidRPr="00074904">
        <w:rPr>
          <w:rFonts w:cstheme="minorHAnsi"/>
          <w:sz w:val="24"/>
          <w:szCs w:val="24"/>
        </w:rPr>
        <w:instrText xml:space="preserve"> ADDIN EN.CITE &lt;EndNote&gt;&lt;Cite&gt;&lt;Author&gt;Stallman&lt;/Author&gt;&lt;Year&gt;2010&lt;/Year&gt;&lt;RecNum&gt;17&lt;/RecNum&gt;&lt;DisplayText&gt;(Browne, Munro, &amp;amp; Cass, 2017; Stallman, 2010)&lt;/DisplayText&gt;&lt;record&gt;&lt;rec-number&gt;17&lt;/rec-number&gt;&lt;foreign-keys&gt;&lt;key app="EN" db-id="axvrzdws9etvs2eet5tptpruwwp0rpv2dvep" timestamp="1575583830"&gt;17&lt;/key&gt;&lt;/foreign-keys&gt;&lt;ref-type name="Journal Article"&gt;17&lt;/ref-type&gt;&lt;contributors&gt;&lt;authors&gt;&lt;author&gt;Stallman, Helen M&lt;/author&gt;&lt;/authors&gt;&lt;/contributors&gt;&lt;titles&gt;&lt;title&gt;Psychological distress in university students: A comparison with general population data&lt;/title&gt;&lt;secondary-title&gt;Australian Psychologist&lt;/secondary-title&gt;&lt;/titles&gt;&lt;periodical&gt;&lt;full-title&gt;Australian Psychologist&lt;/full-title&gt;&lt;/periodical&gt;&lt;pages&gt;249-257&lt;/pages&gt;&lt;volume&gt;45&lt;/volume&gt;&lt;number&gt;4&lt;/number&gt;&lt;dates&gt;&lt;year&gt;2010&lt;/year&gt;&lt;/dates&gt;&lt;isbn&gt;0005-0067&lt;/isbn&gt;&lt;urls&gt;&lt;/urls&gt;&lt;/record&gt;&lt;/Cite&gt;&lt;Cite&gt;&lt;Author&gt;Browne&lt;/Author&gt;&lt;Year&gt;2017&lt;/Year&gt;&lt;RecNum&gt;18&lt;/RecNum&gt;&lt;record&gt;&lt;rec-number&gt;18&lt;/rec-number&gt;&lt;foreign-keys&gt;&lt;key app="EN" db-id="axvrzdws9etvs2eet5tptpruwwp0rpv2dvep" timestamp="1575583962"&gt;18&lt;/key&gt;&lt;/foreign-keys&gt;&lt;ref-type name="Journal Article"&gt;17&lt;/ref-type&gt;&lt;contributors&gt;&lt;authors&gt;&lt;author&gt;Browne, V&lt;/author&gt;&lt;author&gt;Munro, J&lt;/author&gt;&lt;author&gt;Cass, J&lt;/author&gt;&lt;/authors&gt;&lt;/contributors&gt;&lt;titles&gt;&lt;title&gt;The mental health of Australian university students (Professional paper)&lt;/title&gt;&lt;secondary-title&gt;Journal of the Australian and New Zealand Student Services Association&lt;/secondary-title&gt;&lt;/titles&gt;&lt;periodical&gt;&lt;full-title&gt;Journal of the Australian and New Zealand Student Services Association&lt;/full-title&gt;&lt;/periodical&gt;&lt;pages&gt;51-62&lt;/pages&gt;&lt;volume&gt;50&lt;/volume&gt;&lt;dates&gt;&lt;year&gt;2017&lt;/year&gt;&lt;/dates&gt;&lt;urls&gt;&lt;/urls&gt;&lt;/record&gt;&lt;/Cite&gt;&lt;/EndNote&gt;</w:instrText>
      </w:r>
      <w:r w:rsidRPr="00074904">
        <w:rPr>
          <w:rFonts w:cstheme="minorHAnsi"/>
          <w:sz w:val="24"/>
          <w:szCs w:val="24"/>
        </w:rPr>
        <w:fldChar w:fldCharType="separate"/>
      </w:r>
      <w:r w:rsidRPr="00074904">
        <w:rPr>
          <w:rFonts w:cstheme="minorHAnsi"/>
          <w:noProof/>
          <w:sz w:val="24"/>
          <w:szCs w:val="24"/>
        </w:rPr>
        <w:t>(Browne, Munro, &amp; Cass, 2017; Stallman, 2010)</w:t>
      </w:r>
      <w:r w:rsidRPr="00074904">
        <w:rPr>
          <w:rFonts w:cstheme="minorHAnsi"/>
          <w:sz w:val="24"/>
          <w:szCs w:val="24"/>
        </w:rPr>
        <w:fldChar w:fldCharType="end"/>
      </w:r>
      <w:r w:rsidRPr="00074904">
        <w:rPr>
          <w:rFonts w:cstheme="minorHAnsi"/>
          <w:sz w:val="24"/>
          <w:szCs w:val="24"/>
        </w:rPr>
        <w:t xml:space="preserve">. </w:t>
      </w:r>
    </w:p>
    <w:p w14:paraId="1AF5D21D" w14:textId="7A2AA971" w:rsidR="008A4BD3" w:rsidRPr="00074904" w:rsidRDefault="008A4BD3" w:rsidP="002E354E">
      <w:pPr>
        <w:rPr>
          <w:rFonts w:cstheme="minorHAnsi"/>
          <w:sz w:val="24"/>
          <w:szCs w:val="24"/>
        </w:rPr>
      </w:pPr>
      <w:r w:rsidRPr="00074904">
        <w:rPr>
          <w:rFonts w:cstheme="minorHAnsi"/>
          <w:sz w:val="24"/>
          <w:szCs w:val="24"/>
        </w:rPr>
        <w:t>However, whilst it is integral to combat mental health within the student population, it is equally important to consider preventative strategies accessible to all young Australian</w:t>
      </w:r>
      <w:r w:rsidR="00D542F9">
        <w:rPr>
          <w:rFonts w:cstheme="minorHAnsi"/>
          <w:sz w:val="24"/>
          <w:szCs w:val="24"/>
        </w:rPr>
        <w:t>s</w:t>
      </w:r>
      <w:r w:rsidRPr="00074904">
        <w:rPr>
          <w:rFonts w:cstheme="minorHAnsi"/>
          <w:sz w:val="24"/>
          <w:szCs w:val="24"/>
        </w:rPr>
        <w:t xml:space="preserve"> and not just those in tertiary institutions. </w:t>
      </w:r>
      <w:r w:rsidR="00AC16FC" w:rsidRPr="00074904">
        <w:rPr>
          <w:rFonts w:cstheme="minorHAnsi"/>
          <w:sz w:val="24"/>
          <w:szCs w:val="24"/>
        </w:rPr>
        <w:t>Thus,</w:t>
      </w:r>
      <w:r w:rsidRPr="00074904">
        <w:rPr>
          <w:rFonts w:cstheme="minorHAnsi"/>
          <w:sz w:val="24"/>
          <w:szCs w:val="24"/>
        </w:rPr>
        <w:t xml:space="preserve"> population level strategies from a health system perspective should be considered.   </w:t>
      </w:r>
    </w:p>
    <w:p w14:paraId="754603AC" w14:textId="77777777" w:rsidR="009B2333" w:rsidRDefault="008A4BD3" w:rsidP="002E354E">
      <w:pPr>
        <w:rPr>
          <w:rFonts w:cstheme="minorHAnsi"/>
          <w:sz w:val="24"/>
          <w:szCs w:val="24"/>
        </w:rPr>
      </w:pPr>
      <w:r w:rsidRPr="00074904">
        <w:rPr>
          <w:rFonts w:cstheme="minorHAnsi"/>
          <w:sz w:val="24"/>
          <w:szCs w:val="24"/>
        </w:rPr>
        <w:t xml:space="preserve">In order to address the declining health status of young people in Australia, it is important to develop and implement population level prevention strategies that consider the diverse range of factors contributing to mental disorders. </w:t>
      </w:r>
    </w:p>
    <w:p w14:paraId="638A65F8" w14:textId="6379FDBB" w:rsidR="008A4BD3" w:rsidRPr="00074904" w:rsidRDefault="008A4BD3" w:rsidP="002E354E">
      <w:pPr>
        <w:rPr>
          <w:rFonts w:cstheme="minorHAnsi"/>
          <w:sz w:val="24"/>
          <w:szCs w:val="24"/>
        </w:rPr>
      </w:pPr>
      <w:r w:rsidRPr="00074904">
        <w:rPr>
          <w:rFonts w:cstheme="minorHAnsi"/>
          <w:sz w:val="24"/>
          <w:szCs w:val="24"/>
        </w:rPr>
        <w:t>The LSAC provides a plethora of national level data on many aspects and influences on young people</w:t>
      </w:r>
      <w:r w:rsidR="00E93B1C">
        <w:rPr>
          <w:rFonts w:cstheme="minorHAnsi"/>
          <w:sz w:val="24"/>
          <w:szCs w:val="24"/>
        </w:rPr>
        <w:t>’s</w:t>
      </w:r>
      <w:r w:rsidRPr="00074904">
        <w:rPr>
          <w:rFonts w:cstheme="minorHAnsi"/>
          <w:sz w:val="24"/>
          <w:szCs w:val="24"/>
        </w:rPr>
        <w:t xml:space="preserve"> lives including academic, financial, social and family pressures. This survey provides the opportunity to investigate different risk trajectories for differing groups and enables the development</w:t>
      </w:r>
      <w:r w:rsidR="00E93B1C">
        <w:rPr>
          <w:rFonts w:cstheme="minorHAnsi"/>
          <w:sz w:val="24"/>
          <w:szCs w:val="24"/>
        </w:rPr>
        <w:t xml:space="preserve"> of</w:t>
      </w:r>
      <w:r w:rsidRPr="00074904">
        <w:rPr>
          <w:rFonts w:cstheme="minorHAnsi"/>
          <w:sz w:val="24"/>
          <w:szCs w:val="24"/>
        </w:rPr>
        <w:t xml:space="preserve"> more nuanced and directed preventative strategies. </w:t>
      </w:r>
    </w:p>
    <w:p w14:paraId="6992482C" w14:textId="77777777" w:rsidR="00EA1199" w:rsidRDefault="00EA1199" w:rsidP="00FE72CF">
      <w:pPr>
        <w:rPr>
          <w:rFonts w:cstheme="minorHAnsi"/>
          <w:b/>
          <w:bCs/>
          <w:sz w:val="24"/>
          <w:szCs w:val="24"/>
        </w:rPr>
      </w:pPr>
    </w:p>
    <w:p w14:paraId="74B383E2" w14:textId="77777777" w:rsidR="00EA1199" w:rsidRDefault="00EA1199" w:rsidP="00FE72CF">
      <w:pPr>
        <w:rPr>
          <w:rFonts w:cstheme="minorHAnsi"/>
          <w:b/>
          <w:bCs/>
          <w:sz w:val="24"/>
          <w:szCs w:val="24"/>
        </w:rPr>
      </w:pPr>
    </w:p>
    <w:p w14:paraId="539F9B65" w14:textId="77777777" w:rsidR="00EA1199" w:rsidRDefault="00EA1199" w:rsidP="00FE72CF">
      <w:pPr>
        <w:rPr>
          <w:rFonts w:cstheme="minorHAnsi"/>
          <w:b/>
          <w:bCs/>
          <w:sz w:val="24"/>
          <w:szCs w:val="24"/>
        </w:rPr>
      </w:pPr>
    </w:p>
    <w:p w14:paraId="5E7EA36D" w14:textId="25D76738" w:rsidR="00FE72CF" w:rsidRPr="0041162A" w:rsidRDefault="00FE72CF" w:rsidP="00FE72CF">
      <w:pPr>
        <w:rPr>
          <w:rFonts w:cstheme="minorHAnsi"/>
          <w:b/>
          <w:bCs/>
          <w:sz w:val="24"/>
          <w:szCs w:val="24"/>
        </w:rPr>
      </w:pPr>
      <w:r w:rsidRPr="0041162A">
        <w:rPr>
          <w:rFonts w:cstheme="minorHAnsi"/>
          <w:b/>
          <w:bCs/>
          <w:sz w:val="24"/>
          <w:szCs w:val="24"/>
        </w:rPr>
        <w:lastRenderedPageBreak/>
        <w:t>Suggestions for the Final Report:</w:t>
      </w:r>
    </w:p>
    <w:p w14:paraId="4F76C737" w14:textId="77777777" w:rsidR="008A4BD3" w:rsidRPr="00FE72CF" w:rsidRDefault="008A4BD3" w:rsidP="00FE72CF">
      <w:pPr>
        <w:pStyle w:val="ListParagraph"/>
        <w:numPr>
          <w:ilvl w:val="0"/>
          <w:numId w:val="16"/>
        </w:numPr>
        <w:rPr>
          <w:rFonts w:cstheme="minorHAnsi"/>
          <w:sz w:val="24"/>
          <w:szCs w:val="24"/>
        </w:rPr>
      </w:pPr>
      <w:r w:rsidRPr="00FE72CF">
        <w:rPr>
          <w:rFonts w:cstheme="minorHAnsi"/>
          <w:sz w:val="24"/>
          <w:szCs w:val="24"/>
        </w:rPr>
        <w:t xml:space="preserve">To strengthen the Commission’s report, a greater emphasis should be placed on the development of population level preventative strategies informed by evidence from the LSAC on the diverse range of factors influencing mental health in young adults. </w:t>
      </w:r>
    </w:p>
    <w:p w14:paraId="1AC566F1" w14:textId="786D4396" w:rsidR="008A4BD3" w:rsidRDefault="008A4BD3" w:rsidP="002E354E">
      <w:pPr>
        <w:pStyle w:val="Heading2"/>
      </w:pPr>
      <w:bookmarkStart w:id="28" w:name="_Toc29197249"/>
      <w:r w:rsidRPr="00074904">
        <w:t xml:space="preserve">Implementing a </w:t>
      </w:r>
      <w:r w:rsidR="005A7A51">
        <w:t xml:space="preserve">population </w:t>
      </w:r>
      <w:r w:rsidRPr="00074904">
        <w:t>health perspective</w:t>
      </w:r>
      <w:bookmarkEnd w:id="28"/>
    </w:p>
    <w:p w14:paraId="36D9D645" w14:textId="77777777" w:rsidR="00FE72CF" w:rsidRPr="00FE72CF" w:rsidRDefault="00FE72CF" w:rsidP="00FE72CF">
      <w:pPr>
        <w:spacing w:after="0" w:line="240" w:lineRule="auto"/>
      </w:pPr>
    </w:p>
    <w:p w14:paraId="26D8E26D" w14:textId="19226758" w:rsidR="00FE72CF" w:rsidRDefault="008A4BD3" w:rsidP="00FE72CF">
      <w:pPr>
        <w:spacing w:after="0" w:line="240" w:lineRule="auto"/>
        <w:rPr>
          <w:rFonts w:cstheme="minorHAnsi"/>
          <w:sz w:val="24"/>
          <w:szCs w:val="24"/>
        </w:rPr>
      </w:pPr>
      <w:r w:rsidRPr="00074904">
        <w:rPr>
          <w:rFonts w:cstheme="minorHAnsi"/>
          <w:sz w:val="24"/>
          <w:szCs w:val="24"/>
        </w:rPr>
        <w:t>We welcome the draft report</w:t>
      </w:r>
      <w:r w:rsidR="00FE72CF">
        <w:rPr>
          <w:rFonts w:cstheme="minorHAnsi"/>
          <w:sz w:val="24"/>
          <w:szCs w:val="24"/>
        </w:rPr>
        <w:t>’</w:t>
      </w:r>
      <w:r w:rsidRPr="00074904">
        <w:rPr>
          <w:rFonts w:cstheme="minorHAnsi"/>
          <w:sz w:val="24"/>
          <w:szCs w:val="24"/>
        </w:rPr>
        <w:t xml:space="preserve">s recommendation to invest in services beyond health. In addition to this, we encourage the government to recognise the population-level distribution and drivers of health. </w:t>
      </w:r>
      <w:r w:rsidR="00FE72CF">
        <w:rPr>
          <w:rFonts w:cstheme="minorHAnsi"/>
          <w:sz w:val="24"/>
          <w:szCs w:val="24"/>
        </w:rPr>
        <w:t xml:space="preserve">The interim report has a </w:t>
      </w:r>
      <w:r w:rsidRPr="00074904">
        <w:rPr>
          <w:rFonts w:cstheme="minorHAnsi"/>
          <w:sz w:val="24"/>
          <w:szCs w:val="24"/>
        </w:rPr>
        <w:t>strong emphasis on individuals with mental illness</w:t>
      </w:r>
      <w:r w:rsidR="00FE72CF">
        <w:rPr>
          <w:rFonts w:cstheme="minorHAnsi"/>
          <w:sz w:val="24"/>
          <w:szCs w:val="24"/>
        </w:rPr>
        <w:t>. H</w:t>
      </w:r>
      <w:r w:rsidRPr="00074904">
        <w:rPr>
          <w:rFonts w:cstheme="minorHAnsi"/>
          <w:sz w:val="24"/>
          <w:szCs w:val="24"/>
        </w:rPr>
        <w:t>owever</w:t>
      </w:r>
      <w:r w:rsidR="00FE72CF">
        <w:rPr>
          <w:rFonts w:cstheme="minorHAnsi"/>
          <w:sz w:val="24"/>
          <w:szCs w:val="24"/>
        </w:rPr>
        <w:t>,</w:t>
      </w:r>
      <w:r w:rsidRPr="00074904">
        <w:rPr>
          <w:rFonts w:cstheme="minorHAnsi"/>
          <w:sz w:val="24"/>
          <w:szCs w:val="24"/>
        </w:rPr>
        <w:t xml:space="preserve"> we believe that adding a population level approach would strengthen the report further.  As well as identifying individuals at the highest risk of developing mental disorders, population health approaches seeks to understand the drivers of distributions of risk and disease (see Figure </w:t>
      </w:r>
      <w:r w:rsidR="00EA1199">
        <w:rPr>
          <w:rFonts w:cstheme="minorHAnsi"/>
          <w:sz w:val="24"/>
          <w:szCs w:val="24"/>
        </w:rPr>
        <w:t>4</w:t>
      </w:r>
      <w:r w:rsidRPr="00074904">
        <w:rPr>
          <w:rFonts w:cstheme="minorHAnsi"/>
          <w:sz w:val="24"/>
          <w:szCs w:val="24"/>
        </w:rPr>
        <w:t xml:space="preserve"> - adapted from Rose, 2008) and ensure the overall distribution is optimal to support health for the greatest number of people. </w:t>
      </w:r>
    </w:p>
    <w:p w14:paraId="3EAE0BCC" w14:textId="6A7621CF" w:rsidR="00FE72CF" w:rsidRDefault="009B2333" w:rsidP="00FE72CF">
      <w:pPr>
        <w:spacing w:after="0" w:line="240" w:lineRule="auto"/>
        <w:rPr>
          <w:rFonts w:cstheme="minorHAnsi"/>
          <w:sz w:val="24"/>
          <w:szCs w:val="24"/>
        </w:rPr>
      </w:pPr>
      <w:r w:rsidRPr="00074904">
        <w:rPr>
          <w:rFonts w:cstheme="minorHAnsi"/>
          <w:noProof/>
          <w:sz w:val="24"/>
          <w:szCs w:val="24"/>
          <w:lang w:eastAsia="en-AU"/>
        </w:rPr>
        <w:drawing>
          <wp:anchor distT="0" distB="0" distL="114300" distR="114300" simplePos="0" relativeHeight="251667456" behindDoc="0" locked="0" layoutInCell="1" allowOverlap="1" wp14:anchorId="50FBF178" wp14:editId="2C27DF1D">
            <wp:simplePos x="0" y="0"/>
            <wp:positionH relativeFrom="margin">
              <wp:posOffset>0</wp:posOffset>
            </wp:positionH>
            <wp:positionV relativeFrom="paragraph">
              <wp:posOffset>190500</wp:posOffset>
            </wp:positionV>
            <wp:extent cx="5651500" cy="3067050"/>
            <wp:effectExtent l="0" t="0" r="635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a:extLst>
                        <a:ext uri="{28A0092B-C50C-407E-A947-70E740481C1C}">
                          <a14:useLocalDpi xmlns:a14="http://schemas.microsoft.com/office/drawing/2010/main" val="0"/>
                        </a:ext>
                      </a:extLst>
                    </a:blip>
                    <a:srcRect b="14377"/>
                    <a:stretch/>
                  </pic:blipFill>
                  <pic:spPr bwMode="auto">
                    <a:xfrm>
                      <a:off x="0" y="0"/>
                      <a:ext cx="5651500" cy="3067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720B44" w14:textId="13C3A64C" w:rsidR="009B2333" w:rsidRPr="00EA1199" w:rsidRDefault="00EA1199" w:rsidP="00FE72CF">
      <w:pPr>
        <w:rPr>
          <w:rFonts w:cstheme="minorHAnsi"/>
          <w:b/>
          <w:bCs/>
          <w:sz w:val="24"/>
          <w:szCs w:val="24"/>
        </w:rPr>
      </w:pPr>
      <w:r>
        <w:rPr>
          <w:rFonts w:cstheme="minorHAnsi"/>
          <w:b/>
          <w:bCs/>
          <w:sz w:val="24"/>
          <w:szCs w:val="24"/>
        </w:rPr>
        <w:t>Figure 4. Shifting the Curve: Population distribution of mental health problems.</w:t>
      </w:r>
    </w:p>
    <w:p w14:paraId="3BF6678C" w14:textId="77777777" w:rsidR="009B2333" w:rsidRDefault="00FE72CF" w:rsidP="00FE72CF">
      <w:pPr>
        <w:rPr>
          <w:rFonts w:cstheme="minorHAnsi"/>
          <w:sz w:val="24"/>
          <w:szCs w:val="24"/>
        </w:rPr>
      </w:pPr>
      <w:r w:rsidRPr="00074904">
        <w:rPr>
          <w:rFonts w:cstheme="minorHAnsi"/>
          <w:sz w:val="24"/>
          <w:szCs w:val="24"/>
        </w:rPr>
        <w:t xml:space="preserve">This approach recognises that high-risk individuals are only a small proportion of the overall population and so account for a small burden of disease. Thus, the greatest social and economic benefits will only be realised by shifting the distribution of risk in a positive direction with mass population health strategies </w:t>
      </w:r>
      <w:r w:rsidRPr="00074904">
        <w:rPr>
          <w:rFonts w:cstheme="minorHAnsi"/>
          <w:sz w:val="24"/>
          <w:szCs w:val="24"/>
        </w:rPr>
        <w:fldChar w:fldCharType="begin"/>
      </w:r>
      <w:r w:rsidRPr="00074904">
        <w:rPr>
          <w:rFonts w:cstheme="minorHAnsi"/>
          <w:sz w:val="24"/>
          <w:szCs w:val="24"/>
        </w:rPr>
        <w:instrText xml:space="preserve"> ADDIN EN.CITE &lt;EndNote&gt;&lt;Cite&gt;&lt;Author&gt;Rose&lt;/Author&gt;&lt;Year&gt;2008&lt;/Year&gt;&lt;RecNum&gt;15&lt;/RecNum&gt;&lt;DisplayText&gt;(Rose, 2008)&lt;/DisplayText&gt;&lt;record&gt;&lt;rec-number&gt;15&lt;/rec-number&gt;&lt;foreign-keys&gt;&lt;key app="EN" db-id="axvrzdws9etvs2eet5tptpruwwp0rpv2dvep" timestamp="1575497269"&gt;15&lt;/key&gt;&lt;/foreign-keys&gt;&lt;ref-type name="Book"&gt;6&lt;/ref-type&gt;&lt;contributors&gt;&lt;authors&gt;&lt;author&gt;Rose, G&lt;/author&gt;&lt;/authors&gt;&lt;/contributors&gt;&lt;titles&gt;&lt;title&gt;Rose&amp;apos;s Strategy of Preventive Medicine&lt;/title&gt;&lt;/titles&gt;&lt;dates&gt;&lt;year&gt;2008&lt;/year&gt;&lt;/dates&gt;&lt;pub-location&gt;Oxford&lt;/pub-location&gt;&lt;publisher&gt;Oxford University Press&lt;/publisher&gt;&lt;urls&gt;&lt;/urls&gt;&lt;/record&gt;&lt;/Cite&gt;&lt;/EndNote&gt;</w:instrText>
      </w:r>
      <w:r w:rsidRPr="00074904">
        <w:rPr>
          <w:rFonts w:cstheme="minorHAnsi"/>
          <w:sz w:val="24"/>
          <w:szCs w:val="24"/>
        </w:rPr>
        <w:fldChar w:fldCharType="separate"/>
      </w:r>
      <w:r w:rsidRPr="00074904">
        <w:rPr>
          <w:rFonts w:cstheme="minorHAnsi"/>
          <w:noProof/>
          <w:sz w:val="24"/>
          <w:szCs w:val="24"/>
        </w:rPr>
        <w:t>(Rose, 2008)</w:t>
      </w:r>
      <w:r w:rsidRPr="00074904">
        <w:rPr>
          <w:rFonts w:cstheme="minorHAnsi"/>
          <w:sz w:val="24"/>
          <w:szCs w:val="24"/>
        </w:rPr>
        <w:fldChar w:fldCharType="end"/>
      </w:r>
      <w:r w:rsidRPr="00074904">
        <w:rPr>
          <w:rFonts w:cstheme="minorHAnsi"/>
          <w:sz w:val="24"/>
          <w:szCs w:val="24"/>
        </w:rPr>
        <w:t xml:space="preserve">. </w:t>
      </w:r>
    </w:p>
    <w:p w14:paraId="362A6D21" w14:textId="73270BA3" w:rsidR="00FE72CF" w:rsidRPr="00074904" w:rsidRDefault="00FE72CF" w:rsidP="00FE72CF">
      <w:pPr>
        <w:rPr>
          <w:rFonts w:cstheme="minorHAnsi"/>
          <w:sz w:val="24"/>
          <w:szCs w:val="24"/>
        </w:rPr>
      </w:pPr>
      <w:r w:rsidRPr="00074904">
        <w:rPr>
          <w:rFonts w:cstheme="minorHAnsi"/>
          <w:sz w:val="24"/>
          <w:szCs w:val="24"/>
        </w:rPr>
        <w:t xml:space="preserve">This necessarily requires an understanding of how health is shaped by (and subsequently impacts) broader social determinants. Conversely, inattention to broader social drivers, for example, increases in poverty rates or the number of working poor, instability in incomes, job security </w:t>
      </w:r>
      <w:r>
        <w:rPr>
          <w:rFonts w:cstheme="minorHAnsi"/>
          <w:sz w:val="24"/>
          <w:szCs w:val="24"/>
        </w:rPr>
        <w:t>a</w:t>
      </w:r>
      <w:r w:rsidRPr="00074904">
        <w:rPr>
          <w:rFonts w:cstheme="minorHAnsi"/>
          <w:sz w:val="24"/>
          <w:szCs w:val="24"/>
        </w:rPr>
        <w:t>nd living arrangements, will at a population level push the curve backwards. This shifts the large group of people in the ‘middle’ towards greater likelihood (and occurrence) of clinical illness.</w:t>
      </w:r>
    </w:p>
    <w:p w14:paraId="1A92EDBF" w14:textId="79312303" w:rsidR="008A4BD3" w:rsidRPr="00074904" w:rsidRDefault="008A4BD3" w:rsidP="00FE72CF">
      <w:pPr>
        <w:rPr>
          <w:rFonts w:cstheme="minorHAnsi"/>
          <w:sz w:val="24"/>
          <w:szCs w:val="24"/>
        </w:rPr>
      </w:pPr>
      <w:r w:rsidRPr="00074904">
        <w:rPr>
          <w:rFonts w:cstheme="minorHAnsi"/>
          <w:sz w:val="24"/>
          <w:szCs w:val="24"/>
        </w:rPr>
        <w:lastRenderedPageBreak/>
        <w:t xml:space="preserve">A </w:t>
      </w:r>
      <w:r w:rsidR="005A7A51">
        <w:rPr>
          <w:rFonts w:cstheme="minorHAnsi"/>
          <w:sz w:val="24"/>
          <w:szCs w:val="24"/>
        </w:rPr>
        <w:t xml:space="preserve">population </w:t>
      </w:r>
      <w:r w:rsidRPr="00074904">
        <w:rPr>
          <w:rFonts w:cstheme="minorHAnsi"/>
          <w:sz w:val="24"/>
          <w:szCs w:val="24"/>
        </w:rPr>
        <w:t xml:space="preserve">health approach considers the complex interactions of many interrelated factors such as the conditions, resources, opportunities and constraints within which people live, work, grow and age that affect mental health. Incorporating this system approach will facilitate both prevention and intervention strategies by making them widely accessible and relevant and equitable at the population level.   </w:t>
      </w:r>
    </w:p>
    <w:p w14:paraId="78BEF97D" w14:textId="77777777" w:rsidR="00FE72CF" w:rsidRPr="0041162A" w:rsidRDefault="00FE72CF" w:rsidP="00FE72CF">
      <w:pPr>
        <w:rPr>
          <w:rFonts w:cstheme="minorHAnsi"/>
          <w:b/>
          <w:bCs/>
          <w:sz w:val="24"/>
          <w:szCs w:val="24"/>
        </w:rPr>
      </w:pPr>
      <w:r w:rsidRPr="0041162A">
        <w:rPr>
          <w:rFonts w:cstheme="minorHAnsi"/>
          <w:b/>
          <w:bCs/>
          <w:sz w:val="24"/>
          <w:szCs w:val="24"/>
        </w:rPr>
        <w:t>Suggestions for the Final Report:</w:t>
      </w:r>
    </w:p>
    <w:p w14:paraId="460ABF70" w14:textId="4D455F36" w:rsidR="008A4BD3" w:rsidRDefault="008A4BD3" w:rsidP="00FE72CF">
      <w:pPr>
        <w:pStyle w:val="ListParagraph"/>
        <w:numPr>
          <w:ilvl w:val="0"/>
          <w:numId w:val="17"/>
        </w:numPr>
        <w:rPr>
          <w:rFonts w:cstheme="minorHAnsi"/>
          <w:sz w:val="24"/>
          <w:szCs w:val="24"/>
        </w:rPr>
      </w:pPr>
      <w:r w:rsidRPr="00074904">
        <w:rPr>
          <w:rFonts w:cstheme="minorHAnsi"/>
          <w:sz w:val="24"/>
          <w:szCs w:val="24"/>
        </w:rPr>
        <w:t>That the Australian Psychological Society and the Public Health Association of Australia are tasked with developing a National Mental Health Prevention plan that includes action to address the social determinants of mental health in Australia.</w:t>
      </w:r>
    </w:p>
    <w:p w14:paraId="255F0946" w14:textId="77777777" w:rsidR="008A4BD3" w:rsidRPr="00074904" w:rsidRDefault="008A4BD3" w:rsidP="00FE72CF">
      <w:pPr>
        <w:pStyle w:val="ListParagraph"/>
        <w:numPr>
          <w:ilvl w:val="0"/>
          <w:numId w:val="17"/>
        </w:numPr>
        <w:rPr>
          <w:rFonts w:cstheme="minorHAnsi"/>
          <w:sz w:val="24"/>
          <w:szCs w:val="24"/>
        </w:rPr>
      </w:pPr>
      <w:r w:rsidRPr="00074904">
        <w:rPr>
          <w:rFonts w:cstheme="minorHAnsi"/>
          <w:sz w:val="24"/>
          <w:szCs w:val="24"/>
        </w:rPr>
        <w:t xml:space="preserve">Increased funding opportunities for public health practitioners, epidemiologists, and social scientists to apply multi-disciplinary approaches to develop, identify and implement effective preventative polices for mental health that focus on whole of population strategies and social and economic determinants. </w:t>
      </w:r>
    </w:p>
    <w:p w14:paraId="691092DD" w14:textId="44754DAC" w:rsidR="00E0550D" w:rsidRDefault="00E0550D" w:rsidP="00E0550D">
      <w:pPr>
        <w:pStyle w:val="Heading2"/>
      </w:pPr>
      <w:bookmarkStart w:id="29" w:name="_Toc29197250"/>
      <w:r>
        <w:t>The Role of Psychologists and Clinical Psychologists</w:t>
      </w:r>
      <w:bookmarkEnd w:id="29"/>
      <w:r>
        <w:t xml:space="preserve"> </w:t>
      </w:r>
    </w:p>
    <w:p w14:paraId="633193DA" w14:textId="77777777" w:rsidR="00E0550D" w:rsidRPr="00E0550D" w:rsidRDefault="00E0550D" w:rsidP="00E0550D">
      <w:pPr>
        <w:spacing w:after="0" w:line="240" w:lineRule="auto"/>
      </w:pPr>
    </w:p>
    <w:p w14:paraId="3BDF111C" w14:textId="77777777" w:rsidR="00E0550D" w:rsidRPr="009B2333" w:rsidRDefault="00E0550D" w:rsidP="00E0550D">
      <w:pPr>
        <w:spacing w:line="276" w:lineRule="auto"/>
        <w:rPr>
          <w:rFonts w:cstheme="minorHAnsi"/>
          <w:sz w:val="24"/>
          <w:szCs w:val="24"/>
        </w:rPr>
      </w:pPr>
      <w:r w:rsidRPr="009B2333">
        <w:rPr>
          <w:rFonts w:cstheme="minorHAnsi"/>
          <w:sz w:val="24"/>
          <w:szCs w:val="24"/>
        </w:rPr>
        <w:t xml:space="preserve">While the Report states that the number of psychologists in Australia is adequate, there are a number of constraints and biases on their utilisation as well as existing structural limitations which result in major deficits in the quality of service provision, gaps in the types of services provided, and restrictions in equitable access to specialist mental health services. </w:t>
      </w:r>
    </w:p>
    <w:p w14:paraId="77A03D6E" w14:textId="444B13FF" w:rsidR="00E0550D" w:rsidRDefault="00E0550D" w:rsidP="009B2333">
      <w:pPr>
        <w:pStyle w:val="ListParagraph"/>
        <w:numPr>
          <w:ilvl w:val="0"/>
          <w:numId w:val="18"/>
        </w:numPr>
        <w:spacing w:line="276" w:lineRule="auto"/>
        <w:ind w:left="360"/>
        <w:rPr>
          <w:rFonts w:cstheme="minorHAnsi"/>
          <w:sz w:val="24"/>
          <w:szCs w:val="24"/>
        </w:rPr>
      </w:pPr>
      <w:r w:rsidRPr="009B2333">
        <w:rPr>
          <w:rFonts w:cstheme="minorHAnsi"/>
          <w:sz w:val="24"/>
          <w:szCs w:val="24"/>
        </w:rPr>
        <w:t xml:space="preserve">The current MBS system incentivises psychologists to provide fee-for-service interventions either as focused psychological strategies or as psychological interventions. Besides the distortion these incentives create in who services are targeted towards (as noted in the Report), these incentives result in a “treatment focus” and a lack, or underutilisation, of psychologists in other important mental health services such as co-design, delivery, and training other health professionals in the delivery of prevention and early intervention strategies. Psychologists’ training and skills should equip them well to be at the forefront in these aspects of future mental health </w:t>
      </w:r>
      <w:r w:rsidR="00CE1CFC" w:rsidRPr="009B2333">
        <w:rPr>
          <w:rFonts w:cstheme="minorHAnsi"/>
          <w:sz w:val="24"/>
          <w:szCs w:val="24"/>
        </w:rPr>
        <w:t>care and</w:t>
      </w:r>
      <w:r w:rsidRPr="009B2333">
        <w:rPr>
          <w:rFonts w:cstheme="minorHAnsi"/>
          <w:sz w:val="24"/>
          <w:szCs w:val="24"/>
        </w:rPr>
        <w:t xml:space="preserve"> will require a considerable workforce given that these are population-wide interventions (as shown in Figure </w:t>
      </w:r>
      <w:r w:rsidR="00EA1199">
        <w:rPr>
          <w:rFonts w:cstheme="minorHAnsi"/>
          <w:sz w:val="24"/>
          <w:szCs w:val="24"/>
        </w:rPr>
        <w:t>5</w:t>
      </w:r>
      <w:r w:rsidR="002A4CF9">
        <w:rPr>
          <w:rFonts w:cstheme="minorHAnsi"/>
          <w:sz w:val="24"/>
          <w:szCs w:val="24"/>
        </w:rPr>
        <w:t xml:space="preserve"> below</w:t>
      </w:r>
      <w:r w:rsidRPr="009B2333">
        <w:rPr>
          <w:rFonts w:cstheme="minorHAnsi"/>
          <w:sz w:val="24"/>
          <w:szCs w:val="24"/>
        </w:rPr>
        <w:t xml:space="preserve">). </w:t>
      </w:r>
    </w:p>
    <w:p w14:paraId="2B02FB1F" w14:textId="77777777" w:rsidR="002A4CF9" w:rsidRPr="002A4CF9" w:rsidRDefault="002A4CF9" w:rsidP="002A4CF9">
      <w:pPr>
        <w:spacing w:line="276" w:lineRule="auto"/>
        <w:ind w:left="360"/>
        <w:rPr>
          <w:rFonts w:cstheme="minorHAnsi"/>
          <w:sz w:val="24"/>
          <w:szCs w:val="24"/>
        </w:rPr>
      </w:pPr>
      <w:r w:rsidRPr="002A4CF9">
        <w:rPr>
          <w:rFonts w:cstheme="minorHAnsi"/>
          <w:sz w:val="24"/>
          <w:szCs w:val="24"/>
        </w:rPr>
        <w:t xml:space="preserve">The implementation of the Report’s Draft Recommendation 17 on prevention and early intervention will require strategies and training to shift the focus of the psychological workforce towards also using their skills and knowledge to (1) identify and address factors which increase risk to mental health problems not only in children but across the lifespan (e.g., parental/maternal depression; harsh parenting; family violence; substance misuse; isolation) and (2) advocate to change social norms that act as deterrents to effective early intervention and prevention (e.g., seeing community support for at-risk parents and families as a key part of the solution to reducing the negative mental health impact of early childhood adversity). </w:t>
      </w:r>
    </w:p>
    <w:p w14:paraId="2C689886" w14:textId="77777777" w:rsidR="002A4CF9" w:rsidRDefault="002A4CF9" w:rsidP="002A4CF9">
      <w:pPr>
        <w:pStyle w:val="ListParagraph"/>
        <w:spacing w:line="276" w:lineRule="auto"/>
        <w:rPr>
          <w:rFonts w:cstheme="minorHAnsi"/>
          <w:sz w:val="24"/>
          <w:szCs w:val="24"/>
        </w:rPr>
      </w:pPr>
    </w:p>
    <w:p w14:paraId="433D8ACF" w14:textId="77777777" w:rsidR="002A4CF9" w:rsidRPr="009B2333" w:rsidRDefault="002A4CF9" w:rsidP="002A4CF9">
      <w:pPr>
        <w:pStyle w:val="ListParagraph"/>
        <w:spacing w:line="276" w:lineRule="auto"/>
        <w:ind w:left="360"/>
        <w:rPr>
          <w:rFonts w:cstheme="minorHAnsi"/>
          <w:sz w:val="24"/>
          <w:szCs w:val="24"/>
        </w:rPr>
      </w:pPr>
    </w:p>
    <w:p w14:paraId="59619221" w14:textId="77777777" w:rsidR="00E0550D" w:rsidRPr="009B2333" w:rsidRDefault="00E0550D" w:rsidP="009B2333">
      <w:pPr>
        <w:pStyle w:val="ListParagraph"/>
        <w:spacing w:line="276" w:lineRule="auto"/>
        <w:ind w:left="360"/>
        <w:rPr>
          <w:rFonts w:cstheme="minorHAnsi"/>
          <w:sz w:val="24"/>
          <w:szCs w:val="24"/>
        </w:rPr>
      </w:pPr>
      <w:r w:rsidRPr="009B2333">
        <w:rPr>
          <w:rFonts w:eastAsia="Times New Roman"/>
          <w:noProof/>
          <w:sz w:val="24"/>
          <w:szCs w:val="24"/>
          <w:lang w:eastAsia="en-AU"/>
        </w:rPr>
        <w:drawing>
          <wp:inline distT="0" distB="0" distL="0" distR="0" wp14:anchorId="273F4C80" wp14:editId="4DD68D64">
            <wp:extent cx="5419725" cy="5677146"/>
            <wp:effectExtent l="0" t="0" r="0" b="0"/>
            <wp:docPr id="6" name="Picture 6" descr="The person-centred system is represented by a pyramid, which includes five layers - from need for wellbeing and resilience promotion, to low, moderate, high and very high levels of support or need. The population affected at any one time is broken into seven groups:&#10;- 0.45 per cent with severe and persistent illness with complex multiagency needs – 65 000 people. Required significant clinical and day-to-day support.&#10;- 1 per cent severe persistent – 210 000 people. Chronic with major limitations on functioning (i.e. very disabling) and without remission over long period.&#10;- 2 per cent severe episodic – 415 000 people. Severe episodic with periods of remission.&#10;- 5.5 per cent – moderate – 1 million people&#10;- 11 per cent – mild – 2 million people&#10;- 45 per cent of adults will experience a mental disorder sometime in their lifetime – 7.3 million people&#10;- Majority with need for wellbeing &#10;- between two and five per cent with more common but less  persistent need (episodic course of severe disorders)&#10;- 15 per cent with high likelihood of need for episodic support in their lifetime&#10;- majority with need for wellbeing and resilience promotion – all 22.68 million people.&#10;&#10;The person-centred, effective and efficient system comprises three levels:&#10;- high-to-very high needs - personal and flexible packages of comprehensive health and social care (including housing, income and employment support); specialist mental health and physical health treatments; coordinated care - one system, one care plan, one e health record; maintain connections with families, friends, culture and community&#10;-low-to-moderate needs - targeted and integrated clinical and social support; housing, income, psychosocial supports; self directed low intensity therapies; early intervention; maintain connections with families, friends, culture and community;&#10;- for the population - investment in prevention and early intervention; foster healthy communities and encourage self-help; foster mental resilience (families, schools)&#10;&#10;Principles for a person-centred system are:&#10;- focus on early intervention at any age or stage of life&#10;- address social and economic determinants of mental health&#10;- ensure a stepped care service model: support is appropriate to need over time&#10;- whatever the level of need, ensure continuing connection with family of choice, social network, job or education&#10;&#10;" title="Population based archite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72F74BB-658A-4A5D-83D6-817728AAEE55" descr="cid:42A8B322-531A-43D1-B8D0-B30B8DBCDCF0"/>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5442897" cy="5701419"/>
                    </a:xfrm>
                    <a:prstGeom prst="rect">
                      <a:avLst/>
                    </a:prstGeom>
                    <a:noFill/>
                    <a:ln>
                      <a:noFill/>
                    </a:ln>
                  </pic:spPr>
                </pic:pic>
              </a:graphicData>
            </a:graphic>
          </wp:inline>
        </w:drawing>
      </w:r>
    </w:p>
    <w:p w14:paraId="0F2FEEDB" w14:textId="77777777" w:rsidR="00E0550D" w:rsidRPr="009B2333" w:rsidRDefault="00E0550D" w:rsidP="009B2333">
      <w:pPr>
        <w:pStyle w:val="ListParagraph"/>
        <w:spacing w:line="276" w:lineRule="auto"/>
        <w:ind w:left="360"/>
        <w:rPr>
          <w:rFonts w:cstheme="minorHAnsi"/>
          <w:sz w:val="24"/>
          <w:szCs w:val="24"/>
        </w:rPr>
      </w:pPr>
      <w:r w:rsidRPr="009B2333">
        <w:rPr>
          <w:rFonts w:eastAsia="Times New Roman"/>
          <w:noProof/>
          <w:sz w:val="24"/>
          <w:szCs w:val="24"/>
          <w:lang w:eastAsia="en-AU"/>
        </w:rPr>
        <mc:AlternateContent>
          <mc:Choice Requires="wps">
            <w:drawing>
              <wp:anchor distT="0" distB="0" distL="114300" distR="114300" simplePos="0" relativeHeight="251665408" behindDoc="0" locked="0" layoutInCell="1" allowOverlap="1" wp14:anchorId="75A77BB1" wp14:editId="35411AAE">
                <wp:simplePos x="0" y="0"/>
                <wp:positionH relativeFrom="column">
                  <wp:posOffset>524510</wp:posOffset>
                </wp:positionH>
                <wp:positionV relativeFrom="paragraph">
                  <wp:posOffset>93980</wp:posOffset>
                </wp:positionV>
                <wp:extent cx="5215255" cy="49085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5215255" cy="4908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5A33B8C" w14:textId="4BFEBE3B" w:rsidR="00A92322" w:rsidRPr="009B2333" w:rsidRDefault="00A92322" w:rsidP="00E0550D">
                            <w:pPr>
                              <w:rPr>
                                <w:i/>
                                <w:iCs/>
                              </w:rPr>
                            </w:pPr>
                            <w:r w:rsidRPr="009B2333">
                              <w:rPr>
                                <w:i/>
                                <w:iCs/>
                              </w:rPr>
                              <w:t xml:space="preserve">Figure </w:t>
                            </w:r>
                            <w:r>
                              <w:rPr>
                                <w:i/>
                                <w:iCs/>
                              </w:rPr>
                              <w:t>5</w:t>
                            </w:r>
                            <w:r w:rsidRPr="009B2333">
                              <w:rPr>
                                <w:i/>
                                <w:iCs/>
                              </w:rPr>
                              <w:t>. Proposed mental health system architecture (National Mental Health Commission, 2014)</w:t>
                            </w:r>
                            <w:r>
                              <w:rPr>
                                <w:i/>
                                <w:i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5A77BB1" id="_x0000_t202" coordsize="21600,21600" o:spt="202" path="m,l,21600r21600,l21600,xe">
                <v:stroke joinstyle="miter"/>
                <v:path gradientshapeok="t" o:connecttype="rect"/>
              </v:shapetype>
              <v:shape id="Text Box 3" o:spid="_x0000_s1026" type="#_x0000_t202" style="position:absolute;left:0;text-align:left;margin-left:41.3pt;margin-top:7.4pt;width:410.65pt;height:38.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" filled="f" stroked="f">
                <v:textbox>
                  <w:txbxContent>
                    <w:p w14:paraId="05A33B8C" w14:textId="4BFEBE3B" w:rsidR="00A92322" w:rsidRPr="009B2333" w:rsidRDefault="00A92322" w:rsidP="00E0550D">
                      <w:pPr>
                        <w:rPr>
                          <w:i/>
                          <w:iCs/>
                        </w:rPr>
                      </w:pPr>
                      <w:r w:rsidRPr="009B2333">
                        <w:rPr>
                          <w:i/>
                          <w:iCs/>
                        </w:rPr>
                        <w:t xml:space="preserve">Figure </w:t>
                      </w:r>
                      <w:r>
                        <w:rPr>
                          <w:i/>
                          <w:iCs/>
                        </w:rPr>
                        <w:t>5</w:t>
                      </w:r>
                      <w:r w:rsidRPr="009B2333">
                        <w:rPr>
                          <w:i/>
                          <w:iCs/>
                        </w:rPr>
                        <w:t>. Proposed mental health system architecture (National Mental Health Commission, 2014)</w:t>
                      </w:r>
                      <w:r>
                        <w:rPr>
                          <w:i/>
                          <w:iCs/>
                        </w:rPr>
                        <w:t>.</w:t>
                      </w:r>
                    </w:p>
                  </w:txbxContent>
                </v:textbox>
                <w10:wrap type="square"/>
              </v:shape>
            </w:pict>
          </mc:Fallback>
        </mc:AlternateContent>
      </w:r>
    </w:p>
    <w:p w14:paraId="511064D8" w14:textId="77777777" w:rsidR="009B2333" w:rsidRDefault="009B2333" w:rsidP="009B2333">
      <w:pPr>
        <w:pStyle w:val="ListParagraph"/>
        <w:spacing w:line="276" w:lineRule="auto"/>
        <w:ind w:left="360"/>
        <w:rPr>
          <w:rFonts w:cstheme="minorHAnsi"/>
          <w:sz w:val="24"/>
          <w:szCs w:val="24"/>
        </w:rPr>
      </w:pPr>
    </w:p>
    <w:p w14:paraId="7FE45B92" w14:textId="77777777" w:rsidR="002A4CF9" w:rsidRDefault="002A4CF9" w:rsidP="009B2333">
      <w:pPr>
        <w:pStyle w:val="ListParagraph"/>
        <w:spacing w:line="276" w:lineRule="auto"/>
        <w:ind w:left="360"/>
        <w:rPr>
          <w:rFonts w:cstheme="minorHAnsi"/>
          <w:sz w:val="24"/>
          <w:szCs w:val="24"/>
        </w:rPr>
      </w:pPr>
    </w:p>
    <w:p w14:paraId="3CEB0C7E" w14:textId="43ADDC2C" w:rsidR="00E0550D" w:rsidRDefault="00E0550D" w:rsidP="009B2333">
      <w:pPr>
        <w:pStyle w:val="ListParagraph"/>
        <w:spacing w:line="276" w:lineRule="auto"/>
        <w:ind w:left="360"/>
        <w:rPr>
          <w:rFonts w:cstheme="minorHAnsi"/>
          <w:sz w:val="24"/>
          <w:szCs w:val="24"/>
        </w:rPr>
      </w:pPr>
      <w:r w:rsidRPr="009B2333">
        <w:rPr>
          <w:rFonts w:cstheme="minorHAnsi"/>
          <w:sz w:val="24"/>
          <w:szCs w:val="24"/>
        </w:rPr>
        <w:t xml:space="preserve">Given the central importance of psychological science in these strategies, there is a key role to be played by the University sector in supporting the implementation of the Report’s recommendations around prevention, early intervention, and cross-sectorial involvement by co-designing science-based programs and evaluations with local agencies and partners with an interest in and engagement with people across the lifespan, from children and families to older adults.      </w:t>
      </w:r>
    </w:p>
    <w:p w14:paraId="0C888460" w14:textId="77777777" w:rsidR="009B2333" w:rsidRPr="009B2333" w:rsidRDefault="009B2333" w:rsidP="009B2333">
      <w:pPr>
        <w:pStyle w:val="ListParagraph"/>
        <w:spacing w:line="276" w:lineRule="auto"/>
        <w:ind w:left="360"/>
        <w:rPr>
          <w:rFonts w:cstheme="minorHAnsi"/>
          <w:sz w:val="24"/>
          <w:szCs w:val="24"/>
        </w:rPr>
      </w:pPr>
    </w:p>
    <w:p w14:paraId="0C9395D3" w14:textId="77777777" w:rsidR="002A4CF9" w:rsidRDefault="002A4CF9">
      <w:pPr>
        <w:rPr>
          <w:rFonts w:cstheme="minorHAnsi"/>
          <w:sz w:val="24"/>
          <w:szCs w:val="24"/>
        </w:rPr>
      </w:pPr>
      <w:r>
        <w:rPr>
          <w:rFonts w:cstheme="minorHAnsi"/>
          <w:sz w:val="24"/>
          <w:szCs w:val="24"/>
        </w:rPr>
        <w:br w:type="page"/>
      </w:r>
    </w:p>
    <w:p w14:paraId="15CD70E3" w14:textId="7699FD33" w:rsidR="009B2333" w:rsidRPr="009B2333" w:rsidRDefault="00E0550D" w:rsidP="009B2333">
      <w:pPr>
        <w:pStyle w:val="ListParagraph"/>
        <w:numPr>
          <w:ilvl w:val="0"/>
          <w:numId w:val="18"/>
        </w:numPr>
        <w:spacing w:line="276" w:lineRule="auto"/>
        <w:ind w:left="360"/>
        <w:rPr>
          <w:rFonts w:cstheme="minorHAnsi"/>
          <w:sz w:val="24"/>
          <w:szCs w:val="24"/>
        </w:rPr>
      </w:pPr>
      <w:r w:rsidRPr="009B2333">
        <w:rPr>
          <w:rFonts w:cstheme="minorHAnsi"/>
          <w:sz w:val="24"/>
          <w:szCs w:val="24"/>
        </w:rPr>
        <w:lastRenderedPageBreak/>
        <w:t xml:space="preserve">The MBS system has also promoted the growth of psychologist numbers in primary care working as sole practitioners or in group practices of psychologists, which has not been matched by efforts to retain or recruit experienced psychologists and clinical psychologists in the public mental health system. </w:t>
      </w:r>
      <w:r w:rsidRPr="009B2333">
        <w:rPr>
          <w:rFonts w:eastAsia="Times New Roman" w:cstheme="minorHAnsi"/>
          <w:sz w:val="24"/>
          <w:szCs w:val="24"/>
          <w:lang w:val="en-US"/>
        </w:rPr>
        <w:t xml:space="preserve">As a result, public mental health services have fewer resources to develop psychological intervention programs which meet the needs of people who are not being provided with services under Better Access. At the same time, the core business of public mental health services in terms of providing services for the most seriously mentally ill Australians is adversely impacted because specialist clinical psychologists play an important role in the provision of psychological interventions to this group. </w:t>
      </w:r>
    </w:p>
    <w:p w14:paraId="46BD3E4A" w14:textId="77777777" w:rsidR="009B2333" w:rsidRDefault="009B2333" w:rsidP="009B2333">
      <w:pPr>
        <w:pStyle w:val="ListParagraph"/>
        <w:spacing w:line="276" w:lineRule="auto"/>
        <w:ind w:left="360"/>
        <w:rPr>
          <w:rFonts w:eastAsia="Times New Roman" w:cstheme="minorHAnsi"/>
          <w:sz w:val="24"/>
          <w:szCs w:val="24"/>
          <w:lang w:val="en-US"/>
        </w:rPr>
      </w:pPr>
    </w:p>
    <w:p w14:paraId="204B1BD0" w14:textId="5758E877" w:rsidR="00E0550D" w:rsidRDefault="00E0550D" w:rsidP="009B2333">
      <w:pPr>
        <w:pStyle w:val="ListParagraph"/>
        <w:spacing w:line="276" w:lineRule="auto"/>
        <w:ind w:left="360"/>
        <w:rPr>
          <w:rFonts w:cstheme="minorHAnsi"/>
          <w:sz w:val="24"/>
          <w:szCs w:val="24"/>
        </w:rPr>
      </w:pPr>
      <w:r w:rsidRPr="009B2333">
        <w:rPr>
          <w:rFonts w:eastAsia="Times New Roman" w:cstheme="minorHAnsi"/>
          <w:sz w:val="24"/>
          <w:szCs w:val="24"/>
          <w:lang w:val="en-US"/>
        </w:rPr>
        <w:t xml:space="preserve">The implementation of the Report’s recommendations directed at the delivery of proper treatment for people with moderate to severe mental disorders (the missing middle) will require strategies to enhance collaborative and integrative care (in both public and primary care systems) as well as personalised treatment approaches as more evidence accumulates to optimise treatment selection for disorders such as major depression, eating disorders, bipolar disorders, and obsessive-compulsive disorder. In regards to psychological treatments, the current 10 session limit for MBS rebates for all disorders (other than eating disorders) disregards the evidence about the optimal “dosage” for psychological problems </w:t>
      </w:r>
      <w:r w:rsidR="00185C0C">
        <w:rPr>
          <w:rFonts w:eastAsia="Times New Roman" w:cstheme="minorHAnsi"/>
          <w:sz w:val="24"/>
          <w:szCs w:val="24"/>
          <w:lang w:val="en-US"/>
        </w:rPr>
        <w:t xml:space="preserve">for some clients </w:t>
      </w:r>
      <w:r w:rsidRPr="009B2333">
        <w:rPr>
          <w:rFonts w:eastAsia="Times New Roman" w:cstheme="minorHAnsi"/>
          <w:sz w:val="24"/>
          <w:szCs w:val="24"/>
          <w:lang w:val="en-US"/>
        </w:rPr>
        <w:t>where co-</w:t>
      </w:r>
      <w:r w:rsidRPr="009B2333">
        <w:rPr>
          <w:rFonts w:cstheme="minorHAnsi"/>
          <w:sz w:val="24"/>
          <w:szCs w:val="24"/>
        </w:rPr>
        <w:t xml:space="preserve">morbidity and complexity are the norm, which increases stress on patients seeking help for these problems and limits treatment effectiveness. The Report’s recommendation to increase the number of sessions available under MBS for psychological interventions for certain disorders recognises this but also needs to consider the level of competencies of the practitioners who will deliver these extended interventions and the support offered to practitioners by the setting in which they work. </w:t>
      </w:r>
      <w:r w:rsidR="00A51E99">
        <w:rPr>
          <w:rFonts w:cstheme="minorHAnsi"/>
          <w:sz w:val="24"/>
          <w:szCs w:val="24"/>
        </w:rPr>
        <w:t>Moreover,</w:t>
      </w:r>
      <w:r w:rsidR="00493308">
        <w:rPr>
          <w:rFonts w:cstheme="minorHAnsi"/>
          <w:sz w:val="24"/>
          <w:szCs w:val="24"/>
        </w:rPr>
        <w:t xml:space="preserve"> </w:t>
      </w:r>
      <w:r w:rsidR="00185C0C">
        <w:rPr>
          <w:rFonts w:cstheme="minorHAnsi"/>
          <w:sz w:val="24"/>
          <w:szCs w:val="24"/>
        </w:rPr>
        <w:t>merely increasing access to clinicians operating alone (as encouraged by f</w:t>
      </w:r>
      <w:r w:rsidR="009B2333">
        <w:rPr>
          <w:rFonts w:cstheme="minorHAnsi"/>
          <w:sz w:val="24"/>
          <w:szCs w:val="24"/>
        </w:rPr>
        <w:t>ee for service</w:t>
      </w:r>
      <w:r w:rsidR="00185C0C">
        <w:rPr>
          <w:rFonts w:cstheme="minorHAnsi"/>
          <w:sz w:val="24"/>
          <w:szCs w:val="24"/>
        </w:rPr>
        <w:t>)</w:t>
      </w:r>
      <w:r w:rsidR="009B2333">
        <w:rPr>
          <w:rFonts w:cstheme="minorHAnsi"/>
          <w:sz w:val="24"/>
          <w:szCs w:val="24"/>
        </w:rPr>
        <w:t xml:space="preserve"> </w:t>
      </w:r>
      <w:r w:rsidR="007C635C">
        <w:rPr>
          <w:rFonts w:cstheme="minorHAnsi"/>
          <w:sz w:val="24"/>
          <w:szCs w:val="24"/>
        </w:rPr>
        <w:t>fails to spur</w:t>
      </w:r>
      <w:r w:rsidR="009B2333">
        <w:rPr>
          <w:rFonts w:cstheme="minorHAnsi"/>
          <w:sz w:val="24"/>
          <w:szCs w:val="24"/>
        </w:rPr>
        <w:t xml:space="preserve"> the development of the collaborative care necessary to respond</w:t>
      </w:r>
      <w:r w:rsidR="00185C0C">
        <w:rPr>
          <w:rFonts w:cstheme="minorHAnsi"/>
          <w:sz w:val="24"/>
          <w:szCs w:val="24"/>
        </w:rPr>
        <w:t xml:space="preserve"> effectively</w:t>
      </w:r>
      <w:r w:rsidR="009B2333">
        <w:rPr>
          <w:rFonts w:cstheme="minorHAnsi"/>
          <w:sz w:val="24"/>
          <w:szCs w:val="24"/>
        </w:rPr>
        <w:t xml:space="preserve"> to complexity and comorbidity (Institute of Medicine</w:t>
      </w:r>
      <w:r w:rsidR="00185C0C">
        <w:rPr>
          <w:rFonts w:cstheme="minorHAnsi"/>
          <w:sz w:val="24"/>
          <w:szCs w:val="24"/>
        </w:rPr>
        <w:t xml:space="preserve"> 2006).</w:t>
      </w:r>
    </w:p>
    <w:p w14:paraId="029A371C" w14:textId="77777777" w:rsidR="009B2333" w:rsidRPr="009B2333" w:rsidRDefault="009B2333" w:rsidP="009B2333">
      <w:pPr>
        <w:pStyle w:val="ListParagraph"/>
        <w:spacing w:line="276" w:lineRule="auto"/>
        <w:ind w:left="360"/>
        <w:rPr>
          <w:rFonts w:cstheme="minorHAnsi"/>
          <w:sz w:val="24"/>
          <w:szCs w:val="24"/>
        </w:rPr>
      </w:pPr>
    </w:p>
    <w:p w14:paraId="7C76AC76" w14:textId="7BE9BDC7" w:rsidR="00E0550D" w:rsidRDefault="00E0550D" w:rsidP="009B2333">
      <w:pPr>
        <w:pStyle w:val="ListParagraph"/>
        <w:numPr>
          <w:ilvl w:val="0"/>
          <w:numId w:val="18"/>
        </w:numPr>
        <w:spacing w:line="276" w:lineRule="auto"/>
        <w:ind w:left="360"/>
        <w:rPr>
          <w:rFonts w:cstheme="minorHAnsi"/>
          <w:sz w:val="24"/>
          <w:szCs w:val="24"/>
        </w:rPr>
      </w:pPr>
      <w:r w:rsidRPr="009B2333">
        <w:rPr>
          <w:rFonts w:cstheme="minorHAnsi"/>
          <w:sz w:val="24"/>
          <w:szCs w:val="24"/>
        </w:rPr>
        <w:t xml:space="preserve">The adequate numbers of psychologists noted by the Report also masks real issues in the quality of this workforce. The modal standard for registration as a psychologist in Australia is a four-year </w:t>
      </w:r>
      <w:r w:rsidR="009509CD" w:rsidRPr="009B2333">
        <w:rPr>
          <w:rFonts w:cstheme="minorHAnsi"/>
          <w:sz w:val="24"/>
          <w:szCs w:val="24"/>
        </w:rPr>
        <w:t>Bachelor’s</w:t>
      </w:r>
      <w:r w:rsidRPr="009B2333">
        <w:rPr>
          <w:rFonts w:cstheme="minorHAnsi"/>
          <w:sz w:val="24"/>
          <w:szCs w:val="24"/>
        </w:rPr>
        <w:t xml:space="preserve"> degree. This is significantly below international standards for registration or licensing of individuals as practicing psychologists in order to provide psychological treatments. The US, Canada, the UK, and most European countries all require at least six years of university-based education as the basic standard for accreditation of psychologists and clinical psychologists before they can practice.  The US, Canada, and the UK also have a longer doctoral level qualification as the requirement. This gap represents an ongoing challenge to the reform recommendations of the Report.   </w:t>
      </w:r>
    </w:p>
    <w:p w14:paraId="70680055" w14:textId="77777777" w:rsidR="00185C0C" w:rsidRPr="009B2333" w:rsidRDefault="00185C0C" w:rsidP="00185C0C">
      <w:pPr>
        <w:pStyle w:val="ListParagraph"/>
        <w:spacing w:line="276" w:lineRule="auto"/>
        <w:ind w:left="360"/>
        <w:rPr>
          <w:rFonts w:cstheme="minorHAnsi"/>
          <w:sz w:val="24"/>
          <w:szCs w:val="24"/>
        </w:rPr>
      </w:pPr>
    </w:p>
    <w:p w14:paraId="6FC32A05" w14:textId="24944904" w:rsidR="00E0550D" w:rsidRDefault="00E0550D" w:rsidP="00EA1199">
      <w:pPr>
        <w:pStyle w:val="ListParagraph"/>
        <w:numPr>
          <w:ilvl w:val="0"/>
          <w:numId w:val="18"/>
        </w:numPr>
        <w:spacing w:line="276" w:lineRule="auto"/>
        <w:ind w:left="360"/>
        <w:rPr>
          <w:rFonts w:cstheme="minorHAnsi"/>
          <w:sz w:val="24"/>
          <w:szCs w:val="24"/>
        </w:rPr>
      </w:pPr>
      <w:r w:rsidRPr="009B2333">
        <w:rPr>
          <w:rFonts w:cstheme="minorHAnsi"/>
          <w:sz w:val="24"/>
          <w:szCs w:val="24"/>
        </w:rPr>
        <w:lastRenderedPageBreak/>
        <w:t xml:space="preserve">The </w:t>
      </w:r>
      <w:r w:rsidR="00185C0C">
        <w:rPr>
          <w:rFonts w:cstheme="minorHAnsi"/>
          <w:sz w:val="24"/>
          <w:szCs w:val="24"/>
        </w:rPr>
        <w:t xml:space="preserve">draft </w:t>
      </w:r>
      <w:r w:rsidRPr="009B2333">
        <w:rPr>
          <w:rFonts w:cstheme="minorHAnsi"/>
          <w:sz w:val="24"/>
          <w:szCs w:val="24"/>
        </w:rPr>
        <w:t>Report notes that many of the initiatives and major changes in the delivery of mental health care, particularly in psychological interventions, in Australia such as Better Access and Headspace have been implemented without a corresponding plan to ensure evaluation of their impacts and accountability for their benefits and harms. It is important that changes resulting from the reform agenda and recommendations of the Report be independently evaluated. For example, the Report’s support for the rapid</w:t>
      </w:r>
      <w:r w:rsidRPr="009B2333">
        <w:rPr>
          <w:rFonts w:eastAsia="Times New Roman" w:cstheme="minorHAnsi"/>
          <w:bCs/>
          <w:sz w:val="24"/>
          <w:szCs w:val="24"/>
          <w:lang w:eastAsia="en-AU"/>
        </w:rPr>
        <w:t xml:space="preserve"> expansion of applications aimed at translating cognitive–behavioural and other psychological interventions to digital platforms in the absence of a regulatory framework for ensuring the quality and efficacy of these platforms in order to protect consumers,</w:t>
      </w:r>
      <w:r w:rsidRPr="009B2333">
        <w:rPr>
          <w:rFonts w:cstheme="minorHAnsi"/>
          <w:sz w:val="24"/>
          <w:szCs w:val="24"/>
        </w:rPr>
        <w:t xml:space="preserve"> risks repeating previous failed innovations. The integration of these modes of delivery into the mental health system needs to be done in a way that prioritises accountability and evidence over advocacy. For example, a recent study (Larsen et al., 2019) found that, of 46 apps which </w:t>
      </w:r>
      <w:r w:rsidRPr="009B2333">
        <w:rPr>
          <w:rFonts w:cstheme="minorHAnsi"/>
          <w:color w:val="222222"/>
          <w:sz w:val="24"/>
          <w:szCs w:val="24"/>
        </w:rPr>
        <w:t xml:space="preserve">claimed effectiveness at diagnosing a mental health condition, improving symptoms, or enhancing self-management of the condition, only two described any evidence to support the use of the app and only one included a citation to published literature to allow peer review of the claims. None referenced a certification or accreditation processes. Thus the Report’s recommendations in this regard need to be accompanied by the introduction of an independent body to evaluate and accredit mental health devices such as apps and online treatment programs in line with the accreditation of practitioners who deliver psychological assessments and interventions in-person or via technology such as videoconferencing. </w:t>
      </w:r>
      <w:r w:rsidRPr="009B2333">
        <w:rPr>
          <w:rFonts w:cstheme="minorHAnsi"/>
          <w:sz w:val="24"/>
          <w:szCs w:val="24"/>
        </w:rPr>
        <w:t xml:space="preserve">   </w:t>
      </w:r>
    </w:p>
    <w:p w14:paraId="67C1E1D0" w14:textId="77777777" w:rsidR="00185C0C" w:rsidRPr="009B2333" w:rsidRDefault="00185C0C" w:rsidP="00EA1199">
      <w:pPr>
        <w:pStyle w:val="ListParagraph"/>
        <w:spacing w:line="276" w:lineRule="auto"/>
        <w:ind w:left="360" w:hanging="360"/>
        <w:rPr>
          <w:rFonts w:cstheme="minorHAnsi"/>
          <w:sz w:val="24"/>
          <w:szCs w:val="24"/>
        </w:rPr>
      </w:pPr>
    </w:p>
    <w:p w14:paraId="7DE0C78F" w14:textId="4061BF7E" w:rsidR="00185C0C" w:rsidRDefault="00E0550D" w:rsidP="00EA1199">
      <w:pPr>
        <w:pStyle w:val="ListParagraph"/>
        <w:numPr>
          <w:ilvl w:val="0"/>
          <w:numId w:val="18"/>
        </w:numPr>
        <w:spacing w:line="276" w:lineRule="auto"/>
        <w:ind w:left="360"/>
        <w:rPr>
          <w:rFonts w:cstheme="minorHAnsi"/>
          <w:sz w:val="24"/>
          <w:szCs w:val="24"/>
        </w:rPr>
      </w:pPr>
      <w:r w:rsidRPr="009B2333">
        <w:rPr>
          <w:rFonts w:cstheme="minorHAnsi"/>
          <w:sz w:val="24"/>
          <w:szCs w:val="24"/>
        </w:rPr>
        <w:t xml:space="preserve">Many researchers have documented the quality gap in mental health care in Australia (e.g., Jorm, 2015; 2019). Sawyer et al. (2019) noted that only 12% of children and adolescents with a mental disorder had direct contact with a health professional to allow provision of minimally adequate treatment, while Hobbs et al. (2015) reported that only 16% of adults with a mood or anxiety disorder received minimally adequate treatment. While there are many reasons for these shameful figures, improving the models of training of health practitioners in mental health (e.g., nurses and GPs) as the Report suggests must take a central role in reducing this quality gap. </w:t>
      </w:r>
    </w:p>
    <w:p w14:paraId="2D2FE519" w14:textId="00FC1EEB" w:rsidR="00E0550D" w:rsidRPr="00EA1199" w:rsidRDefault="00E0550D" w:rsidP="00EA1199">
      <w:pPr>
        <w:spacing w:line="276" w:lineRule="auto"/>
        <w:ind w:left="360"/>
        <w:rPr>
          <w:rFonts w:cstheme="minorHAnsi"/>
          <w:sz w:val="24"/>
          <w:szCs w:val="24"/>
        </w:rPr>
      </w:pPr>
      <w:r w:rsidRPr="00EA1199">
        <w:rPr>
          <w:rFonts w:cstheme="minorHAnsi"/>
          <w:sz w:val="24"/>
          <w:szCs w:val="24"/>
        </w:rPr>
        <w:t xml:space="preserve">Psychologists’ training and skills will equip them well to be at the forefront in upskilling other professionals in psychological assessment and treatment. The university sector will be a key partner in the reform agenda to reduce this quality gap. </w:t>
      </w:r>
    </w:p>
    <w:p w14:paraId="233D04C2" w14:textId="77777777" w:rsidR="00185C0C" w:rsidRPr="0041162A" w:rsidRDefault="00185C0C" w:rsidP="00185C0C">
      <w:pPr>
        <w:rPr>
          <w:rFonts w:cstheme="minorHAnsi"/>
          <w:b/>
          <w:bCs/>
          <w:sz w:val="24"/>
          <w:szCs w:val="24"/>
        </w:rPr>
      </w:pPr>
      <w:r w:rsidRPr="0041162A">
        <w:rPr>
          <w:rFonts w:cstheme="minorHAnsi"/>
          <w:b/>
          <w:bCs/>
          <w:sz w:val="24"/>
          <w:szCs w:val="24"/>
        </w:rPr>
        <w:t>Suggestions for the Final Report:</w:t>
      </w:r>
    </w:p>
    <w:p w14:paraId="169609E1" w14:textId="2DB44C1A" w:rsidR="00E0550D" w:rsidRDefault="00185C0C" w:rsidP="00185C0C">
      <w:pPr>
        <w:spacing w:line="276" w:lineRule="auto"/>
        <w:rPr>
          <w:rFonts w:cstheme="minorHAnsi"/>
          <w:sz w:val="24"/>
          <w:szCs w:val="24"/>
        </w:rPr>
      </w:pPr>
      <w:r>
        <w:rPr>
          <w:rFonts w:cstheme="minorHAnsi"/>
          <w:sz w:val="24"/>
          <w:szCs w:val="24"/>
        </w:rPr>
        <w:t xml:space="preserve">Given the factors above, </w:t>
      </w:r>
      <w:r w:rsidR="00E0550D" w:rsidRPr="009B2333">
        <w:rPr>
          <w:rFonts w:cstheme="minorHAnsi"/>
          <w:sz w:val="24"/>
          <w:szCs w:val="24"/>
        </w:rPr>
        <w:t xml:space="preserve">together with the recommendations </w:t>
      </w:r>
      <w:r>
        <w:rPr>
          <w:rFonts w:cstheme="minorHAnsi"/>
          <w:sz w:val="24"/>
          <w:szCs w:val="24"/>
        </w:rPr>
        <w:t>already made in the draft report, the Inquiry’s final report could point t</w:t>
      </w:r>
      <w:r w:rsidR="00E0550D" w:rsidRPr="009B2333">
        <w:rPr>
          <w:rFonts w:cstheme="minorHAnsi"/>
          <w:sz w:val="24"/>
          <w:szCs w:val="24"/>
        </w:rPr>
        <w:t xml:space="preserve">o a model in which the role of psychologists (and especially clinical psychologists whose training matches that of international standards) will be more fully utilised so that they can: </w:t>
      </w:r>
    </w:p>
    <w:p w14:paraId="78D84673" w14:textId="77777777" w:rsidR="003F43E9" w:rsidRPr="009B2333" w:rsidRDefault="003F43E9" w:rsidP="00185C0C">
      <w:pPr>
        <w:spacing w:line="276" w:lineRule="auto"/>
        <w:rPr>
          <w:rFonts w:cstheme="minorHAnsi"/>
          <w:sz w:val="24"/>
          <w:szCs w:val="24"/>
        </w:rPr>
      </w:pPr>
    </w:p>
    <w:p w14:paraId="1505A953" w14:textId="77777777" w:rsidR="00E0550D" w:rsidRPr="009B2333" w:rsidRDefault="00E0550D" w:rsidP="00185C0C">
      <w:pPr>
        <w:pStyle w:val="ListParagraph"/>
        <w:numPr>
          <w:ilvl w:val="3"/>
          <w:numId w:val="18"/>
        </w:numPr>
        <w:spacing w:line="276" w:lineRule="auto"/>
        <w:ind w:left="491" w:hanging="425"/>
        <w:rPr>
          <w:rFonts w:cstheme="minorHAnsi"/>
          <w:sz w:val="24"/>
          <w:szCs w:val="24"/>
        </w:rPr>
      </w:pPr>
      <w:r w:rsidRPr="009B2333">
        <w:rPr>
          <w:rFonts w:cstheme="minorHAnsi"/>
          <w:sz w:val="24"/>
          <w:szCs w:val="24"/>
        </w:rPr>
        <w:lastRenderedPageBreak/>
        <w:t>use their skills and knowledge to work with partners to develop and evaluate prevention and early intervention programs across the lifespan;</w:t>
      </w:r>
    </w:p>
    <w:p w14:paraId="153D8B8E" w14:textId="77777777" w:rsidR="00E0550D" w:rsidRPr="009B2333" w:rsidRDefault="00E0550D" w:rsidP="00185C0C">
      <w:pPr>
        <w:pStyle w:val="ListParagraph"/>
        <w:numPr>
          <w:ilvl w:val="3"/>
          <w:numId w:val="18"/>
        </w:numPr>
        <w:spacing w:line="276" w:lineRule="auto"/>
        <w:ind w:left="491" w:hanging="425"/>
        <w:rPr>
          <w:rFonts w:cstheme="minorHAnsi"/>
          <w:sz w:val="24"/>
          <w:szCs w:val="24"/>
        </w:rPr>
      </w:pPr>
      <w:r w:rsidRPr="009B2333">
        <w:rPr>
          <w:rFonts w:cstheme="minorHAnsi"/>
          <w:sz w:val="24"/>
          <w:szCs w:val="24"/>
        </w:rPr>
        <w:t xml:space="preserve">work in collaborative models of care, especially for moderate-severe mental health problems in private </w:t>
      </w:r>
      <w:r w:rsidRPr="009B2333">
        <w:rPr>
          <w:rFonts w:cstheme="minorHAnsi"/>
          <w:i/>
          <w:sz w:val="24"/>
          <w:szCs w:val="24"/>
        </w:rPr>
        <w:t>and</w:t>
      </w:r>
      <w:r w:rsidRPr="009B2333">
        <w:rPr>
          <w:rFonts w:cstheme="minorHAnsi"/>
          <w:sz w:val="24"/>
          <w:szCs w:val="24"/>
        </w:rPr>
        <w:t xml:space="preserve"> public settings, and resourced to see patients for the required number of sessions for effective treatment; </w:t>
      </w:r>
    </w:p>
    <w:p w14:paraId="751F751D" w14:textId="77777777" w:rsidR="00E0550D" w:rsidRPr="009B2333" w:rsidRDefault="00E0550D" w:rsidP="00185C0C">
      <w:pPr>
        <w:pStyle w:val="ListParagraph"/>
        <w:numPr>
          <w:ilvl w:val="3"/>
          <w:numId w:val="18"/>
        </w:numPr>
        <w:spacing w:line="276" w:lineRule="auto"/>
        <w:ind w:left="491" w:hanging="425"/>
        <w:rPr>
          <w:rFonts w:cstheme="minorHAnsi"/>
          <w:sz w:val="24"/>
          <w:szCs w:val="24"/>
        </w:rPr>
      </w:pPr>
      <w:r w:rsidRPr="009B2333">
        <w:rPr>
          <w:rFonts w:cstheme="minorHAnsi"/>
          <w:sz w:val="24"/>
          <w:szCs w:val="24"/>
        </w:rPr>
        <w:t xml:space="preserve">utilise their training in the scientist-practitioner model to work with partners to incorporate accountability into their practice; </w:t>
      </w:r>
    </w:p>
    <w:p w14:paraId="52DCD205" w14:textId="77777777" w:rsidR="00E0550D" w:rsidRPr="009B2333" w:rsidRDefault="00E0550D" w:rsidP="00185C0C">
      <w:pPr>
        <w:pStyle w:val="ListParagraph"/>
        <w:numPr>
          <w:ilvl w:val="3"/>
          <w:numId w:val="18"/>
        </w:numPr>
        <w:spacing w:line="276" w:lineRule="auto"/>
        <w:ind w:left="491" w:hanging="425"/>
        <w:rPr>
          <w:rFonts w:cstheme="minorHAnsi"/>
          <w:sz w:val="24"/>
          <w:szCs w:val="24"/>
        </w:rPr>
      </w:pPr>
      <w:r w:rsidRPr="009B2333">
        <w:rPr>
          <w:rFonts w:cstheme="minorHAnsi"/>
          <w:sz w:val="24"/>
          <w:szCs w:val="24"/>
        </w:rPr>
        <w:t>apply blended models of delivery of psychological interventions incorporating technological approaches (e.g., videoconferencing) as informed by the science; and</w:t>
      </w:r>
    </w:p>
    <w:p w14:paraId="7C71E6A6" w14:textId="77777777" w:rsidR="00E0550D" w:rsidRPr="009B2333" w:rsidRDefault="00E0550D" w:rsidP="00185C0C">
      <w:pPr>
        <w:pStyle w:val="ListParagraph"/>
        <w:numPr>
          <w:ilvl w:val="3"/>
          <w:numId w:val="18"/>
        </w:numPr>
        <w:spacing w:line="276" w:lineRule="auto"/>
        <w:ind w:left="491" w:hanging="425"/>
        <w:rPr>
          <w:rFonts w:cstheme="minorHAnsi"/>
          <w:sz w:val="24"/>
          <w:szCs w:val="24"/>
        </w:rPr>
      </w:pPr>
      <w:r w:rsidRPr="009B2333">
        <w:rPr>
          <w:rFonts w:cstheme="minorHAnsi"/>
          <w:sz w:val="24"/>
          <w:szCs w:val="24"/>
        </w:rPr>
        <w:t xml:space="preserve">play a pivotal role in upskilling other health professionals in psychological prevention, assessment, and treatment. </w:t>
      </w:r>
    </w:p>
    <w:p w14:paraId="38AA7088" w14:textId="6C3189CC" w:rsidR="00E0550D" w:rsidRDefault="00E0550D" w:rsidP="00185C0C">
      <w:pPr>
        <w:pStyle w:val="Heading2"/>
      </w:pPr>
      <w:bookmarkStart w:id="30" w:name="_Toc29197251"/>
      <w:r w:rsidRPr="009B2333">
        <w:t>Mental Health Treatment Plans</w:t>
      </w:r>
      <w:bookmarkEnd w:id="30"/>
    </w:p>
    <w:p w14:paraId="438059EF" w14:textId="77777777" w:rsidR="00185C0C" w:rsidRPr="00185C0C" w:rsidRDefault="00185C0C" w:rsidP="00185C0C">
      <w:pPr>
        <w:spacing w:after="0" w:line="240" w:lineRule="auto"/>
      </w:pPr>
    </w:p>
    <w:p w14:paraId="7DABDF8E" w14:textId="35650579" w:rsidR="00E0550D" w:rsidRPr="009B2333" w:rsidRDefault="00E0550D" w:rsidP="00E0550D">
      <w:pPr>
        <w:spacing w:line="276" w:lineRule="auto"/>
        <w:rPr>
          <w:rFonts w:cstheme="minorHAnsi"/>
          <w:sz w:val="24"/>
          <w:szCs w:val="24"/>
        </w:rPr>
      </w:pPr>
      <w:r w:rsidRPr="009B2333">
        <w:rPr>
          <w:rFonts w:cstheme="minorHAnsi"/>
          <w:sz w:val="24"/>
          <w:szCs w:val="24"/>
        </w:rPr>
        <w:t xml:space="preserve">The Report requests further information regarding Mental Health Treatment Plans (MHTP) (Information request 5.2), including whether an MHTP Review be required to access additional sessions or whether a new referral will suffice. </w:t>
      </w:r>
      <w:r w:rsidRPr="009B2333">
        <w:rPr>
          <w:rFonts w:cstheme="minorHAnsi"/>
          <w:iCs/>
          <w:color w:val="000000" w:themeColor="text1"/>
          <w:sz w:val="24"/>
          <w:szCs w:val="24"/>
        </w:rPr>
        <w:t>At that stage in the treatment process, the treating clinician will have a deep understanding of the patient’s condition. They will have reported outcomes and provided a rationale for continuing treatment with additional sessions. As such, it may be more efficient for referring GPs to provide a referral for the additional sessions, rather than requiring them to complete the formal MHTP Review.</w:t>
      </w:r>
      <w:r w:rsidR="00185C0C">
        <w:rPr>
          <w:rFonts w:cstheme="minorHAnsi"/>
          <w:iCs/>
          <w:color w:val="000000" w:themeColor="text1"/>
          <w:sz w:val="24"/>
          <w:szCs w:val="24"/>
        </w:rPr>
        <w:t xml:space="preserve"> This issue could be considered as part of broader consideration of accountability in relation to the provision of mental health services under Medicare</w:t>
      </w:r>
      <w:r w:rsidR="00A30791">
        <w:rPr>
          <w:rFonts w:cstheme="minorHAnsi"/>
          <w:iCs/>
          <w:color w:val="000000" w:themeColor="text1"/>
          <w:sz w:val="24"/>
          <w:szCs w:val="24"/>
        </w:rPr>
        <w:t xml:space="preserve"> (Rosenberg and Hickie 2019)</w:t>
      </w:r>
      <w:r w:rsidR="00185C0C">
        <w:rPr>
          <w:rFonts w:cstheme="minorHAnsi"/>
          <w:iCs/>
          <w:color w:val="000000" w:themeColor="text1"/>
          <w:sz w:val="24"/>
          <w:szCs w:val="24"/>
        </w:rPr>
        <w:t>.</w:t>
      </w:r>
    </w:p>
    <w:p w14:paraId="7A963D8B" w14:textId="36E85E88" w:rsidR="00E0550D" w:rsidRDefault="00E0550D" w:rsidP="00185C0C">
      <w:pPr>
        <w:pStyle w:val="Heading2"/>
      </w:pPr>
      <w:bookmarkStart w:id="31" w:name="_Toc29197252"/>
      <w:r w:rsidRPr="009B2333">
        <w:t>The Need to Build a Strong Evidence Base and Evaluative Feedback</w:t>
      </w:r>
      <w:bookmarkEnd w:id="31"/>
    </w:p>
    <w:p w14:paraId="0B7F5A48" w14:textId="77777777" w:rsidR="00185C0C" w:rsidRPr="00185C0C" w:rsidRDefault="00185C0C" w:rsidP="00185C0C">
      <w:pPr>
        <w:spacing w:after="0" w:line="240" w:lineRule="auto"/>
      </w:pPr>
    </w:p>
    <w:p w14:paraId="097FDC6B" w14:textId="09379BEA" w:rsidR="00A30791" w:rsidRDefault="00E0550D" w:rsidP="00E0550D">
      <w:pPr>
        <w:spacing w:line="276" w:lineRule="auto"/>
        <w:rPr>
          <w:rFonts w:cstheme="minorHAnsi"/>
          <w:sz w:val="24"/>
          <w:szCs w:val="24"/>
        </w:rPr>
      </w:pPr>
      <w:r w:rsidRPr="009B2333">
        <w:rPr>
          <w:rFonts w:cstheme="minorHAnsi"/>
          <w:sz w:val="24"/>
          <w:szCs w:val="24"/>
        </w:rPr>
        <w:t>At many junctures, the Report advocates for reforms suggested and supported by scientific evidence. In addition, it recognises that many areas of knowledge are weak and that a stronger evidence-base is required</w:t>
      </w:r>
      <w:r w:rsidR="00A30791">
        <w:rPr>
          <w:rFonts w:cstheme="minorHAnsi"/>
          <w:sz w:val="24"/>
          <w:szCs w:val="24"/>
        </w:rPr>
        <w:t>.</w:t>
      </w:r>
      <w:r w:rsidRPr="009B2333">
        <w:rPr>
          <w:rFonts w:cstheme="minorHAnsi"/>
          <w:sz w:val="24"/>
          <w:szCs w:val="24"/>
        </w:rPr>
        <w:t xml:space="preserve"> Finally, the Report acknowledges the crucial role of the empirical evaluation of mental health systems and the efficacy of mental health interventions and reforms. </w:t>
      </w:r>
    </w:p>
    <w:p w14:paraId="3B192096" w14:textId="77777777" w:rsidR="003F43E9" w:rsidRDefault="00E0550D" w:rsidP="00E0550D">
      <w:pPr>
        <w:spacing w:line="276" w:lineRule="auto"/>
        <w:rPr>
          <w:rFonts w:cstheme="minorHAnsi"/>
          <w:sz w:val="24"/>
          <w:szCs w:val="24"/>
        </w:rPr>
      </w:pPr>
      <w:r w:rsidRPr="009B2333">
        <w:rPr>
          <w:rFonts w:cstheme="minorHAnsi"/>
          <w:sz w:val="24"/>
          <w:szCs w:val="24"/>
        </w:rPr>
        <w:t xml:space="preserve">We strongly endorse the Report’s recognition of clinical science as an invaluable tool towards the efficacious, ethical, and efficient development and distribution of mental health resources. However, we also recommend that the Report go further in recommending methods by which these outcomes can be achieved. For example, crucial to achieving evidence-informed care is the need for embedding personnel with appropriate training and expertise within clinical enterprises so that evaluative tools can be seamlessly integrated with practice. Given its emphasis on training empirical and analytic skills under the Scientist-Practitioner model, psychology is well-positioned to supply the workforce needed to achieve better evaluation outcomes. </w:t>
      </w:r>
    </w:p>
    <w:p w14:paraId="70C3EBF0" w14:textId="1C13B525" w:rsidR="00E0550D" w:rsidRPr="009B2333" w:rsidRDefault="00E0550D" w:rsidP="00E0550D">
      <w:pPr>
        <w:spacing w:line="276" w:lineRule="auto"/>
        <w:rPr>
          <w:rFonts w:cstheme="minorHAnsi"/>
          <w:sz w:val="24"/>
          <w:szCs w:val="24"/>
        </w:rPr>
      </w:pPr>
      <w:r w:rsidRPr="009B2333">
        <w:rPr>
          <w:rFonts w:cstheme="minorHAnsi"/>
          <w:sz w:val="24"/>
          <w:szCs w:val="24"/>
        </w:rPr>
        <w:lastRenderedPageBreak/>
        <w:t xml:space="preserve">In addition, we encourage the Report to also emphasize the need for governments to adequately resource mental health evaluation efforts in order that clinicians, administrators, and policy makers have the very best data on which to base the very best decisions and initiatives. </w:t>
      </w:r>
    </w:p>
    <w:p w14:paraId="20FE3D68" w14:textId="77777777" w:rsidR="008A4BD3" w:rsidRPr="009B2333" w:rsidRDefault="008A4BD3" w:rsidP="008A4BD3">
      <w:pPr>
        <w:ind w:left="360"/>
        <w:rPr>
          <w:rFonts w:cstheme="minorHAnsi"/>
          <w:b/>
          <w:sz w:val="24"/>
          <w:szCs w:val="24"/>
        </w:rPr>
      </w:pPr>
    </w:p>
    <w:p w14:paraId="54867960" w14:textId="77777777" w:rsidR="008A4BD3" w:rsidRPr="009B2333" w:rsidRDefault="008A4BD3" w:rsidP="008A4BD3">
      <w:pPr>
        <w:rPr>
          <w:rFonts w:cstheme="minorHAnsi"/>
          <w:b/>
          <w:i/>
          <w:sz w:val="24"/>
          <w:szCs w:val="24"/>
        </w:rPr>
      </w:pPr>
      <w:r w:rsidRPr="009B2333">
        <w:rPr>
          <w:rFonts w:cstheme="minorHAnsi"/>
          <w:b/>
          <w:i/>
          <w:sz w:val="24"/>
          <w:szCs w:val="24"/>
        </w:rPr>
        <w:br w:type="page"/>
      </w:r>
    </w:p>
    <w:p w14:paraId="45EB335D" w14:textId="51BBFE29" w:rsidR="008A4BD3" w:rsidRDefault="008A4BD3" w:rsidP="00AC16FC">
      <w:pPr>
        <w:pStyle w:val="Heading1"/>
      </w:pPr>
      <w:bookmarkStart w:id="32" w:name="_Toc29197253"/>
      <w:r w:rsidRPr="00074904">
        <w:lastRenderedPageBreak/>
        <w:t>References</w:t>
      </w:r>
      <w:bookmarkEnd w:id="32"/>
    </w:p>
    <w:p w14:paraId="34125D63" w14:textId="77777777" w:rsidR="00FE72CF" w:rsidRPr="00FE72CF" w:rsidRDefault="00FE72CF" w:rsidP="00AC16FC">
      <w:pPr>
        <w:spacing w:after="0" w:line="240" w:lineRule="auto"/>
      </w:pPr>
    </w:p>
    <w:p w14:paraId="6B1E484E" w14:textId="77777777" w:rsidR="008A4BD3" w:rsidRPr="0026096A" w:rsidRDefault="008A4BD3" w:rsidP="0026096A">
      <w:pPr>
        <w:pStyle w:val="EndNoteBibliography"/>
        <w:spacing w:after="0"/>
        <w:ind w:left="720" w:hanging="720"/>
        <w:rPr>
          <w:rFonts w:asciiTheme="minorHAnsi" w:hAnsiTheme="minorHAnsi" w:cstheme="minorHAnsi"/>
          <w:sz w:val="24"/>
          <w:szCs w:val="24"/>
        </w:rPr>
      </w:pPr>
      <w:r w:rsidRPr="0026096A">
        <w:rPr>
          <w:rFonts w:asciiTheme="minorHAnsi" w:hAnsiTheme="minorHAnsi" w:cstheme="minorHAnsi"/>
          <w:b/>
          <w:i/>
          <w:sz w:val="24"/>
          <w:szCs w:val="24"/>
        </w:rPr>
        <w:fldChar w:fldCharType="begin"/>
      </w:r>
      <w:r w:rsidRPr="0026096A">
        <w:rPr>
          <w:rFonts w:asciiTheme="minorHAnsi" w:hAnsiTheme="minorHAnsi" w:cstheme="minorHAnsi"/>
          <w:b/>
          <w:i/>
          <w:sz w:val="24"/>
          <w:szCs w:val="24"/>
        </w:rPr>
        <w:instrText xml:space="preserve"> ADDIN EN.REFLIST </w:instrText>
      </w:r>
      <w:r w:rsidRPr="0026096A">
        <w:rPr>
          <w:rFonts w:asciiTheme="minorHAnsi" w:hAnsiTheme="minorHAnsi" w:cstheme="minorHAnsi"/>
          <w:b/>
          <w:i/>
          <w:sz w:val="24"/>
          <w:szCs w:val="24"/>
        </w:rPr>
        <w:fldChar w:fldCharType="separate"/>
      </w:r>
      <w:r w:rsidRPr="0026096A">
        <w:rPr>
          <w:rFonts w:asciiTheme="minorHAnsi" w:hAnsiTheme="minorHAnsi" w:cstheme="minorHAnsi"/>
          <w:sz w:val="24"/>
          <w:szCs w:val="24"/>
        </w:rPr>
        <w:t xml:space="preserve">AIFS. (2013). </w:t>
      </w:r>
      <w:r w:rsidRPr="0026096A">
        <w:rPr>
          <w:rFonts w:asciiTheme="minorHAnsi" w:hAnsiTheme="minorHAnsi" w:cstheme="minorHAnsi"/>
          <w:i/>
          <w:sz w:val="24"/>
          <w:szCs w:val="24"/>
        </w:rPr>
        <w:t>Growing up in Australia: The Longitudinal Study of Australian Children 2012-13 Annual Report</w:t>
      </w:r>
      <w:r w:rsidRPr="0026096A">
        <w:rPr>
          <w:rFonts w:asciiTheme="minorHAnsi" w:hAnsiTheme="minorHAnsi" w:cstheme="minorHAnsi"/>
          <w:sz w:val="24"/>
          <w:szCs w:val="24"/>
        </w:rPr>
        <w:t xml:space="preserve">.  Retrieved from </w:t>
      </w:r>
      <w:hyperlink r:id="rId21" w:history="1">
        <w:r w:rsidRPr="0026096A">
          <w:rPr>
            <w:rStyle w:val="Hyperlink"/>
            <w:rFonts w:asciiTheme="minorHAnsi" w:hAnsiTheme="minorHAnsi" w:cstheme="minorHAnsi"/>
            <w:sz w:val="24"/>
            <w:szCs w:val="24"/>
          </w:rPr>
          <w:t>https://www.dss.gov.au/sites/default/files/documents/09_2014/lsac_annual_report_-_22_sept_0.pdf</w:t>
        </w:r>
      </w:hyperlink>
      <w:r w:rsidRPr="0026096A">
        <w:rPr>
          <w:rFonts w:asciiTheme="minorHAnsi" w:hAnsiTheme="minorHAnsi" w:cstheme="minorHAnsi"/>
          <w:sz w:val="24"/>
          <w:szCs w:val="24"/>
        </w:rPr>
        <w:t>.</w:t>
      </w:r>
    </w:p>
    <w:p w14:paraId="4D1B8CD5" w14:textId="77777777" w:rsidR="0026096A" w:rsidRDefault="00D053C6" w:rsidP="0026096A">
      <w:pPr>
        <w:ind w:left="720" w:hanging="720"/>
        <w:contextualSpacing/>
        <w:rPr>
          <w:rFonts w:cstheme="minorHAnsi"/>
          <w:sz w:val="24"/>
          <w:szCs w:val="24"/>
        </w:rPr>
      </w:pPr>
      <w:r w:rsidRPr="0026096A">
        <w:rPr>
          <w:rFonts w:cstheme="minorHAnsi"/>
          <w:sz w:val="24"/>
          <w:szCs w:val="24"/>
        </w:rPr>
        <w:t>Anderson et al 2019, Implementation and cost effectiveness evaluation of an integrated mental health stepped care service for adults in primary care. International Journal of Integrated Care, 19</w:t>
      </w:r>
      <w:r w:rsidR="003F43E9" w:rsidRPr="0026096A">
        <w:rPr>
          <w:rFonts w:cstheme="minorHAnsi"/>
          <w:sz w:val="24"/>
          <w:szCs w:val="24"/>
        </w:rPr>
        <w:t>.</w:t>
      </w:r>
    </w:p>
    <w:p w14:paraId="03C8CA28" w14:textId="2D3B0AD6" w:rsidR="008A4BD3" w:rsidRPr="0026096A" w:rsidRDefault="008A4BD3" w:rsidP="0026096A">
      <w:pPr>
        <w:ind w:left="720" w:hanging="720"/>
        <w:contextualSpacing/>
        <w:rPr>
          <w:rFonts w:cstheme="minorHAnsi"/>
          <w:sz w:val="24"/>
          <w:szCs w:val="24"/>
        </w:rPr>
      </w:pPr>
      <w:r w:rsidRPr="0026096A">
        <w:rPr>
          <w:rFonts w:cstheme="minorHAnsi"/>
          <w:sz w:val="24"/>
          <w:szCs w:val="24"/>
        </w:rPr>
        <w:t xml:space="preserve">Australian Institute of Health and Welfare. (2011). </w:t>
      </w:r>
      <w:r w:rsidRPr="0026096A">
        <w:rPr>
          <w:rFonts w:cstheme="minorHAnsi"/>
          <w:i/>
          <w:sz w:val="24"/>
          <w:szCs w:val="24"/>
        </w:rPr>
        <w:t>Young Australians: Their Health and Well-Being 2011</w:t>
      </w:r>
      <w:r w:rsidRPr="0026096A">
        <w:rPr>
          <w:rFonts w:cstheme="minorHAnsi"/>
          <w:sz w:val="24"/>
          <w:szCs w:val="24"/>
        </w:rPr>
        <w:t>. Canberra: AIHW.</w:t>
      </w:r>
    </w:p>
    <w:p w14:paraId="1DB522D8" w14:textId="77777777" w:rsidR="0026096A" w:rsidRDefault="0026096A" w:rsidP="0026096A">
      <w:pPr>
        <w:ind w:left="720" w:hanging="720"/>
        <w:rPr>
          <w:rFonts w:cstheme="minorHAnsi"/>
          <w:sz w:val="24"/>
          <w:szCs w:val="24"/>
        </w:rPr>
      </w:pPr>
      <w:r w:rsidRPr="0026096A">
        <w:rPr>
          <w:rFonts w:cstheme="minorHAnsi"/>
          <w:sz w:val="24"/>
          <w:szCs w:val="24"/>
        </w:rPr>
        <w:t>Banfield, M. A., Barney, L. J., Griffiths, K. M., &amp; Christensen, H. M. (2014). Australian mental health consumers’ priorities for research: qualitative findings from the SCOPE for Research project. Health Expectations, 17(3), 365-375.</w:t>
      </w:r>
    </w:p>
    <w:p w14:paraId="6B27457B" w14:textId="77777777" w:rsidR="0026096A" w:rsidRDefault="00D053C6" w:rsidP="0026096A">
      <w:pPr>
        <w:ind w:left="720" w:hanging="720"/>
        <w:rPr>
          <w:rFonts w:cstheme="minorHAnsi"/>
          <w:sz w:val="24"/>
          <w:szCs w:val="24"/>
        </w:rPr>
      </w:pPr>
      <w:r w:rsidRPr="0026096A">
        <w:rPr>
          <w:rFonts w:cstheme="minorHAnsi"/>
          <w:sz w:val="24"/>
          <w:szCs w:val="24"/>
        </w:rPr>
        <w:t>Batterham et al 2015, Developing a roadmap for the translation of e-mental health services for depression. Australian &amp; New Zealand Journal of Psychiatry, 49, 776-784</w:t>
      </w:r>
    </w:p>
    <w:p w14:paraId="0C8E8C2C" w14:textId="77777777" w:rsidR="0026096A" w:rsidRDefault="00647EB4" w:rsidP="0026096A">
      <w:pPr>
        <w:ind w:left="720" w:hanging="720"/>
        <w:rPr>
          <w:rFonts w:cstheme="minorHAnsi"/>
          <w:sz w:val="24"/>
          <w:szCs w:val="24"/>
        </w:rPr>
      </w:pPr>
      <w:r w:rsidRPr="0026096A">
        <w:rPr>
          <w:rFonts w:cstheme="minorHAnsi"/>
          <w:sz w:val="24"/>
          <w:szCs w:val="24"/>
        </w:rPr>
        <w:t xml:space="preserve">Batterham, P. J., McGrath, J., McGorry, P. D., Kay-Lambkin, F. J., Hickie, I. B., &amp; Christensen, H. (2016). NHMRC funding of mental health research. Medical Journal of Australia, 205(8), 350-351. </w:t>
      </w:r>
    </w:p>
    <w:p w14:paraId="39D0BBF4" w14:textId="5BA60EB1" w:rsidR="00647EB4" w:rsidRPr="0026096A" w:rsidRDefault="00647EB4" w:rsidP="0026096A">
      <w:pPr>
        <w:ind w:left="720" w:hanging="720"/>
        <w:rPr>
          <w:rFonts w:cstheme="minorHAnsi"/>
          <w:sz w:val="24"/>
          <w:szCs w:val="24"/>
          <w:lang w:eastAsia="en-AU"/>
        </w:rPr>
      </w:pPr>
      <w:r w:rsidRPr="0026096A">
        <w:rPr>
          <w:rFonts w:cstheme="minorHAnsi"/>
          <w:sz w:val="24"/>
          <w:szCs w:val="24"/>
          <w:lang w:eastAsia="en-AU"/>
        </w:rPr>
        <w:t xml:space="preserve">Batterham et al 2018 Assessing distress in the community: psychometric properties and crosswalk comparison of eight measures of psychological distress. Psychological medicine, 48, 1316-1324). </w:t>
      </w:r>
    </w:p>
    <w:p w14:paraId="490010B6" w14:textId="3C704340" w:rsidR="008A4BD3" w:rsidRPr="0026096A" w:rsidRDefault="008A4BD3" w:rsidP="0026096A">
      <w:pPr>
        <w:pStyle w:val="EndNoteBibliography"/>
        <w:spacing w:after="0"/>
        <w:ind w:left="720" w:hanging="720"/>
        <w:contextualSpacing/>
        <w:rPr>
          <w:rFonts w:asciiTheme="minorHAnsi" w:hAnsiTheme="minorHAnsi" w:cstheme="minorHAnsi"/>
          <w:sz w:val="24"/>
          <w:szCs w:val="24"/>
        </w:rPr>
      </w:pPr>
      <w:r w:rsidRPr="0026096A">
        <w:rPr>
          <w:rFonts w:asciiTheme="minorHAnsi" w:hAnsiTheme="minorHAnsi" w:cstheme="minorHAnsi"/>
          <w:sz w:val="24"/>
          <w:szCs w:val="24"/>
        </w:rPr>
        <w:t xml:space="preserve">Boland, M. (2018). </w:t>
      </w:r>
      <w:r w:rsidRPr="0026096A">
        <w:rPr>
          <w:rFonts w:asciiTheme="minorHAnsi" w:hAnsiTheme="minorHAnsi" w:cstheme="minorHAnsi"/>
          <w:i/>
          <w:sz w:val="24"/>
          <w:szCs w:val="24"/>
        </w:rPr>
        <w:t>Review of the model Work Health and Safety laws- Final Report</w:t>
      </w:r>
      <w:r w:rsidRPr="0026096A">
        <w:rPr>
          <w:rFonts w:asciiTheme="minorHAnsi" w:hAnsiTheme="minorHAnsi" w:cstheme="minorHAnsi"/>
          <w:sz w:val="24"/>
          <w:szCs w:val="24"/>
        </w:rPr>
        <w:t>. Canberra: Safe Work Australia.</w:t>
      </w:r>
    </w:p>
    <w:p w14:paraId="228DE817" w14:textId="77777777" w:rsidR="008A4BD3" w:rsidRPr="0026096A" w:rsidRDefault="008A4BD3" w:rsidP="0026096A">
      <w:pPr>
        <w:pStyle w:val="EndNoteBibliography"/>
        <w:spacing w:after="0"/>
        <w:ind w:left="720" w:hanging="720"/>
        <w:contextualSpacing/>
        <w:rPr>
          <w:rFonts w:asciiTheme="minorHAnsi" w:hAnsiTheme="minorHAnsi" w:cstheme="minorHAnsi"/>
          <w:sz w:val="24"/>
          <w:szCs w:val="24"/>
        </w:rPr>
      </w:pPr>
      <w:r w:rsidRPr="0026096A">
        <w:rPr>
          <w:rFonts w:asciiTheme="minorHAnsi" w:hAnsiTheme="minorHAnsi" w:cstheme="minorHAnsi"/>
          <w:sz w:val="24"/>
          <w:szCs w:val="24"/>
        </w:rPr>
        <w:t xml:space="preserve">Browne, V., Munro, J., &amp; Cass, J. (2017). The mental health of Australian university students (Professional paper). </w:t>
      </w:r>
      <w:r w:rsidRPr="0026096A">
        <w:rPr>
          <w:rFonts w:asciiTheme="minorHAnsi" w:hAnsiTheme="minorHAnsi" w:cstheme="minorHAnsi"/>
          <w:i/>
          <w:sz w:val="24"/>
          <w:szCs w:val="24"/>
        </w:rPr>
        <w:t>Journal of the Australian and New Zealand Student Services Association, 50</w:t>
      </w:r>
      <w:r w:rsidRPr="0026096A">
        <w:rPr>
          <w:rFonts w:asciiTheme="minorHAnsi" w:hAnsiTheme="minorHAnsi" w:cstheme="minorHAnsi"/>
          <w:sz w:val="24"/>
          <w:szCs w:val="24"/>
        </w:rPr>
        <w:t xml:space="preserve">, 51-62. </w:t>
      </w:r>
    </w:p>
    <w:p w14:paraId="390D8941" w14:textId="77777777" w:rsidR="008A4BD3" w:rsidRPr="0026096A" w:rsidRDefault="008A4BD3" w:rsidP="0026096A">
      <w:pPr>
        <w:pStyle w:val="EndNoteBibliography"/>
        <w:spacing w:after="0"/>
        <w:ind w:left="720" w:hanging="720"/>
        <w:contextualSpacing/>
        <w:rPr>
          <w:rFonts w:asciiTheme="minorHAnsi" w:hAnsiTheme="minorHAnsi" w:cstheme="minorHAnsi"/>
          <w:sz w:val="24"/>
          <w:szCs w:val="24"/>
        </w:rPr>
      </w:pPr>
      <w:r w:rsidRPr="0026096A">
        <w:rPr>
          <w:rFonts w:asciiTheme="minorHAnsi" w:hAnsiTheme="minorHAnsi" w:cstheme="minorHAnsi"/>
          <w:sz w:val="24"/>
          <w:szCs w:val="24"/>
        </w:rPr>
        <w:t xml:space="preserve">Butterworth, P., Leach, L. S., &amp; Kiely, K. M. (2016). Why it’s important for it to stop: Examining the mental health correlates of bullying and ill-treatment at work in a cohort study. </w:t>
      </w:r>
      <w:r w:rsidRPr="0026096A">
        <w:rPr>
          <w:rFonts w:asciiTheme="minorHAnsi" w:hAnsiTheme="minorHAnsi" w:cstheme="minorHAnsi"/>
          <w:i/>
          <w:sz w:val="24"/>
          <w:szCs w:val="24"/>
        </w:rPr>
        <w:t>Australian &amp; New Zealand Journal of Psychiatry, 50</w:t>
      </w:r>
      <w:r w:rsidRPr="0026096A">
        <w:rPr>
          <w:rFonts w:asciiTheme="minorHAnsi" w:hAnsiTheme="minorHAnsi" w:cstheme="minorHAnsi"/>
          <w:sz w:val="24"/>
          <w:szCs w:val="24"/>
        </w:rPr>
        <w:t xml:space="preserve">(11), 1085-1095. </w:t>
      </w:r>
    </w:p>
    <w:p w14:paraId="7B4143F8" w14:textId="3E05D9CB" w:rsidR="00D053C6" w:rsidRPr="0026096A" w:rsidRDefault="00D053C6" w:rsidP="0026096A">
      <w:pPr>
        <w:ind w:left="720" w:hanging="720"/>
        <w:contextualSpacing/>
        <w:rPr>
          <w:rFonts w:cstheme="minorHAnsi"/>
          <w:sz w:val="24"/>
          <w:szCs w:val="24"/>
        </w:rPr>
      </w:pPr>
      <w:r w:rsidRPr="0026096A">
        <w:rPr>
          <w:rFonts w:cstheme="minorHAnsi"/>
          <w:sz w:val="24"/>
          <w:szCs w:val="24"/>
        </w:rPr>
        <w:t xml:space="preserve">Calear A &amp; Christensen H. </w:t>
      </w:r>
      <w:r w:rsidR="009449E3" w:rsidRPr="0026096A">
        <w:rPr>
          <w:rFonts w:cstheme="minorHAnsi"/>
          <w:sz w:val="24"/>
          <w:szCs w:val="24"/>
        </w:rPr>
        <w:t>(</w:t>
      </w:r>
      <w:r w:rsidRPr="0026096A">
        <w:rPr>
          <w:rFonts w:cstheme="minorHAnsi"/>
          <w:sz w:val="24"/>
          <w:szCs w:val="24"/>
        </w:rPr>
        <w:t>2010</w:t>
      </w:r>
      <w:r w:rsidR="009449E3" w:rsidRPr="0026096A">
        <w:rPr>
          <w:rFonts w:cstheme="minorHAnsi"/>
          <w:sz w:val="24"/>
          <w:szCs w:val="24"/>
        </w:rPr>
        <w:t>)</w:t>
      </w:r>
      <w:r w:rsidRPr="0026096A">
        <w:rPr>
          <w:rFonts w:cstheme="minorHAnsi"/>
          <w:sz w:val="24"/>
          <w:szCs w:val="24"/>
        </w:rPr>
        <w:t xml:space="preserve"> Systematic review of school-based prevention and early intervention programs for depression. Journal of adolescence, 33, 429-438).</w:t>
      </w:r>
    </w:p>
    <w:p w14:paraId="575766B7" w14:textId="5047ACED" w:rsidR="008A4BD3" w:rsidRPr="0026096A" w:rsidRDefault="00D053C6" w:rsidP="0026096A">
      <w:pPr>
        <w:pStyle w:val="EndNoteBibliography"/>
        <w:spacing w:after="0"/>
        <w:ind w:left="720" w:hanging="720"/>
        <w:contextualSpacing/>
        <w:rPr>
          <w:rFonts w:asciiTheme="minorHAnsi" w:hAnsiTheme="minorHAnsi" w:cstheme="minorHAnsi"/>
          <w:sz w:val="24"/>
          <w:szCs w:val="24"/>
        </w:rPr>
      </w:pPr>
      <w:r w:rsidRPr="0026096A">
        <w:rPr>
          <w:rFonts w:asciiTheme="minorHAnsi" w:hAnsiTheme="minorHAnsi" w:cstheme="minorHAnsi"/>
          <w:sz w:val="24"/>
          <w:szCs w:val="24"/>
        </w:rPr>
        <w:t>Chan et al 2014, Suicide literacy, suicide stigma and help-seeking intentions in Australian medical students. Australasian Psychiatry, 22, 132-139).</w:t>
      </w:r>
      <w:r w:rsidR="008A4BD3" w:rsidRPr="0026096A">
        <w:rPr>
          <w:rFonts w:asciiTheme="minorHAnsi" w:hAnsiTheme="minorHAnsi" w:cstheme="minorHAnsi"/>
          <w:sz w:val="24"/>
          <w:szCs w:val="24"/>
        </w:rPr>
        <w:t xml:space="preserve">Department of Social Services. (2018). </w:t>
      </w:r>
      <w:r w:rsidR="008A4BD3" w:rsidRPr="0026096A">
        <w:rPr>
          <w:rFonts w:asciiTheme="minorHAnsi" w:hAnsiTheme="minorHAnsi" w:cstheme="minorHAnsi"/>
          <w:i/>
          <w:sz w:val="24"/>
          <w:szCs w:val="24"/>
        </w:rPr>
        <w:t>Family functioning and children's outcomes: A departmental policy approach</w:t>
      </w:r>
      <w:r w:rsidR="008A4BD3" w:rsidRPr="0026096A">
        <w:rPr>
          <w:rFonts w:asciiTheme="minorHAnsi" w:hAnsiTheme="minorHAnsi" w:cstheme="minorHAnsi"/>
          <w:sz w:val="24"/>
          <w:szCs w:val="24"/>
        </w:rPr>
        <w:t xml:space="preserve">. Australian Government </w:t>
      </w:r>
    </w:p>
    <w:p w14:paraId="4F0C6E18" w14:textId="014826DF" w:rsidR="008A4BD3" w:rsidRPr="0026096A" w:rsidRDefault="00647EB4" w:rsidP="0026096A">
      <w:pPr>
        <w:pStyle w:val="EndNoteBibliography"/>
        <w:spacing w:after="0"/>
        <w:ind w:left="720" w:hanging="720"/>
        <w:contextualSpacing/>
        <w:rPr>
          <w:rFonts w:asciiTheme="minorHAnsi" w:hAnsiTheme="minorHAnsi" w:cstheme="minorHAnsi"/>
          <w:sz w:val="24"/>
          <w:szCs w:val="24"/>
        </w:rPr>
      </w:pPr>
      <w:r w:rsidRPr="0026096A">
        <w:rPr>
          <w:rFonts w:asciiTheme="minorHAnsi" w:hAnsiTheme="minorHAnsi" w:cstheme="minorHAnsi"/>
          <w:sz w:val="24"/>
          <w:szCs w:val="24"/>
        </w:rPr>
        <w:t>Christensen, H., Batterham, P. J., Hickie, I. B., McGorry, P. D., Mitchell, P. B., &amp; Kulkarni, J. (2011). Funding for mental health research: the gap remains. Medical Journal of Australia, 195(11-12), 681-684.</w:t>
      </w:r>
      <w:r w:rsidR="008A4BD3" w:rsidRPr="0026096A">
        <w:rPr>
          <w:rFonts w:asciiTheme="minorHAnsi" w:hAnsiTheme="minorHAnsi" w:cstheme="minorHAnsi"/>
          <w:sz w:val="24"/>
          <w:szCs w:val="24"/>
        </w:rPr>
        <w:t xml:space="preserve">Dumas, J. E., Begle, A. M., French, B., &amp; Pearl, A. (2010). Effects of monetary incentives on engagement in the PACE parenting program. </w:t>
      </w:r>
      <w:r w:rsidR="008A4BD3" w:rsidRPr="0026096A">
        <w:rPr>
          <w:rFonts w:asciiTheme="minorHAnsi" w:hAnsiTheme="minorHAnsi" w:cstheme="minorHAnsi"/>
          <w:i/>
          <w:sz w:val="24"/>
          <w:szCs w:val="24"/>
        </w:rPr>
        <w:t>Journal of Clinical Child &amp; Adolescent Psychology, 39</w:t>
      </w:r>
      <w:r w:rsidR="008A4BD3" w:rsidRPr="0026096A">
        <w:rPr>
          <w:rFonts w:asciiTheme="minorHAnsi" w:hAnsiTheme="minorHAnsi" w:cstheme="minorHAnsi"/>
          <w:sz w:val="24"/>
          <w:szCs w:val="24"/>
        </w:rPr>
        <w:t xml:space="preserve">(3), 302-313. </w:t>
      </w:r>
    </w:p>
    <w:p w14:paraId="2AE872F9" w14:textId="77777777" w:rsidR="008A4BD3" w:rsidRPr="0026096A" w:rsidRDefault="008A4BD3" w:rsidP="0026096A">
      <w:pPr>
        <w:pStyle w:val="EndNoteBibliography"/>
        <w:spacing w:after="0"/>
        <w:ind w:left="720" w:hanging="720"/>
        <w:contextualSpacing/>
        <w:rPr>
          <w:rFonts w:asciiTheme="minorHAnsi" w:hAnsiTheme="minorHAnsi" w:cstheme="minorHAnsi"/>
          <w:sz w:val="24"/>
          <w:szCs w:val="24"/>
        </w:rPr>
      </w:pPr>
      <w:r w:rsidRPr="0026096A">
        <w:rPr>
          <w:rFonts w:asciiTheme="minorHAnsi" w:hAnsiTheme="minorHAnsi" w:cstheme="minorHAnsi"/>
          <w:sz w:val="24"/>
          <w:szCs w:val="24"/>
        </w:rPr>
        <w:lastRenderedPageBreak/>
        <w:t xml:space="preserve">Dumas, J. E., Nissley-Tsiopinis, J., &amp; Moreland, A. D. (2007). From intent to enrollment, attendance, and participation in preventive parenting groups. </w:t>
      </w:r>
      <w:r w:rsidRPr="0026096A">
        <w:rPr>
          <w:rFonts w:asciiTheme="minorHAnsi" w:hAnsiTheme="minorHAnsi" w:cstheme="minorHAnsi"/>
          <w:i/>
          <w:sz w:val="24"/>
          <w:szCs w:val="24"/>
        </w:rPr>
        <w:t>Journal of Child and Family Studies, 16</w:t>
      </w:r>
      <w:r w:rsidRPr="0026096A">
        <w:rPr>
          <w:rFonts w:asciiTheme="minorHAnsi" w:hAnsiTheme="minorHAnsi" w:cstheme="minorHAnsi"/>
          <w:sz w:val="24"/>
          <w:szCs w:val="24"/>
        </w:rPr>
        <w:t xml:space="preserve">(1), 1-26. </w:t>
      </w:r>
    </w:p>
    <w:p w14:paraId="328F95A5" w14:textId="77777777" w:rsidR="008A4BD3" w:rsidRPr="0026096A" w:rsidRDefault="008A4BD3" w:rsidP="0026096A">
      <w:pPr>
        <w:pStyle w:val="EndNoteBibliography"/>
        <w:spacing w:after="0"/>
        <w:ind w:left="720" w:hanging="720"/>
        <w:contextualSpacing/>
        <w:rPr>
          <w:rFonts w:asciiTheme="minorHAnsi" w:hAnsiTheme="minorHAnsi" w:cstheme="minorHAnsi"/>
          <w:sz w:val="24"/>
          <w:szCs w:val="24"/>
        </w:rPr>
      </w:pPr>
      <w:r w:rsidRPr="0026096A">
        <w:rPr>
          <w:rFonts w:asciiTheme="minorHAnsi" w:hAnsiTheme="minorHAnsi" w:cstheme="minorHAnsi"/>
          <w:sz w:val="24"/>
          <w:szCs w:val="24"/>
        </w:rPr>
        <w:t xml:space="preserve">Dumka, L. E., Garza, C. A., Roosa, M. W., &amp; Stoerzinger, H. D. (1997). Recruitment and retention of high-risk families into a preventive parent training intervention. </w:t>
      </w:r>
      <w:r w:rsidRPr="0026096A">
        <w:rPr>
          <w:rFonts w:asciiTheme="minorHAnsi" w:hAnsiTheme="minorHAnsi" w:cstheme="minorHAnsi"/>
          <w:i/>
          <w:sz w:val="24"/>
          <w:szCs w:val="24"/>
        </w:rPr>
        <w:t>Journal of Primary Prevention, 18</w:t>
      </w:r>
      <w:r w:rsidRPr="0026096A">
        <w:rPr>
          <w:rFonts w:asciiTheme="minorHAnsi" w:hAnsiTheme="minorHAnsi" w:cstheme="minorHAnsi"/>
          <w:sz w:val="24"/>
          <w:szCs w:val="24"/>
        </w:rPr>
        <w:t xml:space="preserve">(1), 25-39. </w:t>
      </w:r>
    </w:p>
    <w:p w14:paraId="496CB6F4" w14:textId="77777777" w:rsidR="008A4BD3" w:rsidRPr="0026096A" w:rsidRDefault="008A4BD3" w:rsidP="0026096A">
      <w:pPr>
        <w:pStyle w:val="EndNoteBibliography"/>
        <w:spacing w:after="0"/>
        <w:ind w:left="720" w:hanging="720"/>
        <w:contextualSpacing/>
        <w:rPr>
          <w:rFonts w:asciiTheme="minorHAnsi" w:hAnsiTheme="minorHAnsi" w:cstheme="minorHAnsi"/>
          <w:sz w:val="24"/>
          <w:szCs w:val="24"/>
        </w:rPr>
      </w:pPr>
      <w:r w:rsidRPr="0026096A">
        <w:rPr>
          <w:rFonts w:asciiTheme="minorHAnsi" w:hAnsiTheme="minorHAnsi" w:cstheme="minorHAnsi"/>
          <w:sz w:val="24"/>
          <w:szCs w:val="24"/>
        </w:rPr>
        <w:t xml:space="preserve">Foster, E. M., Johnson-Shelton, D., &amp; Taylor, T. K. (2007). Measuring time costs in interventions designed to reduce behavior problems among children and youth. </w:t>
      </w:r>
      <w:r w:rsidRPr="0026096A">
        <w:rPr>
          <w:rFonts w:asciiTheme="minorHAnsi" w:hAnsiTheme="minorHAnsi" w:cstheme="minorHAnsi"/>
          <w:i/>
          <w:sz w:val="24"/>
          <w:szCs w:val="24"/>
        </w:rPr>
        <w:t>American Journal of Community Psychology, 40</w:t>
      </w:r>
      <w:r w:rsidRPr="0026096A">
        <w:rPr>
          <w:rFonts w:asciiTheme="minorHAnsi" w:hAnsiTheme="minorHAnsi" w:cstheme="minorHAnsi"/>
          <w:sz w:val="24"/>
          <w:szCs w:val="24"/>
        </w:rPr>
        <w:t xml:space="preserve">(1-2), 64-81. </w:t>
      </w:r>
    </w:p>
    <w:p w14:paraId="603F37FD" w14:textId="3F66305E" w:rsidR="00077BCD" w:rsidRPr="0026096A" w:rsidRDefault="00077BCD" w:rsidP="0026096A">
      <w:pPr>
        <w:pStyle w:val="EndNoteBibliography"/>
        <w:spacing w:after="0"/>
        <w:ind w:left="720" w:hanging="720"/>
        <w:contextualSpacing/>
        <w:rPr>
          <w:rFonts w:asciiTheme="minorHAnsi" w:hAnsiTheme="minorHAnsi" w:cstheme="minorHAnsi"/>
          <w:sz w:val="24"/>
          <w:szCs w:val="24"/>
        </w:rPr>
      </w:pPr>
      <w:r w:rsidRPr="0026096A">
        <w:rPr>
          <w:rFonts w:asciiTheme="minorHAnsi" w:hAnsiTheme="minorHAnsi" w:cstheme="minorHAnsi"/>
          <w:sz w:val="24"/>
          <w:szCs w:val="24"/>
        </w:rPr>
        <w:t xml:space="preserve">Furst, M.A., Gandré, C., Romero López-Alberca, C. et al. (2019). Healthcare ecosystems research in mental health: a scoping review of methods to describe the context of local care delivery. BMC Health Serv Res 19, 173 </w:t>
      </w:r>
    </w:p>
    <w:p w14:paraId="6EA0C097" w14:textId="4E2B0201" w:rsidR="009449E3" w:rsidRPr="0026096A" w:rsidRDefault="008A4BD3" w:rsidP="0026096A">
      <w:pPr>
        <w:pStyle w:val="EndNoteBibliography"/>
        <w:spacing w:after="0"/>
        <w:ind w:left="720" w:hanging="720"/>
        <w:contextualSpacing/>
        <w:rPr>
          <w:rFonts w:asciiTheme="minorHAnsi" w:hAnsiTheme="minorHAnsi" w:cstheme="minorHAnsi"/>
          <w:sz w:val="24"/>
          <w:szCs w:val="24"/>
        </w:rPr>
      </w:pPr>
      <w:r w:rsidRPr="0026096A">
        <w:rPr>
          <w:rFonts w:asciiTheme="minorHAnsi" w:hAnsiTheme="minorHAnsi" w:cstheme="minorHAnsi"/>
          <w:sz w:val="24"/>
          <w:szCs w:val="24"/>
        </w:rPr>
        <w:t xml:space="preserve">Gross, D., Julion, W., &amp; Fogg, L. (2001). What motivates participation and dropout among low‐income urban families of color in a prevention intervention? </w:t>
      </w:r>
      <w:r w:rsidRPr="0026096A">
        <w:rPr>
          <w:rFonts w:asciiTheme="minorHAnsi" w:hAnsiTheme="minorHAnsi" w:cstheme="minorHAnsi"/>
          <w:i/>
          <w:sz w:val="24"/>
          <w:szCs w:val="24"/>
        </w:rPr>
        <w:t>Family Relations, 50</w:t>
      </w:r>
      <w:r w:rsidRPr="0026096A">
        <w:rPr>
          <w:rFonts w:asciiTheme="minorHAnsi" w:hAnsiTheme="minorHAnsi" w:cstheme="minorHAnsi"/>
          <w:sz w:val="24"/>
          <w:szCs w:val="24"/>
        </w:rPr>
        <w:t xml:space="preserve">(3), 246-254. </w:t>
      </w:r>
    </w:p>
    <w:p w14:paraId="034587AE" w14:textId="77777777" w:rsidR="009449E3" w:rsidRPr="0026096A" w:rsidRDefault="00A30791" w:rsidP="0026096A">
      <w:pPr>
        <w:spacing w:line="276" w:lineRule="auto"/>
        <w:ind w:left="720" w:hanging="720"/>
        <w:contextualSpacing/>
        <w:rPr>
          <w:rFonts w:cstheme="minorHAnsi"/>
          <w:sz w:val="24"/>
          <w:szCs w:val="24"/>
        </w:rPr>
      </w:pPr>
      <w:r w:rsidRPr="0026096A">
        <w:rPr>
          <w:rFonts w:cstheme="minorHAnsi"/>
          <w:sz w:val="24"/>
          <w:szCs w:val="24"/>
        </w:rPr>
        <w:t xml:space="preserve">Harris, M. G., Hobbs, M. J., Burgess, P.M., Pirkis, J., Diminic, S., Siskind, D., Andrews, G., &amp; Whiteford, H.  (2015). Frequency and quality of mental health treatment for affective and anxiety disorders among Australian adults. </w:t>
      </w:r>
      <w:r w:rsidRPr="0026096A">
        <w:rPr>
          <w:rFonts w:cstheme="minorHAnsi"/>
          <w:i/>
          <w:sz w:val="24"/>
          <w:szCs w:val="24"/>
        </w:rPr>
        <w:t>Medical Journal of Australia,</w:t>
      </w:r>
      <w:r w:rsidRPr="0026096A">
        <w:rPr>
          <w:rFonts w:cstheme="minorHAnsi"/>
          <w:sz w:val="24"/>
          <w:szCs w:val="24"/>
        </w:rPr>
        <w:t xml:space="preserve"> </w:t>
      </w:r>
      <w:r w:rsidRPr="0026096A">
        <w:rPr>
          <w:rFonts w:cstheme="minorHAnsi"/>
          <w:i/>
          <w:sz w:val="24"/>
          <w:szCs w:val="24"/>
        </w:rPr>
        <w:t>202,</w:t>
      </w:r>
      <w:r w:rsidRPr="0026096A">
        <w:rPr>
          <w:rFonts w:cstheme="minorHAnsi"/>
          <w:sz w:val="24"/>
          <w:szCs w:val="24"/>
        </w:rPr>
        <w:t xml:space="preserve"> 185–190. doi:10.5694/mja14.00297</w:t>
      </w:r>
    </w:p>
    <w:p w14:paraId="04D824BD" w14:textId="7F4C7DEC" w:rsidR="008A4BD3" w:rsidRPr="0026096A" w:rsidRDefault="008A4BD3" w:rsidP="0026096A">
      <w:pPr>
        <w:spacing w:line="276" w:lineRule="auto"/>
        <w:ind w:left="720" w:hanging="720"/>
        <w:contextualSpacing/>
        <w:rPr>
          <w:rFonts w:cstheme="minorHAnsi"/>
          <w:sz w:val="24"/>
          <w:szCs w:val="24"/>
        </w:rPr>
      </w:pPr>
      <w:r w:rsidRPr="0026096A">
        <w:rPr>
          <w:rFonts w:cstheme="minorHAnsi"/>
          <w:sz w:val="24"/>
          <w:szCs w:val="24"/>
        </w:rPr>
        <w:t xml:space="preserve">Harvey, S. B., Modini, M., Joyce, S., Milligan-Saville, J. S., Tan, L., Mykletun, A., Mitchell, P. B. (2017). Can work make you mentally ill? A systematic meta-review of work-related risk factors for common mental health problems. </w:t>
      </w:r>
      <w:r w:rsidRPr="0026096A">
        <w:rPr>
          <w:rFonts w:cstheme="minorHAnsi"/>
          <w:i/>
          <w:sz w:val="24"/>
          <w:szCs w:val="24"/>
        </w:rPr>
        <w:t>Occup Environ Med, 74</w:t>
      </w:r>
      <w:r w:rsidRPr="0026096A">
        <w:rPr>
          <w:rFonts w:cstheme="minorHAnsi"/>
          <w:sz w:val="24"/>
          <w:szCs w:val="24"/>
        </w:rPr>
        <w:t xml:space="preserve">(4), 301-310. </w:t>
      </w:r>
    </w:p>
    <w:p w14:paraId="1062F2E1" w14:textId="77777777" w:rsidR="00A30791" w:rsidRPr="0026096A" w:rsidRDefault="00A30791" w:rsidP="0026096A">
      <w:pPr>
        <w:spacing w:line="276" w:lineRule="auto"/>
        <w:ind w:left="720" w:hanging="720"/>
        <w:contextualSpacing/>
        <w:rPr>
          <w:rFonts w:cstheme="minorHAnsi"/>
          <w:sz w:val="24"/>
          <w:szCs w:val="24"/>
        </w:rPr>
      </w:pPr>
      <w:r w:rsidRPr="0026096A">
        <w:rPr>
          <w:rFonts w:cstheme="minorHAnsi"/>
          <w:sz w:val="24"/>
          <w:szCs w:val="24"/>
        </w:rPr>
        <w:t xml:space="preserve">Jorm, A. (2015). The quality gap in mental health treatment in Australia. </w:t>
      </w:r>
      <w:r w:rsidRPr="0026096A">
        <w:rPr>
          <w:rFonts w:cstheme="minorHAnsi"/>
          <w:i/>
          <w:iCs/>
          <w:sz w:val="24"/>
          <w:szCs w:val="24"/>
        </w:rPr>
        <w:t>Australian and New</w:t>
      </w:r>
      <w:r w:rsidRPr="0026096A">
        <w:rPr>
          <w:rFonts w:cstheme="minorHAnsi"/>
          <w:sz w:val="24"/>
          <w:szCs w:val="24"/>
        </w:rPr>
        <w:t xml:space="preserve"> </w:t>
      </w:r>
      <w:r w:rsidRPr="0026096A">
        <w:rPr>
          <w:rFonts w:cstheme="minorHAnsi"/>
          <w:i/>
          <w:iCs/>
          <w:sz w:val="24"/>
          <w:szCs w:val="24"/>
        </w:rPr>
        <w:t xml:space="preserve">Zealand Journal of Psychiatry, </w:t>
      </w:r>
      <w:r w:rsidRPr="0026096A">
        <w:rPr>
          <w:rFonts w:cstheme="minorHAnsi"/>
          <w:i/>
          <w:sz w:val="24"/>
          <w:szCs w:val="24"/>
        </w:rPr>
        <w:t>49</w:t>
      </w:r>
      <w:r w:rsidRPr="0026096A">
        <w:rPr>
          <w:rFonts w:cstheme="minorHAnsi"/>
          <w:sz w:val="24"/>
          <w:szCs w:val="24"/>
        </w:rPr>
        <w:t>, 934–935. doi:10.1177/0004867415606224</w:t>
      </w:r>
    </w:p>
    <w:p w14:paraId="3F0C68B2" w14:textId="77777777" w:rsidR="00A30791" w:rsidRPr="0026096A" w:rsidRDefault="00A30791" w:rsidP="0026096A">
      <w:pPr>
        <w:spacing w:line="276" w:lineRule="auto"/>
        <w:ind w:left="720" w:hanging="720"/>
        <w:contextualSpacing/>
        <w:rPr>
          <w:rFonts w:cstheme="minorHAnsi"/>
          <w:sz w:val="24"/>
          <w:szCs w:val="24"/>
        </w:rPr>
      </w:pPr>
      <w:r w:rsidRPr="0026096A">
        <w:rPr>
          <w:rFonts w:cstheme="minorHAnsi"/>
          <w:sz w:val="24"/>
          <w:szCs w:val="24"/>
        </w:rPr>
        <w:t xml:space="preserve">Jorm, A. (2019).  Reducing the quality gap in mental health services. </w:t>
      </w:r>
      <w:r w:rsidRPr="0026096A">
        <w:rPr>
          <w:rFonts w:cstheme="minorHAnsi"/>
          <w:i/>
          <w:iCs/>
          <w:sz w:val="24"/>
          <w:szCs w:val="24"/>
        </w:rPr>
        <w:t>Australian and New</w:t>
      </w:r>
      <w:r w:rsidRPr="0026096A">
        <w:rPr>
          <w:rFonts w:cstheme="minorHAnsi"/>
          <w:sz w:val="24"/>
          <w:szCs w:val="24"/>
        </w:rPr>
        <w:t xml:space="preserve"> </w:t>
      </w:r>
      <w:r w:rsidRPr="0026096A">
        <w:rPr>
          <w:rFonts w:cstheme="minorHAnsi"/>
          <w:i/>
          <w:iCs/>
          <w:sz w:val="24"/>
          <w:szCs w:val="24"/>
        </w:rPr>
        <w:t>Zealand Journal of Psychiatry</w:t>
      </w:r>
      <w:r w:rsidRPr="0026096A">
        <w:rPr>
          <w:rFonts w:cstheme="minorHAnsi"/>
          <w:sz w:val="24"/>
          <w:szCs w:val="24"/>
        </w:rPr>
        <w:t xml:space="preserve">, </w:t>
      </w:r>
      <w:r w:rsidRPr="0026096A">
        <w:rPr>
          <w:rFonts w:cstheme="minorHAnsi"/>
          <w:i/>
          <w:sz w:val="24"/>
          <w:szCs w:val="24"/>
        </w:rPr>
        <w:t>53,</w:t>
      </w:r>
      <w:r w:rsidRPr="0026096A">
        <w:rPr>
          <w:rFonts w:cstheme="minorHAnsi"/>
          <w:sz w:val="24"/>
          <w:szCs w:val="24"/>
        </w:rPr>
        <w:t xml:space="preserve"> 941-942. doi:10.1177/0004867419877688</w:t>
      </w:r>
    </w:p>
    <w:p w14:paraId="2CB639C0" w14:textId="77777777" w:rsidR="00D053C6" w:rsidRPr="0026096A" w:rsidRDefault="00D053C6" w:rsidP="0026096A">
      <w:pPr>
        <w:ind w:left="720" w:hanging="720"/>
        <w:contextualSpacing/>
        <w:rPr>
          <w:rFonts w:cstheme="minorHAnsi"/>
          <w:sz w:val="24"/>
          <w:szCs w:val="24"/>
        </w:rPr>
      </w:pPr>
      <w:r w:rsidRPr="0026096A">
        <w:rPr>
          <w:rFonts w:cstheme="minorHAnsi"/>
          <w:sz w:val="24"/>
          <w:szCs w:val="24"/>
        </w:rPr>
        <w:t>Kurian et al 2009, A computerized decision support system for depression in primary care. Primary care companion to the Journal of clinical psychiatry, 11, 140).</w:t>
      </w:r>
    </w:p>
    <w:p w14:paraId="52ECA27B" w14:textId="77777777" w:rsidR="00493308" w:rsidRPr="0026096A" w:rsidRDefault="00493308" w:rsidP="0026096A">
      <w:pPr>
        <w:spacing w:line="276" w:lineRule="auto"/>
        <w:ind w:left="720" w:hanging="720"/>
        <w:contextualSpacing/>
        <w:rPr>
          <w:rFonts w:cstheme="minorHAnsi"/>
          <w:sz w:val="24"/>
          <w:szCs w:val="24"/>
        </w:rPr>
      </w:pPr>
      <w:r w:rsidRPr="0026096A">
        <w:rPr>
          <w:rFonts w:cstheme="minorHAnsi"/>
          <w:sz w:val="24"/>
          <w:szCs w:val="24"/>
        </w:rPr>
        <w:t xml:space="preserve">LaMontagne, A.D., Keegel, T., Vallance, D. </w:t>
      </w:r>
      <w:r w:rsidRPr="0026096A">
        <w:rPr>
          <w:rFonts w:cstheme="minorHAnsi"/>
          <w:i/>
          <w:iCs/>
          <w:sz w:val="24"/>
          <w:szCs w:val="24"/>
        </w:rPr>
        <w:t>et al.</w:t>
      </w:r>
      <w:r w:rsidRPr="0026096A">
        <w:rPr>
          <w:rFonts w:cstheme="minorHAnsi"/>
          <w:sz w:val="24"/>
          <w:szCs w:val="24"/>
        </w:rPr>
        <w:t xml:space="preserve"> Job strain — Attributable depression in a sample of working Australians: Assessing the contribution to health inequalities. </w:t>
      </w:r>
      <w:r w:rsidRPr="0026096A">
        <w:rPr>
          <w:rFonts w:cstheme="minorHAnsi"/>
          <w:i/>
          <w:iCs/>
          <w:sz w:val="24"/>
          <w:szCs w:val="24"/>
        </w:rPr>
        <w:t>BMC Public Health</w:t>
      </w:r>
      <w:r w:rsidRPr="0026096A">
        <w:rPr>
          <w:rFonts w:cstheme="minorHAnsi"/>
          <w:sz w:val="24"/>
          <w:szCs w:val="24"/>
        </w:rPr>
        <w:t xml:space="preserve"> </w:t>
      </w:r>
      <w:r w:rsidRPr="0026096A">
        <w:rPr>
          <w:rFonts w:cstheme="minorHAnsi"/>
          <w:b/>
          <w:bCs/>
          <w:sz w:val="24"/>
          <w:szCs w:val="24"/>
        </w:rPr>
        <w:t xml:space="preserve">8, </w:t>
      </w:r>
      <w:r w:rsidRPr="0026096A">
        <w:rPr>
          <w:rFonts w:cstheme="minorHAnsi"/>
          <w:sz w:val="24"/>
          <w:szCs w:val="24"/>
        </w:rPr>
        <w:t>181 (2008) doi:10.1186/1471-2458-8-181</w:t>
      </w:r>
    </w:p>
    <w:p w14:paraId="358E7A89" w14:textId="66EAA5EF" w:rsidR="009449E3" w:rsidRPr="0026096A" w:rsidRDefault="00A30791" w:rsidP="0026096A">
      <w:pPr>
        <w:spacing w:line="276" w:lineRule="auto"/>
        <w:ind w:left="720" w:hanging="720"/>
        <w:contextualSpacing/>
        <w:rPr>
          <w:rFonts w:cstheme="minorHAnsi"/>
          <w:color w:val="222222"/>
          <w:sz w:val="24"/>
          <w:szCs w:val="24"/>
        </w:rPr>
      </w:pPr>
      <w:r w:rsidRPr="0026096A">
        <w:rPr>
          <w:rFonts w:cstheme="minorHAnsi"/>
          <w:color w:val="222222"/>
          <w:sz w:val="24"/>
          <w:szCs w:val="24"/>
        </w:rPr>
        <w:t xml:space="preserve">Larsen, M.E., Huckvale, K., Nicholas, J., Torous, J., Birrell, L., Li, E., &amp; Reda, B. (2019). Using science to sell apps: Evaluation of mental health app store quality claims. </w:t>
      </w:r>
      <w:r w:rsidRPr="0026096A">
        <w:rPr>
          <w:rFonts w:cstheme="minorHAnsi"/>
          <w:i/>
          <w:iCs/>
          <w:color w:val="222222"/>
          <w:sz w:val="24"/>
          <w:szCs w:val="24"/>
        </w:rPr>
        <w:t xml:space="preserve">Digital Medicine, </w:t>
      </w:r>
      <w:r w:rsidRPr="0026096A">
        <w:rPr>
          <w:rFonts w:cstheme="minorHAnsi"/>
          <w:bCs/>
          <w:i/>
          <w:color w:val="222222"/>
          <w:sz w:val="24"/>
          <w:szCs w:val="24"/>
        </w:rPr>
        <w:t>2:</w:t>
      </w:r>
      <w:r w:rsidRPr="0026096A">
        <w:rPr>
          <w:rFonts w:cstheme="minorHAnsi"/>
          <w:color w:val="222222"/>
          <w:sz w:val="24"/>
          <w:szCs w:val="24"/>
        </w:rPr>
        <w:t>18. doi:10.1038/s41746-019-0093-1</w:t>
      </w:r>
    </w:p>
    <w:p w14:paraId="73061962" w14:textId="59C35486" w:rsidR="008A4BD3" w:rsidRPr="0026096A" w:rsidRDefault="008A4BD3" w:rsidP="0026096A">
      <w:pPr>
        <w:spacing w:line="276" w:lineRule="auto"/>
        <w:ind w:left="720" w:hanging="720"/>
        <w:contextualSpacing/>
        <w:rPr>
          <w:rFonts w:cstheme="minorHAnsi"/>
          <w:sz w:val="24"/>
          <w:szCs w:val="24"/>
        </w:rPr>
      </w:pPr>
      <w:r w:rsidRPr="0026096A">
        <w:rPr>
          <w:rFonts w:cstheme="minorHAnsi"/>
          <w:sz w:val="24"/>
          <w:szCs w:val="24"/>
        </w:rPr>
        <w:t xml:space="preserve">Leach, L. S., Poyser, C., &amp; Butterworth, P. (2017). Workplace bullying and the association with suicidal ideation/thoughts and behaviour: a systematic review. </w:t>
      </w:r>
      <w:r w:rsidRPr="0026096A">
        <w:rPr>
          <w:rFonts w:cstheme="minorHAnsi"/>
          <w:i/>
          <w:sz w:val="24"/>
          <w:szCs w:val="24"/>
        </w:rPr>
        <w:t>Occup Environ Med, 74</w:t>
      </w:r>
      <w:r w:rsidRPr="0026096A">
        <w:rPr>
          <w:rFonts w:cstheme="minorHAnsi"/>
          <w:sz w:val="24"/>
          <w:szCs w:val="24"/>
        </w:rPr>
        <w:t xml:space="preserve">(1), 72-79. </w:t>
      </w:r>
    </w:p>
    <w:p w14:paraId="79B0158A" w14:textId="77777777" w:rsidR="009B2333" w:rsidRPr="0026096A" w:rsidRDefault="009B2333" w:rsidP="0026096A">
      <w:pPr>
        <w:ind w:left="720" w:hanging="720"/>
        <w:contextualSpacing/>
        <w:rPr>
          <w:rFonts w:cstheme="minorHAnsi"/>
          <w:sz w:val="24"/>
          <w:szCs w:val="24"/>
        </w:rPr>
      </w:pPr>
      <w:r w:rsidRPr="0026096A">
        <w:rPr>
          <w:rFonts w:cstheme="minorHAnsi"/>
          <w:sz w:val="24"/>
          <w:szCs w:val="24"/>
        </w:rPr>
        <w:t>National Institutes of Medicine (2006) Improving the quality of health care for mental and substance-abuse conditions. Washington, DC: National Academies Press.</w:t>
      </w:r>
    </w:p>
    <w:p w14:paraId="4ABE8626" w14:textId="33839770" w:rsidR="009449E3" w:rsidRPr="0026096A" w:rsidRDefault="00A30791" w:rsidP="0026096A">
      <w:pPr>
        <w:spacing w:line="276" w:lineRule="auto"/>
        <w:ind w:left="720" w:hanging="720"/>
        <w:contextualSpacing/>
        <w:rPr>
          <w:rFonts w:cstheme="minorHAnsi"/>
          <w:color w:val="222222"/>
          <w:sz w:val="24"/>
          <w:szCs w:val="24"/>
        </w:rPr>
      </w:pPr>
      <w:r w:rsidRPr="0026096A">
        <w:rPr>
          <w:rFonts w:cstheme="minorHAnsi"/>
          <w:color w:val="222222"/>
          <w:sz w:val="24"/>
          <w:szCs w:val="24"/>
        </w:rPr>
        <w:t>National Mental Health Commission. (2014). The National Review of Mental Health Programmes and Services. Sydney</w:t>
      </w:r>
      <w:r w:rsidR="003F43E9" w:rsidRPr="0026096A">
        <w:rPr>
          <w:rFonts w:cstheme="minorHAnsi"/>
          <w:color w:val="222222"/>
          <w:sz w:val="24"/>
          <w:szCs w:val="24"/>
        </w:rPr>
        <w:t>.</w:t>
      </w:r>
    </w:p>
    <w:p w14:paraId="4C08C3AE" w14:textId="4D2CCCED" w:rsidR="008A4BD3" w:rsidRPr="0026096A" w:rsidRDefault="008A4BD3" w:rsidP="0026096A">
      <w:pPr>
        <w:spacing w:line="276" w:lineRule="auto"/>
        <w:ind w:left="720" w:hanging="720"/>
        <w:contextualSpacing/>
        <w:rPr>
          <w:rFonts w:cstheme="minorHAnsi"/>
          <w:sz w:val="24"/>
          <w:szCs w:val="24"/>
        </w:rPr>
      </w:pPr>
      <w:r w:rsidRPr="0026096A">
        <w:rPr>
          <w:rFonts w:cstheme="minorHAnsi"/>
          <w:sz w:val="24"/>
          <w:szCs w:val="24"/>
        </w:rPr>
        <w:lastRenderedPageBreak/>
        <w:t xml:space="preserve">Pfitzner, N., Humphreys, C., &amp; Hegarty, K. (2017). Research Review: Engaging men: a multi‐level model to support father engagement. </w:t>
      </w:r>
      <w:r w:rsidRPr="0026096A">
        <w:rPr>
          <w:rFonts w:cstheme="minorHAnsi"/>
          <w:i/>
          <w:sz w:val="24"/>
          <w:szCs w:val="24"/>
        </w:rPr>
        <w:t>Child &amp; Family Social Work, 22</w:t>
      </w:r>
      <w:r w:rsidRPr="0026096A">
        <w:rPr>
          <w:rFonts w:cstheme="minorHAnsi"/>
          <w:sz w:val="24"/>
          <w:szCs w:val="24"/>
        </w:rPr>
        <w:t xml:space="preserve">(1), 537-547. </w:t>
      </w:r>
    </w:p>
    <w:p w14:paraId="3D62E7F4" w14:textId="382496B3" w:rsidR="005A7A51" w:rsidRPr="0026096A" w:rsidRDefault="00D053C6" w:rsidP="0026096A">
      <w:pPr>
        <w:ind w:left="720" w:hanging="720"/>
        <w:contextualSpacing/>
        <w:rPr>
          <w:rFonts w:cstheme="minorHAnsi"/>
          <w:sz w:val="24"/>
          <w:szCs w:val="24"/>
        </w:rPr>
      </w:pPr>
      <w:r w:rsidRPr="0026096A">
        <w:rPr>
          <w:rFonts w:cstheme="minorHAnsi"/>
          <w:sz w:val="24"/>
          <w:szCs w:val="24"/>
        </w:rPr>
        <w:t>Pössel</w:t>
      </w:r>
      <w:r w:rsidR="009449E3" w:rsidRPr="0026096A">
        <w:rPr>
          <w:rFonts w:cstheme="minorHAnsi"/>
          <w:sz w:val="24"/>
          <w:szCs w:val="24"/>
        </w:rPr>
        <w:t xml:space="preserve"> P, Martin C, Garber J and Hautzinger M</w:t>
      </w:r>
      <w:r w:rsidRPr="0026096A">
        <w:rPr>
          <w:rFonts w:cstheme="minorHAnsi"/>
          <w:sz w:val="24"/>
          <w:szCs w:val="24"/>
        </w:rPr>
        <w:t xml:space="preserve"> </w:t>
      </w:r>
      <w:r w:rsidR="009449E3" w:rsidRPr="0026096A">
        <w:rPr>
          <w:rFonts w:cstheme="minorHAnsi"/>
          <w:sz w:val="24"/>
          <w:szCs w:val="24"/>
        </w:rPr>
        <w:t>(</w:t>
      </w:r>
      <w:r w:rsidRPr="0026096A">
        <w:rPr>
          <w:rFonts w:cstheme="minorHAnsi"/>
          <w:sz w:val="24"/>
          <w:szCs w:val="24"/>
        </w:rPr>
        <w:t>2013</w:t>
      </w:r>
      <w:r w:rsidR="009449E3" w:rsidRPr="0026096A">
        <w:rPr>
          <w:rFonts w:cstheme="minorHAnsi"/>
          <w:sz w:val="24"/>
          <w:szCs w:val="24"/>
        </w:rPr>
        <w:t>).</w:t>
      </w:r>
      <w:r w:rsidRPr="0026096A">
        <w:rPr>
          <w:rFonts w:cstheme="minorHAnsi"/>
          <w:sz w:val="24"/>
          <w:szCs w:val="24"/>
        </w:rPr>
        <w:t xml:space="preserve"> A randomized controlled trial of a cognitive-behavioral program for the prevention of depression in adolescents compared with nonspecific and no-intervention control conditions. Journal of counseling psychology, 60, 432).</w:t>
      </w:r>
    </w:p>
    <w:p w14:paraId="228427B7" w14:textId="27500B5C" w:rsidR="005A7A51" w:rsidRPr="0026096A" w:rsidRDefault="005A7A51" w:rsidP="0026096A">
      <w:pPr>
        <w:spacing w:after="0" w:line="240" w:lineRule="auto"/>
        <w:ind w:left="720" w:hanging="720"/>
        <w:rPr>
          <w:rFonts w:cstheme="minorHAnsi"/>
          <w:sz w:val="24"/>
          <w:szCs w:val="24"/>
          <w:lang w:val="pt-BR"/>
        </w:rPr>
      </w:pPr>
      <w:r w:rsidRPr="0026096A">
        <w:rPr>
          <w:rFonts w:cstheme="minorHAnsi"/>
          <w:sz w:val="24"/>
          <w:szCs w:val="24"/>
          <w:lang w:val="pt-BR"/>
        </w:rPr>
        <w:t xml:space="preserve">Romero-López-Alberca C, Gutiérrez-Colosía MR, Salinas-Pérez JA, Almeda N, Furst M, Johnson S, Salvador-Carulla L. </w:t>
      </w:r>
      <w:r w:rsidR="00266A10" w:rsidRPr="0026096A">
        <w:rPr>
          <w:rFonts w:cstheme="minorHAnsi"/>
          <w:sz w:val="24"/>
          <w:szCs w:val="24"/>
          <w:lang w:val="pt-BR"/>
        </w:rPr>
        <w:t xml:space="preserve">(2019) </w:t>
      </w:r>
      <w:r w:rsidRPr="0026096A">
        <w:rPr>
          <w:rFonts w:cstheme="minorHAnsi"/>
          <w:sz w:val="24"/>
          <w:szCs w:val="24"/>
          <w:lang w:val="pt-BR"/>
        </w:rPr>
        <w:t>Standardised description of health and social care: A systematic review of use of the ESMS/DESDE (European Service Mapping Schedule/Description and Evaluation of Services and DirectoriEs). Eur Psychiatry.  Sep;61:97-110. doi: 10.1016/j.eurpsy.2019.07.003.</w:t>
      </w:r>
    </w:p>
    <w:p w14:paraId="0747C674" w14:textId="00317B52" w:rsidR="008A4BD3" w:rsidRPr="0026096A" w:rsidRDefault="008A4BD3" w:rsidP="0026096A">
      <w:pPr>
        <w:ind w:left="720" w:hanging="720"/>
        <w:contextualSpacing/>
        <w:rPr>
          <w:rFonts w:cstheme="minorHAnsi"/>
          <w:sz w:val="24"/>
          <w:szCs w:val="24"/>
        </w:rPr>
      </w:pPr>
      <w:r w:rsidRPr="0026096A">
        <w:rPr>
          <w:rFonts w:cstheme="minorHAnsi"/>
          <w:sz w:val="24"/>
          <w:szCs w:val="24"/>
        </w:rPr>
        <w:t xml:space="preserve">Rose, G. (2008). </w:t>
      </w:r>
      <w:r w:rsidRPr="0026096A">
        <w:rPr>
          <w:rFonts w:cstheme="minorHAnsi"/>
          <w:i/>
          <w:sz w:val="24"/>
          <w:szCs w:val="24"/>
        </w:rPr>
        <w:t>Rose's Strategy of Preventive Medicine</w:t>
      </w:r>
      <w:r w:rsidRPr="0026096A">
        <w:rPr>
          <w:rFonts w:cstheme="minorHAnsi"/>
          <w:sz w:val="24"/>
          <w:szCs w:val="24"/>
        </w:rPr>
        <w:t>. Oxford: Oxford University Press.</w:t>
      </w:r>
    </w:p>
    <w:p w14:paraId="71E03946" w14:textId="2DFF0EC7" w:rsidR="00A30791" w:rsidRPr="0026096A" w:rsidRDefault="00A30791" w:rsidP="0026096A">
      <w:pPr>
        <w:pStyle w:val="EndNoteBibliography"/>
        <w:spacing w:after="0"/>
        <w:ind w:left="720" w:hanging="720"/>
        <w:contextualSpacing/>
        <w:rPr>
          <w:rFonts w:asciiTheme="minorHAnsi" w:hAnsiTheme="minorHAnsi" w:cstheme="minorHAnsi"/>
          <w:sz w:val="24"/>
          <w:szCs w:val="24"/>
        </w:rPr>
      </w:pPr>
      <w:r w:rsidRPr="0026096A">
        <w:rPr>
          <w:rFonts w:asciiTheme="minorHAnsi" w:hAnsiTheme="minorHAnsi" w:cstheme="minorHAnsi"/>
          <w:sz w:val="24"/>
          <w:szCs w:val="24"/>
        </w:rPr>
        <w:t>Rosenberg S and Hickie I</w:t>
      </w:r>
      <w:r w:rsidR="009449E3" w:rsidRPr="0026096A">
        <w:rPr>
          <w:rFonts w:asciiTheme="minorHAnsi" w:hAnsiTheme="minorHAnsi" w:cstheme="minorHAnsi"/>
          <w:sz w:val="24"/>
          <w:szCs w:val="24"/>
        </w:rPr>
        <w:t xml:space="preserve"> (2019)</w:t>
      </w:r>
      <w:r w:rsidRPr="0026096A">
        <w:rPr>
          <w:rFonts w:asciiTheme="minorHAnsi" w:hAnsiTheme="minorHAnsi" w:cstheme="minorHAnsi"/>
          <w:sz w:val="24"/>
          <w:szCs w:val="24"/>
        </w:rPr>
        <w:t xml:space="preserve"> The runaway giant: ten years of the Better Access program, Med J Aust; 210 (7)</w:t>
      </w:r>
      <w:r w:rsidR="009449E3" w:rsidRPr="0026096A">
        <w:rPr>
          <w:rFonts w:asciiTheme="minorHAnsi" w:hAnsiTheme="minorHAnsi" w:cstheme="minorHAnsi"/>
          <w:sz w:val="24"/>
          <w:szCs w:val="24"/>
        </w:rPr>
        <w:t>.</w:t>
      </w:r>
    </w:p>
    <w:p w14:paraId="6794F441" w14:textId="4C3D9042" w:rsidR="008A4BD3" w:rsidRPr="0026096A" w:rsidRDefault="008A4BD3" w:rsidP="0026096A">
      <w:pPr>
        <w:pStyle w:val="EndNoteBibliography"/>
        <w:spacing w:after="0"/>
        <w:ind w:left="720" w:hanging="720"/>
        <w:contextualSpacing/>
        <w:rPr>
          <w:rFonts w:asciiTheme="minorHAnsi" w:hAnsiTheme="minorHAnsi" w:cstheme="minorHAnsi"/>
          <w:sz w:val="24"/>
          <w:szCs w:val="24"/>
        </w:rPr>
      </w:pPr>
      <w:r w:rsidRPr="0026096A">
        <w:rPr>
          <w:rFonts w:asciiTheme="minorHAnsi" w:hAnsiTheme="minorHAnsi" w:cstheme="minorHAnsi"/>
          <w:sz w:val="24"/>
          <w:szCs w:val="24"/>
        </w:rPr>
        <w:t xml:space="preserve">Rostad, W. L., Self-Brown, S., Boyd Jr, C., Osborne, M., &amp; Patterson, A. (2017). Exploration of factors predictive of at-risk fathers' participation in a pilot study of an augmented evidence-based parent training program: A mixed methods approach. </w:t>
      </w:r>
      <w:r w:rsidRPr="0026096A">
        <w:rPr>
          <w:rFonts w:asciiTheme="minorHAnsi" w:hAnsiTheme="minorHAnsi" w:cstheme="minorHAnsi"/>
          <w:i/>
          <w:sz w:val="24"/>
          <w:szCs w:val="24"/>
        </w:rPr>
        <w:t>Children and youth services review, 79</w:t>
      </w:r>
      <w:r w:rsidRPr="0026096A">
        <w:rPr>
          <w:rFonts w:asciiTheme="minorHAnsi" w:hAnsiTheme="minorHAnsi" w:cstheme="minorHAnsi"/>
          <w:sz w:val="24"/>
          <w:szCs w:val="24"/>
        </w:rPr>
        <w:t xml:space="preserve">, 485-494. </w:t>
      </w:r>
    </w:p>
    <w:p w14:paraId="6069C7B3" w14:textId="67C117A8" w:rsidR="009449E3" w:rsidRPr="0026096A" w:rsidRDefault="003A46A2" w:rsidP="0026096A">
      <w:pPr>
        <w:autoSpaceDE w:val="0"/>
        <w:autoSpaceDN w:val="0"/>
        <w:adjustRightInd w:val="0"/>
        <w:spacing w:after="0" w:line="240" w:lineRule="auto"/>
        <w:ind w:left="720" w:hanging="720"/>
        <w:contextualSpacing/>
        <w:rPr>
          <w:rFonts w:cstheme="minorHAnsi"/>
          <w:color w:val="131413"/>
          <w:sz w:val="24"/>
          <w:szCs w:val="24"/>
        </w:rPr>
      </w:pPr>
      <w:r w:rsidRPr="0026096A">
        <w:rPr>
          <w:rFonts w:cstheme="minorHAnsi"/>
          <w:color w:val="131413"/>
          <w:sz w:val="24"/>
          <w:szCs w:val="24"/>
        </w:rPr>
        <w:t>Salvador-Carulla L, Tibaldi G, Johnson S, Scala E, Romero C, Munizza C.</w:t>
      </w:r>
      <w:r w:rsidR="009449E3" w:rsidRPr="0026096A">
        <w:rPr>
          <w:rFonts w:cstheme="minorHAnsi"/>
          <w:color w:val="131413"/>
          <w:sz w:val="24"/>
          <w:szCs w:val="24"/>
        </w:rPr>
        <w:t xml:space="preserve"> (2005)</w:t>
      </w:r>
      <w:r w:rsidR="00D053C6" w:rsidRPr="0026096A">
        <w:rPr>
          <w:rFonts w:cstheme="minorHAnsi"/>
          <w:color w:val="131413"/>
          <w:sz w:val="24"/>
          <w:szCs w:val="24"/>
        </w:rPr>
        <w:t xml:space="preserve"> </w:t>
      </w:r>
      <w:r w:rsidRPr="0026096A">
        <w:rPr>
          <w:rFonts w:cstheme="minorHAnsi"/>
          <w:color w:val="131413"/>
          <w:sz w:val="24"/>
          <w:szCs w:val="24"/>
        </w:rPr>
        <w:t>Patterns of mental health service utilisation in Italy and Spain. Soc</w:t>
      </w:r>
      <w:r w:rsidR="00D053C6" w:rsidRPr="0026096A">
        <w:rPr>
          <w:rFonts w:cstheme="minorHAnsi"/>
          <w:color w:val="131413"/>
          <w:sz w:val="24"/>
          <w:szCs w:val="24"/>
        </w:rPr>
        <w:t xml:space="preserve"> </w:t>
      </w:r>
      <w:r w:rsidRPr="0026096A">
        <w:rPr>
          <w:rFonts w:cstheme="minorHAnsi"/>
          <w:color w:val="131413"/>
          <w:sz w:val="24"/>
          <w:szCs w:val="24"/>
        </w:rPr>
        <w:t>Psychiatry Psychiatr Epidemiol. 2005;40(2):149–59.</w:t>
      </w:r>
    </w:p>
    <w:p w14:paraId="2B0A984F" w14:textId="0C4AC8FC" w:rsidR="00D053C6" w:rsidRPr="0026096A" w:rsidRDefault="00D053C6" w:rsidP="0026096A">
      <w:pPr>
        <w:autoSpaceDE w:val="0"/>
        <w:autoSpaceDN w:val="0"/>
        <w:adjustRightInd w:val="0"/>
        <w:spacing w:after="0" w:line="240" w:lineRule="auto"/>
        <w:ind w:left="720" w:hanging="720"/>
        <w:contextualSpacing/>
        <w:rPr>
          <w:rFonts w:cstheme="minorHAnsi"/>
          <w:color w:val="131413"/>
          <w:sz w:val="24"/>
          <w:szCs w:val="24"/>
        </w:rPr>
      </w:pPr>
      <w:r w:rsidRPr="0026096A">
        <w:rPr>
          <w:rFonts w:cstheme="minorHAnsi"/>
          <w:color w:val="131413"/>
          <w:sz w:val="24"/>
          <w:szCs w:val="24"/>
        </w:rPr>
        <w:t>Salvador-Carulla L, Garcia-Alonso C, Gonzalez-Caballero J, Garrido-Cumbrera M</w:t>
      </w:r>
      <w:r w:rsidR="009449E3" w:rsidRPr="0026096A">
        <w:rPr>
          <w:rFonts w:cstheme="minorHAnsi"/>
          <w:color w:val="131413"/>
          <w:sz w:val="24"/>
          <w:szCs w:val="24"/>
        </w:rPr>
        <w:t xml:space="preserve"> (2007)</w:t>
      </w:r>
      <w:r w:rsidRPr="0026096A">
        <w:rPr>
          <w:rFonts w:cstheme="minorHAnsi"/>
          <w:color w:val="131413"/>
          <w:sz w:val="24"/>
          <w:szCs w:val="24"/>
        </w:rPr>
        <w:t xml:space="preserve"> Use of an Operational Model of Community Care to Assess Technical Efficiency and Benchmarking of Small Mental Health Areas in Spain. J Ment Health Policy Econ. 10:87–100.</w:t>
      </w:r>
    </w:p>
    <w:p w14:paraId="3ED04EE2" w14:textId="2BAF6D92" w:rsidR="003A46A2" w:rsidRPr="0026096A" w:rsidRDefault="003A46A2" w:rsidP="0026096A">
      <w:pPr>
        <w:autoSpaceDE w:val="0"/>
        <w:autoSpaceDN w:val="0"/>
        <w:adjustRightInd w:val="0"/>
        <w:spacing w:after="0" w:line="240" w:lineRule="auto"/>
        <w:ind w:left="720" w:hanging="720"/>
        <w:contextualSpacing/>
        <w:rPr>
          <w:rFonts w:cstheme="minorHAnsi"/>
          <w:color w:val="131413"/>
          <w:sz w:val="24"/>
          <w:szCs w:val="24"/>
        </w:rPr>
      </w:pPr>
      <w:r w:rsidRPr="0026096A">
        <w:rPr>
          <w:rFonts w:cstheme="minorHAnsi"/>
          <w:color w:val="131413"/>
          <w:sz w:val="24"/>
          <w:szCs w:val="24"/>
        </w:rPr>
        <w:t>Salvador-Carulla L, Lukersmith S, Sullivan W.</w:t>
      </w:r>
      <w:r w:rsidR="009449E3" w:rsidRPr="0026096A">
        <w:rPr>
          <w:rFonts w:cstheme="minorHAnsi"/>
          <w:color w:val="131413"/>
          <w:sz w:val="24"/>
          <w:szCs w:val="24"/>
        </w:rPr>
        <w:t xml:space="preserve"> (2017). </w:t>
      </w:r>
      <w:r w:rsidRPr="0026096A">
        <w:rPr>
          <w:rFonts w:cstheme="minorHAnsi"/>
          <w:color w:val="131413"/>
          <w:sz w:val="24"/>
          <w:szCs w:val="24"/>
        </w:rPr>
        <w:t>From the EBM pyramid to the</w:t>
      </w:r>
      <w:r w:rsidR="00D053C6" w:rsidRPr="0026096A">
        <w:rPr>
          <w:rFonts w:cstheme="minorHAnsi"/>
          <w:color w:val="131413"/>
          <w:sz w:val="24"/>
          <w:szCs w:val="24"/>
        </w:rPr>
        <w:t xml:space="preserve"> </w:t>
      </w:r>
      <w:r w:rsidRPr="0026096A">
        <w:rPr>
          <w:rFonts w:cstheme="minorHAnsi"/>
          <w:color w:val="131413"/>
          <w:sz w:val="24"/>
          <w:szCs w:val="24"/>
        </w:rPr>
        <w:t>Greek temple: a new conceptual approach to Guidelines as implementation</w:t>
      </w:r>
      <w:r w:rsidR="00D053C6" w:rsidRPr="0026096A">
        <w:rPr>
          <w:rFonts w:cstheme="minorHAnsi"/>
          <w:color w:val="131413"/>
          <w:sz w:val="24"/>
          <w:szCs w:val="24"/>
        </w:rPr>
        <w:t xml:space="preserve"> </w:t>
      </w:r>
      <w:r w:rsidRPr="0026096A">
        <w:rPr>
          <w:rFonts w:cstheme="minorHAnsi"/>
          <w:color w:val="131413"/>
          <w:sz w:val="24"/>
          <w:szCs w:val="24"/>
        </w:rPr>
        <w:t>tools in mental health. Epidemiol Psychiatr Sci.;26(2):105–14.</w:t>
      </w:r>
    </w:p>
    <w:p w14:paraId="2A04FA17" w14:textId="77777777" w:rsidR="00D053C6" w:rsidRPr="0026096A" w:rsidRDefault="00A30791" w:rsidP="0026096A">
      <w:pPr>
        <w:spacing w:line="276" w:lineRule="auto"/>
        <w:ind w:left="720" w:hanging="720"/>
        <w:contextualSpacing/>
        <w:rPr>
          <w:rFonts w:eastAsia="Times New Roman" w:cstheme="minorHAnsi"/>
          <w:color w:val="000000"/>
          <w:sz w:val="24"/>
          <w:szCs w:val="24"/>
          <w:shd w:val="clear" w:color="auto" w:fill="FFFFFF"/>
        </w:rPr>
      </w:pPr>
      <w:r w:rsidRPr="0026096A">
        <w:rPr>
          <w:rFonts w:cstheme="minorHAnsi"/>
          <w:sz w:val="24"/>
          <w:szCs w:val="24"/>
        </w:rPr>
        <w:t xml:space="preserve">Sawyer, M. G., Reece, C. E., Sawyer, A. C., Hiscock, H., &amp; Lawrence, D. (2019). Adequacy of treatment for child and adolescent mental disorders in Australia: A national study. </w:t>
      </w:r>
      <w:r w:rsidRPr="0026096A">
        <w:rPr>
          <w:rFonts w:cstheme="minorHAnsi"/>
          <w:i/>
          <w:iCs/>
          <w:sz w:val="24"/>
          <w:szCs w:val="24"/>
        </w:rPr>
        <w:t xml:space="preserve">Australian and New Zealand Journal of Psychiatry, </w:t>
      </w:r>
      <w:r w:rsidRPr="0026096A">
        <w:rPr>
          <w:rFonts w:cstheme="minorHAnsi"/>
          <w:i/>
          <w:sz w:val="24"/>
          <w:szCs w:val="24"/>
        </w:rPr>
        <w:t xml:space="preserve">53, </w:t>
      </w:r>
      <w:r w:rsidRPr="0026096A">
        <w:rPr>
          <w:rFonts w:cstheme="minorHAnsi"/>
          <w:sz w:val="24"/>
          <w:szCs w:val="24"/>
        </w:rPr>
        <w:t xml:space="preserve">326–335. </w:t>
      </w:r>
      <w:r w:rsidRPr="0026096A">
        <w:rPr>
          <w:rFonts w:eastAsia="Times New Roman" w:cstheme="minorHAnsi"/>
          <w:color w:val="000000"/>
          <w:sz w:val="24"/>
          <w:szCs w:val="24"/>
          <w:shd w:val="clear" w:color="auto" w:fill="FFFFFF"/>
        </w:rPr>
        <w:t>doi:10.1177/0004867418808895</w:t>
      </w:r>
    </w:p>
    <w:p w14:paraId="77870770" w14:textId="77777777" w:rsidR="005A7A51" w:rsidRPr="0026096A" w:rsidRDefault="005A7A51" w:rsidP="0026096A">
      <w:pPr>
        <w:spacing w:after="0" w:line="240" w:lineRule="auto"/>
        <w:ind w:left="720" w:hanging="720"/>
        <w:rPr>
          <w:rFonts w:cstheme="minorHAnsi"/>
          <w:sz w:val="24"/>
          <w:szCs w:val="24"/>
          <w:lang w:val="pt-BR"/>
        </w:rPr>
      </w:pPr>
      <w:r w:rsidRPr="0026096A">
        <w:rPr>
          <w:rFonts w:cstheme="minorHAnsi"/>
          <w:sz w:val="24"/>
          <w:szCs w:val="24"/>
          <w:lang w:val="pt-BR"/>
        </w:rPr>
        <w:t>Spijker BA van, Salinas-Perez JA, Mendoza J, Bell T, Bagheri N, Furst MA, Reynolds J, Rock D, Harvey A, Rosen A, Salvador-Carulla L. Service availability and capacity in rural mental health in Australia: Analysing gaps using an Integrated Mental Health Atlas. Aust N Z J Psychiatry. 2019 Oct;53(10):1000-1012. doi: 10.1177/0004867419857809</w:t>
      </w:r>
      <w:r w:rsidRPr="0026096A">
        <w:rPr>
          <w:rFonts w:cstheme="minorHAnsi"/>
          <w:color w:val="000000"/>
          <w:sz w:val="24"/>
          <w:szCs w:val="24"/>
          <w:shd w:val="clear" w:color="auto" w:fill="FFFFFF"/>
        </w:rPr>
        <w:t>. </w:t>
      </w:r>
    </w:p>
    <w:p w14:paraId="586B5095" w14:textId="36565B9A" w:rsidR="008A4BD3" w:rsidRPr="0026096A" w:rsidRDefault="008A4BD3" w:rsidP="0026096A">
      <w:pPr>
        <w:spacing w:line="276" w:lineRule="auto"/>
        <w:ind w:left="720" w:hanging="720"/>
        <w:contextualSpacing/>
        <w:rPr>
          <w:rFonts w:cstheme="minorHAnsi"/>
          <w:sz w:val="24"/>
          <w:szCs w:val="24"/>
        </w:rPr>
      </w:pPr>
      <w:r w:rsidRPr="0026096A">
        <w:rPr>
          <w:rFonts w:cstheme="minorHAnsi"/>
          <w:sz w:val="24"/>
          <w:szCs w:val="24"/>
        </w:rPr>
        <w:t xml:space="preserve">Stallman, H. M. (2010). Psychological distress in university students: A comparison with general population data. </w:t>
      </w:r>
      <w:r w:rsidRPr="0026096A">
        <w:rPr>
          <w:rFonts w:cstheme="minorHAnsi"/>
          <w:i/>
          <w:sz w:val="24"/>
          <w:szCs w:val="24"/>
        </w:rPr>
        <w:t>Australian Psychologist, 45</w:t>
      </w:r>
      <w:r w:rsidRPr="0026096A">
        <w:rPr>
          <w:rFonts w:cstheme="minorHAnsi"/>
          <w:sz w:val="24"/>
          <w:szCs w:val="24"/>
        </w:rPr>
        <w:t xml:space="preserve">(4), 249-257. </w:t>
      </w:r>
    </w:p>
    <w:p w14:paraId="75902E56" w14:textId="77777777" w:rsidR="009449E3" w:rsidRPr="0026096A" w:rsidRDefault="00A30791" w:rsidP="0026096A">
      <w:pPr>
        <w:spacing w:line="276" w:lineRule="auto"/>
        <w:ind w:left="720" w:hanging="720"/>
        <w:contextualSpacing/>
        <w:rPr>
          <w:rFonts w:eastAsia="Times New Roman" w:cstheme="minorHAnsi"/>
          <w:color w:val="000000"/>
          <w:sz w:val="24"/>
          <w:szCs w:val="24"/>
          <w:shd w:val="clear" w:color="auto" w:fill="FFFFFF"/>
        </w:rPr>
      </w:pPr>
      <w:r w:rsidRPr="0026096A">
        <w:rPr>
          <w:rFonts w:eastAsia="Times New Roman" w:cstheme="minorHAnsi"/>
          <w:color w:val="000000"/>
          <w:sz w:val="24"/>
          <w:szCs w:val="24"/>
          <w:shd w:val="clear" w:color="auto" w:fill="FFFFFF"/>
        </w:rPr>
        <w:t xml:space="preserve">Stallman, H. M. (2012). University counselling services in Australia and New Zealand: Activities, changes, and challenges. </w:t>
      </w:r>
      <w:r w:rsidRPr="0026096A">
        <w:rPr>
          <w:rFonts w:eastAsia="Times New Roman" w:cstheme="minorHAnsi"/>
          <w:i/>
          <w:color w:val="000000"/>
          <w:sz w:val="24"/>
          <w:szCs w:val="24"/>
          <w:shd w:val="clear" w:color="auto" w:fill="FFFFFF"/>
        </w:rPr>
        <w:t>Australian Psychologist, 47,</w:t>
      </w:r>
      <w:r w:rsidRPr="0026096A">
        <w:rPr>
          <w:rFonts w:eastAsia="Times New Roman" w:cstheme="minorHAnsi"/>
          <w:color w:val="000000"/>
          <w:sz w:val="24"/>
          <w:szCs w:val="24"/>
          <w:shd w:val="clear" w:color="auto" w:fill="FFFFFF"/>
        </w:rPr>
        <w:t xml:space="preserve"> 249-253. doi:10.1111/j.1742-9544.2011.00023.x</w:t>
      </w:r>
    </w:p>
    <w:p w14:paraId="336C099A" w14:textId="77777777" w:rsidR="009449E3" w:rsidRPr="0026096A" w:rsidRDefault="008A4BD3" w:rsidP="0026096A">
      <w:pPr>
        <w:spacing w:line="276" w:lineRule="auto"/>
        <w:ind w:left="720" w:hanging="720"/>
        <w:contextualSpacing/>
        <w:rPr>
          <w:rFonts w:cstheme="minorHAnsi"/>
          <w:sz w:val="24"/>
          <w:szCs w:val="24"/>
        </w:rPr>
      </w:pPr>
      <w:r w:rsidRPr="0026096A">
        <w:rPr>
          <w:rFonts w:cstheme="minorHAnsi"/>
          <w:sz w:val="24"/>
          <w:szCs w:val="24"/>
        </w:rPr>
        <w:t xml:space="preserve">Stansfeld, S., &amp; Candy, B. (2006). Psychosocial work environment and mental health—a meta-analytic review. </w:t>
      </w:r>
      <w:r w:rsidRPr="0026096A">
        <w:rPr>
          <w:rFonts w:cstheme="minorHAnsi"/>
          <w:i/>
          <w:sz w:val="24"/>
          <w:szCs w:val="24"/>
        </w:rPr>
        <w:t>Scandinavian journal of work, environment &amp; health</w:t>
      </w:r>
      <w:r w:rsidRPr="0026096A">
        <w:rPr>
          <w:rFonts w:cstheme="minorHAnsi"/>
          <w:sz w:val="24"/>
          <w:szCs w:val="24"/>
        </w:rPr>
        <w:t xml:space="preserve">, 443-462. </w:t>
      </w:r>
    </w:p>
    <w:p w14:paraId="58F37F63" w14:textId="77777777" w:rsidR="0026096A" w:rsidRDefault="00D053C6" w:rsidP="0026096A">
      <w:pPr>
        <w:spacing w:line="276" w:lineRule="auto"/>
        <w:ind w:left="720" w:hanging="720"/>
        <w:contextualSpacing/>
        <w:rPr>
          <w:rFonts w:cstheme="minorHAnsi"/>
          <w:b/>
          <w:i/>
          <w:sz w:val="24"/>
          <w:szCs w:val="24"/>
        </w:rPr>
      </w:pPr>
      <w:r w:rsidRPr="0026096A">
        <w:rPr>
          <w:rFonts w:cstheme="minorHAnsi"/>
          <w:sz w:val="24"/>
          <w:szCs w:val="24"/>
        </w:rPr>
        <w:lastRenderedPageBreak/>
        <w:t xml:space="preserve">Van Straten, A., Hill, J., Richards, D., &amp; Cuijpers, P. (2015). Stepped care treatment delivery for depression: A systematic review and meta-analysis. </w:t>
      </w:r>
      <w:r w:rsidRPr="0026096A">
        <w:rPr>
          <w:rFonts w:cstheme="minorHAnsi"/>
          <w:i/>
          <w:iCs/>
          <w:sz w:val="24"/>
          <w:szCs w:val="24"/>
        </w:rPr>
        <w:t>Psychological Medicine,</w:t>
      </w:r>
      <w:r w:rsidRPr="0026096A">
        <w:rPr>
          <w:rFonts w:cstheme="minorHAnsi"/>
          <w:sz w:val="24"/>
          <w:szCs w:val="24"/>
        </w:rPr>
        <w:t xml:space="preserve"> </w:t>
      </w:r>
      <w:r w:rsidRPr="0026096A">
        <w:rPr>
          <w:rFonts w:cstheme="minorHAnsi"/>
          <w:i/>
          <w:iCs/>
          <w:sz w:val="24"/>
          <w:szCs w:val="24"/>
        </w:rPr>
        <w:t>45</w:t>
      </w:r>
      <w:r w:rsidRPr="0026096A">
        <w:rPr>
          <w:rFonts w:cstheme="minorHAnsi"/>
          <w:sz w:val="24"/>
          <w:szCs w:val="24"/>
        </w:rPr>
        <w:t>(2), 231-246. doi:10.1017/S0033291714000701</w:t>
      </w:r>
      <w:r w:rsidR="008A4BD3" w:rsidRPr="0026096A">
        <w:rPr>
          <w:rFonts w:cstheme="minorHAnsi"/>
          <w:b/>
          <w:i/>
          <w:sz w:val="24"/>
          <w:szCs w:val="24"/>
        </w:rPr>
        <w:fldChar w:fldCharType="end"/>
      </w:r>
    </w:p>
    <w:p w14:paraId="7518DE5C" w14:textId="798AB29F" w:rsidR="0026096A" w:rsidRPr="0026096A" w:rsidRDefault="0026096A" w:rsidP="0026096A">
      <w:pPr>
        <w:spacing w:line="276" w:lineRule="auto"/>
        <w:ind w:left="720" w:hanging="720"/>
        <w:contextualSpacing/>
        <w:rPr>
          <w:rFonts w:cstheme="minorHAnsi"/>
          <w:sz w:val="24"/>
          <w:szCs w:val="24"/>
        </w:rPr>
      </w:pPr>
      <w:r w:rsidRPr="0026096A">
        <w:rPr>
          <w:rFonts w:cstheme="minorHAnsi"/>
          <w:sz w:val="24"/>
          <w:szCs w:val="24"/>
        </w:rPr>
        <w:t xml:space="preserve">Werner-Seidler, A., Perry, Y., Calear, A. L., Newby, J. M., &amp; Christensen, H. (2017). School-based depression and anxiety prevention programs for young people: A systematic review and meta-analysis. </w:t>
      </w:r>
      <w:r w:rsidRPr="0026096A">
        <w:rPr>
          <w:rFonts w:cstheme="minorHAnsi"/>
          <w:i/>
          <w:sz w:val="24"/>
          <w:szCs w:val="24"/>
        </w:rPr>
        <w:t>Clinical Psychology Review, 51</w:t>
      </w:r>
      <w:r w:rsidRPr="0026096A">
        <w:rPr>
          <w:rFonts w:cstheme="minorHAnsi"/>
          <w:sz w:val="24"/>
          <w:szCs w:val="24"/>
        </w:rPr>
        <w:t>, 30-47.</w:t>
      </w:r>
    </w:p>
    <w:p w14:paraId="4237E354" w14:textId="77777777" w:rsidR="0026096A" w:rsidRPr="0026096A" w:rsidRDefault="0026096A" w:rsidP="0026096A">
      <w:pPr>
        <w:spacing w:line="276" w:lineRule="auto"/>
        <w:ind w:left="720" w:hanging="720"/>
        <w:contextualSpacing/>
        <w:rPr>
          <w:rFonts w:cstheme="minorHAnsi"/>
          <w:b/>
          <w:i/>
          <w:sz w:val="24"/>
          <w:szCs w:val="24"/>
        </w:rPr>
      </w:pPr>
    </w:p>
    <w:p w14:paraId="69645E0B" w14:textId="77777777" w:rsidR="0028235D" w:rsidRPr="00020061" w:rsidRDefault="0028235D" w:rsidP="00020061">
      <w:pPr>
        <w:ind w:left="720" w:hanging="720"/>
        <w:contextualSpacing/>
        <w:rPr>
          <w:rFonts w:cstheme="minorHAnsi"/>
          <w:sz w:val="24"/>
          <w:szCs w:val="24"/>
        </w:rPr>
      </w:pPr>
    </w:p>
    <w:sectPr w:rsidR="0028235D" w:rsidRPr="00020061" w:rsidSect="00F93D20">
      <w:footerReference w:type="defaul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03C534" w14:textId="77777777" w:rsidR="00CC45E5" w:rsidRDefault="00CC45E5" w:rsidP="00F93D20">
      <w:pPr>
        <w:spacing w:after="0" w:line="240" w:lineRule="auto"/>
      </w:pPr>
      <w:r>
        <w:separator/>
      </w:r>
    </w:p>
  </w:endnote>
  <w:endnote w:type="continuationSeparator" w:id="0">
    <w:p w14:paraId="796FF183" w14:textId="77777777" w:rsidR="00CC45E5" w:rsidRDefault="00CC45E5" w:rsidP="00F93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4367646"/>
      <w:docPartObj>
        <w:docPartGallery w:val="Page Numbers (Bottom of Page)"/>
        <w:docPartUnique/>
      </w:docPartObj>
    </w:sdtPr>
    <w:sdtEndPr>
      <w:rPr>
        <w:noProof/>
      </w:rPr>
    </w:sdtEndPr>
    <w:sdtContent>
      <w:p w14:paraId="70C1A549" w14:textId="7CBCCDBD" w:rsidR="00A92322" w:rsidRDefault="00A92322">
        <w:pPr>
          <w:pStyle w:val="Footer"/>
          <w:jc w:val="right"/>
        </w:pPr>
        <w:r>
          <w:fldChar w:fldCharType="begin"/>
        </w:r>
        <w:r>
          <w:instrText xml:space="preserve"> PAGE   \* MERGEFORMAT </w:instrText>
        </w:r>
        <w:r>
          <w:fldChar w:fldCharType="separate"/>
        </w:r>
        <w:r w:rsidR="007638F2">
          <w:rPr>
            <w:noProof/>
          </w:rPr>
          <w:t>2</w:t>
        </w:r>
        <w:r>
          <w:rPr>
            <w:noProof/>
          </w:rPr>
          <w:fldChar w:fldCharType="end"/>
        </w:r>
      </w:p>
    </w:sdtContent>
  </w:sdt>
  <w:p w14:paraId="16BBFC55" w14:textId="77777777" w:rsidR="00A92322" w:rsidRDefault="00A923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49A3E4" w14:textId="77777777" w:rsidR="00CC45E5" w:rsidRDefault="00CC45E5" w:rsidP="00F93D20">
      <w:pPr>
        <w:spacing w:after="0" w:line="240" w:lineRule="auto"/>
      </w:pPr>
      <w:r>
        <w:separator/>
      </w:r>
    </w:p>
  </w:footnote>
  <w:footnote w:type="continuationSeparator" w:id="0">
    <w:p w14:paraId="219C3093" w14:textId="77777777" w:rsidR="00CC45E5" w:rsidRDefault="00CC45E5" w:rsidP="00F93D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288E47C"/>
    <w:lvl w:ilvl="0">
      <w:numFmt w:val="decimal"/>
      <w:pStyle w:val="Achievement"/>
      <w:lvlText w:val="*"/>
      <w:lvlJc w:val="left"/>
      <w:pPr>
        <w:ind w:left="0" w:firstLine="0"/>
      </w:pPr>
    </w:lvl>
  </w:abstractNum>
  <w:abstractNum w:abstractNumId="1" w15:restartNumberingAfterBreak="0">
    <w:nsid w:val="113D125D"/>
    <w:multiLevelType w:val="hybridMultilevel"/>
    <w:tmpl w:val="716A81DE"/>
    <w:lvl w:ilvl="0" w:tplc="7FB0FB24">
      <w:numFmt w:val="bullet"/>
      <w:lvlText w:val="-"/>
      <w:lvlJc w:val="left"/>
      <w:pPr>
        <w:ind w:left="720" w:hanging="360"/>
      </w:pPr>
      <w:rPr>
        <w:rFonts w:ascii="Calibri" w:eastAsia="Times New Roman" w:hAnsi="Calibri" w:cs="Calibri" w:hint="default"/>
        <w:sz w:val="22"/>
      </w:rPr>
    </w:lvl>
    <w:lvl w:ilvl="1" w:tplc="7FB0FB24">
      <w:numFmt w:val="bullet"/>
      <w:lvlText w:val="-"/>
      <w:lvlJc w:val="left"/>
      <w:pPr>
        <w:ind w:left="1440" w:hanging="360"/>
      </w:pPr>
      <w:rPr>
        <w:rFonts w:ascii="Calibri" w:eastAsia="Times New Roman" w:hAnsi="Calibri" w:cs="Calibri" w:hint="default"/>
        <w:sz w:val="22"/>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2531FF"/>
    <w:multiLevelType w:val="hybridMultilevel"/>
    <w:tmpl w:val="66681E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398568E"/>
    <w:multiLevelType w:val="hybridMultilevel"/>
    <w:tmpl w:val="7C30DA76"/>
    <w:lvl w:ilvl="0" w:tplc="7FB0FB24">
      <w:numFmt w:val="bullet"/>
      <w:lvlText w:val="-"/>
      <w:lvlJc w:val="left"/>
      <w:pPr>
        <w:ind w:left="360" w:hanging="360"/>
      </w:pPr>
      <w:rPr>
        <w:rFonts w:ascii="Calibri" w:eastAsia="Times New Roman" w:hAnsi="Calibri" w:cs="Calibri" w:hint="default"/>
        <w:sz w:val="22"/>
      </w:rPr>
    </w:lvl>
    <w:lvl w:ilvl="1" w:tplc="0C090003" w:tentative="1">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62D6940"/>
    <w:multiLevelType w:val="hybridMultilevel"/>
    <w:tmpl w:val="2A566820"/>
    <w:lvl w:ilvl="0" w:tplc="65585058">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B7D453D"/>
    <w:multiLevelType w:val="hybridMultilevel"/>
    <w:tmpl w:val="BE5EAE9A"/>
    <w:lvl w:ilvl="0" w:tplc="2DA2FFB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BA288B"/>
    <w:multiLevelType w:val="hybridMultilevel"/>
    <w:tmpl w:val="DCE6FCA6"/>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22EE4C7D"/>
    <w:multiLevelType w:val="hybridMultilevel"/>
    <w:tmpl w:val="EF2C0E40"/>
    <w:lvl w:ilvl="0" w:tplc="43C2F7A4">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15:restartNumberingAfterBreak="0">
    <w:nsid w:val="27FF1777"/>
    <w:multiLevelType w:val="hybridMultilevel"/>
    <w:tmpl w:val="D64A8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501ABD"/>
    <w:multiLevelType w:val="hybridMultilevel"/>
    <w:tmpl w:val="FFE0CB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D023A82"/>
    <w:multiLevelType w:val="hybridMultilevel"/>
    <w:tmpl w:val="83141C68"/>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38506B3"/>
    <w:multiLevelType w:val="hybridMultilevel"/>
    <w:tmpl w:val="96D869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5341957"/>
    <w:multiLevelType w:val="hybridMultilevel"/>
    <w:tmpl w:val="64BAB9AE"/>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345"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86B5977"/>
    <w:multiLevelType w:val="hybridMultilevel"/>
    <w:tmpl w:val="D1F427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F9E779B"/>
    <w:multiLevelType w:val="hybridMultilevel"/>
    <w:tmpl w:val="9E52528A"/>
    <w:lvl w:ilvl="0" w:tplc="ECFAE4D6">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5FBF5F5A"/>
    <w:multiLevelType w:val="hybridMultilevel"/>
    <w:tmpl w:val="8E32BF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0597A36"/>
    <w:multiLevelType w:val="hybridMultilevel"/>
    <w:tmpl w:val="BD0A9818"/>
    <w:lvl w:ilvl="0" w:tplc="7FB0FB24">
      <w:numFmt w:val="bullet"/>
      <w:lvlText w:val="-"/>
      <w:lvlJc w:val="left"/>
      <w:pPr>
        <w:ind w:left="360" w:hanging="360"/>
      </w:pPr>
      <w:rPr>
        <w:rFonts w:ascii="Calibri" w:eastAsia="Times New Roman" w:hAnsi="Calibri" w:cs="Calibri" w:hint="default"/>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30049E6"/>
    <w:multiLevelType w:val="hybridMultilevel"/>
    <w:tmpl w:val="F7700A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B544AB8"/>
    <w:multiLevelType w:val="hybridMultilevel"/>
    <w:tmpl w:val="C9C28B6E"/>
    <w:lvl w:ilvl="0" w:tplc="7FB0FB24">
      <w:numFmt w:val="bullet"/>
      <w:lvlText w:val="-"/>
      <w:lvlJc w:val="left"/>
      <w:pPr>
        <w:ind w:left="717" w:hanging="360"/>
      </w:pPr>
      <w:rPr>
        <w:rFonts w:ascii="Calibri" w:eastAsia="Times New Roman" w:hAnsi="Calibri" w:cs="Calibri" w:hint="default"/>
        <w:sz w:val="22"/>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9" w15:restartNumberingAfterBreak="0">
    <w:nsid w:val="6B736BC4"/>
    <w:multiLevelType w:val="hybridMultilevel"/>
    <w:tmpl w:val="5B0A154E"/>
    <w:lvl w:ilvl="0" w:tplc="0C090001">
      <w:start w:val="1"/>
      <w:numFmt w:val="bullet"/>
      <w:lvlText w:val=""/>
      <w:lvlJc w:val="left"/>
      <w:pPr>
        <w:ind w:left="360" w:hanging="360"/>
      </w:pPr>
      <w:rPr>
        <w:rFonts w:ascii="Symbol" w:hAnsi="Symbol" w:hint="default"/>
        <w:sz w:val="22"/>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1AD4E17"/>
    <w:multiLevelType w:val="hybridMultilevel"/>
    <w:tmpl w:val="B29C93E8"/>
    <w:lvl w:ilvl="0" w:tplc="0C090001">
      <w:start w:val="1"/>
      <w:numFmt w:val="bullet"/>
      <w:lvlText w:val=""/>
      <w:lvlJc w:val="left"/>
      <w:pPr>
        <w:ind w:left="360" w:hanging="360"/>
      </w:pPr>
      <w:rPr>
        <w:rFonts w:ascii="Symbol" w:hAnsi="Symbol" w:hint="default"/>
      </w:rPr>
    </w:lvl>
    <w:lvl w:ilvl="1" w:tplc="7FB0FB24">
      <w:numFmt w:val="bullet"/>
      <w:lvlText w:val="-"/>
      <w:lvlJc w:val="left"/>
      <w:pPr>
        <w:ind w:left="1080" w:hanging="360"/>
      </w:pPr>
      <w:rPr>
        <w:rFonts w:ascii="Calibri" w:eastAsia="Times New Roman" w:hAnsi="Calibri" w:cs="Calibri" w:hint="default"/>
        <w:sz w:val="22"/>
      </w:rPr>
    </w:lvl>
    <w:lvl w:ilvl="2" w:tplc="48A2FF84">
      <w:numFmt w:val="bullet"/>
      <w:lvlText w:val="·"/>
      <w:lvlJc w:val="left"/>
      <w:pPr>
        <w:ind w:left="1800" w:hanging="360"/>
      </w:pPr>
      <w:rPr>
        <w:rFonts w:ascii="Calibri" w:eastAsia="Times New Roman" w:hAnsi="Calibri" w:cs="Calibri" w:hint="default"/>
        <w:sz w:val="22"/>
      </w:rPr>
    </w:lvl>
    <w:lvl w:ilvl="3" w:tplc="CC80EB00">
      <w:start w:val="2"/>
      <w:numFmt w:val="bullet"/>
      <w:lvlText w:val="•"/>
      <w:lvlJc w:val="left"/>
      <w:pPr>
        <w:ind w:left="2880" w:hanging="720"/>
      </w:pPr>
      <w:rPr>
        <w:rFonts w:ascii="Calibri" w:eastAsiaTheme="minorHAnsi" w:hAnsi="Calibri" w:cs="Calibri"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D601486"/>
    <w:multiLevelType w:val="hybridMultilevel"/>
    <w:tmpl w:val="68E4612E"/>
    <w:lvl w:ilvl="0" w:tplc="0C090001">
      <w:start w:val="1"/>
      <w:numFmt w:val="bullet"/>
      <w:lvlText w:val=""/>
      <w:lvlJc w:val="left"/>
      <w:pPr>
        <w:ind w:left="360" w:hanging="360"/>
      </w:pPr>
      <w:rPr>
        <w:rFonts w:ascii="Symbol" w:hAnsi="Symbol" w:hint="default"/>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5"/>
  </w:num>
  <w:num w:numId="2">
    <w:abstractNumId w:val="20"/>
  </w:num>
  <w:num w:numId="3">
    <w:abstractNumId w:val="13"/>
  </w:num>
  <w:num w:numId="4">
    <w:abstractNumId w:val="17"/>
  </w:num>
  <w:num w:numId="5">
    <w:abstractNumId w:val="7"/>
  </w:num>
  <w:num w:numId="6">
    <w:abstractNumId w:val="8"/>
  </w:num>
  <w:num w:numId="7">
    <w:abstractNumId w:val="16"/>
  </w:num>
  <w:num w:numId="8">
    <w:abstractNumId w:val="2"/>
  </w:num>
  <w:num w:numId="9">
    <w:abstractNumId w:val="19"/>
  </w:num>
  <w:num w:numId="10">
    <w:abstractNumId w:val="18"/>
  </w:num>
  <w:num w:numId="11">
    <w:abstractNumId w:val="1"/>
  </w:num>
  <w:num w:numId="12">
    <w:abstractNumId w:val="3"/>
  </w:num>
  <w:num w:numId="13">
    <w:abstractNumId w:val="21"/>
  </w:num>
  <w:num w:numId="14">
    <w:abstractNumId w:val="5"/>
  </w:num>
  <w:num w:numId="15">
    <w:abstractNumId w:val="11"/>
  </w:num>
  <w:num w:numId="16">
    <w:abstractNumId w:val="9"/>
  </w:num>
  <w:num w:numId="17">
    <w:abstractNumId w:val="10"/>
  </w:num>
  <w:num w:numId="18">
    <w:abstractNumId w:val="12"/>
  </w:num>
  <w:num w:numId="19">
    <w:abstractNumId w:val="6"/>
  </w:num>
  <w:num w:numId="20">
    <w:abstractNumId w:val="14"/>
  </w:num>
  <w:num w:numId="21">
    <w:abstractNumId w:val="0"/>
    <w:lvlOverride w:ilvl="0">
      <w:lvl w:ilvl="0">
        <w:numFmt w:val="bullet"/>
        <w:pStyle w:val="Achievement"/>
        <w:lvlText w:val=""/>
        <w:legacy w:legacy="1" w:legacySpace="0" w:legacyIndent="240"/>
        <w:lvlJc w:val="left"/>
        <w:pPr>
          <w:ind w:left="240" w:hanging="240"/>
        </w:pPr>
        <w:rPr>
          <w:rFonts w:ascii="Wingdings" w:hAnsi="Wingdings" w:hint="default"/>
          <w:sz w:val="12"/>
        </w:rPr>
      </w:lvl>
    </w:lvlOverride>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D4D"/>
    <w:rsid w:val="00003617"/>
    <w:rsid w:val="00005E9E"/>
    <w:rsid w:val="00020061"/>
    <w:rsid w:val="000420C9"/>
    <w:rsid w:val="00074904"/>
    <w:rsid w:val="00077BCD"/>
    <w:rsid w:val="00087D1B"/>
    <w:rsid w:val="000B06C5"/>
    <w:rsid w:val="000D14E2"/>
    <w:rsid w:val="000D3197"/>
    <w:rsid w:val="00125057"/>
    <w:rsid w:val="00185C0C"/>
    <w:rsid w:val="0026096A"/>
    <w:rsid w:val="00266A10"/>
    <w:rsid w:val="0028235D"/>
    <w:rsid w:val="00292C60"/>
    <w:rsid w:val="002A4CF9"/>
    <w:rsid w:val="002C1E3A"/>
    <w:rsid w:val="002E354E"/>
    <w:rsid w:val="002E6317"/>
    <w:rsid w:val="003440C3"/>
    <w:rsid w:val="00387715"/>
    <w:rsid w:val="0039103A"/>
    <w:rsid w:val="003959C6"/>
    <w:rsid w:val="003965D5"/>
    <w:rsid w:val="003A0ADA"/>
    <w:rsid w:val="003A46A2"/>
    <w:rsid w:val="003F43E9"/>
    <w:rsid w:val="0041162A"/>
    <w:rsid w:val="00415AA7"/>
    <w:rsid w:val="0042216D"/>
    <w:rsid w:val="00424735"/>
    <w:rsid w:val="00434417"/>
    <w:rsid w:val="00462A10"/>
    <w:rsid w:val="00472810"/>
    <w:rsid w:val="00493308"/>
    <w:rsid w:val="004C3A82"/>
    <w:rsid w:val="004E7496"/>
    <w:rsid w:val="00512030"/>
    <w:rsid w:val="00552973"/>
    <w:rsid w:val="005752BC"/>
    <w:rsid w:val="005A7A51"/>
    <w:rsid w:val="005D6AA9"/>
    <w:rsid w:val="005F7E8F"/>
    <w:rsid w:val="00632000"/>
    <w:rsid w:val="006350C4"/>
    <w:rsid w:val="006458D6"/>
    <w:rsid w:val="00647EB4"/>
    <w:rsid w:val="00683D4D"/>
    <w:rsid w:val="00687E61"/>
    <w:rsid w:val="006B438D"/>
    <w:rsid w:val="00703651"/>
    <w:rsid w:val="00756E11"/>
    <w:rsid w:val="007638F2"/>
    <w:rsid w:val="007A1B1F"/>
    <w:rsid w:val="007A4DD1"/>
    <w:rsid w:val="007A5F7F"/>
    <w:rsid w:val="007C635C"/>
    <w:rsid w:val="007D09D2"/>
    <w:rsid w:val="00810738"/>
    <w:rsid w:val="00851B49"/>
    <w:rsid w:val="008A4BD3"/>
    <w:rsid w:val="008B3141"/>
    <w:rsid w:val="009242D9"/>
    <w:rsid w:val="00926BBC"/>
    <w:rsid w:val="009449E3"/>
    <w:rsid w:val="009509CD"/>
    <w:rsid w:val="00995B68"/>
    <w:rsid w:val="009B2333"/>
    <w:rsid w:val="009D41DF"/>
    <w:rsid w:val="009D7B13"/>
    <w:rsid w:val="009F0A36"/>
    <w:rsid w:val="00A10CFD"/>
    <w:rsid w:val="00A137FC"/>
    <w:rsid w:val="00A30791"/>
    <w:rsid w:val="00A51E99"/>
    <w:rsid w:val="00A71D38"/>
    <w:rsid w:val="00A92322"/>
    <w:rsid w:val="00AA68C9"/>
    <w:rsid w:val="00AB48DA"/>
    <w:rsid w:val="00AB5279"/>
    <w:rsid w:val="00AC16FC"/>
    <w:rsid w:val="00B1564F"/>
    <w:rsid w:val="00B34D68"/>
    <w:rsid w:val="00B40F71"/>
    <w:rsid w:val="00BC3915"/>
    <w:rsid w:val="00C62D9C"/>
    <w:rsid w:val="00C66DE1"/>
    <w:rsid w:val="00C85901"/>
    <w:rsid w:val="00CC45E5"/>
    <w:rsid w:val="00CE1CFC"/>
    <w:rsid w:val="00D053C6"/>
    <w:rsid w:val="00D35368"/>
    <w:rsid w:val="00D40F13"/>
    <w:rsid w:val="00D542F9"/>
    <w:rsid w:val="00E0550D"/>
    <w:rsid w:val="00E07499"/>
    <w:rsid w:val="00E25C64"/>
    <w:rsid w:val="00E44C9C"/>
    <w:rsid w:val="00E66BD2"/>
    <w:rsid w:val="00E93B1C"/>
    <w:rsid w:val="00E974DA"/>
    <w:rsid w:val="00EA1199"/>
    <w:rsid w:val="00EB74D1"/>
    <w:rsid w:val="00EC2608"/>
    <w:rsid w:val="00ED2453"/>
    <w:rsid w:val="00F708CB"/>
    <w:rsid w:val="00F93D20"/>
    <w:rsid w:val="00F94270"/>
    <w:rsid w:val="00FA0BCB"/>
    <w:rsid w:val="00FC31E7"/>
    <w:rsid w:val="00FD3AFC"/>
    <w:rsid w:val="00FE72CF"/>
    <w:rsid w:val="00FF7A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9563D"/>
  <w15:chartTrackingRefBased/>
  <w15:docId w15:val="{2D7B4E32-5073-41B8-9EF0-4FD60659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C1E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C1E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055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417"/>
    <w:pPr>
      <w:ind w:left="720"/>
      <w:contextualSpacing/>
    </w:pPr>
  </w:style>
  <w:style w:type="table" w:styleId="TableGrid">
    <w:name w:val="Table Grid"/>
    <w:basedOn w:val="TableNormal"/>
    <w:uiPriority w:val="39"/>
    <w:rsid w:val="00687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6DE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1">
    <w:name w:val="Body Text1"/>
    <w:basedOn w:val="Normal"/>
    <w:link w:val="BodytextChar"/>
    <w:qFormat/>
    <w:rsid w:val="00C66DE1"/>
    <w:pPr>
      <w:spacing w:before="100" w:after="200" w:line="271" w:lineRule="auto"/>
    </w:pPr>
    <w:rPr>
      <w:rFonts w:ascii="Calibri" w:eastAsia="Times New Roman" w:hAnsi="Calibri" w:cs="Times New Roman"/>
      <w:szCs w:val="20"/>
    </w:rPr>
  </w:style>
  <w:style w:type="character" w:customStyle="1" w:styleId="BodytextChar">
    <w:name w:val="Body text Char"/>
    <w:basedOn w:val="DefaultParagraphFont"/>
    <w:link w:val="BodyText1"/>
    <w:rsid w:val="00C66DE1"/>
    <w:rPr>
      <w:rFonts w:ascii="Calibri" w:eastAsia="Times New Roman" w:hAnsi="Calibri" w:cs="Times New Roman"/>
      <w:szCs w:val="20"/>
    </w:rPr>
  </w:style>
  <w:style w:type="character" w:styleId="Hyperlink">
    <w:name w:val="Hyperlink"/>
    <w:basedOn w:val="DefaultParagraphFont"/>
    <w:uiPriority w:val="99"/>
    <w:unhideWhenUsed/>
    <w:rsid w:val="008A4BD3"/>
    <w:rPr>
      <w:color w:val="0563C1" w:themeColor="hyperlink"/>
      <w:u w:val="single"/>
    </w:rPr>
  </w:style>
  <w:style w:type="paragraph" w:customStyle="1" w:styleId="EndNoteBibliography">
    <w:name w:val="EndNote Bibliography"/>
    <w:basedOn w:val="Normal"/>
    <w:link w:val="EndNoteBibliographyChar"/>
    <w:rsid w:val="008A4BD3"/>
    <w:pPr>
      <w:spacing w:line="240" w:lineRule="auto"/>
    </w:pPr>
    <w:rPr>
      <w:rFonts w:ascii="Calibri" w:eastAsia="Times New Roman" w:hAnsi="Calibri" w:cs="Calibri"/>
      <w:noProof/>
      <w:szCs w:val="20"/>
      <w:lang w:val="en-US"/>
    </w:rPr>
  </w:style>
  <w:style w:type="character" w:customStyle="1" w:styleId="EndNoteBibliographyChar">
    <w:name w:val="EndNote Bibliography Char"/>
    <w:basedOn w:val="BodytextChar"/>
    <w:link w:val="EndNoteBibliography"/>
    <w:rsid w:val="008A4BD3"/>
    <w:rPr>
      <w:rFonts w:ascii="Calibri" w:eastAsia="Times New Roman" w:hAnsi="Calibri" w:cs="Calibri"/>
      <w:noProof/>
      <w:szCs w:val="20"/>
      <w:lang w:val="en-US"/>
    </w:rPr>
  </w:style>
  <w:style w:type="paragraph" w:customStyle="1" w:styleId="xmsonormal">
    <w:name w:val="x_msonormal"/>
    <w:basedOn w:val="Normal"/>
    <w:rsid w:val="007A1B1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msolistparagraph">
    <w:name w:val="x_msolistparagraph"/>
    <w:basedOn w:val="Normal"/>
    <w:rsid w:val="007A1B1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F93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D20"/>
  </w:style>
  <w:style w:type="paragraph" w:styleId="Footer">
    <w:name w:val="footer"/>
    <w:basedOn w:val="Normal"/>
    <w:link w:val="FooterChar"/>
    <w:uiPriority w:val="99"/>
    <w:unhideWhenUsed/>
    <w:rsid w:val="00F93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D20"/>
  </w:style>
  <w:style w:type="character" w:customStyle="1" w:styleId="Heading1Char">
    <w:name w:val="Heading 1 Char"/>
    <w:basedOn w:val="DefaultParagraphFont"/>
    <w:link w:val="Heading1"/>
    <w:uiPriority w:val="9"/>
    <w:rsid w:val="002C1E3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C1E3A"/>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2C1E3A"/>
    <w:pPr>
      <w:outlineLvl w:val="9"/>
    </w:pPr>
    <w:rPr>
      <w:lang w:val="en-US"/>
    </w:rPr>
  </w:style>
  <w:style w:type="paragraph" w:styleId="TOC1">
    <w:name w:val="toc 1"/>
    <w:basedOn w:val="Normal"/>
    <w:next w:val="Normal"/>
    <w:autoRedefine/>
    <w:uiPriority w:val="39"/>
    <w:unhideWhenUsed/>
    <w:rsid w:val="002C1E3A"/>
    <w:pPr>
      <w:spacing w:after="100"/>
    </w:pPr>
  </w:style>
  <w:style w:type="paragraph" w:styleId="TOC2">
    <w:name w:val="toc 2"/>
    <w:basedOn w:val="Normal"/>
    <w:next w:val="Normal"/>
    <w:autoRedefine/>
    <w:uiPriority w:val="39"/>
    <w:unhideWhenUsed/>
    <w:rsid w:val="002C1E3A"/>
    <w:pPr>
      <w:spacing w:after="100"/>
      <w:ind w:left="220"/>
    </w:pPr>
  </w:style>
  <w:style w:type="character" w:customStyle="1" w:styleId="Heading3Char">
    <w:name w:val="Heading 3 Char"/>
    <w:basedOn w:val="DefaultParagraphFont"/>
    <w:link w:val="Heading3"/>
    <w:uiPriority w:val="9"/>
    <w:rsid w:val="00E0550D"/>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185C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C0C"/>
    <w:rPr>
      <w:rFonts w:ascii="Segoe UI" w:hAnsi="Segoe UI" w:cs="Segoe UI"/>
      <w:sz w:val="18"/>
      <w:szCs w:val="18"/>
    </w:rPr>
  </w:style>
  <w:style w:type="paragraph" w:styleId="TOC3">
    <w:name w:val="toc 3"/>
    <w:basedOn w:val="Normal"/>
    <w:next w:val="Normal"/>
    <w:autoRedefine/>
    <w:uiPriority w:val="39"/>
    <w:unhideWhenUsed/>
    <w:rsid w:val="00CE1CFC"/>
    <w:pPr>
      <w:spacing w:after="100"/>
      <w:ind w:left="440"/>
    </w:pPr>
  </w:style>
  <w:style w:type="character" w:customStyle="1" w:styleId="UnresolvedMention1">
    <w:name w:val="Unresolved Mention1"/>
    <w:basedOn w:val="DefaultParagraphFont"/>
    <w:uiPriority w:val="99"/>
    <w:semiHidden/>
    <w:unhideWhenUsed/>
    <w:rsid w:val="00647EB4"/>
    <w:rPr>
      <w:color w:val="605E5C"/>
      <w:shd w:val="clear" w:color="auto" w:fill="E1DFDD"/>
    </w:rPr>
  </w:style>
  <w:style w:type="character" w:styleId="CommentReference">
    <w:name w:val="annotation reference"/>
    <w:basedOn w:val="DefaultParagraphFont"/>
    <w:uiPriority w:val="99"/>
    <w:semiHidden/>
    <w:unhideWhenUsed/>
    <w:rsid w:val="00493308"/>
    <w:rPr>
      <w:sz w:val="18"/>
      <w:szCs w:val="18"/>
    </w:rPr>
  </w:style>
  <w:style w:type="paragraph" w:styleId="CommentText">
    <w:name w:val="annotation text"/>
    <w:basedOn w:val="Normal"/>
    <w:link w:val="CommentTextChar"/>
    <w:uiPriority w:val="99"/>
    <w:semiHidden/>
    <w:unhideWhenUsed/>
    <w:rsid w:val="00493308"/>
    <w:pPr>
      <w:spacing w:line="240" w:lineRule="auto"/>
    </w:pPr>
    <w:rPr>
      <w:sz w:val="24"/>
      <w:szCs w:val="24"/>
    </w:rPr>
  </w:style>
  <w:style w:type="character" w:customStyle="1" w:styleId="CommentTextChar">
    <w:name w:val="Comment Text Char"/>
    <w:basedOn w:val="DefaultParagraphFont"/>
    <w:link w:val="CommentText"/>
    <w:uiPriority w:val="99"/>
    <w:semiHidden/>
    <w:rsid w:val="00493308"/>
    <w:rPr>
      <w:sz w:val="24"/>
      <w:szCs w:val="24"/>
    </w:rPr>
  </w:style>
  <w:style w:type="paragraph" w:styleId="CommentSubject">
    <w:name w:val="annotation subject"/>
    <w:basedOn w:val="CommentText"/>
    <w:next w:val="CommentText"/>
    <w:link w:val="CommentSubjectChar"/>
    <w:uiPriority w:val="99"/>
    <w:semiHidden/>
    <w:unhideWhenUsed/>
    <w:rsid w:val="00125057"/>
    <w:rPr>
      <w:b/>
      <w:bCs/>
      <w:sz w:val="20"/>
      <w:szCs w:val="20"/>
    </w:rPr>
  </w:style>
  <w:style w:type="character" w:customStyle="1" w:styleId="CommentSubjectChar">
    <w:name w:val="Comment Subject Char"/>
    <w:basedOn w:val="CommentTextChar"/>
    <w:link w:val="CommentSubject"/>
    <w:uiPriority w:val="99"/>
    <w:semiHidden/>
    <w:rsid w:val="00125057"/>
    <w:rPr>
      <w:b/>
      <w:bCs/>
      <w:sz w:val="20"/>
      <w:szCs w:val="20"/>
    </w:rPr>
  </w:style>
  <w:style w:type="paragraph" w:customStyle="1" w:styleId="Achievement">
    <w:name w:val="Achievement"/>
    <w:basedOn w:val="Normal"/>
    <w:rsid w:val="00003617"/>
    <w:pPr>
      <w:numPr>
        <w:numId w:val="21"/>
      </w:numPr>
      <w:snapToGrid w:val="0"/>
      <w:spacing w:after="20" w:line="220" w:lineRule="atLeast"/>
      <w:jc w:val="both"/>
    </w:pPr>
    <w:rPr>
      <w:rFonts w:ascii="Garamond" w:eastAsia="Calibri" w:hAnsi="Garamond"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952223">
      <w:bodyDiv w:val="1"/>
      <w:marLeft w:val="0"/>
      <w:marRight w:val="0"/>
      <w:marTop w:val="0"/>
      <w:marBottom w:val="0"/>
      <w:divBdr>
        <w:top w:val="none" w:sz="0" w:space="0" w:color="auto"/>
        <w:left w:val="none" w:sz="0" w:space="0" w:color="auto"/>
        <w:bottom w:val="none" w:sz="0" w:space="0" w:color="auto"/>
        <w:right w:val="none" w:sz="0" w:space="0" w:color="auto"/>
      </w:divBdr>
    </w:div>
    <w:div w:id="541672507">
      <w:bodyDiv w:val="1"/>
      <w:marLeft w:val="0"/>
      <w:marRight w:val="0"/>
      <w:marTop w:val="0"/>
      <w:marBottom w:val="0"/>
      <w:divBdr>
        <w:top w:val="none" w:sz="0" w:space="0" w:color="auto"/>
        <w:left w:val="none" w:sz="0" w:space="0" w:color="auto"/>
        <w:bottom w:val="none" w:sz="0" w:space="0" w:color="auto"/>
        <w:right w:val="none" w:sz="0" w:space="0" w:color="auto"/>
      </w:divBdr>
    </w:div>
    <w:div w:id="1389262300">
      <w:bodyDiv w:val="1"/>
      <w:marLeft w:val="0"/>
      <w:marRight w:val="0"/>
      <w:marTop w:val="0"/>
      <w:marBottom w:val="0"/>
      <w:divBdr>
        <w:top w:val="none" w:sz="0" w:space="0" w:color="auto"/>
        <w:left w:val="none" w:sz="0" w:space="0" w:color="auto"/>
        <w:bottom w:val="none" w:sz="0" w:space="0" w:color="auto"/>
        <w:right w:val="none" w:sz="0" w:space="0" w:color="auto"/>
      </w:divBdr>
    </w:div>
    <w:div w:id="186748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hyperlink" Target="https://www.dss.gov.au/sites/default/files/documents/09_2014/lsac_annual_report_-_22_sept_0.pdf"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rsph.anu.edu.au/research/projects/atlas-mental-health-care"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PCDOC-1378080517-896</_dlc_DocId>
    <_dlc_DocIdUrl xmlns="3f4bcce7-ac1a-4c9d-aa3e-7e77695652db">
      <Url>http://inet.pc.gov.au/pmo/inq/mentalhealth/_layouts/15/DocIdRedir.aspx?ID=PCDOC-1378080517-896</Url>
      <Description>PCDOC-1378080517-896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E8446-F5AF-41FC-8F01-381C336F6BA4}">
  <ds:schemaRefs>
    <ds:schemaRef ds:uri="http://schemas.microsoft.com/office/2006/metadata/customXsn"/>
  </ds:schemaRefs>
</ds:datastoreItem>
</file>

<file path=customXml/itemProps2.xml><?xml version="1.0" encoding="utf-8"?>
<ds:datastoreItem xmlns:ds="http://schemas.openxmlformats.org/officeDocument/2006/customXml" ds:itemID="{BE871015-A45B-49A9-8A37-C6C9EE5019EF}">
  <ds:schemaRefs>
    <ds:schemaRef ds:uri="3f4bcce7-ac1a-4c9d-aa3e-7e77695652db"/>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CF0CB45-FCC5-475B-A500-FF5C473D2ED3}">
  <ds:schemaRefs>
    <ds:schemaRef ds:uri="http://schemas.microsoft.com/sharepoint/v3/contenttype/forms"/>
  </ds:schemaRefs>
</ds:datastoreItem>
</file>

<file path=customXml/itemProps4.xml><?xml version="1.0" encoding="utf-8"?>
<ds:datastoreItem xmlns:ds="http://schemas.openxmlformats.org/officeDocument/2006/customXml" ds:itemID="{1914E199-2FBB-4929-9DB0-35B0FF39D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F5059B-CBBD-49F5-BCB0-C21089EE54CC}">
  <ds:schemaRefs>
    <ds:schemaRef ds:uri="http://schemas.microsoft.com/sharepoint/events"/>
  </ds:schemaRefs>
</ds:datastoreItem>
</file>

<file path=customXml/itemProps6.xml><?xml version="1.0" encoding="utf-8"?>
<ds:datastoreItem xmlns:ds="http://schemas.openxmlformats.org/officeDocument/2006/customXml" ds:itemID="{E7CA2C11-26FD-47D1-858E-C7C815350366}">
  <ds:schemaRefs>
    <ds:schemaRef ds:uri="Microsoft.SharePoint.Taxonomy.ContentTypeSync"/>
  </ds:schemaRefs>
</ds:datastoreItem>
</file>

<file path=customXml/itemProps7.xml><?xml version="1.0" encoding="utf-8"?>
<ds:datastoreItem xmlns:ds="http://schemas.openxmlformats.org/officeDocument/2006/customXml" ds:itemID="{BFD9F302-9F4F-4CF1-A00B-03CD54368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29</Pages>
  <Words>10172</Words>
  <Characters>57986</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Submission 669 - ANU College of Health and Medicine - Mental Health - Public inquiry</vt:lpstr>
    </vt:vector>
  </TitlesOfParts>
  <Company>ANU College of Health and Medicine</Company>
  <LinksUpToDate>false</LinksUpToDate>
  <CharactersWithSpaces>68022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669 - ANU College of Health and Medicine - Mental Health - Public inquiry</dc:title>
  <dc:subject/>
  <dc:creator>ANU College of Health and Medicine</dc:creator>
  <cp:keywords/>
  <dc:description/>
  <cp:lastModifiedBy>Pimperl, Mark</cp:lastModifiedBy>
  <cp:revision>4</cp:revision>
  <dcterms:created xsi:type="dcterms:W3CDTF">2020-01-05T22:58:00Z</dcterms:created>
  <dcterms:modified xsi:type="dcterms:W3CDTF">2020-01-22T04:05:00Z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f803c63b-8e66-4e08-afc0-4649422df072</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