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DB596" w14:textId="77777777" w:rsidR="00C8038D" w:rsidRDefault="00C8038D" w:rsidP="07A22910">
      <w:pPr>
        <w:spacing w:after="0"/>
        <w:rPr>
          <w:rFonts w:eastAsiaTheme="majorEastAsia" w:cstheme="majorBidi"/>
          <w:caps/>
          <w:color w:val="000000" w:themeColor="text2"/>
          <w:spacing w:val="15"/>
          <w:kern w:val="28"/>
          <w:sz w:val="24"/>
          <w:szCs w:val="24"/>
        </w:rPr>
      </w:pPr>
    </w:p>
    <w:p w14:paraId="406C043F" w14:textId="77777777" w:rsidR="00C8038D" w:rsidRDefault="00C8038D">
      <w:pPr>
        <w:spacing w:after="0"/>
        <w:rPr>
          <w:rFonts w:eastAsiaTheme="majorEastAsia" w:cstheme="majorBidi"/>
          <w:iCs/>
          <w:caps/>
          <w:color w:val="000000" w:themeColor="text2"/>
          <w:spacing w:val="15"/>
          <w:kern w:val="28"/>
          <w:sz w:val="24"/>
          <w:szCs w:val="24"/>
        </w:rPr>
      </w:pPr>
    </w:p>
    <w:sdt>
      <w:sdtPr>
        <w:rPr>
          <w:iCs/>
          <w:color w:val="000000" w:themeColor="text2"/>
          <w:spacing w:val="15"/>
          <w:kern w:val="0"/>
          <w:sz w:val="34"/>
          <w:szCs w:val="24"/>
        </w:rPr>
        <w:id w:val="-1267543254"/>
        <w:docPartObj>
          <w:docPartGallery w:val="Cover Pages"/>
          <w:docPartUnique/>
        </w:docPartObj>
      </w:sdtPr>
      <w:sdtEndPr/>
      <w:sdtContent>
        <w:p w14:paraId="0AEBCD0A" w14:textId="7B7F62BB" w:rsidR="00C8038D" w:rsidRPr="00324496" w:rsidRDefault="00C8038D" w:rsidP="00620FA5">
          <w:pPr>
            <w:pStyle w:val="CoverTitle"/>
            <w:rPr>
              <w:sz w:val="72"/>
              <w:szCs w:val="72"/>
            </w:rPr>
          </w:pPr>
          <w:r w:rsidRPr="00324496">
            <w:rPr>
              <w:noProof/>
              <w:color w:val="2B579A"/>
              <w:sz w:val="72"/>
              <w:szCs w:val="72"/>
              <w:shd w:val="clear" w:color="auto" w:fill="E6E6E6"/>
            </w:rPr>
            <mc:AlternateContent>
              <mc:Choice Requires="wps">
                <w:drawing>
                  <wp:anchor distT="0" distB="0" distL="114300" distR="114300" simplePos="0" relativeHeight="251658241" behindDoc="0" locked="1" layoutInCell="1" allowOverlap="1" wp14:anchorId="2E927E5B" wp14:editId="45064525">
                    <wp:simplePos x="0" y="0"/>
                    <wp:positionH relativeFrom="margin">
                      <wp:align>right</wp:align>
                    </wp:positionH>
                    <wp:positionV relativeFrom="page">
                      <wp:posOffset>950595</wp:posOffset>
                    </wp:positionV>
                    <wp:extent cx="1745615" cy="409575"/>
                    <wp:effectExtent l="0" t="0" r="6985" b="9525"/>
                    <wp:wrapSquare wrapText="bothSides"/>
                    <wp:docPr id="34" name="Text Box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5615" cy="409575"/>
                            </a:xfrm>
                            <a:prstGeom prst="rect">
                              <a:avLst/>
                            </a:prstGeom>
                            <a:noFill/>
                            <a:ln w="6350">
                              <a:noFill/>
                            </a:ln>
                          </wps:spPr>
                          <wps:txbx>
                            <w:txbxContent>
                              <w:p w14:paraId="5F4B6509" w14:textId="77777777" w:rsidR="00C91599" w:rsidRPr="00883E43" w:rsidRDefault="00C91599"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27E5B" id="_x0000_t202" coordsize="21600,21600" o:spt="202" path="m,l,21600r21600,l21600,xe">
                    <v:stroke joinstyle="miter"/>
                    <v:path gradientshapeok="t" o:connecttype="rect"/>
                  </v:shapetype>
                  <v:shape id="Text Box 34" o:spid="_x0000_s1026" type="#_x0000_t202" alt="&quot;&quot;" style="position:absolute;margin-left:86.25pt;margin-top:74.85pt;width:137.45pt;height:32.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" filled="f" stroked="f" strokeweight=".5pt">
                    <v:textbox inset="0,0,0,0">
                      <w:txbxContent>
                        <w:p w14:paraId="5F4B6509" w14:textId="77777777" w:rsidR="00C91599" w:rsidRPr="00883E43" w:rsidRDefault="00C91599"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w10:wrap type="square" anchorx="margin" anchory="page"/>
                    <w10:anchorlock/>
                  </v:shape>
                </w:pict>
              </mc:Fallback>
            </mc:AlternateContent>
          </w:r>
          <w:r w:rsidRPr="00324496">
            <w:rPr>
              <w:noProof/>
              <w:color w:val="2B579A"/>
              <w:sz w:val="72"/>
              <w:szCs w:val="72"/>
              <w:shd w:val="clear" w:color="auto" w:fill="E6E6E6"/>
            </w:rPr>
            <w:drawing>
              <wp:anchor distT="0" distB="180340" distL="114300" distR="360045" simplePos="0" relativeHeight="251658240" behindDoc="1" locked="1" layoutInCell="1" allowOverlap="1" wp14:anchorId="1C977F59" wp14:editId="7AFD4A2D">
                <wp:simplePos x="0" y="0"/>
                <wp:positionH relativeFrom="page">
                  <wp:posOffset>723900</wp:posOffset>
                </wp:positionH>
                <wp:positionV relativeFrom="page">
                  <wp:posOffset>725805</wp:posOffset>
                </wp:positionV>
                <wp:extent cx="791362" cy="792000"/>
                <wp:effectExtent l="0" t="0" r="8890" b="8255"/>
                <wp:wrapTopAndBottom/>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1"/>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r w:rsidR="006B393E">
            <w:rPr>
              <w:sz w:val="72"/>
              <w:szCs w:val="72"/>
            </w:rPr>
            <w:t>CSIRO submission</w:t>
          </w:r>
          <w:r w:rsidR="0057600C">
            <w:rPr>
              <w:sz w:val="72"/>
              <w:szCs w:val="72"/>
            </w:rPr>
            <w:t xml:space="preserve"> on</w:t>
          </w:r>
          <w:r w:rsidR="00851BEB" w:rsidRPr="00324496">
            <w:rPr>
              <w:sz w:val="72"/>
              <w:szCs w:val="72"/>
            </w:rPr>
            <w:t xml:space="preserve"> </w:t>
          </w:r>
          <w:r w:rsidR="00324496" w:rsidRPr="00324496">
            <w:rPr>
              <w:sz w:val="72"/>
              <w:szCs w:val="72"/>
            </w:rPr>
            <w:t xml:space="preserve">the National Water Reform 2020 Productivity Commission </w:t>
          </w:r>
          <w:r w:rsidR="0057600C">
            <w:rPr>
              <w:sz w:val="72"/>
              <w:szCs w:val="72"/>
            </w:rPr>
            <w:t xml:space="preserve">Draft Report </w:t>
          </w:r>
          <w:r w:rsidR="00324496" w:rsidRPr="00324496">
            <w:rPr>
              <w:sz w:val="72"/>
              <w:szCs w:val="72"/>
            </w:rPr>
            <w:t>2020)</w:t>
          </w:r>
        </w:p>
        <w:p w14:paraId="2A0BA008" w14:textId="77777777" w:rsidR="00C8038D" w:rsidRPr="00716588" w:rsidRDefault="00C8038D" w:rsidP="006C3DCD">
          <w:pPr>
            <w:pStyle w:val="BodyText"/>
          </w:pPr>
        </w:p>
        <w:p w14:paraId="1B071BF7" w14:textId="3126E4E0" w:rsidR="00C8038D" w:rsidRDefault="00324496" w:rsidP="009A623D">
          <w:pPr>
            <w:pStyle w:val="BodyText"/>
          </w:pPr>
          <w:r>
            <w:t>2</w:t>
          </w:r>
          <w:r w:rsidR="0057600C">
            <w:t>4</w:t>
          </w:r>
          <w:r>
            <w:t xml:space="preserve"> March 2021</w:t>
          </w:r>
        </w:p>
        <w:p w14:paraId="1010B71A" w14:textId="4B684434" w:rsidR="000E624F" w:rsidRDefault="00166EF2" w:rsidP="009A623D">
          <w:pPr>
            <w:pStyle w:val="BodyText"/>
          </w:pPr>
          <w:r>
            <w:t xml:space="preserve">CSIRO </w:t>
          </w:r>
          <w:r w:rsidR="00DD6525">
            <w:t xml:space="preserve">Submission </w:t>
          </w:r>
          <w:r w:rsidR="000E624F">
            <w:t>21/ 748</w:t>
          </w:r>
        </w:p>
        <w:p w14:paraId="7AC88A06" w14:textId="344955FB" w:rsidR="00C8038D" w:rsidRPr="007F355F" w:rsidRDefault="00B93150" w:rsidP="007F355F">
          <w:pPr>
            <w:pStyle w:val="CoverSubtitle"/>
            <w:rPr>
              <w:sz w:val="24"/>
            </w:rPr>
          </w:pPr>
          <w:r>
            <w:rPr>
              <w:noProof/>
              <w:color w:val="2B579A"/>
              <w:shd w:val="clear" w:color="auto" w:fill="E6E6E6"/>
            </w:rPr>
            <mc:AlternateContent>
              <mc:Choice Requires="wps">
                <w:drawing>
                  <wp:anchor distT="45720" distB="45720" distL="114300" distR="114300" simplePos="0" relativeHeight="251658244" behindDoc="0" locked="0" layoutInCell="1" allowOverlap="1" wp14:anchorId="7C744CEE" wp14:editId="6E8D2F8C">
                    <wp:simplePos x="0" y="0"/>
                    <wp:positionH relativeFrom="column">
                      <wp:posOffset>106045</wp:posOffset>
                    </wp:positionH>
                    <wp:positionV relativeFrom="paragraph">
                      <wp:posOffset>1615440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4E2E0C" w14:textId="0939A8AE" w:rsidR="00C91599" w:rsidRPr="0095738A" w:rsidRDefault="00C91599">
                                <w:pPr>
                                  <w:rPr>
                                    <w:b/>
                                    <w:bCs/>
                                  </w:rPr>
                                </w:pPr>
                                <w:r w:rsidRPr="0095738A">
                                  <w:rPr>
                                    <w:b/>
                                    <w:bCs/>
                                  </w:rPr>
                                  <w:t>Main Submission Authors:</w:t>
                                </w:r>
                              </w:p>
                              <w:p w14:paraId="0408CBD8" w14:textId="3C2D7888" w:rsidR="00C91599" w:rsidRDefault="00C91599"/>
                              <w:p w14:paraId="3CEE9CA1" w14:textId="5C758CE8" w:rsidR="00C91599" w:rsidRPr="00D139BC" w:rsidRDefault="00C91599">
                                <w:pPr>
                                  <w:rPr>
                                    <w:rFonts w:asciiTheme="minorHAnsi" w:hAnsiTheme="minorHAnsi" w:cstheme="minorHAnsi"/>
                                  </w:rPr>
                                </w:pPr>
                                <w:r w:rsidRPr="00D139BC">
                                  <w:rPr>
                                    <w:rFonts w:asciiTheme="minorHAnsi" w:hAnsiTheme="minorHAnsi" w:cstheme="minorHAnsi"/>
                                  </w:rPr>
                                  <w:t>Mr. Rob Kenyon</w:t>
                                </w:r>
                                <w:r w:rsidR="008C30FF" w:rsidRPr="00D139BC">
                                  <w:rPr>
                                    <w:rFonts w:asciiTheme="minorHAnsi" w:hAnsiTheme="minorHAnsi" w:cstheme="minorHAnsi"/>
                                  </w:rPr>
                                  <w:t xml:space="preserve">, </w:t>
                                </w:r>
                                <w:r w:rsidR="008C30FF" w:rsidRPr="00D139BC">
                                  <w:rPr>
                                    <w:rFonts w:asciiTheme="minorHAnsi" w:hAnsiTheme="minorHAnsi" w:cstheme="minorHAnsi"/>
                                    <w:lang w:val="en"/>
                                  </w:rPr>
                                  <w:t>Senior Experimental Scientist</w:t>
                                </w:r>
                                <w:r w:rsidR="00E318C9" w:rsidRPr="00D139BC">
                                  <w:rPr>
                                    <w:rFonts w:asciiTheme="minorHAnsi" w:hAnsiTheme="minorHAnsi" w:cstheme="minorHAnsi"/>
                                    <w:lang w:val="en"/>
                                  </w:rPr>
                                  <w:t>, CSIRO</w:t>
                                </w:r>
                              </w:p>
                              <w:p w14:paraId="62ABD906" w14:textId="7394E907" w:rsidR="00C91599" w:rsidRPr="00D139BC" w:rsidRDefault="00C91599">
                                <w:pPr>
                                  <w:rPr>
                                    <w:rFonts w:asciiTheme="minorHAnsi" w:hAnsiTheme="minorHAnsi" w:cstheme="minorHAnsi"/>
                                  </w:rPr>
                                </w:pPr>
                                <w:r w:rsidRPr="00D139BC">
                                  <w:rPr>
                                    <w:rFonts w:asciiTheme="minorHAnsi" w:hAnsiTheme="minorHAnsi" w:cstheme="minorHAnsi"/>
                                  </w:rPr>
                                  <w:t xml:space="preserve">Dr. </w:t>
                                </w:r>
                                <w:proofErr w:type="spellStart"/>
                                <w:r w:rsidRPr="00D139BC">
                                  <w:rPr>
                                    <w:rFonts w:asciiTheme="minorHAnsi" w:hAnsiTheme="minorHAnsi" w:cstheme="minorHAnsi"/>
                                  </w:rPr>
                                  <w:t>Ev</w:t>
                                </w:r>
                                <w:r w:rsidRPr="00447699">
                                  <w:rPr>
                                    <w:rFonts w:asciiTheme="minorHAnsi" w:hAnsiTheme="minorHAnsi" w:cstheme="minorHAnsi"/>
                                  </w:rPr>
                                  <w:t>á</w:t>
                                </w:r>
                                <w:proofErr w:type="spellEnd"/>
                                <w:r w:rsidRPr="00D139BC">
                                  <w:rPr>
                                    <w:rFonts w:asciiTheme="minorHAnsi" w:hAnsiTheme="minorHAnsi" w:cstheme="minorHAnsi"/>
                                  </w:rPr>
                                  <w:t xml:space="preserve"> </w:t>
                                </w:r>
                                <w:proofErr w:type="spellStart"/>
                                <w:r w:rsidRPr="00447699">
                                  <w:rPr>
                                    <w:rFonts w:asciiTheme="minorHAnsi" w:hAnsiTheme="minorHAnsi" w:cstheme="minorHAnsi"/>
                                  </w:rPr>
                                  <w:t>Plagányi</w:t>
                                </w:r>
                                <w:proofErr w:type="spellEnd"/>
                                <w:r w:rsidR="00D95B6E" w:rsidRPr="00314055">
                                  <w:rPr>
                                    <w:rFonts w:asciiTheme="minorHAnsi" w:hAnsiTheme="minorHAnsi" w:cstheme="minorHAnsi"/>
                                  </w:rPr>
                                  <w:t xml:space="preserve">, </w:t>
                                </w:r>
                                <w:r w:rsidR="00D95B6E" w:rsidRPr="00D139BC">
                                  <w:rPr>
                                    <w:rFonts w:asciiTheme="minorHAnsi" w:hAnsiTheme="minorHAnsi" w:cstheme="minorHAnsi"/>
                                  </w:rPr>
                                  <w:t>Principal Research Scientist</w:t>
                                </w:r>
                                <w:r w:rsidR="00E318C9" w:rsidRPr="00D139BC">
                                  <w:rPr>
                                    <w:rFonts w:asciiTheme="minorHAnsi" w:hAnsiTheme="minorHAnsi" w:cstheme="minorHAnsi"/>
                                  </w:rPr>
                                  <w:t>, CSIRO</w:t>
                                </w:r>
                              </w:p>
                              <w:p w14:paraId="3AF9181B" w14:textId="011EA0A6" w:rsidR="00C91599" w:rsidRDefault="00C91599"/>
                              <w:p w14:paraId="5DC46182" w14:textId="77777777" w:rsidR="00C91599" w:rsidRPr="00530F16" w:rsidRDefault="00C91599" w:rsidP="00530F16">
                                <w:pPr>
                                  <w:autoSpaceDE w:val="0"/>
                                  <w:autoSpaceDN w:val="0"/>
                                  <w:adjustRightInd w:val="0"/>
                                  <w:spacing w:after="0"/>
                                  <w:rPr>
                                    <w:rFonts w:eastAsiaTheme="minorHAnsi" w:cs="Calibri"/>
                                    <w:sz w:val="24"/>
                                    <w:szCs w:val="24"/>
                                  </w:rPr>
                                </w:pPr>
                              </w:p>
                              <w:p w14:paraId="51DD9BF5" w14:textId="77777777" w:rsidR="00C91599" w:rsidRPr="00530F16" w:rsidRDefault="00C91599" w:rsidP="00530F16">
                                <w:pPr>
                                  <w:autoSpaceDE w:val="0"/>
                                  <w:autoSpaceDN w:val="0"/>
                                  <w:adjustRightInd w:val="0"/>
                                  <w:spacing w:after="0"/>
                                  <w:rPr>
                                    <w:rFonts w:eastAsiaTheme="minorHAnsi" w:cs="Calibri"/>
                                    <w:sz w:val="24"/>
                                    <w:szCs w:val="24"/>
                                  </w:rPr>
                                </w:pPr>
                                <w:r w:rsidRPr="00530F16">
                                  <w:rPr>
                                    <w:rFonts w:eastAsiaTheme="minorHAnsi" w:cs="Calibri"/>
                                    <w:sz w:val="24"/>
                                    <w:szCs w:val="24"/>
                                  </w:rPr>
                                  <w:t xml:space="preserve"> </w:t>
                                </w:r>
                              </w:p>
                              <w:p w14:paraId="01CA3362" w14:textId="77777777" w:rsidR="00C91599" w:rsidRDefault="00C91599" w:rsidP="00B62D15">
                                <w:pPr>
                                  <w:spacing w:after="0"/>
                                  <w:rPr>
                                    <w:rFonts w:eastAsiaTheme="minorHAnsi" w:cs="Calibri"/>
                                  </w:rPr>
                                </w:pPr>
                                <w:r w:rsidRPr="00530F16">
                                  <w:rPr>
                                    <w:rFonts w:eastAsiaTheme="minorHAnsi" w:cs="Calibri"/>
                                    <w:b/>
                                    <w:bCs/>
                                  </w:rPr>
                                  <w:t xml:space="preserve">Enquiries should be addressed </w:t>
                                </w:r>
                                <w:proofErr w:type="gramStart"/>
                                <w:r w:rsidRPr="00530F16">
                                  <w:rPr>
                                    <w:rFonts w:eastAsiaTheme="minorHAnsi" w:cs="Calibri"/>
                                    <w:b/>
                                    <w:bCs/>
                                  </w:rPr>
                                  <w:t>to:</w:t>
                                </w:r>
                                <w:proofErr w:type="gramEnd"/>
                                <w:r w:rsidRPr="00530F16">
                                  <w:rPr>
                                    <w:rFonts w:eastAsiaTheme="minorHAnsi" w:cs="Calibri"/>
                                    <w:b/>
                                    <w:bCs/>
                                  </w:rPr>
                                  <w:t xml:space="preserve"> </w:t>
                                </w:r>
                                <w:r w:rsidRPr="00530F16">
                                  <w:rPr>
                                    <w:rFonts w:eastAsiaTheme="minorHAnsi" w:cs="Calibri"/>
                                  </w:rPr>
                                  <w:t xml:space="preserve">Laura Methorst </w:t>
                                </w:r>
                              </w:p>
                              <w:p w14:paraId="7B0A682D" w14:textId="77777777" w:rsidR="00C91599" w:rsidRDefault="00C91599" w:rsidP="00B62D15">
                                <w:pPr>
                                  <w:spacing w:after="0"/>
                                  <w:rPr>
                                    <w:rFonts w:eastAsiaTheme="minorHAnsi" w:cs="Calibri"/>
                                  </w:rPr>
                                </w:pPr>
                                <w:r w:rsidRPr="00530F16">
                                  <w:rPr>
                                    <w:rFonts w:eastAsiaTheme="minorHAnsi" w:cs="Calibri"/>
                                  </w:rPr>
                                  <w:t xml:space="preserve">CSIRO Government Relations </w:t>
                                </w:r>
                              </w:p>
                              <w:p w14:paraId="5951BB66" w14:textId="77777777" w:rsidR="00C91599" w:rsidRDefault="00C91599" w:rsidP="00B62D15">
                                <w:pPr>
                                  <w:spacing w:after="0"/>
                                  <w:rPr>
                                    <w:rFonts w:eastAsiaTheme="minorHAnsi" w:cs="Calibri"/>
                                  </w:rPr>
                                </w:pPr>
                                <w:r w:rsidRPr="00530F16">
                                  <w:rPr>
                                    <w:rFonts w:eastAsiaTheme="minorHAnsi" w:cs="Calibri"/>
                                  </w:rPr>
                                  <w:t xml:space="preserve">GPO Box 1700 Canberra 2601 </w:t>
                                </w:r>
                              </w:p>
                              <w:p w14:paraId="043208B4" w14:textId="77777777" w:rsidR="00C91599" w:rsidRDefault="00C91599" w:rsidP="00B62D15">
                                <w:pPr>
                                  <w:spacing w:after="0"/>
                                  <w:rPr>
                                    <w:rFonts w:eastAsiaTheme="minorHAnsi" w:cs="Calibri"/>
                                  </w:rPr>
                                </w:pPr>
                                <w:r w:rsidRPr="00530F16">
                                  <w:rPr>
                                    <w:rFonts w:eastAsiaTheme="minorHAnsi" w:cs="Calibri"/>
                                  </w:rPr>
                                  <w:t xml:space="preserve">T 02 6276 6231 </w:t>
                                </w:r>
                              </w:p>
                              <w:p w14:paraId="0F05B5CF" w14:textId="1FBF2D1A" w:rsidR="00C91599" w:rsidRDefault="00C91599" w:rsidP="00B62D15">
                                <w:pPr>
                                  <w:spacing w:after="0"/>
                                </w:pPr>
                                <w:r w:rsidRPr="00530F16">
                                  <w:rPr>
                                    <w:rFonts w:eastAsiaTheme="minorHAnsi" w:cs="Calibri"/>
                                  </w:rPr>
                                  <w:t xml:space="preserve">E </w:t>
                                </w:r>
                                <w:r w:rsidRPr="00530F16">
                                  <w:rPr>
                                    <w:rFonts w:eastAsiaTheme="minorHAnsi" w:cs="Calibri"/>
                                    <w:color w:val="757579"/>
                                  </w:rPr>
                                  <w:t>mplo@csiro.au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744CEE" id="Text Box 2" o:spid="_x0000_s1027" type="#_x0000_t202" style="position:absolute;margin-left:8.35pt;margin-top:127.2pt;width:185.9pt;height:110.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">
                    <v:textbox style="mso-fit-shape-to-text:t">
                      <w:txbxContent>
                        <w:p w14:paraId="4A4E2E0C" w14:textId="0939A8AE" w:rsidR="00C91599" w:rsidRPr="0095738A" w:rsidRDefault="00C91599">
                          <w:pPr>
                            <w:rPr>
                              <w:b/>
                              <w:bCs/>
                            </w:rPr>
                          </w:pPr>
                          <w:r w:rsidRPr="0095738A">
                            <w:rPr>
                              <w:b/>
                              <w:bCs/>
                            </w:rPr>
                            <w:t>Main Submission Authors:</w:t>
                          </w:r>
                        </w:p>
                        <w:p w14:paraId="0408CBD8" w14:textId="3C2D7888" w:rsidR="00C91599" w:rsidRDefault="00C91599"/>
                        <w:p w14:paraId="3CEE9CA1" w14:textId="5C758CE8" w:rsidR="00C91599" w:rsidRPr="00D139BC" w:rsidRDefault="00C91599">
                          <w:pPr>
                            <w:rPr>
                              <w:rFonts w:asciiTheme="minorHAnsi" w:hAnsiTheme="minorHAnsi" w:cstheme="minorHAnsi"/>
                            </w:rPr>
                          </w:pPr>
                          <w:r w:rsidRPr="00D139BC">
                            <w:rPr>
                              <w:rFonts w:asciiTheme="minorHAnsi" w:hAnsiTheme="minorHAnsi" w:cstheme="minorHAnsi"/>
                            </w:rPr>
                            <w:t>Mr. Rob Kenyon</w:t>
                          </w:r>
                          <w:r w:rsidR="008C30FF" w:rsidRPr="00D139BC">
                            <w:rPr>
                              <w:rFonts w:asciiTheme="minorHAnsi" w:hAnsiTheme="minorHAnsi" w:cstheme="minorHAnsi"/>
                            </w:rPr>
                            <w:t xml:space="preserve">, </w:t>
                          </w:r>
                          <w:r w:rsidR="008C30FF" w:rsidRPr="00D139BC">
                            <w:rPr>
                              <w:rFonts w:asciiTheme="minorHAnsi" w:hAnsiTheme="minorHAnsi" w:cstheme="minorHAnsi"/>
                              <w:lang w:val="en"/>
                            </w:rPr>
                            <w:t>Senior Experimental Scientist</w:t>
                          </w:r>
                          <w:r w:rsidR="00E318C9" w:rsidRPr="00D139BC">
                            <w:rPr>
                              <w:rFonts w:asciiTheme="minorHAnsi" w:hAnsiTheme="minorHAnsi" w:cstheme="minorHAnsi"/>
                              <w:lang w:val="en"/>
                            </w:rPr>
                            <w:t>, CSIRO</w:t>
                          </w:r>
                        </w:p>
                        <w:p w14:paraId="62ABD906" w14:textId="7394E907" w:rsidR="00C91599" w:rsidRPr="00D139BC" w:rsidRDefault="00C91599">
                          <w:pPr>
                            <w:rPr>
                              <w:rFonts w:asciiTheme="minorHAnsi" w:hAnsiTheme="minorHAnsi" w:cstheme="minorHAnsi"/>
                            </w:rPr>
                          </w:pPr>
                          <w:r w:rsidRPr="00D139BC">
                            <w:rPr>
                              <w:rFonts w:asciiTheme="minorHAnsi" w:hAnsiTheme="minorHAnsi" w:cstheme="minorHAnsi"/>
                            </w:rPr>
                            <w:t xml:space="preserve">Dr. </w:t>
                          </w:r>
                          <w:proofErr w:type="spellStart"/>
                          <w:r w:rsidRPr="00D139BC">
                            <w:rPr>
                              <w:rFonts w:asciiTheme="minorHAnsi" w:hAnsiTheme="minorHAnsi" w:cstheme="minorHAnsi"/>
                            </w:rPr>
                            <w:t>Ev</w:t>
                          </w:r>
                          <w:r w:rsidRPr="00447699">
                            <w:rPr>
                              <w:rFonts w:asciiTheme="minorHAnsi" w:hAnsiTheme="minorHAnsi" w:cstheme="minorHAnsi"/>
                            </w:rPr>
                            <w:t>á</w:t>
                          </w:r>
                          <w:proofErr w:type="spellEnd"/>
                          <w:r w:rsidRPr="00D139BC">
                            <w:rPr>
                              <w:rFonts w:asciiTheme="minorHAnsi" w:hAnsiTheme="minorHAnsi" w:cstheme="minorHAnsi"/>
                            </w:rPr>
                            <w:t xml:space="preserve"> </w:t>
                          </w:r>
                          <w:proofErr w:type="spellStart"/>
                          <w:r w:rsidRPr="00447699">
                            <w:rPr>
                              <w:rFonts w:asciiTheme="minorHAnsi" w:hAnsiTheme="minorHAnsi" w:cstheme="minorHAnsi"/>
                            </w:rPr>
                            <w:t>Plagányi</w:t>
                          </w:r>
                          <w:proofErr w:type="spellEnd"/>
                          <w:r w:rsidR="00D95B6E" w:rsidRPr="00314055">
                            <w:rPr>
                              <w:rFonts w:asciiTheme="minorHAnsi" w:hAnsiTheme="minorHAnsi" w:cstheme="minorHAnsi"/>
                            </w:rPr>
                            <w:t xml:space="preserve">, </w:t>
                          </w:r>
                          <w:r w:rsidR="00D95B6E" w:rsidRPr="00D139BC">
                            <w:rPr>
                              <w:rFonts w:asciiTheme="minorHAnsi" w:hAnsiTheme="minorHAnsi" w:cstheme="minorHAnsi"/>
                            </w:rPr>
                            <w:t>Principal Research Scientist</w:t>
                          </w:r>
                          <w:r w:rsidR="00E318C9" w:rsidRPr="00D139BC">
                            <w:rPr>
                              <w:rFonts w:asciiTheme="minorHAnsi" w:hAnsiTheme="minorHAnsi" w:cstheme="minorHAnsi"/>
                            </w:rPr>
                            <w:t>, CSIRO</w:t>
                          </w:r>
                        </w:p>
                        <w:p w14:paraId="3AF9181B" w14:textId="011EA0A6" w:rsidR="00C91599" w:rsidRDefault="00C91599"/>
                        <w:p w14:paraId="5DC46182" w14:textId="77777777" w:rsidR="00C91599" w:rsidRPr="00530F16" w:rsidRDefault="00C91599" w:rsidP="00530F16">
                          <w:pPr>
                            <w:autoSpaceDE w:val="0"/>
                            <w:autoSpaceDN w:val="0"/>
                            <w:adjustRightInd w:val="0"/>
                            <w:spacing w:after="0"/>
                            <w:rPr>
                              <w:rFonts w:eastAsiaTheme="minorHAnsi" w:cs="Calibri"/>
                              <w:sz w:val="24"/>
                              <w:szCs w:val="24"/>
                            </w:rPr>
                          </w:pPr>
                        </w:p>
                        <w:p w14:paraId="51DD9BF5" w14:textId="77777777" w:rsidR="00C91599" w:rsidRPr="00530F16" w:rsidRDefault="00C91599" w:rsidP="00530F16">
                          <w:pPr>
                            <w:autoSpaceDE w:val="0"/>
                            <w:autoSpaceDN w:val="0"/>
                            <w:adjustRightInd w:val="0"/>
                            <w:spacing w:after="0"/>
                            <w:rPr>
                              <w:rFonts w:eastAsiaTheme="minorHAnsi" w:cs="Calibri"/>
                              <w:sz w:val="24"/>
                              <w:szCs w:val="24"/>
                            </w:rPr>
                          </w:pPr>
                          <w:r w:rsidRPr="00530F16">
                            <w:rPr>
                              <w:rFonts w:eastAsiaTheme="minorHAnsi" w:cs="Calibri"/>
                              <w:sz w:val="24"/>
                              <w:szCs w:val="24"/>
                            </w:rPr>
                            <w:t xml:space="preserve"> </w:t>
                          </w:r>
                        </w:p>
                        <w:p w14:paraId="01CA3362" w14:textId="77777777" w:rsidR="00C91599" w:rsidRDefault="00C91599" w:rsidP="00B62D15">
                          <w:pPr>
                            <w:spacing w:after="0"/>
                            <w:rPr>
                              <w:rFonts w:eastAsiaTheme="minorHAnsi" w:cs="Calibri"/>
                            </w:rPr>
                          </w:pPr>
                          <w:r w:rsidRPr="00530F16">
                            <w:rPr>
                              <w:rFonts w:eastAsiaTheme="minorHAnsi" w:cs="Calibri"/>
                              <w:b/>
                              <w:bCs/>
                            </w:rPr>
                            <w:t xml:space="preserve">Enquiries should be addressed </w:t>
                          </w:r>
                          <w:proofErr w:type="gramStart"/>
                          <w:r w:rsidRPr="00530F16">
                            <w:rPr>
                              <w:rFonts w:eastAsiaTheme="minorHAnsi" w:cs="Calibri"/>
                              <w:b/>
                              <w:bCs/>
                            </w:rPr>
                            <w:t>to:</w:t>
                          </w:r>
                          <w:proofErr w:type="gramEnd"/>
                          <w:r w:rsidRPr="00530F16">
                            <w:rPr>
                              <w:rFonts w:eastAsiaTheme="minorHAnsi" w:cs="Calibri"/>
                              <w:b/>
                              <w:bCs/>
                            </w:rPr>
                            <w:t xml:space="preserve"> </w:t>
                          </w:r>
                          <w:r w:rsidRPr="00530F16">
                            <w:rPr>
                              <w:rFonts w:eastAsiaTheme="minorHAnsi" w:cs="Calibri"/>
                            </w:rPr>
                            <w:t xml:space="preserve">Laura Methorst </w:t>
                          </w:r>
                        </w:p>
                        <w:p w14:paraId="7B0A682D" w14:textId="77777777" w:rsidR="00C91599" w:rsidRDefault="00C91599" w:rsidP="00B62D15">
                          <w:pPr>
                            <w:spacing w:after="0"/>
                            <w:rPr>
                              <w:rFonts w:eastAsiaTheme="minorHAnsi" w:cs="Calibri"/>
                            </w:rPr>
                          </w:pPr>
                          <w:r w:rsidRPr="00530F16">
                            <w:rPr>
                              <w:rFonts w:eastAsiaTheme="minorHAnsi" w:cs="Calibri"/>
                            </w:rPr>
                            <w:t xml:space="preserve">CSIRO Government Relations </w:t>
                          </w:r>
                        </w:p>
                        <w:p w14:paraId="5951BB66" w14:textId="77777777" w:rsidR="00C91599" w:rsidRDefault="00C91599" w:rsidP="00B62D15">
                          <w:pPr>
                            <w:spacing w:after="0"/>
                            <w:rPr>
                              <w:rFonts w:eastAsiaTheme="minorHAnsi" w:cs="Calibri"/>
                            </w:rPr>
                          </w:pPr>
                          <w:r w:rsidRPr="00530F16">
                            <w:rPr>
                              <w:rFonts w:eastAsiaTheme="minorHAnsi" w:cs="Calibri"/>
                            </w:rPr>
                            <w:t xml:space="preserve">GPO Box 1700 Canberra 2601 </w:t>
                          </w:r>
                        </w:p>
                        <w:p w14:paraId="043208B4" w14:textId="77777777" w:rsidR="00C91599" w:rsidRDefault="00C91599" w:rsidP="00B62D15">
                          <w:pPr>
                            <w:spacing w:after="0"/>
                            <w:rPr>
                              <w:rFonts w:eastAsiaTheme="minorHAnsi" w:cs="Calibri"/>
                            </w:rPr>
                          </w:pPr>
                          <w:r w:rsidRPr="00530F16">
                            <w:rPr>
                              <w:rFonts w:eastAsiaTheme="minorHAnsi" w:cs="Calibri"/>
                            </w:rPr>
                            <w:t xml:space="preserve">T 02 6276 6231 </w:t>
                          </w:r>
                        </w:p>
                        <w:p w14:paraId="0F05B5CF" w14:textId="1FBF2D1A" w:rsidR="00C91599" w:rsidRDefault="00C91599" w:rsidP="00B62D15">
                          <w:pPr>
                            <w:spacing w:after="0"/>
                          </w:pPr>
                          <w:r w:rsidRPr="00530F16">
                            <w:rPr>
                              <w:rFonts w:eastAsiaTheme="minorHAnsi" w:cs="Calibri"/>
                            </w:rPr>
                            <w:t xml:space="preserve">E </w:t>
                          </w:r>
                          <w:r w:rsidRPr="00530F16">
                            <w:rPr>
                              <w:rFonts w:eastAsiaTheme="minorHAnsi" w:cs="Calibri"/>
                              <w:color w:val="757579"/>
                            </w:rPr>
                            <w:t>mplo@csiro.au</w:t>
                          </w:r>
                        </w:p>
                      </w:txbxContent>
                    </v:textbox>
                    <w10:wrap type="square"/>
                  </v:shape>
                </w:pict>
              </mc:Fallback>
            </mc:AlternateContent>
          </w:r>
          <w:r w:rsidR="00C8038D">
            <w:rPr>
              <w:rFonts w:eastAsia="Calibri" w:cs="Times New Roman"/>
              <w:noProof/>
              <w:color w:val="001D34" w:themeColor="accent2"/>
              <w:sz w:val="24"/>
              <w:szCs w:val="22"/>
              <w:shd w:val="clear" w:color="auto" w:fill="E6E6E6"/>
            </w:rPr>
            <mc:AlternateContent>
              <mc:Choice Requires="wps">
                <w:drawing>
                  <wp:anchor distT="0" distB="0" distL="114300" distR="114300" simplePos="0" relativeHeight="251658243" behindDoc="1" locked="1" layoutInCell="1" allowOverlap="1" wp14:anchorId="379E62DF" wp14:editId="2B19429E">
                    <wp:simplePos x="0" y="0"/>
                    <wp:positionH relativeFrom="page">
                      <wp:posOffset>0</wp:posOffset>
                    </wp:positionH>
                    <wp:positionV relativeFrom="page">
                      <wp:posOffset>5346700</wp:posOffset>
                    </wp:positionV>
                    <wp:extent cx="7560310" cy="5346065"/>
                    <wp:effectExtent l="0" t="3175" r="2540" b="3810"/>
                    <wp:wrapNone/>
                    <wp:docPr id="36"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211ED" id="Rectangle 85" o:spid="_x0000_s1026" alt="&quot;&quot;" style="position:absolute;margin-left:0;margin-top:421pt;width:595.3pt;height:420.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" fillcolor="#00a9ce [3204]" stroked="f">
                    <w10:wrap anchorx="page" anchory="page"/>
                    <w10:anchorlock/>
                  </v:rect>
                </w:pict>
              </mc:Fallback>
            </mc:AlternateContent>
          </w:r>
          <w:r w:rsidR="00C8038D">
            <w:br w:type="page"/>
          </w:r>
        </w:p>
      </w:sdtContent>
    </w:sdt>
    <w:p w14:paraId="7A640A54" w14:textId="4E2D6FE0" w:rsidR="00BD3CD7" w:rsidRPr="007F355F" w:rsidRDefault="00BD3CD7" w:rsidP="007F355F">
      <w:pPr>
        <w:pStyle w:val="Heading1noTOC"/>
        <w:rPr>
          <w:caps/>
          <w:kern w:val="28"/>
          <w:sz w:val="24"/>
          <w:szCs w:val="22"/>
        </w:rPr>
      </w:pPr>
      <w:r w:rsidRPr="00890BD7">
        <w:lastRenderedPageBreak/>
        <w:t>Contents</w:t>
      </w:r>
    </w:p>
    <w:p w14:paraId="0C0696F8" w14:textId="6810C510" w:rsidR="00D139BC" w:rsidRDefault="005C0FAD">
      <w:pPr>
        <w:pStyle w:val="TOC2"/>
        <w:rPr>
          <w:rFonts w:asciiTheme="minorHAnsi" w:eastAsiaTheme="minorEastAsia" w:hAnsiTheme="minorHAnsi" w:cstheme="minorBidi"/>
          <w:color w:val="auto"/>
          <w:sz w:val="22"/>
        </w:rPr>
      </w:pPr>
      <w:r>
        <w:rPr>
          <w:color w:val="2B579A"/>
          <w:shd w:val="clear" w:color="auto" w:fill="E6E6E6"/>
        </w:rPr>
        <w:fldChar w:fldCharType="begin"/>
      </w:r>
      <w:r w:rsidR="00BD3CD7" w:rsidRPr="00D1044D">
        <w:instrText xml:space="preserve"> TOC \h \z \t "Heading 1,2,Heading 2,3,PartTitle,1,Heading 1 Numbered,2,Heading 1 not numbered,2,Heading 2 not numbered,3,Appendix Heading 1,2" </w:instrText>
      </w:r>
      <w:r>
        <w:rPr>
          <w:color w:val="2B579A"/>
          <w:shd w:val="clear" w:color="auto" w:fill="E6E6E6"/>
        </w:rPr>
        <w:fldChar w:fldCharType="separate"/>
      </w:r>
      <w:hyperlink w:anchor="_Toc67496373" w:history="1">
        <w:r w:rsidR="00D139BC" w:rsidRPr="00DF799C">
          <w:rPr>
            <w:rStyle w:val="Hyperlink"/>
          </w:rPr>
          <w:t>1</w:t>
        </w:r>
        <w:r w:rsidR="00D139BC">
          <w:rPr>
            <w:rFonts w:asciiTheme="minorHAnsi" w:eastAsiaTheme="minorEastAsia" w:hAnsiTheme="minorHAnsi" w:cstheme="minorBidi"/>
            <w:color w:val="auto"/>
            <w:sz w:val="22"/>
          </w:rPr>
          <w:tab/>
        </w:r>
        <w:r w:rsidR="00D139BC" w:rsidRPr="00DF799C">
          <w:rPr>
            <w:rStyle w:val="Hyperlink"/>
          </w:rPr>
          <w:t>Executive Summary</w:t>
        </w:r>
        <w:r w:rsidR="00D139BC">
          <w:rPr>
            <w:webHidden/>
          </w:rPr>
          <w:tab/>
        </w:r>
        <w:r w:rsidR="00D139BC">
          <w:rPr>
            <w:webHidden/>
          </w:rPr>
          <w:fldChar w:fldCharType="begin"/>
        </w:r>
        <w:r w:rsidR="00D139BC">
          <w:rPr>
            <w:webHidden/>
          </w:rPr>
          <w:instrText xml:space="preserve"> PAGEREF _Toc67496373 \h </w:instrText>
        </w:r>
        <w:r w:rsidR="00D139BC">
          <w:rPr>
            <w:webHidden/>
          </w:rPr>
        </w:r>
        <w:r w:rsidR="00D139BC">
          <w:rPr>
            <w:webHidden/>
          </w:rPr>
          <w:fldChar w:fldCharType="separate"/>
        </w:r>
        <w:r w:rsidR="00D139BC">
          <w:rPr>
            <w:webHidden/>
          </w:rPr>
          <w:t>2</w:t>
        </w:r>
        <w:r w:rsidR="00D139BC">
          <w:rPr>
            <w:webHidden/>
          </w:rPr>
          <w:fldChar w:fldCharType="end"/>
        </w:r>
      </w:hyperlink>
    </w:p>
    <w:p w14:paraId="73DA4DC8" w14:textId="5EFD02A4" w:rsidR="00D139BC" w:rsidRDefault="007D0A80">
      <w:pPr>
        <w:pStyle w:val="TOC2"/>
        <w:rPr>
          <w:rFonts w:asciiTheme="minorHAnsi" w:eastAsiaTheme="minorEastAsia" w:hAnsiTheme="minorHAnsi" w:cstheme="minorBidi"/>
          <w:color w:val="auto"/>
          <w:sz w:val="22"/>
        </w:rPr>
      </w:pPr>
      <w:hyperlink w:anchor="_Toc67496374" w:history="1">
        <w:r w:rsidR="00D139BC" w:rsidRPr="00DF799C">
          <w:rPr>
            <w:rStyle w:val="Hyperlink"/>
          </w:rPr>
          <w:t>2</w:t>
        </w:r>
        <w:r w:rsidR="00D139BC">
          <w:rPr>
            <w:rFonts w:asciiTheme="minorHAnsi" w:eastAsiaTheme="minorEastAsia" w:hAnsiTheme="minorHAnsi" w:cstheme="minorBidi"/>
            <w:color w:val="auto"/>
            <w:sz w:val="22"/>
          </w:rPr>
          <w:tab/>
        </w:r>
        <w:r w:rsidR="00D139BC" w:rsidRPr="00DF799C">
          <w:rPr>
            <w:rStyle w:val="Hyperlink"/>
          </w:rPr>
          <w:t>Relevant CSIRO Capability</w:t>
        </w:r>
        <w:r w:rsidR="00D139BC">
          <w:rPr>
            <w:webHidden/>
          </w:rPr>
          <w:tab/>
        </w:r>
        <w:r w:rsidR="00D139BC">
          <w:rPr>
            <w:webHidden/>
          </w:rPr>
          <w:fldChar w:fldCharType="begin"/>
        </w:r>
        <w:r w:rsidR="00D139BC">
          <w:rPr>
            <w:webHidden/>
          </w:rPr>
          <w:instrText xml:space="preserve"> PAGEREF _Toc67496374 \h </w:instrText>
        </w:r>
        <w:r w:rsidR="00D139BC">
          <w:rPr>
            <w:webHidden/>
          </w:rPr>
        </w:r>
        <w:r w:rsidR="00D139BC">
          <w:rPr>
            <w:webHidden/>
          </w:rPr>
          <w:fldChar w:fldCharType="separate"/>
        </w:r>
        <w:r w:rsidR="00D139BC">
          <w:rPr>
            <w:webHidden/>
          </w:rPr>
          <w:t>3</w:t>
        </w:r>
        <w:r w:rsidR="00D139BC">
          <w:rPr>
            <w:webHidden/>
          </w:rPr>
          <w:fldChar w:fldCharType="end"/>
        </w:r>
      </w:hyperlink>
    </w:p>
    <w:p w14:paraId="18E6F081" w14:textId="21872181" w:rsidR="00D139BC" w:rsidRDefault="007D0A80">
      <w:pPr>
        <w:pStyle w:val="TOC2"/>
        <w:rPr>
          <w:rFonts w:asciiTheme="minorHAnsi" w:eastAsiaTheme="minorEastAsia" w:hAnsiTheme="minorHAnsi" w:cstheme="minorBidi"/>
          <w:color w:val="auto"/>
          <w:sz w:val="22"/>
        </w:rPr>
      </w:pPr>
      <w:hyperlink w:anchor="_Toc67496375" w:history="1">
        <w:r w:rsidR="00D139BC" w:rsidRPr="00DF799C">
          <w:rPr>
            <w:rStyle w:val="Hyperlink"/>
          </w:rPr>
          <w:t>3</w:t>
        </w:r>
        <w:r w:rsidR="00D139BC">
          <w:rPr>
            <w:rFonts w:asciiTheme="minorHAnsi" w:eastAsiaTheme="minorEastAsia" w:hAnsiTheme="minorHAnsi" w:cstheme="minorBidi"/>
            <w:color w:val="auto"/>
            <w:sz w:val="22"/>
          </w:rPr>
          <w:tab/>
        </w:r>
        <w:r w:rsidR="00D139BC" w:rsidRPr="00DF799C">
          <w:rPr>
            <w:rStyle w:val="Hyperlink"/>
          </w:rPr>
          <w:t>Background Information</w:t>
        </w:r>
        <w:r w:rsidR="00D139BC">
          <w:rPr>
            <w:webHidden/>
          </w:rPr>
          <w:tab/>
        </w:r>
        <w:r w:rsidR="00D139BC">
          <w:rPr>
            <w:webHidden/>
          </w:rPr>
          <w:fldChar w:fldCharType="begin"/>
        </w:r>
        <w:r w:rsidR="00D139BC">
          <w:rPr>
            <w:webHidden/>
          </w:rPr>
          <w:instrText xml:space="preserve"> PAGEREF _Toc67496375 \h </w:instrText>
        </w:r>
        <w:r w:rsidR="00D139BC">
          <w:rPr>
            <w:webHidden/>
          </w:rPr>
        </w:r>
        <w:r w:rsidR="00D139BC">
          <w:rPr>
            <w:webHidden/>
          </w:rPr>
          <w:fldChar w:fldCharType="separate"/>
        </w:r>
        <w:r w:rsidR="00D139BC">
          <w:rPr>
            <w:webHidden/>
          </w:rPr>
          <w:t>4</w:t>
        </w:r>
        <w:r w:rsidR="00D139BC">
          <w:rPr>
            <w:webHidden/>
          </w:rPr>
          <w:fldChar w:fldCharType="end"/>
        </w:r>
      </w:hyperlink>
    </w:p>
    <w:p w14:paraId="211CA968" w14:textId="63D2CA3B" w:rsidR="00D139BC" w:rsidRDefault="007D0A80">
      <w:pPr>
        <w:pStyle w:val="TOC2"/>
        <w:rPr>
          <w:rFonts w:asciiTheme="minorHAnsi" w:eastAsiaTheme="minorEastAsia" w:hAnsiTheme="minorHAnsi" w:cstheme="minorBidi"/>
          <w:color w:val="auto"/>
          <w:sz w:val="22"/>
        </w:rPr>
      </w:pPr>
      <w:hyperlink w:anchor="_Toc67496378" w:history="1">
        <w:r w:rsidR="00D139BC" w:rsidRPr="00DF799C">
          <w:rPr>
            <w:rStyle w:val="Hyperlink"/>
          </w:rPr>
          <w:t>4</w:t>
        </w:r>
        <w:r w:rsidR="00D139BC">
          <w:rPr>
            <w:rFonts w:asciiTheme="minorHAnsi" w:eastAsiaTheme="minorEastAsia" w:hAnsiTheme="minorHAnsi" w:cstheme="minorBidi"/>
            <w:color w:val="auto"/>
            <w:sz w:val="22"/>
          </w:rPr>
          <w:tab/>
        </w:r>
        <w:r w:rsidR="00D139BC" w:rsidRPr="00DF799C">
          <w:rPr>
            <w:rStyle w:val="Hyperlink"/>
          </w:rPr>
          <w:t>NWR 2020 report – estuaries, coasts, and riverine flows</w:t>
        </w:r>
        <w:r w:rsidR="00D139BC">
          <w:rPr>
            <w:webHidden/>
          </w:rPr>
          <w:tab/>
        </w:r>
        <w:r w:rsidR="00D139BC">
          <w:rPr>
            <w:webHidden/>
          </w:rPr>
          <w:fldChar w:fldCharType="begin"/>
        </w:r>
        <w:r w:rsidR="00D139BC">
          <w:rPr>
            <w:webHidden/>
          </w:rPr>
          <w:instrText xml:space="preserve"> PAGEREF _Toc67496378 \h </w:instrText>
        </w:r>
        <w:r w:rsidR="00D139BC">
          <w:rPr>
            <w:webHidden/>
          </w:rPr>
        </w:r>
        <w:r w:rsidR="00D139BC">
          <w:rPr>
            <w:webHidden/>
          </w:rPr>
          <w:fldChar w:fldCharType="separate"/>
        </w:r>
        <w:r w:rsidR="00D139BC">
          <w:rPr>
            <w:webHidden/>
          </w:rPr>
          <w:t>10</w:t>
        </w:r>
        <w:r w:rsidR="00D139BC">
          <w:rPr>
            <w:webHidden/>
          </w:rPr>
          <w:fldChar w:fldCharType="end"/>
        </w:r>
      </w:hyperlink>
    </w:p>
    <w:p w14:paraId="639BB9DE" w14:textId="4EAC8718" w:rsidR="00D139BC" w:rsidRDefault="007D0A80">
      <w:pPr>
        <w:pStyle w:val="TOC2"/>
        <w:rPr>
          <w:rFonts w:asciiTheme="minorHAnsi" w:eastAsiaTheme="minorEastAsia" w:hAnsiTheme="minorHAnsi" w:cstheme="minorBidi"/>
          <w:color w:val="auto"/>
          <w:sz w:val="22"/>
        </w:rPr>
      </w:pPr>
      <w:hyperlink w:anchor="_Toc67496379" w:history="1">
        <w:r w:rsidR="00D139BC" w:rsidRPr="00DF799C">
          <w:rPr>
            <w:rStyle w:val="Hyperlink"/>
          </w:rPr>
          <w:t>5</w:t>
        </w:r>
        <w:r w:rsidR="00D139BC">
          <w:rPr>
            <w:rFonts w:asciiTheme="minorHAnsi" w:eastAsiaTheme="minorEastAsia" w:hAnsiTheme="minorHAnsi" w:cstheme="minorBidi"/>
            <w:color w:val="auto"/>
            <w:sz w:val="22"/>
          </w:rPr>
          <w:tab/>
        </w:r>
        <w:r w:rsidR="00D139BC" w:rsidRPr="00DF799C">
          <w:rPr>
            <w:rStyle w:val="Hyperlink"/>
          </w:rPr>
          <w:t>Suggested inclusions</w:t>
        </w:r>
        <w:r w:rsidR="00D139BC">
          <w:rPr>
            <w:webHidden/>
          </w:rPr>
          <w:tab/>
        </w:r>
        <w:r w:rsidR="00D139BC">
          <w:rPr>
            <w:webHidden/>
          </w:rPr>
          <w:fldChar w:fldCharType="begin"/>
        </w:r>
        <w:r w:rsidR="00D139BC">
          <w:rPr>
            <w:webHidden/>
          </w:rPr>
          <w:instrText xml:space="preserve"> PAGEREF _Toc67496379 \h </w:instrText>
        </w:r>
        <w:r w:rsidR="00D139BC">
          <w:rPr>
            <w:webHidden/>
          </w:rPr>
        </w:r>
        <w:r w:rsidR="00D139BC">
          <w:rPr>
            <w:webHidden/>
          </w:rPr>
          <w:fldChar w:fldCharType="separate"/>
        </w:r>
        <w:r w:rsidR="00D139BC">
          <w:rPr>
            <w:webHidden/>
          </w:rPr>
          <w:t>12</w:t>
        </w:r>
        <w:r w:rsidR="00D139BC">
          <w:rPr>
            <w:webHidden/>
          </w:rPr>
          <w:fldChar w:fldCharType="end"/>
        </w:r>
      </w:hyperlink>
    </w:p>
    <w:p w14:paraId="713B429A" w14:textId="3941D130" w:rsidR="00D139BC" w:rsidRDefault="007D0A80">
      <w:pPr>
        <w:pStyle w:val="TOC2"/>
        <w:rPr>
          <w:rFonts w:asciiTheme="minorHAnsi" w:eastAsiaTheme="minorEastAsia" w:hAnsiTheme="minorHAnsi" w:cstheme="minorBidi"/>
          <w:color w:val="auto"/>
          <w:sz w:val="22"/>
        </w:rPr>
      </w:pPr>
      <w:hyperlink w:anchor="_Toc67496384" w:history="1">
        <w:r w:rsidR="00D139BC" w:rsidRPr="00DF799C">
          <w:rPr>
            <w:rStyle w:val="Hyperlink"/>
          </w:rPr>
          <w:t>6</w:t>
        </w:r>
        <w:r w:rsidR="00D139BC">
          <w:rPr>
            <w:rFonts w:asciiTheme="minorHAnsi" w:eastAsiaTheme="minorEastAsia" w:hAnsiTheme="minorHAnsi" w:cstheme="minorBidi"/>
            <w:color w:val="auto"/>
            <w:sz w:val="22"/>
          </w:rPr>
          <w:tab/>
        </w:r>
        <w:r w:rsidR="00D139BC" w:rsidRPr="00DF799C">
          <w:rPr>
            <w:rStyle w:val="Hyperlink"/>
          </w:rPr>
          <w:t>REFERENCES</w:t>
        </w:r>
        <w:r w:rsidR="00D139BC">
          <w:rPr>
            <w:webHidden/>
          </w:rPr>
          <w:tab/>
        </w:r>
        <w:r w:rsidR="00D139BC">
          <w:rPr>
            <w:webHidden/>
          </w:rPr>
          <w:fldChar w:fldCharType="begin"/>
        </w:r>
        <w:r w:rsidR="00D139BC">
          <w:rPr>
            <w:webHidden/>
          </w:rPr>
          <w:instrText xml:space="preserve"> PAGEREF _Toc67496384 \h </w:instrText>
        </w:r>
        <w:r w:rsidR="00D139BC">
          <w:rPr>
            <w:webHidden/>
          </w:rPr>
        </w:r>
        <w:r w:rsidR="00D139BC">
          <w:rPr>
            <w:webHidden/>
          </w:rPr>
          <w:fldChar w:fldCharType="separate"/>
        </w:r>
        <w:r w:rsidR="00D139BC">
          <w:rPr>
            <w:webHidden/>
          </w:rPr>
          <w:t>14</w:t>
        </w:r>
        <w:r w:rsidR="00D139BC">
          <w:rPr>
            <w:webHidden/>
          </w:rPr>
          <w:fldChar w:fldCharType="end"/>
        </w:r>
      </w:hyperlink>
    </w:p>
    <w:p w14:paraId="568A0E43" w14:textId="097704A3" w:rsidR="00BD3CD7" w:rsidRDefault="005C0FAD" w:rsidP="008B2EB2">
      <w:pPr>
        <w:pStyle w:val="TOC2"/>
        <w:rPr>
          <w:rFonts w:eastAsiaTheme="majorEastAsia" w:cstheme="majorBidi"/>
          <w:color w:val="00A9CE" w:themeColor="accent1"/>
          <w:sz w:val="44"/>
          <w:szCs w:val="28"/>
        </w:rPr>
      </w:pPr>
      <w:r>
        <w:rPr>
          <w:color w:val="2B579A"/>
          <w:shd w:val="clear" w:color="auto" w:fill="E6E6E6"/>
        </w:rPr>
        <w:fldChar w:fldCharType="end"/>
      </w:r>
      <w:r w:rsidR="00BD3CD7">
        <w:br w:type="page"/>
      </w:r>
    </w:p>
    <w:p w14:paraId="78E44F3F" w14:textId="77777777" w:rsidR="008052C8" w:rsidRDefault="008052C8" w:rsidP="00CE036D">
      <w:pPr>
        <w:pStyle w:val="Heading1"/>
      </w:pPr>
      <w:bookmarkStart w:id="0" w:name="_Toc67496373"/>
      <w:r>
        <w:lastRenderedPageBreak/>
        <w:t>Executive Summary</w:t>
      </w:r>
      <w:bookmarkEnd w:id="0"/>
    </w:p>
    <w:p w14:paraId="5B7F9FB4" w14:textId="2653D9E4" w:rsidR="007F226D" w:rsidRPr="0071730A" w:rsidRDefault="007F226D" w:rsidP="38CD9BDA">
      <w:pPr>
        <w:spacing w:after="240"/>
        <w:rPr>
          <w:rFonts w:asciiTheme="minorHAnsi" w:hAnsiTheme="minorHAnsi" w:cstheme="minorBidi"/>
          <w:sz w:val="24"/>
          <w:szCs w:val="24"/>
        </w:rPr>
      </w:pPr>
      <w:r w:rsidRPr="38CD9BDA">
        <w:rPr>
          <w:rFonts w:asciiTheme="minorHAnsi" w:hAnsiTheme="minorHAnsi" w:cstheme="minorBidi"/>
          <w:sz w:val="24"/>
          <w:szCs w:val="24"/>
        </w:rPr>
        <w:t xml:space="preserve">Over the last decade, Commonwealth and State Governments have </w:t>
      </w:r>
      <w:r w:rsidR="0BB3B4B5" w:rsidRPr="38CD9BDA">
        <w:rPr>
          <w:rFonts w:asciiTheme="minorHAnsi" w:hAnsiTheme="minorHAnsi" w:cstheme="minorBidi"/>
          <w:sz w:val="24"/>
          <w:szCs w:val="24"/>
        </w:rPr>
        <w:t>developed</w:t>
      </w:r>
      <w:r w:rsidRPr="38CD9BDA">
        <w:rPr>
          <w:rFonts w:asciiTheme="minorHAnsi" w:hAnsiTheme="minorHAnsi" w:cstheme="minorBidi"/>
          <w:sz w:val="24"/>
          <w:szCs w:val="24"/>
        </w:rPr>
        <w:t xml:space="preserve"> plans and </w:t>
      </w:r>
      <w:r w:rsidR="1B51E82D" w:rsidRPr="38CD9BDA">
        <w:rPr>
          <w:rFonts w:asciiTheme="minorHAnsi" w:hAnsiTheme="minorHAnsi" w:cstheme="minorBidi"/>
          <w:sz w:val="24"/>
          <w:szCs w:val="24"/>
        </w:rPr>
        <w:t>undertaken</w:t>
      </w:r>
      <w:r w:rsidRPr="38CD9BDA">
        <w:rPr>
          <w:rFonts w:asciiTheme="minorHAnsi" w:hAnsiTheme="minorHAnsi" w:cstheme="minorBidi"/>
          <w:sz w:val="24"/>
          <w:szCs w:val="24"/>
        </w:rPr>
        <w:t xml:space="preserve"> research to develop the water resources </w:t>
      </w:r>
      <w:r w:rsidR="3BBB9A54" w:rsidRPr="38CD9BDA">
        <w:rPr>
          <w:rFonts w:asciiTheme="minorHAnsi" w:hAnsiTheme="minorHAnsi" w:cstheme="minorBidi"/>
          <w:sz w:val="24"/>
          <w:szCs w:val="24"/>
        </w:rPr>
        <w:t>in some of</w:t>
      </w:r>
      <w:r w:rsidRPr="38CD9BDA">
        <w:rPr>
          <w:rFonts w:asciiTheme="minorHAnsi" w:hAnsiTheme="minorHAnsi" w:cstheme="minorBidi"/>
          <w:sz w:val="24"/>
          <w:szCs w:val="24"/>
        </w:rPr>
        <w:t xml:space="preserve"> Australia’s large-catchment northern </w:t>
      </w:r>
      <w:r w:rsidRPr="007B1345">
        <w:rPr>
          <w:rFonts w:asciiTheme="minorHAnsi" w:hAnsiTheme="minorHAnsi" w:cstheme="minorBidi"/>
          <w:sz w:val="24"/>
          <w:szCs w:val="24"/>
        </w:rPr>
        <w:t xml:space="preserve">rivers.  </w:t>
      </w:r>
      <w:r w:rsidR="14092CAA" w:rsidRPr="007B1345">
        <w:rPr>
          <w:rFonts w:asciiTheme="minorHAnsi" w:hAnsiTheme="minorHAnsi" w:cstheme="minorBidi"/>
          <w:sz w:val="24"/>
          <w:szCs w:val="24"/>
        </w:rPr>
        <w:t>T</w:t>
      </w:r>
      <w:r w:rsidRPr="007B1345">
        <w:rPr>
          <w:rFonts w:asciiTheme="minorHAnsi" w:hAnsiTheme="minorHAnsi" w:cstheme="minorBidi"/>
          <w:sz w:val="24"/>
          <w:szCs w:val="24"/>
        </w:rPr>
        <w:t xml:space="preserve">hree major research projects </w:t>
      </w:r>
      <w:r w:rsidR="2D1028B3" w:rsidRPr="007B1345">
        <w:rPr>
          <w:rFonts w:asciiTheme="minorHAnsi" w:hAnsiTheme="minorHAnsi" w:cstheme="minorBidi"/>
          <w:sz w:val="24"/>
          <w:szCs w:val="24"/>
        </w:rPr>
        <w:t xml:space="preserve">involving CSIRO </w:t>
      </w:r>
      <w:r w:rsidRPr="007B1345">
        <w:rPr>
          <w:rFonts w:asciiTheme="minorHAnsi" w:hAnsiTheme="minorHAnsi" w:cstheme="minorBidi"/>
          <w:sz w:val="24"/>
          <w:szCs w:val="24"/>
        </w:rPr>
        <w:t>have identified the potential water resource assets and catchment characteristics and ecology of rivers basins</w:t>
      </w:r>
      <w:r w:rsidR="014D0D28" w:rsidRPr="007B1345">
        <w:rPr>
          <w:rFonts w:asciiTheme="minorHAnsi" w:hAnsiTheme="minorHAnsi" w:cstheme="minorBidi"/>
          <w:sz w:val="24"/>
          <w:szCs w:val="24"/>
        </w:rPr>
        <w:t xml:space="preserve"> (Flinders and Gilbert Agricultural Resource Assessment (FGARA, Petheram et al. 2013 </w:t>
      </w:r>
      <w:proofErr w:type="spellStart"/>
      <w:r w:rsidR="014D0D28" w:rsidRPr="007B1345">
        <w:rPr>
          <w:rFonts w:asciiTheme="minorHAnsi" w:hAnsiTheme="minorHAnsi" w:cstheme="minorBidi"/>
          <w:sz w:val="24"/>
          <w:szCs w:val="24"/>
        </w:rPr>
        <w:t>a.b</w:t>
      </w:r>
      <w:proofErr w:type="spellEnd"/>
      <w:r w:rsidR="014D0D28" w:rsidRPr="007B1345">
        <w:rPr>
          <w:rFonts w:asciiTheme="minorHAnsi" w:hAnsiTheme="minorHAnsi" w:cstheme="minorBidi"/>
          <w:sz w:val="24"/>
          <w:szCs w:val="24"/>
        </w:rPr>
        <w:t xml:space="preserve">); the Northern Australia Water Resource assessment (NAWRA, Petheram et al. 2018 </w:t>
      </w:r>
      <w:proofErr w:type="spellStart"/>
      <w:r w:rsidR="014D0D28" w:rsidRPr="007B1345">
        <w:rPr>
          <w:rFonts w:asciiTheme="minorHAnsi" w:hAnsiTheme="minorHAnsi" w:cstheme="minorBidi"/>
          <w:sz w:val="24"/>
          <w:szCs w:val="24"/>
        </w:rPr>
        <w:t>a.b,c</w:t>
      </w:r>
      <w:proofErr w:type="spellEnd"/>
      <w:r w:rsidR="014D0D28" w:rsidRPr="007B1345">
        <w:rPr>
          <w:rFonts w:asciiTheme="minorHAnsi" w:hAnsiTheme="minorHAnsi" w:cstheme="minorBidi"/>
          <w:sz w:val="24"/>
          <w:szCs w:val="24"/>
        </w:rPr>
        <w:t>) and the Roper River Water Resource Assessment (</w:t>
      </w:r>
      <w:proofErr w:type="spellStart"/>
      <w:r w:rsidR="014D0D28" w:rsidRPr="007B1345">
        <w:rPr>
          <w:rFonts w:asciiTheme="minorHAnsi" w:hAnsiTheme="minorHAnsi" w:cstheme="minorBidi"/>
          <w:sz w:val="24"/>
          <w:szCs w:val="24"/>
        </w:rPr>
        <w:t>RoWRA</w:t>
      </w:r>
      <w:proofErr w:type="spellEnd"/>
      <w:r w:rsidR="014D0D28" w:rsidRPr="007B1345">
        <w:rPr>
          <w:rFonts w:asciiTheme="minorHAnsi" w:hAnsiTheme="minorHAnsi" w:cstheme="minorBidi"/>
          <w:sz w:val="24"/>
          <w:szCs w:val="24"/>
        </w:rPr>
        <w:t>, CSIRO 2019, current)</w:t>
      </w:r>
      <w:r w:rsidRPr="007B1345">
        <w:rPr>
          <w:rFonts w:asciiTheme="minorHAnsi" w:hAnsiTheme="minorHAnsi" w:cstheme="minorBidi"/>
          <w:sz w:val="24"/>
          <w:szCs w:val="24"/>
        </w:rPr>
        <w:t>.</w:t>
      </w:r>
    </w:p>
    <w:p w14:paraId="4A1EAB22" w14:textId="5F47CDEC" w:rsidR="007F226D" w:rsidRDefault="007F226D" w:rsidP="38CD9BDA">
      <w:pPr>
        <w:spacing w:after="240"/>
        <w:rPr>
          <w:rFonts w:asciiTheme="minorHAnsi" w:hAnsiTheme="minorHAnsi" w:cstheme="minorBidi"/>
          <w:sz w:val="24"/>
          <w:szCs w:val="24"/>
        </w:rPr>
      </w:pPr>
      <w:r w:rsidRPr="38CD9BDA">
        <w:rPr>
          <w:rFonts w:asciiTheme="minorHAnsi" w:hAnsiTheme="minorHAnsi" w:cstheme="minorBidi"/>
          <w:sz w:val="24"/>
          <w:szCs w:val="24"/>
        </w:rPr>
        <w:t xml:space="preserve">As a result of these reports, a series of large-catchment northern rivers are now in-scope to support irrigated agriculture. However, the National Water Reform 2020 (Productivity Commission) </w:t>
      </w:r>
      <w:r w:rsidR="003C01A6">
        <w:rPr>
          <w:rFonts w:asciiTheme="minorHAnsi" w:hAnsiTheme="minorHAnsi" w:cstheme="minorBidi"/>
          <w:sz w:val="24"/>
          <w:szCs w:val="24"/>
        </w:rPr>
        <w:t xml:space="preserve">Draft Report (NWR 2020) </w:t>
      </w:r>
      <w:r w:rsidRPr="38CD9BDA">
        <w:rPr>
          <w:rFonts w:asciiTheme="minorHAnsi" w:hAnsiTheme="minorHAnsi" w:cstheme="minorBidi"/>
          <w:sz w:val="24"/>
          <w:szCs w:val="24"/>
        </w:rPr>
        <w:t xml:space="preserve">does not </w:t>
      </w:r>
      <w:r w:rsidR="79ACCC2E" w:rsidRPr="38CD9BDA">
        <w:rPr>
          <w:rFonts w:asciiTheme="minorHAnsi" w:hAnsiTheme="minorHAnsi" w:cstheme="minorBidi"/>
          <w:sz w:val="24"/>
          <w:szCs w:val="24"/>
        </w:rPr>
        <w:t xml:space="preserve">directly </w:t>
      </w:r>
      <w:r w:rsidRPr="38CD9BDA">
        <w:rPr>
          <w:rFonts w:asciiTheme="minorHAnsi" w:hAnsiTheme="minorHAnsi" w:cstheme="minorBidi"/>
          <w:sz w:val="24"/>
          <w:szCs w:val="24"/>
        </w:rPr>
        <w:t xml:space="preserve">address the challenge for these tropical rivers.  This is because the scope of the NWR 2020 does not extend to estuaries and coasts, </w:t>
      </w:r>
      <w:r w:rsidR="19194F2F" w:rsidRPr="29B6F3C9">
        <w:rPr>
          <w:rFonts w:asciiTheme="minorHAnsi" w:hAnsiTheme="minorHAnsi" w:cstheme="minorBidi"/>
          <w:sz w:val="24"/>
          <w:szCs w:val="24"/>
        </w:rPr>
        <w:t>and</w:t>
      </w:r>
      <w:r w:rsidRPr="38CD9BDA">
        <w:rPr>
          <w:rFonts w:asciiTheme="minorHAnsi" w:hAnsiTheme="minorHAnsi" w:cstheme="minorBidi"/>
          <w:sz w:val="24"/>
          <w:szCs w:val="24"/>
        </w:rPr>
        <w:t xml:space="preserve"> </w:t>
      </w:r>
      <w:r w:rsidR="45CBFBFC" w:rsidRPr="51D4F30F">
        <w:rPr>
          <w:rFonts w:asciiTheme="minorHAnsi" w:hAnsiTheme="minorHAnsi" w:cstheme="minorBidi"/>
          <w:sz w:val="24"/>
          <w:szCs w:val="24"/>
        </w:rPr>
        <w:t xml:space="preserve">does not </w:t>
      </w:r>
      <w:r w:rsidR="45CBFBFC" w:rsidRPr="5D91EC54">
        <w:rPr>
          <w:rFonts w:asciiTheme="minorHAnsi" w:hAnsiTheme="minorHAnsi" w:cstheme="minorBidi"/>
          <w:sz w:val="24"/>
          <w:szCs w:val="24"/>
        </w:rPr>
        <w:t xml:space="preserve">adequately address </w:t>
      </w:r>
      <w:r w:rsidRPr="5D91EC54">
        <w:rPr>
          <w:rFonts w:asciiTheme="minorHAnsi" w:hAnsiTheme="minorHAnsi" w:cstheme="minorBidi"/>
          <w:sz w:val="24"/>
          <w:szCs w:val="24"/>
        </w:rPr>
        <w:t>the</w:t>
      </w:r>
      <w:r w:rsidRPr="38CD9BDA">
        <w:rPr>
          <w:rFonts w:asciiTheme="minorHAnsi" w:hAnsiTheme="minorHAnsi" w:cstheme="minorBidi"/>
          <w:sz w:val="24"/>
          <w:szCs w:val="24"/>
        </w:rPr>
        <w:t xml:space="preserve"> influence of riverine flows as drivers of habitat suitability and estuarine productivity in the coastal ecosystem.  </w:t>
      </w:r>
    </w:p>
    <w:p w14:paraId="15982307" w14:textId="580487A7" w:rsidR="007F226D" w:rsidRDefault="007F226D" w:rsidP="07A22910">
      <w:pPr>
        <w:spacing w:after="240"/>
        <w:rPr>
          <w:rFonts w:asciiTheme="minorHAnsi" w:hAnsiTheme="minorHAnsi" w:cstheme="minorBidi"/>
          <w:sz w:val="24"/>
          <w:szCs w:val="24"/>
        </w:rPr>
      </w:pPr>
      <w:r w:rsidRPr="07A22910">
        <w:rPr>
          <w:rFonts w:asciiTheme="minorHAnsi" w:hAnsiTheme="minorHAnsi" w:cstheme="minorBidi"/>
          <w:sz w:val="24"/>
          <w:szCs w:val="24"/>
        </w:rPr>
        <w:t xml:space="preserve">This submission provides background relating to the potential for irrigated agriculture in Australia’s tropical rivers, and the potential impact for three tropical fisheries. This background provides the context for a discussion on the implications of omitting considerations relating to estuaries, coasts, and riverine flows in the NWR 2020 report. The submission concludes with </w:t>
      </w:r>
      <w:r w:rsidR="4597B9DF" w:rsidRPr="07A22910">
        <w:rPr>
          <w:rFonts w:asciiTheme="minorHAnsi" w:hAnsiTheme="minorHAnsi" w:cstheme="minorBidi"/>
          <w:sz w:val="24"/>
          <w:szCs w:val="24"/>
        </w:rPr>
        <w:t xml:space="preserve">four </w:t>
      </w:r>
      <w:r w:rsidR="001F6475" w:rsidRPr="0088121C">
        <w:rPr>
          <w:rFonts w:asciiTheme="minorHAnsi" w:hAnsiTheme="minorHAnsi" w:cstheme="minorBidi"/>
          <w:sz w:val="24"/>
          <w:szCs w:val="24"/>
        </w:rPr>
        <w:t xml:space="preserve">suggested inclusions </w:t>
      </w:r>
      <w:r w:rsidRPr="07A22910">
        <w:rPr>
          <w:rFonts w:asciiTheme="minorHAnsi" w:hAnsiTheme="minorHAnsi" w:cstheme="minorBidi"/>
          <w:sz w:val="24"/>
          <w:szCs w:val="24"/>
        </w:rPr>
        <w:t>for additional content, including the proposal to incorporate a chapter describing the landscape and ecological characteristics of tropical rivers, especially their extensive estuaries, and the relevance of seasonal and annual flow characteristics that sustain ecological service provision for coastal ecosystems by river flows.</w:t>
      </w:r>
    </w:p>
    <w:p w14:paraId="5F48EDE8" w14:textId="60F8144D" w:rsidR="001A3122" w:rsidRDefault="00A50357" w:rsidP="007F226D">
      <w:pPr>
        <w:spacing w:after="240"/>
        <w:rPr>
          <w:rFonts w:asciiTheme="minorHAnsi" w:hAnsiTheme="minorHAnsi" w:cstheme="minorHAnsi"/>
          <w:sz w:val="24"/>
          <w:szCs w:val="24"/>
        </w:rPr>
      </w:pPr>
      <w:r w:rsidRPr="07A22910">
        <w:rPr>
          <w:rFonts w:asciiTheme="minorHAnsi" w:hAnsiTheme="minorHAnsi" w:cstheme="minorBidi"/>
          <w:sz w:val="24"/>
          <w:szCs w:val="24"/>
        </w:rPr>
        <w:t xml:space="preserve">Abridged versions of </w:t>
      </w:r>
      <w:r w:rsidR="00B83FD3" w:rsidRPr="07A22910">
        <w:rPr>
          <w:rFonts w:asciiTheme="minorHAnsi" w:hAnsiTheme="minorHAnsi" w:cstheme="minorBidi"/>
          <w:sz w:val="24"/>
          <w:szCs w:val="24"/>
        </w:rPr>
        <w:t xml:space="preserve">full </w:t>
      </w:r>
      <w:r w:rsidR="002C4E27" w:rsidRPr="07A22910">
        <w:rPr>
          <w:rFonts w:asciiTheme="minorHAnsi" w:hAnsiTheme="minorHAnsi" w:cstheme="minorBidi"/>
          <w:sz w:val="24"/>
          <w:szCs w:val="24"/>
        </w:rPr>
        <w:t>suggested inclusions</w:t>
      </w:r>
      <w:r w:rsidR="00B83FD3" w:rsidRPr="07A22910">
        <w:rPr>
          <w:rFonts w:asciiTheme="minorHAnsi" w:hAnsiTheme="minorHAnsi" w:cstheme="minorBidi"/>
          <w:sz w:val="24"/>
          <w:szCs w:val="24"/>
        </w:rPr>
        <w:t xml:space="preserve"> </w:t>
      </w:r>
      <w:r w:rsidRPr="07A22910">
        <w:rPr>
          <w:rFonts w:asciiTheme="minorHAnsi" w:hAnsiTheme="minorHAnsi" w:cstheme="minorBidi"/>
          <w:sz w:val="24"/>
          <w:szCs w:val="24"/>
        </w:rPr>
        <w:t xml:space="preserve">are </w:t>
      </w:r>
      <w:r w:rsidR="00CE014A" w:rsidRPr="07A22910">
        <w:rPr>
          <w:rFonts w:asciiTheme="minorHAnsi" w:hAnsiTheme="minorHAnsi" w:cstheme="minorBidi"/>
          <w:sz w:val="24"/>
          <w:szCs w:val="24"/>
        </w:rPr>
        <w:t xml:space="preserve">listed </w:t>
      </w:r>
      <w:r w:rsidRPr="07A22910">
        <w:rPr>
          <w:rFonts w:asciiTheme="minorHAnsi" w:hAnsiTheme="minorHAnsi" w:cstheme="minorBidi"/>
          <w:sz w:val="24"/>
          <w:szCs w:val="24"/>
        </w:rPr>
        <w:t>below</w:t>
      </w:r>
      <w:r w:rsidR="00CE014A" w:rsidRPr="07A22910">
        <w:rPr>
          <w:rFonts w:asciiTheme="minorHAnsi" w:hAnsiTheme="minorHAnsi" w:cstheme="minorBidi"/>
          <w:sz w:val="24"/>
          <w:szCs w:val="24"/>
        </w:rPr>
        <w:t>.</w:t>
      </w:r>
      <w:r w:rsidR="00426D4E" w:rsidRPr="07A22910">
        <w:rPr>
          <w:rFonts w:asciiTheme="minorHAnsi" w:hAnsiTheme="minorHAnsi" w:cstheme="minorBidi"/>
          <w:sz w:val="24"/>
          <w:szCs w:val="24"/>
        </w:rPr>
        <w:t xml:space="preserve"> </w:t>
      </w:r>
    </w:p>
    <w:p w14:paraId="20115AF8" w14:textId="2ED68246" w:rsidR="19C551B0" w:rsidRPr="003C5B13" w:rsidRDefault="19C551B0">
      <w:pPr>
        <w:rPr>
          <w:rFonts w:asciiTheme="minorHAnsi" w:hAnsiTheme="minorHAnsi" w:cstheme="minorBidi"/>
          <w:sz w:val="24"/>
          <w:szCs w:val="24"/>
        </w:rPr>
      </w:pPr>
      <w:r w:rsidRPr="003C5B13">
        <w:rPr>
          <w:rFonts w:asciiTheme="minorHAnsi" w:hAnsiTheme="minorHAnsi" w:cstheme="minorBidi"/>
          <w:b/>
          <w:bCs/>
          <w:sz w:val="24"/>
          <w:szCs w:val="24"/>
        </w:rPr>
        <w:t>Suggested inclusion 1</w:t>
      </w:r>
      <w:r w:rsidRPr="003C5B13">
        <w:rPr>
          <w:rFonts w:asciiTheme="minorHAnsi" w:hAnsiTheme="minorHAnsi" w:cstheme="minorBidi"/>
          <w:sz w:val="24"/>
          <w:szCs w:val="24"/>
        </w:rPr>
        <w:t xml:space="preserve"> - The scope of the report could be broadened to: </w:t>
      </w:r>
    </w:p>
    <w:p w14:paraId="2CD19F33" w14:textId="60FE7F01" w:rsidR="19C551B0" w:rsidRPr="003C5B13" w:rsidRDefault="00FA1947" w:rsidP="003C5B13">
      <w:pPr>
        <w:pStyle w:val="ListParagraph"/>
        <w:numPr>
          <w:ilvl w:val="0"/>
          <w:numId w:val="2"/>
        </w:numPr>
        <w:rPr>
          <w:rFonts w:asciiTheme="minorHAnsi" w:hAnsiTheme="minorHAnsi" w:cstheme="minorBidi"/>
        </w:rPr>
      </w:pPr>
      <w:r>
        <w:rPr>
          <w:rFonts w:asciiTheme="minorHAnsi" w:hAnsiTheme="minorHAnsi" w:cstheme="minorBidi"/>
        </w:rPr>
        <w:t>b</w:t>
      </w:r>
      <w:r w:rsidR="19C551B0" w:rsidRPr="003C5B13">
        <w:rPr>
          <w:rFonts w:asciiTheme="minorHAnsi" w:hAnsiTheme="minorHAnsi" w:cstheme="minorBidi"/>
        </w:rPr>
        <w:t>etter represent northern systems and connections with marine systems</w:t>
      </w:r>
      <w:r>
        <w:rPr>
          <w:rFonts w:asciiTheme="minorHAnsi" w:hAnsiTheme="minorHAnsi" w:cstheme="minorBidi"/>
        </w:rPr>
        <w:t>;</w:t>
      </w:r>
      <w:r w:rsidR="19C551B0" w:rsidRPr="003C5B13">
        <w:rPr>
          <w:rFonts w:asciiTheme="minorHAnsi" w:hAnsiTheme="minorHAnsi" w:cstheme="minorBidi"/>
        </w:rPr>
        <w:t xml:space="preserve"> </w:t>
      </w:r>
    </w:p>
    <w:p w14:paraId="04C5A401" w14:textId="51B3F2F0" w:rsidR="19C551B0" w:rsidRPr="003C5B13" w:rsidRDefault="19C551B0" w:rsidP="003C5B13">
      <w:pPr>
        <w:pStyle w:val="ListParagraph"/>
        <w:numPr>
          <w:ilvl w:val="0"/>
          <w:numId w:val="2"/>
        </w:numPr>
        <w:rPr>
          <w:rFonts w:asciiTheme="minorHAnsi" w:hAnsiTheme="minorHAnsi" w:cstheme="minorBidi"/>
        </w:rPr>
      </w:pPr>
      <w:r w:rsidRPr="003C5B13">
        <w:rPr>
          <w:rFonts w:asciiTheme="minorHAnsi" w:hAnsiTheme="minorHAnsi" w:cstheme="minorBidi"/>
        </w:rPr>
        <w:t>provide greater recognition of the critical role of estuaries</w:t>
      </w:r>
      <w:r w:rsidR="00FA1947">
        <w:rPr>
          <w:rFonts w:asciiTheme="minorHAnsi" w:hAnsiTheme="minorHAnsi" w:cstheme="minorBidi"/>
        </w:rPr>
        <w:t>;</w:t>
      </w:r>
    </w:p>
    <w:p w14:paraId="7BC826E3" w14:textId="3C80242E" w:rsidR="19C551B0" w:rsidRPr="003C5B13" w:rsidRDefault="19C551B0" w:rsidP="003C5B13">
      <w:pPr>
        <w:pStyle w:val="ListParagraph"/>
        <w:numPr>
          <w:ilvl w:val="0"/>
          <w:numId w:val="2"/>
        </w:numPr>
        <w:rPr>
          <w:rFonts w:asciiTheme="minorHAnsi" w:hAnsiTheme="minorHAnsi" w:cstheme="minorBidi"/>
        </w:rPr>
      </w:pPr>
      <w:r w:rsidRPr="003C5B13">
        <w:rPr>
          <w:rFonts w:asciiTheme="minorHAnsi" w:hAnsiTheme="minorHAnsi" w:cstheme="minorBidi"/>
        </w:rPr>
        <w:t>provide guidance around water management to maintain estuarine functions that are critical to support high-value fisheries and other species</w:t>
      </w:r>
      <w:r w:rsidR="00FA1947">
        <w:rPr>
          <w:rFonts w:asciiTheme="minorHAnsi" w:hAnsiTheme="minorHAnsi" w:cstheme="minorBidi"/>
        </w:rPr>
        <w:t>; and</w:t>
      </w:r>
      <w:r w:rsidRPr="003C5B13">
        <w:rPr>
          <w:rFonts w:asciiTheme="minorHAnsi" w:hAnsiTheme="minorHAnsi" w:cstheme="minorBidi"/>
        </w:rPr>
        <w:t xml:space="preserve"> </w:t>
      </w:r>
    </w:p>
    <w:p w14:paraId="32C0678C" w14:textId="148C15FF" w:rsidR="19C551B0" w:rsidRPr="003C5B13" w:rsidRDefault="19C551B0" w:rsidP="003C5B13">
      <w:pPr>
        <w:pStyle w:val="ListParagraph"/>
        <w:numPr>
          <w:ilvl w:val="0"/>
          <w:numId w:val="2"/>
        </w:numPr>
        <w:rPr>
          <w:rFonts w:asciiTheme="minorHAnsi" w:hAnsiTheme="minorHAnsi" w:cstheme="minorBidi"/>
        </w:rPr>
      </w:pPr>
      <w:r w:rsidRPr="003C5B13">
        <w:rPr>
          <w:rFonts w:asciiTheme="minorHAnsi" w:hAnsiTheme="minorHAnsi" w:cstheme="minorBidi"/>
        </w:rPr>
        <w:t xml:space="preserve">include information specifically for tropical ecosystems. </w:t>
      </w:r>
    </w:p>
    <w:p w14:paraId="6F2946C0" w14:textId="282FC76F" w:rsidR="19C551B0" w:rsidRPr="003C5B13" w:rsidRDefault="19C551B0">
      <w:pPr>
        <w:rPr>
          <w:rFonts w:asciiTheme="minorHAnsi" w:hAnsiTheme="minorHAnsi" w:cstheme="minorBidi"/>
          <w:sz w:val="24"/>
          <w:szCs w:val="24"/>
        </w:rPr>
      </w:pPr>
      <w:r w:rsidRPr="003C5B13">
        <w:rPr>
          <w:rFonts w:asciiTheme="minorHAnsi" w:hAnsiTheme="minorHAnsi" w:cstheme="minorBidi"/>
          <w:b/>
          <w:bCs/>
          <w:sz w:val="24"/>
          <w:szCs w:val="24"/>
        </w:rPr>
        <w:t>Suggested inclusion 2</w:t>
      </w:r>
      <w:r w:rsidRPr="003C5B13">
        <w:rPr>
          <w:rFonts w:asciiTheme="minorHAnsi" w:hAnsiTheme="minorHAnsi" w:cstheme="minorBidi"/>
          <w:sz w:val="24"/>
          <w:szCs w:val="24"/>
        </w:rPr>
        <w:t xml:space="preserve"> - Differences in catchments and regional climate projections </w:t>
      </w:r>
      <w:r w:rsidR="00314055">
        <w:rPr>
          <w:rFonts w:asciiTheme="minorHAnsi" w:hAnsiTheme="minorHAnsi" w:cstheme="minorBidi"/>
          <w:sz w:val="24"/>
          <w:szCs w:val="24"/>
        </w:rPr>
        <w:t>could</w:t>
      </w:r>
      <w:r w:rsidR="00314055" w:rsidRPr="003C5B13">
        <w:rPr>
          <w:rFonts w:asciiTheme="minorHAnsi" w:hAnsiTheme="minorHAnsi" w:cstheme="minorBidi"/>
          <w:sz w:val="24"/>
          <w:szCs w:val="24"/>
        </w:rPr>
        <w:t xml:space="preserve"> </w:t>
      </w:r>
      <w:r w:rsidRPr="003C5B13">
        <w:rPr>
          <w:rFonts w:asciiTheme="minorHAnsi" w:hAnsiTheme="minorHAnsi" w:cstheme="minorBidi"/>
          <w:sz w:val="24"/>
          <w:szCs w:val="24"/>
        </w:rPr>
        <w:t xml:space="preserve">be accounted for in the report. </w:t>
      </w:r>
    </w:p>
    <w:p w14:paraId="7256BF54" w14:textId="4C02B1A9" w:rsidR="19C551B0" w:rsidRPr="003C5B13" w:rsidRDefault="19C551B0">
      <w:pPr>
        <w:rPr>
          <w:rFonts w:asciiTheme="minorHAnsi" w:hAnsiTheme="minorHAnsi" w:cstheme="minorBidi"/>
          <w:sz w:val="24"/>
          <w:szCs w:val="24"/>
        </w:rPr>
      </w:pPr>
      <w:r w:rsidRPr="003C5B13">
        <w:rPr>
          <w:rFonts w:asciiTheme="minorHAnsi" w:hAnsiTheme="minorHAnsi" w:cstheme="minorBidi"/>
          <w:b/>
          <w:bCs/>
          <w:sz w:val="24"/>
          <w:szCs w:val="24"/>
        </w:rPr>
        <w:t>Suggested inclusion 3</w:t>
      </w:r>
      <w:r w:rsidRPr="003C5B13">
        <w:rPr>
          <w:rFonts w:asciiTheme="minorHAnsi" w:hAnsiTheme="minorHAnsi" w:cstheme="minorBidi"/>
          <w:sz w:val="24"/>
          <w:szCs w:val="24"/>
        </w:rPr>
        <w:t xml:space="preserve"> - Water management targets </w:t>
      </w:r>
      <w:r w:rsidR="00314055">
        <w:rPr>
          <w:rFonts w:asciiTheme="minorHAnsi" w:hAnsiTheme="minorHAnsi" w:cstheme="minorBidi"/>
          <w:sz w:val="24"/>
          <w:szCs w:val="24"/>
        </w:rPr>
        <w:t>could</w:t>
      </w:r>
      <w:r w:rsidR="00314055" w:rsidRPr="003C5B13">
        <w:rPr>
          <w:rFonts w:asciiTheme="minorHAnsi" w:hAnsiTheme="minorHAnsi" w:cstheme="minorBidi"/>
          <w:sz w:val="24"/>
          <w:szCs w:val="24"/>
        </w:rPr>
        <w:t xml:space="preserve"> </w:t>
      </w:r>
      <w:r w:rsidRPr="003C5B13">
        <w:rPr>
          <w:rFonts w:asciiTheme="minorHAnsi" w:hAnsiTheme="minorHAnsi" w:cstheme="minorBidi"/>
          <w:sz w:val="24"/>
          <w:szCs w:val="24"/>
        </w:rPr>
        <w:t xml:space="preserve">be amended to account for sustainability of economically valuable species. </w:t>
      </w:r>
    </w:p>
    <w:p w14:paraId="2BA2739D" w14:textId="1E666D0C" w:rsidR="19C551B0" w:rsidRPr="003C5B13" w:rsidRDefault="19C551B0">
      <w:pPr>
        <w:rPr>
          <w:rFonts w:asciiTheme="minorHAnsi" w:hAnsiTheme="minorHAnsi" w:cstheme="minorBidi"/>
          <w:sz w:val="24"/>
          <w:szCs w:val="24"/>
        </w:rPr>
      </w:pPr>
      <w:r w:rsidRPr="003C5B13">
        <w:rPr>
          <w:rFonts w:asciiTheme="minorHAnsi" w:hAnsiTheme="minorHAnsi" w:cstheme="minorBidi"/>
          <w:b/>
          <w:bCs/>
          <w:sz w:val="24"/>
          <w:szCs w:val="24"/>
        </w:rPr>
        <w:t>Suggested inclusion 4</w:t>
      </w:r>
      <w:r w:rsidRPr="003C5B13">
        <w:rPr>
          <w:rFonts w:asciiTheme="minorHAnsi" w:hAnsiTheme="minorHAnsi" w:cstheme="minorBidi"/>
          <w:sz w:val="24"/>
          <w:szCs w:val="24"/>
        </w:rPr>
        <w:t xml:space="preserve"> - A chapter dedicated to matching water resource management with the environmental water requirements of rivers in Australia’s wet/dry tropics is critical to the final NWR 2020 report to address the </w:t>
      </w:r>
      <w:r w:rsidR="00FA1947">
        <w:rPr>
          <w:rFonts w:asciiTheme="minorHAnsi" w:hAnsiTheme="minorHAnsi" w:cstheme="minorBidi"/>
          <w:sz w:val="24"/>
          <w:szCs w:val="24"/>
        </w:rPr>
        <w:t>potential</w:t>
      </w:r>
      <w:r w:rsidRPr="003C5B13">
        <w:rPr>
          <w:rFonts w:asciiTheme="minorHAnsi" w:hAnsiTheme="minorHAnsi" w:cstheme="minorBidi"/>
          <w:sz w:val="24"/>
          <w:szCs w:val="24"/>
        </w:rPr>
        <w:t xml:space="preserve"> development of irrigated agriculture in Australia’s northern tropical river catchments over the next 20 years.   </w:t>
      </w:r>
    </w:p>
    <w:p w14:paraId="67E75229" w14:textId="46B19828" w:rsidR="07A22910" w:rsidRDefault="07A22910" w:rsidP="07A22910">
      <w:pPr>
        <w:spacing w:after="240"/>
        <w:ind w:left="720"/>
        <w:rPr>
          <w:rFonts w:asciiTheme="minorHAnsi" w:hAnsiTheme="minorHAnsi" w:cstheme="minorBidi"/>
          <w:sz w:val="24"/>
          <w:szCs w:val="24"/>
        </w:rPr>
      </w:pPr>
    </w:p>
    <w:p w14:paraId="5E397EDA" w14:textId="77777777" w:rsidR="00696BE1" w:rsidRDefault="00696BE1" w:rsidP="007F226D">
      <w:pPr>
        <w:spacing w:after="240"/>
        <w:rPr>
          <w:rFonts w:asciiTheme="minorHAnsi" w:hAnsiTheme="minorHAnsi" w:cstheme="minorHAnsi"/>
          <w:sz w:val="24"/>
          <w:szCs w:val="24"/>
        </w:rPr>
      </w:pPr>
    </w:p>
    <w:p w14:paraId="23DC5856" w14:textId="01E10BE5" w:rsidR="00726C83" w:rsidRPr="00726C83" w:rsidRDefault="007F226D" w:rsidP="00E945C7">
      <w:pPr>
        <w:pStyle w:val="Heading1"/>
        <w:numPr>
          <w:ilvl w:val="0"/>
          <w:numId w:val="23"/>
        </w:numPr>
      </w:pPr>
      <w:bookmarkStart w:id="1" w:name="_Toc67496374"/>
      <w:r>
        <w:lastRenderedPageBreak/>
        <w:t xml:space="preserve">Relevant </w:t>
      </w:r>
      <w:r w:rsidR="00726C83" w:rsidRPr="00726C83">
        <w:t>CSIRO Capability</w:t>
      </w:r>
      <w:bookmarkEnd w:id="1"/>
    </w:p>
    <w:p w14:paraId="467AB184" w14:textId="031DA1C4" w:rsidR="0048667A" w:rsidRPr="00E119CA" w:rsidRDefault="0048667A" w:rsidP="0048667A">
      <w:pPr>
        <w:spacing w:after="240"/>
        <w:rPr>
          <w:rFonts w:asciiTheme="minorHAnsi" w:hAnsiTheme="minorHAnsi" w:cstheme="minorHAnsi"/>
          <w:sz w:val="24"/>
          <w:szCs w:val="24"/>
        </w:rPr>
      </w:pPr>
      <w:r w:rsidRPr="00E119CA">
        <w:rPr>
          <w:rFonts w:asciiTheme="minorHAnsi" w:hAnsiTheme="minorHAnsi" w:cstheme="minorHAnsi"/>
          <w:sz w:val="24"/>
          <w:szCs w:val="24"/>
        </w:rPr>
        <w:t xml:space="preserve">CSIRO has delivered research that supports sustainable management of Australian </w:t>
      </w:r>
      <w:r w:rsidR="00086E45" w:rsidRPr="00E119CA">
        <w:rPr>
          <w:rFonts w:asciiTheme="minorHAnsi" w:hAnsiTheme="minorHAnsi" w:cstheme="minorHAnsi"/>
          <w:sz w:val="24"/>
          <w:szCs w:val="24"/>
        </w:rPr>
        <w:t>aquatic</w:t>
      </w:r>
      <w:r w:rsidRPr="00E119CA">
        <w:rPr>
          <w:rFonts w:asciiTheme="minorHAnsi" w:hAnsiTheme="minorHAnsi" w:cstheme="minorHAnsi"/>
          <w:sz w:val="24"/>
          <w:szCs w:val="24"/>
        </w:rPr>
        <w:t xml:space="preserve"> resources for many decades. Over the years this work has expanded to include work with regional partners, including </w:t>
      </w:r>
      <w:r w:rsidR="00DA469C">
        <w:rPr>
          <w:rFonts w:asciiTheme="minorHAnsi" w:hAnsiTheme="minorHAnsi" w:cstheme="minorHAnsi"/>
          <w:sz w:val="24"/>
          <w:szCs w:val="24"/>
        </w:rPr>
        <w:t>international</w:t>
      </w:r>
      <w:r w:rsidR="00DA469C" w:rsidRPr="00E119CA">
        <w:rPr>
          <w:rFonts w:asciiTheme="minorHAnsi" w:hAnsiTheme="minorHAnsi" w:cstheme="minorHAnsi"/>
          <w:sz w:val="24"/>
          <w:szCs w:val="24"/>
        </w:rPr>
        <w:t xml:space="preserve"> </w:t>
      </w:r>
      <w:r w:rsidRPr="00E119CA">
        <w:rPr>
          <w:rFonts w:asciiTheme="minorHAnsi" w:hAnsiTheme="minorHAnsi" w:cstheme="minorHAnsi"/>
          <w:sz w:val="24"/>
          <w:szCs w:val="24"/>
        </w:rPr>
        <w:t xml:space="preserve">governments and industry. </w:t>
      </w:r>
    </w:p>
    <w:p w14:paraId="6BF8F815" w14:textId="618E02C0" w:rsidR="0048667A" w:rsidRPr="00E119CA" w:rsidRDefault="00851BEB" w:rsidP="0048667A">
      <w:pPr>
        <w:spacing w:after="240"/>
        <w:rPr>
          <w:rFonts w:asciiTheme="minorHAnsi" w:hAnsiTheme="minorHAnsi" w:cstheme="minorHAnsi"/>
          <w:sz w:val="24"/>
          <w:szCs w:val="24"/>
        </w:rPr>
      </w:pPr>
      <w:r>
        <w:rPr>
          <w:rFonts w:asciiTheme="minorHAnsi" w:hAnsiTheme="minorHAnsi" w:cstheme="minorHAnsi"/>
          <w:sz w:val="24"/>
          <w:szCs w:val="24"/>
        </w:rPr>
        <w:t>Resource</w:t>
      </w:r>
      <w:r w:rsidRPr="00E119CA">
        <w:rPr>
          <w:rFonts w:asciiTheme="minorHAnsi" w:hAnsiTheme="minorHAnsi" w:cstheme="minorHAnsi"/>
          <w:sz w:val="24"/>
          <w:szCs w:val="24"/>
        </w:rPr>
        <w:t xml:space="preserve"> </w:t>
      </w:r>
      <w:r w:rsidR="0048667A" w:rsidRPr="00E119CA">
        <w:rPr>
          <w:rFonts w:asciiTheme="minorHAnsi" w:hAnsiTheme="minorHAnsi" w:cstheme="minorHAnsi"/>
          <w:sz w:val="24"/>
          <w:szCs w:val="24"/>
        </w:rPr>
        <w:t>management</w:t>
      </w:r>
      <w:r>
        <w:rPr>
          <w:rFonts w:asciiTheme="minorHAnsi" w:hAnsiTheme="minorHAnsi" w:cstheme="minorHAnsi"/>
          <w:sz w:val="24"/>
          <w:szCs w:val="24"/>
        </w:rPr>
        <w:t xml:space="preserve"> </w:t>
      </w:r>
      <w:r w:rsidR="0048667A" w:rsidRPr="00E119CA">
        <w:rPr>
          <w:rFonts w:asciiTheme="minorHAnsi" w:hAnsiTheme="minorHAnsi" w:cstheme="minorHAnsi"/>
          <w:sz w:val="24"/>
          <w:szCs w:val="24"/>
        </w:rPr>
        <w:t xml:space="preserve">is an inherently difficult and complex process that must balance competing ecological, economic and social objectives. Meeting these challenges effectively requires innovative new science that combines advanced observing and data management systems with analyses that integrate across biology, ecology, oceanography, social science and economics. A truly interdisciplinary approach is needed to study these complex socioecological systems and to provide effective solutions. CSIRO has this interdisciplinary capability and has applied it to deliver solutions across government, industry, and civil society. </w:t>
      </w:r>
    </w:p>
    <w:p w14:paraId="49522362" w14:textId="08A547F2" w:rsidR="0048667A" w:rsidRPr="00E119CA" w:rsidRDefault="0048667A" w:rsidP="07A22910">
      <w:pPr>
        <w:spacing w:after="240"/>
        <w:rPr>
          <w:rFonts w:asciiTheme="minorHAnsi" w:hAnsiTheme="minorHAnsi" w:cstheme="minorBidi"/>
          <w:sz w:val="24"/>
          <w:szCs w:val="24"/>
        </w:rPr>
      </w:pPr>
      <w:r w:rsidRPr="07A22910">
        <w:rPr>
          <w:rFonts w:asciiTheme="minorHAnsi" w:hAnsiTheme="minorHAnsi" w:cstheme="minorBidi"/>
          <w:sz w:val="24"/>
          <w:szCs w:val="24"/>
        </w:rPr>
        <w:t xml:space="preserve">Just as our capability is broad, so are the solutions we have delivered </w:t>
      </w:r>
      <w:r w:rsidR="00851BEB" w:rsidRPr="07A22910">
        <w:rPr>
          <w:rFonts w:asciiTheme="minorHAnsi" w:hAnsiTheme="minorHAnsi" w:cstheme="minorBidi"/>
          <w:sz w:val="24"/>
          <w:szCs w:val="24"/>
        </w:rPr>
        <w:t xml:space="preserve">for resource (e.g. fisheries) and natural system (e.g. </w:t>
      </w:r>
      <w:r w:rsidR="6F8A7C4D" w:rsidRPr="07A22910">
        <w:rPr>
          <w:rFonts w:asciiTheme="minorHAnsi" w:hAnsiTheme="minorHAnsi" w:cstheme="minorBidi"/>
          <w:sz w:val="24"/>
          <w:szCs w:val="24"/>
        </w:rPr>
        <w:t xml:space="preserve">estuarine and </w:t>
      </w:r>
      <w:r w:rsidR="00851BEB" w:rsidRPr="07A22910">
        <w:rPr>
          <w:rFonts w:asciiTheme="minorHAnsi" w:hAnsiTheme="minorHAnsi" w:cstheme="minorBidi"/>
          <w:sz w:val="24"/>
          <w:szCs w:val="24"/>
        </w:rPr>
        <w:t>coastal environments) management</w:t>
      </w:r>
      <w:r w:rsidRPr="07A22910">
        <w:rPr>
          <w:rFonts w:asciiTheme="minorHAnsi" w:hAnsiTheme="minorHAnsi" w:cstheme="minorBidi"/>
          <w:sz w:val="24"/>
          <w:szCs w:val="24"/>
        </w:rPr>
        <w:t xml:space="preserve">, which include: </w:t>
      </w:r>
    </w:p>
    <w:p w14:paraId="6F2433DA" w14:textId="34DB7D1D" w:rsidR="0048667A" w:rsidRPr="00E119CA" w:rsidRDefault="0048667A" w:rsidP="00E945C7">
      <w:pPr>
        <w:pStyle w:val="ListParagraph"/>
        <w:numPr>
          <w:ilvl w:val="0"/>
          <w:numId w:val="20"/>
        </w:numPr>
        <w:spacing w:after="240"/>
        <w:rPr>
          <w:rFonts w:asciiTheme="minorHAnsi" w:hAnsiTheme="minorHAnsi" w:cstheme="minorBidi"/>
        </w:rPr>
      </w:pPr>
      <w:r w:rsidRPr="4C8D2DF5">
        <w:rPr>
          <w:rFonts w:asciiTheme="minorHAnsi" w:hAnsiTheme="minorHAnsi" w:cstheme="minorBidi"/>
        </w:rPr>
        <w:t>Advanced observing methods from sensors to genomics to support information system</w:t>
      </w:r>
      <w:r w:rsidR="570DF079" w:rsidRPr="4C8D2DF5">
        <w:rPr>
          <w:rFonts w:asciiTheme="minorHAnsi" w:hAnsiTheme="minorHAnsi" w:cstheme="minorBidi"/>
        </w:rPr>
        <w:t>s</w:t>
      </w:r>
      <w:r w:rsidRPr="4C8D2DF5">
        <w:rPr>
          <w:rFonts w:asciiTheme="minorHAnsi" w:hAnsiTheme="minorHAnsi" w:cstheme="minorBidi"/>
        </w:rPr>
        <w:t xml:space="preserve"> necessary to detect change and to meet priorities such as </w:t>
      </w:r>
      <w:r w:rsidR="7DD50785" w:rsidRPr="4C8D2DF5">
        <w:rPr>
          <w:rFonts w:asciiTheme="minorHAnsi" w:hAnsiTheme="minorHAnsi" w:cstheme="minorBidi"/>
        </w:rPr>
        <w:t>S</w:t>
      </w:r>
      <w:r w:rsidRPr="4C8D2DF5">
        <w:rPr>
          <w:rFonts w:asciiTheme="minorHAnsi" w:hAnsiTheme="minorHAnsi" w:cstheme="minorBidi"/>
        </w:rPr>
        <w:t>tate-of-the-</w:t>
      </w:r>
      <w:r w:rsidR="0EB40BA1" w:rsidRPr="4C8D2DF5">
        <w:rPr>
          <w:rFonts w:asciiTheme="minorHAnsi" w:hAnsiTheme="minorHAnsi" w:cstheme="minorBidi"/>
        </w:rPr>
        <w:t>E</w:t>
      </w:r>
      <w:r w:rsidRPr="4C8D2DF5">
        <w:rPr>
          <w:rFonts w:asciiTheme="minorHAnsi" w:hAnsiTheme="minorHAnsi" w:cstheme="minorBidi"/>
        </w:rPr>
        <w:t xml:space="preserve">nvironment reporting </w:t>
      </w:r>
    </w:p>
    <w:p w14:paraId="5AE61673" w14:textId="410873A1" w:rsidR="0048667A" w:rsidRPr="00E119CA" w:rsidRDefault="415E4F59" w:rsidP="00E945C7">
      <w:pPr>
        <w:pStyle w:val="ListParagraph"/>
        <w:numPr>
          <w:ilvl w:val="0"/>
          <w:numId w:val="20"/>
        </w:numPr>
        <w:spacing w:after="240"/>
        <w:rPr>
          <w:rFonts w:asciiTheme="minorHAnsi" w:hAnsiTheme="minorHAnsi" w:cstheme="minorBidi"/>
        </w:rPr>
      </w:pPr>
      <w:r w:rsidRPr="4C8D2DF5">
        <w:rPr>
          <w:rFonts w:asciiTheme="minorHAnsi" w:hAnsiTheme="minorHAnsi" w:cstheme="minorBidi"/>
        </w:rPr>
        <w:t>A</w:t>
      </w:r>
      <w:r w:rsidR="0048667A" w:rsidRPr="4C8D2DF5">
        <w:rPr>
          <w:rFonts w:asciiTheme="minorHAnsi" w:hAnsiTheme="minorHAnsi" w:cstheme="minorBidi"/>
        </w:rPr>
        <w:t>ssessment</w:t>
      </w:r>
      <w:r w:rsidR="0024BF1D" w:rsidRPr="4C8D2DF5">
        <w:rPr>
          <w:rFonts w:asciiTheme="minorHAnsi" w:hAnsiTheme="minorHAnsi" w:cstheme="minorBidi"/>
        </w:rPr>
        <w:t>s</w:t>
      </w:r>
      <w:r w:rsidR="0048667A" w:rsidRPr="4C8D2DF5">
        <w:rPr>
          <w:rFonts w:asciiTheme="minorHAnsi" w:hAnsiTheme="minorHAnsi" w:cstheme="minorBidi"/>
        </w:rPr>
        <w:t xml:space="preserve"> </w:t>
      </w:r>
      <w:r w:rsidR="463A1A39" w:rsidRPr="4C8D2DF5">
        <w:rPr>
          <w:rFonts w:asciiTheme="minorHAnsi" w:hAnsiTheme="minorHAnsi" w:cstheme="minorBidi"/>
        </w:rPr>
        <w:t>of the impacts</w:t>
      </w:r>
      <w:r w:rsidR="0048667A" w:rsidRPr="38CD9BDA">
        <w:rPr>
          <w:rFonts w:asciiTheme="minorHAnsi" w:hAnsiTheme="minorHAnsi" w:cstheme="minorBidi"/>
        </w:rPr>
        <w:t xml:space="preserve"> of human activities on biodiversity</w:t>
      </w:r>
      <w:r w:rsidR="0B00E256" w:rsidRPr="38CD9BDA">
        <w:rPr>
          <w:rFonts w:asciiTheme="minorHAnsi" w:hAnsiTheme="minorHAnsi" w:cstheme="minorBidi"/>
        </w:rPr>
        <w:t>, ecosystem function</w:t>
      </w:r>
      <w:r w:rsidR="0048667A" w:rsidRPr="38CD9BDA">
        <w:rPr>
          <w:rFonts w:asciiTheme="minorHAnsi" w:hAnsiTheme="minorHAnsi" w:cstheme="minorBidi"/>
        </w:rPr>
        <w:t xml:space="preserve"> and ecosystem services </w:t>
      </w:r>
      <w:r w:rsidR="4105FD4A" w:rsidRPr="38CD9BDA">
        <w:rPr>
          <w:rFonts w:asciiTheme="minorHAnsi" w:hAnsiTheme="minorHAnsi" w:cstheme="minorBidi"/>
        </w:rPr>
        <w:t xml:space="preserve">in </w:t>
      </w:r>
      <w:r w:rsidR="36606312" w:rsidRPr="4C8D2DF5">
        <w:rPr>
          <w:rFonts w:asciiTheme="minorHAnsi" w:hAnsiTheme="minorHAnsi" w:cstheme="minorBidi"/>
        </w:rPr>
        <w:t xml:space="preserve">catchments, </w:t>
      </w:r>
      <w:r w:rsidR="4105FD4A" w:rsidRPr="38CD9BDA">
        <w:rPr>
          <w:rFonts w:asciiTheme="minorHAnsi" w:hAnsiTheme="minorHAnsi" w:cstheme="minorBidi"/>
        </w:rPr>
        <w:t>estuarine and coastal systems</w:t>
      </w:r>
    </w:p>
    <w:p w14:paraId="47F8151D" w14:textId="0F473884" w:rsidR="0048667A" w:rsidRPr="00E119CA" w:rsidRDefault="0048667A" w:rsidP="00E945C7">
      <w:pPr>
        <w:pStyle w:val="ListParagraph"/>
        <w:numPr>
          <w:ilvl w:val="0"/>
          <w:numId w:val="20"/>
        </w:numPr>
        <w:spacing w:after="240"/>
        <w:rPr>
          <w:rFonts w:asciiTheme="minorHAnsi" w:hAnsiTheme="minorHAnsi" w:cstheme="minorBidi"/>
        </w:rPr>
      </w:pPr>
      <w:r w:rsidRPr="4C8D2DF5">
        <w:rPr>
          <w:rFonts w:asciiTheme="minorHAnsi" w:hAnsiTheme="minorHAnsi" w:cstheme="minorBidi"/>
        </w:rPr>
        <w:t xml:space="preserve">Impact assessment of climate change and extremes on </w:t>
      </w:r>
      <w:r w:rsidR="21FBD051" w:rsidRPr="4C8D2DF5">
        <w:rPr>
          <w:rFonts w:asciiTheme="minorHAnsi" w:hAnsiTheme="minorHAnsi" w:cstheme="minorBidi"/>
        </w:rPr>
        <w:t>environmental system</w:t>
      </w:r>
      <w:r w:rsidRPr="4C8D2DF5">
        <w:rPr>
          <w:rFonts w:asciiTheme="minorHAnsi" w:hAnsiTheme="minorHAnsi" w:cstheme="minorBidi"/>
        </w:rPr>
        <w:t xml:space="preserve">s </w:t>
      </w:r>
    </w:p>
    <w:p w14:paraId="134EE37D" w14:textId="0CA5AA8F" w:rsidR="0048667A" w:rsidRPr="00E119CA" w:rsidRDefault="0048667A" w:rsidP="00E945C7">
      <w:pPr>
        <w:pStyle w:val="ListParagraph"/>
        <w:numPr>
          <w:ilvl w:val="0"/>
          <w:numId w:val="20"/>
        </w:numPr>
        <w:spacing w:after="240"/>
        <w:rPr>
          <w:rFonts w:asciiTheme="minorHAnsi" w:hAnsiTheme="minorHAnsi" w:cstheme="minorBidi"/>
        </w:rPr>
      </w:pPr>
      <w:r w:rsidRPr="07A22910">
        <w:rPr>
          <w:rFonts w:asciiTheme="minorHAnsi" w:hAnsiTheme="minorHAnsi" w:cstheme="minorBidi"/>
        </w:rPr>
        <w:t xml:space="preserve">Coupled socio-economic and biophysical models that explicitly account for human behaviour </w:t>
      </w:r>
      <w:r w:rsidR="58706125" w:rsidRPr="07A22910">
        <w:rPr>
          <w:rFonts w:asciiTheme="minorHAnsi" w:hAnsiTheme="minorHAnsi" w:cstheme="minorBidi"/>
        </w:rPr>
        <w:t>and activities</w:t>
      </w:r>
    </w:p>
    <w:p w14:paraId="5479DFBE" w14:textId="51DA0259" w:rsidR="0048667A" w:rsidRPr="00E119CA" w:rsidRDefault="0048667A" w:rsidP="00E945C7">
      <w:pPr>
        <w:pStyle w:val="ListParagraph"/>
        <w:numPr>
          <w:ilvl w:val="0"/>
          <w:numId w:val="20"/>
        </w:numPr>
        <w:spacing w:after="240"/>
        <w:rPr>
          <w:rFonts w:asciiTheme="minorHAnsi" w:hAnsiTheme="minorHAnsi" w:cstheme="minorHAnsi"/>
        </w:rPr>
      </w:pPr>
      <w:r w:rsidRPr="00E119CA">
        <w:rPr>
          <w:rFonts w:asciiTheme="minorHAnsi" w:hAnsiTheme="minorHAnsi" w:cstheme="minorHAnsi"/>
        </w:rPr>
        <w:t xml:space="preserve">Whole-of-system assessments that integrate social, economic and ecological objectives that are robust to uncertainty and which address trade-offs between competing uses. </w:t>
      </w:r>
    </w:p>
    <w:p w14:paraId="56F20A4D" w14:textId="77EC093A" w:rsidR="0048667A" w:rsidRPr="00E119CA" w:rsidRDefault="0048667A" w:rsidP="0048667A">
      <w:pPr>
        <w:spacing w:after="240"/>
        <w:rPr>
          <w:sz w:val="24"/>
          <w:szCs w:val="24"/>
        </w:rPr>
      </w:pPr>
      <w:r w:rsidRPr="00E119CA">
        <w:rPr>
          <w:rFonts w:asciiTheme="minorHAnsi" w:hAnsiTheme="minorHAnsi" w:cstheme="minorHAnsi"/>
          <w:sz w:val="24"/>
          <w:szCs w:val="24"/>
        </w:rPr>
        <w:t xml:space="preserve">Our capability and experience position CSIRO as a leading research organisation in the areas of </w:t>
      </w:r>
      <w:r w:rsidR="00851BEB">
        <w:rPr>
          <w:rFonts w:asciiTheme="minorHAnsi" w:hAnsiTheme="minorHAnsi" w:cstheme="minorHAnsi"/>
          <w:sz w:val="24"/>
          <w:szCs w:val="24"/>
        </w:rPr>
        <w:t xml:space="preserve">ecological and </w:t>
      </w:r>
      <w:r w:rsidRPr="00E119CA">
        <w:rPr>
          <w:rFonts w:asciiTheme="minorHAnsi" w:hAnsiTheme="minorHAnsi" w:cstheme="minorHAnsi"/>
          <w:sz w:val="24"/>
          <w:szCs w:val="24"/>
        </w:rPr>
        <w:t xml:space="preserve">socioeconomic impacts of </w:t>
      </w:r>
      <w:r w:rsidR="00851BEB">
        <w:rPr>
          <w:rFonts w:asciiTheme="minorHAnsi" w:hAnsiTheme="minorHAnsi" w:cstheme="minorHAnsi"/>
          <w:sz w:val="24"/>
          <w:szCs w:val="24"/>
        </w:rPr>
        <w:t>natural resource management</w:t>
      </w:r>
      <w:r w:rsidR="00851BEB" w:rsidRPr="00E119CA">
        <w:rPr>
          <w:rFonts w:asciiTheme="minorHAnsi" w:hAnsiTheme="minorHAnsi" w:cstheme="minorHAnsi"/>
          <w:sz w:val="24"/>
          <w:szCs w:val="24"/>
        </w:rPr>
        <w:t xml:space="preserve"> </w:t>
      </w:r>
      <w:r w:rsidRPr="00E119CA">
        <w:rPr>
          <w:rFonts w:asciiTheme="minorHAnsi" w:hAnsiTheme="minorHAnsi" w:cstheme="minorHAnsi"/>
          <w:sz w:val="24"/>
          <w:szCs w:val="24"/>
        </w:rPr>
        <w:t xml:space="preserve">along with </w:t>
      </w:r>
      <w:r w:rsidR="00851BEB">
        <w:rPr>
          <w:rFonts w:asciiTheme="minorHAnsi" w:hAnsiTheme="minorHAnsi" w:cstheme="minorHAnsi"/>
          <w:sz w:val="24"/>
          <w:szCs w:val="24"/>
        </w:rPr>
        <w:t xml:space="preserve">demonstrated delivery of </w:t>
      </w:r>
      <w:r w:rsidRPr="00E119CA">
        <w:rPr>
          <w:rFonts w:asciiTheme="minorHAnsi" w:hAnsiTheme="minorHAnsi" w:cstheme="minorHAnsi"/>
          <w:sz w:val="24"/>
          <w:szCs w:val="24"/>
        </w:rPr>
        <w:t>management strategies and tools.</w:t>
      </w:r>
      <w:r w:rsidRPr="00E119CA">
        <w:rPr>
          <w:sz w:val="24"/>
          <w:szCs w:val="24"/>
        </w:rPr>
        <w:t xml:space="preserve"> </w:t>
      </w:r>
    </w:p>
    <w:p w14:paraId="39F10FB9" w14:textId="33612D43" w:rsidR="00FA187F" w:rsidRDefault="00FA187F" w:rsidP="00CC565F">
      <w:pPr>
        <w:spacing w:after="240"/>
      </w:pPr>
      <w:r>
        <w:br w:type="page"/>
      </w:r>
    </w:p>
    <w:p w14:paraId="7064A64C" w14:textId="44D09AA2" w:rsidR="00086E45" w:rsidRPr="00324496" w:rsidRDefault="007B1345" w:rsidP="00E945C7">
      <w:pPr>
        <w:pStyle w:val="Heading1"/>
        <w:numPr>
          <w:ilvl w:val="0"/>
          <w:numId w:val="15"/>
        </w:numPr>
      </w:pPr>
      <w:bookmarkStart w:id="2" w:name="_Toc67496375"/>
      <w:r>
        <w:lastRenderedPageBreak/>
        <w:t>Background Information</w:t>
      </w:r>
      <w:bookmarkEnd w:id="2"/>
    </w:p>
    <w:p w14:paraId="604CACB7" w14:textId="50C6BF4A" w:rsidR="00086E45" w:rsidRPr="00324496" w:rsidRDefault="00851BEB" w:rsidP="00086E45">
      <w:pPr>
        <w:pStyle w:val="Heading2"/>
        <w:ind w:left="1134" w:hanging="1134"/>
      </w:pPr>
      <w:bookmarkStart w:id="3" w:name="_Toc67399279"/>
      <w:bookmarkStart w:id="4" w:name="_Toc67399357"/>
      <w:bookmarkStart w:id="5" w:name="_Toc67399401"/>
      <w:bookmarkStart w:id="6" w:name="_Toc67491711"/>
      <w:bookmarkStart w:id="7" w:name="_Toc67491764"/>
      <w:bookmarkStart w:id="8" w:name="_Toc67496376"/>
      <w:r>
        <w:t xml:space="preserve">Potential for </w:t>
      </w:r>
      <w:r w:rsidR="00086E45">
        <w:t>irrigated agriculture within Australia’s tropical river catchments</w:t>
      </w:r>
      <w:bookmarkEnd w:id="3"/>
      <w:bookmarkEnd w:id="4"/>
      <w:bookmarkEnd w:id="5"/>
      <w:bookmarkEnd w:id="6"/>
      <w:bookmarkEnd w:id="7"/>
      <w:bookmarkEnd w:id="8"/>
    </w:p>
    <w:p w14:paraId="146A0C4E" w14:textId="60A48CC7" w:rsidR="00C315C2" w:rsidRDefault="004628BB" w:rsidP="00C62452">
      <w:pPr>
        <w:pStyle w:val="Heading3"/>
      </w:pPr>
      <w:r>
        <w:t>Implications for estuaries and coastal regions</w:t>
      </w:r>
    </w:p>
    <w:p w14:paraId="788AD31A" w14:textId="5A72383B" w:rsidR="00086E45" w:rsidRPr="0071730A" w:rsidRDefault="00086E45" w:rsidP="00086E45">
      <w:pPr>
        <w:spacing w:after="240"/>
        <w:rPr>
          <w:rFonts w:asciiTheme="minorHAnsi" w:hAnsiTheme="minorHAnsi" w:cstheme="minorBidi"/>
          <w:sz w:val="24"/>
          <w:szCs w:val="24"/>
        </w:rPr>
      </w:pPr>
      <w:r w:rsidRPr="4C8D2DF5">
        <w:rPr>
          <w:rFonts w:asciiTheme="minorHAnsi" w:hAnsiTheme="minorHAnsi" w:cstheme="minorBidi"/>
          <w:sz w:val="24"/>
          <w:szCs w:val="24"/>
        </w:rPr>
        <w:t xml:space="preserve">Over the last decade, Commonwealth and State Governments have </w:t>
      </w:r>
      <w:r w:rsidR="328D0B58" w:rsidRPr="4C8D2DF5">
        <w:rPr>
          <w:rFonts w:asciiTheme="minorHAnsi" w:hAnsiTheme="minorHAnsi" w:cstheme="minorBidi"/>
          <w:sz w:val="24"/>
          <w:szCs w:val="24"/>
        </w:rPr>
        <w:t>developed</w:t>
      </w:r>
      <w:r w:rsidRPr="4C8D2DF5">
        <w:rPr>
          <w:rFonts w:asciiTheme="minorHAnsi" w:hAnsiTheme="minorHAnsi" w:cstheme="minorBidi"/>
          <w:sz w:val="24"/>
          <w:szCs w:val="24"/>
        </w:rPr>
        <w:t xml:space="preserve"> plans and </w:t>
      </w:r>
      <w:r w:rsidR="014E42EA" w:rsidRPr="4C8D2DF5">
        <w:rPr>
          <w:rFonts w:asciiTheme="minorHAnsi" w:hAnsiTheme="minorHAnsi" w:cstheme="minorBidi"/>
          <w:sz w:val="24"/>
          <w:szCs w:val="24"/>
        </w:rPr>
        <w:t>undertaken</w:t>
      </w:r>
      <w:r w:rsidRPr="4C8D2DF5">
        <w:rPr>
          <w:rFonts w:asciiTheme="minorHAnsi" w:hAnsiTheme="minorHAnsi" w:cstheme="minorBidi"/>
          <w:sz w:val="24"/>
          <w:szCs w:val="24"/>
        </w:rPr>
        <w:t xml:space="preserve"> research to develop the water resources of Australia’s large-catchment northern rivers.  </w:t>
      </w:r>
      <w:r w:rsidR="00851BEB" w:rsidRPr="4C8D2DF5">
        <w:rPr>
          <w:rFonts w:asciiTheme="minorHAnsi" w:hAnsiTheme="minorHAnsi" w:cstheme="minorBidi"/>
          <w:sz w:val="24"/>
          <w:szCs w:val="24"/>
        </w:rPr>
        <w:t>T</w:t>
      </w:r>
      <w:r w:rsidRPr="4C8D2DF5">
        <w:rPr>
          <w:rFonts w:asciiTheme="minorHAnsi" w:hAnsiTheme="minorHAnsi" w:cstheme="minorBidi"/>
          <w:sz w:val="24"/>
          <w:szCs w:val="24"/>
        </w:rPr>
        <w:t>hree major research projects</w:t>
      </w:r>
      <w:r w:rsidR="00851BEB" w:rsidRPr="4C8D2DF5">
        <w:rPr>
          <w:rFonts w:asciiTheme="minorHAnsi" w:hAnsiTheme="minorHAnsi" w:cstheme="minorBidi"/>
          <w:sz w:val="24"/>
          <w:szCs w:val="24"/>
        </w:rPr>
        <w:t>, representing a multi-</w:t>
      </w:r>
      <w:proofErr w:type="gramStart"/>
      <w:r w:rsidR="00851BEB" w:rsidRPr="4C8D2DF5">
        <w:rPr>
          <w:rFonts w:asciiTheme="minorHAnsi" w:hAnsiTheme="minorHAnsi" w:cstheme="minorBidi"/>
          <w:sz w:val="24"/>
          <w:szCs w:val="24"/>
        </w:rPr>
        <w:t>million dollar</w:t>
      </w:r>
      <w:proofErr w:type="gramEnd"/>
      <w:r w:rsidR="00851BEB" w:rsidRPr="4C8D2DF5">
        <w:rPr>
          <w:rFonts w:asciiTheme="minorHAnsi" w:hAnsiTheme="minorHAnsi" w:cstheme="minorBidi"/>
          <w:sz w:val="24"/>
          <w:szCs w:val="24"/>
        </w:rPr>
        <w:t xml:space="preserve"> research investment,</w:t>
      </w:r>
      <w:r w:rsidRPr="4C8D2DF5">
        <w:rPr>
          <w:rFonts w:asciiTheme="minorHAnsi" w:hAnsiTheme="minorHAnsi" w:cstheme="minorBidi"/>
          <w:sz w:val="24"/>
          <w:szCs w:val="24"/>
        </w:rPr>
        <w:t xml:space="preserve"> have identified the potential water resource assets and catchment characteristics and ecology of rivers basins</w:t>
      </w:r>
      <w:r w:rsidR="00FA1947">
        <w:rPr>
          <w:rFonts w:asciiTheme="minorHAnsi" w:hAnsiTheme="minorHAnsi" w:cstheme="minorBidi"/>
          <w:sz w:val="24"/>
          <w:szCs w:val="24"/>
        </w:rPr>
        <w:t>.</w:t>
      </w:r>
      <w:r w:rsidRPr="4C8D2DF5">
        <w:rPr>
          <w:rFonts w:asciiTheme="minorHAnsi" w:hAnsiTheme="minorHAnsi" w:cstheme="minorBidi"/>
          <w:sz w:val="24"/>
          <w:szCs w:val="24"/>
        </w:rPr>
        <w:t xml:space="preserve"> </w:t>
      </w:r>
    </w:p>
    <w:p w14:paraId="00D1787F" w14:textId="24182CBE" w:rsidR="00086E45" w:rsidRPr="0095570C" w:rsidRDefault="00086E45" w:rsidP="00086E45">
      <w:pPr>
        <w:spacing w:after="240"/>
        <w:rPr>
          <w:rFonts w:asciiTheme="minorHAnsi" w:hAnsiTheme="minorHAnsi" w:cstheme="minorBidi"/>
          <w:sz w:val="24"/>
          <w:szCs w:val="24"/>
        </w:rPr>
      </w:pPr>
      <w:r w:rsidRPr="4C8D2DF5">
        <w:rPr>
          <w:rFonts w:asciiTheme="minorHAnsi" w:hAnsiTheme="minorHAnsi" w:cstheme="minorBidi"/>
          <w:sz w:val="24"/>
          <w:szCs w:val="24"/>
        </w:rPr>
        <w:t>The Flinders and Gilbert Agricultural Resource Assessment (FGARA, Petheram</w:t>
      </w:r>
      <w:r w:rsidR="00747533" w:rsidRPr="4C8D2DF5">
        <w:rPr>
          <w:rFonts w:asciiTheme="minorHAnsi" w:hAnsiTheme="minorHAnsi" w:cstheme="minorBidi"/>
          <w:sz w:val="24"/>
          <w:szCs w:val="24"/>
        </w:rPr>
        <w:t xml:space="preserve"> et al.</w:t>
      </w:r>
      <w:r w:rsidRPr="4C8D2DF5">
        <w:rPr>
          <w:rFonts w:asciiTheme="minorHAnsi" w:hAnsiTheme="minorHAnsi" w:cstheme="minorBidi"/>
          <w:sz w:val="24"/>
          <w:szCs w:val="24"/>
        </w:rPr>
        <w:t xml:space="preserve"> 2013 </w:t>
      </w:r>
      <w:proofErr w:type="spellStart"/>
      <w:r w:rsidRPr="4C8D2DF5">
        <w:rPr>
          <w:rFonts w:asciiTheme="minorHAnsi" w:hAnsiTheme="minorHAnsi" w:cstheme="minorBidi"/>
          <w:sz w:val="24"/>
          <w:szCs w:val="24"/>
        </w:rPr>
        <w:t>a.b</w:t>
      </w:r>
      <w:proofErr w:type="spellEnd"/>
      <w:r w:rsidRPr="4C8D2DF5">
        <w:rPr>
          <w:rFonts w:asciiTheme="minorHAnsi" w:hAnsiTheme="minorHAnsi" w:cstheme="minorBidi"/>
          <w:sz w:val="24"/>
          <w:szCs w:val="24"/>
        </w:rPr>
        <w:t>); the Northern Australia Water Resource assessment (NAWRA, Petheram</w:t>
      </w:r>
      <w:r w:rsidR="00747533" w:rsidRPr="4C8D2DF5">
        <w:rPr>
          <w:rFonts w:asciiTheme="minorHAnsi" w:hAnsiTheme="minorHAnsi" w:cstheme="minorBidi"/>
          <w:sz w:val="24"/>
          <w:szCs w:val="24"/>
        </w:rPr>
        <w:t xml:space="preserve"> et al.</w:t>
      </w:r>
      <w:r w:rsidRPr="4C8D2DF5">
        <w:rPr>
          <w:rFonts w:asciiTheme="minorHAnsi" w:hAnsiTheme="minorHAnsi" w:cstheme="minorBidi"/>
          <w:sz w:val="24"/>
          <w:szCs w:val="24"/>
        </w:rPr>
        <w:t xml:space="preserve"> 2018 </w:t>
      </w:r>
      <w:proofErr w:type="spellStart"/>
      <w:r w:rsidRPr="4C8D2DF5">
        <w:rPr>
          <w:rFonts w:asciiTheme="minorHAnsi" w:hAnsiTheme="minorHAnsi" w:cstheme="minorBidi"/>
          <w:sz w:val="24"/>
          <w:szCs w:val="24"/>
        </w:rPr>
        <w:t>a.b,c</w:t>
      </w:r>
      <w:proofErr w:type="spellEnd"/>
      <w:r w:rsidRPr="4C8D2DF5">
        <w:rPr>
          <w:rFonts w:asciiTheme="minorHAnsi" w:hAnsiTheme="minorHAnsi" w:cstheme="minorBidi"/>
          <w:sz w:val="24"/>
          <w:szCs w:val="24"/>
        </w:rPr>
        <w:t>) and the Roper River Water Resource Assessment (</w:t>
      </w:r>
      <w:proofErr w:type="spellStart"/>
      <w:r w:rsidRPr="4C8D2DF5">
        <w:rPr>
          <w:rFonts w:asciiTheme="minorHAnsi" w:hAnsiTheme="minorHAnsi" w:cstheme="minorBidi"/>
          <w:sz w:val="24"/>
          <w:szCs w:val="24"/>
        </w:rPr>
        <w:t>RoWRA</w:t>
      </w:r>
      <w:proofErr w:type="spellEnd"/>
      <w:r w:rsidR="00C91599" w:rsidRPr="4C8D2DF5">
        <w:rPr>
          <w:rFonts w:asciiTheme="minorHAnsi" w:hAnsiTheme="minorHAnsi" w:cstheme="minorBidi"/>
          <w:sz w:val="24"/>
          <w:szCs w:val="24"/>
        </w:rPr>
        <w:t>,</w:t>
      </w:r>
      <w:r w:rsidRPr="4C8D2DF5">
        <w:rPr>
          <w:rFonts w:asciiTheme="minorHAnsi" w:hAnsiTheme="minorHAnsi" w:cstheme="minorBidi"/>
          <w:sz w:val="24"/>
          <w:szCs w:val="24"/>
        </w:rPr>
        <w:t xml:space="preserve"> CSIRO 2019, current) have provided comprehensive water and land assessments of nine catchments in the wet-dry tropics of northern Australia. </w:t>
      </w:r>
      <w:r w:rsidR="00B62D15" w:rsidRPr="4C8D2DF5">
        <w:rPr>
          <w:rFonts w:asciiTheme="minorHAnsi" w:hAnsiTheme="minorHAnsi" w:cstheme="minorBidi"/>
          <w:sz w:val="24"/>
          <w:szCs w:val="24"/>
        </w:rPr>
        <w:t xml:space="preserve"> Together with water resource assessment, the National Environmental Science </w:t>
      </w:r>
      <w:r w:rsidR="00FA1947">
        <w:rPr>
          <w:rFonts w:asciiTheme="minorHAnsi" w:hAnsiTheme="minorHAnsi" w:cstheme="minorBidi"/>
          <w:sz w:val="24"/>
          <w:szCs w:val="24"/>
        </w:rPr>
        <w:t>Program</w:t>
      </w:r>
      <w:r w:rsidR="00FA1947" w:rsidRPr="4C8D2DF5">
        <w:rPr>
          <w:rFonts w:asciiTheme="minorHAnsi" w:hAnsiTheme="minorHAnsi" w:cstheme="minorBidi"/>
          <w:sz w:val="24"/>
          <w:szCs w:val="24"/>
        </w:rPr>
        <w:t xml:space="preserve"> </w:t>
      </w:r>
      <w:r w:rsidR="00B62D15" w:rsidRPr="4C8D2DF5">
        <w:rPr>
          <w:rFonts w:asciiTheme="minorHAnsi" w:hAnsiTheme="minorHAnsi" w:cstheme="minorBidi"/>
          <w:sz w:val="24"/>
          <w:szCs w:val="24"/>
        </w:rPr>
        <w:t>(NESP) has undertaken projects to investigate the impact of water resource development on tropical ecosystems.  NESP project 1.4 - ‘</w:t>
      </w:r>
      <w:r w:rsidR="00B62D15" w:rsidRPr="000C2775">
        <w:rPr>
          <w:rFonts w:cs="Arial"/>
          <w:sz w:val="24"/>
          <w:szCs w:val="24"/>
          <w:lang w:val="en-US"/>
        </w:rPr>
        <w:t>Links between Gulf Rivers and Coastal Productivity’</w:t>
      </w:r>
      <w:r w:rsidR="00B62D15" w:rsidRPr="4C8D2DF5">
        <w:rPr>
          <w:rFonts w:asciiTheme="minorHAnsi" w:hAnsiTheme="minorHAnsi" w:cstheme="minorBidi"/>
          <w:sz w:val="24"/>
          <w:szCs w:val="24"/>
        </w:rPr>
        <w:t xml:space="preserve"> (Burford et al. 2020) - collected empirical data on estuarine productivity and </w:t>
      </w:r>
      <w:r w:rsidR="00094647" w:rsidRPr="4C8D2DF5">
        <w:rPr>
          <w:rFonts w:asciiTheme="minorHAnsi" w:hAnsiTheme="minorHAnsi" w:cstheme="minorBidi"/>
          <w:sz w:val="24"/>
          <w:szCs w:val="24"/>
        </w:rPr>
        <w:t xml:space="preserve">statistical </w:t>
      </w:r>
      <w:r w:rsidR="00B62D15" w:rsidRPr="4C8D2DF5">
        <w:rPr>
          <w:rFonts w:asciiTheme="minorHAnsi" w:hAnsiTheme="minorHAnsi" w:cstheme="minorBidi"/>
          <w:sz w:val="24"/>
          <w:szCs w:val="24"/>
        </w:rPr>
        <w:t>modell</w:t>
      </w:r>
      <w:r w:rsidR="000C2775" w:rsidRPr="4C8D2DF5">
        <w:rPr>
          <w:rFonts w:asciiTheme="minorHAnsi" w:hAnsiTheme="minorHAnsi" w:cstheme="minorBidi"/>
          <w:sz w:val="24"/>
          <w:szCs w:val="24"/>
        </w:rPr>
        <w:t>ing of</w:t>
      </w:r>
      <w:r w:rsidR="00B62D15" w:rsidRPr="4C8D2DF5">
        <w:rPr>
          <w:rFonts w:asciiTheme="minorHAnsi" w:hAnsiTheme="minorHAnsi" w:cstheme="minorBidi"/>
          <w:sz w:val="24"/>
          <w:szCs w:val="24"/>
        </w:rPr>
        <w:t xml:space="preserve"> past catch data with </w:t>
      </w:r>
      <w:proofErr w:type="spellStart"/>
      <w:r w:rsidR="00B62D15" w:rsidRPr="4C8D2DF5">
        <w:rPr>
          <w:rFonts w:asciiTheme="minorHAnsi" w:hAnsiTheme="minorHAnsi" w:cstheme="minorBidi"/>
          <w:sz w:val="24"/>
          <w:szCs w:val="24"/>
        </w:rPr>
        <w:t>streamflows</w:t>
      </w:r>
      <w:proofErr w:type="spellEnd"/>
      <w:r w:rsidR="00B62D15" w:rsidRPr="4C8D2DF5">
        <w:rPr>
          <w:rFonts w:asciiTheme="minorHAnsi" w:hAnsiTheme="minorHAnsi" w:cstheme="minorBidi"/>
          <w:sz w:val="24"/>
          <w:szCs w:val="24"/>
        </w:rPr>
        <w:t xml:space="preserve"> to explore the effects of modification of natural flows due to water extraction on Northern Prawn Fishery catch (</w:t>
      </w:r>
      <w:proofErr w:type="spellStart"/>
      <w:r w:rsidR="00B62D15" w:rsidRPr="4C8D2DF5">
        <w:rPr>
          <w:rFonts w:asciiTheme="minorHAnsi" w:hAnsiTheme="minorHAnsi" w:cstheme="minorBidi"/>
          <w:sz w:val="24"/>
          <w:szCs w:val="24"/>
        </w:rPr>
        <w:t>Broadley</w:t>
      </w:r>
      <w:proofErr w:type="spellEnd"/>
      <w:r w:rsidR="00B62D15" w:rsidRPr="4C8D2DF5">
        <w:rPr>
          <w:rFonts w:asciiTheme="minorHAnsi" w:hAnsiTheme="minorHAnsi" w:cstheme="minorBidi"/>
          <w:sz w:val="24"/>
          <w:szCs w:val="24"/>
        </w:rPr>
        <w:t xml:space="preserve"> et al. 2020).  </w:t>
      </w:r>
      <w:r w:rsidRPr="4C8D2DF5">
        <w:rPr>
          <w:rFonts w:asciiTheme="minorHAnsi" w:hAnsiTheme="minorHAnsi" w:cstheme="minorBidi"/>
          <w:sz w:val="24"/>
          <w:szCs w:val="24"/>
        </w:rPr>
        <w:t xml:space="preserve">In addition, a current </w:t>
      </w:r>
      <w:r w:rsidR="00FA1947" w:rsidRPr="00D139BC">
        <w:rPr>
          <w:rFonts w:asciiTheme="minorHAnsi" w:hAnsiTheme="minorHAnsi" w:cstheme="minorBidi"/>
          <w:sz w:val="24"/>
          <w:szCs w:val="24"/>
        </w:rPr>
        <w:t>Fisheries Research and Development Corporation</w:t>
      </w:r>
      <w:r w:rsidR="00FA1947" w:rsidRPr="4C8D2DF5" w:rsidDel="00FA1947">
        <w:rPr>
          <w:rFonts w:asciiTheme="minorHAnsi" w:hAnsiTheme="minorHAnsi" w:cstheme="minorBidi"/>
          <w:sz w:val="24"/>
          <w:szCs w:val="24"/>
        </w:rPr>
        <w:t xml:space="preserve"> </w:t>
      </w:r>
      <w:r w:rsidR="00FA1947">
        <w:rPr>
          <w:rFonts w:asciiTheme="minorHAnsi" w:hAnsiTheme="minorHAnsi" w:cstheme="minorBidi"/>
          <w:sz w:val="24"/>
          <w:szCs w:val="24"/>
        </w:rPr>
        <w:t>(FRDC)</w:t>
      </w:r>
      <w:r w:rsidRPr="4C8D2DF5">
        <w:rPr>
          <w:rFonts w:asciiTheme="minorHAnsi" w:hAnsiTheme="minorHAnsi" w:cstheme="minorBidi"/>
          <w:sz w:val="24"/>
          <w:szCs w:val="24"/>
        </w:rPr>
        <w:t>-funded project involves development of a quantitative dynamic MICE (Models of Intermediate Complexity for Ecosystem assessments) (</w:t>
      </w:r>
      <w:proofErr w:type="spellStart"/>
      <w:r w:rsidRPr="4C8D2DF5">
        <w:rPr>
          <w:rFonts w:asciiTheme="minorHAnsi" w:hAnsiTheme="minorHAnsi" w:cstheme="minorBidi"/>
          <w:sz w:val="24"/>
          <w:szCs w:val="24"/>
        </w:rPr>
        <w:t>Plagányi</w:t>
      </w:r>
      <w:proofErr w:type="spellEnd"/>
      <w:r w:rsidRPr="4C8D2DF5">
        <w:rPr>
          <w:rFonts w:asciiTheme="minorHAnsi" w:hAnsiTheme="minorHAnsi" w:cstheme="minorBidi"/>
          <w:sz w:val="24"/>
          <w:szCs w:val="24"/>
        </w:rPr>
        <w:t xml:space="preserve"> et al. 2014) model to quantify the impacts of alternative water resource development scenarios on key components of the Gulf of Carpentaria ecosystem, including valuable prawn</w:t>
      </w:r>
      <w:r w:rsidR="00111E28" w:rsidRPr="4C8D2DF5">
        <w:rPr>
          <w:rFonts w:asciiTheme="minorHAnsi" w:hAnsiTheme="minorHAnsi" w:cstheme="minorBidi"/>
          <w:sz w:val="24"/>
          <w:szCs w:val="24"/>
        </w:rPr>
        <w:t>, barramundi and mud crab</w:t>
      </w:r>
      <w:r w:rsidRPr="4C8D2DF5">
        <w:rPr>
          <w:rFonts w:asciiTheme="minorHAnsi" w:hAnsiTheme="minorHAnsi" w:cstheme="minorBidi"/>
          <w:sz w:val="24"/>
          <w:szCs w:val="24"/>
        </w:rPr>
        <w:t xml:space="preserve"> fisheries</w:t>
      </w:r>
      <w:r w:rsidR="00111E28" w:rsidRPr="4C8D2DF5">
        <w:rPr>
          <w:rFonts w:asciiTheme="minorHAnsi" w:hAnsiTheme="minorHAnsi" w:cstheme="minorBidi"/>
          <w:sz w:val="24"/>
          <w:szCs w:val="24"/>
        </w:rPr>
        <w:t>, as well as threatened, endangered and protected species such as sawfish</w:t>
      </w:r>
      <w:r w:rsidR="00B62D15" w:rsidRPr="4C8D2DF5">
        <w:rPr>
          <w:rFonts w:asciiTheme="minorHAnsi" w:hAnsiTheme="minorHAnsi" w:cstheme="minorBidi"/>
          <w:sz w:val="24"/>
          <w:szCs w:val="24"/>
        </w:rPr>
        <w:t xml:space="preserve"> (</w:t>
      </w:r>
      <w:proofErr w:type="spellStart"/>
      <w:r w:rsidR="00B62D15" w:rsidRPr="4C8D2DF5">
        <w:rPr>
          <w:rFonts w:asciiTheme="minorHAnsi" w:hAnsiTheme="minorHAnsi" w:cstheme="minorBidi"/>
          <w:sz w:val="24"/>
          <w:szCs w:val="24"/>
        </w:rPr>
        <w:t>Plagányi</w:t>
      </w:r>
      <w:proofErr w:type="spellEnd"/>
      <w:r w:rsidR="00B62D15" w:rsidRPr="4C8D2DF5">
        <w:rPr>
          <w:rFonts w:asciiTheme="minorHAnsi" w:hAnsiTheme="minorHAnsi" w:cstheme="minorBidi"/>
          <w:sz w:val="24"/>
          <w:szCs w:val="24"/>
        </w:rPr>
        <w:t xml:space="preserve"> et al. 2020)</w:t>
      </w:r>
      <w:r w:rsidRPr="4C8D2DF5">
        <w:rPr>
          <w:rFonts w:asciiTheme="minorHAnsi" w:hAnsiTheme="minorHAnsi" w:cstheme="minorBidi"/>
          <w:sz w:val="24"/>
          <w:szCs w:val="24"/>
        </w:rPr>
        <w:t>. The project involves extensive stakeholder consultation</w:t>
      </w:r>
      <w:r w:rsidR="00111E28" w:rsidRPr="4C8D2DF5">
        <w:rPr>
          <w:rFonts w:asciiTheme="minorHAnsi" w:hAnsiTheme="minorHAnsi" w:cstheme="minorBidi"/>
          <w:sz w:val="24"/>
          <w:szCs w:val="24"/>
        </w:rPr>
        <w:t>, and includes the Northern Prawn Fishing Industry Pty Ltd CEO Annie Jarrett as a co-investigator</w:t>
      </w:r>
      <w:r w:rsidRPr="4C8D2DF5">
        <w:rPr>
          <w:rFonts w:asciiTheme="minorHAnsi" w:hAnsiTheme="minorHAnsi" w:cstheme="minorBidi"/>
          <w:sz w:val="24"/>
          <w:szCs w:val="24"/>
        </w:rPr>
        <w:t xml:space="preserve">.  </w:t>
      </w:r>
      <w:r w:rsidR="00B62D15" w:rsidRPr="4C8D2DF5">
        <w:rPr>
          <w:rFonts w:asciiTheme="minorHAnsi" w:hAnsiTheme="minorHAnsi" w:cstheme="minorBidi"/>
          <w:sz w:val="24"/>
          <w:szCs w:val="24"/>
        </w:rPr>
        <w:t xml:space="preserve">These projects will quantify levels of water extraction that </w:t>
      </w:r>
      <w:r w:rsidR="000C2775" w:rsidRPr="4C8D2DF5">
        <w:rPr>
          <w:rFonts w:asciiTheme="minorHAnsi" w:hAnsiTheme="minorHAnsi" w:cstheme="minorBidi"/>
          <w:sz w:val="24"/>
          <w:szCs w:val="24"/>
        </w:rPr>
        <w:t xml:space="preserve">influence the marine ecosystem and </w:t>
      </w:r>
      <w:r w:rsidR="00B62D15" w:rsidRPr="4C8D2DF5">
        <w:rPr>
          <w:rFonts w:asciiTheme="minorHAnsi" w:hAnsiTheme="minorHAnsi" w:cstheme="minorBidi"/>
          <w:sz w:val="24"/>
          <w:szCs w:val="24"/>
        </w:rPr>
        <w:t>cause significant catch reductions in Gulf of Carpentaria fisheries and explore water management scenarios that optimise benefits for multiple users, including trigger levels below which flow should not be interrupted.</w:t>
      </w:r>
    </w:p>
    <w:p w14:paraId="7D15045C" w14:textId="4E792F04" w:rsidR="00086E45" w:rsidRDefault="00086E45" w:rsidP="00086E45">
      <w:pPr>
        <w:spacing w:after="240"/>
        <w:rPr>
          <w:rFonts w:asciiTheme="minorHAnsi" w:hAnsiTheme="minorHAnsi"/>
          <w:sz w:val="24"/>
          <w:szCs w:val="24"/>
        </w:rPr>
      </w:pPr>
      <w:r w:rsidRPr="0095570C">
        <w:rPr>
          <w:rFonts w:asciiTheme="minorHAnsi" w:hAnsiTheme="minorHAnsi" w:cstheme="minorHAnsi"/>
          <w:sz w:val="24"/>
          <w:szCs w:val="24"/>
        </w:rPr>
        <w:t xml:space="preserve">A series of large-catchment northern rivers are now </w:t>
      </w:r>
      <w:r w:rsidR="00851BEB" w:rsidRPr="0095570C">
        <w:rPr>
          <w:rFonts w:asciiTheme="minorHAnsi" w:hAnsiTheme="minorHAnsi" w:cstheme="minorHAnsi"/>
          <w:sz w:val="24"/>
          <w:szCs w:val="24"/>
        </w:rPr>
        <w:t>being</w:t>
      </w:r>
      <w:r w:rsidR="00851BEB">
        <w:rPr>
          <w:rFonts w:asciiTheme="minorHAnsi" w:hAnsiTheme="minorHAnsi" w:cstheme="minorHAnsi"/>
          <w:sz w:val="24"/>
          <w:szCs w:val="24"/>
        </w:rPr>
        <w:t xml:space="preserve"> evaluated as potential locations</w:t>
      </w:r>
      <w:r w:rsidRPr="0071730A">
        <w:rPr>
          <w:rFonts w:asciiTheme="minorHAnsi" w:hAnsiTheme="minorHAnsi" w:cstheme="minorHAnsi"/>
          <w:sz w:val="24"/>
          <w:szCs w:val="24"/>
        </w:rPr>
        <w:t xml:space="preserve"> to support irrigated agriculture. </w:t>
      </w:r>
      <w:r>
        <w:rPr>
          <w:rFonts w:asciiTheme="minorHAnsi" w:hAnsiTheme="minorHAnsi"/>
          <w:sz w:val="24"/>
          <w:szCs w:val="24"/>
        </w:rPr>
        <w:t>Documenting the landscape, water and ecological asset inventories are the first step</w:t>
      </w:r>
      <w:r w:rsidR="007B71B0">
        <w:rPr>
          <w:rFonts w:asciiTheme="minorHAnsi" w:hAnsiTheme="minorHAnsi"/>
          <w:sz w:val="24"/>
          <w:szCs w:val="24"/>
        </w:rPr>
        <w:t>s</w:t>
      </w:r>
      <w:r>
        <w:rPr>
          <w:rFonts w:asciiTheme="minorHAnsi" w:hAnsiTheme="minorHAnsi"/>
          <w:sz w:val="24"/>
          <w:szCs w:val="24"/>
        </w:rPr>
        <w:t xml:space="preserve"> towards the development of </w:t>
      </w:r>
      <w:r w:rsidR="0A5CD5D1" w:rsidRPr="4C8D2DF5">
        <w:rPr>
          <w:rFonts w:asciiTheme="minorHAnsi" w:hAnsiTheme="minorHAnsi"/>
          <w:sz w:val="24"/>
          <w:szCs w:val="24"/>
        </w:rPr>
        <w:t xml:space="preserve">water infrastructure and </w:t>
      </w:r>
      <w:r>
        <w:rPr>
          <w:rFonts w:asciiTheme="minorHAnsi" w:hAnsiTheme="minorHAnsi"/>
          <w:sz w:val="24"/>
          <w:szCs w:val="24"/>
        </w:rPr>
        <w:t xml:space="preserve">irrigated agriculture in Australia’s tropical rivers.  The </w:t>
      </w:r>
      <w:r w:rsidR="00FA1947">
        <w:rPr>
          <w:rFonts w:asciiTheme="minorHAnsi" w:hAnsiTheme="minorHAnsi"/>
          <w:sz w:val="24"/>
          <w:szCs w:val="24"/>
        </w:rPr>
        <w:t xml:space="preserve">Australian </w:t>
      </w:r>
      <w:r>
        <w:rPr>
          <w:rFonts w:asciiTheme="minorHAnsi" w:hAnsiTheme="minorHAnsi"/>
          <w:sz w:val="24"/>
          <w:szCs w:val="24"/>
        </w:rPr>
        <w:t xml:space="preserve">Government </w:t>
      </w:r>
      <w:r w:rsidR="7A323B6F" w:rsidRPr="4C8D2DF5">
        <w:rPr>
          <w:rFonts w:asciiTheme="minorHAnsi" w:hAnsiTheme="minorHAnsi"/>
          <w:sz w:val="24"/>
          <w:szCs w:val="24"/>
        </w:rPr>
        <w:t>has signalled</w:t>
      </w:r>
      <w:r>
        <w:rPr>
          <w:rFonts w:asciiTheme="minorHAnsi" w:hAnsiTheme="minorHAnsi"/>
          <w:sz w:val="24"/>
          <w:szCs w:val="24"/>
        </w:rPr>
        <w:t xml:space="preserve"> support </w:t>
      </w:r>
      <w:r w:rsidR="10C36C35" w:rsidRPr="4C8D2DF5">
        <w:rPr>
          <w:rFonts w:asciiTheme="minorHAnsi" w:hAnsiTheme="minorHAnsi"/>
          <w:sz w:val="24"/>
          <w:szCs w:val="24"/>
        </w:rPr>
        <w:t>for</w:t>
      </w:r>
      <w:r w:rsidRPr="4C8D2DF5">
        <w:rPr>
          <w:rFonts w:asciiTheme="minorHAnsi" w:hAnsiTheme="minorHAnsi"/>
          <w:sz w:val="24"/>
          <w:szCs w:val="24"/>
        </w:rPr>
        <w:t xml:space="preserve"> </w:t>
      </w:r>
      <w:r>
        <w:rPr>
          <w:rFonts w:asciiTheme="minorHAnsi" w:hAnsiTheme="minorHAnsi"/>
          <w:sz w:val="24"/>
          <w:szCs w:val="24"/>
        </w:rPr>
        <w:t xml:space="preserve">the construction of major infrastructure </w:t>
      </w:r>
      <w:r w:rsidR="252E1872" w:rsidRPr="4C8D2DF5">
        <w:rPr>
          <w:rFonts w:asciiTheme="minorHAnsi" w:hAnsiTheme="minorHAnsi"/>
          <w:sz w:val="24"/>
          <w:szCs w:val="24"/>
        </w:rPr>
        <w:t>development</w:t>
      </w:r>
      <w:r w:rsidRPr="4C8D2DF5">
        <w:rPr>
          <w:rFonts w:asciiTheme="minorHAnsi" w:hAnsiTheme="minorHAnsi"/>
          <w:sz w:val="24"/>
          <w:szCs w:val="24"/>
        </w:rPr>
        <w:t>s</w:t>
      </w:r>
      <w:r>
        <w:rPr>
          <w:rFonts w:asciiTheme="minorHAnsi" w:hAnsiTheme="minorHAnsi"/>
          <w:sz w:val="24"/>
          <w:szCs w:val="24"/>
        </w:rPr>
        <w:t xml:space="preserve"> to </w:t>
      </w:r>
      <w:r w:rsidR="577C9569" w:rsidRPr="4C8D2DF5">
        <w:rPr>
          <w:rFonts w:asciiTheme="minorHAnsi" w:hAnsiTheme="minorHAnsi"/>
          <w:sz w:val="24"/>
          <w:szCs w:val="24"/>
        </w:rPr>
        <w:t>secure</w:t>
      </w:r>
      <w:r>
        <w:rPr>
          <w:rFonts w:asciiTheme="minorHAnsi" w:hAnsiTheme="minorHAnsi"/>
          <w:sz w:val="24"/>
          <w:szCs w:val="24"/>
        </w:rPr>
        <w:t xml:space="preserve"> water resources to support irrigated agriculture</w:t>
      </w:r>
      <w:r w:rsidR="00456CA2">
        <w:rPr>
          <w:rFonts w:asciiTheme="minorHAnsi" w:hAnsiTheme="minorHAnsi"/>
          <w:sz w:val="24"/>
          <w:szCs w:val="24"/>
        </w:rPr>
        <w:t xml:space="preserve"> (PMC 2015)</w:t>
      </w:r>
      <w:r>
        <w:rPr>
          <w:rFonts w:asciiTheme="minorHAnsi" w:hAnsiTheme="minorHAnsi"/>
          <w:sz w:val="24"/>
          <w:szCs w:val="24"/>
        </w:rPr>
        <w:t>.  “</w:t>
      </w:r>
      <w:r w:rsidRPr="00C11EE6">
        <w:rPr>
          <w:rFonts w:asciiTheme="minorHAnsi" w:hAnsiTheme="minorHAnsi"/>
          <w:sz w:val="24"/>
          <w:szCs w:val="24"/>
        </w:rPr>
        <w:t>Up to $3.5 billion in Australian Government funding is available through the 10-year</w:t>
      </w:r>
      <w:r>
        <w:rPr>
          <w:rFonts w:asciiTheme="minorHAnsi" w:hAnsiTheme="minorHAnsi"/>
          <w:sz w:val="24"/>
          <w:szCs w:val="24"/>
        </w:rPr>
        <w:t xml:space="preserve"> </w:t>
      </w:r>
      <w:r w:rsidRPr="00C11EE6">
        <w:rPr>
          <w:rFonts w:asciiTheme="minorHAnsi" w:hAnsiTheme="minorHAnsi"/>
          <w:sz w:val="24"/>
          <w:szCs w:val="24"/>
        </w:rPr>
        <w:t>National Water Infrastructure Development Fund (NWIDF) for projects that deliver water to agriculture and primary industry</w:t>
      </w:r>
      <w:r>
        <w:rPr>
          <w:rFonts w:asciiTheme="minorHAnsi" w:hAnsiTheme="minorHAnsi"/>
          <w:sz w:val="24"/>
          <w:szCs w:val="24"/>
        </w:rPr>
        <w:t>”</w:t>
      </w:r>
      <w:r w:rsidRPr="00C11EE6">
        <w:rPr>
          <w:rFonts w:asciiTheme="minorHAnsi" w:hAnsiTheme="minorHAnsi"/>
          <w:sz w:val="24"/>
          <w:szCs w:val="24"/>
        </w:rPr>
        <w:t xml:space="preserve"> (</w:t>
      </w:r>
      <w:r>
        <w:rPr>
          <w:rFonts w:asciiTheme="minorHAnsi" w:hAnsiTheme="minorHAnsi"/>
          <w:sz w:val="24"/>
          <w:szCs w:val="24"/>
        </w:rPr>
        <w:t>Productivity Commission</w:t>
      </w:r>
      <w:r w:rsidRPr="00C11EE6">
        <w:rPr>
          <w:rFonts w:asciiTheme="minorHAnsi" w:hAnsiTheme="minorHAnsi"/>
          <w:sz w:val="24"/>
          <w:szCs w:val="24"/>
        </w:rPr>
        <w:t xml:space="preserve"> 2020).</w:t>
      </w:r>
      <w:r>
        <w:rPr>
          <w:rFonts w:asciiTheme="minorHAnsi" w:hAnsiTheme="minorHAnsi"/>
          <w:sz w:val="24"/>
          <w:szCs w:val="24"/>
        </w:rPr>
        <w:t xml:space="preserve"> </w:t>
      </w:r>
      <w:r w:rsidRPr="00C11EE6">
        <w:rPr>
          <w:rFonts w:asciiTheme="minorHAnsi" w:hAnsiTheme="minorHAnsi"/>
          <w:sz w:val="24"/>
          <w:szCs w:val="24"/>
        </w:rPr>
        <w:t xml:space="preserve"> Water </w:t>
      </w:r>
      <w:r>
        <w:rPr>
          <w:rFonts w:asciiTheme="minorHAnsi" w:hAnsiTheme="minorHAnsi"/>
          <w:sz w:val="24"/>
          <w:szCs w:val="24"/>
        </w:rPr>
        <w:t>Resource Development (</w:t>
      </w:r>
      <w:r w:rsidRPr="003427BF">
        <w:rPr>
          <w:rFonts w:asciiTheme="minorHAnsi" w:hAnsiTheme="minorHAnsi"/>
          <w:sz w:val="24"/>
          <w:szCs w:val="24"/>
        </w:rPr>
        <w:t>WRD</w:t>
      </w:r>
      <w:r>
        <w:rPr>
          <w:rFonts w:asciiTheme="minorHAnsi" w:hAnsiTheme="minorHAnsi"/>
          <w:sz w:val="24"/>
          <w:szCs w:val="24"/>
        </w:rPr>
        <w:t xml:space="preserve">) </w:t>
      </w:r>
      <w:r w:rsidRPr="00C11EE6">
        <w:rPr>
          <w:rFonts w:asciiTheme="minorHAnsi" w:hAnsiTheme="minorHAnsi"/>
          <w:sz w:val="24"/>
          <w:szCs w:val="24"/>
        </w:rPr>
        <w:t xml:space="preserve">projects </w:t>
      </w:r>
      <w:r>
        <w:rPr>
          <w:rFonts w:asciiTheme="minorHAnsi" w:hAnsiTheme="minorHAnsi"/>
          <w:sz w:val="24"/>
          <w:szCs w:val="24"/>
        </w:rPr>
        <w:t xml:space="preserve">in Australia’s tropical river catchments </w:t>
      </w:r>
      <w:r w:rsidRPr="00C11EE6">
        <w:rPr>
          <w:rFonts w:asciiTheme="minorHAnsi" w:hAnsiTheme="minorHAnsi"/>
          <w:sz w:val="24"/>
          <w:szCs w:val="24"/>
        </w:rPr>
        <w:t>are also eligible for concessional finance from the $5 billion Northern Australia Infrastructure Facility.</w:t>
      </w:r>
    </w:p>
    <w:p w14:paraId="11A506A0" w14:textId="229D4992" w:rsidR="00086E45" w:rsidRDefault="00086E45" w:rsidP="07A22910">
      <w:pPr>
        <w:spacing w:after="240"/>
        <w:rPr>
          <w:rFonts w:asciiTheme="minorHAnsi" w:hAnsiTheme="minorHAnsi" w:cstheme="minorBidi"/>
          <w:sz w:val="24"/>
          <w:szCs w:val="24"/>
        </w:rPr>
      </w:pPr>
      <w:r w:rsidRPr="07A22910">
        <w:rPr>
          <w:rFonts w:asciiTheme="minorHAnsi" w:hAnsiTheme="minorHAnsi" w:cstheme="minorBidi"/>
          <w:sz w:val="24"/>
          <w:szCs w:val="24"/>
        </w:rPr>
        <w:t xml:space="preserve">Within tropical ecosystems, estuarine and marine biodiversity, and fisheries productivity and economic performance, depend vitally on maintaining catchment flows as close as practical to </w:t>
      </w:r>
      <w:r w:rsidRPr="07A22910">
        <w:rPr>
          <w:rFonts w:asciiTheme="minorHAnsi" w:hAnsiTheme="minorHAnsi" w:cstheme="minorBidi"/>
          <w:sz w:val="24"/>
          <w:szCs w:val="24"/>
        </w:rPr>
        <w:lastRenderedPageBreak/>
        <w:t xml:space="preserve">historical seasonal and annual trends.  Stakeholder consultation is critical to </w:t>
      </w:r>
      <w:r w:rsidR="0059434C">
        <w:rPr>
          <w:rFonts w:asciiTheme="minorHAnsi" w:hAnsiTheme="minorHAnsi" w:cstheme="minorBidi"/>
          <w:sz w:val="24"/>
          <w:szCs w:val="24"/>
        </w:rPr>
        <w:t xml:space="preserve">management </w:t>
      </w:r>
      <w:r w:rsidR="0059434C" w:rsidRPr="007B1345">
        <w:rPr>
          <w:rFonts w:asciiTheme="minorHAnsi" w:hAnsiTheme="minorHAnsi" w:cstheme="minorBidi"/>
          <w:sz w:val="24"/>
          <w:szCs w:val="24"/>
        </w:rPr>
        <w:t xml:space="preserve">decisions </w:t>
      </w:r>
      <w:r w:rsidR="006F4FF8" w:rsidRPr="007B1345">
        <w:rPr>
          <w:rFonts w:asciiTheme="minorHAnsi" w:hAnsiTheme="minorHAnsi" w:cstheme="minorBidi"/>
          <w:sz w:val="24"/>
          <w:szCs w:val="24"/>
        </w:rPr>
        <w:t>regarding</w:t>
      </w:r>
      <w:r w:rsidR="00E02590" w:rsidRPr="007B1345">
        <w:rPr>
          <w:rFonts w:asciiTheme="minorHAnsi" w:hAnsiTheme="minorHAnsi" w:cstheme="minorBidi"/>
          <w:sz w:val="24"/>
          <w:szCs w:val="24"/>
        </w:rPr>
        <w:t xml:space="preserve"> </w:t>
      </w:r>
      <w:r w:rsidRPr="007B1345">
        <w:rPr>
          <w:rFonts w:asciiTheme="minorHAnsi" w:hAnsiTheme="minorHAnsi" w:cstheme="minorBidi"/>
          <w:sz w:val="24"/>
          <w:szCs w:val="24"/>
        </w:rPr>
        <w:t xml:space="preserve">quantifying flow requirements, levels of managed flow and the triggers that will sustain </w:t>
      </w:r>
      <w:r w:rsidR="1E58B148" w:rsidRPr="007B1345">
        <w:rPr>
          <w:rFonts w:asciiTheme="minorHAnsi" w:hAnsiTheme="minorHAnsi" w:cstheme="minorBidi"/>
          <w:sz w:val="24"/>
          <w:szCs w:val="24"/>
        </w:rPr>
        <w:t>end of system flow requirements</w:t>
      </w:r>
      <w:r w:rsidRPr="007B1345">
        <w:rPr>
          <w:rFonts w:asciiTheme="minorHAnsi" w:hAnsiTheme="minorHAnsi" w:cstheme="minorBidi"/>
          <w:sz w:val="24"/>
          <w:szCs w:val="24"/>
        </w:rPr>
        <w:t xml:space="preserve">.  Particularly during low flow periods, stakeholder-agreed risk-based minimum flow thresholds will be a critical component of flow management.  In Australia’s wet/dry tropics, periods of up to 7 years of low flows have been recorded in catchments targeted for irrigated agriculture (although 3-4 years is more common).  During consecutive years of low flows, the maintenance of flows that sustain downstream ecosystem services </w:t>
      </w:r>
      <w:r w:rsidR="6AE9260D" w:rsidRPr="007B1345">
        <w:rPr>
          <w:rFonts w:asciiTheme="minorHAnsi" w:hAnsiTheme="minorHAnsi" w:cstheme="minorBidi"/>
          <w:sz w:val="24"/>
          <w:szCs w:val="24"/>
        </w:rPr>
        <w:t xml:space="preserve">will need to be considered with respect to the requirements of </w:t>
      </w:r>
      <w:r w:rsidRPr="007B1345">
        <w:rPr>
          <w:rFonts w:asciiTheme="minorHAnsi" w:hAnsiTheme="minorHAnsi" w:cstheme="minorBidi"/>
          <w:sz w:val="24"/>
          <w:szCs w:val="24"/>
        </w:rPr>
        <w:t xml:space="preserve">agriculture </w:t>
      </w:r>
      <w:r w:rsidR="48565C64" w:rsidRPr="007B1345">
        <w:rPr>
          <w:rFonts w:asciiTheme="minorHAnsi" w:hAnsiTheme="minorHAnsi" w:cstheme="minorBidi"/>
          <w:sz w:val="24"/>
          <w:szCs w:val="24"/>
        </w:rPr>
        <w:t>and other needs such as ecological needs</w:t>
      </w:r>
      <w:r w:rsidRPr="007B1345">
        <w:rPr>
          <w:rFonts w:asciiTheme="minorHAnsi" w:hAnsiTheme="minorHAnsi" w:cstheme="minorBidi"/>
          <w:sz w:val="24"/>
          <w:szCs w:val="24"/>
        </w:rPr>
        <w:t xml:space="preserve">. </w:t>
      </w:r>
    </w:p>
    <w:p w14:paraId="05659D4C" w14:textId="44D5AF28" w:rsidR="00086E45" w:rsidRDefault="00086E45" w:rsidP="00086E45">
      <w:pPr>
        <w:spacing w:after="240"/>
        <w:rPr>
          <w:rFonts w:asciiTheme="minorHAnsi" w:hAnsiTheme="minorHAnsi" w:cstheme="minorHAnsi"/>
          <w:sz w:val="24"/>
          <w:szCs w:val="24"/>
        </w:rPr>
      </w:pPr>
      <w:r w:rsidRPr="0071730A">
        <w:rPr>
          <w:rFonts w:asciiTheme="minorHAnsi" w:hAnsiTheme="minorHAnsi" w:cstheme="minorHAnsi"/>
          <w:sz w:val="24"/>
          <w:szCs w:val="24"/>
        </w:rPr>
        <w:t>Rivers in the wet/dry tropics of northern Australia differ from southern rivers and rivers within inland basins; many are not perennial, often &gt;80% of annual flow</w:t>
      </w:r>
      <w:r>
        <w:rPr>
          <w:rFonts w:asciiTheme="minorHAnsi" w:hAnsiTheme="minorHAnsi" w:cstheme="minorHAnsi"/>
          <w:sz w:val="24"/>
          <w:szCs w:val="24"/>
        </w:rPr>
        <w:t>s</w:t>
      </w:r>
      <w:r w:rsidRPr="0071730A">
        <w:rPr>
          <w:rFonts w:asciiTheme="minorHAnsi" w:hAnsiTheme="minorHAnsi" w:cstheme="minorHAnsi"/>
          <w:sz w:val="24"/>
          <w:szCs w:val="24"/>
        </w:rPr>
        <w:t xml:space="preserve"> occur in three months (wet season)</w:t>
      </w:r>
      <w:r>
        <w:rPr>
          <w:rFonts w:asciiTheme="minorHAnsi" w:hAnsiTheme="minorHAnsi" w:cstheme="minorHAnsi"/>
          <w:sz w:val="24"/>
          <w:szCs w:val="24"/>
        </w:rPr>
        <w:t>,</w:t>
      </w:r>
      <w:r w:rsidRPr="0071730A">
        <w:rPr>
          <w:rFonts w:asciiTheme="minorHAnsi" w:hAnsiTheme="minorHAnsi" w:cstheme="minorHAnsi"/>
          <w:sz w:val="24"/>
          <w:szCs w:val="24"/>
        </w:rPr>
        <w:t xml:space="preserve"> and most have a large estuary (often ~ 100 km long) which, as combined habitats, form a major component of the coastal tropical ecosystem (Eliot and Eliot 2008, Petheram </w:t>
      </w:r>
      <w:r w:rsidR="00747533">
        <w:rPr>
          <w:rFonts w:asciiTheme="minorHAnsi" w:hAnsiTheme="minorHAnsi" w:cstheme="minorHAnsi"/>
          <w:sz w:val="24"/>
          <w:szCs w:val="24"/>
        </w:rPr>
        <w:t xml:space="preserve">et al. </w:t>
      </w:r>
      <w:r w:rsidRPr="0071730A">
        <w:rPr>
          <w:rFonts w:asciiTheme="minorHAnsi" w:hAnsiTheme="minorHAnsi" w:cstheme="minorHAnsi"/>
          <w:sz w:val="24"/>
          <w:szCs w:val="24"/>
        </w:rPr>
        <w:t xml:space="preserve">2008, 2012).  In the Australian tropics, </w:t>
      </w:r>
      <w:r>
        <w:rPr>
          <w:rFonts w:asciiTheme="minorHAnsi" w:hAnsiTheme="minorHAnsi" w:cstheme="minorHAnsi"/>
          <w:sz w:val="24"/>
          <w:szCs w:val="24"/>
        </w:rPr>
        <w:t>&gt;</w:t>
      </w:r>
      <w:r w:rsidRPr="0071730A">
        <w:rPr>
          <w:rFonts w:asciiTheme="minorHAnsi" w:hAnsiTheme="minorHAnsi" w:cstheme="minorHAnsi"/>
          <w:sz w:val="24"/>
          <w:szCs w:val="24"/>
        </w:rPr>
        <w:t>9</w:t>
      </w:r>
      <w:r>
        <w:rPr>
          <w:rFonts w:asciiTheme="minorHAnsi" w:hAnsiTheme="minorHAnsi" w:cstheme="minorHAnsi"/>
          <w:sz w:val="24"/>
          <w:szCs w:val="24"/>
        </w:rPr>
        <w:t>0</w:t>
      </w:r>
      <w:r w:rsidRPr="0071730A">
        <w:rPr>
          <w:rFonts w:asciiTheme="minorHAnsi" w:hAnsiTheme="minorHAnsi" w:cstheme="minorHAnsi"/>
          <w:sz w:val="24"/>
          <w:szCs w:val="24"/>
        </w:rPr>
        <w:t>% of rainfall occurs in the months of January to March and in many northern rivers</w:t>
      </w:r>
      <w:r>
        <w:rPr>
          <w:rFonts w:asciiTheme="minorHAnsi" w:hAnsiTheme="minorHAnsi" w:cstheme="minorHAnsi"/>
          <w:sz w:val="24"/>
          <w:szCs w:val="24"/>
        </w:rPr>
        <w:t>,</w:t>
      </w:r>
      <w:r w:rsidRPr="0071730A">
        <w:rPr>
          <w:rFonts w:asciiTheme="minorHAnsi" w:hAnsiTheme="minorHAnsi" w:cstheme="minorHAnsi"/>
          <w:sz w:val="24"/>
          <w:szCs w:val="24"/>
        </w:rPr>
        <w:t xml:space="preserve"> streamflow is confined to 3-4 months each year; the remainder of the year is dry and the landscape subject to very high evaporation.  </w:t>
      </w:r>
      <w:r>
        <w:rPr>
          <w:rFonts w:asciiTheme="minorHAnsi" w:hAnsiTheme="minorHAnsi" w:cstheme="minorHAnsi"/>
          <w:sz w:val="24"/>
          <w:szCs w:val="24"/>
        </w:rPr>
        <w:t xml:space="preserve">In 50% of rivers, &gt;80% of flows occur in the January-March peak period (Petheram et al. 2008).  </w:t>
      </w:r>
      <w:r w:rsidRPr="0071730A">
        <w:rPr>
          <w:rFonts w:asciiTheme="minorHAnsi" w:hAnsiTheme="minorHAnsi" w:cstheme="minorHAnsi"/>
          <w:sz w:val="24"/>
          <w:szCs w:val="24"/>
        </w:rPr>
        <w:t xml:space="preserve">River estuaries are key littoral ecosystems that sustain the juvenile-to-adult phases of many tropical fish and crustacean species - they are refugia in a stressed dry-season environment.  In addition, they are critical habitats for key life-history stages of many </w:t>
      </w:r>
      <w:r>
        <w:rPr>
          <w:rFonts w:asciiTheme="minorHAnsi" w:hAnsiTheme="minorHAnsi" w:cstheme="minorHAnsi"/>
          <w:sz w:val="24"/>
          <w:szCs w:val="24"/>
        </w:rPr>
        <w:t xml:space="preserve">other </w:t>
      </w:r>
      <w:r w:rsidRPr="0071730A">
        <w:rPr>
          <w:rFonts w:asciiTheme="minorHAnsi" w:hAnsiTheme="minorHAnsi" w:cstheme="minorHAnsi"/>
          <w:sz w:val="24"/>
          <w:szCs w:val="24"/>
        </w:rPr>
        <w:t xml:space="preserve">species.  Estuaries may not support the adult phase of a tropical species; but their capacity as productive habitat during crucial seasonal offshore/inshore migrations sustains the populations of a multitude of species.  Habitat stability during the dry season is critical and estuaries provide these stable habitats.  </w:t>
      </w:r>
    </w:p>
    <w:p w14:paraId="2650155F" w14:textId="77777777" w:rsidR="00086E45" w:rsidRPr="0071730A" w:rsidRDefault="00086E45" w:rsidP="00086E45">
      <w:pPr>
        <w:spacing w:after="240"/>
        <w:rPr>
          <w:rFonts w:asciiTheme="minorHAnsi" w:hAnsiTheme="minorHAnsi" w:cstheme="minorHAnsi"/>
          <w:sz w:val="24"/>
          <w:szCs w:val="24"/>
        </w:rPr>
      </w:pPr>
      <w:r w:rsidRPr="0071730A">
        <w:rPr>
          <w:rFonts w:asciiTheme="minorHAnsi" w:hAnsiTheme="minorHAnsi" w:cstheme="minorHAnsi"/>
          <w:sz w:val="24"/>
          <w:szCs w:val="24"/>
        </w:rPr>
        <w:t>Estuaries change during the wet season; they become dynamic systems with large freshwater through-flows, and, after taking advantage of habitat stability during the dry season, many of the species that reside in tropical estuaries have evolved to take advantage of the annual wet season’s estuarine-inputs to enhance their population or emigrate to habitats more favourable to later life-history stages</w:t>
      </w:r>
      <w:r>
        <w:rPr>
          <w:rFonts w:asciiTheme="minorHAnsi" w:hAnsiTheme="minorHAnsi" w:cstheme="minorHAnsi"/>
          <w:sz w:val="24"/>
          <w:szCs w:val="24"/>
        </w:rPr>
        <w:t xml:space="preserve"> (Burford et al. 2020)</w:t>
      </w:r>
      <w:r w:rsidRPr="0071730A">
        <w:rPr>
          <w:rFonts w:asciiTheme="minorHAnsi" w:hAnsiTheme="minorHAnsi" w:cstheme="minorHAnsi"/>
          <w:sz w:val="24"/>
          <w:szCs w:val="24"/>
        </w:rPr>
        <w:t xml:space="preserve">. </w:t>
      </w:r>
    </w:p>
    <w:p w14:paraId="6950B028" w14:textId="66EEE5DB" w:rsidR="00086E45" w:rsidRPr="0071730A" w:rsidRDefault="00086E45" w:rsidP="00086E45">
      <w:pPr>
        <w:spacing w:after="240"/>
        <w:rPr>
          <w:rFonts w:asciiTheme="minorHAnsi" w:hAnsiTheme="minorHAnsi" w:cstheme="minorHAnsi"/>
          <w:sz w:val="24"/>
          <w:szCs w:val="24"/>
        </w:rPr>
      </w:pPr>
      <w:r>
        <w:rPr>
          <w:rFonts w:asciiTheme="minorHAnsi" w:hAnsiTheme="minorHAnsi" w:cstheme="minorHAnsi"/>
          <w:sz w:val="24"/>
          <w:szCs w:val="24"/>
        </w:rPr>
        <w:t xml:space="preserve">Australia’s tropical estuaries also are critical habitat for Threatened, Endangered and Protected species such as freshwater sawfish, freshwater whiprays, river sharks and snub-fin dolphins.  Freshwater whiprays and river sharks occupy euryhaline (brackish) waters within tropical estuaries (Thorburn et al. 2003; </w:t>
      </w:r>
      <w:proofErr w:type="spellStart"/>
      <w:r>
        <w:rPr>
          <w:rFonts w:asciiTheme="minorHAnsi" w:hAnsiTheme="minorHAnsi" w:cstheme="minorHAnsi"/>
          <w:sz w:val="24"/>
          <w:szCs w:val="24"/>
        </w:rPr>
        <w:t>Pillans</w:t>
      </w:r>
      <w:proofErr w:type="spellEnd"/>
      <w:r>
        <w:rPr>
          <w:rFonts w:asciiTheme="minorHAnsi" w:hAnsiTheme="minorHAnsi" w:cstheme="minorHAnsi"/>
          <w:sz w:val="24"/>
          <w:szCs w:val="24"/>
        </w:rPr>
        <w:t xml:space="preserve">, et al. 2009; </w:t>
      </w:r>
      <w:proofErr w:type="spellStart"/>
      <w:r>
        <w:rPr>
          <w:rFonts w:asciiTheme="minorHAnsi" w:hAnsiTheme="minorHAnsi" w:cstheme="minorHAnsi"/>
          <w:sz w:val="24"/>
          <w:szCs w:val="24"/>
        </w:rPr>
        <w:t>Pillans</w:t>
      </w:r>
      <w:proofErr w:type="spellEnd"/>
      <w:r>
        <w:rPr>
          <w:rFonts w:asciiTheme="minorHAnsi" w:hAnsiTheme="minorHAnsi" w:cstheme="minorHAnsi"/>
          <w:sz w:val="24"/>
          <w:szCs w:val="24"/>
        </w:rPr>
        <w:t xml:space="preserve"> 2014).  Freshwater sawfish occupy marine, estuarine, and riverine habitats; importantly</w:t>
      </w:r>
      <w:r w:rsidR="00FA1947">
        <w:rPr>
          <w:rFonts w:asciiTheme="minorHAnsi" w:hAnsiTheme="minorHAnsi" w:cstheme="minorHAnsi"/>
          <w:sz w:val="24"/>
          <w:szCs w:val="24"/>
        </w:rPr>
        <w:t>,</w:t>
      </w:r>
      <w:r>
        <w:rPr>
          <w:rFonts w:asciiTheme="minorHAnsi" w:hAnsiTheme="minorHAnsi" w:cstheme="minorHAnsi"/>
          <w:sz w:val="24"/>
          <w:szCs w:val="24"/>
        </w:rPr>
        <w:t xml:space="preserve"> freshwater up-river habitats are critical for juvenile sawfish, they move up to 400 km upstream after adult female sawfish pup in tropical river estuaries (</w:t>
      </w:r>
      <w:proofErr w:type="spellStart"/>
      <w:r>
        <w:rPr>
          <w:rFonts w:asciiTheme="minorHAnsi" w:hAnsiTheme="minorHAnsi" w:cstheme="minorHAnsi"/>
          <w:sz w:val="24"/>
          <w:szCs w:val="24"/>
        </w:rPr>
        <w:t>Pillans</w:t>
      </w:r>
      <w:proofErr w:type="spellEnd"/>
      <w:r>
        <w:rPr>
          <w:rFonts w:asciiTheme="minorHAnsi" w:hAnsiTheme="minorHAnsi" w:cstheme="minorHAnsi"/>
          <w:sz w:val="24"/>
          <w:szCs w:val="24"/>
        </w:rPr>
        <w:t xml:space="preserve"> 2014).  Snubfin dolphin </w:t>
      </w:r>
      <w:r w:rsidR="00FA1947">
        <w:rPr>
          <w:rFonts w:asciiTheme="minorHAnsi" w:hAnsiTheme="minorHAnsi" w:cstheme="minorHAnsi"/>
          <w:sz w:val="24"/>
          <w:szCs w:val="24"/>
        </w:rPr>
        <w:t xml:space="preserve">also </w:t>
      </w:r>
      <w:r>
        <w:rPr>
          <w:rFonts w:asciiTheme="minorHAnsi" w:hAnsiTheme="minorHAnsi" w:cstheme="minorHAnsi"/>
          <w:sz w:val="24"/>
          <w:szCs w:val="24"/>
        </w:rPr>
        <w:t>use estuarine and coastal marine habitats (Palmer et al. 2011, 2014).</w:t>
      </w:r>
    </w:p>
    <w:p w14:paraId="5782D5C8" w14:textId="77777777" w:rsidR="00086E45" w:rsidRPr="0071730A" w:rsidRDefault="00086E45" w:rsidP="00086E45">
      <w:pPr>
        <w:spacing w:after="240"/>
        <w:rPr>
          <w:rFonts w:asciiTheme="minorHAnsi" w:hAnsiTheme="minorHAnsi" w:cstheme="minorHAnsi"/>
          <w:sz w:val="24"/>
          <w:szCs w:val="24"/>
        </w:rPr>
      </w:pPr>
      <w:r w:rsidRPr="0071730A">
        <w:rPr>
          <w:rFonts w:asciiTheme="minorHAnsi" w:hAnsiTheme="minorHAnsi" w:cstheme="minorHAnsi"/>
          <w:sz w:val="24"/>
          <w:szCs w:val="24"/>
        </w:rPr>
        <w:t xml:space="preserve">Wet season dynamic flows cause disruption </w:t>
      </w:r>
      <w:r>
        <w:rPr>
          <w:rFonts w:asciiTheme="minorHAnsi" w:hAnsiTheme="minorHAnsi" w:cstheme="minorHAnsi"/>
          <w:sz w:val="24"/>
          <w:szCs w:val="24"/>
        </w:rPr>
        <w:t xml:space="preserve">to riverine and estuarine ecology </w:t>
      </w:r>
      <w:r w:rsidRPr="0071730A">
        <w:rPr>
          <w:rFonts w:asciiTheme="minorHAnsi" w:hAnsiTheme="minorHAnsi" w:cstheme="minorHAnsi"/>
          <w:sz w:val="24"/>
          <w:szCs w:val="24"/>
        </w:rPr>
        <w:t xml:space="preserve">that includes estuarine/river connectivity, nutrient inputs, emigration cues, enhanced estuarine and nearshore productivity, and estuarine/floodplain connectivity.  Tropical populations can pulse </w:t>
      </w:r>
      <w:r>
        <w:rPr>
          <w:rFonts w:asciiTheme="minorHAnsi" w:hAnsiTheme="minorHAnsi" w:cstheme="minorHAnsi"/>
          <w:sz w:val="24"/>
          <w:szCs w:val="24"/>
        </w:rPr>
        <w:t xml:space="preserve">by number and biomass </w:t>
      </w:r>
      <w:r w:rsidRPr="0071730A">
        <w:rPr>
          <w:rFonts w:asciiTheme="minorHAnsi" w:hAnsiTheme="minorHAnsi" w:cstheme="minorHAnsi"/>
          <w:sz w:val="24"/>
          <w:szCs w:val="24"/>
        </w:rPr>
        <w:t>in response to large flood flows which enhance habitat connectivity, ecosystem productivity and migration cues.</w:t>
      </w:r>
    </w:p>
    <w:p w14:paraId="51503F09" w14:textId="22E2955C" w:rsidR="00086E45" w:rsidRPr="0071730A" w:rsidRDefault="00086E45" w:rsidP="00086E45">
      <w:pPr>
        <w:spacing w:after="240"/>
        <w:rPr>
          <w:rFonts w:asciiTheme="minorHAnsi" w:hAnsiTheme="minorHAnsi" w:cstheme="minorHAnsi"/>
          <w:sz w:val="24"/>
          <w:szCs w:val="24"/>
        </w:rPr>
      </w:pPr>
      <w:r w:rsidRPr="0071730A">
        <w:rPr>
          <w:rFonts w:asciiTheme="minorHAnsi" w:hAnsiTheme="minorHAnsi" w:cstheme="minorHAnsi"/>
          <w:sz w:val="24"/>
          <w:szCs w:val="24"/>
        </w:rPr>
        <w:t xml:space="preserve">In the Australian tropics, several crustacean and fish species that inhabit estuaries during their life history are high-value fishery species that are harvested seasonally in remote regions of the tropics.  The population of these harvested species benefit from the pristine habitats of remote northern Australia.  Uninterrupted natural stream flows are characteristic of these pristine </w:t>
      </w:r>
      <w:r w:rsidRPr="0071730A">
        <w:rPr>
          <w:rFonts w:asciiTheme="minorHAnsi" w:hAnsiTheme="minorHAnsi" w:cstheme="minorHAnsi"/>
          <w:sz w:val="24"/>
          <w:szCs w:val="24"/>
        </w:rPr>
        <w:lastRenderedPageBreak/>
        <w:t xml:space="preserve">habitats and seasonal </w:t>
      </w:r>
      <w:r>
        <w:rPr>
          <w:rFonts w:asciiTheme="minorHAnsi" w:hAnsiTheme="minorHAnsi" w:cstheme="minorHAnsi"/>
          <w:sz w:val="24"/>
          <w:szCs w:val="24"/>
        </w:rPr>
        <w:t xml:space="preserve">monsoon </w:t>
      </w:r>
      <w:r w:rsidRPr="0071730A">
        <w:rPr>
          <w:rFonts w:asciiTheme="minorHAnsi" w:hAnsiTheme="minorHAnsi" w:cstheme="minorHAnsi"/>
          <w:sz w:val="24"/>
          <w:szCs w:val="24"/>
        </w:rPr>
        <w:t>flows to estuarine habitats are key to population stability.  Moreover, for several harvested species, high flood flows during the wet season support high population levels and strong economic returns from their fisheries.  Historically, the remote operation of these annual harvest fisheries along the northern Australian coast has been supported by a very low level of anthropogenic activity across the catchments and coasts.  Annual wet season flows vary markedly in the tropics and during years of low wet season flows, fishery catches can be low and marginally economic.  In contrast, the frequency of high-level wet season flows ensures that bumper harvests occur regularly enough for the long-term economic viability of t</w:t>
      </w:r>
      <w:r>
        <w:rPr>
          <w:rFonts w:asciiTheme="minorHAnsi" w:hAnsiTheme="minorHAnsi" w:cstheme="minorHAnsi"/>
          <w:sz w:val="24"/>
          <w:szCs w:val="24"/>
        </w:rPr>
        <w:t>ropical</w:t>
      </w:r>
      <w:r w:rsidRPr="0071730A">
        <w:rPr>
          <w:rFonts w:asciiTheme="minorHAnsi" w:hAnsiTheme="minorHAnsi" w:cstheme="minorHAnsi"/>
          <w:sz w:val="24"/>
          <w:szCs w:val="24"/>
        </w:rPr>
        <w:t xml:space="preserve"> fisher</w:t>
      </w:r>
      <w:r>
        <w:rPr>
          <w:rFonts w:asciiTheme="minorHAnsi" w:hAnsiTheme="minorHAnsi" w:cstheme="minorHAnsi"/>
          <w:sz w:val="24"/>
          <w:szCs w:val="24"/>
        </w:rPr>
        <w:t>ies</w:t>
      </w:r>
      <w:r w:rsidRPr="0071730A">
        <w:rPr>
          <w:rFonts w:asciiTheme="minorHAnsi" w:hAnsiTheme="minorHAnsi" w:cstheme="minorHAnsi"/>
          <w:sz w:val="24"/>
          <w:szCs w:val="24"/>
        </w:rPr>
        <w:t xml:space="preserve">. </w:t>
      </w:r>
      <w:r w:rsidR="002D5CE7">
        <w:rPr>
          <w:rFonts w:asciiTheme="minorHAnsi" w:hAnsiTheme="minorHAnsi" w:cstheme="minorHAnsi"/>
          <w:sz w:val="24"/>
          <w:szCs w:val="24"/>
        </w:rPr>
        <w:t xml:space="preserve">In addition to </w:t>
      </w:r>
      <w:r w:rsidR="00B448BD">
        <w:rPr>
          <w:rFonts w:asciiTheme="minorHAnsi" w:hAnsiTheme="minorHAnsi" w:cstheme="minorHAnsi"/>
          <w:sz w:val="24"/>
          <w:szCs w:val="24"/>
        </w:rPr>
        <w:t xml:space="preserve">the economic benefits of these fisheries, </w:t>
      </w:r>
      <w:r w:rsidR="00F54D55">
        <w:rPr>
          <w:rFonts w:asciiTheme="minorHAnsi" w:hAnsiTheme="minorHAnsi" w:cstheme="minorHAnsi"/>
          <w:sz w:val="24"/>
          <w:szCs w:val="24"/>
        </w:rPr>
        <w:t xml:space="preserve">Traditional Owners </w:t>
      </w:r>
      <w:r w:rsidR="00E67472">
        <w:rPr>
          <w:rFonts w:asciiTheme="minorHAnsi" w:hAnsiTheme="minorHAnsi" w:cstheme="minorHAnsi"/>
          <w:sz w:val="24"/>
          <w:szCs w:val="24"/>
        </w:rPr>
        <w:t xml:space="preserve">rely on </w:t>
      </w:r>
      <w:r w:rsidR="008A1E20">
        <w:rPr>
          <w:rFonts w:asciiTheme="minorHAnsi" w:hAnsiTheme="minorHAnsi" w:cstheme="minorHAnsi"/>
          <w:sz w:val="24"/>
          <w:szCs w:val="24"/>
        </w:rPr>
        <w:t>them</w:t>
      </w:r>
      <w:r w:rsidR="009A0F61">
        <w:rPr>
          <w:rFonts w:asciiTheme="minorHAnsi" w:hAnsiTheme="minorHAnsi" w:cstheme="minorHAnsi"/>
          <w:sz w:val="24"/>
          <w:szCs w:val="24"/>
        </w:rPr>
        <w:t xml:space="preserve"> for sustenance</w:t>
      </w:r>
      <w:r w:rsidR="008A1E20">
        <w:rPr>
          <w:rFonts w:asciiTheme="minorHAnsi" w:hAnsiTheme="minorHAnsi" w:cstheme="minorHAnsi"/>
          <w:sz w:val="24"/>
          <w:szCs w:val="24"/>
        </w:rPr>
        <w:t>,</w:t>
      </w:r>
      <w:r w:rsidR="009A0F61">
        <w:rPr>
          <w:rFonts w:asciiTheme="minorHAnsi" w:hAnsiTheme="minorHAnsi" w:cstheme="minorHAnsi"/>
          <w:sz w:val="24"/>
          <w:szCs w:val="24"/>
        </w:rPr>
        <w:t xml:space="preserve"> and to maintain cultural practices and ecological knowledge developed over thousands of years.</w:t>
      </w:r>
      <w:r w:rsidRPr="0071730A">
        <w:rPr>
          <w:rFonts w:asciiTheme="minorHAnsi" w:hAnsiTheme="minorHAnsi" w:cstheme="minorHAnsi"/>
          <w:sz w:val="24"/>
          <w:szCs w:val="24"/>
        </w:rPr>
        <w:t xml:space="preserve"> </w:t>
      </w:r>
      <w:r w:rsidR="00333077">
        <w:rPr>
          <w:rFonts w:asciiTheme="minorHAnsi" w:hAnsiTheme="minorHAnsi" w:cstheme="minorHAnsi"/>
          <w:sz w:val="24"/>
          <w:szCs w:val="24"/>
        </w:rPr>
        <w:t xml:space="preserve"> As well, recreational fishers target species such as barramundi as a </w:t>
      </w:r>
      <w:r w:rsidR="00C27353">
        <w:rPr>
          <w:rFonts w:asciiTheme="minorHAnsi" w:hAnsiTheme="minorHAnsi" w:cstheme="minorHAnsi"/>
          <w:sz w:val="24"/>
          <w:szCs w:val="24"/>
        </w:rPr>
        <w:t>highly prized</w:t>
      </w:r>
      <w:r w:rsidR="00333077">
        <w:rPr>
          <w:rFonts w:asciiTheme="minorHAnsi" w:hAnsiTheme="minorHAnsi" w:cstheme="minorHAnsi"/>
          <w:sz w:val="24"/>
          <w:szCs w:val="24"/>
        </w:rPr>
        <w:t xml:space="preserve"> catch during both individual fishing expeditions and via a developing charter industry.</w:t>
      </w:r>
    </w:p>
    <w:p w14:paraId="0E8F0CE5" w14:textId="0E2D3E81" w:rsidR="00086E45" w:rsidRDefault="00086E45" w:rsidP="00086E45">
      <w:pPr>
        <w:spacing w:after="240"/>
        <w:rPr>
          <w:rFonts w:asciiTheme="minorHAnsi" w:hAnsiTheme="minorHAnsi" w:cstheme="minorBidi"/>
          <w:sz w:val="24"/>
          <w:szCs w:val="24"/>
        </w:rPr>
      </w:pPr>
      <w:r w:rsidRPr="4C8D2DF5">
        <w:rPr>
          <w:rFonts w:asciiTheme="minorHAnsi" w:hAnsiTheme="minorHAnsi" w:cstheme="minorBidi"/>
          <w:sz w:val="24"/>
          <w:szCs w:val="24"/>
        </w:rPr>
        <w:t xml:space="preserve">The impacts of natural streamflow modification within northern rivers on the habitats, habits and populations </w:t>
      </w:r>
      <w:r w:rsidR="6B510CAA" w:rsidRPr="4C8D2DF5">
        <w:rPr>
          <w:rFonts w:asciiTheme="minorHAnsi" w:hAnsiTheme="minorHAnsi" w:cstheme="minorBidi"/>
          <w:sz w:val="24"/>
          <w:szCs w:val="24"/>
        </w:rPr>
        <w:t>has the potential to impact</w:t>
      </w:r>
      <w:r w:rsidRPr="4C8D2DF5">
        <w:rPr>
          <w:rFonts w:asciiTheme="minorHAnsi" w:hAnsiTheme="minorHAnsi" w:cstheme="minorBidi"/>
          <w:sz w:val="24"/>
          <w:szCs w:val="24"/>
        </w:rPr>
        <w:t xml:space="preserve"> key fishery species</w:t>
      </w:r>
      <w:r w:rsidR="7C7B37AC" w:rsidRPr="4C8D2DF5">
        <w:rPr>
          <w:rFonts w:asciiTheme="minorHAnsi" w:hAnsiTheme="minorHAnsi" w:cstheme="minorBidi"/>
          <w:sz w:val="24"/>
          <w:szCs w:val="24"/>
        </w:rPr>
        <w:t>, such as</w:t>
      </w:r>
      <w:r w:rsidRPr="4C8D2DF5">
        <w:rPr>
          <w:rFonts w:asciiTheme="minorHAnsi" w:hAnsiTheme="minorHAnsi" w:cstheme="minorBidi"/>
          <w:sz w:val="24"/>
          <w:szCs w:val="24"/>
        </w:rPr>
        <w:t xml:space="preserve"> three high-value species; banana prawns, barramundi and </w:t>
      </w:r>
      <w:proofErr w:type="spellStart"/>
      <w:r w:rsidRPr="4C8D2DF5">
        <w:rPr>
          <w:rFonts w:asciiTheme="minorHAnsi" w:hAnsiTheme="minorHAnsi" w:cstheme="minorBidi"/>
          <w:sz w:val="24"/>
          <w:szCs w:val="24"/>
        </w:rPr>
        <w:t>mudcrabs</w:t>
      </w:r>
      <w:proofErr w:type="spellEnd"/>
      <w:r w:rsidRPr="4C8D2DF5">
        <w:rPr>
          <w:rFonts w:asciiTheme="minorHAnsi" w:hAnsiTheme="minorHAnsi" w:cstheme="minorBidi"/>
          <w:sz w:val="24"/>
          <w:szCs w:val="24"/>
        </w:rPr>
        <w:t xml:space="preserve">. </w:t>
      </w:r>
    </w:p>
    <w:p w14:paraId="20EE71C1" w14:textId="069E47BF" w:rsidR="00086E45" w:rsidRPr="0071730A" w:rsidRDefault="00086E45" w:rsidP="00086E45">
      <w:pPr>
        <w:pStyle w:val="Caption"/>
        <w:rPr>
          <w:rFonts w:asciiTheme="minorHAnsi" w:hAnsiTheme="minorHAnsi" w:cstheme="minorHAnsi"/>
          <w:sz w:val="24"/>
          <w:szCs w:val="24"/>
        </w:rPr>
      </w:pPr>
      <w:r w:rsidRPr="0071730A">
        <w:rPr>
          <w:rFonts w:asciiTheme="minorHAnsi" w:hAnsiTheme="minorHAnsi" w:cstheme="minorHAnsi"/>
          <w:sz w:val="24"/>
          <w:szCs w:val="24"/>
        </w:rPr>
        <w:t xml:space="preserve">Table </w:t>
      </w:r>
      <w:r w:rsidR="00314055">
        <w:rPr>
          <w:rFonts w:asciiTheme="minorHAnsi" w:hAnsiTheme="minorHAnsi" w:cstheme="minorHAnsi"/>
          <w:sz w:val="24"/>
          <w:szCs w:val="24"/>
        </w:rPr>
        <w:t>1</w:t>
      </w:r>
      <w:r w:rsidR="00314055" w:rsidRPr="0071730A">
        <w:rPr>
          <w:rFonts w:asciiTheme="minorHAnsi" w:hAnsiTheme="minorHAnsi" w:cstheme="minorHAnsi"/>
          <w:sz w:val="24"/>
          <w:szCs w:val="24"/>
        </w:rPr>
        <w:t xml:space="preserve"> </w:t>
      </w:r>
      <w:r>
        <w:rPr>
          <w:rFonts w:asciiTheme="minorHAnsi" w:hAnsiTheme="minorHAnsi" w:cstheme="minorHAnsi"/>
          <w:sz w:val="24"/>
          <w:szCs w:val="24"/>
        </w:rPr>
        <w:t>Prominent tropical</w:t>
      </w:r>
      <w:r w:rsidRPr="0071730A">
        <w:rPr>
          <w:rFonts w:asciiTheme="minorHAnsi" w:hAnsiTheme="minorHAnsi" w:cstheme="minorHAnsi"/>
          <w:sz w:val="24"/>
          <w:szCs w:val="24"/>
        </w:rPr>
        <w:t xml:space="preserve"> Australian </w:t>
      </w:r>
      <w:r>
        <w:rPr>
          <w:rFonts w:asciiTheme="minorHAnsi" w:hAnsiTheme="minorHAnsi" w:cstheme="minorHAnsi"/>
          <w:sz w:val="24"/>
          <w:szCs w:val="24"/>
        </w:rPr>
        <w:t>fisherie</w:t>
      </w:r>
      <w:r w:rsidRPr="0071730A">
        <w:rPr>
          <w:rFonts w:asciiTheme="minorHAnsi" w:hAnsiTheme="minorHAnsi" w:cstheme="minorHAnsi"/>
          <w:sz w:val="24"/>
          <w:szCs w:val="24"/>
        </w:rPr>
        <w:t xml:space="preserve">s </w:t>
      </w:r>
      <w:r>
        <w:rPr>
          <w:rFonts w:asciiTheme="minorHAnsi" w:hAnsiTheme="minorHAnsi" w:cstheme="minorHAnsi"/>
          <w:sz w:val="24"/>
          <w:szCs w:val="24"/>
        </w:rPr>
        <w:t>species with a life history stage that resides within estuaries of wet/dry tropical rivers, including thos</w:t>
      </w:r>
      <w:r w:rsidRPr="0071730A">
        <w:rPr>
          <w:rFonts w:asciiTheme="minorHAnsi" w:hAnsiTheme="minorHAnsi" w:cstheme="minorHAnsi"/>
          <w:sz w:val="24"/>
          <w:szCs w:val="24"/>
        </w:rPr>
        <w:t>e catchment</w:t>
      </w:r>
      <w:r>
        <w:rPr>
          <w:rFonts w:asciiTheme="minorHAnsi" w:hAnsiTheme="minorHAnsi" w:cstheme="minorHAnsi"/>
          <w:sz w:val="24"/>
          <w:szCs w:val="24"/>
        </w:rPr>
        <w:t>s suitable</w:t>
      </w:r>
      <w:r w:rsidRPr="0071730A">
        <w:rPr>
          <w:rFonts w:asciiTheme="minorHAnsi" w:hAnsiTheme="minorHAnsi" w:cstheme="minorHAnsi"/>
          <w:sz w:val="24"/>
          <w:szCs w:val="24"/>
        </w:rPr>
        <w:t xml:space="preserve"> for irrigated agriculture in northern Australia</w:t>
      </w:r>
      <w:r>
        <w:rPr>
          <w:rFonts w:asciiTheme="minorHAnsi" w:hAnsiTheme="minorHAnsi" w:cstheme="minorHAnsi"/>
          <w:sz w:val="24"/>
          <w:szCs w:val="24"/>
        </w:rPr>
        <w:t xml:space="preserve"> (Bayliss et al. 2014; Laird 2020)</w:t>
      </w:r>
      <w:r w:rsidRPr="0071730A">
        <w:rPr>
          <w:rFonts w:asciiTheme="minorHAnsi" w:hAnsiTheme="minorHAnsi" w:cstheme="minorHAnsi"/>
          <w:sz w:val="24"/>
          <w:szCs w:val="24"/>
        </w:rPr>
        <w:t>.</w:t>
      </w:r>
      <w:r>
        <w:rPr>
          <w:rFonts w:asciiTheme="minorHAnsi" w:hAnsiTheme="minorHAnsi" w:cstheme="minorHAnsi"/>
          <w:sz w:val="24"/>
          <w:szCs w:val="24"/>
        </w:rPr>
        <w:t xml:space="preserve">  </w:t>
      </w:r>
    </w:p>
    <w:tbl>
      <w:tblPr>
        <w:tblW w:w="9356" w:type="dxa"/>
        <w:jc w:val="center"/>
        <w:tblBorders>
          <w:bottom w:val="single" w:sz="12" w:space="0" w:color="000000"/>
        </w:tblBorders>
        <w:tblLook w:val="04A0" w:firstRow="1" w:lastRow="0" w:firstColumn="1" w:lastColumn="0" w:noHBand="0" w:noVBand="1"/>
      </w:tblPr>
      <w:tblGrid>
        <w:gridCol w:w="1440"/>
        <w:gridCol w:w="1980"/>
        <w:gridCol w:w="2180"/>
        <w:gridCol w:w="1495"/>
        <w:gridCol w:w="2261"/>
      </w:tblGrid>
      <w:tr w:rsidR="000C4F52" w:rsidRPr="0095570C" w14:paraId="3043DC5D" w14:textId="77777777" w:rsidTr="007B1345">
        <w:trPr>
          <w:trHeight w:val="794"/>
          <w:jc w:val="center"/>
        </w:trPr>
        <w:tc>
          <w:tcPr>
            <w:tcW w:w="1440" w:type="dxa"/>
            <w:tcBorders>
              <w:bottom w:val="single" w:sz="12" w:space="0" w:color="000000"/>
            </w:tcBorders>
            <w:shd w:val="solid" w:color="800000" w:fill="FFFFFF"/>
          </w:tcPr>
          <w:p w14:paraId="768EB44E" w14:textId="77777777" w:rsidR="00086E45" w:rsidRPr="0095570C" w:rsidRDefault="00086E45" w:rsidP="00111E28">
            <w:pPr>
              <w:pStyle w:val="FootnoteText"/>
              <w:spacing w:before="120"/>
              <w:rPr>
                <w:rFonts w:asciiTheme="minorHAnsi" w:hAnsiTheme="minorHAnsi" w:cstheme="minorHAnsi"/>
                <w:b/>
                <w:bCs/>
                <w:i/>
                <w:iCs/>
                <w:color w:val="FFFFFF"/>
                <w:sz w:val="22"/>
                <w:szCs w:val="22"/>
              </w:rPr>
            </w:pPr>
            <w:r w:rsidRPr="0095570C">
              <w:rPr>
                <w:rFonts w:asciiTheme="minorHAnsi" w:hAnsiTheme="minorHAnsi" w:cstheme="minorHAnsi"/>
                <w:b/>
                <w:bCs/>
                <w:i/>
                <w:iCs/>
                <w:color w:val="FFFFFF"/>
                <w:sz w:val="22"/>
                <w:szCs w:val="22"/>
              </w:rPr>
              <w:t>Fishery</w:t>
            </w:r>
          </w:p>
        </w:tc>
        <w:tc>
          <w:tcPr>
            <w:tcW w:w="1980" w:type="dxa"/>
            <w:tcBorders>
              <w:bottom w:val="single" w:sz="12" w:space="0" w:color="000000"/>
            </w:tcBorders>
            <w:shd w:val="solid" w:color="800000" w:fill="FFFFFF"/>
          </w:tcPr>
          <w:p w14:paraId="5BA80135" w14:textId="77777777" w:rsidR="00086E45" w:rsidRPr="0095570C" w:rsidRDefault="00086E45" w:rsidP="00111E28">
            <w:pPr>
              <w:pStyle w:val="FootnoteText"/>
              <w:spacing w:before="120"/>
              <w:rPr>
                <w:rFonts w:asciiTheme="minorHAnsi" w:hAnsiTheme="minorHAnsi" w:cstheme="minorHAnsi"/>
                <w:b/>
                <w:bCs/>
                <w:i/>
                <w:iCs/>
                <w:color w:val="FFFFFF"/>
                <w:sz w:val="22"/>
                <w:szCs w:val="22"/>
              </w:rPr>
            </w:pPr>
            <w:r w:rsidRPr="0095570C">
              <w:rPr>
                <w:rFonts w:asciiTheme="minorHAnsi" w:hAnsiTheme="minorHAnsi" w:cstheme="minorHAnsi"/>
                <w:b/>
                <w:bCs/>
                <w:i/>
                <w:iCs/>
                <w:color w:val="FFFFFF"/>
                <w:sz w:val="22"/>
                <w:szCs w:val="22"/>
              </w:rPr>
              <w:t>Species fished</w:t>
            </w:r>
          </w:p>
        </w:tc>
        <w:tc>
          <w:tcPr>
            <w:tcW w:w="2180" w:type="dxa"/>
            <w:tcBorders>
              <w:bottom w:val="single" w:sz="12" w:space="0" w:color="000000"/>
            </w:tcBorders>
            <w:shd w:val="solid" w:color="800000" w:fill="FFFFFF"/>
          </w:tcPr>
          <w:p w14:paraId="5743253F" w14:textId="77777777" w:rsidR="00086E45" w:rsidRPr="0095570C" w:rsidRDefault="00086E45" w:rsidP="00111E28">
            <w:pPr>
              <w:pStyle w:val="FootnoteText"/>
              <w:spacing w:before="120"/>
              <w:rPr>
                <w:rFonts w:asciiTheme="minorHAnsi" w:hAnsiTheme="minorHAnsi" w:cstheme="minorHAnsi"/>
                <w:b/>
                <w:bCs/>
                <w:i/>
                <w:iCs/>
                <w:color w:val="FFFFFF"/>
                <w:sz w:val="22"/>
                <w:szCs w:val="22"/>
              </w:rPr>
            </w:pPr>
            <w:r w:rsidRPr="0095570C">
              <w:rPr>
                <w:rFonts w:asciiTheme="minorHAnsi" w:hAnsiTheme="minorHAnsi" w:cstheme="minorHAnsi"/>
                <w:b/>
                <w:bCs/>
                <w:i/>
                <w:iCs/>
                <w:color w:val="FFFFFF"/>
                <w:sz w:val="22"/>
                <w:szCs w:val="22"/>
              </w:rPr>
              <w:t xml:space="preserve">Tonnage (10-year average) </w:t>
            </w:r>
          </w:p>
        </w:tc>
        <w:tc>
          <w:tcPr>
            <w:tcW w:w="1495" w:type="dxa"/>
            <w:tcBorders>
              <w:bottom w:val="single" w:sz="12" w:space="0" w:color="000000"/>
            </w:tcBorders>
            <w:shd w:val="solid" w:color="800000" w:fill="FFFFFF"/>
          </w:tcPr>
          <w:p w14:paraId="45F8B74E" w14:textId="77777777" w:rsidR="00086E45" w:rsidRPr="0095570C" w:rsidRDefault="00086E45" w:rsidP="00111E28">
            <w:pPr>
              <w:pStyle w:val="FootnoteText"/>
              <w:spacing w:before="120"/>
              <w:rPr>
                <w:rFonts w:asciiTheme="minorHAnsi" w:hAnsiTheme="minorHAnsi" w:cstheme="minorHAnsi"/>
                <w:b/>
                <w:bCs/>
                <w:i/>
                <w:iCs/>
                <w:color w:val="FFFFFF"/>
                <w:sz w:val="22"/>
                <w:szCs w:val="22"/>
              </w:rPr>
            </w:pPr>
            <w:r w:rsidRPr="0095570C">
              <w:rPr>
                <w:rFonts w:asciiTheme="minorHAnsi" w:hAnsiTheme="minorHAnsi" w:cstheme="minorHAnsi"/>
                <w:b/>
                <w:bCs/>
                <w:i/>
                <w:iCs/>
                <w:color w:val="FFFFFF"/>
                <w:sz w:val="22"/>
                <w:szCs w:val="22"/>
              </w:rPr>
              <w:t>Proportion of catch</w:t>
            </w:r>
          </w:p>
        </w:tc>
        <w:tc>
          <w:tcPr>
            <w:tcW w:w="2261" w:type="dxa"/>
            <w:tcBorders>
              <w:bottom w:val="single" w:sz="12" w:space="0" w:color="000000"/>
            </w:tcBorders>
            <w:shd w:val="solid" w:color="800000" w:fill="FFFFFF"/>
          </w:tcPr>
          <w:p w14:paraId="719D07DF" w14:textId="77777777" w:rsidR="00086E45" w:rsidRPr="0095570C" w:rsidRDefault="00086E45" w:rsidP="00111E28">
            <w:pPr>
              <w:pStyle w:val="FootnoteText"/>
              <w:spacing w:before="120"/>
              <w:rPr>
                <w:rFonts w:asciiTheme="minorHAnsi" w:hAnsiTheme="minorHAnsi" w:cstheme="minorHAnsi"/>
                <w:b/>
                <w:bCs/>
                <w:i/>
                <w:iCs/>
                <w:color w:val="FFFFFF"/>
                <w:sz w:val="22"/>
                <w:szCs w:val="22"/>
              </w:rPr>
            </w:pPr>
            <w:r w:rsidRPr="0095570C">
              <w:rPr>
                <w:rFonts w:asciiTheme="minorHAnsi" w:hAnsiTheme="minorHAnsi" w:cstheme="minorHAnsi"/>
                <w:b/>
                <w:bCs/>
                <w:i/>
                <w:iCs/>
                <w:color w:val="FFFFFF"/>
                <w:sz w:val="22"/>
                <w:szCs w:val="22"/>
              </w:rPr>
              <w:t>Fishery value (combined)</w:t>
            </w:r>
          </w:p>
        </w:tc>
      </w:tr>
      <w:tr w:rsidR="000C4F52" w:rsidRPr="0095570C" w14:paraId="0AEB5426" w14:textId="77777777" w:rsidTr="007B1345">
        <w:trPr>
          <w:trHeight w:val="794"/>
          <w:jc w:val="center"/>
        </w:trPr>
        <w:tc>
          <w:tcPr>
            <w:tcW w:w="1440" w:type="dxa"/>
            <w:tcBorders>
              <w:bottom w:val="nil"/>
            </w:tcBorders>
            <w:shd w:val="pct20" w:color="FFFF00" w:fill="FFFFFF"/>
          </w:tcPr>
          <w:p w14:paraId="3669BA6C" w14:textId="77777777" w:rsidR="00086E45" w:rsidRPr="0095570C" w:rsidRDefault="00086E45" w:rsidP="00111E28">
            <w:pPr>
              <w:pStyle w:val="FootnoteText"/>
              <w:spacing w:before="120"/>
              <w:rPr>
                <w:rFonts w:asciiTheme="minorHAnsi" w:hAnsiTheme="minorHAnsi" w:cstheme="minorHAnsi"/>
                <w:b/>
                <w:bCs/>
                <w:i/>
                <w:iCs/>
                <w:sz w:val="22"/>
                <w:szCs w:val="22"/>
              </w:rPr>
            </w:pPr>
            <w:r w:rsidRPr="0095570C">
              <w:rPr>
                <w:rFonts w:asciiTheme="minorHAnsi" w:hAnsiTheme="minorHAnsi" w:cstheme="minorHAnsi"/>
                <w:b/>
                <w:bCs/>
                <w:i/>
                <w:iCs/>
                <w:sz w:val="22"/>
                <w:szCs w:val="22"/>
              </w:rPr>
              <w:t>NPF</w:t>
            </w:r>
          </w:p>
        </w:tc>
        <w:tc>
          <w:tcPr>
            <w:tcW w:w="1980" w:type="dxa"/>
            <w:tcBorders>
              <w:bottom w:val="nil"/>
            </w:tcBorders>
            <w:shd w:val="pct20" w:color="FFFF00" w:fill="FFFFFF"/>
          </w:tcPr>
          <w:p w14:paraId="11218486"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Banana prawns</w:t>
            </w:r>
          </w:p>
        </w:tc>
        <w:tc>
          <w:tcPr>
            <w:tcW w:w="2180" w:type="dxa"/>
            <w:tcBorders>
              <w:bottom w:val="nil"/>
            </w:tcBorders>
            <w:shd w:val="pct20" w:color="FFFF00" w:fill="FFFFFF"/>
          </w:tcPr>
          <w:p w14:paraId="4DE5C080"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4942</w:t>
            </w:r>
          </w:p>
        </w:tc>
        <w:tc>
          <w:tcPr>
            <w:tcW w:w="1495" w:type="dxa"/>
            <w:tcBorders>
              <w:bottom w:val="nil"/>
            </w:tcBorders>
            <w:shd w:val="pct20" w:color="FFFF00" w:fill="FFFFFF"/>
          </w:tcPr>
          <w:p w14:paraId="0216D4B5"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68%</w:t>
            </w:r>
          </w:p>
        </w:tc>
        <w:tc>
          <w:tcPr>
            <w:tcW w:w="2261" w:type="dxa"/>
            <w:tcBorders>
              <w:bottom w:val="nil"/>
            </w:tcBorders>
            <w:shd w:val="pct20" w:color="FFFF00" w:fill="FFFFFF"/>
          </w:tcPr>
          <w:p w14:paraId="40EACDF0"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$110 M 2019</w:t>
            </w:r>
          </w:p>
        </w:tc>
      </w:tr>
      <w:tr w:rsidR="000C4F52" w:rsidRPr="0095570C" w14:paraId="4C620246" w14:textId="77777777" w:rsidTr="007B1345">
        <w:trPr>
          <w:trHeight w:val="794"/>
          <w:jc w:val="center"/>
        </w:trPr>
        <w:tc>
          <w:tcPr>
            <w:tcW w:w="1440" w:type="dxa"/>
            <w:tcBorders>
              <w:bottom w:val="nil"/>
            </w:tcBorders>
            <w:shd w:val="pct20" w:color="FFFF00" w:fill="FFFFFF"/>
          </w:tcPr>
          <w:p w14:paraId="0107E5C3" w14:textId="77777777" w:rsidR="00086E45" w:rsidRPr="0095570C" w:rsidRDefault="00086E45" w:rsidP="00111E28">
            <w:pPr>
              <w:pStyle w:val="FootnoteText"/>
              <w:spacing w:before="120"/>
              <w:rPr>
                <w:rFonts w:asciiTheme="minorHAnsi" w:hAnsiTheme="minorHAnsi" w:cstheme="minorHAnsi"/>
                <w:b/>
                <w:bCs/>
                <w:i/>
                <w:iCs/>
                <w:sz w:val="22"/>
                <w:szCs w:val="22"/>
              </w:rPr>
            </w:pPr>
          </w:p>
        </w:tc>
        <w:tc>
          <w:tcPr>
            <w:tcW w:w="1980" w:type="dxa"/>
            <w:tcBorders>
              <w:bottom w:val="nil"/>
            </w:tcBorders>
            <w:shd w:val="pct20" w:color="FFFF00" w:fill="FFFFFF"/>
          </w:tcPr>
          <w:p w14:paraId="270626E9"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Tiger prawns</w:t>
            </w:r>
          </w:p>
        </w:tc>
        <w:tc>
          <w:tcPr>
            <w:tcW w:w="2180" w:type="dxa"/>
            <w:tcBorders>
              <w:bottom w:val="nil"/>
            </w:tcBorders>
            <w:shd w:val="pct20" w:color="FFFF00" w:fill="FFFFFF"/>
          </w:tcPr>
          <w:p w14:paraId="320F6D8C"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1750</w:t>
            </w:r>
          </w:p>
        </w:tc>
        <w:tc>
          <w:tcPr>
            <w:tcW w:w="1495" w:type="dxa"/>
            <w:tcBorders>
              <w:bottom w:val="nil"/>
            </w:tcBorders>
            <w:shd w:val="pct20" w:color="FFFF00" w:fill="FFFFFF"/>
          </w:tcPr>
          <w:p w14:paraId="14EA5BFB"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24%</w:t>
            </w:r>
          </w:p>
        </w:tc>
        <w:tc>
          <w:tcPr>
            <w:tcW w:w="2261" w:type="dxa"/>
            <w:tcBorders>
              <w:bottom w:val="nil"/>
            </w:tcBorders>
            <w:shd w:val="pct20" w:color="FFFF00" w:fill="FFFFFF"/>
          </w:tcPr>
          <w:p w14:paraId="7DD76C48" w14:textId="77777777" w:rsidR="00086E45" w:rsidRPr="0095570C" w:rsidRDefault="00086E45" w:rsidP="00111E28">
            <w:pPr>
              <w:pStyle w:val="FootnoteText"/>
              <w:spacing w:before="120"/>
              <w:rPr>
                <w:rFonts w:asciiTheme="minorHAnsi" w:hAnsiTheme="minorHAnsi" w:cstheme="minorHAnsi"/>
                <w:sz w:val="22"/>
                <w:szCs w:val="22"/>
              </w:rPr>
            </w:pPr>
          </w:p>
        </w:tc>
      </w:tr>
      <w:tr w:rsidR="000C4F52" w:rsidRPr="0095570C" w14:paraId="1D0AE32D" w14:textId="77777777" w:rsidTr="007B1345">
        <w:trPr>
          <w:trHeight w:val="794"/>
          <w:jc w:val="center"/>
        </w:trPr>
        <w:tc>
          <w:tcPr>
            <w:tcW w:w="1440" w:type="dxa"/>
            <w:tcBorders>
              <w:bottom w:val="nil"/>
            </w:tcBorders>
            <w:shd w:val="pct20" w:color="FFFF00" w:fill="FFFFFF"/>
          </w:tcPr>
          <w:p w14:paraId="66FE2041" w14:textId="77777777" w:rsidR="00086E45" w:rsidRPr="0095570C" w:rsidRDefault="00086E45" w:rsidP="00111E28">
            <w:pPr>
              <w:pStyle w:val="FootnoteText"/>
              <w:spacing w:before="120"/>
              <w:rPr>
                <w:rFonts w:asciiTheme="minorHAnsi" w:hAnsiTheme="minorHAnsi" w:cstheme="minorHAnsi"/>
                <w:b/>
                <w:bCs/>
                <w:i/>
                <w:iCs/>
                <w:sz w:val="22"/>
                <w:szCs w:val="22"/>
              </w:rPr>
            </w:pPr>
          </w:p>
        </w:tc>
        <w:tc>
          <w:tcPr>
            <w:tcW w:w="1980" w:type="dxa"/>
            <w:tcBorders>
              <w:bottom w:val="nil"/>
            </w:tcBorders>
            <w:shd w:val="pct20" w:color="FFFF00" w:fill="FFFFFF"/>
          </w:tcPr>
          <w:p w14:paraId="3E283BE0"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Endeavour prawns</w:t>
            </w:r>
          </w:p>
        </w:tc>
        <w:tc>
          <w:tcPr>
            <w:tcW w:w="2180" w:type="dxa"/>
            <w:tcBorders>
              <w:bottom w:val="nil"/>
            </w:tcBorders>
            <w:shd w:val="pct20" w:color="FFFF00" w:fill="FFFFFF"/>
          </w:tcPr>
          <w:p w14:paraId="288DC72F"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501</w:t>
            </w:r>
          </w:p>
        </w:tc>
        <w:tc>
          <w:tcPr>
            <w:tcW w:w="1495" w:type="dxa"/>
            <w:tcBorders>
              <w:bottom w:val="nil"/>
            </w:tcBorders>
            <w:shd w:val="pct20" w:color="FFFF00" w:fill="FFFFFF"/>
          </w:tcPr>
          <w:p w14:paraId="621F2280"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7%</w:t>
            </w:r>
          </w:p>
        </w:tc>
        <w:tc>
          <w:tcPr>
            <w:tcW w:w="2261" w:type="dxa"/>
            <w:tcBorders>
              <w:bottom w:val="nil"/>
            </w:tcBorders>
            <w:shd w:val="pct20" w:color="FFFF00" w:fill="FFFFFF"/>
          </w:tcPr>
          <w:p w14:paraId="5F7B6CD4" w14:textId="77777777" w:rsidR="00086E45" w:rsidRPr="0095570C" w:rsidRDefault="00086E45" w:rsidP="00111E28">
            <w:pPr>
              <w:pStyle w:val="FootnoteText"/>
              <w:spacing w:before="120"/>
              <w:rPr>
                <w:rFonts w:asciiTheme="minorHAnsi" w:hAnsiTheme="minorHAnsi" w:cstheme="minorHAnsi"/>
                <w:sz w:val="22"/>
                <w:szCs w:val="22"/>
              </w:rPr>
            </w:pPr>
          </w:p>
        </w:tc>
      </w:tr>
      <w:tr w:rsidR="000C4F52" w:rsidRPr="0095570C" w14:paraId="69806884" w14:textId="77777777" w:rsidTr="007B1345">
        <w:trPr>
          <w:trHeight w:val="794"/>
          <w:jc w:val="center"/>
        </w:trPr>
        <w:tc>
          <w:tcPr>
            <w:tcW w:w="1440" w:type="dxa"/>
            <w:tcBorders>
              <w:bottom w:val="nil"/>
            </w:tcBorders>
            <w:shd w:val="pct20" w:color="FFFF00" w:fill="FFFFFF"/>
          </w:tcPr>
          <w:p w14:paraId="45B9E6E0" w14:textId="77777777" w:rsidR="00086E45" w:rsidRPr="0095570C" w:rsidRDefault="00086E45" w:rsidP="00111E28">
            <w:pPr>
              <w:pStyle w:val="FootnoteText"/>
              <w:spacing w:before="120"/>
              <w:rPr>
                <w:rFonts w:asciiTheme="minorHAnsi" w:hAnsiTheme="minorHAnsi" w:cstheme="minorHAnsi"/>
                <w:b/>
                <w:bCs/>
                <w:i/>
                <w:iCs/>
                <w:sz w:val="22"/>
                <w:szCs w:val="22"/>
              </w:rPr>
            </w:pPr>
            <w:r w:rsidRPr="0095570C">
              <w:rPr>
                <w:rFonts w:asciiTheme="minorHAnsi" w:hAnsiTheme="minorHAnsi" w:cstheme="minorHAnsi"/>
                <w:b/>
                <w:bCs/>
                <w:i/>
                <w:iCs/>
                <w:sz w:val="22"/>
                <w:szCs w:val="22"/>
              </w:rPr>
              <w:t>Inshore Net (Queensland)</w:t>
            </w:r>
          </w:p>
        </w:tc>
        <w:tc>
          <w:tcPr>
            <w:tcW w:w="1980" w:type="dxa"/>
            <w:tcBorders>
              <w:bottom w:val="nil"/>
            </w:tcBorders>
            <w:shd w:val="pct20" w:color="FFFF00" w:fill="FFFFFF"/>
          </w:tcPr>
          <w:p w14:paraId="07DAFBB1"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Barramundi</w:t>
            </w:r>
          </w:p>
        </w:tc>
        <w:tc>
          <w:tcPr>
            <w:tcW w:w="2180" w:type="dxa"/>
            <w:tcBorders>
              <w:bottom w:val="nil"/>
            </w:tcBorders>
            <w:shd w:val="pct20" w:color="FFFF00" w:fill="FFFFFF"/>
          </w:tcPr>
          <w:p w14:paraId="76F66062"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793</w:t>
            </w:r>
          </w:p>
        </w:tc>
        <w:tc>
          <w:tcPr>
            <w:tcW w:w="1495" w:type="dxa"/>
            <w:tcBorders>
              <w:bottom w:val="nil"/>
            </w:tcBorders>
            <w:shd w:val="pct20" w:color="FFFF00" w:fill="FFFFFF"/>
          </w:tcPr>
          <w:p w14:paraId="64DC7A73"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66%</w:t>
            </w:r>
          </w:p>
        </w:tc>
        <w:tc>
          <w:tcPr>
            <w:tcW w:w="2261" w:type="dxa"/>
            <w:tcBorders>
              <w:bottom w:val="nil"/>
            </w:tcBorders>
            <w:shd w:val="pct20" w:color="FFFF00" w:fill="FFFFFF"/>
          </w:tcPr>
          <w:p w14:paraId="79526883"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&lt;$20 M</w:t>
            </w:r>
          </w:p>
        </w:tc>
      </w:tr>
      <w:tr w:rsidR="000C4F52" w:rsidRPr="0095570C" w14:paraId="74CDB0A9" w14:textId="77777777" w:rsidTr="007B1345">
        <w:trPr>
          <w:trHeight w:val="794"/>
          <w:jc w:val="center"/>
        </w:trPr>
        <w:tc>
          <w:tcPr>
            <w:tcW w:w="1440" w:type="dxa"/>
            <w:tcBorders>
              <w:bottom w:val="nil"/>
            </w:tcBorders>
            <w:shd w:val="pct20" w:color="FFFF00" w:fill="FFFFFF"/>
          </w:tcPr>
          <w:p w14:paraId="7E3684C3" w14:textId="77777777" w:rsidR="00086E45" w:rsidRPr="0095570C" w:rsidRDefault="00086E45" w:rsidP="00111E28">
            <w:pPr>
              <w:pStyle w:val="FootnoteText"/>
              <w:spacing w:before="120"/>
              <w:rPr>
                <w:rFonts w:asciiTheme="minorHAnsi" w:hAnsiTheme="minorHAnsi" w:cstheme="minorHAnsi"/>
                <w:b/>
                <w:bCs/>
                <w:i/>
                <w:iCs/>
                <w:sz w:val="22"/>
                <w:szCs w:val="22"/>
              </w:rPr>
            </w:pPr>
          </w:p>
        </w:tc>
        <w:tc>
          <w:tcPr>
            <w:tcW w:w="1980" w:type="dxa"/>
            <w:tcBorders>
              <w:bottom w:val="nil"/>
            </w:tcBorders>
            <w:shd w:val="pct20" w:color="FFFF00" w:fill="FFFFFF"/>
          </w:tcPr>
          <w:p w14:paraId="0C9033DD"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King threadfin</w:t>
            </w:r>
          </w:p>
        </w:tc>
        <w:tc>
          <w:tcPr>
            <w:tcW w:w="2180" w:type="dxa"/>
            <w:tcBorders>
              <w:bottom w:val="nil"/>
            </w:tcBorders>
            <w:shd w:val="pct20" w:color="FFFF00" w:fill="FFFFFF"/>
          </w:tcPr>
          <w:p w14:paraId="1322650D"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300</w:t>
            </w:r>
          </w:p>
        </w:tc>
        <w:tc>
          <w:tcPr>
            <w:tcW w:w="1495" w:type="dxa"/>
            <w:tcBorders>
              <w:bottom w:val="nil"/>
            </w:tcBorders>
            <w:shd w:val="pct20" w:color="FFFF00" w:fill="FFFFFF"/>
          </w:tcPr>
          <w:p w14:paraId="298B6D4E"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25%</w:t>
            </w:r>
          </w:p>
        </w:tc>
        <w:tc>
          <w:tcPr>
            <w:tcW w:w="2261" w:type="dxa"/>
            <w:tcBorders>
              <w:bottom w:val="nil"/>
            </w:tcBorders>
            <w:shd w:val="pct20" w:color="FFFF00" w:fill="FFFFFF"/>
          </w:tcPr>
          <w:p w14:paraId="64ED0B0C" w14:textId="77777777" w:rsidR="00086E45" w:rsidRPr="0095570C" w:rsidRDefault="00086E45" w:rsidP="00111E28">
            <w:pPr>
              <w:pStyle w:val="FootnoteText"/>
              <w:spacing w:before="120"/>
              <w:rPr>
                <w:rFonts w:asciiTheme="minorHAnsi" w:hAnsiTheme="minorHAnsi" w:cstheme="minorHAnsi"/>
                <w:sz w:val="22"/>
                <w:szCs w:val="22"/>
              </w:rPr>
            </w:pPr>
          </w:p>
        </w:tc>
      </w:tr>
      <w:tr w:rsidR="000C4F52" w:rsidRPr="0095570C" w14:paraId="37A8493A" w14:textId="77777777" w:rsidTr="007B1345">
        <w:trPr>
          <w:trHeight w:val="794"/>
          <w:jc w:val="center"/>
        </w:trPr>
        <w:tc>
          <w:tcPr>
            <w:tcW w:w="1440" w:type="dxa"/>
            <w:tcBorders>
              <w:bottom w:val="nil"/>
            </w:tcBorders>
            <w:shd w:val="pct20" w:color="FFFF00" w:fill="FFFFFF"/>
          </w:tcPr>
          <w:p w14:paraId="11FF336A" w14:textId="77777777" w:rsidR="00086E45" w:rsidRPr="0095570C" w:rsidRDefault="00086E45" w:rsidP="00111E28">
            <w:pPr>
              <w:pStyle w:val="FootnoteText"/>
              <w:spacing w:before="120"/>
              <w:rPr>
                <w:rFonts w:asciiTheme="minorHAnsi" w:hAnsiTheme="minorHAnsi" w:cstheme="minorHAnsi"/>
                <w:b/>
                <w:bCs/>
                <w:i/>
                <w:iCs/>
                <w:sz w:val="22"/>
                <w:szCs w:val="22"/>
              </w:rPr>
            </w:pPr>
          </w:p>
        </w:tc>
        <w:tc>
          <w:tcPr>
            <w:tcW w:w="1980" w:type="dxa"/>
            <w:tcBorders>
              <w:bottom w:val="nil"/>
            </w:tcBorders>
            <w:shd w:val="pct20" w:color="FFFF00" w:fill="FFFFFF"/>
          </w:tcPr>
          <w:p w14:paraId="06643244"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Blue threadfin</w:t>
            </w:r>
          </w:p>
        </w:tc>
        <w:tc>
          <w:tcPr>
            <w:tcW w:w="2180" w:type="dxa"/>
            <w:tcBorders>
              <w:bottom w:val="nil"/>
            </w:tcBorders>
            <w:shd w:val="pct20" w:color="FFFF00" w:fill="FFFFFF"/>
          </w:tcPr>
          <w:p w14:paraId="4CE91C7D"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80</w:t>
            </w:r>
          </w:p>
        </w:tc>
        <w:tc>
          <w:tcPr>
            <w:tcW w:w="1495" w:type="dxa"/>
            <w:tcBorders>
              <w:bottom w:val="nil"/>
            </w:tcBorders>
            <w:shd w:val="pct20" w:color="FFFF00" w:fill="FFFFFF"/>
          </w:tcPr>
          <w:p w14:paraId="25F6D3AF"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7%</w:t>
            </w:r>
          </w:p>
        </w:tc>
        <w:tc>
          <w:tcPr>
            <w:tcW w:w="2261" w:type="dxa"/>
            <w:tcBorders>
              <w:bottom w:val="nil"/>
            </w:tcBorders>
            <w:shd w:val="pct20" w:color="FFFF00" w:fill="FFFFFF"/>
          </w:tcPr>
          <w:p w14:paraId="0923A61D" w14:textId="77777777" w:rsidR="00086E45" w:rsidRPr="0095570C" w:rsidRDefault="00086E45" w:rsidP="00111E28">
            <w:pPr>
              <w:pStyle w:val="FootnoteText"/>
              <w:spacing w:before="120"/>
              <w:rPr>
                <w:rFonts w:asciiTheme="minorHAnsi" w:hAnsiTheme="minorHAnsi" w:cstheme="minorHAnsi"/>
                <w:sz w:val="22"/>
                <w:szCs w:val="22"/>
              </w:rPr>
            </w:pPr>
          </w:p>
        </w:tc>
      </w:tr>
      <w:tr w:rsidR="000C4F52" w:rsidRPr="0095570C" w14:paraId="59CD1FF0" w14:textId="77777777" w:rsidTr="007B1345">
        <w:trPr>
          <w:trHeight w:val="794"/>
          <w:jc w:val="center"/>
        </w:trPr>
        <w:tc>
          <w:tcPr>
            <w:tcW w:w="1440" w:type="dxa"/>
            <w:tcBorders>
              <w:bottom w:val="nil"/>
            </w:tcBorders>
            <w:shd w:val="pct20" w:color="FFFF00" w:fill="FFFFFF"/>
          </w:tcPr>
          <w:p w14:paraId="4E0E13BB" w14:textId="77777777" w:rsidR="00086E45" w:rsidRPr="0095570C" w:rsidRDefault="00086E45" w:rsidP="00111E28">
            <w:pPr>
              <w:pStyle w:val="FootnoteText"/>
              <w:spacing w:before="120"/>
              <w:rPr>
                <w:rFonts w:asciiTheme="minorHAnsi" w:hAnsiTheme="minorHAnsi" w:cstheme="minorHAnsi"/>
                <w:b/>
                <w:bCs/>
                <w:i/>
                <w:iCs/>
                <w:sz w:val="22"/>
                <w:szCs w:val="22"/>
              </w:rPr>
            </w:pPr>
          </w:p>
        </w:tc>
        <w:tc>
          <w:tcPr>
            <w:tcW w:w="1980" w:type="dxa"/>
            <w:tcBorders>
              <w:bottom w:val="nil"/>
            </w:tcBorders>
            <w:shd w:val="pct20" w:color="FFFF00" w:fill="FFFFFF"/>
          </w:tcPr>
          <w:p w14:paraId="0D17C8B9"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Queenfish</w:t>
            </w:r>
          </w:p>
        </w:tc>
        <w:tc>
          <w:tcPr>
            <w:tcW w:w="2180" w:type="dxa"/>
            <w:tcBorders>
              <w:bottom w:val="nil"/>
            </w:tcBorders>
            <w:shd w:val="pct20" w:color="FFFF00" w:fill="FFFFFF"/>
          </w:tcPr>
          <w:p w14:paraId="647C283D"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20</w:t>
            </w:r>
          </w:p>
        </w:tc>
        <w:tc>
          <w:tcPr>
            <w:tcW w:w="1495" w:type="dxa"/>
            <w:tcBorders>
              <w:bottom w:val="nil"/>
            </w:tcBorders>
            <w:shd w:val="pct20" w:color="FFFF00" w:fill="FFFFFF"/>
          </w:tcPr>
          <w:p w14:paraId="0A208D7F"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2%</w:t>
            </w:r>
          </w:p>
        </w:tc>
        <w:tc>
          <w:tcPr>
            <w:tcW w:w="2261" w:type="dxa"/>
            <w:tcBorders>
              <w:bottom w:val="nil"/>
            </w:tcBorders>
            <w:shd w:val="pct20" w:color="FFFF00" w:fill="FFFFFF"/>
          </w:tcPr>
          <w:p w14:paraId="1DE0F2BE" w14:textId="77777777" w:rsidR="00086E45" w:rsidRPr="0095570C" w:rsidRDefault="00086E45" w:rsidP="00111E28">
            <w:pPr>
              <w:pStyle w:val="FootnoteText"/>
              <w:spacing w:before="120"/>
              <w:rPr>
                <w:rFonts w:asciiTheme="minorHAnsi" w:hAnsiTheme="minorHAnsi" w:cstheme="minorHAnsi"/>
                <w:sz w:val="22"/>
                <w:szCs w:val="22"/>
              </w:rPr>
            </w:pPr>
          </w:p>
        </w:tc>
      </w:tr>
      <w:tr w:rsidR="000C4F52" w:rsidRPr="0095570C" w14:paraId="57DBAE14" w14:textId="77777777" w:rsidTr="007B1345">
        <w:trPr>
          <w:trHeight w:val="794"/>
          <w:jc w:val="center"/>
        </w:trPr>
        <w:tc>
          <w:tcPr>
            <w:tcW w:w="1440" w:type="dxa"/>
            <w:tcBorders>
              <w:bottom w:val="nil"/>
            </w:tcBorders>
            <w:shd w:val="pct20" w:color="FFFF00" w:fill="FFFFFF"/>
          </w:tcPr>
          <w:p w14:paraId="2D4F2DE1" w14:textId="77777777" w:rsidR="00086E45" w:rsidRPr="0095570C" w:rsidRDefault="00086E45" w:rsidP="00111E28">
            <w:pPr>
              <w:pStyle w:val="FootnoteText"/>
              <w:spacing w:before="120"/>
              <w:rPr>
                <w:rFonts w:asciiTheme="minorHAnsi" w:hAnsiTheme="minorHAnsi" w:cstheme="minorHAnsi"/>
                <w:b/>
                <w:bCs/>
                <w:i/>
                <w:iCs/>
                <w:sz w:val="22"/>
                <w:szCs w:val="22"/>
              </w:rPr>
            </w:pPr>
            <w:r w:rsidRPr="0095570C">
              <w:rPr>
                <w:rFonts w:asciiTheme="minorHAnsi" w:hAnsiTheme="minorHAnsi" w:cstheme="minorHAnsi"/>
                <w:b/>
                <w:bCs/>
                <w:i/>
                <w:iCs/>
                <w:sz w:val="22"/>
                <w:szCs w:val="22"/>
              </w:rPr>
              <w:t>Mudcrab</w:t>
            </w:r>
          </w:p>
        </w:tc>
        <w:tc>
          <w:tcPr>
            <w:tcW w:w="1980" w:type="dxa"/>
            <w:tcBorders>
              <w:bottom w:val="nil"/>
            </w:tcBorders>
            <w:shd w:val="pct20" w:color="FFFF00" w:fill="FFFFFF"/>
          </w:tcPr>
          <w:p w14:paraId="519FD599"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Mudcrab (NT)</w:t>
            </w:r>
          </w:p>
        </w:tc>
        <w:tc>
          <w:tcPr>
            <w:tcW w:w="2180" w:type="dxa"/>
            <w:tcBorders>
              <w:bottom w:val="nil"/>
            </w:tcBorders>
            <w:shd w:val="pct20" w:color="FFFF00" w:fill="FFFFFF"/>
          </w:tcPr>
          <w:p w14:paraId="7BD225A5"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215</w:t>
            </w:r>
          </w:p>
        </w:tc>
        <w:tc>
          <w:tcPr>
            <w:tcW w:w="1495" w:type="dxa"/>
            <w:tcBorders>
              <w:bottom w:val="nil"/>
            </w:tcBorders>
            <w:shd w:val="pct20" w:color="FFFF00" w:fill="FFFFFF"/>
          </w:tcPr>
          <w:p w14:paraId="47FB2DB1"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60%</w:t>
            </w:r>
          </w:p>
        </w:tc>
        <w:tc>
          <w:tcPr>
            <w:tcW w:w="2261" w:type="dxa"/>
            <w:tcBorders>
              <w:bottom w:val="nil"/>
            </w:tcBorders>
            <w:shd w:val="pct20" w:color="FFFF00" w:fill="FFFFFF"/>
          </w:tcPr>
          <w:p w14:paraId="0A14B7CB"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&lt;$20 M</w:t>
            </w:r>
          </w:p>
        </w:tc>
      </w:tr>
      <w:tr w:rsidR="000C4F52" w:rsidRPr="0095570C" w14:paraId="21AB50BF" w14:textId="77777777" w:rsidTr="007B1345">
        <w:trPr>
          <w:trHeight w:val="794"/>
          <w:jc w:val="center"/>
        </w:trPr>
        <w:tc>
          <w:tcPr>
            <w:tcW w:w="1440" w:type="dxa"/>
            <w:tcBorders>
              <w:bottom w:val="single" w:sz="12" w:space="0" w:color="auto"/>
            </w:tcBorders>
            <w:shd w:val="pct20" w:color="FFFF00" w:fill="FFFFFF"/>
          </w:tcPr>
          <w:p w14:paraId="21B20C1C" w14:textId="77777777" w:rsidR="00086E45" w:rsidRPr="0095570C" w:rsidRDefault="00086E45" w:rsidP="00111E28">
            <w:pPr>
              <w:pStyle w:val="FootnoteText"/>
              <w:spacing w:before="120"/>
              <w:rPr>
                <w:rFonts w:asciiTheme="minorHAnsi" w:hAnsiTheme="minorHAnsi" w:cstheme="minorHAnsi"/>
                <w:b/>
                <w:bCs/>
                <w:i/>
                <w:iCs/>
                <w:sz w:val="22"/>
                <w:szCs w:val="22"/>
              </w:rPr>
            </w:pPr>
          </w:p>
        </w:tc>
        <w:tc>
          <w:tcPr>
            <w:tcW w:w="1980" w:type="dxa"/>
            <w:tcBorders>
              <w:bottom w:val="single" w:sz="12" w:space="0" w:color="auto"/>
            </w:tcBorders>
            <w:shd w:val="pct20" w:color="FFFF00" w:fill="FFFFFF"/>
          </w:tcPr>
          <w:p w14:paraId="468755A7"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Mudcrab (Qld)</w:t>
            </w:r>
          </w:p>
        </w:tc>
        <w:tc>
          <w:tcPr>
            <w:tcW w:w="2180" w:type="dxa"/>
            <w:tcBorders>
              <w:bottom w:val="single" w:sz="12" w:space="0" w:color="auto"/>
            </w:tcBorders>
            <w:shd w:val="pct20" w:color="FFFF00" w:fill="FFFFFF"/>
          </w:tcPr>
          <w:p w14:paraId="50EDCC72"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183 (130 in 2017)</w:t>
            </w:r>
          </w:p>
        </w:tc>
        <w:tc>
          <w:tcPr>
            <w:tcW w:w="1495" w:type="dxa"/>
            <w:tcBorders>
              <w:bottom w:val="single" w:sz="12" w:space="0" w:color="auto"/>
            </w:tcBorders>
            <w:shd w:val="pct20" w:color="FFFF00" w:fill="FFFFFF"/>
          </w:tcPr>
          <w:p w14:paraId="4DC91704"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40%</w:t>
            </w:r>
          </w:p>
        </w:tc>
        <w:tc>
          <w:tcPr>
            <w:tcW w:w="2261" w:type="dxa"/>
            <w:tcBorders>
              <w:bottom w:val="single" w:sz="12" w:space="0" w:color="auto"/>
            </w:tcBorders>
            <w:shd w:val="pct20" w:color="FFFF00" w:fill="FFFFFF"/>
          </w:tcPr>
          <w:p w14:paraId="3684D9FB" w14:textId="77777777" w:rsidR="00086E45" w:rsidRPr="0095570C" w:rsidRDefault="00086E45" w:rsidP="00111E28">
            <w:pPr>
              <w:pStyle w:val="FootnoteText"/>
              <w:spacing w:before="120"/>
              <w:rPr>
                <w:rFonts w:asciiTheme="minorHAnsi" w:hAnsiTheme="minorHAnsi" w:cstheme="minorHAnsi"/>
                <w:sz w:val="22"/>
                <w:szCs w:val="22"/>
              </w:rPr>
            </w:pPr>
            <w:r w:rsidRPr="0095570C">
              <w:rPr>
                <w:rFonts w:asciiTheme="minorHAnsi" w:hAnsiTheme="minorHAnsi" w:cstheme="minorHAnsi"/>
                <w:sz w:val="22"/>
                <w:szCs w:val="22"/>
              </w:rPr>
              <w:t>&lt; $20 M</w:t>
            </w:r>
          </w:p>
        </w:tc>
      </w:tr>
    </w:tbl>
    <w:p w14:paraId="728444E6" w14:textId="77777777" w:rsidR="001B59D8" w:rsidRDefault="001B59D8" w:rsidP="00C315C2">
      <w:pPr>
        <w:spacing w:after="240"/>
        <w:rPr>
          <w:rFonts w:asciiTheme="minorHAnsi" w:hAnsiTheme="minorHAnsi"/>
          <w:sz w:val="24"/>
          <w:szCs w:val="24"/>
        </w:rPr>
      </w:pPr>
    </w:p>
    <w:p w14:paraId="3BBE2E6B" w14:textId="78C39634" w:rsidR="00123492" w:rsidRDefault="007E03CA" w:rsidP="003C5B13">
      <w:pPr>
        <w:pStyle w:val="Heading3"/>
      </w:pPr>
      <w:r w:rsidRPr="003C5B13">
        <w:lastRenderedPageBreak/>
        <w:t>Suggested inclusion</w:t>
      </w:r>
      <w:r w:rsidR="0058416C">
        <w:t>s</w:t>
      </w:r>
      <w:r w:rsidRPr="003C5B13">
        <w:t xml:space="preserve"> </w:t>
      </w:r>
      <w:r w:rsidR="00A609BD">
        <w:t>in relation to t</w:t>
      </w:r>
      <w:r w:rsidR="00123492">
        <w:t xml:space="preserve">ropical rivers </w:t>
      </w:r>
      <w:r w:rsidR="00A609BD">
        <w:t xml:space="preserve">and </w:t>
      </w:r>
      <w:r w:rsidR="00123492">
        <w:t>National Water Reform</w:t>
      </w:r>
      <w:r w:rsidR="00A609BD">
        <w:t xml:space="preserve"> </w:t>
      </w:r>
    </w:p>
    <w:p w14:paraId="267648D8" w14:textId="08C2FF06" w:rsidR="00C315C2" w:rsidRPr="0014247F" w:rsidRDefault="00C315C2" w:rsidP="00C315C2">
      <w:pPr>
        <w:spacing w:after="240"/>
        <w:rPr>
          <w:rFonts w:asciiTheme="minorHAnsi" w:hAnsiTheme="minorHAnsi"/>
          <w:sz w:val="24"/>
          <w:szCs w:val="24"/>
        </w:rPr>
      </w:pPr>
      <w:r>
        <w:rPr>
          <w:rFonts w:asciiTheme="minorHAnsi" w:hAnsiTheme="minorHAnsi"/>
          <w:sz w:val="24"/>
          <w:szCs w:val="24"/>
        </w:rPr>
        <w:t>The current National Water Initiative (NWI) proposes “….</w:t>
      </w:r>
      <w:r w:rsidRPr="00516D0A">
        <w:rPr>
          <w:rFonts w:asciiTheme="minorHAnsi" w:hAnsiTheme="minorHAnsi"/>
          <w:sz w:val="24"/>
          <w:szCs w:val="24"/>
        </w:rPr>
        <w:t>to ensure that proposals for investment in new or refurbished water infrastructure continue to be assessed as economically viable and ecologically sustainable prior to the investment occurring</w:t>
      </w:r>
      <w:r>
        <w:rPr>
          <w:rFonts w:asciiTheme="minorHAnsi" w:hAnsiTheme="minorHAnsi"/>
          <w:sz w:val="24"/>
          <w:szCs w:val="24"/>
        </w:rPr>
        <w:t>” (Productivity Commission 2020).  The Environmental Management section of the Executive Summary of the NWR 2020 Report states that an aim is</w:t>
      </w:r>
      <w:r w:rsidRPr="0014247F">
        <w:rPr>
          <w:rFonts w:asciiTheme="minorHAnsi" w:hAnsiTheme="minorHAnsi"/>
          <w:sz w:val="24"/>
          <w:szCs w:val="24"/>
        </w:rPr>
        <w:t xml:space="preserve"> </w:t>
      </w:r>
      <w:r>
        <w:rPr>
          <w:rFonts w:asciiTheme="minorHAnsi" w:hAnsiTheme="minorHAnsi"/>
          <w:sz w:val="24"/>
          <w:szCs w:val="24"/>
        </w:rPr>
        <w:t>“</w:t>
      </w:r>
      <w:r w:rsidRPr="0014247F">
        <w:rPr>
          <w:rFonts w:asciiTheme="minorHAnsi" w:hAnsiTheme="minorHAnsi"/>
          <w:sz w:val="24"/>
          <w:szCs w:val="24"/>
          <w:lang w:eastAsia="en-US"/>
        </w:rPr>
        <w:t xml:space="preserve">clearly specifying environmental objectives and outcomes; ensuring adequate low-flow provisions; integrating environmental water management with waterway and catchment </w:t>
      </w:r>
      <w:r w:rsidRPr="0014247F">
        <w:rPr>
          <w:rFonts w:asciiTheme="minorHAnsi" w:hAnsiTheme="minorHAnsi"/>
          <w:sz w:val="24"/>
          <w:szCs w:val="24"/>
        </w:rPr>
        <w:t>management; identifying institutional responsibility for waterway management</w:t>
      </w:r>
      <w:r>
        <w:rPr>
          <w:rFonts w:asciiTheme="minorHAnsi" w:hAnsiTheme="minorHAnsi"/>
          <w:sz w:val="24"/>
          <w:szCs w:val="24"/>
        </w:rPr>
        <w:t>; creating adaptive</w:t>
      </w:r>
      <w:r w:rsidRPr="0014247F">
        <w:rPr>
          <w:rFonts w:asciiTheme="minorHAnsi" w:hAnsiTheme="minorHAnsi"/>
          <w:sz w:val="24"/>
          <w:szCs w:val="24"/>
        </w:rPr>
        <w:t xml:space="preserve"> monitoring programs; and developing clear processes to adapt environmental management objectives as changes in climate</w:t>
      </w:r>
      <w:r>
        <w:rPr>
          <w:rFonts w:asciiTheme="minorHAnsi" w:hAnsiTheme="minorHAnsi"/>
          <w:sz w:val="24"/>
          <w:szCs w:val="24"/>
        </w:rPr>
        <w:t xml:space="preserve"> necessitate”. </w:t>
      </w:r>
    </w:p>
    <w:p w14:paraId="790E20C1" w14:textId="3BC011A0" w:rsidR="00A609BD" w:rsidRPr="003C5B13" w:rsidRDefault="00A609BD" w:rsidP="00D27B3D">
      <w:pPr>
        <w:spacing w:after="240"/>
        <w:rPr>
          <w:rFonts w:asciiTheme="minorHAnsi" w:hAnsiTheme="minorHAnsi"/>
          <w:sz w:val="24"/>
          <w:szCs w:val="24"/>
        </w:rPr>
      </w:pPr>
      <w:r>
        <w:rPr>
          <w:rFonts w:asciiTheme="minorHAnsi" w:hAnsiTheme="minorHAnsi"/>
          <w:sz w:val="24"/>
          <w:szCs w:val="24"/>
        </w:rPr>
        <w:t xml:space="preserve">To achieve these aims for the next decade of Australian </w:t>
      </w:r>
      <w:r w:rsidR="003427BF">
        <w:rPr>
          <w:rFonts w:asciiTheme="minorHAnsi" w:hAnsiTheme="minorHAnsi"/>
          <w:sz w:val="24"/>
          <w:szCs w:val="24"/>
        </w:rPr>
        <w:t>water resource development</w:t>
      </w:r>
      <w:r>
        <w:rPr>
          <w:rFonts w:asciiTheme="minorHAnsi" w:hAnsiTheme="minorHAnsi"/>
          <w:sz w:val="24"/>
          <w:szCs w:val="24"/>
        </w:rPr>
        <w:t xml:space="preserve">, </w:t>
      </w:r>
      <w:r w:rsidR="005D4A53">
        <w:rPr>
          <w:rFonts w:asciiTheme="minorHAnsi" w:hAnsiTheme="minorHAnsi"/>
          <w:sz w:val="24"/>
          <w:szCs w:val="24"/>
        </w:rPr>
        <w:t>national water reform</w:t>
      </w:r>
      <w:r>
        <w:rPr>
          <w:rFonts w:asciiTheme="minorHAnsi" w:hAnsiTheme="minorHAnsi"/>
          <w:sz w:val="24"/>
          <w:szCs w:val="24"/>
        </w:rPr>
        <w:t xml:space="preserve"> </w:t>
      </w:r>
      <w:r w:rsidR="005D4A53">
        <w:rPr>
          <w:rFonts w:asciiTheme="minorHAnsi" w:hAnsiTheme="minorHAnsi"/>
          <w:sz w:val="24"/>
          <w:szCs w:val="24"/>
        </w:rPr>
        <w:t>will need</w:t>
      </w:r>
      <w:r>
        <w:rPr>
          <w:rFonts w:asciiTheme="minorHAnsi" w:hAnsiTheme="minorHAnsi"/>
          <w:sz w:val="24"/>
          <w:szCs w:val="24"/>
        </w:rPr>
        <w:t xml:space="preserve"> to address </w:t>
      </w:r>
      <w:r w:rsidRPr="003C5B13">
        <w:rPr>
          <w:rFonts w:asciiTheme="minorHAnsi" w:hAnsiTheme="minorHAnsi"/>
          <w:sz w:val="24"/>
          <w:szCs w:val="24"/>
        </w:rPr>
        <w:t xml:space="preserve">water resource management to sustain environmental </w:t>
      </w:r>
      <w:r w:rsidR="4DCFADE8" w:rsidRPr="003C5B13">
        <w:rPr>
          <w:rFonts w:asciiTheme="minorHAnsi" w:hAnsiTheme="minorHAnsi"/>
          <w:sz w:val="24"/>
          <w:szCs w:val="24"/>
        </w:rPr>
        <w:t>water</w:t>
      </w:r>
      <w:r w:rsidRPr="003C5B13">
        <w:rPr>
          <w:rFonts w:asciiTheme="minorHAnsi" w:hAnsiTheme="minorHAnsi"/>
          <w:sz w:val="24"/>
          <w:szCs w:val="24"/>
        </w:rPr>
        <w:t xml:space="preserve"> and ecosystem service provision to tropical estuaries and estuarine dependent species within the geographic locations of likely development of irrigated agriculture.</w:t>
      </w:r>
    </w:p>
    <w:p w14:paraId="30D148E9" w14:textId="267D2DEF" w:rsidR="00C315C2" w:rsidRPr="003C5B13" w:rsidRDefault="00B35BFF" w:rsidP="003C5B13">
      <w:pPr>
        <w:pStyle w:val="BodyText"/>
        <w:spacing w:before="0" w:after="240" w:line="240" w:lineRule="auto"/>
        <w:rPr>
          <w:rFonts w:asciiTheme="minorHAnsi" w:hAnsiTheme="minorHAnsi"/>
          <w:szCs w:val="24"/>
        </w:rPr>
      </w:pPr>
      <w:r>
        <w:rPr>
          <w:rFonts w:asciiTheme="minorHAnsi" w:hAnsiTheme="minorHAnsi"/>
          <w:szCs w:val="24"/>
        </w:rPr>
        <w:t>T</w:t>
      </w:r>
      <w:r w:rsidR="00C315C2" w:rsidRPr="003C5B13">
        <w:rPr>
          <w:rFonts w:asciiTheme="minorHAnsi" w:hAnsiTheme="minorHAnsi"/>
          <w:szCs w:val="24"/>
        </w:rPr>
        <w:t xml:space="preserve">he </w:t>
      </w:r>
      <w:r w:rsidR="005D4A53" w:rsidRPr="003C5B13">
        <w:rPr>
          <w:rFonts w:asciiTheme="minorHAnsi" w:hAnsiTheme="minorHAnsi"/>
          <w:szCs w:val="24"/>
        </w:rPr>
        <w:t>NWR 2020</w:t>
      </w:r>
      <w:r w:rsidR="00C315C2" w:rsidRPr="003C5B13">
        <w:rPr>
          <w:rFonts w:asciiTheme="minorHAnsi" w:hAnsiTheme="minorHAnsi"/>
          <w:szCs w:val="24"/>
        </w:rPr>
        <w:t xml:space="preserve"> </w:t>
      </w:r>
      <w:r>
        <w:rPr>
          <w:rFonts w:asciiTheme="minorHAnsi" w:hAnsiTheme="minorHAnsi"/>
          <w:szCs w:val="24"/>
        </w:rPr>
        <w:t xml:space="preserve">however </w:t>
      </w:r>
      <w:r w:rsidR="00C315C2" w:rsidRPr="003C5B13">
        <w:rPr>
          <w:rFonts w:asciiTheme="minorHAnsi" w:hAnsiTheme="minorHAnsi"/>
          <w:szCs w:val="24"/>
        </w:rPr>
        <w:t xml:space="preserve">does not address the challenge for tropical rivers.  The scope of the </w:t>
      </w:r>
      <w:r w:rsidR="005D4A53" w:rsidRPr="003C5B13">
        <w:rPr>
          <w:rFonts w:asciiTheme="minorHAnsi" w:hAnsiTheme="minorHAnsi"/>
          <w:szCs w:val="24"/>
        </w:rPr>
        <w:t>NWR 2020</w:t>
      </w:r>
      <w:r w:rsidR="00C315C2" w:rsidRPr="003C5B13">
        <w:rPr>
          <w:rFonts w:asciiTheme="minorHAnsi" w:hAnsiTheme="minorHAnsi"/>
          <w:szCs w:val="24"/>
        </w:rPr>
        <w:t xml:space="preserve"> does not extend to estuaries and coasts, nor the influence of riverine flows as drivers of habitat suitability and estuarine productivity in the coastal ecosystem.  We </w:t>
      </w:r>
      <w:r w:rsidR="007E03CA" w:rsidRPr="003C5B13">
        <w:rPr>
          <w:rFonts w:asciiTheme="minorHAnsi" w:hAnsiTheme="minorHAnsi"/>
          <w:szCs w:val="24"/>
        </w:rPr>
        <w:t>suggest</w:t>
      </w:r>
      <w:r w:rsidR="00C315C2" w:rsidRPr="003C5B13">
        <w:rPr>
          <w:rFonts w:asciiTheme="minorHAnsi" w:hAnsiTheme="minorHAnsi"/>
          <w:szCs w:val="24"/>
        </w:rPr>
        <w:t xml:space="preserve"> the NWR 2020 consider incorporating a chapter describing the landscape and ecological characteristics of tropical rivers, especially their extensive estuaries, and the relevance of seasonal and annual flow characteristics that sustain ecological service provision for coastal ecosystems by river flows.</w:t>
      </w:r>
    </w:p>
    <w:p w14:paraId="3641BAB3" w14:textId="1B6FF330" w:rsidR="00086E45" w:rsidRPr="00324496" w:rsidRDefault="00086E45" w:rsidP="00086E45">
      <w:pPr>
        <w:pStyle w:val="Heading2"/>
        <w:ind w:left="1134" w:hanging="1134"/>
      </w:pPr>
      <w:bookmarkStart w:id="9" w:name="_Toc67399280"/>
      <w:bookmarkStart w:id="10" w:name="_Toc67399358"/>
      <w:bookmarkStart w:id="11" w:name="_Toc67399402"/>
      <w:bookmarkStart w:id="12" w:name="_Toc67491712"/>
      <w:bookmarkStart w:id="13" w:name="_Toc67491765"/>
      <w:bookmarkStart w:id="14" w:name="_Toc67496377"/>
      <w:r>
        <w:t>Three tropical fisheries that are dependent on tropical river estuaries</w:t>
      </w:r>
      <w:bookmarkEnd w:id="9"/>
      <w:bookmarkEnd w:id="10"/>
      <w:bookmarkEnd w:id="11"/>
      <w:bookmarkEnd w:id="12"/>
      <w:bookmarkEnd w:id="13"/>
      <w:bookmarkEnd w:id="14"/>
    </w:p>
    <w:p w14:paraId="12A4247F" w14:textId="2B57E88A" w:rsidR="00086E45" w:rsidRPr="0071730A" w:rsidRDefault="00086E45" w:rsidP="00086E45">
      <w:pPr>
        <w:spacing w:after="240"/>
        <w:rPr>
          <w:rFonts w:asciiTheme="minorHAnsi" w:hAnsiTheme="minorHAnsi" w:cstheme="minorHAnsi"/>
          <w:sz w:val="24"/>
          <w:szCs w:val="24"/>
        </w:rPr>
      </w:pPr>
      <w:r w:rsidRPr="0071730A">
        <w:rPr>
          <w:rFonts w:asciiTheme="minorHAnsi" w:hAnsiTheme="minorHAnsi" w:cstheme="minorHAnsi"/>
          <w:sz w:val="24"/>
          <w:szCs w:val="24"/>
        </w:rPr>
        <w:t xml:space="preserve">Banana prawns </w:t>
      </w:r>
      <w:r>
        <w:rPr>
          <w:rFonts w:asciiTheme="minorHAnsi" w:hAnsiTheme="minorHAnsi" w:cstheme="minorHAnsi"/>
          <w:sz w:val="24"/>
          <w:szCs w:val="24"/>
        </w:rPr>
        <w:t>(</w:t>
      </w:r>
      <w:r w:rsidRPr="00F3536A">
        <w:rPr>
          <w:rFonts w:asciiTheme="minorHAnsi" w:hAnsiTheme="minorHAnsi" w:cstheme="minorHAnsi"/>
          <w:i/>
          <w:iCs/>
          <w:sz w:val="24"/>
          <w:szCs w:val="24"/>
        </w:rPr>
        <w:t>Penaeus</w:t>
      </w:r>
      <w:r>
        <w:rPr>
          <w:rFonts w:asciiTheme="minorHAnsi" w:hAnsiTheme="minorHAnsi" w:cstheme="minorHAnsi"/>
          <w:sz w:val="24"/>
          <w:szCs w:val="24"/>
        </w:rPr>
        <w:t xml:space="preserve"> </w:t>
      </w:r>
      <w:proofErr w:type="spellStart"/>
      <w:r w:rsidRPr="00F3536A">
        <w:rPr>
          <w:rFonts w:asciiTheme="minorHAnsi" w:hAnsiTheme="minorHAnsi" w:cstheme="minorHAnsi"/>
          <w:i/>
          <w:iCs/>
          <w:sz w:val="24"/>
          <w:szCs w:val="24"/>
        </w:rPr>
        <w:t>merguiensis</w:t>
      </w:r>
      <w:proofErr w:type="spellEnd"/>
      <w:r>
        <w:rPr>
          <w:rFonts w:asciiTheme="minorHAnsi" w:hAnsiTheme="minorHAnsi" w:cstheme="minorHAnsi"/>
          <w:sz w:val="24"/>
          <w:szCs w:val="24"/>
        </w:rPr>
        <w:t xml:space="preserve">) </w:t>
      </w:r>
      <w:r w:rsidRPr="0071730A">
        <w:rPr>
          <w:rFonts w:asciiTheme="minorHAnsi" w:hAnsiTheme="minorHAnsi" w:cstheme="minorHAnsi"/>
          <w:sz w:val="24"/>
          <w:szCs w:val="24"/>
        </w:rPr>
        <w:t xml:space="preserve">are characterised by an annual inshore/offshore life history where the adults occupy relatively shallow coastal waters (10-30 m deep) and highly fecund females spawn large numbers of eggs which develop into pelagic larvae.  </w:t>
      </w:r>
      <w:r w:rsidR="00B35BFF">
        <w:rPr>
          <w:rFonts w:asciiTheme="minorHAnsi" w:hAnsiTheme="minorHAnsi" w:cstheme="minorHAnsi"/>
          <w:sz w:val="24"/>
          <w:szCs w:val="24"/>
        </w:rPr>
        <w:t>During</w:t>
      </w:r>
      <w:r w:rsidRPr="0071730A">
        <w:rPr>
          <w:rFonts w:asciiTheme="minorHAnsi" w:hAnsiTheme="minorHAnsi" w:cstheme="minorHAnsi"/>
          <w:sz w:val="24"/>
          <w:szCs w:val="24"/>
        </w:rPr>
        <w:t xml:space="preserve"> their juvenile phase </w:t>
      </w:r>
      <w:r w:rsidR="00B35BFF">
        <w:rPr>
          <w:rFonts w:asciiTheme="minorHAnsi" w:hAnsiTheme="minorHAnsi" w:cstheme="minorHAnsi"/>
          <w:sz w:val="24"/>
          <w:szCs w:val="24"/>
        </w:rPr>
        <w:t xml:space="preserve">however they </w:t>
      </w:r>
      <w:r w:rsidRPr="0071730A">
        <w:rPr>
          <w:rFonts w:asciiTheme="minorHAnsi" w:hAnsiTheme="minorHAnsi" w:cstheme="minorHAnsi"/>
          <w:sz w:val="24"/>
          <w:szCs w:val="24"/>
        </w:rPr>
        <w:t xml:space="preserve">are estuarine residents and over about 3-4 weeks, the larvae </w:t>
      </w:r>
      <w:proofErr w:type="spellStart"/>
      <w:r w:rsidRPr="0071730A">
        <w:rPr>
          <w:rFonts w:asciiTheme="minorHAnsi" w:hAnsiTheme="minorHAnsi" w:cstheme="minorHAnsi"/>
          <w:sz w:val="24"/>
          <w:szCs w:val="24"/>
        </w:rPr>
        <w:t>advect</w:t>
      </w:r>
      <w:proofErr w:type="spellEnd"/>
      <w:r w:rsidRPr="0071730A">
        <w:rPr>
          <w:rFonts w:asciiTheme="minorHAnsi" w:hAnsiTheme="minorHAnsi" w:cstheme="minorHAnsi"/>
          <w:sz w:val="24"/>
          <w:szCs w:val="24"/>
        </w:rPr>
        <w:t xml:space="preserve"> inshore on current and tides to move up the large estuaries of tropical Australian rivers to become benthic residents within the mudbank-mangrove forest matrix in estuarine tributaries.  They reside within the estuary for 3-4 months and as they grow, they move to downstream estuarine habitats from where they emigrate offshore to grow to adults.  Natural mortality and fish predation </w:t>
      </w:r>
      <w:proofErr w:type="gramStart"/>
      <w:r w:rsidRPr="0071730A">
        <w:rPr>
          <w:rFonts w:asciiTheme="minorHAnsi" w:hAnsiTheme="minorHAnsi" w:cstheme="minorHAnsi"/>
          <w:sz w:val="24"/>
          <w:szCs w:val="24"/>
        </w:rPr>
        <w:t>is</w:t>
      </w:r>
      <w:proofErr w:type="gramEnd"/>
      <w:r w:rsidRPr="0071730A">
        <w:rPr>
          <w:rFonts w:asciiTheme="minorHAnsi" w:hAnsiTheme="minorHAnsi" w:cstheme="minorHAnsi"/>
          <w:sz w:val="24"/>
          <w:szCs w:val="24"/>
        </w:rPr>
        <w:t xml:space="preserve"> high within estuarine habitats</w:t>
      </w:r>
      <w:r w:rsidR="00B35BFF">
        <w:rPr>
          <w:rFonts w:asciiTheme="minorHAnsi" w:hAnsiTheme="minorHAnsi" w:cstheme="minorHAnsi"/>
          <w:sz w:val="24"/>
          <w:szCs w:val="24"/>
        </w:rPr>
        <w:t>,</w:t>
      </w:r>
      <w:r w:rsidRPr="0071730A">
        <w:rPr>
          <w:rFonts w:asciiTheme="minorHAnsi" w:hAnsiTheme="minorHAnsi" w:cstheme="minorHAnsi"/>
          <w:sz w:val="24"/>
          <w:szCs w:val="24"/>
        </w:rPr>
        <w:t xml:space="preserve"> and the population suffers mortality that can reach 20% per week.  Forty years of biological research has demonstrated that large catches of banana prawns in the offshore fishery are directly related to high-level flood flows that cue estuarine juvenile banana prawns to emigrate offshore to marine habitats where mortality is low</w:t>
      </w:r>
      <w:r>
        <w:rPr>
          <w:rFonts w:asciiTheme="minorHAnsi" w:hAnsiTheme="minorHAnsi" w:cstheme="minorHAnsi"/>
          <w:sz w:val="24"/>
          <w:szCs w:val="24"/>
        </w:rPr>
        <w:t>er</w:t>
      </w:r>
      <w:r w:rsidRPr="0071730A">
        <w:rPr>
          <w:rFonts w:asciiTheme="minorHAnsi" w:hAnsiTheme="minorHAnsi" w:cstheme="minorHAnsi"/>
          <w:sz w:val="24"/>
          <w:szCs w:val="24"/>
        </w:rPr>
        <w:t>, the population thrives, and they are harvested annually (Vance et al</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1998, Duggan et al</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201</w:t>
      </w:r>
      <w:r>
        <w:rPr>
          <w:rFonts w:asciiTheme="minorHAnsi" w:hAnsiTheme="minorHAnsi" w:cstheme="minorHAnsi"/>
          <w:sz w:val="24"/>
          <w:szCs w:val="24"/>
        </w:rPr>
        <w:t>9</w:t>
      </w:r>
      <w:r w:rsidRPr="0071730A">
        <w:rPr>
          <w:rFonts w:asciiTheme="minorHAnsi" w:hAnsiTheme="minorHAnsi" w:cstheme="minorHAnsi"/>
          <w:sz w:val="24"/>
          <w:szCs w:val="24"/>
        </w:rPr>
        <w:t xml:space="preserve">, </w:t>
      </w:r>
      <w:proofErr w:type="spellStart"/>
      <w:r w:rsidRPr="0071730A">
        <w:rPr>
          <w:rFonts w:asciiTheme="minorHAnsi" w:hAnsiTheme="minorHAnsi" w:cstheme="minorHAnsi"/>
          <w:sz w:val="24"/>
          <w:szCs w:val="24"/>
        </w:rPr>
        <w:t>Broadley</w:t>
      </w:r>
      <w:proofErr w:type="spellEnd"/>
      <w:r w:rsidRPr="0071730A">
        <w:rPr>
          <w:rFonts w:asciiTheme="minorHAnsi" w:hAnsiTheme="minorHAnsi" w:cstheme="minorHAnsi"/>
          <w:sz w:val="24"/>
          <w:szCs w:val="24"/>
        </w:rPr>
        <w:t xml:space="preserve"> et al. 2020).  Within-catchment water extraction or impoundment to support irrigated agriculture has the capacity to reduce the level and seasonality of annual river flows and hence reduce the </w:t>
      </w:r>
      <w:r>
        <w:rPr>
          <w:rFonts w:asciiTheme="minorHAnsi" w:hAnsiTheme="minorHAnsi" w:cstheme="minorHAnsi"/>
          <w:sz w:val="24"/>
          <w:szCs w:val="24"/>
        </w:rPr>
        <w:t xml:space="preserve">contribution of the </w:t>
      </w:r>
      <w:r w:rsidRPr="0071730A">
        <w:rPr>
          <w:rFonts w:asciiTheme="minorHAnsi" w:hAnsiTheme="minorHAnsi" w:cstheme="minorHAnsi"/>
          <w:sz w:val="24"/>
          <w:szCs w:val="24"/>
        </w:rPr>
        <w:t xml:space="preserve">annual banana prawn population </w:t>
      </w:r>
      <w:r>
        <w:rPr>
          <w:rFonts w:asciiTheme="minorHAnsi" w:hAnsiTheme="minorHAnsi" w:cstheme="minorHAnsi"/>
          <w:sz w:val="24"/>
          <w:szCs w:val="24"/>
        </w:rPr>
        <w:t>to</w:t>
      </w:r>
      <w:r w:rsidRPr="0071730A">
        <w:rPr>
          <w:rFonts w:asciiTheme="minorHAnsi" w:hAnsiTheme="minorHAnsi" w:cstheme="minorHAnsi"/>
          <w:sz w:val="24"/>
          <w:szCs w:val="24"/>
        </w:rPr>
        <w:t xml:space="preserve"> the offshore fishery.    </w:t>
      </w:r>
    </w:p>
    <w:p w14:paraId="3E18C9D8" w14:textId="6680D13E" w:rsidR="00086E45" w:rsidRPr="0071730A" w:rsidRDefault="00086E45" w:rsidP="00086E45">
      <w:pPr>
        <w:spacing w:after="240"/>
        <w:rPr>
          <w:rFonts w:asciiTheme="minorHAnsi" w:hAnsiTheme="minorHAnsi" w:cstheme="minorHAnsi"/>
          <w:sz w:val="24"/>
          <w:szCs w:val="24"/>
        </w:rPr>
      </w:pPr>
      <w:r w:rsidRPr="0071730A">
        <w:rPr>
          <w:rFonts w:asciiTheme="minorHAnsi" w:hAnsiTheme="minorHAnsi" w:cstheme="minorHAnsi"/>
          <w:sz w:val="24"/>
          <w:szCs w:val="24"/>
        </w:rPr>
        <w:t>Barramundi (</w:t>
      </w:r>
      <w:r w:rsidRPr="00F3536A">
        <w:rPr>
          <w:rFonts w:asciiTheme="minorHAnsi" w:hAnsiTheme="minorHAnsi" w:cstheme="minorHAnsi"/>
          <w:i/>
          <w:iCs/>
          <w:sz w:val="24"/>
          <w:szCs w:val="24"/>
        </w:rPr>
        <w:t>Lates</w:t>
      </w:r>
      <w:r>
        <w:rPr>
          <w:rFonts w:asciiTheme="minorHAnsi" w:hAnsiTheme="minorHAnsi" w:cstheme="minorHAnsi"/>
          <w:sz w:val="24"/>
          <w:szCs w:val="24"/>
        </w:rPr>
        <w:t xml:space="preserve"> </w:t>
      </w:r>
      <w:r w:rsidRPr="00F3536A">
        <w:rPr>
          <w:rFonts w:asciiTheme="minorHAnsi" w:hAnsiTheme="minorHAnsi" w:cstheme="minorHAnsi"/>
          <w:i/>
          <w:iCs/>
          <w:sz w:val="24"/>
          <w:szCs w:val="24"/>
        </w:rPr>
        <w:t>calcarifer</w:t>
      </w:r>
      <w:r>
        <w:rPr>
          <w:rFonts w:asciiTheme="minorHAnsi" w:hAnsiTheme="minorHAnsi" w:cstheme="minorHAnsi"/>
          <w:sz w:val="24"/>
          <w:szCs w:val="24"/>
        </w:rPr>
        <w:t>, a large catadromous predator</w:t>
      </w:r>
      <w:r w:rsidRPr="0071730A">
        <w:rPr>
          <w:rFonts w:asciiTheme="minorHAnsi" w:hAnsiTheme="minorHAnsi" w:cstheme="minorHAnsi"/>
          <w:sz w:val="24"/>
          <w:szCs w:val="24"/>
        </w:rPr>
        <w:t xml:space="preserve">) are characterised by an inshore/ riverine life history and they occupy estuaries and close-inshore habitats as adults.  They spawn in the lower estuary and the larvae and small juvenile fish are estuarine.  </w:t>
      </w:r>
      <w:r w:rsidR="00B35BFF">
        <w:rPr>
          <w:rFonts w:asciiTheme="minorHAnsi" w:hAnsiTheme="minorHAnsi" w:cstheme="minorHAnsi"/>
          <w:sz w:val="24"/>
          <w:szCs w:val="24"/>
        </w:rPr>
        <w:t>J</w:t>
      </w:r>
      <w:r w:rsidRPr="0071730A">
        <w:rPr>
          <w:rFonts w:asciiTheme="minorHAnsi" w:hAnsiTheme="minorHAnsi" w:cstheme="minorHAnsi"/>
          <w:sz w:val="24"/>
          <w:szCs w:val="24"/>
        </w:rPr>
        <w:t xml:space="preserve">uvenile fish </w:t>
      </w:r>
      <w:r w:rsidR="00B35BFF">
        <w:rPr>
          <w:rFonts w:asciiTheme="minorHAnsi" w:hAnsiTheme="minorHAnsi" w:cstheme="minorHAnsi"/>
          <w:sz w:val="24"/>
          <w:szCs w:val="24"/>
        </w:rPr>
        <w:t xml:space="preserve">however </w:t>
      </w:r>
      <w:r w:rsidRPr="0071730A">
        <w:rPr>
          <w:rFonts w:asciiTheme="minorHAnsi" w:hAnsiTheme="minorHAnsi" w:cstheme="minorHAnsi"/>
          <w:sz w:val="24"/>
          <w:szCs w:val="24"/>
        </w:rPr>
        <w:t xml:space="preserve">move upstream to freshwater riverine and floodplain aquatic habitats.  Access to freshwater floodplain habitats is dependent on the level of high river flows, overbank inundation, access to floodplain </w:t>
      </w:r>
      <w:r w:rsidRPr="0071730A">
        <w:rPr>
          <w:rFonts w:asciiTheme="minorHAnsi" w:hAnsiTheme="minorHAnsi" w:cstheme="minorHAnsi"/>
          <w:sz w:val="24"/>
          <w:szCs w:val="24"/>
        </w:rPr>
        <w:lastRenderedPageBreak/>
        <w:t xml:space="preserve">billabongs, and the creation of shallow floodplain aquatic habitats during the wet season.  During the ensuing dry season, juvenile barramundi </w:t>
      </w:r>
      <w:proofErr w:type="gramStart"/>
      <w:r w:rsidRPr="0071730A">
        <w:rPr>
          <w:rFonts w:asciiTheme="minorHAnsi" w:hAnsiTheme="minorHAnsi" w:cstheme="minorHAnsi"/>
          <w:sz w:val="24"/>
          <w:szCs w:val="24"/>
        </w:rPr>
        <w:t>occupy</w:t>
      </w:r>
      <w:proofErr w:type="gramEnd"/>
      <w:r w:rsidRPr="0071730A">
        <w:rPr>
          <w:rFonts w:asciiTheme="minorHAnsi" w:hAnsiTheme="minorHAnsi" w:cstheme="minorHAnsi"/>
          <w:sz w:val="24"/>
          <w:szCs w:val="24"/>
        </w:rPr>
        <w:t xml:space="preserve"> permanent waterhole refugia in both the </w:t>
      </w:r>
      <w:r w:rsidR="00C27353" w:rsidRPr="0071730A">
        <w:rPr>
          <w:rFonts w:asciiTheme="minorHAnsi" w:hAnsiTheme="minorHAnsi" w:cstheme="minorHAnsi"/>
          <w:sz w:val="24"/>
          <w:szCs w:val="24"/>
        </w:rPr>
        <w:t>mostly dry</w:t>
      </w:r>
      <w:r w:rsidRPr="0071730A">
        <w:rPr>
          <w:rFonts w:asciiTheme="minorHAnsi" w:hAnsiTheme="minorHAnsi" w:cstheme="minorHAnsi"/>
          <w:sz w:val="24"/>
          <w:szCs w:val="24"/>
        </w:rPr>
        <w:t xml:space="preserve"> river channels and on the floodplains.  As small adults, barramundi are all males and they spend </w:t>
      </w:r>
      <w:r>
        <w:rPr>
          <w:rFonts w:asciiTheme="minorHAnsi" w:hAnsiTheme="minorHAnsi" w:cstheme="minorHAnsi"/>
          <w:sz w:val="24"/>
          <w:szCs w:val="24"/>
        </w:rPr>
        <w:t>~1</w:t>
      </w:r>
      <w:r w:rsidRPr="0071730A">
        <w:rPr>
          <w:rFonts w:asciiTheme="minorHAnsi" w:hAnsiTheme="minorHAnsi" w:cstheme="minorHAnsi"/>
          <w:sz w:val="24"/>
          <w:szCs w:val="24"/>
        </w:rPr>
        <w:t xml:space="preserve">-3 years in freshwaters habitats.  Subsequent high-level wet season flows reconnect the refugia and male barramundi emigrate downstream to the estuary where they mix with females to ensure successful annual spawning events in the lower estuary.  Within the estuary, individual male barramundi </w:t>
      </w:r>
      <w:proofErr w:type="gramStart"/>
      <w:r w:rsidRPr="0071730A">
        <w:rPr>
          <w:rFonts w:asciiTheme="minorHAnsi" w:hAnsiTheme="minorHAnsi" w:cstheme="minorHAnsi"/>
          <w:sz w:val="24"/>
          <w:szCs w:val="24"/>
        </w:rPr>
        <w:t>transform</w:t>
      </w:r>
      <w:proofErr w:type="gramEnd"/>
      <w:r w:rsidRPr="0071730A">
        <w:rPr>
          <w:rFonts w:asciiTheme="minorHAnsi" w:hAnsiTheme="minorHAnsi" w:cstheme="minorHAnsi"/>
          <w:sz w:val="24"/>
          <w:szCs w:val="24"/>
        </w:rPr>
        <w:t xml:space="preserve"> to become females and they remain females for their ~ </w:t>
      </w:r>
      <w:r w:rsidR="00AD77DF" w:rsidRPr="0071730A">
        <w:rPr>
          <w:rFonts w:asciiTheme="minorHAnsi" w:hAnsiTheme="minorHAnsi" w:cstheme="minorHAnsi"/>
          <w:sz w:val="24"/>
          <w:szCs w:val="24"/>
        </w:rPr>
        <w:t>30-year</w:t>
      </w:r>
      <w:r w:rsidRPr="0071730A">
        <w:rPr>
          <w:rFonts w:asciiTheme="minorHAnsi" w:hAnsiTheme="minorHAnsi" w:cstheme="minorHAnsi"/>
          <w:sz w:val="24"/>
          <w:szCs w:val="24"/>
        </w:rPr>
        <w:t xml:space="preserve"> life.  They are fished as female fish using net selectivity and closed seasons to ensure only large reproductively mature fish that have contributed to the subsequent generation are harvested.  For barramundi, high level flows ensure connectivity of both floodplain and riverine habitats and riverine and estuarine habitats to sustain high population levels.  Barramundi fishery catch is lagged by </w:t>
      </w:r>
      <w:r>
        <w:rPr>
          <w:rFonts w:asciiTheme="minorHAnsi" w:hAnsiTheme="minorHAnsi" w:cstheme="minorHAnsi"/>
          <w:sz w:val="24"/>
          <w:szCs w:val="24"/>
        </w:rPr>
        <w:t>1</w:t>
      </w:r>
      <w:r w:rsidRPr="0071730A">
        <w:rPr>
          <w:rFonts w:asciiTheme="minorHAnsi" w:hAnsiTheme="minorHAnsi" w:cstheme="minorHAnsi"/>
          <w:sz w:val="24"/>
          <w:szCs w:val="24"/>
        </w:rPr>
        <w:t xml:space="preserve">-6 years as they are a longer lived species and high-level flows as juveniles and male fish support </w:t>
      </w:r>
      <w:r>
        <w:rPr>
          <w:rFonts w:asciiTheme="minorHAnsi" w:hAnsiTheme="minorHAnsi" w:cstheme="minorHAnsi"/>
          <w:sz w:val="24"/>
          <w:szCs w:val="24"/>
        </w:rPr>
        <w:t>pal</w:t>
      </w:r>
      <w:r w:rsidRPr="0071730A">
        <w:rPr>
          <w:rFonts w:asciiTheme="minorHAnsi" w:hAnsiTheme="minorHAnsi" w:cstheme="minorHAnsi"/>
          <w:sz w:val="24"/>
          <w:szCs w:val="24"/>
        </w:rPr>
        <w:t>ustrine and riverine habitat connectivity that sustains a large population which emigrates downstream to the estuarine fished population 3-6 years hence</w:t>
      </w:r>
      <w:r>
        <w:rPr>
          <w:rFonts w:asciiTheme="minorHAnsi" w:hAnsiTheme="minorHAnsi" w:cstheme="minorHAnsi"/>
          <w:sz w:val="24"/>
          <w:szCs w:val="24"/>
        </w:rPr>
        <w:t xml:space="preserve"> (</w:t>
      </w:r>
      <w:hyperlink w:anchor="_ENREF_30" w:tooltip="Robins, 2005 #1305" w:history="1">
        <w:r w:rsidRPr="003D0FBA">
          <w:rPr>
            <w:rFonts w:asciiTheme="minorHAnsi" w:hAnsiTheme="minorHAnsi"/>
            <w:noProof/>
            <w:sz w:val="24"/>
            <w:szCs w:val="24"/>
          </w:rPr>
          <w:t>Robins et al., 2005</w:t>
        </w:r>
      </w:hyperlink>
      <w:r>
        <w:rPr>
          <w:rFonts w:asciiTheme="minorHAnsi" w:hAnsiTheme="minorHAnsi" w:cstheme="minorHAnsi"/>
          <w:sz w:val="24"/>
          <w:szCs w:val="24"/>
        </w:rPr>
        <w:t>; Balston 2009; Crook et al. 2017)</w:t>
      </w:r>
      <w:r w:rsidRPr="0071730A">
        <w:rPr>
          <w:rFonts w:asciiTheme="minorHAnsi" w:hAnsiTheme="minorHAnsi" w:cstheme="minorHAnsi"/>
          <w:sz w:val="24"/>
          <w:szCs w:val="24"/>
        </w:rPr>
        <w:t xml:space="preserve">.  </w:t>
      </w:r>
    </w:p>
    <w:p w14:paraId="580435AA" w14:textId="76BE4922" w:rsidR="00086E45" w:rsidRDefault="00086E45" w:rsidP="00086E45">
      <w:pPr>
        <w:spacing w:after="240"/>
        <w:rPr>
          <w:rFonts w:asciiTheme="minorHAnsi" w:hAnsiTheme="minorHAnsi" w:cstheme="minorHAnsi"/>
          <w:sz w:val="24"/>
          <w:szCs w:val="24"/>
        </w:rPr>
      </w:pPr>
      <w:proofErr w:type="spellStart"/>
      <w:r w:rsidRPr="0071730A">
        <w:rPr>
          <w:rFonts w:asciiTheme="minorHAnsi" w:hAnsiTheme="minorHAnsi" w:cstheme="minorHAnsi"/>
          <w:sz w:val="24"/>
          <w:szCs w:val="24"/>
        </w:rPr>
        <w:t>Mudcrabs</w:t>
      </w:r>
      <w:proofErr w:type="spellEnd"/>
      <w:r w:rsidRPr="0071730A">
        <w:rPr>
          <w:rFonts w:asciiTheme="minorHAnsi" w:hAnsiTheme="minorHAnsi" w:cstheme="minorHAnsi"/>
          <w:sz w:val="24"/>
          <w:szCs w:val="24"/>
        </w:rPr>
        <w:t xml:space="preserve"> </w:t>
      </w:r>
      <w:r>
        <w:rPr>
          <w:rFonts w:asciiTheme="minorHAnsi" w:hAnsiTheme="minorHAnsi" w:cstheme="minorHAnsi"/>
          <w:sz w:val="24"/>
          <w:szCs w:val="24"/>
        </w:rPr>
        <w:t>(</w:t>
      </w:r>
      <w:r w:rsidRPr="00F3536A">
        <w:rPr>
          <w:rFonts w:asciiTheme="minorHAnsi" w:hAnsiTheme="minorHAnsi" w:cstheme="minorHAnsi"/>
          <w:i/>
          <w:iCs/>
          <w:sz w:val="24"/>
          <w:szCs w:val="24"/>
        </w:rPr>
        <w:t>Scylla</w:t>
      </w:r>
      <w:r>
        <w:rPr>
          <w:rFonts w:asciiTheme="minorHAnsi" w:hAnsiTheme="minorHAnsi" w:cstheme="minorHAnsi"/>
          <w:sz w:val="24"/>
          <w:szCs w:val="24"/>
        </w:rPr>
        <w:t xml:space="preserve"> </w:t>
      </w:r>
      <w:r w:rsidRPr="00F3536A">
        <w:rPr>
          <w:rFonts w:asciiTheme="minorHAnsi" w:hAnsiTheme="minorHAnsi" w:cstheme="minorHAnsi"/>
          <w:i/>
          <w:iCs/>
          <w:sz w:val="24"/>
          <w:szCs w:val="24"/>
        </w:rPr>
        <w:t>serrata</w:t>
      </w:r>
      <w:r>
        <w:rPr>
          <w:rFonts w:asciiTheme="minorHAnsi" w:hAnsiTheme="minorHAnsi" w:cstheme="minorHAnsi"/>
          <w:sz w:val="24"/>
          <w:szCs w:val="24"/>
        </w:rPr>
        <w:t xml:space="preserve">) </w:t>
      </w:r>
      <w:r w:rsidRPr="0071730A">
        <w:rPr>
          <w:rFonts w:asciiTheme="minorHAnsi" w:hAnsiTheme="minorHAnsi" w:cstheme="minorHAnsi"/>
          <w:sz w:val="24"/>
          <w:szCs w:val="24"/>
        </w:rPr>
        <w:t xml:space="preserve">are characterised by an inshore/offshore life history, however, unlike banana prawns, both their juvenile and adult phase are estuarine residents.  Ovigerous adult female </w:t>
      </w:r>
      <w:proofErr w:type="spellStart"/>
      <w:r w:rsidRPr="0071730A">
        <w:rPr>
          <w:rFonts w:asciiTheme="minorHAnsi" w:hAnsiTheme="minorHAnsi" w:cstheme="minorHAnsi"/>
          <w:sz w:val="24"/>
          <w:szCs w:val="24"/>
        </w:rPr>
        <w:t>mudcrabs</w:t>
      </w:r>
      <w:proofErr w:type="spellEnd"/>
      <w:r w:rsidRPr="0071730A">
        <w:rPr>
          <w:rFonts w:asciiTheme="minorHAnsi" w:hAnsiTheme="minorHAnsi" w:cstheme="minorHAnsi"/>
          <w:sz w:val="24"/>
          <w:szCs w:val="24"/>
        </w:rPr>
        <w:t xml:space="preserve"> emigrate offshore to release their eggs in marine waters and their pelagic larvae return inshore to reach their estuarine habitats where they settle to a benthic existence at the mangrove forest interface or within seagrass vegetation after about 3 months.  Juvenile </w:t>
      </w:r>
      <w:proofErr w:type="spellStart"/>
      <w:r w:rsidRPr="0071730A">
        <w:rPr>
          <w:rFonts w:asciiTheme="minorHAnsi" w:hAnsiTheme="minorHAnsi" w:cstheme="minorHAnsi"/>
          <w:sz w:val="24"/>
          <w:szCs w:val="24"/>
        </w:rPr>
        <w:t>mudcrabs</w:t>
      </w:r>
      <w:proofErr w:type="spellEnd"/>
      <w:r w:rsidRPr="0071730A">
        <w:rPr>
          <w:rFonts w:asciiTheme="minorHAnsi" w:hAnsiTheme="minorHAnsi" w:cstheme="minorHAnsi"/>
          <w:sz w:val="24"/>
          <w:szCs w:val="24"/>
        </w:rPr>
        <w:t xml:space="preserve"> are tolerant of low-salinity conditions within an estuary (3-45 ppt) and benefit from the freshwater flows delivering nutrients and stimulating productivity within estuarine habitats.  Adult crabs are less tolerant to low-salinity estuaries, though they thrive in brackish conditions.  </w:t>
      </w:r>
      <w:proofErr w:type="spellStart"/>
      <w:r w:rsidRPr="0071730A">
        <w:rPr>
          <w:rFonts w:asciiTheme="minorHAnsi" w:hAnsiTheme="minorHAnsi" w:cstheme="minorHAnsi"/>
          <w:sz w:val="24"/>
          <w:szCs w:val="24"/>
        </w:rPr>
        <w:t>Mudcrabs</w:t>
      </w:r>
      <w:proofErr w:type="spellEnd"/>
      <w:r w:rsidRPr="0071730A">
        <w:rPr>
          <w:rFonts w:asciiTheme="minorHAnsi" w:hAnsiTheme="minorHAnsi" w:cstheme="minorHAnsi"/>
          <w:sz w:val="24"/>
          <w:szCs w:val="24"/>
        </w:rPr>
        <w:t xml:space="preserve"> emigrate from </w:t>
      </w:r>
      <w:r>
        <w:rPr>
          <w:rFonts w:asciiTheme="minorHAnsi" w:hAnsiTheme="minorHAnsi" w:cstheme="minorHAnsi"/>
          <w:sz w:val="24"/>
          <w:szCs w:val="24"/>
        </w:rPr>
        <w:t xml:space="preserve">estuaries that are subject to </w:t>
      </w:r>
      <w:r w:rsidRPr="0071730A">
        <w:rPr>
          <w:rFonts w:asciiTheme="minorHAnsi" w:hAnsiTheme="minorHAnsi" w:cstheme="minorHAnsi"/>
          <w:sz w:val="24"/>
          <w:szCs w:val="24"/>
        </w:rPr>
        <w:t>freshwater e</w:t>
      </w:r>
      <w:r>
        <w:rPr>
          <w:rFonts w:asciiTheme="minorHAnsi" w:hAnsiTheme="minorHAnsi" w:cstheme="minorHAnsi"/>
          <w:sz w:val="24"/>
          <w:szCs w:val="24"/>
        </w:rPr>
        <w:t>vent</w:t>
      </w:r>
      <w:r w:rsidRPr="0071730A">
        <w:rPr>
          <w:rFonts w:asciiTheme="minorHAnsi" w:hAnsiTheme="minorHAnsi" w:cstheme="minorHAnsi"/>
          <w:sz w:val="24"/>
          <w:szCs w:val="24"/>
        </w:rPr>
        <w:t>s during high-level floods and move to coastal littoral habitats.  The relationship between flows and mudcrab</w:t>
      </w:r>
      <w:r>
        <w:rPr>
          <w:rFonts w:asciiTheme="minorHAnsi" w:hAnsiTheme="minorHAnsi" w:cstheme="minorHAnsi"/>
          <w:sz w:val="24"/>
          <w:szCs w:val="24"/>
        </w:rPr>
        <w:t xml:space="preserve"> population</w:t>
      </w:r>
      <w:r w:rsidRPr="0071730A">
        <w:rPr>
          <w:rFonts w:asciiTheme="minorHAnsi" w:hAnsiTheme="minorHAnsi" w:cstheme="minorHAnsi"/>
          <w:sz w:val="24"/>
          <w:szCs w:val="24"/>
        </w:rPr>
        <w:t xml:space="preserve">s is less </w:t>
      </w:r>
      <w:r>
        <w:rPr>
          <w:rFonts w:asciiTheme="minorHAnsi" w:hAnsiTheme="minorHAnsi" w:cstheme="minorHAnsi"/>
          <w:sz w:val="24"/>
          <w:szCs w:val="24"/>
        </w:rPr>
        <w:t xml:space="preserve">well </w:t>
      </w:r>
      <w:r w:rsidRPr="0071730A">
        <w:rPr>
          <w:rFonts w:asciiTheme="minorHAnsi" w:hAnsiTheme="minorHAnsi" w:cstheme="minorHAnsi"/>
          <w:sz w:val="24"/>
          <w:szCs w:val="24"/>
        </w:rPr>
        <w:t>defined than for banana prawn</w:t>
      </w:r>
      <w:r>
        <w:rPr>
          <w:rFonts w:asciiTheme="minorHAnsi" w:hAnsiTheme="minorHAnsi" w:cstheme="minorHAnsi"/>
          <w:sz w:val="24"/>
          <w:szCs w:val="24"/>
        </w:rPr>
        <w:t>s</w:t>
      </w:r>
      <w:r w:rsidRPr="0071730A">
        <w:rPr>
          <w:rFonts w:asciiTheme="minorHAnsi" w:hAnsiTheme="minorHAnsi" w:cstheme="minorHAnsi"/>
          <w:sz w:val="24"/>
          <w:szCs w:val="24"/>
        </w:rPr>
        <w:t xml:space="preserve"> and barramundi, however, several resea</w:t>
      </w:r>
      <w:r>
        <w:rPr>
          <w:rFonts w:asciiTheme="minorHAnsi" w:hAnsiTheme="minorHAnsi" w:cstheme="minorHAnsi"/>
          <w:sz w:val="24"/>
          <w:szCs w:val="24"/>
        </w:rPr>
        <w:t>r</w:t>
      </w:r>
      <w:r w:rsidRPr="0071730A">
        <w:rPr>
          <w:rFonts w:asciiTheme="minorHAnsi" w:hAnsiTheme="minorHAnsi" w:cstheme="minorHAnsi"/>
          <w:sz w:val="24"/>
          <w:szCs w:val="24"/>
        </w:rPr>
        <w:t xml:space="preserve">chers have found a positive correlation between flow and </w:t>
      </w:r>
      <w:r>
        <w:rPr>
          <w:rFonts w:asciiTheme="minorHAnsi" w:hAnsiTheme="minorHAnsi" w:cstheme="minorHAnsi"/>
          <w:sz w:val="24"/>
          <w:szCs w:val="24"/>
        </w:rPr>
        <w:t xml:space="preserve">commercial </w:t>
      </w:r>
      <w:r w:rsidRPr="0071730A">
        <w:rPr>
          <w:rFonts w:asciiTheme="minorHAnsi" w:hAnsiTheme="minorHAnsi" w:cstheme="minorHAnsi"/>
          <w:sz w:val="24"/>
          <w:szCs w:val="24"/>
        </w:rPr>
        <w:t xml:space="preserve">mudcrab catch (Meynecke </w:t>
      </w:r>
      <w:r>
        <w:rPr>
          <w:rFonts w:asciiTheme="minorHAnsi" w:hAnsiTheme="minorHAnsi" w:cstheme="minorHAnsi"/>
          <w:sz w:val="24"/>
          <w:szCs w:val="24"/>
        </w:rPr>
        <w:t xml:space="preserve">et al. </w:t>
      </w:r>
      <w:r w:rsidRPr="0071730A">
        <w:rPr>
          <w:rFonts w:asciiTheme="minorHAnsi" w:hAnsiTheme="minorHAnsi" w:cstheme="minorHAnsi"/>
          <w:sz w:val="24"/>
          <w:szCs w:val="24"/>
        </w:rPr>
        <w:t>2010</w:t>
      </w:r>
      <w:r w:rsidR="003810DC">
        <w:rPr>
          <w:rFonts w:asciiTheme="minorHAnsi" w:hAnsiTheme="minorHAnsi" w:cstheme="minorHAnsi"/>
          <w:sz w:val="24"/>
          <w:szCs w:val="24"/>
        </w:rPr>
        <w:t>, 2012</w:t>
      </w:r>
      <w:r w:rsidRPr="0071730A">
        <w:rPr>
          <w:rFonts w:asciiTheme="minorHAnsi" w:hAnsiTheme="minorHAnsi" w:cstheme="minorHAnsi"/>
          <w:sz w:val="24"/>
          <w:szCs w:val="24"/>
        </w:rPr>
        <w:t>)</w:t>
      </w:r>
      <w:r w:rsidR="00B35BFF">
        <w:rPr>
          <w:rFonts w:asciiTheme="minorHAnsi" w:hAnsiTheme="minorHAnsi" w:cstheme="minorHAnsi"/>
          <w:sz w:val="24"/>
          <w:szCs w:val="24"/>
        </w:rPr>
        <w:t>,</w:t>
      </w:r>
      <w:r w:rsidRPr="0071730A">
        <w:rPr>
          <w:rFonts w:asciiTheme="minorHAnsi" w:hAnsiTheme="minorHAnsi" w:cstheme="minorHAnsi"/>
          <w:sz w:val="24"/>
          <w:szCs w:val="24"/>
        </w:rPr>
        <w:t xml:space="preserve"> and recent regional analyses </w:t>
      </w:r>
      <w:r>
        <w:rPr>
          <w:rFonts w:asciiTheme="minorHAnsi" w:hAnsiTheme="minorHAnsi" w:cstheme="minorHAnsi"/>
          <w:sz w:val="24"/>
          <w:szCs w:val="24"/>
        </w:rPr>
        <w:t xml:space="preserve">of multiple environmental drivers </w:t>
      </w:r>
      <w:r w:rsidRPr="0071730A">
        <w:rPr>
          <w:rFonts w:asciiTheme="minorHAnsi" w:hAnsiTheme="minorHAnsi" w:cstheme="minorHAnsi"/>
          <w:sz w:val="24"/>
          <w:szCs w:val="24"/>
        </w:rPr>
        <w:t>have confirmed the influence of flow on catch, but with regional differences (Robins e</w:t>
      </w:r>
      <w:r>
        <w:rPr>
          <w:rFonts w:asciiTheme="minorHAnsi" w:hAnsiTheme="minorHAnsi" w:cstheme="minorHAnsi"/>
          <w:sz w:val="24"/>
          <w:szCs w:val="24"/>
        </w:rPr>
        <w:t>t</w:t>
      </w:r>
      <w:r w:rsidRPr="0071730A">
        <w:rPr>
          <w:rFonts w:asciiTheme="minorHAnsi" w:hAnsiTheme="minorHAnsi" w:cstheme="minorHAnsi"/>
          <w:sz w:val="24"/>
          <w:szCs w:val="24"/>
        </w:rPr>
        <w:t xml:space="preserve"> al. 2020).   </w:t>
      </w:r>
    </w:p>
    <w:p w14:paraId="348B9E90" w14:textId="42361EC1" w:rsidR="00086E45" w:rsidRDefault="00086E45" w:rsidP="00086E45">
      <w:pPr>
        <w:spacing w:after="240"/>
        <w:rPr>
          <w:rFonts w:asciiTheme="minorHAnsi" w:hAnsiTheme="minorHAnsi" w:cstheme="minorHAnsi"/>
          <w:sz w:val="24"/>
          <w:szCs w:val="24"/>
        </w:rPr>
      </w:pPr>
      <w:r>
        <w:rPr>
          <w:rFonts w:asciiTheme="minorHAnsi" w:hAnsiTheme="minorHAnsi" w:cstheme="minorHAnsi"/>
          <w:sz w:val="24"/>
          <w:szCs w:val="24"/>
        </w:rPr>
        <w:t>Characteristically for Australia’s tropical estuaries, each year over the last four months of the dry season (September to December), the estuaries provide stable habitats for the settlement and benthic recruitment of juvenile fish and crustaceans following annual reproductive events.  Estuarine macrophytes (mangroves, seagrass and algae) provide the juvenile phase protection from predation (Kenyon et al. 199</w:t>
      </w:r>
      <w:r w:rsidR="003810DC">
        <w:rPr>
          <w:rFonts w:asciiTheme="minorHAnsi" w:hAnsiTheme="minorHAnsi" w:cstheme="minorHAnsi"/>
          <w:sz w:val="24"/>
          <w:szCs w:val="24"/>
        </w:rPr>
        <w:t>5</w:t>
      </w:r>
      <w:r>
        <w:rPr>
          <w:rFonts w:asciiTheme="minorHAnsi" w:hAnsiTheme="minorHAnsi" w:cstheme="minorHAnsi"/>
          <w:sz w:val="24"/>
          <w:szCs w:val="24"/>
        </w:rPr>
        <w:t xml:space="preserve">; Vance et al. 2002), while microphytobenthos sustains primary production and estuarine foodwebs (Burford et al. 2012, 2016; Duggan et al. 2014).  After occupying the stable estuary to survive and grow, the onset of the wet season changes the estuarine environment and the habitats available to estuarine residents.  Freshwater inflows transport sediments, deliver nutrients, lower salinities, create mechanical forces and scouring, inundate over-bank habitats, connect ephemeral habitats, and modify tidal inflows.  Each species has evolved to use one or more of these annual opportunities to enhance their population or move to a habitat suitable for the next phase of their life history.  The timing and volume of wet season </w:t>
      </w:r>
      <w:proofErr w:type="gramStart"/>
      <w:r>
        <w:rPr>
          <w:rFonts w:asciiTheme="minorHAnsi" w:hAnsiTheme="minorHAnsi" w:cstheme="minorHAnsi"/>
          <w:sz w:val="24"/>
          <w:szCs w:val="24"/>
        </w:rPr>
        <w:t>flows</w:t>
      </w:r>
      <w:proofErr w:type="gramEnd"/>
      <w:r>
        <w:rPr>
          <w:rFonts w:asciiTheme="minorHAnsi" w:hAnsiTheme="minorHAnsi" w:cstheme="minorHAnsi"/>
          <w:sz w:val="24"/>
          <w:szCs w:val="24"/>
        </w:rPr>
        <w:t xml:space="preserve"> and floods are critical to estuarine conditions and species response to the monsoon-driven river flows.  </w:t>
      </w:r>
    </w:p>
    <w:p w14:paraId="6B4ED20D" w14:textId="0E5B3FD2" w:rsidR="00086E45" w:rsidRDefault="003427BF" w:rsidP="00086E45">
      <w:pPr>
        <w:spacing w:after="240"/>
        <w:rPr>
          <w:rFonts w:asciiTheme="minorHAnsi" w:hAnsiTheme="minorHAnsi" w:cstheme="minorHAnsi"/>
          <w:sz w:val="24"/>
          <w:szCs w:val="24"/>
        </w:rPr>
      </w:pPr>
      <w:r>
        <w:rPr>
          <w:rFonts w:asciiTheme="minorHAnsi" w:hAnsiTheme="minorHAnsi" w:cstheme="minorHAnsi"/>
          <w:sz w:val="24"/>
          <w:szCs w:val="24"/>
        </w:rPr>
        <w:t xml:space="preserve">Water resource development </w:t>
      </w:r>
      <w:r w:rsidR="00086E45">
        <w:rPr>
          <w:rFonts w:asciiTheme="minorHAnsi" w:hAnsiTheme="minorHAnsi" w:cstheme="minorHAnsi"/>
          <w:sz w:val="24"/>
          <w:szCs w:val="24"/>
        </w:rPr>
        <w:t xml:space="preserve">has the potential to modify the level and timing of historical flow regimes that are characteristic of tropical Australian rivers.  Water extraction or impoundment may reduce flow volumes, consequentially reducing crustacean and fish populations, and population biomass available to be fished.  Sequential years of reduced flows due to water </w:t>
      </w:r>
      <w:r w:rsidR="00086E45">
        <w:rPr>
          <w:rFonts w:asciiTheme="minorHAnsi" w:hAnsiTheme="minorHAnsi" w:cstheme="minorHAnsi"/>
          <w:sz w:val="24"/>
          <w:szCs w:val="24"/>
        </w:rPr>
        <w:lastRenderedPageBreak/>
        <w:t xml:space="preserve">diversion for irrigation may increase the frequency of low-level flow years and hence increase the years of uneconomic catches to a level where the </w:t>
      </w:r>
      <w:r w:rsidR="00E119CA">
        <w:rPr>
          <w:rFonts w:asciiTheme="minorHAnsi" w:hAnsiTheme="minorHAnsi" w:cstheme="minorHAnsi"/>
          <w:sz w:val="24"/>
          <w:szCs w:val="24"/>
        </w:rPr>
        <w:t>long-term</w:t>
      </w:r>
      <w:r w:rsidR="00086E45">
        <w:rPr>
          <w:rFonts w:asciiTheme="minorHAnsi" w:hAnsiTheme="minorHAnsi" w:cstheme="minorHAnsi"/>
          <w:sz w:val="24"/>
          <w:szCs w:val="24"/>
        </w:rPr>
        <w:t xml:space="preserve"> economic viability of the fishery is compromised (</w:t>
      </w:r>
      <w:proofErr w:type="spellStart"/>
      <w:r w:rsidR="00086E45">
        <w:rPr>
          <w:rFonts w:asciiTheme="minorHAnsi" w:hAnsiTheme="minorHAnsi" w:cstheme="minorHAnsi"/>
          <w:sz w:val="24"/>
          <w:szCs w:val="24"/>
        </w:rPr>
        <w:t>Broadley</w:t>
      </w:r>
      <w:proofErr w:type="spellEnd"/>
      <w:r w:rsidR="00086E45">
        <w:rPr>
          <w:rFonts w:asciiTheme="minorHAnsi" w:hAnsiTheme="minorHAnsi" w:cstheme="minorHAnsi"/>
          <w:sz w:val="24"/>
          <w:szCs w:val="24"/>
        </w:rPr>
        <w:t xml:space="preserve"> et al. 2020).  In the Ord River estuary, uncharacteristic high-level perennial flows that are non-typical dry season conditions for tropical rivers reduce the salinity of the estuary to near-freshwater.  Intolerance of freshwater by juvenile banana prawns precludes settlement to the upper section of the estuary and inhabitation of a portion of their historical habitat by juvenile banana prawns (Kenyon et al. 2004).  Perennial flows down the Ord River has reduced the overall extent of juvenile banana prawn habitat in the Cambridge Gulf </w:t>
      </w:r>
      <w:proofErr w:type="gramStart"/>
      <w:r w:rsidR="00086E45">
        <w:rPr>
          <w:rFonts w:asciiTheme="minorHAnsi" w:hAnsiTheme="minorHAnsi" w:cstheme="minorHAnsi"/>
          <w:sz w:val="24"/>
          <w:szCs w:val="24"/>
        </w:rPr>
        <w:t>estuarine-complex</w:t>
      </w:r>
      <w:proofErr w:type="gramEnd"/>
      <w:r w:rsidR="00086E45">
        <w:rPr>
          <w:rFonts w:asciiTheme="minorHAnsi" w:hAnsiTheme="minorHAnsi" w:cstheme="minorHAnsi"/>
          <w:sz w:val="24"/>
          <w:szCs w:val="24"/>
        </w:rPr>
        <w:t>.  In Australia’s wet/dry tropics, species have evolved life-strategies to match the high variability and timing of historical flows, and flows that vary from these seasonal and annual patterns debilitate long-term population stability.</w:t>
      </w:r>
    </w:p>
    <w:p w14:paraId="49DD3176" w14:textId="77777777" w:rsidR="00086E45" w:rsidRDefault="00086E45" w:rsidP="00086E45">
      <w:pPr>
        <w:spacing w:after="240"/>
        <w:rPr>
          <w:rFonts w:asciiTheme="minorHAnsi" w:hAnsiTheme="minorHAnsi" w:cstheme="minorHAnsi"/>
          <w:sz w:val="24"/>
          <w:szCs w:val="24"/>
        </w:rPr>
      </w:pPr>
      <w:r>
        <w:rPr>
          <w:rFonts w:asciiTheme="minorHAnsi" w:hAnsiTheme="minorHAnsi" w:cstheme="minorHAnsi"/>
          <w:sz w:val="24"/>
          <w:szCs w:val="24"/>
        </w:rPr>
        <w:t xml:space="preserve">Changes to the timing of flows, particularly early season flows that enter the estuary at the end of the annual dry season, can modify flow-cued behaviour such as emigration, and upstream migration, as well as modify the delivery of nutrient loads to the estuary and nearshore habitats.  </w:t>
      </w:r>
    </w:p>
    <w:p w14:paraId="45BF55B5" w14:textId="40CB486D" w:rsidR="00086E45" w:rsidRDefault="00086E45" w:rsidP="00086E45">
      <w:pPr>
        <w:spacing w:after="240"/>
        <w:rPr>
          <w:rFonts w:asciiTheme="minorHAnsi" w:hAnsiTheme="minorHAnsi" w:cstheme="minorHAnsi"/>
          <w:sz w:val="24"/>
          <w:szCs w:val="24"/>
        </w:rPr>
      </w:pPr>
      <w:r>
        <w:rPr>
          <w:rFonts w:asciiTheme="minorHAnsi" w:hAnsiTheme="minorHAnsi" w:cstheme="minorHAnsi"/>
          <w:sz w:val="24"/>
          <w:szCs w:val="24"/>
        </w:rPr>
        <w:t>Medium to long-term effects on tropical estuaries from flow modification are reduction of nutrient transport and flux in estuarine and coastal habitats (Burford et al. 2020)</w:t>
      </w:r>
      <w:r w:rsidR="009C0DE2">
        <w:rPr>
          <w:rFonts w:asciiTheme="minorHAnsi" w:hAnsiTheme="minorHAnsi" w:cstheme="minorHAnsi"/>
          <w:sz w:val="24"/>
          <w:szCs w:val="24"/>
        </w:rPr>
        <w:t>,</w:t>
      </w:r>
      <w:r>
        <w:rPr>
          <w:rFonts w:asciiTheme="minorHAnsi" w:hAnsiTheme="minorHAnsi" w:cstheme="minorHAnsi"/>
          <w:sz w:val="24"/>
          <w:szCs w:val="24"/>
        </w:rPr>
        <w:t xml:space="preserve"> and changes to the deposition regime within the estuary and to coastal soft-sediment geo-morphology (</w:t>
      </w:r>
      <w:proofErr w:type="spellStart"/>
      <w:r>
        <w:rPr>
          <w:rFonts w:asciiTheme="minorHAnsi" w:hAnsiTheme="minorHAnsi" w:cstheme="minorHAnsi"/>
          <w:sz w:val="24"/>
          <w:szCs w:val="24"/>
        </w:rPr>
        <w:t>Asbridge</w:t>
      </w:r>
      <w:proofErr w:type="spellEnd"/>
      <w:r>
        <w:rPr>
          <w:rFonts w:asciiTheme="minorHAnsi" w:hAnsiTheme="minorHAnsi" w:cstheme="minorHAnsi"/>
          <w:sz w:val="24"/>
          <w:szCs w:val="24"/>
        </w:rPr>
        <w:t xml:space="preserve"> et al. 2016).</w:t>
      </w:r>
    </w:p>
    <w:p w14:paraId="5847D26D" w14:textId="77777777" w:rsidR="00086E45" w:rsidRDefault="00086E45" w:rsidP="00086E45">
      <w:pPr>
        <w:spacing w:after="240"/>
        <w:rPr>
          <w:rFonts w:asciiTheme="minorHAnsi" w:hAnsiTheme="minorHAnsi" w:cstheme="minorHAnsi"/>
          <w:sz w:val="24"/>
          <w:szCs w:val="24"/>
        </w:rPr>
      </w:pPr>
    </w:p>
    <w:p w14:paraId="17D6011C" w14:textId="77777777" w:rsidR="00D139BC" w:rsidRDefault="00D139BC" w:rsidP="00E945C7">
      <w:pPr>
        <w:pStyle w:val="Heading1"/>
      </w:pPr>
      <w:r>
        <w:br w:type="page"/>
      </w:r>
    </w:p>
    <w:p w14:paraId="4E0E5022" w14:textId="47DD8221" w:rsidR="00086E45" w:rsidRPr="00324496" w:rsidRDefault="00086E45" w:rsidP="00D139BC">
      <w:pPr>
        <w:pStyle w:val="Heading1"/>
        <w:numPr>
          <w:ilvl w:val="0"/>
          <w:numId w:val="25"/>
        </w:numPr>
      </w:pPr>
      <w:bookmarkStart w:id="15" w:name="_Toc67496378"/>
      <w:r w:rsidRPr="00324496">
        <w:lastRenderedPageBreak/>
        <w:t>NWR 2020 report</w:t>
      </w:r>
      <w:r w:rsidR="00B97C29">
        <w:t xml:space="preserve"> – </w:t>
      </w:r>
      <w:r w:rsidR="002376E7" w:rsidRPr="00092B81">
        <w:t>estuaries, coasts, and riverine flows</w:t>
      </w:r>
      <w:bookmarkEnd w:id="15"/>
    </w:p>
    <w:p w14:paraId="16251A78" w14:textId="76E832ED" w:rsidR="00086E45" w:rsidRPr="0071730A" w:rsidRDefault="00086E45" w:rsidP="00086E45">
      <w:pPr>
        <w:spacing w:after="240"/>
        <w:rPr>
          <w:rFonts w:asciiTheme="minorHAnsi" w:hAnsiTheme="minorHAnsi" w:cstheme="minorBidi"/>
          <w:sz w:val="24"/>
          <w:szCs w:val="24"/>
        </w:rPr>
      </w:pPr>
      <w:r w:rsidRPr="26E33848">
        <w:rPr>
          <w:rFonts w:asciiTheme="minorHAnsi" w:hAnsiTheme="minorHAnsi" w:cstheme="minorBidi"/>
          <w:sz w:val="24"/>
          <w:szCs w:val="24"/>
        </w:rPr>
        <w:t xml:space="preserve">In its current form, the NWR 2020 report is terrestrial and ‘inland-wetland’ focussed.  Much of the text describing catchments and water resources, the examples provided for a range of situations, and the </w:t>
      </w:r>
      <w:r w:rsidRPr="007B1345">
        <w:rPr>
          <w:rFonts w:asciiTheme="minorHAnsi" w:hAnsiTheme="minorHAnsi" w:cstheme="minorBidi"/>
          <w:sz w:val="24"/>
          <w:szCs w:val="24"/>
        </w:rPr>
        <w:t>language used throughout the document is derived from a terrestrial</w:t>
      </w:r>
      <w:r w:rsidR="65758A75" w:rsidRPr="007B1345">
        <w:rPr>
          <w:rFonts w:asciiTheme="minorHAnsi" w:hAnsiTheme="minorHAnsi" w:cstheme="minorBidi"/>
          <w:sz w:val="24"/>
          <w:szCs w:val="24"/>
        </w:rPr>
        <w:t xml:space="preserve"> perspective</w:t>
      </w:r>
      <w:r w:rsidRPr="007B1345">
        <w:rPr>
          <w:rFonts w:asciiTheme="minorHAnsi" w:hAnsiTheme="minorHAnsi" w:cstheme="minorBidi"/>
          <w:sz w:val="24"/>
          <w:szCs w:val="24"/>
        </w:rPr>
        <w:t xml:space="preserve">.  Hence, consideration of the impact of </w:t>
      </w:r>
      <w:r w:rsidR="00092B81" w:rsidRPr="007B1345">
        <w:rPr>
          <w:rFonts w:asciiTheme="minorHAnsi" w:hAnsiTheme="minorHAnsi" w:cstheme="minorBidi"/>
          <w:sz w:val="24"/>
          <w:szCs w:val="24"/>
        </w:rPr>
        <w:t xml:space="preserve">water resource development </w:t>
      </w:r>
      <w:r w:rsidRPr="007B1345">
        <w:rPr>
          <w:rFonts w:asciiTheme="minorHAnsi" w:hAnsiTheme="minorHAnsi" w:cstheme="minorBidi"/>
          <w:sz w:val="24"/>
          <w:szCs w:val="24"/>
        </w:rPr>
        <w:t>on the ‘terrestrial fringe’ - i.e. estuaries and coasts does not appear anywhere in the document.  Managing tropical river stream flows to sustain the natural sequence and quanta of monsoon</w:t>
      </w:r>
      <w:r w:rsidRPr="26E33848">
        <w:rPr>
          <w:rFonts w:asciiTheme="minorHAnsi" w:hAnsiTheme="minorHAnsi" w:cstheme="minorBidi"/>
          <w:sz w:val="24"/>
          <w:szCs w:val="24"/>
        </w:rPr>
        <w:t xml:space="preserve">-driven flows to tropical estuaries </w:t>
      </w:r>
      <w:r w:rsidR="00266BBA" w:rsidRPr="26E33848">
        <w:rPr>
          <w:rFonts w:asciiTheme="minorHAnsi" w:hAnsiTheme="minorHAnsi" w:cstheme="minorBidi"/>
          <w:sz w:val="24"/>
          <w:szCs w:val="24"/>
        </w:rPr>
        <w:t xml:space="preserve">following water resource development </w:t>
      </w:r>
      <w:r w:rsidRPr="26E33848">
        <w:rPr>
          <w:rFonts w:asciiTheme="minorHAnsi" w:hAnsiTheme="minorHAnsi" w:cstheme="minorBidi"/>
          <w:sz w:val="24"/>
          <w:szCs w:val="24"/>
        </w:rPr>
        <w:t>is not a subject addressed in the NWR 2020 report.  Hence, sustaining the ecosystem services provided to the fish and crustaceans that inhabit tropical estuaries is not addressed</w:t>
      </w:r>
      <w:r w:rsidR="00BC7992">
        <w:rPr>
          <w:rFonts w:asciiTheme="minorHAnsi" w:hAnsiTheme="minorHAnsi" w:cstheme="minorBidi"/>
          <w:sz w:val="24"/>
          <w:szCs w:val="24"/>
        </w:rPr>
        <w:t>, and</w:t>
      </w:r>
      <w:r w:rsidRPr="26E33848">
        <w:rPr>
          <w:rFonts w:asciiTheme="minorHAnsi" w:hAnsiTheme="minorHAnsi" w:cstheme="minorBidi"/>
          <w:sz w:val="24"/>
          <w:szCs w:val="24"/>
        </w:rPr>
        <w:t xml:space="preserve"> </w:t>
      </w:r>
      <w:r w:rsidR="009E1BA7" w:rsidRPr="26E33848">
        <w:rPr>
          <w:rFonts w:asciiTheme="minorHAnsi" w:hAnsiTheme="minorHAnsi" w:cstheme="minorBidi"/>
          <w:sz w:val="24"/>
          <w:szCs w:val="24"/>
        </w:rPr>
        <w:t>it would greatly increase the utility of the document if the</w:t>
      </w:r>
      <w:r w:rsidRPr="26E33848">
        <w:rPr>
          <w:rFonts w:asciiTheme="minorHAnsi" w:hAnsiTheme="minorHAnsi" w:cstheme="minorBidi"/>
          <w:sz w:val="24"/>
          <w:szCs w:val="24"/>
        </w:rPr>
        <w:t xml:space="preserve"> NWR 2020 report </w:t>
      </w:r>
      <w:r w:rsidR="009E1BA7" w:rsidRPr="26E33848">
        <w:rPr>
          <w:rFonts w:asciiTheme="minorHAnsi" w:hAnsiTheme="minorHAnsi" w:cstheme="minorBidi"/>
          <w:sz w:val="24"/>
          <w:szCs w:val="24"/>
        </w:rPr>
        <w:t>could include</w:t>
      </w:r>
      <w:r w:rsidRPr="26E33848">
        <w:rPr>
          <w:rFonts w:asciiTheme="minorHAnsi" w:hAnsiTheme="minorHAnsi" w:cstheme="minorBidi"/>
          <w:sz w:val="24"/>
          <w:szCs w:val="24"/>
        </w:rPr>
        <w:t xml:space="preserve"> content </w:t>
      </w:r>
      <w:r w:rsidR="009E1BA7" w:rsidRPr="26E33848">
        <w:rPr>
          <w:rFonts w:asciiTheme="minorHAnsi" w:hAnsiTheme="minorHAnsi" w:cstheme="minorBidi"/>
          <w:sz w:val="24"/>
          <w:szCs w:val="24"/>
        </w:rPr>
        <w:t>relating to</w:t>
      </w:r>
      <w:r w:rsidRPr="26E33848">
        <w:rPr>
          <w:rFonts w:asciiTheme="minorHAnsi" w:hAnsiTheme="minorHAnsi" w:cstheme="minorBidi"/>
          <w:sz w:val="24"/>
          <w:szCs w:val="24"/>
        </w:rPr>
        <w:t xml:space="preserve"> tropical river landscapes, hydrology or ecosystems, particularly ecosystems at the terrestrial/marine interface.</w:t>
      </w:r>
    </w:p>
    <w:p w14:paraId="28753993" w14:textId="44F6B485" w:rsidR="00086E45" w:rsidRPr="0071730A" w:rsidRDefault="00086E45" w:rsidP="00086E45">
      <w:pPr>
        <w:spacing w:after="240"/>
        <w:rPr>
          <w:rFonts w:asciiTheme="minorHAnsi" w:hAnsiTheme="minorHAnsi" w:cstheme="minorHAnsi"/>
          <w:sz w:val="24"/>
          <w:szCs w:val="24"/>
        </w:rPr>
      </w:pPr>
      <w:r>
        <w:rPr>
          <w:rFonts w:asciiTheme="minorHAnsi" w:hAnsiTheme="minorHAnsi" w:cstheme="minorHAnsi"/>
          <w:sz w:val="24"/>
          <w:szCs w:val="24"/>
        </w:rPr>
        <w:t>In addition, t</w:t>
      </w:r>
      <w:r w:rsidRPr="0071730A">
        <w:rPr>
          <w:rFonts w:asciiTheme="minorHAnsi" w:hAnsiTheme="minorHAnsi" w:cstheme="minorHAnsi"/>
          <w:sz w:val="24"/>
          <w:szCs w:val="24"/>
        </w:rPr>
        <w:t xml:space="preserve">here is no </w:t>
      </w:r>
      <w:r w:rsidR="00480335">
        <w:rPr>
          <w:rFonts w:asciiTheme="minorHAnsi" w:hAnsiTheme="minorHAnsi" w:cstheme="minorHAnsi"/>
          <w:sz w:val="24"/>
          <w:szCs w:val="24"/>
        </w:rPr>
        <w:t>acknowledgement</w:t>
      </w:r>
      <w:r w:rsidR="00480335" w:rsidRPr="0071730A">
        <w:rPr>
          <w:rFonts w:asciiTheme="minorHAnsi" w:hAnsiTheme="minorHAnsi" w:cstheme="minorHAnsi"/>
          <w:sz w:val="24"/>
          <w:szCs w:val="24"/>
        </w:rPr>
        <w:t xml:space="preserve"> </w:t>
      </w:r>
      <w:r w:rsidRPr="0071730A">
        <w:rPr>
          <w:rFonts w:asciiTheme="minorHAnsi" w:hAnsiTheme="minorHAnsi" w:cstheme="minorHAnsi"/>
          <w:sz w:val="24"/>
          <w:szCs w:val="24"/>
        </w:rPr>
        <w:t xml:space="preserve">within the document that maintaining natural flows or components of natural flows can generate positive economic returns from the exploitation of a naturally occurring asset that can be sustainable harvested under natural flow conditions (e.g. a fishery).  Yet, given the projections of northern tropical catchments being open to the development of irrigated agriculture, tropical rivers with extensive, productive estuaries that support major northern fisheries </w:t>
      </w:r>
      <w:r w:rsidR="009C0DE2">
        <w:rPr>
          <w:rFonts w:asciiTheme="minorHAnsi" w:hAnsiTheme="minorHAnsi" w:cstheme="minorHAnsi"/>
          <w:sz w:val="24"/>
          <w:szCs w:val="24"/>
        </w:rPr>
        <w:t>may</w:t>
      </w:r>
      <w:r w:rsidR="009C0DE2" w:rsidRPr="0071730A">
        <w:rPr>
          <w:rFonts w:asciiTheme="minorHAnsi" w:hAnsiTheme="minorHAnsi" w:cstheme="minorHAnsi"/>
          <w:sz w:val="24"/>
          <w:szCs w:val="24"/>
        </w:rPr>
        <w:t xml:space="preserve"> </w:t>
      </w:r>
      <w:r w:rsidRPr="0071730A">
        <w:rPr>
          <w:rFonts w:asciiTheme="minorHAnsi" w:hAnsiTheme="minorHAnsi" w:cstheme="minorHAnsi"/>
          <w:sz w:val="24"/>
          <w:szCs w:val="24"/>
        </w:rPr>
        <w:t xml:space="preserve">become key river catchments subject to </w:t>
      </w:r>
      <w:r w:rsidR="00943729">
        <w:rPr>
          <w:rFonts w:asciiTheme="minorHAnsi" w:hAnsiTheme="minorHAnsi" w:cstheme="minorHAnsi"/>
          <w:sz w:val="24"/>
          <w:szCs w:val="24"/>
        </w:rPr>
        <w:t>w</w:t>
      </w:r>
      <w:r w:rsidRPr="0071730A">
        <w:rPr>
          <w:rFonts w:asciiTheme="minorHAnsi" w:hAnsiTheme="minorHAnsi" w:cstheme="minorHAnsi"/>
          <w:sz w:val="24"/>
          <w:szCs w:val="24"/>
        </w:rPr>
        <w:t xml:space="preserve">ater </w:t>
      </w:r>
      <w:r w:rsidR="00943729">
        <w:rPr>
          <w:rFonts w:asciiTheme="minorHAnsi" w:hAnsiTheme="minorHAnsi" w:cstheme="minorHAnsi"/>
          <w:sz w:val="24"/>
          <w:szCs w:val="24"/>
        </w:rPr>
        <w:t>r</w:t>
      </w:r>
      <w:r w:rsidRPr="0071730A">
        <w:rPr>
          <w:rFonts w:asciiTheme="minorHAnsi" w:hAnsiTheme="minorHAnsi" w:cstheme="minorHAnsi"/>
          <w:sz w:val="24"/>
          <w:szCs w:val="24"/>
        </w:rPr>
        <w:t xml:space="preserve">esource </w:t>
      </w:r>
      <w:r w:rsidR="00943729">
        <w:rPr>
          <w:rFonts w:asciiTheme="minorHAnsi" w:hAnsiTheme="minorHAnsi" w:cstheme="minorHAnsi"/>
          <w:sz w:val="24"/>
          <w:szCs w:val="24"/>
        </w:rPr>
        <w:t>d</w:t>
      </w:r>
      <w:r w:rsidRPr="0071730A">
        <w:rPr>
          <w:rFonts w:asciiTheme="minorHAnsi" w:hAnsiTheme="minorHAnsi" w:cstheme="minorHAnsi"/>
          <w:sz w:val="24"/>
          <w:szCs w:val="24"/>
        </w:rPr>
        <w:t>evelopment and management.</w:t>
      </w:r>
    </w:p>
    <w:p w14:paraId="342E76EC" w14:textId="2028A00F" w:rsidR="00086E45" w:rsidRDefault="00086E45" w:rsidP="07A22910">
      <w:pPr>
        <w:spacing w:after="240"/>
        <w:rPr>
          <w:rFonts w:asciiTheme="minorHAnsi" w:hAnsiTheme="minorHAnsi" w:cstheme="minorBidi"/>
          <w:sz w:val="24"/>
          <w:szCs w:val="24"/>
        </w:rPr>
      </w:pPr>
      <w:r w:rsidRPr="07A22910">
        <w:rPr>
          <w:rFonts w:asciiTheme="minorHAnsi" w:hAnsiTheme="minorHAnsi" w:cstheme="minorBidi"/>
          <w:sz w:val="24"/>
          <w:szCs w:val="24"/>
        </w:rPr>
        <w:t xml:space="preserve">An extension of the terrestrial underpinning of the NWR 2020 report ensures that the “Environmental Management’ (Section 8) has a ‘high conservation value - species, habitat, community’ paradigm that defines the targets of environmental water allocation.  Integral environmental values are identified: such as TEP species, floodplain connectivity, instream refugia, sustaining wetland and riparian communities, and pest management.  There is no reference to economic value of a harvested species or the use of environmental water to maintain the population level or value of a harvested species or a habitat that is vital to a harvested species.  Hence, a harvested resource such as a fishery is not identified as a value integral to requiring environmental management or provisioning.  Given the extension of </w:t>
      </w:r>
      <w:r w:rsidR="003427BF" w:rsidRPr="07A22910">
        <w:rPr>
          <w:rFonts w:asciiTheme="minorHAnsi" w:hAnsiTheme="minorHAnsi" w:cstheme="minorBidi"/>
          <w:sz w:val="24"/>
          <w:szCs w:val="24"/>
        </w:rPr>
        <w:t xml:space="preserve">water resource development </w:t>
      </w:r>
      <w:r w:rsidRPr="07A22910">
        <w:rPr>
          <w:rFonts w:asciiTheme="minorHAnsi" w:hAnsiTheme="minorHAnsi" w:cstheme="minorBidi"/>
          <w:sz w:val="24"/>
          <w:szCs w:val="24"/>
        </w:rPr>
        <w:t xml:space="preserve">to the northern tropical rivers, this is a significant gap in the scope of the NRM 2020 report.  </w:t>
      </w:r>
    </w:p>
    <w:p w14:paraId="75951040" w14:textId="4778270F" w:rsidR="00086E45" w:rsidRPr="0014247F" w:rsidRDefault="00086E45" w:rsidP="00086E45">
      <w:pPr>
        <w:tabs>
          <w:tab w:val="left" w:pos="3465"/>
        </w:tabs>
        <w:spacing w:after="240"/>
        <w:rPr>
          <w:rFonts w:asciiTheme="minorHAnsi" w:hAnsiTheme="minorHAnsi" w:cstheme="minorBidi"/>
          <w:sz w:val="24"/>
          <w:szCs w:val="24"/>
        </w:rPr>
      </w:pPr>
      <w:r w:rsidRPr="5B39D3BE">
        <w:rPr>
          <w:rFonts w:asciiTheme="minorHAnsi" w:hAnsiTheme="minorHAnsi" w:cstheme="minorBidi"/>
          <w:sz w:val="24"/>
          <w:szCs w:val="24"/>
        </w:rPr>
        <w:t xml:space="preserve">Many of the water management concepts in Chapter 8 and Chapter 13 ‘Investment in Major Water Infrastructure’ have direct relevance to estuaries and coasts; but need to be adapted to be workable for the marine and estuarine </w:t>
      </w:r>
      <w:r w:rsidRPr="007B1345">
        <w:rPr>
          <w:rFonts w:asciiTheme="minorHAnsi" w:hAnsiTheme="minorHAnsi" w:cstheme="minorBidi"/>
          <w:sz w:val="24"/>
          <w:szCs w:val="24"/>
        </w:rPr>
        <w:t xml:space="preserve">ecosystem.  Kenyon et al. (2017) reported to identify and collate current and future Water Resource Development pertinent to the Northern Prawn Fishery; a fishery dependent on critical estuarine habitats in the </w:t>
      </w:r>
      <w:r w:rsidR="00E82C5B" w:rsidRPr="007B1345">
        <w:rPr>
          <w:sz w:val="24"/>
          <w:szCs w:val="24"/>
        </w:rPr>
        <w:t>Gulf of Carpentaria</w:t>
      </w:r>
      <w:r w:rsidR="00E82C5B" w:rsidRPr="007B1345">
        <w:rPr>
          <w:rFonts w:asciiTheme="minorHAnsi" w:hAnsiTheme="minorHAnsi" w:cstheme="minorBidi"/>
          <w:sz w:val="24"/>
          <w:szCs w:val="24"/>
        </w:rPr>
        <w:t xml:space="preserve"> </w:t>
      </w:r>
      <w:r w:rsidRPr="007B1345">
        <w:rPr>
          <w:rFonts w:asciiTheme="minorHAnsi" w:hAnsiTheme="minorHAnsi" w:cstheme="minorBidi"/>
          <w:sz w:val="24"/>
          <w:szCs w:val="24"/>
        </w:rPr>
        <w:t>for</w:t>
      </w:r>
      <w:r w:rsidRPr="5B39D3BE">
        <w:rPr>
          <w:rFonts w:asciiTheme="minorHAnsi" w:hAnsiTheme="minorHAnsi" w:cstheme="minorBidi"/>
          <w:sz w:val="24"/>
          <w:szCs w:val="24"/>
        </w:rPr>
        <w:t xml:space="preserve"> the juvenile phase of the prawn harvest.  In part, they reported best-available ecological knowledge to develop a conceptual framework to understand the impact of flow modification on catch and flow-catch prediction.   The ‘Environmental Water Management’ (flow rules and triggers, protection of environmental assets) and ‘Waterway Management’ (longitudinal and lateral connectivity) components of Figure 8.3 </w:t>
      </w:r>
      <w:r w:rsidRPr="5B39D3BE">
        <w:rPr>
          <w:rFonts w:asciiTheme="minorHAnsi" w:hAnsiTheme="minorHAnsi" w:cstheme="minorBidi"/>
          <w:b/>
          <w:sz w:val="24"/>
          <w:szCs w:val="24"/>
        </w:rPr>
        <w:t>‘The integration of environmental and complementary waterway management’</w:t>
      </w:r>
      <w:r w:rsidRPr="5B39D3BE">
        <w:rPr>
          <w:rFonts w:asciiTheme="minorHAnsi" w:hAnsiTheme="minorHAnsi" w:cstheme="minorBidi"/>
          <w:sz w:val="24"/>
          <w:szCs w:val="24"/>
        </w:rPr>
        <w:t xml:space="preserve"> show strong overlap with water management principles and rules promoted by Kenyon et al. (2017).  The NWR 2020 report’s Chapters 8 and 13 recognise a paradigm for environmental water management with direct relevance to estuarine systems; but does not apply it to the typical estuarine ecosystem of Australians tropical rivers.</w:t>
      </w:r>
    </w:p>
    <w:p w14:paraId="729D6341" w14:textId="677F54FF" w:rsidR="00086E45" w:rsidRDefault="00086E45" w:rsidP="00086E45">
      <w:pPr>
        <w:spacing w:after="240"/>
        <w:rPr>
          <w:rFonts w:asciiTheme="minorHAnsi" w:hAnsiTheme="minorHAnsi" w:cstheme="minorHAnsi"/>
          <w:sz w:val="24"/>
          <w:szCs w:val="24"/>
        </w:rPr>
      </w:pPr>
      <w:r>
        <w:rPr>
          <w:rFonts w:asciiTheme="minorHAnsi" w:hAnsiTheme="minorHAnsi" w:cstheme="minorHAnsi"/>
          <w:sz w:val="24"/>
          <w:szCs w:val="24"/>
        </w:rPr>
        <w:lastRenderedPageBreak/>
        <w:t xml:space="preserve">Within Australia’s wet/dry tropics, maintaining historical catchment flow patterns is critical for estuarine biodiversity and fisheries productivity and economic performance.  Currently, a repository of scientific knowledge continues to accumulate to support stakeholder consultation and definition of management </w:t>
      </w:r>
      <w:r w:rsidRPr="0095570C">
        <w:rPr>
          <w:rFonts w:asciiTheme="minorHAnsi" w:hAnsiTheme="minorHAnsi" w:cstheme="minorHAnsi"/>
          <w:sz w:val="24"/>
          <w:szCs w:val="24"/>
        </w:rPr>
        <w:t xml:space="preserve">criteria that are vital to quantifying flow requirements and management protocols.  </w:t>
      </w:r>
      <w:r w:rsidR="002808C3" w:rsidRPr="0095570C">
        <w:rPr>
          <w:rFonts w:asciiTheme="minorHAnsi" w:hAnsiTheme="minorHAnsi" w:cstheme="minorHAnsi"/>
          <w:sz w:val="24"/>
          <w:szCs w:val="24"/>
        </w:rPr>
        <w:t xml:space="preserve">For example, </w:t>
      </w:r>
      <w:proofErr w:type="spellStart"/>
      <w:r w:rsidR="00B62D15" w:rsidRPr="0095570C">
        <w:rPr>
          <w:rFonts w:asciiTheme="minorHAnsi" w:hAnsiTheme="minorHAnsi" w:cstheme="minorHAnsi"/>
          <w:sz w:val="24"/>
          <w:szCs w:val="24"/>
        </w:rPr>
        <w:t>Broadley</w:t>
      </w:r>
      <w:proofErr w:type="spellEnd"/>
      <w:r w:rsidR="00B62D15" w:rsidRPr="0095570C">
        <w:rPr>
          <w:rFonts w:asciiTheme="minorHAnsi" w:hAnsiTheme="minorHAnsi" w:cstheme="minorHAnsi"/>
          <w:sz w:val="24"/>
          <w:szCs w:val="24"/>
        </w:rPr>
        <w:t xml:space="preserve"> et al. (2020) identified that in low </w:t>
      </w:r>
      <w:r w:rsidR="0078551E" w:rsidRPr="0095570C">
        <w:rPr>
          <w:rFonts w:asciiTheme="minorHAnsi" w:hAnsiTheme="minorHAnsi" w:cstheme="minorHAnsi"/>
          <w:sz w:val="24"/>
          <w:szCs w:val="24"/>
        </w:rPr>
        <w:t xml:space="preserve">river </w:t>
      </w:r>
      <w:r w:rsidR="00B62D15" w:rsidRPr="0095570C">
        <w:rPr>
          <w:rFonts w:asciiTheme="minorHAnsi" w:hAnsiTheme="minorHAnsi" w:cstheme="minorHAnsi"/>
          <w:sz w:val="24"/>
          <w:szCs w:val="24"/>
        </w:rPr>
        <w:t xml:space="preserve">flow years, water extraction for irrigated agriculture </w:t>
      </w:r>
      <w:r w:rsidR="00127D6D">
        <w:rPr>
          <w:rFonts w:asciiTheme="minorHAnsi" w:hAnsiTheme="minorHAnsi" w:cstheme="minorHAnsi"/>
          <w:sz w:val="24"/>
          <w:szCs w:val="24"/>
        </w:rPr>
        <w:t xml:space="preserve">may </w:t>
      </w:r>
      <w:r w:rsidR="00B62D15" w:rsidRPr="0095570C">
        <w:rPr>
          <w:rFonts w:asciiTheme="minorHAnsi" w:hAnsiTheme="minorHAnsi" w:cstheme="minorHAnsi"/>
          <w:sz w:val="24"/>
          <w:szCs w:val="24"/>
        </w:rPr>
        <w:t xml:space="preserve">reduce prawn catch in the NPF by a large proportion (~50%); reducing an already low projected catch to uneconomic levels.  In contrast, harvesting water from high-level flows </w:t>
      </w:r>
      <w:r w:rsidR="00727D90">
        <w:rPr>
          <w:rFonts w:asciiTheme="minorHAnsi" w:hAnsiTheme="minorHAnsi" w:cstheme="minorHAnsi"/>
          <w:sz w:val="24"/>
          <w:szCs w:val="24"/>
        </w:rPr>
        <w:t xml:space="preserve">was predicted to </w:t>
      </w:r>
      <w:r w:rsidR="00B62D15" w:rsidRPr="0095570C">
        <w:rPr>
          <w:rFonts w:asciiTheme="minorHAnsi" w:hAnsiTheme="minorHAnsi" w:cstheme="minorHAnsi"/>
          <w:sz w:val="24"/>
          <w:szCs w:val="24"/>
        </w:rPr>
        <w:t xml:space="preserve">reduce catch by a relatively small proportion and </w:t>
      </w:r>
      <w:r w:rsidR="00727D90">
        <w:rPr>
          <w:rFonts w:asciiTheme="minorHAnsi" w:hAnsiTheme="minorHAnsi" w:cstheme="minorHAnsi"/>
          <w:sz w:val="24"/>
          <w:szCs w:val="24"/>
        </w:rPr>
        <w:t xml:space="preserve">hence maintain </w:t>
      </w:r>
      <w:r w:rsidR="00B62D15" w:rsidRPr="0095570C">
        <w:rPr>
          <w:rFonts w:asciiTheme="minorHAnsi" w:hAnsiTheme="minorHAnsi" w:cstheme="minorHAnsi"/>
          <w:sz w:val="24"/>
          <w:szCs w:val="24"/>
        </w:rPr>
        <w:t xml:space="preserve">a likely large fishery catch.  </w:t>
      </w:r>
      <w:r w:rsidRPr="0095570C">
        <w:rPr>
          <w:rFonts w:asciiTheme="minorHAnsi" w:hAnsiTheme="minorHAnsi" w:cstheme="minorHAnsi"/>
          <w:sz w:val="24"/>
          <w:szCs w:val="24"/>
        </w:rPr>
        <w:t xml:space="preserve">Water managers could draw on examples from the </w:t>
      </w:r>
      <w:r w:rsidR="005173D3" w:rsidRPr="0095570C">
        <w:rPr>
          <w:rFonts w:asciiTheme="minorHAnsi" w:hAnsiTheme="minorHAnsi" w:cstheme="minorHAnsi"/>
          <w:sz w:val="24"/>
          <w:szCs w:val="24"/>
        </w:rPr>
        <w:t>state-of-the-art</w:t>
      </w:r>
      <w:r w:rsidRPr="0095570C">
        <w:rPr>
          <w:rFonts w:asciiTheme="minorHAnsi" w:hAnsiTheme="minorHAnsi" w:cstheme="minorHAnsi"/>
          <w:sz w:val="24"/>
          <w:szCs w:val="24"/>
        </w:rPr>
        <w:t xml:space="preserve"> Harvest Strategy approaches used for Australian tropical fisheries which specify pre-agreed rules for actions in response to indicators, so to avoid ad hoc arguments </w:t>
      </w:r>
      <w:r w:rsidR="009C0DE2">
        <w:rPr>
          <w:rFonts w:asciiTheme="minorHAnsi" w:hAnsiTheme="minorHAnsi" w:cstheme="minorHAnsi"/>
          <w:sz w:val="24"/>
          <w:szCs w:val="24"/>
        </w:rPr>
        <w:t>whenever</w:t>
      </w:r>
      <w:r w:rsidRPr="0095570C">
        <w:rPr>
          <w:rFonts w:asciiTheme="minorHAnsi" w:hAnsiTheme="minorHAnsi" w:cstheme="minorHAnsi"/>
          <w:sz w:val="24"/>
          <w:szCs w:val="24"/>
        </w:rPr>
        <w:t xml:space="preserve"> indicators change.  Management criteria and response triggers could be incorporated in the Water Resource Plans (see Queensland’s Water Plan (Gulf) 2007) that are developed by Queensland and Northern Territory water resource managers to manage catchment water resources</w:t>
      </w:r>
      <w:r>
        <w:rPr>
          <w:rFonts w:asciiTheme="minorHAnsi" w:hAnsiTheme="minorHAnsi" w:cstheme="minorHAnsi"/>
          <w:sz w:val="24"/>
          <w:szCs w:val="24"/>
        </w:rPr>
        <w:t xml:space="preserve"> to support multiple users, including irrigated agriculture and estuarine and coastal harvest fisheries.  Due to the ~ </w:t>
      </w:r>
      <w:r w:rsidR="005173D3">
        <w:rPr>
          <w:rFonts w:asciiTheme="minorHAnsi" w:hAnsiTheme="minorHAnsi" w:cstheme="minorHAnsi"/>
          <w:sz w:val="24"/>
          <w:szCs w:val="24"/>
        </w:rPr>
        <w:t>3-month</w:t>
      </w:r>
      <w:r>
        <w:rPr>
          <w:rFonts w:asciiTheme="minorHAnsi" w:hAnsiTheme="minorHAnsi" w:cstheme="minorHAnsi"/>
          <w:sz w:val="24"/>
          <w:szCs w:val="24"/>
        </w:rPr>
        <w:t xml:space="preserve"> annual monsoon-driven seasonal flows in Australia’s tropical rivers, and particularly during low flow years, stakeholder-agreed risk-based flow management and minimum flow thresholds will be a critical for flow management.  </w:t>
      </w:r>
    </w:p>
    <w:p w14:paraId="33144AF7" w14:textId="77777777" w:rsidR="00FA187F" w:rsidRDefault="00FA187F" w:rsidP="00324496">
      <w:pPr>
        <w:pStyle w:val="Heading1"/>
      </w:pPr>
      <w:r>
        <w:br w:type="page"/>
      </w:r>
    </w:p>
    <w:p w14:paraId="67648056" w14:textId="77777777" w:rsidR="003C5B13" w:rsidRPr="003C5B13" w:rsidRDefault="007E03CA" w:rsidP="00E945C7">
      <w:pPr>
        <w:pStyle w:val="Heading1"/>
        <w:numPr>
          <w:ilvl w:val="0"/>
          <w:numId w:val="24"/>
        </w:numPr>
      </w:pPr>
      <w:bookmarkStart w:id="16" w:name="_Toc67496379"/>
      <w:bookmarkStart w:id="17" w:name="_Ref67301931"/>
      <w:r w:rsidRPr="003C5B13">
        <w:lastRenderedPageBreak/>
        <w:t>Suggested inclusions</w:t>
      </w:r>
      <w:bookmarkEnd w:id="16"/>
      <w:r w:rsidRPr="003C5B13">
        <w:t xml:space="preserve"> </w:t>
      </w:r>
      <w:bookmarkStart w:id="18" w:name="_Toc67301880"/>
      <w:bookmarkEnd w:id="17"/>
    </w:p>
    <w:p w14:paraId="276587BC" w14:textId="0FC3D8E5" w:rsidR="00FC2BDE" w:rsidRPr="00904655" w:rsidRDefault="00FC2BDE" w:rsidP="07A22910">
      <w:pPr>
        <w:spacing w:after="240"/>
        <w:rPr>
          <w:rFonts w:asciiTheme="minorHAnsi" w:hAnsiTheme="minorHAnsi" w:cstheme="minorBidi"/>
          <w:sz w:val="24"/>
          <w:szCs w:val="24"/>
        </w:rPr>
      </w:pPr>
      <w:r w:rsidRPr="07A22910">
        <w:rPr>
          <w:rFonts w:asciiTheme="minorHAnsi" w:hAnsiTheme="minorHAnsi" w:cstheme="minorBidi"/>
          <w:sz w:val="24"/>
          <w:szCs w:val="24"/>
        </w:rPr>
        <w:t xml:space="preserve">CSIRO </w:t>
      </w:r>
      <w:r w:rsidR="005212CF" w:rsidRPr="07A22910">
        <w:rPr>
          <w:rFonts w:asciiTheme="minorHAnsi" w:hAnsiTheme="minorHAnsi" w:cstheme="minorBidi"/>
          <w:sz w:val="24"/>
          <w:szCs w:val="24"/>
        </w:rPr>
        <w:t>present</w:t>
      </w:r>
      <w:r w:rsidR="00714C1A" w:rsidRPr="07A22910">
        <w:rPr>
          <w:rFonts w:asciiTheme="minorHAnsi" w:hAnsiTheme="minorHAnsi" w:cstheme="minorBidi"/>
          <w:sz w:val="24"/>
          <w:szCs w:val="24"/>
        </w:rPr>
        <w:t>s</w:t>
      </w:r>
      <w:r w:rsidR="005212CF" w:rsidRPr="07A22910">
        <w:rPr>
          <w:rFonts w:asciiTheme="minorHAnsi" w:hAnsiTheme="minorHAnsi" w:cstheme="minorBidi"/>
          <w:sz w:val="24"/>
          <w:szCs w:val="24"/>
        </w:rPr>
        <w:t xml:space="preserve"> </w:t>
      </w:r>
      <w:r w:rsidR="00714C1A" w:rsidRPr="07A22910">
        <w:rPr>
          <w:rFonts w:asciiTheme="minorHAnsi" w:hAnsiTheme="minorHAnsi" w:cstheme="minorBidi"/>
          <w:sz w:val="24"/>
          <w:szCs w:val="24"/>
        </w:rPr>
        <w:t xml:space="preserve">the following </w:t>
      </w:r>
      <w:r w:rsidR="0FA9EBA0" w:rsidRPr="07A22910">
        <w:rPr>
          <w:rFonts w:asciiTheme="minorHAnsi" w:hAnsiTheme="minorHAnsi" w:cstheme="minorBidi"/>
          <w:sz w:val="24"/>
          <w:szCs w:val="24"/>
        </w:rPr>
        <w:t xml:space="preserve">four </w:t>
      </w:r>
      <w:r w:rsidR="007E03CA" w:rsidRPr="07A22910">
        <w:rPr>
          <w:rFonts w:asciiTheme="minorHAnsi" w:hAnsiTheme="minorHAnsi" w:cstheme="minorBidi"/>
          <w:sz w:val="24"/>
          <w:szCs w:val="24"/>
        </w:rPr>
        <w:t>s</w:t>
      </w:r>
      <w:r w:rsidR="007E03CA" w:rsidRPr="003C5B13">
        <w:rPr>
          <w:rFonts w:asciiTheme="minorHAnsi" w:hAnsiTheme="minorHAnsi" w:cstheme="minorBidi"/>
          <w:sz w:val="24"/>
          <w:szCs w:val="24"/>
        </w:rPr>
        <w:t>uggested inclusion</w:t>
      </w:r>
      <w:r w:rsidR="007E03CA" w:rsidRPr="07A22910">
        <w:rPr>
          <w:rFonts w:asciiTheme="minorHAnsi" w:hAnsiTheme="minorHAnsi" w:cstheme="minorBidi"/>
          <w:sz w:val="24"/>
          <w:szCs w:val="24"/>
        </w:rPr>
        <w:t>s</w:t>
      </w:r>
      <w:r w:rsidR="007E03CA" w:rsidRPr="003C5B13">
        <w:rPr>
          <w:rFonts w:asciiTheme="minorHAnsi" w:hAnsiTheme="minorHAnsi" w:cstheme="minorBidi"/>
          <w:sz w:val="24"/>
          <w:szCs w:val="24"/>
        </w:rPr>
        <w:t xml:space="preserve"> </w:t>
      </w:r>
      <w:r w:rsidRPr="07A22910">
        <w:rPr>
          <w:rFonts w:asciiTheme="minorHAnsi" w:hAnsiTheme="minorHAnsi" w:cstheme="minorBidi"/>
          <w:sz w:val="24"/>
          <w:szCs w:val="24"/>
        </w:rPr>
        <w:t xml:space="preserve">for additional work to extend </w:t>
      </w:r>
      <w:r w:rsidR="005212CF" w:rsidRPr="07A22910">
        <w:rPr>
          <w:rFonts w:asciiTheme="minorHAnsi" w:hAnsiTheme="minorHAnsi" w:cstheme="minorBidi"/>
          <w:sz w:val="24"/>
          <w:szCs w:val="24"/>
        </w:rPr>
        <w:t xml:space="preserve">the </w:t>
      </w:r>
      <w:r w:rsidR="003457D9" w:rsidRPr="07A22910">
        <w:rPr>
          <w:rFonts w:asciiTheme="minorHAnsi" w:hAnsiTheme="minorHAnsi" w:cstheme="minorBidi"/>
          <w:sz w:val="24"/>
          <w:szCs w:val="24"/>
        </w:rPr>
        <w:t>NWR 2020 R</w:t>
      </w:r>
      <w:r w:rsidRPr="07A22910">
        <w:rPr>
          <w:rFonts w:asciiTheme="minorHAnsi" w:hAnsiTheme="minorHAnsi" w:cstheme="minorBidi"/>
          <w:sz w:val="24"/>
          <w:szCs w:val="24"/>
        </w:rPr>
        <w:t>eport to include consideration of estuaries and coasts, and the influence of riverine flows as drivers of habitat suitability and estuarine productivity in the coastal ecosystem.</w:t>
      </w:r>
    </w:p>
    <w:p w14:paraId="2DE267A8" w14:textId="5CB1DF77" w:rsidR="00324496" w:rsidRPr="00324496" w:rsidRDefault="007E03CA">
      <w:pPr>
        <w:pStyle w:val="Heading2"/>
        <w:numPr>
          <w:ilvl w:val="0"/>
          <w:numId w:val="0"/>
        </w:numPr>
      </w:pPr>
      <w:bookmarkStart w:id="19" w:name="_Toc67318117"/>
      <w:bookmarkStart w:id="20" w:name="_Toc67399283"/>
      <w:bookmarkStart w:id="21" w:name="_Toc67399361"/>
      <w:bookmarkStart w:id="22" w:name="_Toc67399405"/>
      <w:bookmarkStart w:id="23" w:name="_Toc67491715"/>
      <w:bookmarkStart w:id="24" w:name="_Toc67491768"/>
      <w:bookmarkStart w:id="25" w:name="_Toc67496380"/>
      <w:r w:rsidRPr="003C5B13">
        <w:t xml:space="preserve">Suggested inclusion </w:t>
      </w:r>
      <w:r w:rsidR="00086E45">
        <w:t xml:space="preserve">1 - </w:t>
      </w:r>
      <w:r w:rsidR="00324496" w:rsidRPr="00324496">
        <w:t>Scope of the Report</w:t>
      </w:r>
      <w:bookmarkEnd w:id="18"/>
      <w:bookmarkEnd w:id="19"/>
      <w:bookmarkEnd w:id="20"/>
      <w:bookmarkEnd w:id="21"/>
      <w:bookmarkEnd w:id="22"/>
      <w:bookmarkEnd w:id="23"/>
      <w:bookmarkEnd w:id="24"/>
      <w:bookmarkEnd w:id="25"/>
    </w:p>
    <w:p w14:paraId="081F4E1E" w14:textId="79B3C9D1" w:rsidR="00851BEB" w:rsidRPr="00904655" w:rsidRDefault="00714C1A" w:rsidP="07A22910">
      <w:pPr>
        <w:spacing w:after="240"/>
        <w:rPr>
          <w:rFonts w:asciiTheme="minorHAnsi" w:hAnsiTheme="minorHAnsi" w:cstheme="minorBidi"/>
          <w:sz w:val="24"/>
          <w:szCs w:val="24"/>
        </w:rPr>
      </w:pPr>
      <w:r w:rsidRPr="07A22910">
        <w:rPr>
          <w:rFonts w:asciiTheme="minorHAnsi" w:hAnsiTheme="minorHAnsi" w:cstheme="minorBidi"/>
          <w:sz w:val="24"/>
          <w:szCs w:val="24"/>
        </w:rPr>
        <w:t>The s</w:t>
      </w:r>
      <w:r w:rsidR="00324496" w:rsidRPr="07A22910">
        <w:rPr>
          <w:rFonts w:asciiTheme="minorHAnsi" w:hAnsiTheme="minorHAnsi" w:cstheme="minorBidi"/>
          <w:sz w:val="24"/>
          <w:szCs w:val="24"/>
        </w:rPr>
        <w:t xml:space="preserve">cope of </w:t>
      </w:r>
      <w:r w:rsidRPr="07A22910">
        <w:rPr>
          <w:rFonts w:asciiTheme="minorHAnsi" w:hAnsiTheme="minorHAnsi" w:cstheme="minorBidi"/>
          <w:sz w:val="24"/>
          <w:szCs w:val="24"/>
        </w:rPr>
        <w:t xml:space="preserve">the </w:t>
      </w:r>
      <w:r w:rsidR="00324496" w:rsidRPr="07A22910">
        <w:rPr>
          <w:rFonts w:asciiTheme="minorHAnsi" w:hAnsiTheme="minorHAnsi" w:cstheme="minorBidi"/>
          <w:sz w:val="24"/>
          <w:szCs w:val="24"/>
        </w:rPr>
        <w:t>report could be broadened to better represent northern systems and connections with marine systems: NWR 2020 has an inland basin/ riverine habitat/ terrestrial wetland focus; rivers with long-established irrigated agriculture and subject to periodic drought conditions.  Climate projections demonstrate both recent-decade and a continuing reduction in precipitation over coming decades.  These rivers are characteristic of the southern portion of the Australian continent.</w:t>
      </w:r>
    </w:p>
    <w:p w14:paraId="70E56170" w14:textId="63EBA4A9" w:rsidR="10F46261" w:rsidRDefault="10F46261" w:rsidP="07A22910">
      <w:pPr>
        <w:spacing w:after="240"/>
        <w:rPr>
          <w:rFonts w:asciiTheme="minorHAnsi" w:hAnsiTheme="minorHAnsi" w:cstheme="minorBidi"/>
          <w:sz w:val="24"/>
          <w:szCs w:val="24"/>
        </w:rPr>
      </w:pPr>
      <w:r w:rsidRPr="07A22910">
        <w:rPr>
          <w:rFonts w:asciiTheme="minorHAnsi" w:hAnsiTheme="minorHAnsi" w:cstheme="minorBidi"/>
          <w:sz w:val="24"/>
          <w:szCs w:val="24"/>
        </w:rPr>
        <w:t xml:space="preserve">The report could include greater recognition of the critical role of estuaries: Australia’s tropical rivers have extensive estuaries (often 100 km long) that are dry-season refugia for many fish and crustacean species, as well as </w:t>
      </w:r>
      <w:r w:rsidR="009C0DE2" w:rsidRPr="00904655">
        <w:rPr>
          <w:rFonts w:asciiTheme="minorHAnsi" w:hAnsiTheme="minorHAnsi" w:cstheme="minorHAnsi"/>
          <w:sz w:val="24"/>
          <w:szCs w:val="24"/>
        </w:rPr>
        <w:t xml:space="preserve">threatened-endangered-protected species </w:t>
      </w:r>
      <w:r w:rsidR="009C0DE2">
        <w:rPr>
          <w:rFonts w:asciiTheme="minorHAnsi" w:hAnsiTheme="minorHAnsi" w:cstheme="minorHAnsi"/>
          <w:sz w:val="24"/>
          <w:szCs w:val="24"/>
        </w:rPr>
        <w:t>(</w:t>
      </w:r>
      <w:r w:rsidRPr="07A22910">
        <w:rPr>
          <w:rFonts w:asciiTheme="minorHAnsi" w:hAnsiTheme="minorHAnsi" w:cstheme="minorBidi"/>
          <w:sz w:val="24"/>
          <w:szCs w:val="24"/>
        </w:rPr>
        <w:t>TEPS</w:t>
      </w:r>
      <w:r w:rsidR="009C0DE2">
        <w:rPr>
          <w:rFonts w:asciiTheme="minorHAnsi" w:hAnsiTheme="minorHAnsi" w:cstheme="minorBidi"/>
          <w:sz w:val="24"/>
          <w:szCs w:val="24"/>
        </w:rPr>
        <w:t>)</w:t>
      </w:r>
      <w:r w:rsidRPr="07A22910">
        <w:rPr>
          <w:rFonts w:asciiTheme="minorHAnsi" w:hAnsiTheme="minorHAnsi" w:cstheme="minorBidi"/>
          <w:sz w:val="24"/>
          <w:szCs w:val="24"/>
        </w:rPr>
        <w:t xml:space="preserve"> including large-bodied icon species, during the ~9 month annual no/minimal flow regime of the majority of tropical rivers.  Estuaries are the ‘engine room’ for many high-value fishery species, supporting key life history stages of harvested (commercial and recreational) species, and species have evolved their life history in tandem with the seasonally and annually pulsed flows in the wet/dry tropics.   </w:t>
      </w:r>
    </w:p>
    <w:p w14:paraId="7DD22BB7" w14:textId="061B2D28" w:rsidR="00851BEB" w:rsidRPr="00904655" w:rsidRDefault="2219750C" w:rsidP="07A22910">
      <w:pPr>
        <w:spacing w:after="240"/>
        <w:rPr>
          <w:rFonts w:asciiTheme="minorHAnsi" w:hAnsiTheme="minorHAnsi" w:cstheme="minorBidi"/>
          <w:sz w:val="24"/>
          <w:szCs w:val="24"/>
        </w:rPr>
      </w:pPr>
      <w:r w:rsidRPr="07A22910">
        <w:rPr>
          <w:rFonts w:asciiTheme="minorHAnsi" w:hAnsiTheme="minorHAnsi" w:cstheme="minorBidi"/>
          <w:sz w:val="24"/>
          <w:szCs w:val="24"/>
        </w:rPr>
        <w:t>T</w:t>
      </w:r>
      <w:r w:rsidR="003C5B13">
        <w:rPr>
          <w:rFonts w:asciiTheme="minorHAnsi" w:hAnsiTheme="minorHAnsi" w:cstheme="minorBidi"/>
          <w:sz w:val="24"/>
          <w:szCs w:val="24"/>
        </w:rPr>
        <w:t>o</w:t>
      </w:r>
      <w:r w:rsidRPr="07A22910">
        <w:rPr>
          <w:rFonts w:asciiTheme="minorHAnsi" w:hAnsiTheme="minorHAnsi" w:cstheme="minorBidi"/>
          <w:sz w:val="24"/>
          <w:szCs w:val="24"/>
        </w:rPr>
        <w:t xml:space="preserve"> address these issues</w:t>
      </w:r>
      <w:r w:rsidR="00851BEB" w:rsidRPr="07A22910">
        <w:rPr>
          <w:rFonts w:asciiTheme="minorHAnsi" w:hAnsiTheme="minorHAnsi" w:cstheme="minorBidi"/>
          <w:sz w:val="24"/>
          <w:szCs w:val="24"/>
        </w:rPr>
        <w:t xml:space="preserve">, we </w:t>
      </w:r>
      <w:r w:rsidR="001F6475" w:rsidRPr="07A22910">
        <w:rPr>
          <w:rFonts w:asciiTheme="minorHAnsi" w:hAnsiTheme="minorHAnsi" w:cstheme="minorBidi"/>
          <w:sz w:val="24"/>
          <w:szCs w:val="24"/>
        </w:rPr>
        <w:t xml:space="preserve">suggest </w:t>
      </w:r>
      <w:r w:rsidR="00851BEB" w:rsidRPr="07A22910">
        <w:rPr>
          <w:rFonts w:asciiTheme="minorHAnsi" w:hAnsiTheme="minorHAnsi" w:cstheme="minorBidi"/>
          <w:sz w:val="24"/>
          <w:szCs w:val="24"/>
        </w:rPr>
        <w:t>the NWR 2020</w:t>
      </w:r>
      <w:r w:rsidR="345F55C3" w:rsidRPr="07A22910">
        <w:rPr>
          <w:rFonts w:asciiTheme="minorHAnsi" w:hAnsiTheme="minorHAnsi" w:cstheme="minorBidi"/>
          <w:sz w:val="24"/>
          <w:szCs w:val="24"/>
        </w:rPr>
        <w:t>:</w:t>
      </w:r>
      <w:r w:rsidR="00851BEB" w:rsidRPr="07A22910">
        <w:rPr>
          <w:rFonts w:asciiTheme="minorHAnsi" w:hAnsiTheme="minorHAnsi" w:cstheme="minorBidi"/>
          <w:sz w:val="24"/>
          <w:szCs w:val="24"/>
        </w:rPr>
        <w:t xml:space="preserve"> </w:t>
      </w:r>
    </w:p>
    <w:p w14:paraId="6072E3A1" w14:textId="1E805D04" w:rsidR="00851BEB" w:rsidRPr="00904655" w:rsidRDefault="225719AE" w:rsidP="003C5B13">
      <w:pPr>
        <w:pStyle w:val="ListParagraph"/>
        <w:numPr>
          <w:ilvl w:val="0"/>
          <w:numId w:val="1"/>
        </w:numPr>
        <w:spacing w:after="240"/>
        <w:rPr>
          <w:rFonts w:asciiTheme="minorHAnsi" w:eastAsiaTheme="minorEastAsia" w:hAnsiTheme="minorHAnsi" w:cstheme="minorBidi"/>
          <w:color w:val="000000" w:themeColor="text2"/>
        </w:rPr>
      </w:pPr>
      <w:r w:rsidRPr="07A22910">
        <w:rPr>
          <w:rFonts w:asciiTheme="minorHAnsi" w:hAnsiTheme="minorHAnsi" w:cstheme="minorBidi"/>
        </w:rPr>
        <w:t xml:space="preserve">include </w:t>
      </w:r>
      <w:r w:rsidR="00851BEB" w:rsidRPr="07A22910">
        <w:rPr>
          <w:rFonts w:asciiTheme="minorHAnsi" w:hAnsiTheme="minorHAnsi" w:cstheme="minorBidi"/>
        </w:rPr>
        <w:t>a new chapter describing the landscape and ecological characteristics of tropical rivers, especially their extensive estuaries, and the relevance of seasonal and annual flow characteristics that sustain ecological service provision for coastal ecosystems by river flows.</w:t>
      </w:r>
    </w:p>
    <w:p w14:paraId="25629466" w14:textId="1AEC9FB8" w:rsidR="24EA2C78" w:rsidRDefault="24EA2C78" w:rsidP="003C5B13">
      <w:pPr>
        <w:pStyle w:val="ListParagraph"/>
        <w:numPr>
          <w:ilvl w:val="0"/>
          <w:numId w:val="1"/>
        </w:numPr>
        <w:spacing w:after="240"/>
        <w:rPr>
          <w:rFonts w:asciiTheme="minorHAnsi" w:eastAsiaTheme="minorEastAsia" w:hAnsiTheme="minorHAnsi" w:cstheme="minorBidi"/>
          <w:color w:val="000000" w:themeColor="text2"/>
        </w:rPr>
      </w:pPr>
      <w:r w:rsidRPr="07A22910">
        <w:rPr>
          <w:rFonts w:asciiTheme="minorHAnsi" w:hAnsiTheme="minorHAnsi" w:cstheme="minorBidi"/>
        </w:rPr>
        <w:t>be extended to provide guidance around water management to maintain estuarine functions that are critical to support high-value fisheries and other species</w:t>
      </w:r>
      <w:r w:rsidR="009C0DE2">
        <w:rPr>
          <w:rFonts w:asciiTheme="minorHAnsi" w:hAnsiTheme="minorHAnsi" w:cstheme="minorBidi"/>
        </w:rPr>
        <w:t xml:space="preserve"> as n</w:t>
      </w:r>
      <w:r w:rsidRPr="07A22910">
        <w:rPr>
          <w:rFonts w:asciiTheme="minorHAnsi" w:hAnsiTheme="minorHAnsi" w:cstheme="minorBidi"/>
        </w:rPr>
        <w:t>o water resource management to sustain environmental flows and ecosystem service provision to estuaries is addressed in the NWR 2020 report.  50 years of tropical fisheries research in Australia has demonstrated that natural flows and high-level flows sustain the populations and peak catches of many harvested species.  A water management target for the future provision of stream flows to sustain the habitats and migration cues of high-value fishery species is absent from the NWR 2020 report.</w:t>
      </w:r>
    </w:p>
    <w:p w14:paraId="2930385E" w14:textId="7170AA8A" w:rsidR="24EA2C78" w:rsidRDefault="24EA2C78" w:rsidP="003C5B13">
      <w:pPr>
        <w:pStyle w:val="ListParagraph"/>
        <w:numPr>
          <w:ilvl w:val="0"/>
          <w:numId w:val="1"/>
        </w:numPr>
        <w:spacing w:after="240"/>
        <w:rPr>
          <w:rFonts w:asciiTheme="minorHAnsi" w:eastAsiaTheme="minorEastAsia" w:hAnsiTheme="minorHAnsi" w:cstheme="minorBidi"/>
          <w:color w:val="000000" w:themeColor="text2"/>
        </w:rPr>
      </w:pPr>
      <w:r w:rsidRPr="07A22910">
        <w:rPr>
          <w:rFonts w:asciiTheme="minorHAnsi" w:hAnsiTheme="minorHAnsi" w:cstheme="minorBidi"/>
        </w:rPr>
        <w:t>Add information specifically for tropical ecosystems: The ‘Environmental Water Management’ and ‘Waterway Management’ of Chapter 8 of the NWR 2020 report show strong overlap with water management principles and rules recently espoused for Australia’s tropical rivers that would sustain both fish and crustacean species, including high value species subject to sustainable harvest.  The theme from Chapter 8 could be adapted to river water management within tropical ecosystems.</w:t>
      </w:r>
    </w:p>
    <w:p w14:paraId="280F0F2F" w14:textId="7950738C" w:rsidR="07A22910" w:rsidRDefault="07A22910" w:rsidP="07A22910">
      <w:pPr>
        <w:spacing w:after="240"/>
        <w:rPr>
          <w:rFonts w:asciiTheme="minorHAnsi" w:hAnsiTheme="minorHAnsi" w:cstheme="minorBidi"/>
          <w:sz w:val="24"/>
          <w:szCs w:val="24"/>
        </w:rPr>
      </w:pPr>
    </w:p>
    <w:p w14:paraId="4EC8FE9D" w14:textId="420188D0" w:rsidR="07A22910" w:rsidRDefault="07A22910" w:rsidP="07A22910">
      <w:pPr>
        <w:spacing w:after="240"/>
        <w:rPr>
          <w:rFonts w:asciiTheme="minorHAnsi" w:hAnsiTheme="minorHAnsi" w:cstheme="minorBidi"/>
          <w:sz w:val="24"/>
          <w:szCs w:val="24"/>
        </w:rPr>
      </w:pPr>
    </w:p>
    <w:p w14:paraId="275C76E9" w14:textId="3D7D182D" w:rsidR="00324496" w:rsidRPr="00324496" w:rsidRDefault="007E03CA" w:rsidP="005173D3">
      <w:pPr>
        <w:pStyle w:val="Heading2"/>
        <w:numPr>
          <w:ilvl w:val="0"/>
          <w:numId w:val="0"/>
        </w:numPr>
      </w:pPr>
      <w:bookmarkStart w:id="26" w:name="_Toc67301881"/>
      <w:bookmarkStart w:id="27" w:name="_Toc67318118"/>
      <w:bookmarkStart w:id="28" w:name="_Toc67399284"/>
      <w:bookmarkStart w:id="29" w:name="_Toc67399362"/>
      <w:bookmarkStart w:id="30" w:name="_Toc67399406"/>
      <w:bookmarkStart w:id="31" w:name="_Toc67491716"/>
      <w:bookmarkStart w:id="32" w:name="_Toc67491769"/>
      <w:bookmarkStart w:id="33" w:name="_Toc67496381"/>
      <w:r w:rsidRPr="00425853">
        <w:lastRenderedPageBreak/>
        <w:t>Suggested inclusion</w:t>
      </w:r>
      <w:r w:rsidR="00086E45">
        <w:t xml:space="preserve"> 2 - </w:t>
      </w:r>
      <w:r w:rsidR="00324496" w:rsidRPr="00324496">
        <w:t>Differences in catchments and regional climate projections</w:t>
      </w:r>
      <w:bookmarkEnd w:id="26"/>
      <w:bookmarkEnd w:id="27"/>
      <w:bookmarkEnd w:id="28"/>
      <w:bookmarkEnd w:id="29"/>
      <w:bookmarkEnd w:id="30"/>
      <w:bookmarkEnd w:id="31"/>
      <w:bookmarkEnd w:id="32"/>
      <w:bookmarkEnd w:id="33"/>
    </w:p>
    <w:p w14:paraId="467238FB" w14:textId="02B80A99" w:rsidR="00324496" w:rsidRPr="00904655" w:rsidRDefault="00324496" w:rsidP="00324496">
      <w:pPr>
        <w:spacing w:after="240"/>
        <w:rPr>
          <w:rFonts w:asciiTheme="minorHAnsi" w:hAnsiTheme="minorHAnsi" w:cstheme="minorHAnsi"/>
          <w:sz w:val="24"/>
          <w:szCs w:val="24"/>
        </w:rPr>
      </w:pPr>
      <w:r w:rsidRPr="00904655">
        <w:rPr>
          <w:rFonts w:asciiTheme="minorHAnsi" w:hAnsiTheme="minorHAnsi" w:cstheme="minorHAnsi"/>
          <w:sz w:val="24"/>
          <w:szCs w:val="24"/>
        </w:rPr>
        <w:t xml:space="preserve">Differences in catchments and regional climate projections should be accounted for: </w:t>
      </w:r>
      <w:r w:rsidR="009C0DE2">
        <w:rPr>
          <w:rFonts w:asciiTheme="minorHAnsi" w:hAnsiTheme="minorHAnsi" w:cstheme="minorHAnsi"/>
          <w:sz w:val="24"/>
          <w:szCs w:val="24"/>
        </w:rPr>
        <w:t>the Australian</w:t>
      </w:r>
      <w:r w:rsidR="009C0DE2" w:rsidRPr="00904655">
        <w:rPr>
          <w:rFonts w:asciiTheme="minorHAnsi" w:hAnsiTheme="minorHAnsi" w:cstheme="minorHAnsi"/>
          <w:sz w:val="24"/>
          <w:szCs w:val="24"/>
        </w:rPr>
        <w:t xml:space="preserve"> </w:t>
      </w:r>
      <w:r w:rsidRPr="00904655">
        <w:rPr>
          <w:rFonts w:asciiTheme="minorHAnsi" w:hAnsiTheme="minorHAnsi" w:cstheme="minorHAnsi"/>
          <w:sz w:val="24"/>
          <w:szCs w:val="24"/>
        </w:rPr>
        <w:t>and State Governments are planning to develop the water resources of Australia’s large-catchment northern rivers in the wet/dry tropics; the catchment/estuarine/marine ecosystem of rivers in Australia’s wet/dry tropics is very different to the inland basin catchments’ ecosystem of rivers themed in the NWR 2020 report.  Climate projections for Australia’s tropics are uncertain, some models project an increase in rainfall in northern ecosystems</w:t>
      </w:r>
      <w:r w:rsidR="00092B81" w:rsidRPr="00904655">
        <w:rPr>
          <w:rFonts w:asciiTheme="minorHAnsi" w:hAnsiTheme="minorHAnsi" w:cstheme="minorHAnsi"/>
          <w:sz w:val="24"/>
          <w:szCs w:val="24"/>
        </w:rPr>
        <w:t>; whereas other models project decreasing rainfall</w:t>
      </w:r>
      <w:r w:rsidRPr="00904655">
        <w:rPr>
          <w:rFonts w:asciiTheme="minorHAnsi" w:hAnsiTheme="minorHAnsi" w:cstheme="minorHAnsi"/>
          <w:sz w:val="24"/>
          <w:szCs w:val="24"/>
        </w:rPr>
        <w:t xml:space="preserve">.  Precipitation in Australia’s tropics is highly variable both seasonally (a </w:t>
      </w:r>
      <w:r w:rsidR="0048667A" w:rsidRPr="00904655">
        <w:rPr>
          <w:rFonts w:asciiTheme="minorHAnsi" w:hAnsiTheme="minorHAnsi" w:cstheme="minorHAnsi"/>
          <w:sz w:val="24"/>
          <w:szCs w:val="24"/>
        </w:rPr>
        <w:t>9-month</w:t>
      </w:r>
      <w:r w:rsidRPr="00904655">
        <w:rPr>
          <w:rFonts w:asciiTheme="minorHAnsi" w:hAnsiTheme="minorHAnsi" w:cstheme="minorHAnsi"/>
          <w:sz w:val="24"/>
          <w:szCs w:val="24"/>
        </w:rPr>
        <w:t xml:space="preserve"> dry season) and annually (wet season rainfall can vary by one order of magnitude).  </w:t>
      </w:r>
      <w:r w:rsidR="00092B81" w:rsidRPr="00904655">
        <w:rPr>
          <w:sz w:val="24"/>
          <w:szCs w:val="24"/>
        </w:rPr>
        <w:t>There are also additional climate factors which interact with river flows to influence estuarine and marine system dynamics, including that this region is experiencing some of Australia’s most substantial changes in sea level</w:t>
      </w:r>
      <w:r w:rsidR="00E010A5">
        <w:rPr>
          <w:sz w:val="24"/>
          <w:szCs w:val="24"/>
        </w:rPr>
        <w:t>,</w:t>
      </w:r>
      <w:r w:rsidR="00092B81" w:rsidRPr="00904655">
        <w:rPr>
          <w:sz w:val="24"/>
          <w:szCs w:val="24"/>
        </w:rPr>
        <w:t xml:space="preserve"> and future El Nino events are expected to intensify.</w:t>
      </w:r>
    </w:p>
    <w:p w14:paraId="641CA8EF" w14:textId="5454BDD1" w:rsidR="00324496" w:rsidRPr="00324496" w:rsidRDefault="007E03CA" w:rsidP="005173D3">
      <w:pPr>
        <w:pStyle w:val="Heading2"/>
        <w:numPr>
          <w:ilvl w:val="0"/>
          <w:numId w:val="0"/>
        </w:numPr>
        <w:ind w:left="576" w:hanging="576"/>
      </w:pPr>
      <w:bookmarkStart w:id="34" w:name="_Toc67301882"/>
      <w:bookmarkStart w:id="35" w:name="_Toc67318119"/>
      <w:bookmarkStart w:id="36" w:name="_Toc67399285"/>
      <w:bookmarkStart w:id="37" w:name="_Toc67399363"/>
      <w:bookmarkStart w:id="38" w:name="_Toc67399407"/>
      <w:bookmarkStart w:id="39" w:name="_Toc67491717"/>
      <w:bookmarkStart w:id="40" w:name="_Toc67491770"/>
      <w:bookmarkStart w:id="41" w:name="_Toc67496382"/>
      <w:r w:rsidRPr="00425853">
        <w:t xml:space="preserve">Suggested inclusion </w:t>
      </w:r>
      <w:r w:rsidR="00086E45">
        <w:t xml:space="preserve">3 - </w:t>
      </w:r>
      <w:r w:rsidR="00324496" w:rsidRPr="00324496">
        <w:t>Water management targets</w:t>
      </w:r>
      <w:bookmarkEnd w:id="34"/>
      <w:bookmarkEnd w:id="35"/>
      <w:bookmarkEnd w:id="36"/>
      <w:bookmarkEnd w:id="37"/>
      <w:bookmarkEnd w:id="38"/>
      <w:bookmarkEnd w:id="39"/>
      <w:bookmarkEnd w:id="40"/>
      <w:bookmarkEnd w:id="41"/>
      <w:r w:rsidR="00324496" w:rsidRPr="00324496">
        <w:t xml:space="preserve"> </w:t>
      </w:r>
    </w:p>
    <w:p w14:paraId="2700C596" w14:textId="69B4E4A6" w:rsidR="00324496" w:rsidRPr="00904655" w:rsidRDefault="00324496" w:rsidP="00324496">
      <w:pPr>
        <w:spacing w:after="240"/>
        <w:rPr>
          <w:rFonts w:asciiTheme="minorHAnsi" w:hAnsiTheme="minorHAnsi" w:cstheme="minorHAnsi"/>
          <w:sz w:val="24"/>
          <w:szCs w:val="24"/>
        </w:rPr>
      </w:pPr>
      <w:r w:rsidRPr="00904655">
        <w:rPr>
          <w:rFonts w:asciiTheme="minorHAnsi" w:hAnsiTheme="minorHAnsi" w:cstheme="minorHAnsi"/>
          <w:sz w:val="24"/>
          <w:szCs w:val="24"/>
        </w:rPr>
        <w:t>Water management targets should account for sustainability of economically valuable species: Chapter 8 of the report describes environmental management to sustain connectivity between riverine and floodplain wetland habitats, triggers for environmental flows, water management to support populations of aquatic species and other environmental targets.  The targets in Chapter 8 are ‘conservation targets’ of species, habitats and TEPS.  There is no concept of sustainable harvest of economic species as a management target for ‘environmental flows’, e.g. sustainable fishery harvest.</w:t>
      </w:r>
      <w:r w:rsidR="00922681" w:rsidRPr="00904655">
        <w:rPr>
          <w:rFonts w:asciiTheme="minorHAnsi" w:hAnsiTheme="minorHAnsi" w:cstheme="minorHAnsi"/>
          <w:sz w:val="24"/>
          <w:szCs w:val="24"/>
        </w:rPr>
        <w:t xml:space="preserve"> </w:t>
      </w:r>
      <w:r w:rsidRPr="00904655">
        <w:rPr>
          <w:rFonts w:asciiTheme="minorHAnsi" w:hAnsiTheme="minorHAnsi" w:cstheme="minorHAnsi"/>
          <w:sz w:val="24"/>
          <w:szCs w:val="24"/>
        </w:rPr>
        <w:t xml:space="preserve"> </w:t>
      </w:r>
      <w:r w:rsidR="00092B81" w:rsidRPr="00904655">
        <w:rPr>
          <w:sz w:val="24"/>
          <w:szCs w:val="24"/>
        </w:rPr>
        <w:t xml:space="preserve">This is in addition to the need to maintain species supporting recreational activities and businesses, as well as </w:t>
      </w:r>
      <w:r w:rsidR="00E010A5">
        <w:rPr>
          <w:sz w:val="24"/>
          <w:szCs w:val="24"/>
        </w:rPr>
        <w:t>I</w:t>
      </w:r>
      <w:r w:rsidR="00092B81" w:rsidRPr="00904655">
        <w:rPr>
          <w:sz w:val="24"/>
          <w:szCs w:val="24"/>
        </w:rPr>
        <w:t>ndigenous cultural needs.</w:t>
      </w:r>
      <w:r w:rsidRPr="00904655">
        <w:rPr>
          <w:rFonts w:asciiTheme="minorHAnsi" w:hAnsiTheme="minorHAnsi" w:cstheme="minorHAnsi"/>
          <w:sz w:val="24"/>
          <w:szCs w:val="24"/>
        </w:rPr>
        <w:t xml:space="preserve"> </w:t>
      </w:r>
    </w:p>
    <w:p w14:paraId="1D099F72" w14:textId="611F9E8E" w:rsidR="00324496" w:rsidRPr="00324496" w:rsidRDefault="007E03CA" w:rsidP="00C04069">
      <w:pPr>
        <w:pStyle w:val="Heading2"/>
        <w:numPr>
          <w:ilvl w:val="0"/>
          <w:numId w:val="0"/>
        </w:numPr>
      </w:pPr>
      <w:bookmarkStart w:id="42" w:name="_Toc67301885"/>
      <w:bookmarkStart w:id="43" w:name="_Toc67318122"/>
      <w:bookmarkStart w:id="44" w:name="_Toc67399288"/>
      <w:bookmarkStart w:id="45" w:name="_Toc67399366"/>
      <w:bookmarkStart w:id="46" w:name="_Toc67399410"/>
      <w:bookmarkStart w:id="47" w:name="_Toc67491718"/>
      <w:bookmarkStart w:id="48" w:name="_Toc67491771"/>
      <w:bookmarkStart w:id="49" w:name="_Toc67496383"/>
      <w:r w:rsidRPr="00425853">
        <w:t xml:space="preserve">Suggested inclusion </w:t>
      </w:r>
      <w:r w:rsidR="003C5B13">
        <w:t>4</w:t>
      </w:r>
      <w:r w:rsidR="00086E45">
        <w:t xml:space="preserve"> - </w:t>
      </w:r>
      <w:r w:rsidR="00324496">
        <w:t>M</w:t>
      </w:r>
      <w:r w:rsidR="00324496" w:rsidRPr="00324496">
        <w:t>atching water resource management with the environmental flow requirements</w:t>
      </w:r>
      <w:bookmarkEnd w:id="42"/>
      <w:bookmarkEnd w:id="43"/>
      <w:bookmarkEnd w:id="44"/>
      <w:bookmarkEnd w:id="45"/>
      <w:bookmarkEnd w:id="46"/>
      <w:bookmarkEnd w:id="47"/>
      <w:bookmarkEnd w:id="48"/>
      <w:bookmarkEnd w:id="49"/>
      <w:r w:rsidR="00324496" w:rsidRPr="00324496">
        <w:t xml:space="preserve"> </w:t>
      </w:r>
    </w:p>
    <w:p w14:paraId="363302F1" w14:textId="5BB4AE36" w:rsidR="00324496" w:rsidRPr="00904655" w:rsidRDefault="00723B31" w:rsidP="00324496">
      <w:pPr>
        <w:spacing w:after="240"/>
        <w:rPr>
          <w:rFonts w:asciiTheme="minorHAnsi" w:hAnsiTheme="minorHAnsi" w:cstheme="minorHAnsi"/>
          <w:sz w:val="24"/>
          <w:szCs w:val="24"/>
        </w:rPr>
      </w:pPr>
      <w:r w:rsidRPr="00904655">
        <w:rPr>
          <w:rFonts w:asciiTheme="minorHAnsi" w:hAnsiTheme="minorHAnsi" w:cstheme="minorHAnsi"/>
          <w:sz w:val="24"/>
          <w:szCs w:val="24"/>
        </w:rPr>
        <w:t>A chapter dedicated to matching water resource management with the environmental flow requirements of rivers in Australia’s wet/dry tropics is critical to the final NWR 2020 report</w:t>
      </w:r>
      <w:r w:rsidRPr="00904655" w:rsidDel="007903ED">
        <w:rPr>
          <w:rFonts w:asciiTheme="minorHAnsi" w:hAnsiTheme="minorHAnsi" w:cstheme="minorHAnsi"/>
          <w:sz w:val="24"/>
          <w:szCs w:val="24"/>
        </w:rPr>
        <w:t xml:space="preserve"> </w:t>
      </w:r>
      <w:r w:rsidR="007903ED" w:rsidRPr="00904655">
        <w:rPr>
          <w:rFonts w:asciiTheme="minorHAnsi" w:hAnsiTheme="minorHAnsi" w:cstheme="minorHAnsi"/>
          <w:sz w:val="24"/>
          <w:szCs w:val="24"/>
        </w:rPr>
        <w:t xml:space="preserve">to address the </w:t>
      </w:r>
      <w:r w:rsidR="00E010A5">
        <w:rPr>
          <w:rFonts w:asciiTheme="minorHAnsi" w:hAnsiTheme="minorHAnsi" w:cstheme="minorHAnsi"/>
          <w:sz w:val="24"/>
          <w:szCs w:val="24"/>
        </w:rPr>
        <w:t>potential</w:t>
      </w:r>
      <w:r w:rsidR="007903ED" w:rsidRPr="00904655">
        <w:rPr>
          <w:rFonts w:asciiTheme="minorHAnsi" w:hAnsiTheme="minorHAnsi" w:cstheme="minorHAnsi"/>
          <w:sz w:val="24"/>
          <w:szCs w:val="24"/>
        </w:rPr>
        <w:t xml:space="preserve"> </w:t>
      </w:r>
      <w:r w:rsidR="00324496" w:rsidRPr="00904655">
        <w:rPr>
          <w:rFonts w:asciiTheme="minorHAnsi" w:hAnsiTheme="minorHAnsi" w:cstheme="minorHAnsi"/>
          <w:sz w:val="24"/>
          <w:szCs w:val="24"/>
        </w:rPr>
        <w:t>development of irrigated agriculture in Australia’s northern tropical river catchments over the next 20 years.   This chapter would address one of the recommendations of the report; but with estuaries and riverine connectivity as the target ecosystem components: “Natural resource management programs should give priority to the key environmental assets identified in water planning processes, provide funding and undertake the required works to protect those assets.  During periods of water scarcity, natural resource management should focus on the protection of reserves and refuges and making sure that their regenerative capacity is protected (8.1)”.</w:t>
      </w:r>
    </w:p>
    <w:p w14:paraId="0A4B65C6" w14:textId="015EC0DA" w:rsidR="00324496" w:rsidRDefault="00324496" w:rsidP="00324496">
      <w:pPr>
        <w:spacing w:after="240"/>
        <w:rPr>
          <w:rFonts w:asciiTheme="minorHAnsi" w:hAnsiTheme="minorHAnsi" w:cstheme="minorHAnsi"/>
        </w:rPr>
      </w:pPr>
      <w:r>
        <w:rPr>
          <w:rFonts w:asciiTheme="minorHAnsi" w:hAnsiTheme="minorHAnsi" w:cstheme="minorHAnsi"/>
        </w:rPr>
        <w:br w:type="page"/>
      </w:r>
    </w:p>
    <w:p w14:paraId="2ACAA3D1" w14:textId="633DD50E" w:rsidR="00324496" w:rsidRPr="00324496" w:rsidRDefault="00324496" w:rsidP="00E945C7">
      <w:pPr>
        <w:pStyle w:val="Heading1"/>
        <w:numPr>
          <w:ilvl w:val="0"/>
          <w:numId w:val="22"/>
        </w:numPr>
      </w:pPr>
      <w:bookmarkStart w:id="50" w:name="_Toc67496384"/>
      <w:r w:rsidRPr="00324496">
        <w:lastRenderedPageBreak/>
        <w:t>REFERENCES</w:t>
      </w:r>
      <w:bookmarkEnd w:id="50"/>
    </w:p>
    <w:p w14:paraId="56B2E5C6" w14:textId="1A375AC9" w:rsidR="00324496" w:rsidRPr="00C62452" w:rsidRDefault="00324496" w:rsidP="00324496">
      <w:pPr>
        <w:autoSpaceDE w:val="0"/>
        <w:autoSpaceDN w:val="0"/>
        <w:adjustRightInd w:val="0"/>
        <w:rPr>
          <w:sz w:val="24"/>
          <w:szCs w:val="24"/>
        </w:rPr>
      </w:pPr>
      <w:proofErr w:type="spellStart"/>
      <w:r w:rsidRPr="00C62452">
        <w:rPr>
          <w:sz w:val="24"/>
          <w:szCs w:val="24"/>
        </w:rPr>
        <w:t>Asbridge</w:t>
      </w:r>
      <w:proofErr w:type="spellEnd"/>
      <w:r w:rsidRPr="00C62452">
        <w:rPr>
          <w:sz w:val="24"/>
          <w:szCs w:val="24"/>
        </w:rPr>
        <w:t xml:space="preserve">, E., Lucas, R., Ticehurst, C., and Bunting, P. 2016. Mangrove response to environmental change in Australia’s Gulf of Carpentaria. </w:t>
      </w:r>
      <w:r w:rsidRPr="00C62452">
        <w:rPr>
          <w:i/>
          <w:iCs/>
          <w:sz w:val="24"/>
          <w:szCs w:val="24"/>
        </w:rPr>
        <w:t xml:space="preserve">Ecology and Evolution </w:t>
      </w:r>
      <w:r w:rsidRPr="00C62452">
        <w:rPr>
          <w:b/>
          <w:bCs/>
          <w:sz w:val="24"/>
          <w:szCs w:val="24"/>
        </w:rPr>
        <w:t>6</w:t>
      </w:r>
      <w:r w:rsidRPr="00C62452">
        <w:rPr>
          <w:sz w:val="24"/>
          <w:szCs w:val="24"/>
        </w:rPr>
        <w:t>(11), 3523–3539. doi:</w:t>
      </w:r>
      <w:r w:rsidRPr="00C62452">
        <w:rPr>
          <w:color w:val="auto"/>
          <w:sz w:val="24"/>
          <w:szCs w:val="24"/>
        </w:rPr>
        <w:t>10.1002/ECE3.2140</w:t>
      </w:r>
    </w:p>
    <w:p w14:paraId="241DCFF7" w14:textId="77777777" w:rsidR="00324496" w:rsidRDefault="00324496" w:rsidP="00324496">
      <w:pPr>
        <w:rPr>
          <w:rFonts w:asciiTheme="minorHAnsi" w:hAnsiTheme="minorHAnsi" w:cstheme="minorHAnsi"/>
          <w:noProof/>
          <w:sz w:val="24"/>
          <w:szCs w:val="24"/>
        </w:rPr>
      </w:pPr>
      <w:r w:rsidRPr="00347FA4">
        <w:rPr>
          <w:rFonts w:asciiTheme="minorHAnsi" w:hAnsiTheme="minorHAnsi" w:cstheme="minorHAnsi"/>
          <w:noProof/>
          <w:sz w:val="24"/>
          <w:szCs w:val="24"/>
        </w:rPr>
        <w:t>Balston, J. 2009. Short-term climate variability and the commercial barramu</w:t>
      </w:r>
      <w:r>
        <w:rPr>
          <w:rFonts w:asciiTheme="minorHAnsi" w:hAnsiTheme="minorHAnsi" w:cstheme="minorHAnsi"/>
          <w:noProof/>
          <w:sz w:val="24"/>
          <w:szCs w:val="24"/>
        </w:rPr>
        <w:t>n</w:t>
      </w:r>
      <w:r w:rsidRPr="00347FA4">
        <w:rPr>
          <w:rFonts w:asciiTheme="minorHAnsi" w:hAnsiTheme="minorHAnsi" w:cstheme="minorHAnsi"/>
          <w:noProof/>
          <w:sz w:val="24"/>
          <w:szCs w:val="24"/>
        </w:rPr>
        <w:t>di (</w:t>
      </w:r>
      <w:r w:rsidRPr="00347FA4">
        <w:rPr>
          <w:rFonts w:asciiTheme="minorHAnsi" w:hAnsiTheme="minorHAnsi" w:cstheme="minorHAnsi"/>
          <w:i/>
          <w:noProof/>
          <w:sz w:val="24"/>
          <w:szCs w:val="24"/>
        </w:rPr>
        <w:t>Lates</w:t>
      </w:r>
      <w:r w:rsidRPr="00347FA4">
        <w:rPr>
          <w:rFonts w:asciiTheme="minorHAnsi" w:hAnsiTheme="minorHAnsi" w:cstheme="minorHAnsi"/>
          <w:noProof/>
          <w:sz w:val="24"/>
          <w:szCs w:val="24"/>
        </w:rPr>
        <w:t xml:space="preserve"> </w:t>
      </w:r>
      <w:r w:rsidRPr="00347FA4">
        <w:rPr>
          <w:rFonts w:asciiTheme="minorHAnsi" w:hAnsiTheme="minorHAnsi" w:cstheme="minorHAnsi"/>
          <w:i/>
          <w:noProof/>
          <w:sz w:val="24"/>
          <w:szCs w:val="24"/>
        </w:rPr>
        <w:t>calcarifer</w:t>
      </w:r>
      <w:r w:rsidRPr="00347FA4">
        <w:rPr>
          <w:rFonts w:asciiTheme="minorHAnsi" w:hAnsiTheme="minorHAnsi" w:cstheme="minorHAnsi"/>
          <w:noProof/>
          <w:sz w:val="24"/>
          <w:szCs w:val="24"/>
        </w:rPr>
        <w:t xml:space="preserve">) fishery of north-east Queensland, Australia. </w:t>
      </w:r>
      <w:r w:rsidRPr="00347FA4">
        <w:rPr>
          <w:rFonts w:asciiTheme="minorHAnsi" w:hAnsiTheme="minorHAnsi" w:cstheme="minorHAnsi"/>
          <w:i/>
          <w:noProof/>
          <w:sz w:val="24"/>
          <w:szCs w:val="24"/>
        </w:rPr>
        <w:t>Marine and Freshwater Research</w:t>
      </w:r>
      <w:r w:rsidRPr="003342F0">
        <w:rPr>
          <w:rFonts w:asciiTheme="minorHAnsi" w:hAnsiTheme="minorHAnsi" w:cstheme="minorHAnsi"/>
          <w:bCs/>
          <w:i/>
          <w:noProof/>
          <w:sz w:val="24"/>
          <w:szCs w:val="24"/>
        </w:rPr>
        <w:t xml:space="preserve"> </w:t>
      </w:r>
      <w:r w:rsidRPr="003342F0">
        <w:rPr>
          <w:rFonts w:asciiTheme="minorHAnsi" w:hAnsiTheme="minorHAnsi" w:cstheme="minorHAnsi"/>
          <w:bCs/>
          <w:noProof/>
          <w:sz w:val="24"/>
          <w:szCs w:val="24"/>
        </w:rPr>
        <w:t>60</w:t>
      </w:r>
      <w:r w:rsidRPr="00347FA4">
        <w:rPr>
          <w:rFonts w:asciiTheme="minorHAnsi" w:hAnsiTheme="minorHAnsi" w:cstheme="minorHAnsi"/>
          <w:noProof/>
          <w:sz w:val="24"/>
          <w:szCs w:val="24"/>
        </w:rPr>
        <w:t>, 912-923.</w:t>
      </w:r>
    </w:p>
    <w:p w14:paraId="2D96CD43" w14:textId="328F2054" w:rsidR="00324496" w:rsidRDefault="00324496" w:rsidP="00324496">
      <w:pPr>
        <w:rPr>
          <w:rFonts w:asciiTheme="minorHAnsi" w:hAnsiTheme="minorHAnsi" w:cstheme="minorHAnsi"/>
          <w:sz w:val="24"/>
          <w:szCs w:val="24"/>
        </w:rPr>
      </w:pPr>
      <w:r w:rsidRPr="002E628F">
        <w:rPr>
          <w:rFonts w:asciiTheme="minorHAnsi" w:hAnsiTheme="minorHAnsi" w:cstheme="minorHAnsi"/>
          <w:sz w:val="24"/>
          <w:szCs w:val="24"/>
        </w:rPr>
        <w:t xml:space="preserve">Bayliss P, </w:t>
      </w:r>
      <w:proofErr w:type="spellStart"/>
      <w:r w:rsidRPr="002E628F">
        <w:rPr>
          <w:rFonts w:asciiTheme="minorHAnsi" w:hAnsiTheme="minorHAnsi" w:cstheme="minorHAnsi"/>
          <w:sz w:val="24"/>
          <w:szCs w:val="24"/>
        </w:rPr>
        <w:t>Buckworth</w:t>
      </w:r>
      <w:proofErr w:type="spellEnd"/>
      <w:r w:rsidRPr="002E628F">
        <w:rPr>
          <w:rFonts w:asciiTheme="minorHAnsi" w:hAnsiTheme="minorHAnsi" w:cstheme="minorHAnsi"/>
          <w:sz w:val="24"/>
          <w:szCs w:val="24"/>
        </w:rPr>
        <w:t xml:space="preserve"> R and </w:t>
      </w:r>
      <w:proofErr w:type="spellStart"/>
      <w:r w:rsidRPr="002E628F">
        <w:rPr>
          <w:rFonts w:asciiTheme="minorHAnsi" w:hAnsiTheme="minorHAnsi" w:cstheme="minorHAnsi"/>
          <w:sz w:val="24"/>
          <w:szCs w:val="24"/>
        </w:rPr>
        <w:t>Dichmont</w:t>
      </w:r>
      <w:proofErr w:type="spellEnd"/>
      <w:r w:rsidRPr="002E628F">
        <w:rPr>
          <w:rFonts w:asciiTheme="minorHAnsi" w:hAnsiTheme="minorHAnsi" w:cstheme="minorHAnsi"/>
          <w:sz w:val="24"/>
          <w:szCs w:val="24"/>
        </w:rPr>
        <w:t xml:space="preserve"> C (Eds) 2014</w:t>
      </w:r>
      <w:r w:rsidR="003810DC">
        <w:rPr>
          <w:rFonts w:asciiTheme="minorHAnsi" w:hAnsiTheme="minorHAnsi" w:cstheme="minorHAnsi"/>
          <w:sz w:val="24"/>
          <w:szCs w:val="24"/>
        </w:rPr>
        <w:t>.</w:t>
      </w:r>
      <w:r w:rsidRPr="002E628F">
        <w:rPr>
          <w:rFonts w:asciiTheme="minorHAnsi" w:hAnsiTheme="minorHAnsi" w:cstheme="minorHAnsi"/>
          <w:sz w:val="24"/>
          <w:szCs w:val="24"/>
        </w:rPr>
        <w:t xml:space="preserve"> Assessing the water needs of fisheries and ecological values in the Gulf of Carpentaria. Final Report prepared for the Queensland Department of Natural Resources and Mines (DNRM). CSIRO, Australia.</w:t>
      </w:r>
    </w:p>
    <w:p w14:paraId="4EFF14EC" w14:textId="5EE09B11" w:rsidR="00E33D4F" w:rsidRPr="00E33D4F" w:rsidRDefault="00E33D4F" w:rsidP="00324496">
      <w:pPr>
        <w:rPr>
          <w:rFonts w:asciiTheme="minorHAnsi" w:hAnsiTheme="minorHAnsi" w:cstheme="minorHAnsi"/>
          <w:sz w:val="24"/>
          <w:szCs w:val="24"/>
        </w:rPr>
      </w:pPr>
      <w:proofErr w:type="spellStart"/>
      <w:r w:rsidRPr="00E33D4F">
        <w:rPr>
          <w:rFonts w:cs="Calibri"/>
          <w:sz w:val="24"/>
          <w:szCs w:val="24"/>
        </w:rPr>
        <w:t>Broadley</w:t>
      </w:r>
      <w:proofErr w:type="spellEnd"/>
      <w:r w:rsidRPr="00E33D4F">
        <w:rPr>
          <w:rFonts w:cs="Calibri"/>
          <w:sz w:val="24"/>
          <w:szCs w:val="24"/>
        </w:rPr>
        <w:t>, A., Stewart-</w:t>
      </w:r>
      <w:proofErr w:type="spellStart"/>
      <w:r w:rsidRPr="00E33D4F">
        <w:rPr>
          <w:rFonts w:cs="Calibri"/>
          <w:sz w:val="24"/>
          <w:szCs w:val="24"/>
        </w:rPr>
        <w:t>Koster</w:t>
      </w:r>
      <w:proofErr w:type="spellEnd"/>
      <w:r w:rsidRPr="00E33D4F">
        <w:rPr>
          <w:rFonts w:cs="Calibri"/>
          <w:sz w:val="24"/>
          <w:szCs w:val="24"/>
        </w:rPr>
        <w:t xml:space="preserve">, B, Kenyon, R.A., Burford, M.A and C. Brown 2020. Impact of water development on river flows and the catch of a commercial marine fishery. </w:t>
      </w:r>
      <w:r w:rsidRPr="00E33D4F">
        <w:rPr>
          <w:rFonts w:cs="Calibri"/>
          <w:i/>
          <w:sz w:val="24"/>
          <w:szCs w:val="24"/>
        </w:rPr>
        <w:t>Ecosphere</w:t>
      </w:r>
      <w:r w:rsidRPr="00E33D4F">
        <w:rPr>
          <w:rFonts w:cs="Calibri"/>
          <w:sz w:val="24"/>
          <w:szCs w:val="24"/>
        </w:rPr>
        <w:t xml:space="preserve"> 11(7)</w:t>
      </w:r>
      <w:r w:rsidR="00997C57">
        <w:rPr>
          <w:rFonts w:cs="Calibri"/>
          <w:sz w:val="24"/>
          <w:szCs w:val="24"/>
        </w:rPr>
        <w:t>:</w:t>
      </w:r>
      <w:r w:rsidRPr="00E33D4F">
        <w:rPr>
          <w:rFonts w:cs="Calibri"/>
          <w:sz w:val="24"/>
          <w:szCs w:val="24"/>
        </w:rPr>
        <w:t>e03194. 10.1002</w:t>
      </w:r>
      <w:r>
        <w:rPr>
          <w:rFonts w:cs="Calibri"/>
          <w:sz w:val="24"/>
          <w:szCs w:val="24"/>
        </w:rPr>
        <w:t>/ecs2.3194.</w:t>
      </w:r>
    </w:p>
    <w:p w14:paraId="68228BBD" w14:textId="77777777" w:rsidR="00324496" w:rsidRPr="00AF42A6" w:rsidRDefault="00324496" w:rsidP="00324496">
      <w:pPr>
        <w:rPr>
          <w:rFonts w:asciiTheme="minorHAnsi" w:hAnsiTheme="minorHAnsi" w:cstheme="minorHAnsi"/>
          <w:noProof/>
          <w:sz w:val="24"/>
          <w:szCs w:val="24"/>
        </w:rPr>
      </w:pPr>
      <w:r w:rsidRPr="00AF42A6">
        <w:rPr>
          <w:rFonts w:asciiTheme="minorHAnsi" w:hAnsiTheme="minorHAnsi" w:cstheme="minorHAnsi"/>
          <w:sz w:val="24"/>
          <w:szCs w:val="24"/>
        </w:rPr>
        <w:t xml:space="preserve">Burford MA, </w:t>
      </w:r>
      <w:proofErr w:type="spellStart"/>
      <w:r w:rsidRPr="00AF42A6">
        <w:rPr>
          <w:rFonts w:asciiTheme="minorHAnsi" w:hAnsiTheme="minorHAnsi" w:cstheme="minorHAnsi"/>
          <w:sz w:val="24"/>
          <w:szCs w:val="24"/>
        </w:rPr>
        <w:t>Faggotter</w:t>
      </w:r>
      <w:proofErr w:type="spellEnd"/>
      <w:r w:rsidRPr="00AF42A6">
        <w:rPr>
          <w:rFonts w:asciiTheme="minorHAnsi" w:hAnsiTheme="minorHAnsi" w:cstheme="minorHAnsi"/>
          <w:sz w:val="24"/>
          <w:szCs w:val="24"/>
        </w:rPr>
        <w:t xml:space="preserve"> SJ &amp; Kenyon R. 2020. </w:t>
      </w:r>
      <w:r w:rsidRPr="00AF42A6">
        <w:rPr>
          <w:rFonts w:asciiTheme="minorHAnsi" w:hAnsiTheme="minorHAnsi" w:cstheme="minorHAnsi"/>
          <w:i/>
          <w:iCs/>
          <w:sz w:val="24"/>
          <w:szCs w:val="24"/>
        </w:rPr>
        <w:t>Contribution of three rivers to floodplain and coastal productivity in the Gulf of Carpentaria: Component 1 final report</w:t>
      </w:r>
      <w:r w:rsidRPr="00AF42A6">
        <w:rPr>
          <w:rFonts w:asciiTheme="minorHAnsi" w:hAnsiTheme="minorHAnsi" w:cstheme="minorHAnsi"/>
          <w:sz w:val="24"/>
          <w:szCs w:val="24"/>
        </w:rPr>
        <w:t>. Griffith University, Brisbane.</w:t>
      </w:r>
    </w:p>
    <w:p w14:paraId="132687F4" w14:textId="77777777" w:rsidR="00324496" w:rsidRDefault="00324496" w:rsidP="00324496">
      <w:pPr>
        <w:autoSpaceDE w:val="0"/>
        <w:autoSpaceDN w:val="0"/>
        <w:adjustRightInd w:val="0"/>
        <w:rPr>
          <w:rFonts w:asciiTheme="minorHAnsi" w:hAnsiTheme="minorHAnsi" w:cstheme="minorHAnsi"/>
          <w:sz w:val="24"/>
          <w:szCs w:val="24"/>
        </w:rPr>
      </w:pPr>
      <w:r w:rsidRPr="00BD4689">
        <w:rPr>
          <w:rFonts w:asciiTheme="minorHAnsi" w:hAnsiTheme="minorHAnsi" w:cstheme="minorHAnsi"/>
          <w:sz w:val="24"/>
          <w:szCs w:val="24"/>
        </w:rPr>
        <w:t xml:space="preserve">Burford, M.A., Webster, I.T., </w:t>
      </w:r>
      <w:proofErr w:type="spellStart"/>
      <w:r w:rsidRPr="00BD4689">
        <w:rPr>
          <w:rFonts w:asciiTheme="minorHAnsi" w:hAnsiTheme="minorHAnsi" w:cstheme="minorHAnsi"/>
          <w:sz w:val="24"/>
          <w:szCs w:val="24"/>
        </w:rPr>
        <w:t>Revill</w:t>
      </w:r>
      <w:proofErr w:type="spellEnd"/>
      <w:r w:rsidRPr="00BD4689">
        <w:rPr>
          <w:rFonts w:asciiTheme="minorHAnsi" w:hAnsiTheme="minorHAnsi" w:cstheme="minorHAnsi"/>
          <w:sz w:val="24"/>
          <w:szCs w:val="24"/>
        </w:rPr>
        <w:t xml:space="preserve">, A.T., Kenyon, R.A., Whittle, M. and Curwen, G. 2012. Controls on phytoplankton productivity in a wet-dry tropical estuary. </w:t>
      </w:r>
      <w:r w:rsidRPr="00E33D4F">
        <w:rPr>
          <w:rFonts w:asciiTheme="minorHAnsi" w:hAnsiTheme="minorHAnsi" w:cstheme="minorHAnsi"/>
          <w:i/>
          <w:iCs/>
          <w:sz w:val="24"/>
          <w:szCs w:val="24"/>
        </w:rPr>
        <w:t>Estuarine Coastal and Shelf Science</w:t>
      </w:r>
      <w:r w:rsidRPr="00BD4689">
        <w:rPr>
          <w:rFonts w:asciiTheme="minorHAnsi" w:hAnsiTheme="minorHAnsi" w:cstheme="minorHAnsi"/>
          <w:sz w:val="24"/>
          <w:szCs w:val="24"/>
        </w:rPr>
        <w:t>. 113: 141-151.</w:t>
      </w:r>
    </w:p>
    <w:p w14:paraId="1734B449" w14:textId="77777777" w:rsidR="003810DC" w:rsidRDefault="00324496" w:rsidP="003810DC">
      <w:pPr>
        <w:rPr>
          <w:rFonts w:asciiTheme="minorHAnsi" w:hAnsiTheme="minorHAnsi" w:cstheme="minorHAnsi"/>
          <w:sz w:val="24"/>
          <w:szCs w:val="24"/>
        </w:rPr>
      </w:pPr>
      <w:r w:rsidRPr="00BD4689">
        <w:rPr>
          <w:rFonts w:asciiTheme="minorHAnsi" w:hAnsiTheme="minorHAnsi" w:cstheme="minorHAnsi"/>
          <w:sz w:val="24"/>
          <w:szCs w:val="24"/>
        </w:rPr>
        <w:t xml:space="preserve">Burford, M.A., Valdez, D., Curwen, G., </w:t>
      </w:r>
      <w:proofErr w:type="spellStart"/>
      <w:r w:rsidRPr="00BD4689">
        <w:rPr>
          <w:rFonts w:asciiTheme="minorHAnsi" w:hAnsiTheme="minorHAnsi" w:cstheme="minorHAnsi"/>
          <w:sz w:val="24"/>
          <w:szCs w:val="24"/>
        </w:rPr>
        <w:t>Faggotter</w:t>
      </w:r>
      <w:proofErr w:type="spellEnd"/>
      <w:r w:rsidRPr="00BD4689">
        <w:rPr>
          <w:rFonts w:asciiTheme="minorHAnsi" w:hAnsiTheme="minorHAnsi" w:cstheme="minorHAnsi"/>
          <w:sz w:val="24"/>
          <w:szCs w:val="24"/>
        </w:rPr>
        <w:t xml:space="preserve">, S.J., Ward, D.P. O’Brien, K.R. 2016. Inundation of saline supratidal mudflats provides an important source of carbon and nutrients in an aquatic system. </w:t>
      </w:r>
      <w:r w:rsidRPr="00E33D4F">
        <w:rPr>
          <w:rFonts w:asciiTheme="minorHAnsi" w:hAnsiTheme="minorHAnsi" w:cstheme="minorHAnsi"/>
          <w:i/>
          <w:iCs/>
          <w:sz w:val="24"/>
          <w:szCs w:val="24"/>
        </w:rPr>
        <w:t>Marine Ecology Progress Series</w:t>
      </w:r>
      <w:r w:rsidRPr="00BD4689">
        <w:rPr>
          <w:rFonts w:asciiTheme="minorHAnsi" w:hAnsiTheme="minorHAnsi" w:cstheme="minorHAnsi"/>
          <w:sz w:val="24"/>
          <w:szCs w:val="24"/>
        </w:rPr>
        <w:t>. 545:21-33</w:t>
      </w:r>
      <w:r w:rsidR="003810DC">
        <w:rPr>
          <w:rFonts w:asciiTheme="minorHAnsi" w:hAnsiTheme="minorHAnsi" w:cstheme="minorHAnsi"/>
          <w:sz w:val="24"/>
          <w:szCs w:val="24"/>
        </w:rPr>
        <w:t>.</w:t>
      </w:r>
    </w:p>
    <w:p w14:paraId="25C46BA7" w14:textId="213711E5" w:rsidR="003810DC" w:rsidRPr="003810DC" w:rsidRDefault="003810DC" w:rsidP="003810DC">
      <w:pPr>
        <w:rPr>
          <w:rFonts w:asciiTheme="minorHAnsi" w:hAnsiTheme="minorHAnsi" w:cstheme="minorHAnsi"/>
          <w:sz w:val="24"/>
          <w:szCs w:val="24"/>
        </w:rPr>
      </w:pPr>
      <w:r w:rsidRPr="003810DC">
        <w:rPr>
          <w:rFonts w:asciiTheme="minorHAnsi" w:eastAsiaTheme="minorHAnsi" w:hAnsiTheme="minorHAnsi" w:cstheme="minorHAnsi"/>
          <w:color w:val="auto"/>
          <w:sz w:val="24"/>
          <w:szCs w:val="24"/>
        </w:rPr>
        <w:t xml:space="preserve">Crook, D.A., Buckle, D.J., </w:t>
      </w:r>
      <w:proofErr w:type="spellStart"/>
      <w:r w:rsidRPr="003810DC">
        <w:rPr>
          <w:rFonts w:asciiTheme="minorHAnsi" w:eastAsiaTheme="minorHAnsi" w:hAnsiTheme="minorHAnsi" w:cstheme="minorHAnsi"/>
          <w:color w:val="auto"/>
          <w:sz w:val="24"/>
          <w:szCs w:val="24"/>
        </w:rPr>
        <w:t>Allsop</w:t>
      </w:r>
      <w:proofErr w:type="spellEnd"/>
      <w:r w:rsidRPr="003810DC">
        <w:rPr>
          <w:rFonts w:asciiTheme="minorHAnsi" w:eastAsiaTheme="minorHAnsi" w:hAnsiTheme="minorHAnsi" w:cstheme="minorHAnsi"/>
          <w:color w:val="auto"/>
          <w:sz w:val="24"/>
          <w:szCs w:val="24"/>
        </w:rPr>
        <w:t xml:space="preserve">, Q., Baldwin, W., Saunders, T.M., </w:t>
      </w:r>
      <w:proofErr w:type="spellStart"/>
      <w:r w:rsidRPr="003810DC">
        <w:rPr>
          <w:rFonts w:asciiTheme="minorHAnsi" w:eastAsiaTheme="minorHAnsi" w:hAnsiTheme="minorHAnsi" w:cstheme="minorHAnsi"/>
          <w:color w:val="auto"/>
          <w:sz w:val="24"/>
          <w:szCs w:val="24"/>
        </w:rPr>
        <w:t>Kyne</w:t>
      </w:r>
      <w:proofErr w:type="spellEnd"/>
      <w:r w:rsidRPr="003810DC">
        <w:rPr>
          <w:rFonts w:asciiTheme="minorHAnsi" w:eastAsiaTheme="minorHAnsi" w:hAnsiTheme="minorHAnsi" w:cstheme="minorHAnsi"/>
          <w:color w:val="auto"/>
          <w:sz w:val="24"/>
          <w:szCs w:val="24"/>
        </w:rPr>
        <w:t>, P.M., Woodhead, J.D., Mass, R.,</w:t>
      </w:r>
      <w:r>
        <w:rPr>
          <w:rFonts w:asciiTheme="minorHAnsi" w:eastAsiaTheme="minorHAnsi" w:hAnsiTheme="minorHAnsi" w:cstheme="minorHAnsi"/>
          <w:color w:val="auto"/>
          <w:sz w:val="24"/>
          <w:szCs w:val="24"/>
        </w:rPr>
        <w:t xml:space="preserve"> </w:t>
      </w:r>
      <w:r w:rsidRPr="003810DC">
        <w:rPr>
          <w:rFonts w:asciiTheme="minorHAnsi" w:eastAsiaTheme="minorHAnsi" w:hAnsiTheme="minorHAnsi" w:cstheme="minorHAnsi"/>
          <w:color w:val="auto"/>
          <w:sz w:val="24"/>
          <w:szCs w:val="24"/>
        </w:rPr>
        <w:t>Roberts, B., and Douglas, M.M. 2017. Use of otolith chemistry and acoustic telemetry to elucidate</w:t>
      </w:r>
      <w:r>
        <w:rPr>
          <w:rFonts w:asciiTheme="minorHAnsi" w:eastAsiaTheme="minorHAnsi" w:hAnsiTheme="minorHAnsi" w:cstheme="minorHAnsi"/>
          <w:color w:val="auto"/>
          <w:sz w:val="24"/>
          <w:szCs w:val="24"/>
        </w:rPr>
        <w:t xml:space="preserve"> </w:t>
      </w:r>
      <w:r w:rsidRPr="003810DC">
        <w:rPr>
          <w:rFonts w:asciiTheme="minorHAnsi" w:eastAsiaTheme="minorHAnsi" w:hAnsiTheme="minorHAnsi" w:cstheme="minorHAnsi"/>
          <w:color w:val="auto"/>
          <w:sz w:val="24"/>
          <w:szCs w:val="24"/>
        </w:rPr>
        <w:t>migratory contingents in barramundi Lates calcarifer. MFR, 68, 1554-1566.</w:t>
      </w:r>
    </w:p>
    <w:p w14:paraId="3409538F" w14:textId="2E77C327" w:rsidR="00324496" w:rsidRDefault="00324496" w:rsidP="00324496">
      <w:pPr>
        <w:rPr>
          <w:rFonts w:asciiTheme="minorHAnsi" w:hAnsiTheme="minorHAnsi" w:cstheme="minorHAnsi"/>
          <w:sz w:val="24"/>
          <w:szCs w:val="24"/>
        </w:rPr>
      </w:pPr>
      <w:r w:rsidRPr="0071730A">
        <w:rPr>
          <w:rFonts w:asciiTheme="minorHAnsi" w:hAnsiTheme="minorHAnsi" w:cstheme="minorHAnsi"/>
          <w:sz w:val="24"/>
          <w:szCs w:val="24"/>
        </w:rPr>
        <w:t>CSIRO 2019</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Proposed methods report for the Roper Catchment. A report from the CSIRO Roper River Water Resource Assessment to the Government of Australia. CSIRO, Australia</w:t>
      </w:r>
      <w:r>
        <w:rPr>
          <w:rFonts w:asciiTheme="minorHAnsi" w:hAnsiTheme="minorHAnsi" w:cstheme="minorHAnsi"/>
          <w:sz w:val="24"/>
          <w:szCs w:val="24"/>
        </w:rPr>
        <w:t>.</w:t>
      </w:r>
    </w:p>
    <w:p w14:paraId="33F0B907" w14:textId="77777777" w:rsidR="00324496" w:rsidRPr="00F3536A" w:rsidRDefault="00324496" w:rsidP="00324496">
      <w:pPr>
        <w:autoSpaceDE w:val="0"/>
        <w:autoSpaceDN w:val="0"/>
        <w:adjustRightInd w:val="0"/>
        <w:rPr>
          <w:rFonts w:asciiTheme="minorHAnsi" w:hAnsiTheme="minorHAnsi" w:cstheme="minorHAnsi"/>
          <w:sz w:val="24"/>
          <w:szCs w:val="24"/>
        </w:rPr>
      </w:pPr>
      <w:r w:rsidRPr="00F3536A">
        <w:rPr>
          <w:rFonts w:asciiTheme="minorHAnsi" w:hAnsiTheme="minorHAnsi" w:cstheme="minorHAnsi"/>
          <w:sz w:val="24"/>
          <w:szCs w:val="24"/>
        </w:rPr>
        <w:t xml:space="preserve">Duggan, M., Bayliss, P., Burford, M.A. 2019. Predicting the impacts of freshwater-flow alterations on prawn </w:t>
      </w:r>
      <w:r w:rsidRPr="00F3536A">
        <w:rPr>
          <w:rFonts w:asciiTheme="minorHAnsi" w:hAnsiTheme="minorHAnsi" w:cstheme="minorHAnsi"/>
          <w:i/>
          <w:sz w:val="24"/>
          <w:szCs w:val="24"/>
        </w:rPr>
        <w:t>Penaeus</w:t>
      </w:r>
      <w:r w:rsidRPr="00F3536A">
        <w:rPr>
          <w:rFonts w:asciiTheme="minorHAnsi" w:hAnsiTheme="minorHAnsi" w:cstheme="minorHAnsi"/>
          <w:sz w:val="24"/>
          <w:szCs w:val="24"/>
        </w:rPr>
        <w:t xml:space="preserve"> </w:t>
      </w:r>
      <w:proofErr w:type="spellStart"/>
      <w:r w:rsidRPr="00F3536A">
        <w:rPr>
          <w:rFonts w:asciiTheme="minorHAnsi" w:hAnsiTheme="minorHAnsi" w:cstheme="minorHAnsi"/>
          <w:i/>
          <w:sz w:val="24"/>
          <w:szCs w:val="24"/>
        </w:rPr>
        <w:t>merguiensis</w:t>
      </w:r>
      <w:proofErr w:type="spellEnd"/>
      <w:r w:rsidRPr="00F3536A">
        <w:rPr>
          <w:rFonts w:asciiTheme="minorHAnsi" w:hAnsiTheme="minorHAnsi" w:cstheme="minorHAnsi"/>
          <w:sz w:val="24"/>
          <w:szCs w:val="24"/>
        </w:rPr>
        <w:t xml:space="preserve"> catches. </w:t>
      </w:r>
      <w:r w:rsidRPr="00E33D4F">
        <w:rPr>
          <w:rFonts w:asciiTheme="minorHAnsi" w:hAnsiTheme="minorHAnsi" w:cstheme="minorHAnsi"/>
          <w:i/>
          <w:iCs/>
          <w:sz w:val="24"/>
          <w:szCs w:val="24"/>
        </w:rPr>
        <w:t>Fisheries Research</w:t>
      </w:r>
      <w:r w:rsidRPr="00F3536A">
        <w:rPr>
          <w:rFonts w:asciiTheme="minorHAnsi" w:hAnsiTheme="minorHAnsi" w:cstheme="minorHAnsi"/>
          <w:sz w:val="24"/>
          <w:szCs w:val="24"/>
        </w:rPr>
        <w:t xml:space="preserve"> 215:27-37.</w:t>
      </w:r>
    </w:p>
    <w:p w14:paraId="0413B09C" w14:textId="77777777" w:rsidR="00324496" w:rsidRPr="008F3EE0" w:rsidRDefault="00324496" w:rsidP="00324496">
      <w:pPr>
        <w:rPr>
          <w:rFonts w:asciiTheme="minorHAnsi" w:hAnsiTheme="minorHAnsi" w:cstheme="minorHAnsi"/>
          <w:sz w:val="24"/>
          <w:szCs w:val="24"/>
        </w:rPr>
      </w:pPr>
      <w:r w:rsidRPr="008F3EE0">
        <w:rPr>
          <w:rFonts w:asciiTheme="minorHAnsi" w:hAnsiTheme="minorHAnsi" w:cstheme="minorHAnsi"/>
          <w:sz w:val="24"/>
          <w:szCs w:val="24"/>
        </w:rPr>
        <w:t xml:space="preserve">Duggan, M., Connolly, R.M., Whittle, M., Curwen, G., Burford, M.A. 2014. Effects of freshwater flows extremes on intertidal biota of a wet-dry tropical estuary. </w:t>
      </w:r>
      <w:r w:rsidRPr="00E33D4F">
        <w:rPr>
          <w:rFonts w:asciiTheme="minorHAnsi" w:hAnsiTheme="minorHAnsi" w:cstheme="minorHAnsi"/>
          <w:i/>
          <w:iCs/>
          <w:sz w:val="24"/>
          <w:szCs w:val="24"/>
        </w:rPr>
        <w:t>Marine Ecology Progress Series</w:t>
      </w:r>
      <w:r w:rsidRPr="008F3EE0">
        <w:rPr>
          <w:rFonts w:asciiTheme="minorHAnsi" w:hAnsiTheme="minorHAnsi" w:cstheme="minorHAnsi"/>
          <w:sz w:val="24"/>
          <w:szCs w:val="24"/>
        </w:rPr>
        <w:t xml:space="preserve"> 502:11-23. </w:t>
      </w:r>
    </w:p>
    <w:p w14:paraId="5DA501D2" w14:textId="77777777" w:rsidR="00324496" w:rsidRPr="0071730A" w:rsidRDefault="00324496" w:rsidP="00324496">
      <w:pPr>
        <w:autoSpaceDE w:val="0"/>
        <w:autoSpaceDN w:val="0"/>
        <w:adjustRightInd w:val="0"/>
        <w:rPr>
          <w:rFonts w:asciiTheme="minorHAnsi" w:hAnsiTheme="minorHAnsi" w:cstheme="minorHAnsi"/>
          <w:sz w:val="24"/>
          <w:szCs w:val="24"/>
          <w:lang w:eastAsia="en-US"/>
        </w:rPr>
      </w:pPr>
      <w:r w:rsidRPr="0071730A">
        <w:rPr>
          <w:rFonts w:asciiTheme="minorHAnsi" w:hAnsiTheme="minorHAnsi" w:cstheme="minorHAnsi"/>
          <w:sz w:val="24"/>
          <w:szCs w:val="24"/>
          <w:lang w:eastAsia="en-US"/>
        </w:rPr>
        <w:t>Eliot, M. and Eliot I. 2008. Report 2: Estuaries. In G.P. Lukacs and C.M. Finlayson (eds)</w:t>
      </w:r>
    </w:p>
    <w:p w14:paraId="1E43C576" w14:textId="77777777" w:rsidR="00324496" w:rsidRPr="0071730A" w:rsidRDefault="00324496" w:rsidP="00324496">
      <w:pPr>
        <w:autoSpaceDE w:val="0"/>
        <w:autoSpaceDN w:val="0"/>
        <w:adjustRightInd w:val="0"/>
        <w:rPr>
          <w:rFonts w:asciiTheme="minorHAnsi" w:hAnsiTheme="minorHAnsi" w:cstheme="minorHAnsi"/>
          <w:i/>
          <w:iCs/>
          <w:sz w:val="24"/>
          <w:szCs w:val="24"/>
          <w:lang w:eastAsia="en-US"/>
        </w:rPr>
      </w:pPr>
      <w:r w:rsidRPr="0071730A">
        <w:rPr>
          <w:rFonts w:asciiTheme="minorHAnsi" w:hAnsiTheme="minorHAnsi" w:cstheme="minorHAnsi"/>
          <w:sz w:val="24"/>
          <w:szCs w:val="24"/>
          <w:lang w:eastAsia="en-US"/>
        </w:rPr>
        <w:t xml:space="preserve">2008. </w:t>
      </w:r>
      <w:r w:rsidRPr="0071730A">
        <w:rPr>
          <w:rFonts w:asciiTheme="minorHAnsi" w:hAnsiTheme="minorHAnsi" w:cstheme="minorHAnsi"/>
          <w:i/>
          <w:iCs/>
          <w:sz w:val="24"/>
          <w:szCs w:val="24"/>
          <w:lang w:eastAsia="en-US"/>
        </w:rPr>
        <w:t>A Compendium of Ecological Information on Australia’s Northern Tropical Rivers.</w:t>
      </w:r>
    </w:p>
    <w:p w14:paraId="28FB0720" w14:textId="77777777" w:rsidR="00324496" w:rsidRPr="0071730A" w:rsidRDefault="00324496" w:rsidP="00324496">
      <w:pPr>
        <w:autoSpaceDE w:val="0"/>
        <w:autoSpaceDN w:val="0"/>
        <w:adjustRightInd w:val="0"/>
        <w:rPr>
          <w:rFonts w:asciiTheme="minorHAnsi" w:hAnsiTheme="minorHAnsi" w:cstheme="minorHAnsi"/>
          <w:i/>
          <w:iCs/>
          <w:sz w:val="24"/>
          <w:szCs w:val="24"/>
          <w:lang w:eastAsia="en-US"/>
        </w:rPr>
      </w:pPr>
      <w:r w:rsidRPr="0071730A">
        <w:rPr>
          <w:rFonts w:asciiTheme="minorHAnsi" w:hAnsiTheme="minorHAnsi" w:cstheme="minorHAnsi"/>
          <w:i/>
          <w:iCs/>
          <w:sz w:val="24"/>
          <w:szCs w:val="24"/>
          <w:lang w:eastAsia="en-US"/>
        </w:rPr>
        <w:t>Sub-project 1 of Australia’s Tropical Rivers – an integrated data assessment and analysis</w:t>
      </w:r>
    </w:p>
    <w:p w14:paraId="414D2680" w14:textId="77777777" w:rsidR="00324496" w:rsidRPr="0071730A" w:rsidRDefault="00324496" w:rsidP="00324496">
      <w:pPr>
        <w:autoSpaceDE w:val="0"/>
        <w:autoSpaceDN w:val="0"/>
        <w:adjustRightInd w:val="0"/>
        <w:rPr>
          <w:rFonts w:asciiTheme="minorHAnsi" w:hAnsiTheme="minorHAnsi" w:cstheme="minorHAnsi"/>
          <w:sz w:val="24"/>
          <w:szCs w:val="24"/>
          <w:lang w:eastAsia="en-US"/>
        </w:rPr>
      </w:pPr>
      <w:r w:rsidRPr="0071730A">
        <w:rPr>
          <w:rFonts w:asciiTheme="minorHAnsi" w:hAnsiTheme="minorHAnsi" w:cstheme="minorHAnsi"/>
          <w:i/>
          <w:iCs/>
          <w:sz w:val="24"/>
          <w:szCs w:val="24"/>
          <w:lang w:eastAsia="en-US"/>
        </w:rPr>
        <w:t>(DET18)</w:t>
      </w:r>
      <w:r w:rsidRPr="0071730A">
        <w:rPr>
          <w:rFonts w:asciiTheme="minorHAnsi" w:hAnsiTheme="minorHAnsi" w:cstheme="minorHAnsi"/>
          <w:sz w:val="24"/>
          <w:szCs w:val="24"/>
          <w:lang w:eastAsia="en-US"/>
        </w:rPr>
        <w:t>. A report to Land &amp; Water Australia. National Centre for Tropical Wetland</w:t>
      </w:r>
    </w:p>
    <w:p w14:paraId="47CAC81A" w14:textId="4E47C64F" w:rsidR="00324496" w:rsidRDefault="00324496" w:rsidP="00324496">
      <w:pPr>
        <w:rPr>
          <w:rFonts w:asciiTheme="minorHAnsi" w:hAnsiTheme="minorHAnsi" w:cstheme="minorHAnsi"/>
          <w:sz w:val="24"/>
          <w:szCs w:val="24"/>
          <w:lang w:eastAsia="en-US"/>
        </w:rPr>
      </w:pPr>
      <w:r w:rsidRPr="0071730A">
        <w:rPr>
          <w:rFonts w:asciiTheme="minorHAnsi" w:hAnsiTheme="minorHAnsi" w:cstheme="minorHAnsi"/>
          <w:sz w:val="24"/>
          <w:szCs w:val="24"/>
          <w:lang w:eastAsia="en-US"/>
        </w:rPr>
        <w:t>Research, Townsville, Queensland</w:t>
      </w:r>
      <w:r w:rsidR="00207F97">
        <w:rPr>
          <w:rFonts w:asciiTheme="minorHAnsi" w:hAnsiTheme="minorHAnsi" w:cstheme="minorHAnsi"/>
          <w:sz w:val="24"/>
          <w:szCs w:val="24"/>
          <w:lang w:eastAsia="en-US"/>
        </w:rPr>
        <w:t>.</w:t>
      </w:r>
    </w:p>
    <w:p w14:paraId="328FA4AF" w14:textId="714029A2" w:rsidR="00207F97" w:rsidRPr="0071730A" w:rsidRDefault="00207F97" w:rsidP="00324496">
      <w:pPr>
        <w:rPr>
          <w:rFonts w:asciiTheme="minorHAnsi" w:hAnsiTheme="minorHAnsi" w:cstheme="minorHAnsi"/>
          <w:sz w:val="24"/>
          <w:szCs w:val="24"/>
        </w:rPr>
      </w:pPr>
      <w:r w:rsidRPr="00385108">
        <w:rPr>
          <w:szCs w:val="24"/>
        </w:rPr>
        <w:t xml:space="preserve">Kenyon, R.A., </w:t>
      </w:r>
      <w:proofErr w:type="spellStart"/>
      <w:r w:rsidRPr="00385108">
        <w:rPr>
          <w:szCs w:val="24"/>
        </w:rPr>
        <w:t>Loneragan</w:t>
      </w:r>
      <w:proofErr w:type="spellEnd"/>
      <w:r w:rsidRPr="00385108">
        <w:rPr>
          <w:szCs w:val="24"/>
        </w:rPr>
        <w:t>, N.R. and Hughes, J. 1995</w:t>
      </w:r>
      <w:r w:rsidR="003810DC">
        <w:rPr>
          <w:szCs w:val="24"/>
        </w:rPr>
        <w:t>.</w:t>
      </w:r>
      <w:r w:rsidRPr="00385108">
        <w:rPr>
          <w:szCs w:val="24"/>
        </w:rPr>
        <w:t xml:space="preserve">  Habitat type and light affect the sheltering behaviour of juvenile tiger prawns (</w:t>
      </w:r>
      <w:r w:rsidRPr="00385108">
        <w:rPr>
          <w:i/>
          <w:szCs w:val="24"/>
        </w:rPr>
        <w:t>Penaeus</w:t>
      </w:r>
      <w:r w:rsidRPr="00385108">
        <w:rPr>
          <w:szCs w:val="24"/>
        </w:rPr>
        <w:t xml:space="preserve"> </w:t>
      </w:r>
      <w:r w:rsidRPr="00385108">
        <w:rPr>
          <w:i/>
          <w:szCs w:val="24"/>
        </w:rPr>
        <w:t>esculentus</w:t>
      </w:r>
      <w:r w:rsidRPr="00385108">
        <w:rPr>
          <w:szCs w:val="24"/>
        </w:rPr>
        <w:t xml:space="preserve"> Haswell) and success rates of their fish predators.  </w:t>
      </w:r>
      <w:smartTag w:uri="urn:schemas-microsoft-com:office:smarttags" w:element="PersonName">
        <w:r w:rsidRPr="00385108">
          <w:rPr>
            <w:i/>
            <w:szCs w:val="24"/>
          </w:rPr>
          <w:t>Jo</w:t>
        </w:r>
      </w:smartTag>
      <w:r w:rsidRPr="00385108">
        <w:rPr>
          <w:i/>
          <w:szCs w:val="24"/>
        </w:rPr>
        <w:t>urnal of Experimental Marine Biology and Ecology</w:t>
      </w:r>
      <w:r w:rsidRPr="00385108">
        <w:rPr>
          <w:szCs w:val="24"/>
        </w:rPr>
        <w:t xml:space="preserve">  </w:t>
      </w:r>
      <w:r w:rsidRPr="00E33D4F">
        <w:rPr>
          <w:bCs/>
          <w:szCs w:val="24"/>
        </w:rPr>
        <w:t>192</w:t>
      </w:r>
      <w:r w:rsidRPr="00385108">
        <w:rPr>
          <w:szCs w:val="24"/>
        </w:rPr>
        <w:t>: 87-105</w:t>
      </w:r>
      <w:r>
        <w:rPr>
          <w:szCs w:val="24"/>
        </w:rPr>
        <w:t>.</w:t>
      </w:r>
    </w:p>
    <w:p w14:paraId="39FB7AF5" w14:textId="6B7422A9" w:rsidR="00324496" w:rsidRDefault="00324496" w:rsidP="00324496">
      <w:pPr>
        <w:autoSpaceDE w:val="0"/>
        <w:autoSpaceDN w:val="0"/>
        <w:adjustRightInd w:val="0"/>
        <w:rPr>
          <w:rFonts w:asciiTheme="minorHAnsi" w:hAnsiTheme="minorHAnsi" w:cstheme="minorHAnsi"/>
          <w:sz w:val="24"/>
          <w:szCs w:val="24"/>
          <w:lang w:eastAsia="en-US"/>
        </w:rPr>
      </w:pPr>
      <w:r w:rsidRPr="001D2A9F">
        <w:rPr>
          <w:rFonts w:asciiTheme="minorHAnsi" w:hAnsiTheme="minorHAnsi" w:cstheme="minorHAnsi"/>
          <w:sz w:val="24"/>
          <w:szCs w:val="24"/>
          <w:lang w:eastAsia="en-US"/>
        </w:rPr>
        <w:lastRenderedPageBreak/>
        <w:t xml:space="preserve">Kenyon R., </w:t>
      </w:r>
      <w:proofErr w:type="spellStart"/>
      <w:r w:rsidRPr="001D2A9F">
        <w:rPr>
          <w:rFonts w:asciiTheme="minorHAnsi" w:hAnsiTheme="minorHAnsi" w:cstheme="minorHAnsi"/>
          <w:sz w:val="24"/>
          <w:szCs w:val="24"/>
          <w:lang w:eastAsia="en-US"/>
        </w:rPr>
        <w:t>Plaganyi</w:t>
      </w:r>
      <w:proofErr w:type="spellEnd"/>
      <w:r w:rsidRPr="001D2A9F">
        <w:rPr>
          <w:rFonts w:asciiTheme="minorHAnsi" w:hAnsiTheme="minorHAnsi" w:cstheme="minorHAnsi"/>
          <w:sz w:val="24"/>
          <w:szCs w:val="24"/>
          <w:lang w:eastAsia="en-US"/>
        </w:rPr>
        <w:t xml:space="preserve"> E., Miller M., Moeseneder C. CSIRO Oceans and Atmosphere. 2017. </w:t>
      </w:r>
      <w:r w:rsidRPr="001D2A9F">
        <w:rPr>
          <w:rFonts w:asciiTheme="minorHAnsi" w:hAnsiTheme="minorHAnsi" w:cstheme="minorHAnsi"/>
          <w:i/>
          <w:iCs/>
          <w:sz w:val="24"/>
          <w:szCs w:val="24"/>
          <w:lang w:eastAsia="en-US"/>
        </w:rPr>
        <w:t>Proposed northern Australian water developments</w:t>
      </w:r>
      <w:r w:rsidRPr="001D2A9F">
        <w:rPr>
          <w:rFonts w:asciiTheme="minorHAnsi" w:hAnsiTheme="minorHAnsi" w:cstheme="minorHAnsi"/>
          <w:sz w:val="24"/>
          <w:szCs w:val="24"/>
          <w:lang w:eastAsia="en-US"/>
        </w:rPr>
        <w:t xml:space="preserve"> </w:t>
      </w:r>
      <w:r w:rsidRPr="001D2A9F">
        <w:rPr>
          <w:rFonts w:asciiTheme="minorHAnsi" w:hAnsiTheme="minorHAnsi" w:cstheme="minorHAnsi"/>
          <w:i/>
          <w:iCs/>
          <w:sz w:val="24"/>
          <w:szCs w:val="24"/>
          <w:lang w:eastAsia="en-US"/>
        </w:rPr>
        <w:t>pertinent to the Northern Prawn Fishery</w:t>
      </w:r>
      <w:r w:rsidRPr="001D2A9F">
        <w:rPr>
          <w:rFonts w:asciiTheme="minorHAnsi" w:hAnsiTheme="minorHAnsi" w:cstheme="minorHAnsi"/>
          <w:sz w:val="24"/>
          <w:szCs w:val="24"/>
          <w:lang w:eastAsia="en-US"/>
        </w:rPr>
        <w:t>. Brisbane, October. CC BY 3.0</w:t>
      </w:r>
      <w:r>
        <w:rPr>
          <w:rFonts w:asciiTheme="minorHAnsi" w:hAnsiTheme="minorHAnsi" w:cstheme="minorHAnsi"/>
          <w:sz w:val="24"/>
          <w:szCs w:val="24"/>
          <w:lang w:eastAsia="en-US"/>
        </w:rPr>
        <w:t>.</w:t>
      </w:r>
    </w:p>
    <w:p w14:paraId="61628C2D" w14:textId="77C9CFDD" w:rsidR="00207F97" w:rsidRDefault="00207F97" w:rsidP="00324496">
      <w:pPr>
        <w:autoSpaceDE w:val="0"/>
        <w:autoSpaceDN w:val="0"/>
        <w:adjustRightInd w:val="0"/>
        <w:rPr>
          <w:rFonts w:asciiTheme="minorHAnsi" w:hAnsiTheme="minorHAnsi" w:cstheme="minorHAnsi"/>
          <w:sz w:val="24"/>
          <w:szCs w:val="24"/>
          <w:lang w:eastAsia="en-US"/>
        </w:rPr>
      </w:pPr>
      <w:r w:rsidRPr="00E178E7">
        <w:rPr>
          <w:sz w:val="24"/>
          <w:szCs w:val="24"/>
        </w:rPr>
        <w:t xml:space="preserve">Kenyon, R., N. </w:t>
      </w:r>
      <w:proofErr w:type="spellStart"/>
      <w:r w:rsidRPr="00E178E7">
        <w:rPr>
          <w:sz w:val="24"/>
          <w:szCs w:val="24"/>
        </w:rPr>
        <w:t>Loneragan</w:t>
      </w:r>
      <w:proofErr w:type="spellEnd"/>
      <w:r w:rsidRPr="00E178E7">
        <w:rPr>
          <w:sz w:val="24"/>
          <w:szCs w:val="24"/>
        </w:rPr>
        <w:t>, F. Manson, D. Vance, and W. Venables. 2004. Allopatric distribution of juvenile red-legged banana prawns (</w:t>
      </w:r>
      <w:r w:rsidRPr="00E178E7">
        <w:rPr>
          <w:i/>
          <w:sz w:val="24"/>
          <w:szCs w:val="24"/>
        </w:rPr>
        <w:t>Penaeus</w:t>
      </w:r>
      <w:r w:rsidRPr="00E178E7">
        <w:rPr>
          <w:sz w:val="24"/>
          <w:szCs w:val="24"/>
        </w:rPr>
        <w:t xml:space="preserve"> </w:t>
      </w:r>
      <w:r w:rsidRPr="00E178E7">
        <w:rPr>
          <w:i/>
          <w:sz w:val="24"/>
          <w:szCs w:val="24"/>
        </w:rPr>
        <w:t>indicus</w:t>
      </w:r>
      <w:r w:rsidRPr="00E178E7">
        <w:rPr>
          <w:sz w:val="24"/>
          <w:szCs w:val="24"/>
        </w:rPr>
        <w:t xml:space="preserve"> H. Milne Edwards, 1837) and juvenile white banana prawns (</w:t>
      </w:r>
      <w:r w:rsidRPr="00E178E7">
        <w:rPr>
          <w:i/>
          <w:sz w:val="24"/>
          <w:szCs w:val="24"/>
        </w:rPr>
        <w:t>Penaeus</w:t>
      </w:r>
      <w:r w:rsidRPr="00E178E7">
        <w:rPr>
          <w:sz w:val="24"/>
          <w:szCs w:val="24"/>
        </w:rPr>
        <w:t xml:space="preserve"> </w:t>
      </w:r>
      <w:proofErr w:type="spellStart"/>
      <w:r w:rsidRPr="00E178E7">
        <w:rPr>
          <w:i/>
          <w:sz w:val="24"/>
          <w:szCs w:val="24"/>
        </w:rPr>
        <w:t>merguiensis</w:t>
      </w:r>
      <w:proofErr w:type="spellEnd"/>
      <w:r w:rsidRPr="00E178E7">
        <w:rPr>
          <w:sz w:val="24"/>
          <w:szCs w:val="24"/>
        </w:rPr>
        <w:t xml:space="preserve"> De Man, 1888), and inferred extensive migration, in the Joseph Bonaparte Gulf, northwest Australia. </w:t>
      </w:r>
      <w:r w:rsidRPr="00E33D4F">
        <w:rPr>
          <w:i/>
          <w:iCs/>
          <w:sz w:val="24"/>
          <w:szCs w:val="24"/>
        </w:rPr>
        <w:t>Journal of Experimental Marine Biology and Ecology</w:t>
      </w:r>
      <w:r w:rsidRPr="00E178E7">
        <w:rPr>
          <w:sz w:val="24"/>
          <w:szCs w:val="24"/>
        </w:rPr>
        <w:t xml:space="preserve"> </w:t>
      </w:r>
      <w:r w:rsidRPr="00E33D4F">
        <w:rPr>
          <w:bCs/>
          <w:sz w:val="24"/>
          <w:szCs w:val="24"/>
        </w:rPr>
        <w:t>309</w:t>
      </w:r>
      <w:r w:rsidRPr="00E178E7">
        <w:rPr>
          <w:sz w:val="24"/>
          <w:szCs w:val="24"/>
        </w:rPr>
        <w:t>:79-108</w:t>
      </w:r>
      <w:r>
        <w:rPr>
          <w:sz w:val="24"/>
          <w:szCs w:val="24"/>
        </w:rPr>
        <w:t>.</w:t>
      </w:r>
    </w:p>
    <w:p w14:paraId="0C2A749F" w14:textId="65CA10DA" w:rsidR="00324496" w:rsidRPr="0071730A" w:rsidRDefault="00324496" w:rsidP="00324496">
      <w:pPr>
        <w:autoSpaceDE w:val="0"/>
        <w:autoSpaceDN w:val="0"/>
        <w:adjustRightInd w:val="0"/>
        <w:rPr>
          <w:rFonts w:asciiTheme="minorHAnsi" w:hAnsiTheme="minorHAnsi" w:cstheme="minorHAnsi"/>
          <w:sz w:val="24"/>
          <w:szCs w:val="24"/>
          <w:lang w:eastAsia="en-US"/>
        </w:rPr>
      </w:pPr>
      <w:r w:rsidRPr="00FD7DB5">
        <w:rPr>
          <w:rFonts w:asciiTheme="minorHAnsi" w:hAnsiTheme="minorHAnsi" w:cstheme="minorHAnsi"/>
          <w:sz w:val="24"/>
          <w:szCs w:val="24"/>
          <w:lang w:eastAsia="en-US"/>
        </w:rPr>
        <w:t>Laird, A. 2020. Northern Prawn Fishery Data Summary 2019. NPF Industry Pty Ltd, Australia.</w:t>
      </w:r>
    </w:p>
    <w:p w14:paraId="5297E944" w14:textId="705BFA2A" w:rsidR="00324496" w:rsidRPr="0071730A" w:rsidRDefault="00324496" w:rsidP="00324496">
      <w:pPr>
        <w:autoSpaceDE w:val="0"/>
        <w:autoSpaceDN w:val="0"/>
        <w:adjustRightInd w:val="0"/>
        <w:rPr>
          <w:rFonts w:asciiTheme="minorHAnsi" w:hAnsiTheme="minorHAnsi" w:cstheme="minorHAnsi"/>
          <w:sz w:val="24"/>
          <w:szCs w:val="24"/>
          <w:lang w:eastAsia="en-US"/>
        </w:rPr>
      </w:pPr>
      <w:r w:rsidRPr="0071730A">
        <w:rPr>
          <w:rFonts w:asciiTheme="minorHAnsi" w:hAnsiTheme="minorHAnsi" w:cstheme="minorHAnsi"/>
          <w:sz w:val="24"/>
          <w:szCs w:val="24"/>
          <w:lang w:eastAsia="en-US"/>
        </w:rPr>
        <w:t xml:space="preserve">Meynecke, J-O., Lee, S-Y., </w:t>
      </w:r>
      <w:proofErr w:type="spellStart"/>
      <w:r w:rsidRPr="0071730A">
        <w:rPr>
          <w:rFonts w:asciiTheme="minorHAnsi" w:hAnsiTheme="minorHAnsi" w:cstheme="minorHAnsi"/>
          <w:sz w:val="24"/>
          <w:szCs w:val="24"/>
          <w:lang w:eastAsia="en-US"/>
        </w:rPr>
        <w:t>Grubert</w:t>
      </w:r>
      <w:proofErr w:type="spellEnd"/>
      <w:r w:rsidRPr="0071730A">
        <w:rPr>
          <w:rFonts w:asciiTheme="minorHAnsi" w:hAnsiTheme="minorHAnsi" w:cstheme="minorHAnsi"/>
          <w:sz w:val="24"/>
          <w:szCs w:val="24"/>
          <w:lang w:eastAsia="en-US"/>
        </w:rPr>
        <w:t xml:space="preserve">, M., Brown, I., Montgomery, S., Gribble. N., Johnston, D. and </w:t>
      </w:r>
      <w:proofErr w:type="spellStart"/>
      <w:r w:rsidRPr="0071730A">
        <w:rPr>
          <w:rFonts w:asciiTheme="minorHAnsi" w:hAnsiTheme="minorHAnsi" w:cstheme="minorHAnsi"/>
          <w:sz w:val="24"/>
          <w:szCs w:val="24"/>
          <w:lang w:eastAsia="en-US"/>
        </w:rPr>
        <w:t>Gillson</w:t>
      </w:r>
      <w:proofErr w:type="spellEnd"/>
      <w:r w:rsidRPr="0071730A">
        <w:rPr>
          <w:rFonts w:asciiTheme="minorHAnsi" w:hAnsiTheme="minorHAnsi" w:cstheme="minorHAnsi"/>
          <w:sz w:val="24"/>
          <w:szCs w:val="24"/>
          <w:lang w:eastAsia="en-US"/>
        </w:rPr>
        <w:t>, J. 2010. Evaluating the environmental drivers of mud crab (</w:t>
      </w:r>
      <w:r w:rsidRPr="0071730A">
        <w:rPr>
          <w:rFonts w:asciiTheme="minorHAnsi" w:hAnsiTheme="minorHAnsi" w:cstheme="minorHAnsi"/>
          <w:i/>
          <w:iCs/>
          <w:sz w:val="24"/>
          <w:szCs w:val="24"/>
          <w:lang w:eastAsia="en-US"/>
        </w:rPr>
        <w:t>Scylla serrata</w:t>
      </w:r>
      <w:r w:rsidRPr="0071730A">
        <w:rPr>
          <w:rFonts w:asciiTheme="minorHAnsi" w:hAnsiTheme="minorHAnsi" w:cstheme="minorHAnsi"/>
          <w:sz w:val="24"/>
          <w:szCs w:val="24"/>
          <w:lang w:eastAsia="en-US"/>
        </w:rPr>
        <w:t xml:space="preserve">) catches in Australia. Final Report 2002/012. The Fisheries Research and Development Corporation and Griffith University. 96 </w:t>
      </w:r>
      <w:proofErr w:type="spellStart"/>
      <w:r w:rsidRPr="0071730A">
        <w:rPr>
          <w:rFonts w:asciiTheme="minorHAnsi" w:hAnsiTheme="minorHAnsi" w:cstheme="minorHAnsi"/>
          <w:sz w:val="24"/>
          <w:szCs w:val="24"/>
          <w:lang w:eastAsia="en-US"/>
        </w:rPr>
        <w:t>pps</w:t>
      </w:r>
      <w:proofErr w:type="spellEnd"/>
      <w:r w:rsidRPr="0071730A">
        <w:rPr>
          <w:rFonts w:asciiTheme="minorHAnsi" w:hAnsiTheme="minorHAnsi" w:cstheme="minorHAnsi"/>
          <w:sz w:val="24"/>
          <w:szCs w:val="24"/>
          <w:lang w:eastAsia="en-US"/>
        </w:rPr>
        <w:t>.</w:t>
      </w:r>
    </w:p>
    <w:p w14:paraId="6AE8BA32" w14:textId="7DDAFEFF" w:rsidR="00324496" w:rsidRDefault="00324496" w:rsidP="00324496">
      <w:pPr>
        <w:autoSpaceDE w:val="0"/>
        <w:autoSpaceDN w:val="0"/>
        <w:adjustRightInd w:val="0"/>
        <w:rPr>
          <w:rFonts w:asciiTheme="minorHAnsi" w:hAnsiTheme="minorHAnsi" w:cstheme="minorHAnsi"/>
          <w:sz w:val="24"/>
          <w:szCs w:val="24"/>
          <w:lang w:eastAsia="en-US"/>
        </w:rPr>
      </w:pPr>
      <w:proofErr w:type="spellStart"/>
      <w:r w:rsidRPr="0071730A">
        <w:rPr>
          <w:rFonts w:asciiTheme="minorHAnsi" w:hAnsiTheme="minorHAnsi" w:cstheme="minorHAnsi"/>
          <w:sz w:val="24"/>
          <w:szCs w:val="24"/>
          <w:lang w:eastAsia="en-US"/>
        </w:rPr>
        <w:t>Meynecke</w:t>
      </w:r>
      <w:proofErr w:type="spellEnd"/>
      <w:r w:rsidRPr="0071730A">
        <w:rPr>
          <w:rFonts w:asciiTheme="minorHAnsi" w:hAnsiTheme="minorHAnsi" w:cstheme="minorHAnsi"/>
          <w:sz w:val="24"/>
          <w:szCs w:val="24"/>
          <w:lang w:eastAsia="en-US"/>
        </w:rPr>
        <w:t xml:space="preserve">, J.O., </w:t>
      </w:r>
      <w:proofErr w:type="spellStart"/>
      <w:r w:rsidRPr="0071730A">
        <w:rPr>
          <w:rFonts w:asciiTheme="minorHAnsi" w:hAnsiTheme="minorHAnsi" w:cstheme="minorHAnsi"/>
          <w:sz w:val="24"/>
          <w:szCs w:val="24"/>
          <w:lang w:eastAsia="en-US"/>
        </w:rPr>
        <w:t>Grubert</w:t>
      </w:r>
      <w:proofErr w:type="spellEnd"/>
      <w:r w:rsidRPr="0071730A">
        <w:rPr>
          <w:rFonts w:asciiTheme="minorHAnsi" w:hAnsiTheme="minorHAnsi" w:cstheme="minorHAnsi"/>
          <w:sz w:val="24"/>
          <w:szCs w:val="24"/>
          <w:lang w:eastAsia="en-US"/>
        </w:rPr>
        <w:t xml:space="preserve">, M. and </w:t>
      </w:r>
      <w:proofErr w:type="spellStart"/>
      <w:r w:rsidRPr="0071730A">
        <w:rPr>
          <w:rFonts w:asciiTheme="minorHAnsi" w:hAnsiTheme="minorHAnsi" w:cstheme="minorHAnsi"/>
          <w:sz w:val="24"/>
          <w:szCs w:val="24"/>
          <w:lang w:eastAsia="en-US"/>
        </w:rPr>
        <w:t>Gillson</w:t>
      </w:r>
      <w:proofErr w:type="spellEnd"/>
      <w:r w:rsidRPr="0071730A">
        <w:rPr>
          <w:rFonts w:asciiTheme="minorHAnsi" w:hAnsiTheme="minorHAnsi" w:cstheme="minorHAnsi"/>
          <w:sz w:val="24"/>
          <w:szCs w:val="24"/>
          <w:lang w:eastAsia="en-US"/>
        </w:rPr>
        <w:t>, J. 2012. Giant mud crab (</w:t>
      </w:r>
      <w:r w:rsidRPr="0071730A">
        <w:rPr>
          <w:rFonts w:asciiTheme="minorHAnsi" w:hAnsiTheme="minorHAnsi" w:cstheme="minorHAnsi"/>
          <w:i/>
          <w:iCs/>
          <w:sz w:val="24"/>
          <w:szCs w:val="24"/>
          <w:lang w:eastAsia="en-US"/>
        </w:rPr>
        <w:t>Scylla serrata</w:t>
      </w:r>
      <w:r w:rsidRPr="0071730A">
        <w:rPr>
          <w:rFonts w:asciiTheme="minorHAnsi" w:hAnsiTheme="minorHAnsi" w:cstheme="minorHAnsi"/>
          <w:sz w:val="24"/>
          <w:szCs w:val="24"/>
          <w:lang w:eastAsia="en-US"/>
        </w:rPr>
        <w:t xml:space="preserve">) catches and climate drivers in Australia–a large scale comparison. </w:t>
      </w:r>
      <w:r w:rsidRPr="0071730A">
        <w:rPr>
          <w:rFonts w:asciiTheme="minorHAnsi" w:hAnsiTheme="minorHAnsi" w:cstheme="minorHAnsi"/>
          <w:i/>
          <w:iCs/>
          <w:sz w:val="24"/>
          <w:szCs w:val="24"/>
          <w:lang w:eastAsia="en-US"/>
        </w:rPr>
        <w:t xml:space="preserve">Marine and Freshwater Research </w:t>
      </w:r>
      <w:r w:rsidRPr="0071730A">
        <w:rPr>
          <w:rFonts w:asciiTheme="minorHAnsi" w:hAnsiTheme="minorHAnsi" w:cstheme="minorHAnsi"/>
          <w:sz w:val="24"/>
          <w:szCs w:val="24"/>
          <w:lang w:eastAsia="en-US"/>
        </w:rPr>
        <w:t>63, 84-94.</w:t>
      </w:r>
    </w:p>
    <w:p w14:paraId="6403C0F3" w14:textId="144D44CD" w:rsidR="00747533" w:rsidRDefault="00324496" w:rsidP="00747533">
      <w:pPr>
        <w:autoSpaceDE w:val="0"/>
        <w:autoSpaceDN w:val="0"/>
        <w:adjustRightInd w:val="0"/>
        <w:rPr>
          <w:rFonts w:asciiTheme="minorHAnsi" w:hAnsiTheme="minorHAnsi" w:cstheme="minorHAnsi"/>
          <w:iCs/>
          <w:sz w:val="24"/>
          <w:szCs w:val="24"/>
        </w:rPr>
      </w:pPr>
      <w:r w:rsidRPr="00574433">
        <w:rPr>
          <w:rFonts w:asciiTheme="minorHAnsi" w:hAnsiTheme="minorHAnsi" w:cstheme="minorHAnsi"/>
          <w:sz w:val="24"/>
          <w:szCs w:val="24"/>
        </w:rPr>
        <w:t>Palmer, C., Brooks, L.</w:t>
      </w:r>
      <w:r>
        <w:rPr>
          <w:rFonts w:asciiTheme="minorHAnsi" w:hAnsiTheme="minorHAnsi" w:cstheme="minorHAnsi"/>
          <w:sz w:val="24"/>
          <w:szCs w:val="24"/>
        </w:rPr>
        <w:t>,</w:t>
      </w:r>
      <w:r w:rsidRPr="00574433">
        <w:rPr>
          <w:rFonts w:asciiTheme="minorHAnsi" w:hAnsiTheme="minorHAnsi" w:cstheme="minorHAnsi"/>
          <w:sz w:val="24"/>
          <w:szCs w:val="24"/>
        </w:rPr>
        <w:t xml:space="preserve"> Parra, G. J</w:t>
      </w:r>
      <w:r>
        <w:rPr>
          <w:rFonts w:asciiTheme="minorHAnsi" w:hAnsiTheme="minorHAnsi" w:cstheme="minorHAnsi"/>
          <w:sz w:val="24"/>
          <w:szCs w:val="24"/>
        </w:rPr>
        <w:t>.</w:t>
      </w:r>
      <w:r w:rsidRPr="00574433">
        <w:rPr>
          <w:rFonts w:asciiTheme="minorHAnsi" w:hAnsiTheme="minorHAnsi" w:cstheme="minorHAnsi"/>
          <w:sz w:val="24"/>
          <w:szCs w:val="24"/>
        </w:rPr>
        <w:t xml:space="preserve">, Rogers, T., Glasgow, D. and </w:t>
      </w:r>
      <w:proofErr w:type="spellStart"/>
      <w:r w:rsidRPr="00574433">
        <w:rPr>
          <w:rFonts w:asciiTheme="minorHAnsi" w:hAnsiTheme="minorHAnsi" w:cstheme="minorHAnsi"/>
          <w:sz w:val="24"/>
          <w:szCs w:val="24"/>
        </w:rPr>
        <w:t>Woinarski</w:t>
      </w:r>
      <w:proofErr w:type="spellEnd"/>
      <w:r w:rsidRPr="00574433">
        <w:rPr>
          <w:rFonts w:asciiTheme="minorHAnsi" w:hAnsiTheme="minorHAnsi" w:cstheme="minorHAnsi"/>
          <w:sz w:val="24"/>
          <w:szCs w:val="24"/>
        </w:rPr>
        <w:t>, J. 2014. Estimates of</w:t>
      </w:r>
      <w:r>
        <w:rPr>
          <w:rFonts w:asciiTheme="minorHAnsi" w:hAnsiTheme="minorHAnsi" w:cstheme="minorHAnsi"/>
          <w:sz w:val="24"/>
          <w:szCs w:val="24"/>
        </w:rPr>
        <w:t xml:space="preserve"> </w:t>
      </w:r>
      <w:r w:rsidRPr="00574433">
        <w:rPr>
          <w:rFonts w:asciiTheme="minorHAnsi" w:hAnsiTheme="minorHAnsi" w:cstheme="minorHAnsi"/>
          <w:sz w:val="24"/>
          <w:szCs w:val="24"/>
        </w:rPr>
        <w:t>abundance and apparent survival of coastal dolphins in Port Essington harbour, Northern Territory,</w:t>
      </w:r>
      <w:r>
        <w:rPr>
          <w:rFonts w:asciiTheme="minorHAnsi" w:hAnsiTheme="minorHAnsi" w:cstheme="minorHAnsi"/>
          <w:sz w:val="24"/>
          <w:szCs w:val="24"/>
        </w:rPr>
        <w:t xml:space="preserve"> </w:t>
      </w:r>
      <w:r w:rsidRPr="00574433">
        <w:rPr>
          <w:rFonts w:asciiTheme="minorHAnsi" w:hAnsiTheme="minorHAnsi" w:cstheme="minorHAnsi"/>
          <w:sz w:val="24"/>
          <w:szCs w:val="24"/>
        </w:rPr>
        <w:t xml:space="preserve">Australia. </w:t>
      </w:r>
      <w:r w:rsidRPr="00E33D4F">
        <w:rPr>
          <w:rFonts w:asciiTheme="minorHAnsi" w:hAnsiTheme="minorHAnsi" w:cstheme="minorHAnsi"/>
          <w:i/>
          <w:sz w:val="24"/>
          <w:szCs w:val="24"/>
        </w:rPr>
        <w:t>Wildlife Research</w:t>
      </w:r>
      <w:r w:rsidRPr="00574433">
        <w:rPr>
          <w:rFonts w:asciiTheme="minorHAnsi" w:hAnsiTheme="minorHAnsi" w:cstheme="minorHAnsi"/>
          <w:iCs/>
          <w:sz w:val="24"/>
          <w:szCs w:val="24"/>
        </w:rPr>
        <w:t xml:space="preserve"> 41:35-45.</w:t>
      </w:r>
    </w:p>
    <w:p w14:paraId="361152A3" w14:textId="55A0F645" w:rsidR="00324496" w:rsidRDefault="00324496" w:rsidP="00324496">
      <w:pPr>
        <w:autoSpaceDE w:val="0"/>
        <w:autoSpaceDN w:val="0"/>
        <w:adjustRightInd w:val="0"/>
        <w:rPr>
          <w:rFonts w:asciiTheme="minorHAnsi" w:hAnsiTheme="minorHAnsi" w:cstheme="minorHAnsi"/>
          <w:iCs/>
          <w:sz w:val="24"/>
          <w:szCs w:val="24"/>
        </w:rPr>
      </w:pPr>
      <w:r w:rsidRPr="00D70D07">
        <w:rPr>
          <w:rFonts w:asciiTheme="minorHAnsi" w:hAnsiTheme="minorHAnsi" w:cstheme="minorHAnsi"/>
          <w:sz w:val="24"/>
          <w:szCs w:val="24"/>
        </w:rPr>
        <w:t>Palmer, C., Murphy, S.A.. Thiele, D, Parra, G.J., Robertson, K.M., Beasley, I. and Austin, C.M.   2011.  Analysis of mitochondrial DNA clarifies the taxonomy and distribution of the Australian snubfin dolphin (</w:t>
      </w:r>
      <w:proofErr w:type="spellStart"/>
      <w:r w:rsidRPr="00D70D07">
        <w:rPr>
          <w:rFonts w:asciiTheme="minorHAnsi" w:hAnsiTheme="minorHAnsi" w:cstheme="minorHAnsi"/>
          <w:i/>
          <w:sz w:val="24"/>
          <w:szCs w:val="24"/>
        </w:rPr>
        <w:t>Orcaella</w:t>
      </w:r>
      <w:proofErr w:type="spellEnd"/>
      <w:r w:rsidRPr="00D70D07">
        <w:rPr>
          <w:rFonts w:asciiTheme="minorHAnsi" w:hAnsiTheme="minorHAnsi" w:cstheme="minorHAnsi"/>
          <w:sz w:val="24"/>
          <w:szCs w:val="24"/>
        </w:rPr>
        <w:t xml:space="preserve"> </w:t>
      </w:r>
      <w:proofErr w:type="spellStart"/>
      <w:r w:rsidRPr="00D70D07">
        <w:rPr>
          <w:rFonts w:asciiTheme="minorHAnsi" w:hAnsiTheme="minorHAnsi" w:cstheme="minorHAnsi"/>
          <w:i/>
          <w:sz w:val="24"/>
          <w:szCs w:val="24"/>
        </w:rPr>
        <w:t>heinsohn</w:t>
      </w:r>
      <w:r w:rsidRPr="00D70D07">
        <w:rPr>
          <w:rFonts w:asciiTheme="minorHAnsi" w:hAnsiTheme="minorHAnsi" w:cstheme="minorHAnsi"/>
          <w:sz w:val="24"/>
          <w:szCs w:val="24"/>
        </w:rPr>
        <w:t>i</w:t>
      </w:r>
      <w:proofErr w:type="spellEnd"/>
      <w:r w:rsidRPr="00D70D07">
        <w:rPr>
          <w:rFonts w:asciiTheme="minorHAnsi" w:hAnsiTheme="minorHAnsi" w:cstheme="minorHAnsi"/>
          <w:sz w:val="24"/>
          <w:szCs w:val="24"/>
        </w:rPr>
        <w:t xml:space="preserve">) in northern Australian waters.  </w:t>
      </w:r>
      <w:r w:rsidRPr="00E33D4F">
        <w:rPr>
          <w:rFonts w:asciiTheme="minorHAnsi" w:hAnsiTheme="minorHAnsi" w:cstheme="minorHAnsi"/>
          <w:i/>
          <w:sz w:val="24"/>
          <w:szCs w:val="24"/>
        </w:rPr>
        <w:t xml:space="preserve">Marine and Freshwater Research </w:t>
      </w:r>
      <w:r w:rsidRPr="00D70D07">
        <w:rPr>
          <w:rFonts w:asciiTheme="minorHAnsi" w:hAnsiTheme="minorHAnsi" w:cstheme="minorHAnsi"/>
          <w:iCs/>
          <w:sz w:val="24"/>
          <w:szCs w:val="24"/>
        </w:rPr>
        <w:t>62:1303-1307</w:t>
      </w:r>
      <w:r>
        <w:rPr>
          <w:rFonts w:asciiTheme="minorHAnsi" w:hAnsiTheme="minorHAnsi" w:cstheme="minorHAnsi"/>
          <w:iCs/>
          <w:sz w:val="24"/>
          <w:szCs w:val="24"/>
        </w:rPr>
        <w:t>.</w:t>
      </w:r>
    </w:p>
    <w:p w14:paraId="67C36BB3" w14:textId="77777777" w:rsidR="00324496" w:rsidRPr="0071730A" w:rsidRDefault="00324496" w:rsidP="00324496">
      <w:pPr>
        <w:autoSpaceDE w:val="0"/>
        <w:autoSpaceDN w:val="0"/>
        <w:adjustRightInd w:val="0"/>
        <w:rPr>
          <w:rFonts w:asciiTheme="minorHAnsi" w:hAnsiTheme="minorHAnsi" w:cstheme="minorHAnsi"/>
          <w:sz w:val="24"/>
          <w:szCs w:val="24"/>
        </w:rPr>
      </w:pPr>
      <w:r w:rsidRPr="0071730A">
        <w:rPr>
          <w:rFonts w:asciiTheme="minorHAnsi" w:hAnsiTheme="minorHAnsi" w:cstheme="minorHAnsi"/>
          <w:sz w:val="24"/>
          <w:szCs w:val="24"/>
        </w:rPr>
        <w:t xml:space="preserve">Petheram, C., McMahon, T.A., Peel, M.C. 2008. Flow characteristics of rivers in northern Australia: Implications for development. </w:t>
      </w:r>
      <w:r w:rsidRPr="00E33D4F">
        <w:rPr>
          <w:rFonts w:asciiTheme="minorHAnsi" w:hAnsiTheme="minorHAnsi" w:cstheme="minorHAnsi"/>
          <w:i/>
          <w:iCs/>
          <w:sz w:val="24"/>
          <w:szCs w:val="24"/>
        </w:rPr>
        <w:t>Journal of Hydrology</w:t>
      </w:r>
      <w:r w:rsidRPr="0071730A">
        <w:rPr>
          <w:rFonts w:asciiTheme="minorHAnsi" w:hAnsiTheme="minorHAnsi" w:cstheme="minorHAnsi"/>
          <w:sz w:val="24"/>
          <w:szCs w:val="24"/>
        </w:rPr>
        <w:t xml:space="preserve"> 2008. 357, 93– 111.</w:t>
      </w:r>
    </w:p>
    <w:p w14:paraId="71DDBAAD" w14:textId="77777777" w:rsidR="00324496" w:rsidRPr="0071730A" w:rsidRDefault="00324496" w:rsidP="00324496">
      <w:pPr>
        <w:autoSpaceDE w:val="0"/>
        <w:autoSpaceDN w:val="0"/>
        <w:adjustRightInd w:val="0"/>
        <w:rPr>
          <w:rFonts w:asciiTheme="minorHAnsi" w:hAnsiTheme="minorHAnsi" w:cstheme="minorHAnsi"/>
          <w:sz w:val="24"/>
          <w:szCs w:val="24"/>
        </w:rPr>
      </w:pPr>
      <w:r w:rsidRPr="0071730A">
        <w:rPr>
          <w:rFonts w:asciiTheme="minorHAnsi" w:hAnsiTheme="minorHAnsi" w:cstheme="minorHAnsi"/>
          <w:sz w:val="24"/>
          <w:szCs w:val="24"/>
        </w:rPr>
        <w:t xml:space="preserve">Petheram, C., </w:t>
      </w:r>
      <w:proofErr w:type="spellStart"/>
      <w:r w:rsidRPr="0071730A">
        <w:rPr>
          <w:rFonts w:asciiTheme="minorHAnsi" w:hAnsiTheme="minorHAnsi" w:cstheme="minorHAnsi"/>
          <w:sz w:val="24"/>
          <w:szCs w:val="24"/>
        </w:rPr>
        <w:t>Rustomji</w:t>
      </w:r>
      <w:proofErr w:type="spellEnd"/>
      <w:r w:rsidRPr="0071730A">
        <w:rPr>
          <w:rFonts w:asciiTheme="minorHAnsi" w:hAnsiTheme="minorHAnsi" w:cstheme="minorHAnsi"/>
          <w:sz w:val="24"/>
          <w:szCs w:val="24"/>
        </w:rPr>
        <w:t xml:space="preserve">, P., McVicar, T., Cai, W., Chiew, F., </w:t>
      </w:r>
      <w:proofErr w:type="spellStart"/>
      <w:r w:rsidRPr="0071730A">
        <w:rPr>
          <w:rFonts w:asciiTheme="minorHAnsi" w:hAnsiTheme="minorHAnsi" w:cstheme="minorHAnsi"/>
          <w:sz w:val="24"/>
          <w:szCs w:val="24"/>
        </w:rPr>
        <w:t>Vleeshouwer</w:t>
      </w:r>
      <w:proofErr w:type="spellEnd"/>
      <w:r w:rsidRPr="0071730A">
        <w:rPr>
          <w:rFonts w:asciiTheme="minorHAnsi" w:hAnsiTheme="minorHAnsi" w:cstheme="minorHAnsi"/>
          <w:sz w:val="24"/>
          <w:szCs w:val="24"/>
        </w:rPr>
        <w:t xml:space="preserve">, J., Van </w:t>
      </w:r>
      <w:proofErr w:type="spellStart"/>
      <w:r w:rsidRPr="0071730A">
        <w:rPr>
          <w:rFonts w:asciiTheme="minorHAnsi" w:hAnsiTheme="minorHAnsi" w:cstheme="minorHAnsi"/>
          <w:sz w:val="24"/>
          <w:szCs w:val="24"/>
        </w:rPr>
        <w:t>Niel</w:t>
      </w:r>
      <w:proofErr w:type="spellEnd"/>
      <w:r w:rsidRPr="0071730A">
        <w:rPr>
          <w:rFonts w:asciiTheme="minorHAnsi" w:hAnsiTheme="minorHAnsi" w:cstheme="minorHAnsi"/>
          <w:sz w:val="24"/>
          <w:szCs w:val="24"/>
        </w:rPr>
        <w:t xml:space="preserve">, T., Li, L., Cresswell, R., Donohue, R., Teng, J., </w:t>
      </w:r>
      <w:proofErr w:type="spellStart"/>
      <w:r w:rsidRPr="0071730A">
        <w:rPr>
          <w:rFonts w:asciiTheme="minorHAnsi" w:hAnsiTheme="minorHAnsi" w:cstheme="minorHAnsi"/>
          <w:sz w:val="24"/>
          <w:szCs w:val="24"/>
        </w:rPr>
        <w:t>Perraud</w:t>
      </w:r>
      <w:proofErr w:type="spellEnd"/>
      <w:r w:rsidRPr="0071730A">
        <w:rPr>
          <w:rFonts w:asciiTheme="minorHAnsi" w:hAnsiTheme="minorHAnsi" w:cstheme="minorHAnsi"/>
          <w:sz w:val="24"/>
          <w:szCs w:val="24"/>
        </w:rPr>
        <w:t xml:space="preserve">, J-M. 2012. Estimating the Impact of Projected Climate Change on Runoff across the Tropical Savannas and Semiarid Rangelands of Northern Australia. </w:t>
      </w:r>
      <w:r w:rsidRPr="00E33D4F">
        <w:rPr>
          <w:rFonts w:asciiTheme="minorHAnsi" w:hAnsiTheme="minorHAnsi" w:cstheme="minorHAnsi"/>
          <w:i/>
          <w:iCs/>
          <w:sz w:val="24"/>
          <w:szCs w:val="24"/>
        </w:rPr>
        <w:t xml:space="preserve">Journal of </w:t>
      </w:r>
      <w:proofErr w:type="spellStart"/>
      <w:r w:rsidRPr="00E33D4F">
        <w:rPr>
          <w:rFonts w:asciiTheme="minorHAnsi" w:hAnsiTheme="minorHAnsi" w:cstheme="minorHAnsi"/>
          <w:i/>
          <w:iCs/>
          <w:sz w:val="24"/>
          <w:szCs w:val="24"/>
        </w:rPr>
        <w:t>Hyrdometerology</w:t>
      </w:r>
      <w:proofErr w:type="spellEnd"/>
      <w:r w:rsidRPr="0071730A">
        <w:rPr>
          <w:rFonts w:asciiTheme="minorHAnsi" w:hAnsiTheme="minorHAnsi" w:cstheme="minorHAnsi"/>
          <w:sz w:val="24"/>
          <w:szCs w:val="24"/>
        </w:rPr>
        <w:t xml:space="preserve"> 13:483-503. DOI: 10.1175/JHM-D-11-062.1</w:t>
      </w:r>
    </w:p>
    <w:p w14:paraId="3183BA26" w14:textId="11E2C437" w:rsidR="00324496" w:rsidRPr="0071730A" w:rsidRDefault="00324496" w:rsidP="00324496">
      <w:pPr>
        <w:rPr>
          <w:rFonts w:asciiTheme="minorHAnsi" w:hAnsiTheme="minorHAnsi" w:cstheme="minorHAnsi"/>
          <w:sz w:val="24"/>
          <w:szCs w:val="24"/>
        </w:rPr>
      </w:pPr>
      <w:r w:rsidRPr="0071730A">
        <w:rPr>
          <w:rFonts w:asciiTheme="minorHAnsi" w:hAnsiTheme="minorHAnsi" w:cstheme="minorHAnsi"/>
          <w:sz w:val="24"/>
          <w:szCs w:val="24"/>
        </w:rPr>
        <w:t>Petheram C, Watson I and Stone P (eds) 2013a</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Agricultural resource assessment for the Flinders catchment. A report to the Australian Government from the CSIRO Flinders and Gilbert Agricultural Resource Assessment, part of the North Queensland Irrigated Agriculture Strategy. CSIRO Water for a Healthy Country and Sustainable Agriculture flagships, Australia.</w:t>
      </w:r>
    </w:p>
    <w:p w14:paraId="13F62626" w14:textId="72220F53" w:rsidR="00324496" w:rsidRPr="0071730A" w:rsidRDefault="00324496" w:rsidP="00324496">
      <w:pPr>
        <w:rPr>
          <w:rFonts w:asciiTheme="minorHAnsi" w:hAnsiTheme="minorHAnsi" w:cstheme="minorHAnsi"/>
          <w:sz w:val="24"/>
          <w:szCs w:val="24"/>
        </w:rPr>
      </w:pPr>
      <w:r w:rsidRPr="0071730A">
        <w:rPr>
          <w:rFonts w:asciiTheme="minorHAnsi" w:hAnsiTheme="minorHAnsi" w:cstheme="minorHAnsi"/>
          <w:sz w:val="24"/>
          <w:szCs w:val="24"/>
        </w:rPr>
        <w:t>Petheram C, Watson I and Stone P (eds) 2013b</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Agricultural resource assessment for the Gilbert catchment. A report to the Australian Government from the CSIRO Flinders and Gilbert Agricultural Resource Assessment, part of the North Queensland Irrigated Agriculture Strategy. CSIRO Water for a Healthy Country and Sustainable Agriculture flagships, Australia.</w:t>
      </w:r>
    </w:p>
    <w:p w14:paraId="6CD6BA29" w14:textId="47F087B3" w:rsidR="00324496" w:rsidRPr="0071730A" w:rsidRDefault="00324496" w:rsidP="00324496">
      <w:pPr>
        <w:rPr>
          <w:rFonts w:asciiTheme="minorHAnsi" w:hAnsiTheme="minorHAnsi" w:cstheme="minorHAnsi"/>
          <w:sz w:val="24"/>
          <w:szCs w:val="24"/>
        </w:rPr>
      </w:pPr>
      <w:r w:rsidRPr="0071730A">
        <w:rPr>
          <w:rFonts w:asciiTheme="minorHAnsi" w:hAnsiTheme="minorHAnsi" w:cstheme="minorHAnsi"/>
          <w:sz w:val="24"/>
          <w:szCs w:val="24"/>
        </w:rPr>
        <w:t>Petheram C, Chilcott C, Watson I and Bruce C (eds) 2018a</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Water resource assessment for the Darwin catchments. A report to the Australian Government from the CSIRO Northern Australia Water Resource Assessment, part of the National Water Infrastructure Development Fund: Water Resource Assessments. CSIRO, Australia.</w:t>
      </w:r>
    </w:p>
    <w:p w14:paraId="09397998" w14:textId="2E140487" w:rsidR="00324496" w:rsidRPr="0071730A" w:rsidRDefault="00324496" w:rsidP="00324496">
      <w:pPr>
        <w:rPr>
          <w:rFonts w:asciiTheme="minorHAnsi" w:hAnsiTheme="minorHAnsi" w:cstheme="minorHAnsi"/>
          <w:sz w:val="24"/>
          <w:szCs w:val="24"/>
        </w:rPr>
      </w:pPr>
      <w:r w:rsidRPr="0071730A">
        <w:rPr>
          <w:rFonts w:asciiTheme="minorHAnsi" w:hAnsiTheme="minorHAnsi" w:cstheme="minorHAnsi"/>
          <w:sz w:val="24"/>
          <w:szCs w:val="24"/>
        </w:rPr>
        <w:t>Petheram C, Bruce C, Chilcott C and Watson I (eds) 2018b</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Water resource assessment for the Fitzroy catchment. A report to the Australian Government from the CSIRO Northern Australia Water Resource Assessment, part of the National Water Infrastructure Development Fund: Water Resource Assessments. CSIRO, Australia.</w:t>
      </w:r>
    </w:p>
    <w:p w14:paraId="3161D165" w14:textId="41671758" w:rsidR="00324496" w:rsidRPr="0071730A" w:rsidRDefault="00324496" w:rsidP="00324496">
      <w:pPr>
        <w:rPr>
          <w:rFonts w:asciiTheme="minorHAnsi" w:hAnsiTheme="minorHAnsi" w:cstheme="minorHAnsi"/>
          <w:sz w:val="24"/>
          <w:szCs w:val="24"/>
        </w:rPr>
      </w:pPr>
      <w:r w:rsidRPr="0071730A">
        <w:rPr>
          <w:rFonts w:asciiTheme="minorHAnsi" w:hAnsiTheme="minorHAnsi" w:cstheme="minorHAnsi"/>
          <w:sz w:val="24"/>
          <w:szCs w:val="24"/>
        </w:rPr>
        <w:lastRenderedPageBreak/>
        <w:t>Petheram C, Watson I, Bruce C and Chilcott C (eds) 2018c</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Water resource assessment for the Mitchell catchment. A report to the Australian Government from the CSIRO Northern Australia Water Resource Assessment, part of the National Water Infrastructure Development Fund: Water Resource Assessments. CSIRO, Australia.</w:t>
      </w:r>
    </w:p>
    <w:p w14:paraId="04AEBC09" w14:textId="77777777" w:rsidR="00324496" w:rsidRPr="00574433" w:rsidRDefault="00324496" w:rsidP="00324496">
      <w:pPr>
        <w:autoSpaceDE w:val="0"/>
        <w:autoSpaceDN w:val="0"/>
        <w:adjustRightInd w:val="0"/>
        <w:spacing w:line="271" w:lineRule="atLeast"/>
        <w:jc w:val="both"/>
        <w:rPr>
          <w:rFonts w:cs="Calibri"/>
          <w:sz w:val="24"/>
          <w:szCs w:val="24"/>
          <w:lang w:eastAsia="en-US"/>
        </w:rPr>
      </w:pPr>
      <w:proofErr w:type="spellStart"/>
      <w:r w:rsidRPr="00574433">
        <w:rPr>
          <w:rFonts w:cs="Calibri"/>
          <w:sz w:val="24"/>
          <w:szCs w:val="24"/>
          <w:lang w:eastAsia="en-US"/>
        </w:rPr>
        <w:t>Pillans</w:t>
      </w:r>
      <w:proofErr w:type="spellEnd"/>
      <w:r w:rsidRPr="00574433">
        <w:rPr>
          <w:rFonts w:cs="Calibri"/>
          <w:sz w:val="24"/>
          <w:szCs w:val="24"/>
          <w:lang w:eastAsia="en-US"/>
        </w:rPr>
        <w:t xml:space="preserve">, R., 2014. </w:t>
      </w:r>
      <w:r w:rsidRPr="00574433">
        <w:rPr>
          <w:rFonts w:cs="Calibri"/>
          <w:i/>
          <w:iCs/>
          <w:sz w:val="24"/>
          <w:szCs w:val="24"/>
          <w:lang w:eastAsia="en-US"/>
        </w:rPr>
        <w:t xml:space="preserve">Draft Issues Paper for Sawfish and River Sharks: </w:t>
      </w:r>
      <w:proofErr w:type="spellStart"/>
      <w:r w:rsidRPr="00574433">
        <w:rPr>
          <w:rFonts w:cs="Calibri"/>
          <w:i/>
          <w:iCs/>
          <w:sz w:val="24"/>
          <w:szCs w:val="24"/>
          <w:lang w:eastAsia="en-US"/>
        </w:rPr>
        <w:t>Largetooth</w:t>
      </w:r>
      <w:proofErr w:type="spellEnd"/>
      <w:r w:rsidRPr="00574433">
        <w:rPr>
          <w:rFonts w:cs="Calibri"/>
          <w:i/>
          <w:iCs/>
          <w:sz w:val="24"/>
          <w:szCs w:val="24"/>
          <w:lang w:eastAsia="en-US"/>
        </w:rPr>
        <w:t xml:space="preserve"> Sawfish (</w:t>
      </w:r>
      <w:proofErr w:type="spellStart"/>
      <w:r w:rsidRPr="00574433">
        <w:rPr>
          <w:rFonts w:cs="Calibri"/>
          <w:i/>
          <w:iCs/>
          <w:sz w:val="24"/>
          <w:szCs w:val="24"/>
          <w:lang w:eastAsia="en-US"/>
        </w:rPr>
        <w:t>Pristis</w:t>
      </w:r>
      <w:proofErr w:type="spellEnd"/>
      <w:r>
        <w:rPr>
          <w:rFonts w:cs="Calibri"/>
          <w:i/>
          <w:iCs/>
          <w:sz w:val="24"/>
          <w:szCs w:val="24"/>
          <w:lang w:eastAsia="en-US"/>
        </w:rPr>
        <w:t xml:space="preserve"> </w:t>
      </w:r>
      <w:proofErr w:type="spellStart"/>
      <w:r w:rsidRPr="00574433">
        <w:rPr>
          <w:rFonts w:cs="Calibri"/>
          <w:i/>
          <w:iCs/>
          <w:sz w:val="24"/>
          <w:szCs w:val="24"/>
          <w:lang w:eastAsia="en-US"/>
        </w:rPr>
        <w:t>pristis</w:t>
      </w:r>
      <w:proofErr w:type="spellEnd"/>
      <w:r w:rsidRPr="00574433">
        <w:rPr>
          <w:rFonts w:cs="Calibri"/>
          <w:i/>
          <w:iCs/>
          <w:sz w:val="24"/>
          <w:szCs w:val="24"/>
          <w:lang w:eastAsia="en-US"/>
        </w:rPr>
        <w:t>); Green Sawfish (</w:t>
      </w:r>
      <w:proofErr w:type="spellStart"/>
      <w:r w:rsidRPr="00574433">
        <w:rPr>
          <w:rFonts w:cs="Calibri"/>
          <w:i/>
          <w:iCs/>
          <w:sz w:val="24"/>
          <w:szCs w:val="24"/>
          <w:lang w:eastAsia="en-US"/>
        </w:rPr>
        <w:t>Pristis</w:t>
      </w:r>
      <w:proofErr w:type="spellEnd"/>
      <w:r w:rsidRPr="00574433">
        <w:rPr>
          <w:rFonts w:cs="Calibri"/>
          <w:i/>
          <w:iCs/>
          <w:sz w:val="24"/>
          <w:szCs w:val="24"/>
          <w:lang w:eastAsia="en-US"/>
        </w:rPr>
        <w:t xml:space="preserve"> </w:t>
      </w:r>
      <w:proofErr w:type="spellStart"/>
      <w:r w:rsidRPr="00574433">
        <w:rPr>
          <w:rFonts w:cs="Calibri"/>
          <w:i/>
          <w:iCs/>
          <w:sz w:val="24"/>
          <w:szCs w:val="24"/>
          <w:lang w:eastAsia="en-US"/>
        </w:rPr>
        <w:t>zijsron</w:t>
      </w:r>
      <w:proofErr w:type="spellEnd"/>
      <w:r w:rsidRPr="00574433">
        <w:rPr>
          <w:rFonts w:cs="Calibri"/>
          <w:i/>
          <w:iCs/>
          <w:sz w:val="24"/>
          <w:szCs w:val="24"/>
          <w:lang w:eastAsia="en-US"/>
        </w:rPr>
        <w:t>); Dwarf Sawfish (</w:t>
      </w:r>
      <w:proofErr w:type="spellStart"/>
      <w:r w:rsidRPr="00574433">
        <w:rPr>
          <w:rFonts w:cs="Calibri"/>
          <w:i/>
          <w:iCs/>
          <w:sz w:val="24"/>
          <w:szCs w:val="24"/>
          <w:lang w:eastAsia="en-US"/>
        </w:rPr>
        <w:t>Pristis</w:t>
      </w:r>
      <w:proofErr w:type="spellEnd"/>
      <w:r w:rsidRPr="00574433">
        <w:rPr>
          <w:rFonts w:cs="Calibri"/>
          <w:i/>
          <w:iCs/>
          <w:sz w:val="24"/>
          <w:szCs w:val="24"/>
          <w:lang w:eastAsia="en-US"/>
        </w:rPr>
        <w:t xml:space="preserve"> </w:t>
      </w:r>
      <w:proofErr w:type="spellStart"/>
      <w:r w:rsidRPr="00574433">
        <w:rPr>
          <w:rFonts w:cs="Calibri"/>
          <w:i/>
          <w:iCs/>
          <w:sz w:val="24"/>
          <w:szCs w:val="24"/>
          <w:lang w:eastAsia="en-US"/>
        </w:rPr>
        <w:t>clavata</w:t>
      </w:r>
      <w:proofErr w:type="spellEnd"/>
      <w:r w:rsidRPr="00574433">
        <w:rPr>
          <w:rFonts w:cs="Calibri"/>
          <w:i/>
          <w:iCs/>
          <w:sz w:val="24"/>
          <w:szCs w:val="24"/>
          <w:lang w:eastAsia="en-US"/>
        </w:rPr>
        <w:t xml:space="preserve">); </w:t>
      </w:r>
      <w:proofErr w:type="spellStart"/>
      <w:r w:rsidRPr="00574433">
        <w:rPr>
          <w:rFonts w:cs="Calibri"/>
          <w:i/>
          <w:iCs/>
          <w:sz w:val="24"/>
          <w:szCs w:val="24"/>
          <w:lang w:eastAsia="en-US"/>
        </w:rPr>
        <w:t>Speartooth</w:t>
      </w:r>
      <w:proofErr w:type="spellEnd"/>
      <w:r w:rsidRPr="00574433">
        <w:rPr>
          <w:rFonts w:cs="Calibri"/>
          <w:i/>
          <w:iCs/>
          <w:sz w:val="24"/>
          <w:szCs w:val="24"/>
          <w:lang w:eastAsia="en-US"/>
        </w:rPr>
        <w:t xml:space="preserve"> Shark</w:t>
      </w:r>
      <w:r>
        <w:rPr>
          <w:rFonts w:cs="Calibri"/>
          <w:i/>
          <w:iCs/>
          <w:sz w:val="24"/>
          <w:szCs w:val="24"/>
          <w:lang w:eastAsia="en-US"/>
        </w:rPr>
        <w:t xml:space="preserve"> </w:t>
      </w:r>
      <w:r w:rsidRPr="00574433">
        <w:rPr>
          <w:rFonts w:cs="Calibri"/>
          <w:i/>
          <w:iCs/>
          <w:sz w:val="24"/>
          <w:szCs w:val="24"/>
          <w:lang w:eastAsia="en-US"/>
        </w:rPr>
        <w:t>(</w:t>
      </w:r>
      <w:proofErr w:type="spellStart"/>
      <w:r w:rsidRPr="00574433">
        <w:rPr>
          <w:rFonts w:cs="Calibri"/>
          <w:i/>
          <w:iCs/>
          <w:sz w:val="24"/>
          <w:szCs w:val="24"/>
          <w:lang w:eastAsia="en-US"/>
        </w:rPr>
        <w:t>Glyphis</w:t>
      </w:r>
      <w:proofErr w:type="spellEnd"/>
      <w:r w:rsidRPr="00574433">
        <w:rPr>
          <w:rFonts w:cs="Calibri"/>
          <w:i/>
          <w:iCs/>
          <w:sz w:val="24"/>
          <w:szCs w:val="24"/>
          <w:lang w:eastAsia="en-US"/>
        </w:rPr>
        <w:t xml:space="preserve"> </w:t>
      </w:r>
      <w:proofErr w:type="spellStart"/>
      <w:r w:rsidRPr="00574433">
        <w:rPr>
          <w:rFonts w:cs="Calibri"/>
          <w:i/>
          <w:iCs/>
          <w:sz w:val="24"/>
          <w:szCs w:val="24"/>
          <w:lang w:eastAsia="en-US"/>
        </w:rPr>
        <w:t>glyphis</w:t>
      </w:r>
      <w:proofErr w:type="spellEnd"/>
      <w:r w:rsidRPr="00574433">
        <w:rPr>
          <w:rFonts w:cs="Calibri"/>
          <w:i/>
          <w:iCs/>
          <w:sz w:val="24"/>
          <w:szCs w:val="24"/>
          <w:lang w:eastAsia="en-US"/>
        </w:rPr>
        <w:t>); Northern River Shark (</w:t>
      </w:r>
      <w:proofErr w:type="spellStart"/>
      <w:r w:rsidRPr="00574433">
        <w:rPr>
          <w:rFonts w:cs="Calibri"/>
          <w:i/>
          <w:iCs/>
          <w:sz w:val="24"/>
          <w:szCs w:val="24"/>
          <w:lang w:eastAsia="en-US"/>
        </w:rPr>
        <w:t>Glyphis</w:t>
      </w:r>
      <w:proofErr w:type="spellEnd"/>
      <w:r w:rsidRPr="00574433">
        <w:rPr>
          <w:rFonts w:cs="Calibri"/>
          <w:i/>
          <w:iCs/>
          <w:sz w:val="24"/>
          <w:szCs w:val="24"/>
          <w:lang w:eastAsia="en-US"/>
        </w:rPr>
        <w:t xml:space="preserve"> </w:t>
      </w:r>
      <w:proofErr w:type="spellStart"/>
      <w:r w:rsidRPr="00574433">
        <w:rPr>
          <w:rFonts w:cs="Calibri"/>
          <w:i/>
          <w:iCs/>
          <w:sz w:val="24"/>
          <w:szCs w:val="24"/>
          <w:lang w:eastAsia="en-US"/>
        </w:rPr>
        <w:t>garricki</w:t>
      </w:r>
      <w:proofErr w:type="spellEnd"/>
      <w:r w:rsidRPr="00574433">
        <w:rPr>
          <w:rFonts w:cs="Calibri"/>
          <w:i/>
          <w:iCs/>
          <w:sz w:val="24"/>
          <w:szCs w:val="24"/>
          <w:lang w:eastAsia="en-US"/>
        </w:rPr>
        <w:t xml:space="preserve">). </w:t>
      </w:r>
      <w:r w:rsidRPr="00574433">
        <w:rPr>
          <w:rFonts w:cs="Calibri"/>
          <w:sz w:val="24"/>
          <w:szCs w:val="24"/>
          <w:lang w:eastAsia="en-US"/>
        </w:rPr>
        <w:t xml:space="preserve">. Department of the Environment. Australian Government., Canberra. </w:t>
      </w:r>
    </w:p>
    <w:p w14:paraId="1D7DE833" w14:textId="6CA2C8C3" w:rsidR="0089609E" w:rsidRDefault="00324496" w:rsidP="00324496">
      <w:pPr>
        <w:rPr>
          <w:rFonts w:cs="Calibri"/>
          <w:sz w:val="24"/>
          <w:szCs w:val="24"/>
          <w:lang w:eastAsia="en-US"/>
        </w:rPr>
      </w:pPr>
      <w:proofErr w:type="spellStart"/>
      <w:r w:rsidRPr="00574433">
        <w:rPr>
          <w:rFonts w:cs="Calibri"/>
          <w:sz w:val="24"/>
          <w:szCs w:val="24"/>
          <w:lang w:eastAsia="en-US"/>
        </w:rPr>
        <w:t>Pillans</w:t>
      </w:r>
      <w:proofErr w:type="spellEnd"/>
      <w:r w:rsidRPr="00574433">
        <w:rPr>
          <w:rFonts w:cs="Calibri"/>
          <w:sz w:val="24"/>
          <w:szCs w:val="24"/>
          <w:lang w:eastAsia="en-US"/>
        </w:rPr>
        <w:t xml:space="preserve">, R.D., Stevens, J.D., </w:t>
      </w:r>
      <w:proofErr w:type="spellStart"/>
      <w:r w:rsidRPr="00574433">
        <w:rPr>
          <w:rFonts w:cs="Calibri"/>
          <w:sz w:val="24"/>
          <w:szCs w:val="24"/>
          <w:lang w:eastAsia="en-US"/>
        </w:rPr>
        <w:t>Kyne</w:t>
      </w:r>
      <w:proofErr w:type="spellEnd"/>
      <w:r w:rsidRPr="00574433">
        <w:rPr>
          <w:rFonts w:cs="Calibri"/>
          <w:sz w:val="24"/>
          <w:szCs w:val="24"/>
          <w:lang w:eastAsia="en-US"/>
        </w:rPr>
        <w:t>, P.M., Salini, J., 2009. Observations on the distribution,</w:t>
      </w:r>
      <w:r>
        <w:rPr>
          <w:rFonts w:cs="Calibri"/>
          <w:sz w:val="24"/>
          <w:szCs w:val="24"/>
          <w:lang w:eastAsia="en-US"/>
        </w:rPr>
        <w:t xml:space="preserve"> </w:t>
      </w:r>
      <w:r w:rsidRPr="00574433">
        <w:rPr>
          <w:rFonts w:cs="Calibri"/>
          <w:sz w:val="24"/>
          <w:szCs w:val="24"/>
          <w:lang w:eastAsia="en-US"/>
        </w:rPr>
        <w:t xml:space="preserve">biology, short‐term movements and habitat requirements of river sharks </w:t>
      </w:r>
      <w:proofErr w:type="spellStart"/>
      <w:r w:rsidRPr="00574433">
        <w:rPr>
          <w:rFonts w:cs="Calibri"/>
          <w:i/>
          <w:iCs/>
          <w:sz w:val="24"/>
          <w:szCs w:val="24"/>
          <w:lang w:eastAsia="en-US"/>
        </w:rPr>
        <w:t>Glyphis</w:t>
      </w:r>
      <w:proofErr w:type="spellEnd"/>
      <w:r w:rsidRPr="00574433">
        <w:rPr>
          <w:rFonts w:cs="Calibri"/>
          <w:i/>
          <w:iCs/>
          <w:sz w:val="24"/>
          <w:szCs w:val="24"/>
          <w:lang w:eastAsia="en-US"/>
        </w:rPr>
        <w:t xml:space="preserve"> </w:t>
      </w:r>
      <w:r w:rsidRPr="00574433">
        <w:rPr>
          <w:rFonts w:cs="Calibri"/>
          <w:sz w:val="24"/>
          <w:szCs w:val="24"/>
          <w:lang w:eastAsia="en-US"/>
        </w:rPr>
        <w:t>spp. In</w:t>
      </w:r>
      <w:r>
        <w:rPr>
          <w:rFonts w:cs="Calibri"/>
          <w:sz w:val="24"/>
          <w:szCs w:val="24"/>
          <w:lang w:eastAsia="en-US"/>
        </w:rPr>
        <w:t xml:space="preserve"> </w:t>
      </w:r>
      <w:r w:rsidRPr="00574433">
        <w:rPr>
          <w:rFonts w:cs="Calibri"/>
          <w:sz w:val="24"/>
          <w:szCs w:val="24"/>
          <w:lang w:eastAsia="en-US"/>
        </w:rPr>
        <w:t xml:space="preserve">northern Australia. </w:t>
      </w:r>
      <w:r w:rsidRPr="00574433">
        <w:rPr>
          <w:rFonts w:cs="Calibri"/>
          <w:i/>
          <w:iCs/>
          <w:sz w:val="24"/>
          <w:szCs w:val="24"/>
          <w:lang w:eastAsia="en-US"/>
        </w:rPr>
        <w:t xml:space="preserve">Endangered Species Research </w:t>
      </w:r>
      <w:r w:rsidRPr="00574433">
        <w:rPr>
          <w:rFonts w:cs="Calibri"/>
          <w:b/>
          <w:bCs/>
          <w:sz w:val="24"/>
          <w:szCs w:val="24"/>
          <w:lang w:eastAsia="en-US"/>
        </w:rPr>
        <w:t>10</w:t>
      </w:r>
      <w:r w:rsidRPr="00574433">
        <w:rPr>
          <w:rFonts w:cs="Calibri"/>
          <w:sz w:val="24"/>
          <w:szCs w:val="24"/>
          <w:lang w:eastAsia="en-US"/>
        </w:rPr>
        <w:t>, 321‐332.</w:t>
      </w:r>
    </w:p>
    <w:p w14:paraId="0228CE27" w14:textId="593518DC" w:rsidR="00324496" w:rsidRDefault="00324496" w:rsidP="00324496">
      <w:pPr>
        <w:rPr>
          <w:rFonts w:asciiTheme="minorHAnsi" w:hAnsiTheme="minorHAnsi" w:cstheme="minorHAnsi"/>
          <w:sz w:val="24"/>
          <w:szCs w:val="24"/>
        </w:rPr>
      </w:pPr>
      <w:proofErr w:type="spellStart"/>
      <w:r w:rsidRPr="00AE39B8">
        <w:rPr>
          <w:rFonts w:asciiTheme="minorHAnsi" w:hAnsiTheme="minorHAnsi" w:cstheme="minorHAnsi"/>
          <w:sz w:val="24"/>
          <w:szCs w:val="24"/>
        </w:rPr>
        <w:t>Plaganyi</w:t>
      </w:r>
      <w:proofErr w:type="spellEnd"/>
      <w:r w:rsidRPr="00AE39B8">
        <w:rPr>
          <w:rFonts w:asciiTheme="minorHAnsi" w:hAnsiTheme="minorHAnsi" w:cstheme="minorHAnsi"/>
          <w:sz w:val="24"/>
          <w:szCs w:val="24"/>
        </w:rPr>
        <w:t xml:space="preserve">, E.E., Punt, A.E., Hillary, R., Morello, E.B., </w:t>
      </w:r>
      <w:proofErr w:type="spellStart"/>
      <w:r w:rsidRPr="00AE39B8">
        <w:rPr>
          <w:rFonts w:asciiTheme="minorHAnsi" w:hAnsiTheme="minorHAnsi" w:cstheme="minorHAnsi"/>
          <w:sz w:val="24"/>
          <w:szCs w:val="24"/>
        </w:rPr>
        <w:t>Thebaud</w:t>
      </w:r>
      <w:proofErr w:type="spellEnd"/>
      <w:r w:rsidRPr="00AE39B8">
        <w:rPr>
          <w:rFonts w:asciiTheme="minorHAnsi" w:hAnsiTheme="minorHAnsi" w:cstheme="minorHAnsi"/>
          <w:sz w:val="24"/>
          <w:szCs w:val="24"/>
        </w:rPr>
        <w:t xml:space="preserve">, O., Hutton, T., </w:t>
      </w:r>
      <w:proofErr w:type="spellStart"/>
      <w:r w:rsidRPr="00AE39B8">
        <w:rPr>
          <w:rFonts w:asciiTheme="minorHAnsi" w:hAnsiTheme="minorHAnsi" w:cstheme="minorHAnsi"/>
          <w:sz w:val="24"/>
          <w:szCs w:val="24"/>
        </w:rPr>
        <w:t>Pillans</w:t>
      </w:r>
      <w:proofErr w:type="spellEnd"/>
      <w:r w:rsidRPr="00AE39B8">
        <w:rPr>
          <w:rFonts w:asciiTheme="minorHAnsi" w:hAnsiTheme="minorHAnsi" w:cstheme="minorHAnsi"/>
          <w:sz w:val="24"/>
          <w:szCs w:val="24"/>
        </w:rPr>
        <w:t xml:space="preserve">, R.D., Thorson, J.T., Fulton, E.A., Smith, A.D.M., Smith, F., Bayliss, P., Haywood, M., Lyne, V., </w:t>
      </w:r>
      <w:proofErr w:type="spellStart"/>
      <w:r w:rsidRPr="00AE39B8">
        <w:rPr>
          <w:rFonts w:asciiTheme="minorHAnsi" w:hAnsiTheme="minorHAnsi" w:cstheme="minorHAnsi"/>
          <w:sz w:val="24"/>
          <w:szCs w:val="24"/>
        </w:rPr>
        <w:t>Rothlisberg</w:t>
      </w:r>
      <w:proofErr w:type="spellEnd"/>
      <w:r w:rsidRPr="00AE39B8">
        <w:rPr>
          <w:rFonts w:asciiTheme="minorHAnsi" w:hAnsiTheme="minorHAnsi" w:cstheme="minorHAnsi"/>
          <w:sz w:val="24"/>
          <w:szCs w:val="24"/>
        </w:rPr>
        <w:t xml:space="preserve">, P.C. 2014. </w:t>
      </w:r>
      <w:r w:rsidRPr="00AE39B8">
        <w:rPr>
          <w:rFonts w:asciiTheme="minorHAnsi" w:hAnsiTheme="minorHAnsi" w:cstheme="minorHAnsi"/>
          <w:bCs/>
          <w:sz w:val="24"/>
          <w:szCs w:val="24"/>
        </w:rPr>
        <w:t xml:space="preserve">Multispecies fisheries management and conservation: tactical applications using models of intermediate complexity. </w:t>
      </w:r>
      <w:r w:rsidRPr="00E33D4F">
        <w:rPr>
          <w:rFonts w:asciiTheme="minorHAnsi" w:hAnsiTheme="minorHAnsi" w:cstheme="minorHAnsi"/>
          <w:bCs/>
          <w:i/>
          <w:iCs/>
          <w:sz w:val="24"/>
          <w:szCs w:val="24"/>
        </w:rPr>
        <w:t>Fish and Fisheries</w:t>
      </w:r>
      <w:r w:rsidRPr="00AE39B8">
        <w:rPr>
          <w:rFonts w:asciiTheme="minorHAnsi" w:hAnsiTheme="minorHAnsi" w:cstheme="minorHAnsi"/>
          <w:bCs/>
          <w:sz w:val="24"/>
          <w:szCs w:val="24"/>
        </w:rPr>
        <w:t xml:space="preserve"> 15(1):1-22. DOI: </w:t>
      </w:r>
      <w:r w:rsidRPr="00AE39B8">
        <w:rPr>
          <w:rFonts w:asciiTheme="minorHAnsi" w:hAnsiTheme="minorHAnsi" w:cstheme="minorHAnsi"/>
          <w:sz w:val="24"/>
          <w:szCs w:val="24"/>
        </w:rPr>
        <w:t>10.1111/j.1467-2979.2012.00488.x</w:t>
      </w:r>
    </w:p>
    <w:p w14:paraId="38ADBEC3" w14:textId="1289A6A0" w:rsidR="00B62D15" w:rsidRPr="003810DC" w:rsidRDefault="00B62D15" w:rsidP="00324496">
      <w:pPr>
        <w:rPr>
          <w:rFonts w:cs="Calibri"/>
          <w:sz w:val="24"/>
          <w:szCs w:val="24"/>
          <w:lang w:eastAsia="en-US"/>
        </w:rPr>
      </w:pPr>
      <w:proofErr w:type="spellStart"/>
      <w:r w:rsidRPr="003810DC">
        <w:rPr>
          <w:rFonts w:asciiTheme="minorHAnsi" w:hAnsiTheme="minorHAnsi" w:cstheme="minorHAnsi"/>
          <w:sz w:val="24"/>
          <w:szCs w:val="24"/>
        </w:rPr>
        <w:t>Plagányi</w:t>
      </w:r>
      <w:proofErr w:type="spellEnd"/>
      <w:r w:rsidRPr="003810DC">
        <w:rPr>
          <w:rFonts w:asciiTheme="minorHAnsi" w:hAnsiTheme="minorHAnsi" w:cstheme="minorHAnsi"/>
          <w:sz w:val="24"/>
          <w:szCs w:val="24"/>
        </w:rPr>
        <w:t xml:space="preserve">, E., Kenyon, R., Hutton, T., Robins, J., Burford, M., Jarrett, A., Laird, A., Hughes, J., Kim, S., </w:t>
      </w:r>
      <w:proofErr w:type="spellStart"/>
      <w:r w:rsidRPr="003810DC">
        <w:rPr>
          <w:rFonts w:asciiTheme="minorHAnsi" w:hAnsiTheme="minorHAnsi" w:cstheme="minorHAnsi"/>
          <w:sz w:val="24"/>
          <w:szCs w:val="24"/>
        </w:rPr>
        <w:t>Cannard</w:t>
      </w:r>
      <w:proofErr w:type="spellEnd"/>
      <w:r w:rsidRPr="003810DC">
        <w:rPr>
          <w:rFonts w:asciiTheme="minorHAnsi" w:hAnsiTheme="minorHAnsi" w:cstheme="minorHAnsi"/>
          <w:sz w:val="24"/>
          <w:szCs w:val="24"/>
        </w:rPr>
        <w:t xml:space="preserve">, T., Deng, R., Miller, M., Moeseneder, C., Petheram, C., </w:t>
      </w:r>
      <w:proofErr w:type="spellStart"/>
      <w:r w:rsidRPr="003810DC">
        <w:rPr>
          <w:rFonts w:asciiTheme="minorHAnsi" w:hAnsiTheme="minorHAnsi" w:cstheme="minorHAnsi"/>
          <w:sz w:val="24"/>
          <w:szCs w:val="24"/>
        </w:rPr>
        <w:t>Pillans</w:t>
      </w:r>
      <w:proofErr w:type="spellEnd"/>
      <w:r w:rsidRPr="003810DC">
        <w:rPr>
          <w:rFonts w:asciiTheme="minorHAnsi" w:hAnsiTheme="minorHAnsi" w:cstheme="minorHAnsi"/>
          <w:sz w:val="24"/>
          <w:szCs w:val="24"/>
        </w:rPr>
        <w:t>, R., Lawrence, E., Blamey, L. 2020. Ecological modelling of the impacts of water development in the Gulf of Carpentaria with particular reference to impacts on the Northern Prawn Fishery (NPF). Milestone Report for FRDC, March 2020. 67 pp</w:t>
      </w:r>
    </w:p>
    <w:p w14:paraId="35648B76" w14:textId="7E06EFC8" w:rsidR="00324496" w:rsidRPr="0071730A" w:rsidRDefault="00324496" w:rsidP="00324496">
      <w:pPr>
        <w:rPr>
          <w:rFonts w:asciiTheme="minorHAnsi" w:hAnsiTheme="minorHAnsi" w:cstheme="minorHAnsi"/>
          <w:sz w:val="24"/>
          <w:szCs w:val="24"/>
        </w:rPr>
      </w:pPr>
      <w:r w:rsidRPr="0071730A">
        <w:rPr>
          <w:rFonts w:asciiTheme="minorHAnsi" w:hAnsiTheme="minorHAnsi" w:cstheme="minorHAnsi"/>
          <w:sz w:val="24"/>
          <w:szCs w:val="24"/>
        </w:rPr>
        <w:t>Prime Minister and Cabinet (PMC) 2015</w:t>
      </w:r>
      <w:r w:rsidR="003810DC">
        <w:rPr>
          <w:rFonts w:asciiTheme="minorHAnsi" w:hAnsiTheme="minorHAnsi" w:cstheme="minorHAnsi"/>
          <w:sz w:val="24"/>
          <w:szCs w:val="24"/>
        </w:rPr>
        <w:t>.</w:t>
      </w:r>
      <w:r w:rsidRPr="0071730A">
        <w:rPr>
          <w:rFonts w:asciiTheme="minorHAnsi" w:hAnsiTheme="minorHAnsi" w:cstheme="minorHAnsi"/>
          <w:sz w:val="24"/>
          <w:szCs w:val="24"/>
        </w:rPr>
        <w:t xml:space="preserve"> Our North, Our Future: White Paper on Developing Northern Australia, Prime Minister and Cabinet, Commonwealth Government of Australia, 2015. Viewed 30 June 2015, https://northernaustralia.dpmc.gov.au/sites/default/files/papers/northern_australia_white_paper.pdf.</w:t>
      </w:r>
    </w:p>
    <w:p w14:paraId="58BA7F87" w14:textId="77777777" w:rsidR="00324496" w:rsidRPr="00EB2CDF" w:rsidRDefault="00324496" w:rsidP="00324496">
      <w:pPr>
        <w:rPr>
          <w:rFonts w:asciiTheme="minorHAnsi" w:hAnsiTheme="minorHAnsi" w:cstheme="minorHAnsi"/>
          <w:sz w:val="24"/>
          <w:szCs w:val="24"/>
        </w:rPr>
      </w:pPr>
      <w:r w:rsidRPr="00EB2CDF">
        <w:rPr>
          <w:rFonts w:asciiTheme="minorHAnsi" w:hAnsiTheme="minorHAnsi"/>
          <w:i/>
          <w:iCs/>
          <w:sz w:val="24"/>
          <w:szCs w:val="24"/>
        </w:rPr>
        <w:t>Productivity Commission, National Water Reform 2020, Draft Report</w:t>
      </w:r>
      <w:r w:rsidRPr="00EB2CDF">
        <w:rPr>
          <w:rFonts w:asciiTheme="minorHAnsi" w:hAnsiTheme="minorHAnsi"/>
          <w:sz w:val="24"/>
          <w:szCs w:val="24"/>
        </w:rPr>
        <w:t>.</w:t>
      </w:r>
    </w:p>
    <w:p w14:paraId="7DA30502" w14:textId="507DB622" w:rsidR="00324496" w:rsidRPr="0071730A" w:rsidRDefault="00324496" w:rsidP="00324496">
      <w:pPr>
        <w:autoSpaceDE w:val="0"/>
        <w:autoSpaceDN w:val="0"/>
        <w:adjustRightInd w:val="0"/>
        <w:rPr>
          <w:rFonts w:asciiTheme="minorHAnsi" w:hAnsiTheme="minorHAnsi" w:cstheme="minorHAnsi"/>
          <w:sz w:val="24"/>
          <w:szCs w:val="24"/>
          <w:lang w:eastAsia="en-US"/>
        </w:rPr>
      </w:pPr>
      <w:r w:rsidRPr="0071730A">
        <w:rPr>
          <w:rFonts w:asciiTheme="minorHAnsi" w:hAnsiTheme="minorHAnsi" w:cstheme="minorHAnsi"/>
          <w:sz w:val="24"/>
          <w:szCs w:val="24"/>
          <w:lang w:eastAsia="en-US"/>
        </w:rPr>
        <w:t xml:space="preserve">Robins, J.B., Northrop, A.R., </w:t>
      </w:r>
      <w:proofErr w:type="spellStart"/>
      <w:r w:rsidRPr="0071730A">
        <w:rPr>
          <w:rFonts w:asciiTheme="minorHAnsi" w:hAnsiTheme="minorHAnsi" w:cstheme="minorHAnsi"/>
          <w:sz w:val="24"/>
          <w:szCs w:val="24"/>
          <w:lang w:eastAsia="en-US"/>
        </w:rPr>
        <w:t>Grubert</w:t>
      </w:r>
      <w:proofErr w:type="spellEnd"/>
      <w:r w:rsidRPr="0071730A">
        <w:rPr>
          <w:rFonts w:asciiTheme="minorHAnsi" w:hAnsiTheme="minorHAnsi" w:cstheme="minorHAnsi"/>
          <w:sz w:val="24"/>
          <w:szCs w:val="24"/>
          <w:lang w:eastAsia="en-US"/>
        </w:rPr>
        <w:t xml:space="preserve">, M.A., </w:t>
      </w:r>
      <w:proofErr w:type="spellStart"/>
      <w:r w:rsidRPr="0071730A">
        <w:rPr>
          <w:rFonts w:asciiTheme="minorHAnsi" w:hAnsiTheme="minorHAnsi" w:cstheme="minorHAnsi"/>
          <w:sz w:val="24"/>
          <w:szCs w:val="24"/>
          <w:lang w:eastAsia="en-US"/>
        </w:rPr>
        <w:t>Buckworth</w:t>
      </w:r>
      <w:proofErr w:type="spellEnd"/>
      <w:r w:rsidRPr="0071730A">
        <w:rPr>
          <w:rFonts w:asciiTheme="minorHAnsi" w:hAnsiTheme="minorHAnsi" w:cstheme="minorHAnsi"/>
          <w:sz w:val="24"/>
          <w:szCs w:val="24"/>
          <w:lang w:eastAsia="en-US"/>
        </w:rPr>
        <w:t xml:space="preserve">, R.C., McLennan, M., </w:t>
      </w:r>
      <w:proofErr w:type="spellStart"/>
      <w:r w:rsidRPr="0071730A">
        <w:rPr>
          <w:rFonts w:asciiTheme="minorHAnsi" w:hAnsiTheme="minorHAnsi" w:cstheme="minorHAnsi"/>
          <w:sz w:val="24"/>
          <w:szCs w:val="24"/>
          <w:lang w:eastAsia="en-US"/>
        </w:rPr>
        <w:t>Sumpton</w:t>
      </w:r>
      <w:proofErr w:type="spellEnd"/>
      <w:r w:rsidRPr="0071730A">
        <w:rPr>
          <w:rFonts w:asciiTheme="minorHAnsi" w:hAnsiTheme="minorHAnsi" w:cstheme="minorHAnsi"/>
          <w:sz w:val="24"/>
          <w:szCs w:val="24"/>
          <w:lang w:eastAsia="en-US"/>
        </w:rPr>
        <w:t>, W.D., and Saunders, T. 2020. Understanding environmental and fisheries factors causing fluctuations in mud crab and blue swimmer crab fisheries in northern Australia to inform harvest strategies. Final Report to the Fisheries Research and Development Corporation for Project Number 2017/047. Department of Agriculture and Fisheries, Brisbane.</w:t>
      </w:r>
    </w:p>
    <w:p w14:paraId="20CF5E4D" w14:textId="77777777" w:rsidR="00324496" w:rsidRPr="0041268B" w:rsidRDefault="00324496" w:rsidP="00324496">
      <w:pPr>
        <w:rPr>
          <w:rFonts w:asciiTheme="minorHAnsi" w:hAnsiTheme="minorHAnsi" w:cstheme="minorHAnsi"/>
          <w:sz w:val="24"/>
          <w:szCs w:val="24"/>
        </w:rPr>
      </w:pPr>
      <w:r w:rsidRPr="0041268B">
        <w:rPr>
          <w:rFonts w:cs="Calibri"/>
          <w:sz w:val="24"/>
          <w:szCs w:val="24"/>
          <w:lang w:eastAsia="en-US"/>
        </w:rPr>
        <w:t xml:space="preserve">Thorburn, D., Peverell, S., Stevens, J.D., Last, P.R., Rowland, A.J., 2003. </w:t>
      </w:r>
      <w:r w:rsidRPr="0041268B">
        <w:rPr>
          <w:rFonts w:cs="Calibri"/>
          <w:i/>
          <w:iCs/>
          <w:sz w:val="24"/>
          <w:szCs w:val="24"/>
          <w:lang w:eastAsia="en-US"/>
        </w:rPr>
        <w:t>Status of Elasmobranchs in Northern Australia</w:t>
      </w:r>
      <w:r w:rsidRPr="0041268B">
        <w:rPr>
          <w:rFonts w:cs="Calibri"/>
          <w:sz w:val="24"/>
          <w:szCs w:val="24"/>
          <w:lang w:eastAsia="en-US"/>
        </w:rPr>
        <w:t>. Department of Environment and Heritage, Canberra.</w:t>
      </w:r>
    </w:p>
    <w:p w14:paraId="094243AD" w14:textId="77777777" w:rsidR="00324496" w:rsidRDefault="00324496" w:rsidP="00324496">
      <w:pPr>
        <w:rPr>
          <w:rFonts w:asciiTheme="minorHAnsi" w:hAnsiTheme="minorHAnsi" w:cstheme="minorHAnsi"/>
          <w:sz w:val="24"/>
          <w:szCs w:val="24"/>
        </w:rPr>
      </w:pPr>
      <w:r w:rsidRPr="003262F8">
        <w:rPr>
          <w:rFonts w:asciiTheme="minorHAnsi" w:hAnsiTheme="minorHAnsi" w:cstheme="minorHAnsi"/>
          <w:sz w:val="24"/>
          <w:szCs w:val="24"/>
        </w:rPr>
        <w:t xml:space="preserve">Vance, D. J., M. D. E. Haywood, D. S. </w:t>
      </w:r>
      <w:proofErr w:type="spellStart"/>
      <w:r w:rsidRPr="003262F8">
        <w:rPr>
          <w:rFonts w:asciiTheme="minorHAnsi" w:hAnsiTheme="minorHAnsi" w:cstheme="minorHAnsi"/>
          <w:sz w:val="24"/>
          <w:szCs w:val="24"/>
        </w:rPr>
        <w:t>Heales</w:t>
      </w:r>
      <w:proofErr w:type="spellEnd"/>
      <w:r w:rsidRPr="003262F8">
        <w:rPr>
          <w:rFonts w:asciiTheme="minorHAnsi" w:hAnsiTheme="minorHAnsi" w:cstheme="minorHAnsi"/>
          <w:sz w:val="24"/>
          <w:szCs w:val="24"/>
        </w:rPr>
        <w:t xml:space="preserve">, R. A. Kenyon, and N. R. </w:t>
      </w:r>
      <w:proofErr w:type="spellStart"/>
      <w:r w:rsidRPr="003262F8">
        <w:rPr>
          <w:rFonts w:asciiTheme="minorHAnsi" w:hAnsiTheme="minorHAnsi" w:cstheme="minorHAnsi"/>
          <w:sz w:val="24"/>
          <w:szCs w:val="24"/>
        </w:rPr>
        <w:t>Loneragan</w:t>
      </w:r>
      <w:proofErr w:type="spellEnd"/>
      <w:r w:rsidRPr="003262F8">
        <w:rPr>
          <w:rFonts w:asciiTheme="minorHAnsi" w:hAnsiTheme="minorHAnsi" w:cstheme="minorHAnsi"/>
          <w:sz w:val="24"/>
          <w:szCs w:val="24"/>
        </w:rPr>
        <w:t xml:space="preserve">. 1998. Seasonal and annual variation in abundance of </w:t>
      </w:r>
      <w:proofErr w:type="spellStart"/>
      <w:r w:rsidRPr="003262F8">
        <w:rPr>
          <w:rFonts w:asciiTheme="minorHAnsi" w:hAnsiTheme="minorHAnsi" w:cstheme="minorHAnsi"/>
          <w:sz w:val="24"/>
          <w:szCs w:val="24"/>
        </w:rPr>
        <w:t>postlarval</w:t>
      </w:r>
      <w:proofErr w:type="spellEnd"/>
      <w:r w:rsidRPr="003262F8">
        <w:rPr>
          <w:rFonts w:asciiTheme="minorHAnsi" w:hAnsiTheme="minorHAnsi" w:cstheme="minorHAnsi"/>
          <w:sz w:val="24"/>
          <w:szCs w:val="24"/>
        </w:rPr>
        <w:t xml:space="preserve"> and juvenile banana prawns </w:t>
      </w:r>
      <w:r w:rsidRPr="003262F8">
        <w:rPr>
          <w:rFonts w:asciiTheme="minorHAnsi" w:hAnsiTheme="minorHAnsi" w:cstheme="minorHAnsi"/>
          <w:i/>
          <w:iCs/>
          <w:sz w:val="24"/>
          <w:szCs w:val="24"/>
        </w:rPr>
        <w:t>Penaeus</w:t>
      </w:r>
      <w:r w:rsidRPr="003262F8">
        <w:rPr>
          <w:rFonts w:asciiTheme="minorHAnsi" w:hAnsiTheme="minorHAnsi" w:cstheme="minorHAnsi"/>
          <w:sz w:val="24"/>
          <w:szCs w:val="24"/>
        </w:rPr>
        <w:t xml:space="preserve"> </w:t>
      </w:r>
      <w:proofErr w:type="spellStart"/>
      <w:r w:rsidRPr="003262F8">
        <w:rPr>
          <w:rFonts w:asciiTheme="minorHAnsi" w:hAnsiTheme="minorHAnsi" w:cstheme="minorHAnsi"/>
          <w:i/>
          <w:iCs/>
          <w:sz w:val="24"/>
          <w:szCs w:val="24"/>
        </w:rPr>
        <w:t>merguiensis</w:t>
      </w:r>
      <w:proofErr w:type="spellEnd"/>
      <w:r w:rsidRPr="003262F8">
        <w:rPr>
          <w:rFonts w:asciiTheme="minorHAnsi" w:hAnsiTheme="minorHAnsi" w:cstheme="minorHAnsi"/>
          <w:sz w:val="24"/>
          <w:szCs w:val="24"/>
        </w:rPr>
        <w:t xml:space="preserve"> and environmental variation in two estuaries in tropical </w:t>
      </w:r>
      <w:proofErr w:type="spellStart"/>
      <w:r w:rsidRPr="003262F8">
        <w:rPr>
          <w:rFonts w:asciiTheme="minorHAnsi" w:hAnsiTheme="minorHAnsi" w:cstheme="minorHAnsi"/>
          <w:sz w:val="24"/>
          <w:szCs w:val="24"/>
        </w:rPr>
        <w:t>northeastern</w:t>
      </w:r>
      <w:proofErr w:type="spellEnd"/>
      <w:r w:rsidRPr="003262F8">
        <w:rPr>
          <w:rFonts w:asciiTheme="minorHAnsi" w:hAnsiTheme="minorHAnsi" w:cstheme="minorHAnsi"/>
          <w:sz w:val="24"/>
          <w:szCs w:val="24"/>
        </w:rPr>
        <w:t xml:space="preserve"> Australia: a six year study. </w:t>
      </w:r>
      <w:r w:rsidRPr="00E33D4F">
        <w:rPr>
          <w:rFonts w:asciiTheme="minorHAnsi" w:hAnsiTheme="minorHAnsi" w:cstheme="minorHAnsi"/>
          <w:i/>
          <w:iCs/>
          <w:sz w:val="24"/>
          <w:szCs w:val="24"/>
        </w:rPr>
        <w:t>Marine Ecology Progress Series</w:t>
      </w:r>
      <w:r w:rsidRPr="003262F8">
        <w:rPr>
          <w:rFonts w:asciiTheme="minorHAnsi" w:hAnsiTheme="minorHAnsi" w:cstheme="minorHAnsi"/>
          <w:sz w:val="24"/>
          <w:szCs w:val="24"/>
        </w:rPr>
        <w:t xml:space="preserve"> </w:t>
      </w:r>
      <w:r w:rsidRPr="00E33D4F">
        <w:rPr>
          <w:rFonts w:asciiTheme="minorHAnsi" w:hAnsiTheme="minorHAnsi" w:cstheme="minorHAnsi"/>
          <w:bCs/>
          <w:sz w:val="24"/>
          <w:szCs w:val="24"/>
        </w:rPr>
        <w:t>163</w:t>
      </w:r>
      <w:r w:rsidRPr="003262F8">
        <w:rPr>
          <w:rFonts w:asciiTheme="minorHAnsi" w:hAnsiTheme="minorHAnsi" w:cstheme="minorHAnsi"/>
          <w:sz w:val="24"/>
          <w:szCs w:val="24"/>
        </w:rPr>
        <w:t>:21-36</w:t>
      </w:r>
      <w:r>
        <w:rPr>
          <w:rFonts w:asciiTheme="minorHAnsi" w:hAnsiTheme="minorHAnsi" w:cstheme="minorHAnsi"/>
          <w:sz w:val="24"/>
          <w:szCs w:val="24"/>
        </w:rPr>
        <w:t>.</w:t>
      </w:r>
    </w:p>
    <w:p w14:paraId="6358E610" w14:textId="77777777" w:rsidR="00324496" w:rsidRPr="00897BA0" w:rsidRDefault="00324496" w:rsidP="00324496">
      <w:pPr>
        <w:pStyle w:val="EndNoteBibliography"/>
        <w:ind w:hanging="11"/>
        <w:rPr>
          <w:rFonts w:asciiTheme="minorHAnsi" w:hAnsiTheme="minorHAnsi" w:cstheme="minorHAnsi"/>
          <w:sz w:val="24"/>
          <w:szCs w:val="24"/>
        </w:rPr>
      </w:pPr>
      <w:bookmarkStart w:id="51" w:name="_ENREF_36"/>
      <w:r w:rsidRPr="00897BA0">
        <w:rPr>
          <w:rFonts w:asciiTheme="minorHAnsi" w:hAnsiTheme="minorHAnsi" w:cstheme="minorHAnsi"/>
          <w:sz w:val="24"/>
          <w:szCs w:val="24"/>
        </w:rPr>
        <w:t xml:space="preserve">Vance, D., M. Haywood, D. Heales, R. Kenyon, N. Loneragan, and R. Pendrey. 2002. Distribution of juvenile penaeid prawns in mangrove forests in a tropical Australian estuary, with particular reference to </w:t>
      </w:r>
      <w:r w:rsidRPr="00897BA0">
        <w:rPr>
          <w:rFonts w:asciiTheme="minorHAnsi" w:hAnsiTheme="minorHAnsi" w:cstheme="minorHAnsi"/>
          <w:i/>
          <w:sz w:val="24"/>
          <w:szCs w:val="24"/>
        </w:rPr>
        <w:t>Penaeus</w:t>
      </w:r>
      <w:r w:rsidRPr="00897BA0">
        <w:rPr>
          <w:rFonts w:asciiTheme="minorHAnsi" w:hAnsiTheme="minorHAnsi" w:cstheme="minorHAnsi"/>
          <w:sz w:val="24"/>
          <w:szCs w:val="24"/>
        </w:rPr>
        <w:t xml:space="preserve"> </w:t>
      </w:r>
      <w:r w:rsidRPr="00897BA0">
        <w:rPr>
          <w:rFonts w:asciiTheme="minorHAnsi" w:hAnsiTheme="minorHAnsi" w:cstheme="minorHAnsi"/>
          <w:i/>
          <w:sz w:val="24"/>
          <w:szCs w:val="24"/>
        </w:rPr>
        <w:t>merguiensis</w:t>
      </w:r>
      <w:r w:rsidRPr="00897BA0">
        <w:rPr>
          <w:rFonts w:asciiTheme="minorHAnsi" w:hAnsiTheme="minorHAnsi" w:cstheme="minorHAnsi"/>
          <w:sz w:val="24"/>
          <w:szCs w:val="24"/>
        </w:rPr>
        <w:t xml:space="preserve">. </w:t>
      </w:r>
      <w:r w:rsidRPr="00E33D4F">
        <w:rPr>
          <w:rFonts w:asciiTheme="minorHAnsi" w:hAnsiTheme="minorHAnsi" w:cstheme="minorHAnsi"/>
          <w:i/>
          <w:iCs/>
          <w:sz w:val="24"/>
          <w:szCs w:val="24"/>
        </w:rPr>
        <w:t>Marine Ecology Progress Series</w:t>
      </w:r>
      <w:r w:rsidRPr="00897BA0">
        <w:rPr>
          <w:rFonts w:asciiTheme="minorHAnsi" w:hAnsiTheme="minorHAnsi" w:cstheme="minorHAnsi"/>
          <w:sz w:val="24"/>
          <w:szCs w:val="24"/>
        </w:rPr>
        <w:t xml:space="preserve"> 228:165-177.</w:t>
      </w:r>
      <w:bookmarkEnd w:id="51"/>
    </w:p>
    <w:p w14:paraId="647ED0CC" w14:textId="77777777" w:rsidR="00324496" w:rsidRPr="00897BA0" w:rsidRDefault="00324496" w:rsidP="00324496">
      <w:pPr>
        <w:rPr>
          <w:rFonts w:asciiTheme="minorHAnsi" w:hAnsiTheme="minorHAnsi" w:cstheme="minorHAnsi"/>
          <w:sz w:val="24"/>
          <w:szCs w:val="24"/>
        </w:rPr>
      </w:pPr>
    </w:p>
    <w:p w14:paraId="701D0BE8" w14:textId="77777777" w:rsidR="00324496" w:rsidRPr="00897BA0" w:rsidRDefault="00324496" w:rsidP="00324496">
      <w:pPr>
        <w:rPr>
          <w:rFonts w:asciiTheme="minorHAnsi" w:hAnsiTheme="minorHAnsi" w:cstheme="minorHAnsi"/>
          <w:sz w:val="24"/>
          <w:szCs w:val="24"/>
        </w:rPr>
      </w:pPr>
    </w:p>
    <w:p w14:paraId="255EAF68" w14:textId="77777777" w:rsidR="00324496" w:rsidRDefault="00324496" w:rsidP="00324496">
      <w:pPr>
        <w:rPr>
          <w:rFonts w:asciiTheme="minorHAnsi" w:hAnsiTheme="minorHAnsi" w:cstheme="minorHAnsi"/>
          <w:sz w:val="24"/>
          <w:szCs w:val="24"/>
        </w:rPr>
      </w:pPr>
    </w:p>
    <w:p w14:paraId="3C7BE074" w14:textId="77777777" w:rsidR="00324496" w:rsidRPr="0071730A" w:rsidRDefault="00324496" w:rsidP="00324496">
      <w:pPr>
        <w:rPr>
          <w:rFonts w:asciiTheme="minorHAnsi" w:hAnsiTheme="minorHAnsi" w:cstheme="minorHAnsi"/>
          <w:sz w:val="24"/>
          <w:szCs w:val="24"/>
        </w:rPr>
      </w:pPr>
    </w:p>
    <w:p w14:paraId="775E9A67" w14:textId="77777777" w:rsidR="00324496" w:rsidRPr="0071730A" w:rsidRDefault="00324496" w:rsidP="00324496">
      <w:pPr>
        <w:rPr>
          <w:rFonts w:asciiTheme="minorHAnsi" w:hAnsiTheme="minorHAnsi" w:cstheme="minorHAnsi"/>
          <w:sz w:val="24"/>
          <w:szCs w:val="24"/>
        </w:rPr>
      </w:pPr>
    </w:p>
    <w:sdt>
      <w:sdtPr>
        <w:rPr>
          <w:b w:val="0"/>
          <w:color w:val="000000"/>
          <w:sz w:val="24"/>
          <w:szCs w:val="24"/>
          <w:shd w:val="clear" w:color="auto" w:fill="E6E6E6"/>
        </w:rPr>
        <w:id w:val="685485756"/>
        <w:docPartObj>
          <w:docPartGallery w:val="Cover Pages"/>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67"/>
            <w:gridCol w:w="4536"/>
          </w:tblGrid>
          <w:tr w:rsidR="00917531" w14:paraId="4FD3C194" w14:textId="77777777" w:rsidTr="00E77EDD">
            <w:tc>
              <w:tcPr>
                <w:tcW w:w="3652" w:type="dxa"/>
              </w:tcPr>
              <w:p w14:paraId="3DC70E8E" w14:textId="77777777" w:rsidR="00917531" w:rsidRPr="00593BAC" w:rsidRDefault="00917531" w:rsidP="00E77EDD">
                <w:pPr>
                  <w:pStyle w:val="BackCoverContactHeading"/>
                  <w:spacing w:after="120"/>
                  <w:rPr>
                    <w:sz w:val="24"/>
                    <w:szCs w:val="24"/>
                  </w:rPr>
                </w:pPr>
                <w:r w:rsidRPr="00593BAC">
                  <w:rPr>
                    <w:sz w:val="24"/>
                    <w:szCs w:val="24"/>
                  </w:rPr>
                  <w:t>As Australia’s national science agency and innovation catalyst, CSIRO is solving the greatest challenges through innovative science and technology.</w:t>
                </w:r>
              </w:p>
              <w:p w14:paraId="188630E9" w14:textId="77777777" w:rsidR="00917531" w:rsidRPr="00593BAC" w:rsidRDefault="00917531" w:rsidP="00620FA5">
                <w:pPr>
                  <w:pStyle w:val="BackCoverContactDetails"/>
                  <w:rPr>
                    <w:sz w:val="24"/>
                    <w:szCs w:val="24"/>
                  </w:rPr>
                </w:pPr>
                <w:r w:rsidRPr="00593BAC">
                  <w:rPr>
                    <w:sz w:val="24"/>
                    <w:szCs w:val="24"/>
                  </w:rPr>
                  <w:t>CSIRO. Unlocking a better future for everyone.</w:t>
                </w:r>
              </w:p>
              <w:p w14:paraId="28514031" w14:textId="77777777" w:rsidR="00917531" w:rsidRPr="00585C0D" w:rsidRDefault="00917531" w:rsidP="00C04069">
                <w:pPr>
                  <w:pStyle w:val="BackCoverContactDetails"/>
                </w:pPr>
              </w:p>
            </w:tc>
            <w:tc>
              <w:tcPr>
                <w:tcW w:w="567" w:type="dxa"/>
              </w:tcPr>
              <w:p w14:paraId="501870D1" w14:textId="77777777" w:rsidR="00917531" w:rsidRPr="00585C0D" w:rsidRDefault="00917531" w:rsidP="0024666C">
                <w:pPr>
                  <w:pStyle w:val="BackCoverContactHeading"/>
                </w:pPr>
              </w:p>
            </w:tc>
            <w:tc>
              <w:tcPr>
                <w:tcW w:w="4536" w:type="dxa"/>
              </w:tcPr>
              <w:p w14:paraId="5BFB3958" w14:textId="7D977772" w:rsidR="00917531" w:rsidRPr="00585C0D" w:rsidRDefault="00917531" w:rsidP="00E77EDD">
                <w:pPr>
                  <w:pStyle w:val="BackCoverContactDetails"/>
                </w:pPr>
              </w:p>
            </w:tc>
          </w:tr>
        </w:tbl>
        <w:p w14:paraId="09B63817" w14:textId="77777777" w:rsidR="00835A91" w:rsidRPr="00917531" w:rsidRDefault="00917531" w:rsidP="00917531">
          <w:pPr>
            <w:pStyle w:val="BodyText"/>
            <w:rPr>
              <w:b/>
              <w:color w:val="auto"/>
              <w:szCs w:val="24"/>
            </w:rPr>
          </w:pPr>
          <w:r>
            <w:rPr>
              <w:noProof/>
              <w:color w:val="2B579A"/>
              <w:shd w:val="clear" w:color="auto" w:fill="E6E6E6"/>
            </w:rPr>
            <mc:AlternateContent>
              <mc:Choice Requires="wps">
                <w:drawing>
                  <wp:anchor distT="0" distB="0" distL="114300" distR="114300" simplePos="0" relativeHeight="251658242" behindDoc="1" locked="1" layoutInCell="1" allowOverlap="1" wp14:anchorId="0D878860" wp14:editId="238783BF">
                    <wp:simplePos x="0" y="0"/>
                    <wp:positionH relativeFrom="page">
                      <wp:posOffset>0</wp:posOffset>
                    </wp:positionH>
                    <wp:positionV relativeFrom="page">
                      <wp:posOffset>5328920</wp:posOffset>
                    </wp:positionV>
                    <wp:extent cx="7560310" cy="5346065"/>
                    <wp:effectExtent l="0" t="4445" r="2540" b="2540"/>
                    <wp:wrapNone/>
                    <wp:docPr id="17" name="Rectangle 1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D4240" id="Rectangle 1026" o:spid="_x0000_s1026" alt="&quot;&quot;" style="position:absolute;margin-left:0;margin-top:419.6pt;width:595.3pt;height:42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" fillcolor="#00a9ce [3204]" stroked="f">
                    <w10:wrap anchorx="page" anchory="page"/>
                    <w10:anchorlock/>
                  </v:rect>
                </w:pict>
              </mc:Fallback>
            </mc:AlternateContent>
          </w:r>
        </w:p>
      </w:sdtContent>
    </w:sdt>
    <w:sectPr w:rsidR="00835A91" w:rsidRPr="00917531" w:rsidSect="00DD7E08">
      <w:headerReference w:type="default" r:id="rId12"/>
      <w:footerReference w:type="even" r:id="rId13"/>
      <w:footerReference w:type="default" r:id="rId14"/>
      <w:type w:val="continuous"/>
      <w:pgSz w:w="11906" w:h="16838" w:code="9"/>
      <w:pgMar w:top="1134" w:right="1134" w:bottom="1134" w:left="1134" w:header="510" w:footer="624" w:gutter="0"/>
      <w:pgNumType w:start="0"/>
      <w:cols w:space="8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C115E" w14:textId="77777777" w:rsidR="005B42D3" w:rsidRDefault="005B42D3" w:rsidP="009964E7">
      <w:r>
        <w:separator/>
      </w:r>
    </w:p>
    <w:p w14:paraId="1BF346BA" w14:textId="77777777" w:rsidR="005B42D3" w:rsidRDefault="005B42D3"/>
  </w:endnote>
  <w:endnote w:type="continuationSeparator" w:id="0">
    <w:p w14:paraId="45147D9E" w14:textId="77777777" w:rsidR="005B42D3" w:rsidRDefault="005B42D3" w:rsidP="009964E7">
      <w:r>
        <w:continuationSeparator/>
      </w:r>
    </w:p>
    <w:p w14:paraId="3E23F57C" w14:textId="77777777" w:rsidR="005B42D3" w:rsidRDefault="005B42D3"/>
  </w:endnote>
  <w:endnote w:type="continuationNotice" w:id="1">
    <w:p w14:paraId="3E2D2A1D" w14:textId="77777777" w:rsidR="005B42D3" w:rsidRDefault="005B42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07671" w14:textId="77777777" w:rsidR="00C91599" w:rsidRDefault="00C91599" w:rsidP="00AE0D9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color w:val="2B579A"/>
        <w:shd w:val="clear" w:color="auto" w:fill="E6E6E6"/>
      </w:rPr>
      <w:fldChar w:fldCharType="begin"/>
    </w:r>
    <w:r>
      <w:instrText>STYLEREF  CoverTitle</w:instrText>
    </w:r>
    <w:r>
      <w:rPr>
        <w:color w:val="2B579A"/>
        <w:shd w:val="clear" w:color="auto" w:fill="E6E6E6"/>
      </w:rPr>
      <w:fldChar w:fldCharType="separate"/>
    </w:r>
    <w:r>
      <w:rPr>
        <w:noProof/>
      </w:rPr>
      <w:t>[Insert report title (font size can be reduced if required)]</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954BD" w14:textId="025576C3" w:rsidR="00C91599" w:rsidRDefault="00C91599" w:rsidP="00883E43">
    <w:pPr>
      <w:pStyle w:val="Footer"/>
    </w:pPr>
    <w:r w:rsidRPr="00883E43">
      <w:rPr>
        <w:b/>
        <w:noProof/>
      </w:rPr>
      <w:t>CSIRO</w:t>
    </w:r>
    <w:r w:rsidRPr="00883E43">
      <w:rPr>
        <w:noProof/>
      </w:rPr>
      <w:t xml:space="preserve"> Australia’s National Science Agency</w:t>
    </w:r>
    <w:r>
      <w:rPr>
        <w:noProof/>
      </w:rPr>
      <w:tab/>
    </w:r>
    <w:r>
      <w:t xml:space="preserve">|  </w:t>
    </w: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4</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FDA27" w14:textId="77777777" w:rsidR="005B42D3" w:rsidRDefault="005B42D3" w:rsidP="009964E7">
      <w:r>
        <w:separator/>
      </w:r>
    </w:p>
    <w:p w14:paraId="4760F5C4" w14:textId="77777777" w:rsidR="005B42D3" w:rsidRDefault="005B42D3"/>
  </w:footnote>
  <w:footnote w:type="continuationSeparator" w:id="0">
    <w:p w14:paraId="27EB1488" w14:textId="77777777" w:rsidR="005B42D3" w:rsidRDefault="005B42D3" w:rsidP="009964E7">
      <w:r>
        <w:continuationSeparator/>
      </w:r>
    </w:p>
    <w:p w14:paraId="007F7FD9" w14:textId="77777777" w:rsidR="005B42D3" w:rsidRDefault="005B42D3"/>
  </w:footnote>
  <w:footnote w:type="continuationNotice" w:id="1">
    <w:p w14:paraId="78154776" w14:textId="77777777" w:rsidR="005B42D3" w:rsidRDefault="005B42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459C9" w14:textId="2D5E6670" w:rsidR="00C91599" w:rsidRDefault="00C9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hybridMultilevel"/>
    <w:tmpl w:val="B442ECCC"/>
    <w:lvl w:ilvl="0" w:tplc="9FAE5B7C">
      <w:start w:val="1"/>
      <w:numFmt w:val="bullet"/>
      <w:pStyle w:val="ListNumber5"/>
      <w:lvlText w:val=""/>
      <w:lvlJc w:val="left"/>
      <w:pPr>
        <w:tabs>
          <w:tab w:val="num" w:pos="1492"/>
        </w:tabs>
        <w:ind w:left="1492" w:hanging="360"/>
      </w:pPr>
      <w:rPr>
        <w:rFonts w:ascii="Symbol" w:hAnsi="Symbol" w:hint="default"/>
      </w:rPr>
    </w:lvl>
    <w:lvl w:ilvl="1" w:tplc="FFDC3CA6">
      <w:numFmt w:val="decimal"/>
      <w:lvlText w:val=""/>
      <w:lvlJc w:val="left"/>
    </w:lvl>
    <w:lvl w:ilvl="2" w:tplc="20BADDF2">
      <w:numFmt w:val="decimal"/>
      <w:lvlText w:val=""/>
      <w:lvlJc w:val="left"/>
    </w:lvl>
    <w:lvl w:ilvl="3" w:tplc="0B4CC732">
      <w:numFmt w:val="decimal"/>
      <w:lvlText w:val=""/>
      <w:lvlJc w:val="left"/>
    </w:lvl>
    <w:lvl w:ilvl="4" w:tplc="44FAB708">
      <w:numFmt w:val="decimal"/>
      <w:lvlText w:val=""/>
      <w:lvlJc w:val="left"/>
    </w:lvl>
    <w:lvl w:ilvl="5" w:tplc="304E7AF6">
      <w:numFmt w:val="decimal"/>
      <w:lvlText w:val=""/>
      <w:lvlJc w:val="left"/>
    </w:lvl>
    <w:lvl w:ilvl="6" w:tplc="A65CB700">
      <w:numFmt w:val="decimal"/>
      <w:lvlText w:val=""/>
      <w:lvlJc w:val="left"/>
    </w:lvl>
    <w:lvl w:ilvl="7" w:tplc="FDA8AA54">
      <w:numFmt w:val="decimal"/>
      <w:lvlText w:val=""/>
      <w:lvlJc w:val="left"/>
    </w:lvl>
    <w:lvl w:ilvl="8" w:tplc="E24ABF9C">
      <w:numFmt w:val="decimal"/>
      <w:lvlText w:val=""/>
      <w:lvlJc w:val="left"/>
    </w:lvl>
  </w:abstractNum>
  <w:abstractNum w:abstractNumId="2" w15:restartNumberingAfterBreak="0">
    <w:nsid w:val="FFFFFF81"/>
    <w:multiLevelType w:val="hybridMultilevel"/>
    <w:tmpl w:val="B77C9CB0"/>
    <w:lvl w:ilvl="0" w:tplc="69B8500A">
      <w:start w:val="1"/>
      <w:numFmt w:val="bullet"/>
      <w:pStyle w:val="ListNumber4"/>
      <w:lvlText w:val=""/>
      <w:lvlJc w:val="left"/>
      <w:pPr>
        <w:tabs>
          <w:tab w:val="num" w:pos="1209"/>
        </w:tabs>
        <w:ind w:left="1209" w:hanging="360"/>
      </w:pPr>
      <w:rPr>
        <w:rFonts w:ascii="Symbol" w:hAnsi="Symbol" w:hint="default"/>
      </w:rPr>
    </w:lvl>
    <w:lvl w:ilvl="1" w:tplc="F53CAD7E">
      <w:numFmt w:val="decimal"/>
      <w:lvlText w:val=""/>
      <w:lvlJc w:val="left"/>
    </w:lvl>
    <w:lvl w:ilvl="2" w:tplc="6B807E56">
      <w:numFmt w:val="decimal"/>
      <w:lvlText w:val=""/>
      <w:lvlJc w:val="left"/>
    </w:lvl>
    <w:lvl w:ilvl="3" w:tplc="0B006C90">
      <w:numFmt w:val="decimal"/>
      <w:lvlText w:val=""/>
      <w:lvlJc w:val="left"/>
    </w:lvl>
    <w:lvl w:ilvl="4" w:tplc="4036A854">
      <w:numFmt w:val="decimal"/>
      <w:lvlText w:val=""/>
      <w:lvlJc w:val="left"/>
    </w:lvl>
    <w:lvl w:ilvl="5" w:tplc="2912FB82">
      <w:numFmt w:val="decimal"/>
      <w:lvlText w:val=""/>
      <w:lvlJc w:val="left"/>
    </w:lvl>
    <w:lvl w:ilvl="6" w:tplc="45B8F7BE">
      <w:numFmt w:val="decimal"/>
      <w:lvlText w:val=""/>
      <w:lvlJc w:val="left"/>
    </w:lvl>
    <w:lvl w:ilvl="7" w:tplc="DB5264D4">
      <w:numFmt w:val="decimal"/>
      <w:lvlText w:val=""/>
      <w:lvlJc w:val="left"/>
    </w:lvl>
    <w:lvl w:ilvl="8" w:tplc="B76052D4">
      <w:numFmt w:val="decimal"/>
      <w:lvlText w:val=""/>
      <w:lvlJc w:val="left"/>
    </w:lvl>
  </w:abstractNum>
  <w:abstractNum w:abstractNumId="3" w15:restartNumberingAfterBreak="0">
    <w:nsid w:val="FFFFFF83"/>
    <w:multiLevelType w:val="multilevel"/>
    <w:tmpl w:val="2716FB9A"/>
    <w:lvl w:ilvl="0">
      <w:start w:val="1"/>
      <w:numFmt w:val="bullet"/>
      <w:pStyle w:val="ListBullet5"/>
      <w:lvlText w:val="–"/>
      <w:lvlJc w:val="left"/>
      <w:pPr>
        <w:ind w:left="360" w:hanging="360"/>
      </w:pPr>
      <w:rPr>
        <w:rFonts w:ascii="Feijoa Medium" w:hAnsi="Feijoa Medium"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multilevel"/>
    <w:tmpl w:val="87D43BCA"/>
    <w:lvl w:ilvl="0">
      <w:start w:val="1"/>
      <w:numFmt w:val="decimal"/>
      <w:pStyle w:val="ListBullet4"/>
      <w:lvlText w:val="%1."/>
      <w:lvlJc w:val="left"/>
      <w:pPr>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DF6F17"/>
    <w:multiLevelType w:val="hybridMultilevel"/>
    <w:tmpl w:val="0FE4FB66"/>
    <w:lvl w:ilvl="0" w:tplc="0A4420C6">
      <w:start w:val="1"/>
      <w:numFmt w:val="bullet"/>
      <w:lvlText w:val=""/>
      <w:lvlJc w:val="left"/>
      <w:pPr>
        <w:ind w:left="720" w:hanging="360"/>
      </w:pPr>
      <w:rPr>
        <w:rFonts w:ascii="Symbol" w:hAnsi="Symbol" w:hint="default"/>
      </w:rPr>
    </w:lvl>
    <w:lvl w:ilvl="1" w:tplc="B8D66E94">
      <w:start w:val="1"/>
      <w:numFmt w:val="bullet"/>
      <w:lvlText w:val="o"/>
      <w:lvlJc w:val="left"/>
      <w:pPr>
        <w:ind w:left="1440" w:hanging="360"/>
      </w:pPr>
      <w:rPr>
        <w:rFonts w:ascii="Courier New" w:hAnsi="Courier New" w:hint="default"/>
      </w:rPr>
    </w:lvl>
    <w:lvl w:ilvl="2" w:tplc="88A0D03C">
      <w:start w:val="1"/>
      <w:numFmt w:val="bullet"/>
      <w:lvlText w:val=""/>
      <w:lvlJc w:val="left"/>
      <w:pPr>
        <w:ind w:left="2160" w:hanging="360"/>
      </w:pPr>
      <w:rPr>
        <w:rFonts w:ascii="Wingdings" w:hAnsi="Wingdings" w:hint="default"/>
      </w:rPr>
    </w:lvl>
    <w:lvl w:ilvl="3" w:tplc="422AAA4E">
      <w:start w:val="1"/>
      <w:numFmt w:val="bullet"/>
      <w:lvlText w:val=""/>
      <w:lvlJc w:val="left"/>
      <w:pPr>
        <w:ind w:left="2880" w:hanging="360"/>
      </w:pPr>
      <w:rPr>
        <w:rFonts w:ascii="Symbol" w:hAnsi="Symbol" w:hint="default"/>
      </w:rPr>
    </w:lvl>
    <w:lvl w:ilvl="4" w:tplc="00505054">
      <w:start w:val="1"/>
      <w:numFmt w:val="bullet"/>
      <w:lvlText w:val="o"/>
      <w:lvlJc w:val="left"/>
      <w:pPr>
        <w:ind w:left="3600" w:hanging="360"/>
      </w:pPr>
      <w:rPr>
        <w:rFonts w:ascii="Courier New" w:hAnsi="Courier New" w:hint="default"/>
      </w:rPr>
    </w:lvl>
    <w:lvl w:ilvl="5" w:tplc="1CC8A9B0">
      <w:start w:val="1"/>
      <w:numFmt w:val="bullet"/>
      <w:lvlText w:val=""/>
      <w:lvlJc w:val="left"/>
      <w:pPr>
        <w:ind w:left="4320" w:hanging="360"/>
      </w:pPr>
      <w:rPr>
        <w:rFonts w:ascii="Wingdings" w:hAnsi="Wingdings" w:hint="default"/>
      </w:rPr>
    </w:lvl>
    <w:lvl w:ilvl="6" w:tplc="418884C8">
      <w:start w:val="1"/>
      <w:numFmt w:val="bullet"/>
      <w:lvlText w:val=""/>
      <w:lvlJc w:val="left"/>
      <w:pPr>
        <w:ind w:left="5040" w:hanging="360"/>
      </w:pPr>
      <w:rPr>
        <w:rFonts w:ascii="Symbol" w:hAnsi="Symbol" w:hint="default"/>
      </w:rPr>
    </w:lvl>
    <w:lvl w:ilvl="7" w:tplc="4B22BBB0">
      <w:start w:val="1"/>
      <w:numFmt w:val="bullet"/>
      <w:lvlText w:val="o"/>
      <w:lvlJc w:val="left"/>
      <w:pPr>
        <w:ind w:left="5760" w:hanging="360"/>
      </w:pPr>
      <w:rPr>
        <w:rFonts w:ascii="Courier New" w:hAnsi="Courier New" w:hint="default"/>
      </w:rPr>
    </w:lvl>
    <w:lvl w:ilvl="8" w:tplc="BEE02382">
      <w:start w:val="1"/>
      <w:numFmt w:val="bullet"/>
      <w:lvlText w:val=""/>
      <w:lvlJc w:val="left"/>
      <w:pPr>
        <w:ind w:left="6480" w:hanging="360"/>
      </w:pPr>
      <w:rPr>
        <w:rFonts w:ascii="Wingdings" w:hAnsi="Wingdings" w:hint="default"/>
      </w:rPr>
    </w:lvl>
  </w:abstractNum>
  <w:abstractNum w:abstractNumId="6" w15:restartNumberingAfterBreak="0">
    <w:nsid w:val="2086735F"/>
    <w:multiLevelType w:val="hybridMultilevel"/>
    <w:tmpl w:val="F1420D32"/>
    <w:styleLink w:val="TableBullets"/>
    <w:lvl w:ilvl="0" w:tplc="D79625B6">
      <w:start w:val="1"/>
      <w:numFmt w:val="bullet"/>
      <w:pStyle w:val="TableBullet"/>
      <w:lvlText w:val=""/>
      <w:lvlJc w:val="left"/>
      <w:pPr>
        <w:tabs>
          <w:tab w:val="num" w:pos="170"/>
        </w:tabs>
        <w:ind w:left="170" w:hanging="170"/>
      </w:pPr>
      <w:rPr>
        <w:rFonts w:ascii="Symbol" w:hAnsi="Symbol" w:hint="default"/>
      </w:rPr>
    </w:lvl>
    <w:lvl w:ilvl="1" w:tplc="1E586E5E">
      <w:start w:val="1"/>
      <w:numFmt w:val="bullet"/>
      <w:lvlText w:val="o"/>
      <w:lvlJc w:val="left"/>
      <w:pPr>
        <w:ind w:left="1440" w:hanging="360"/>
      </w:pPr>
      <w:rPr>
        <w:rFonts w:ascii="Courier New" w:hAnsi="Courier New" w:hint="default"/>
      </w:rPr>
    </w:lvl>
    <w:lvl w:ilvl="2" w:tplc="A4A6162E">
      <w:start w:val="1"/>
      <w:numFmt w:val="bullet"/>
      <w:lvlText w:val=""/>
      <w:lvlJc w:val="left"/>
      <w:pPr>
        <w:ind w:left="2160" w:hanging="360"/>
      </w:pPr>
      <w:rPr>
        <w:rFonts w:ascii="Wingdings" w:hAnsi="Wingdings" w:hint="default"/>
      </w:rPr>
    </w:lvl>
    <w:lvl w:ilvl="3" w:tplc="414674C2">
      <w:start w:val="1"/>
      <w:numFmt w:val="bullet"/>
      <w:lvlText w:val=""/>
      <w:lvlJc w:val="left"/>
      <w:pPr>
        <w:ind w:left="2880" w:hanging="360"/>
      </w:pPr>
      <w:rPr>
        <w:rFonts w:ascii="Symbol" w:hAnsi="Symbol" w:hint="default"/>
      </w:rPr>
    </w:lvl>
    <w:lvl w:ilvl="4" w:tplc="AF2CC4C4">
      <w:start w:val="1"/>
      <w:numFmt w:val="bullet"/>
      <w:lvlText w:val="o"/>
      <w:lvlJc w:val="left"/>
      <w:pPr>
        <w:ind w:left="3600" w:hanging="360"/>
      </w:pPr>
      <w:rPr>
        <w:rFonts w:ascii="Courier New" w:hAnsi="Courier New" w:hint="default"/>
      </w:rPr>
    </w:lvl>
    <w:lvl w:ilvl="5" w:tplc="4E82555A">
      <w:start w:val="1"/>
      <w:numFmt w:val="bullet"/>
      <w:lvlText w:val=""/>
      <w:lvlJc w:val="left"/>
      <w:pPr>
        <w:ind w:left="4320" w:hanging="360"/>
      </w:pPr>
      <w:rPr>
        <w:rFonts w:ascii="Wingdings" w:hAnsi="Wingdings" w:hint="default"/>
      </w:rPr>
    </w:lvl>
    <w:lvl w:ilvl="6" w:tplc="EB0E0ED2">
      <w:start w:val="1"/>
      <w:numFmt w:val="bullet"/>
      <w:lvlText w:val=""/>
      <w:lvlJc w:val="left"/>
      <w:pPr>
        <w:ind w:left="5040" w:hanging="360"/>
      </w:pPr>
      <w:rPr>
        <w:rFonts w:ascii="Symbol" w:hAnsi="Symbol" w:hint="default"/>
      </w:rPr>
    </w:lvl>
    <w:lvl w:ilvl="7" w:tplc="14BCE72C">
      <w:start w:val="1"/>
      <w:numFmt w:val="bullet"/>
      <w:lvlText w:val="o"/>
      <w:lvlJc w:val="left"/>
      <w:pPr>
        <w:ind w:left="5760" w:hanging="360"/>
      </w:pPr>
      <w:rPr>
        <w:rFonts w:ascii="Courier New" w:hAnsi="Courier New" w:hint="default"/>
      </w:rPr>
    </w:lvl>
    <w:lvl w:ilvl="8" w:tplc="07546AD6">
      <w:start w:val="1"/>
      <w:numFmt w:val="bullet"/>
      <w:lvlText w:val=""/>
      <w:lvlJc w:val="left"/>
      <w:pPr>
        <w:ind w:left="6480" w:hanging="360"/>
      </w:pPr>
      <w:rPr>
        <w:rFonts w:ascii="Wingdings" w:hAnsi="Wingdings" w:hint="default"/>
      </w:rPr>
    </w:lvl>
  </w:abstractNum>
  <w:abstractNum w:abstractNumId="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59444BE6"/>
    <w:multiLevelType w:val="multilevel"/>
    <w:tmpl w:val="C346FA3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4" w15:restartNumberingAfterBreak="0">
    <w:nsid w:val="5ADF6682"/>
    <w:multiLevelType w:val="hybridMultilevel"/>
    <w:tmpl w:val="A942D3B2"/>
    <w:lvl w:ilvl="0" w:tplc="0D46B182">
      <w:start w:val="1"/>
      <w:numFmt w:val="bullet"/>
      <w:lvlText w:val="·"/>
      <w:lvlJc w:val="left"/>
      <w:pPr>
        <w:ind w:left="720" w:hanging="360"/>
      </w:pPr>
      <w:rPr>
        <w:rFonts w:ascii="Symbol" w:hAnsi="Symbol" w:hint="default"/>
      </w:rPr>
    </w:lvl>
    <w:lvl w:ilvl="1" w:tplc="71F05CC6">
      <w:start w:val="1"/>
      <w:numFmt w:val="bullet"/>
      <w:lvlText w:val="o"/>
      <w:lvlJc w:val="left"/>
      <w:pPr>
        <w:ind w:left="1440" w:hanging="360"/>
      </w:pPr>
      <w:rPr>
        <w:rFonts w:ascii="Courier New" w:hAnsi="Courier New" w:hint="default"/>
      </w:rPr>
    </w:lvl>
    <w:lvl w:ilvl="2" w:tplc="6F466BEC">
      <w:start w:val="1"/>
      <w:numFmt w:val="bullet"/>
      <w:lvlText w:val=""/>
      <w:lvlJc w:val="left"/>
      <w:pPr>
        <w:ind w:left="2160" w:hanging="360"/>
      </w:pPr>
      <w:rPr>
        <w:rFonts w:ascii="Wingdings" w:hAnsi="Wingdings" w:hint="default"/>
      </w:rPr>
    </w:lvl>
    <w:lvl w:ilvl="3" w:tplc="B3CE6398">
      <w:start w:val="1"/>
      <w:numFmt w:val="bullet"/>
      <w:lvlText w:val=""/>
      <w:lvlJc w:val="left"/>
      <w:pPr>
        <w:ind w:left="2880" w:hanging="360"/>
      </w:pPr>
      <w:rPr>
        <w:rFonts w:ascii="Symbol" w:hAnsi="Symbol" w:hint="default"/>
      </w:rPr>
    </w:lvl>
    <w:lvl w:ilvl="4" w:tplc="40F2E4FA">
      <w:start w:val="1"/>
      <w:numFmt w:val="bullet"/>
      <w:lvlText w:val="o"/>
      <w:lvlJc w:val="left"/>
      <w:pPr>
        <w:ind w:left="3600" w:hanging="360"/>
      </w:pPr>
      <w:rPr>
        <w:rFonts w:ascii="Courier New" w:hAnsi="Courier New" w:hint="default"/>
      </w:rPr>
    </w:lvl>
    <w:lvl w:ilvl="5" w:tplc="DDB0543E">
      <w:start w:val="1"/>
      <w:numFmt w:val="bullet"/>
      <w:lvlText w:val=""/>
      <w:lvlJc w:val="left"/>
      <w:pPr>
        <w:ind w:left="4320" w:hanging="360"/>
      </w:pPr>
      <w:rPr>
        <w:rFonts w:ascii="Wingdings" w:hAnsi="Wingdings" w:hint="default"/>
      </w:rPr>
    </w:lvl>
    <w:lvl w:ilvl="6" w:tplc="2200BBDE">
      <w:start w:val="1"/>
      <w:numFmt w:val="bullet"/>
      <w:lvlText w:val=""/>
      <w:lvlJc w:val="left"/>
      <w:pPr>
        <w:ind w:left="5040" w:hanging="360"/>
      </w:pPr>
      <w:rPr>
        <w:rFonts w:ascii="Symbol" w:hAnsi="Symbol" w:hint="default"/>
      </w:rPr>
    </w:lvl>
    <w:lvl w:ilvl="7" w:tplc="D4100538">
      <w:start w:val="1"/>
      <w:numFmt w:val="bullet"/>
      <w:lvlText w:val="o"/>
      <w:lvlJc w:val="left"/>
      <w:pPr>
        <w:ind w:left="5760" w:hanging="360"/>
      </w:pPr>
      <w:rPr>
        <w:rFonts w:ascii="Courier New" w:hAnsi="Courier New" w:hint="default"/>
      </w:rPr>
    </w:lvl>
    <w:lvl w:ilvl="8" w:tplc="7DD4B7F6">
      <w:start w:val="1"/>
      <w:numFmt w:val="bullet"/>
      <w:lvlText w:val=""/>
      <w:lvlJc w:val="left"/>
      <w:pPr>
        <w:ind w:left="6480" w:hanging="360"/>
      </w:pPr>
      <w:rPr>
        <w:rFonts w:ascii="Wingdings" w:hAnsi="Wingdings" w:hint="default"/>
      </w:rPr>
    </w:lvl>
  </w:abstractNum>
  <w:abstractNum w:abstractNumId="1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4C27FB"/>
    <w:multiLevelType w:val="multilevel"/>
    <w:tmpl w:val="377844FC"/>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66063429"/>
    <w:multiLevelType w:val="multilevel"/>
    <w:tmpl w:val="C63C739E"/>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6ABA2977"/>
    <w:multiLevelType w:val="hybridMultilevel"/>
    <w:tmpl w:val="DE88B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5"/>
  </w:num>
  <w:num w:numId="2">
    <w:abstractNumId w:val="14"/>
  </w:num>
  <w:num w:numId="3">
    <w:abstractNumId w:val="4"/>
  </w:num>
  <w:num w:numId="4">
    <w:abstractNumId w:val="3"/>
  </w:num>
  <w:num w:numId="5">
    <w:abstractNumId w:val="2"/>
  </w:num>
  <w:num w:numId="6">
    <w:abstractNumId w:val="1"/>
  </w:num>
  <w:num w:numId="7">
    <w:abstractNumId w:val="11"/>
  </w:num>
  <w:num w:numId="8">
    <w:abstractNumId w:val="7"/>
  </w:num>
  <w:num w:numId="9">
    <w:abstractNumId w:val="6"/>
  </w:num>
  <w:num w:numId="10">
    <w:abstractNumId w:val="13"/>
  </w:num>
  <w:num w:numId="11">
    <w:abstractNumId w:val="9"/>
  </w:num>
  <w:num w:numId="12">
    <w:abstractNumId w:val="8"/>
  </w:num>
  <w:num w:numId="13">
    <w:abstractNumId w:val="16"/>
  </w:num>
  <w:num w:numId="14">
    <w:abstractNumId w:val="0"/>
  </w:num>
  <w:num w:numId="15">
    <w:abstractNumId w:val="12"/>
  </w:num>
  <w:num w:numId="16">
    <w:abstractNumId w:val="17"/>
  </w:num>
  <w:num w:numId="17">
    <w:abstractNumId w:val="19"/>
  </w:num>
  <w:num w:numId="18">
    <w:abstractNumId w:val="15"/>
  </w:num>
  <w:num w:numId="19">
    <w:abstractNumId w:val="10"/>
  </w:num>
  <w:num w:numId="20">
    <w:abstractNumId w:val="18"/>
  </w:num>
  <w:num w:numId="21">
    <w:abstractNumId w:val="12"/>
  </w:num>
  <w:num w:numId="2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4097" style="mso-position-vertical-relative:page;v-text-anchor:bottom" fill="f" fillcolor="white" stroke="f">
      <v:fill color="white" on="f"/>
      <v:stroke on="f"/>
      <v:textbox inset="0,0,0,0"/>
      <o:colormru v:ext="edit" colors="#ddd,#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324496"/>
    <w:rsid w:val="00000EEA"/>
    <w:rsid w:val="00001864"/>
    <w:rsid w:val="00002AA7"/>
    <w:rsid w:val="000031E1"/>
    <w:rsid w:val="00003970"/>
    <w:rsid w:val="000064E0"/>
    <w:rsid w:val="00011FC6"/>
    <w:rsid w:val="000124A3"/>
    <w:rsid w:val="000126EB"/>
    <w:rsid w:val="00015E82"/>
    <w:rsid w:val="0001775B"/>
    <w:rsid w:val="00017CCE"/>
    <w:rsid w:val="00021B30"/>
    <w:rsid w:val="00022CFC"/>
    <w:rsid w:val="00024F6E"/>
    <w:rsid w:val="00025FD5"/>
    <w:rsid w:val="0002686D"/>
    <w:rsid w:val="000312EA"/>
    <w:rsid w:val="000316D4"/>
    <w:rsid w:val="0003217B"/>
    <w:rsid w:val="00032C10"/>
    <w:rsid w:val="000331D4"/>
    <w:rsid w:val="00042A1A"/>
    <w:rsid w:val="00043876"/>
    <w:rsid w:val="00043ABF"/>
    <w:rsid w:val="000443E1"/>
    <w:rsid w:val="00046533"/>
    <w:rsid w:val="0005048B"/>
    <w:rsid w:val="00051219"/>
    <w:rsid w:val="00051456"/>
    <w:rsid w:val="0005226F"/>
    <w:rsid w:val="0005371F"/>
    <w:rsid w:val="00053E83"/>
    <w:rsid w:val="00056FD0"/>
    <w:rsid w:val="00064612"/>
    <w:rsid w:val="000667A4"/>
    <w:rsid w:val="00067B0B"/>
    <w:rsid w:val="00070B52"/>
    <w:rsid w:val="00074DFE"/>
    <w:rsid w:val="00074F6E"/>
    <w:rsid w:val="00075774"/>
    <w:rsid w:val="00075B0B"/>
    <w:rsid w:val="000815C2"/>
    <w:rsid w:val="0008281F"/>
    <w:rsid w:val="00083CBE"/>
    <w:rsid w:val="00083FBD"/>
    <w:rsid w:val="00085CB1"/>
    <w:rsid w:val="00085DC0"/>
    <w:rsid w:val="00086E45"/>
    <w:rsid w:val="00087ADA"/>
    <w:rsid w:val="00092B81"/>
    <w:rsid w:val="00094647"/>
    <w:rsid w:val="000979AD"/>
    <w:rsid w:val="000A3713"/>
    <w:rsid w:val="000A6F40"/>
    <w:rsid w:val="000B0A3D"/>
    <w:rsid w:val="000B1470"/>
    <w:rsid w:val="000B3486"/>
    <w:rsid w:val="000B7681"/>
    <w:rsid w:val="000C02C0"/>
    <w:rsid w:val="000C05F1"/>
    <w:rsid w:val="000C0940"/>
    <w:rsid w:val="000C0E41"/>
    <w:rsid w:val="000C0F2A"/>
    <w:rsid w:val="000C2775"/>
    <w:rsid w:val="000C4051"/>
    <w:rsid w:val="000C4F52"/>
    <w:rsid w:val="000C5523"/>
    <w:rsid w:val="000C61C0"/>
    <w:rsid w:val="000C7D15"/>
    <w:rsid w:val="000D0298"/>
    <w:rsid w:val="000D19DE"/>
    <w:rsid w:val="000D436B"/>
    <w:rsid w:val="000D6B9E"/>
    <w:rsid w:val="000D6D2F"/>
    <w:rsid w:val="000E1C75"/>
    <w:rsid w:val="000E1CF3"/>
    <w:rsid w:val="000E2422"/>
    <w:rsid w:val="000E52A5"/>
    <w:rsid w:val="000E599F"/>
    <w:rsid w:val="000E624F"/>
    <w:rsid w:val="000F1EC3"/>
    <w:rsid w:val="000F1FE4"/>
    <w:rsid w:val="000F2B0A"/>
    <w:rsid w:val="000F2E76"/>
    <w:rsid w:val="00101A2A"/>
    <w:rsid w:val="00104FBD"/>
    <w:rsid w:val="001067F0"/>
    <w:rsid w:val="001068F9"/>
    <w:rsid w:val="001100D4"/>
    <w:rsid w:val="001107AF"/>
    <w:rsid w:val="00111E28"/>
    <w:rsid w:val="0011346D"/>
    <w:rsid w:val="0011470B"/>
    <w:rsid w:val="00114B30"/>
    <w:rsid w:val="00116C3E"/>
    <w:rsid w:val="00117E59"/>
    <w:rsid w:val="001209E8"/>
    <w:rsid w:val="0012201E"/>
    <w:rsid w:val="00123492"/>
    <w:rsid w:val="00123BCC"/>
    <w:rsid w:val="00123FD7"/>
    <w:rsid w:val="001249CC"/>
    <w:rsid w:val="00127D6D"/>
    <w:rsid w:val="0013089B"/>
    <w:rsid w:val="00132F76"/>
    <w:rsid w:val="0013384F"/>
    <w:rsid w:val="00134FC3"/>
    <w:rsid w:val="001362D8"/>
    <w:rsid w:val="00136B7F"/>
    <w:rsid w:val="00141D5A"/>
    <w:rsid w:val="00142838"/>
    <w:rsid w:val="00142FFB"/>
    <w:rsid w:val="00150C1F"/>
    <w:rsid w:val="00154168"/>
    <w:rsid w:val="0015458A"/>
    <w:rsid w:val="0015605C"/>
    <w:rsid w:val="00157AAE"/>
    <w:rsid w:val="00160B14"/>
    <w:rsid w:val="00161BB6"/>
    <w:rsid w:val="0016247B"/>
    <w:rsid w:val="00166EF2"/>
    <w:rsid w:val="001708B3"/>
    <w:rsid w:val="001736F2"/>
    <w:rsid w:val="00173C4D"/>
    <w:rsid w:val="00174A49"/>
    <w:rsid w:val="00175388"/>
    <w:rsid w:val="00177270"/>
    <w:rsid w:val="001772D6"/>
    <w:rsid w:val="0017758B"/>
    <w:rsid w:val="00190425"/>
    <w:rsid w:val="00190E0B"/>
    <w:rsid w:val="00191172"/>
    <w:rsid w:val="00192E59"/>
    <w:rsid w:val="00193162"/>
    <w:rsid w:val="00194542"/>
    <w:rsid w:val="00195301"/>
    <w:rsid w:val="00196146"/>
    <w:rsid w:val="00197EB8"/>
    <w:rsid w:val="001A1020"/>
    <w:rsid w:val="001A3122"/>
    <w:rsid w:val="001A7ABD"/>
    <w:rsid w:val="001B00A0"/>
    <w:rsid w:val="001B23ED"/>
    <w:rsid w:val="001B34DE"/>
    <w:rsid w:val="001B59D8"/>
    <w:rsid w:val="001B6CB5"/>
    <w:rsid w:val="001B79DA"/>
    <w:rsid w:val="001B7BF3"/>
    <w:rsid w:val="001C07F5"/>
    <w:rsid w:val="001C3137"/>
    <w:rsid w:val="001C540A"/>
    <w:rsid w:val="001C5CA5"/>
    <w:rsid w:val="001C6336"/>
    <w:rsid w:val="001C663B"/>
    <w:rsid w:val="001D1412"/>
    <w:rsid w:val="001D36DC"/>
    <w:rsid w:val="001D4D59"/>
    <w:rsid w:val="001D713C"/>
    <w:rsid w:val="001E2D97"/>
    <w:rsid w:val="001E30E8"/>
    <w:rsid w:val="001E4C59"/>
    <w:rsid w:val="001E531C"/>
    <w:rsid w:val="001F1695"/>
    <w:rsid w:val="001F6475"/>
    <w:rsid w:val="0020034E"/>
    <w:rsid w:val="00201C06"/>
    <w:rsid w:val="00207117"/>
    <w:rsid w:val="00207F97"/>
    <w:rsid w:val="002101A4"/>
    <w:rsid w:val="002109F9"/>
    <w:rsid w:val="002137D2"/>
    <w:rsid w:val="00214440"/>
    <w:rsid w:val="00214810"/>
    <w:rsid w:val="00215132"/>
    <w:rsid w:val="002154A2"/>
    <w:rsid w:val="002156C8"/>
    <w:rsid w:val="00221A8F"/>
    <w:rsid w:val="00221D5A"/>
    <w:rsid w:val="0022431B"/>
    <w:rsid w:val="002254A0"/>
    <w:rsid w:val="002256CA"/>
    <w:rsid w:val="002274F9"/>
    <w:rsid w:val="00227881"/>
    <w:rsid w:val="00232B56"/>
    <w:rsid w:val="002376E7"/>
    <w:rsid w:val="002418DA"/>
    <w:rsid w:val="00241BAC"/>
    <w:rsid w:val="002421F2"/>
    <w:rsid w:val="00243ECB"/>
    <w:rsid w:val="0024666C"/>
    <w:rsid w:val="0024BF1D"/>
    <w:rsid w:val="002503B0"/>
    <w:rsid w:val="00251361"/>
    <w:rsid w:val="0025177C"/>
    <w:rsid w:val="00251DDE"/>
    <w:rsid w:val="00252CBB"/>
    <w:rsid w:val="00253A1A"/>
    <w:rsid w:val="002579B2"/>
    <w:rsid w:val="00260CC9"/>
    <w:rsid w:val="00263A58"/>
    <w:rsid w:val="002654CC"/>
    <w:rsid w:val="00266AE4"/>
    <w:rsid w:val="00266BBA"/>
    <w:rsid w:val="00267364"/>
    <w:rsid w:val="0026739B"/>
    <w:rsid w:val="00273A31"/>
    <w:rsid w:val="00274483"/>
    <w:rsid w:val="00274DF1"/>
    <w:rsid w:val="00274FEA"/>
    <w:rsid w:val="00276E3E"/>
    <w:rsid w:val="00277240"/>
    <w:rsid w:val="00277610"/>
    <w:rsid w:val="00277A23"/>
    <w:rsid w:val="002808C3"/>
    <w:rsid w:val="00280E4B"/>
    <w:rsid w:val="0028209C"/>
    <w:rsid w:val="00283CBE"/>
    <w:rsid w:val="002852DB"/>
    <w:rsid w:val="00285F27"/>
    <w:rsid w:val="00285F7F"/>
    <w:rsid w:val="00287FBB"/>
    <w:rsid w:val="0029026E"/>
    <w:rsid w:val="0029181D"/>
    <w:rsid w:val="0029371B"/>
    <w:rsid w:val="00293EB0"/>
    <w:rsid w:val="00295D01"/>
    <w:rsid w:val="002A13BB"/>
    <w:rsid w:val="002A47DB"/>
    <w:rsid w:val="002A5A18"/>
    <w:rsid w:val="002A5D8F"/>
    <w:rsid w:val="002A658F"/>
    <w:rsid w:val="002B15B7"/>
    <w:rsid w:val="002B3E6E"/>
    <w:rsid w:val="002B4524"/>
    <w:rsid w:val="002B4CDF"/>
    <w:rsid w:val="002B61DF"/>
    <w:rsid w:val="002C11FB"/>
    <w:rsid w:val="002C4E27"/>
    <w:rsid w:val="002C54A6"/>
    <w:rsid w:val="002D19CD"/>
    <w:rsid w:val="002D5CE7"/>
    <w:rsid w:val="002D688F"/>
    <w:rsid w:val="002E00BA"/>
    <w:rsid w:val="002E0C1E"/>
    <w:rsid w:val="002E11E5"/>
    <w:rsid w:val="002E3B33"/>
    <w:rsid w:val="002E3BB0"/>
    <w:rsid w:val="002E6619"/>
    <w:rsid w:val="002E7AB1"/>
    <w:rsid w:val="002E7DC9"/>
    <w:rsid w:val="002F0071"/>
    <w:rsid w:val="002F06CC"/>
    <w:rsid w:val="002F5550"/>
    <w:rsid w:val="002F6563"/>
    <w:rsid w:val="002F6753"/>
    <w:rsid w:val="002F74E6"/>
    <w:rsid w:val="002F7A19"/>
    <w:rsid w:val="00301C5C"/>
    <w:rsid w:val="003036A2"/>
    <w:rsid w:val="003053C7"/>
    <w:rsid w:val="003059EB"/>
    <w:rsid w:val="00306A4B"/>
    <w:rsid w:val="00307B3C"/>
    <w:rsid w:val="00310421"/>
    <w:rsid w:val="00310725"/>
    <w:rsid w:val="003139EB"/>
    <w:rsid w:val="00313CAE"/>
    <w:rsid w:val="00314055"/>
    <w:rsid w:val="0031605A"/>
    <w:rsid w:val="00320351"/>
    <w:rsid w:val="00322BA1"/>
    <w:rsid w:val="00324496"/>
    <w:rsid w:val="0032796C"/>
    <w:rsid w:val="00331731"/>
    <w:rsid w:val="00333077"/>
    <w:rsid w:val="00333EED"/>
    <w:rsid w:val="0033551F"/>
    <w:rsid w:val="00340806"/>
    <w:rsid w:val="00341FFE"/>
    <w:rsid w:val="003425BE"/>
    <w:rsid w:val="003427BF"/>
    <w:rsid w:val="003447F3"/>
    <w:rsid w:val="00344FEE"/>
    <w:rsid w:val="003450A8"/>
    <w:rsid w:val="003457D9"/>
    <w:rsid w:val="003461B2"/>
    <w:rsid w:val="00352844"/>
    <w:rsid w:val="00352F25"/>
    <w:rsid w:val="00355B43"/>
    <w:rsid w:val="00357251"/>
    <w:rsid w:val="003579A8"/>
    <w:rsid w:val="00357F24"/>
    <w:rsid w:val="00361EE2"/>
    <w:rsid w:val="0036319D"/>
    <w:rsid w:val="00364D96"/>
    <w:rsid w:val="003660B5"/>
    <w:rsid w:val="003810DC"/>
    <w:rsid w:val="0038163B"/>
    <w:rsid w:val="00383ADF"/>
    <w:rsid w:val="00383DDB"/>
    <w:rsid w:val="0038407D"/>
    <w:rsid w:val="00387974"/>
    <w:rsid w:val="00390015"/>
    <w:rsid w:val="0039270B"/>
    <w:rsid w:val="00393CEC"/>
    <w:rsid w:val="0039500B"/>
    <w:rsid w:val="00395EF5"/>
    <w:rsid w:val="0039729E"/>
    <w:rsid w:val="003A2FF2"/>
    <w:rsid w:val="003A3052"/>
    <w:rsid w:val="003A3919"/>
    <w:rsid w:val="003A3FC1"/>
    <w:rsid w:val="003A476E"/>
    <w:rsid w:val="003A4780"/>
    <w:rsid w:val="003A4AF4"/>
    <w:rsid w:val="003A5B42"/>
    <w:rsid w:val="003A647C"/>
    <w:rsid w:val="003A710E"/>
    <w:rsid w:val="003B1238"/>
    <w:rsid w:val="003B4380"/>
    <w:rsid w:val="003B58A6"/>
    <w:rsid w:val="003C01A6"/>
    <w:rsid w:val="003C40B6"/>
    <w:rsid w:val="003C4598"/>
    <w:rsid w:val="003C4968"/>
    <w:rsid w:val="003C5B13"/>
    <w:rsid w:val="003C7B5D"/>
    <w:rsid w:val="003D26A3"/>
    <w:rsid w:val="003D62C9"/>
    <w:rsid w:val="003D641F"/>
    <w:rsid w:val="003D6565"/>
    <w:rsid w:val="003D778D"/>
    <w:rsid w:val="003E27E2"/>
    <w:rsid w:val="003E3972"/>
    <w:rsid w:val="003F061A"/>
    <w:rsid w:val="003F1806"/>
    <w:rsid w:val="003F1FBD"/>
    <w:rsid w:val="003F2B5E"/>
    <w:rsid w:val="003F5D80"/>
    <w:rsid w:val="003F6EAD"/>
    <w:rsid w:val="0040108B"/>
    <w:rsid w:val="00401C9F"/>
    <w:rsid w:val="004070AA"/>
    <w:rsid w:val="00410CB7"/>
    <w:rsid w:val="00411649"/>
    <w:rsid w:val="00411CF5"/>
    <w:rsid w:val="00411FA7"/>
    <w:rsid w:val="00412553"/>
    <w:rsid w:val="004134DD"/>
    <w:rsid w:val="0041517D"/>
    <w:rsid w:val="00416DF7"/>
    <w:rsid w:val="00420809"/>
    <w:rsid w:val="00420CC0"/>
    <w:rsid w:val="00424719"/>
    <w:rsid w:val="00425B20"/>
    <w:rsid w:val="0042628F"/>
    <w:rsid w:val="00426D4E"/>
    <w:rsid w:val="00426E97"/>
    <w:rsid w:val="00432D30"/>
    <w:rsid w:val="004362E3"/>
    <w:rsid w:val="00440CFE"/>
    <w:rsid w:val="00441D99"/>
    <w:rsid w:val="00444967"/>
    <w:rsid w:val="00444D4A"/>
    <w:rsid w:val="004459B1"/>
    <w:rsid w:val="00447699"/>
    <w:rsid w:val="00450B7D"/>
    <w:rsid w:val="00450C41"/>
    <w:rsid w:val="00455429"/>
    <w:rsid w:val="00455807"/>
    <w:rsid w:val="00456271"/>
    <w:rsid w:val="00456CA2"/>
    <w:rsid w:val="00457440"/>
    <w:rsid w:val="0046209B"/>
    <w:rsid w:val="00462182"/>
    <w:rsid w:val="004628BB"/>
    <w:rsid w:val="00463ED6"/>
    <w:rsid w:val="00466556"/>
    <w:rsid w:val="004666B7"/>
    <w:rsid w:val="00467438"/>
    <w:rsid w:val="00471094"/>
    <w:rsid w:val="004712A8"/>
    <w:rsid w:val="00471DED"/>
    <w:rsid w:val="00472F52"/>
    <w:rsid w:val="0047300A"/>
    <w:rsid w:val="00475BB5"/>
    <w:rsid w:val="00475EB7"/>
    <w:rsid w:val="004766E5"/>
    <w:rsid w:val="00480335"/>
    <w:rsid w:val="004826CF"/>
    <w:rsid w:val="00483F64"/>
    <w:rsid w:val="004849F7"/>
    <w:rsid w:val="004863D7"/>
    <w:rsid w:val="0048667A"/>
    <w:rsid w:val="0048768F"/>
    <w:rsid w:val="00487D3D"/>
    <w:rsid w:val="00491B05"/>
    <w:rsid w:val="00492547"/>
    <w:rsid w:val="00494587"/>
    <w:rsid w:val="00494743"/>
    <w:rsid w:val="004A067D"/>
    <w:rsid w:val="004A4028"/>
    <w:rsid w:val="004A575F"/>
    <w:rsid w:val="004A7FA7"/>
    <w:rsid w:val="004B1330"/>
    <w:rsid w:val="004B2DAA"/>
    <w:rsid w:val="004B5AC9"/>
    <w:rsid w:val="004C08B6"/>
    <w:rsid w:val="004C0D00"/>
    <w:rsid w:val="004C11CE"/>
    <w:rsid w:val="004C14AB"/>
    <w:rsid w:val="004C3462"/>
    <w:rsid w:val="004C4148"/>
    <w:rsid w:val="004C5772"/>
    <w:rsid w:val="004C68A5"/>
    <w:rsid w:val="004D0A90"/>
    <w:rsid w:val="004D139E"/>
    <w:rsid w:val="004D1CE2"/>
    <w:rsid w:val="004D3BF3"/>
    <w:rsid w:val="004D3DB4"/>
    <w:rsid w:val="004D44AC"/>
    <w:rsid w:val="004D506F"/>
    <w:rsid w:val="004D5ED7"/>
    <w:rsid w:val="004D7860"/>
    <w:rsid w:val="004E1262"/>
    <w:rsid w:val="004E3049"/>
    <w:rsid w:val="004E411B"/>
    <w:rsid w:val="004E5109"/>
    <w:rsid w:val="004E5C69"/>
    <w:rsid w:val="004E60D0"/>
    <w:rsid w:val="004F12A6"/>
    <w:rsid w:val="004F1565"/>
    <w:rsid w:val="004F1878"/>
    <w:rsid w:val="004F2304"/>
    <w:rsid w:val="004F26F8"/>
    <w:rsid w:val="004F287F"/>
    <w:rsid w:val="004F4CC9"/>
    <w:rsid w:val="004F62EB"/>
    <w:rsid w:val="004F75D8"/>
    <w:rsid w:val="005025FE"/>
    <w:rsid w:val="00504585"/>
    <w:rsid w:val="00506DDE"/>
    <w:rsid w:val="005136AD"/>
    <w:rsid w:val="005138BA"/>
    <w:rsid w:val="00513923"/>
    <w:rsid w:val="00516657"/>
    <w:rsid w:val="00516904"/>
    <w:rsid w:val="005173D3"/>
    <w:rsid w:val="00520CB5"/>
    <w:rsid w:val="005210CC"/>
    <w:rsid w:val="005211AF"/>
    <w:rsid w:val="005212CF"/>
    <w:rsid w:val="005213E2"/>
    <w:rsid w:val="005276C2"/>
    <w:rsid w:val="00530F16"/>
    <w:rsid w:val="005406F8"/>
    <w:rsid w:val="0054169B"/>
    <w:rsid w:val="005417D2"/>
    <w:rsid w:val="005422E4"/>
    <w:rsid w:val="00543721"/>
    <w:rsid w:val="00544161"/>
    <w:rsid w:val="0054436C"/>
    <w:rsid w:val="00545A44"/>
    <w:rsid w:val="00545CF8"/>
    <w:rsid w:val="00550E4D"/>
    <w:rsid w:val="00550F69"/>
    <w:rsid w:val="0055176F"/>
    <w:rsid w:val="005523C6"/>
    <w:rsid w:val="005535C1"/>
    <w:rsid w:val="005616AE"/>
    <w:rsid w:val="00561D29"/>
    <w:rsid w:val="00565996"/>
    <w:rsid w:val="00566BD3"/>
    <w:rsid w:val="00571AAC"/>
    <w:rsid w:val="00571ADF"/>
    <w:rsid w:val="00571CEA"/>
    <w:rsid w:val="00571F91"/>
    <w:rsid w:val="0057516A"/>
    <w:rsid w:val="00575E75"/>
    <w:rsid w:val="0057600C"/>
    <w:rsid w:val="00577F31"/>
    <w:rsid w:val="00581C8A"/>
    <w:rsid w:val="0058416C"/>
    <w:rsid w:val="005846A0"/>
    <w:rsid w:val="00585C0D"/>
    <w:rsid w:val="005871BD"/>
    <w:rsid w:val="005900A1"/>
    <w:rsid w:val="00590B01"/>
    <w:rsid w:val="00593BAC"/>
    <w:rsid w:val="0059434C"/>
    <w:rsid w:val="00595936"/>
    <w:rsid w:val="005A0224"/>
    <w:rsid w:val="005A0BA6"/>
    <w:rsid w:val="005A1201"/>
    <w:rsid w:val="005A15E8"/>
    <w:rsid w:val="005A32D4"/>
    <w:rsid w:val="005A35B2"/>
    <w:rsid w:val="005A3671"/>
    <w:rsid w:val="005A3F38"/>
    <w:rsid w:val="005A68C6"/>
    <w:rsid w:val="005A6C20"/>
    <w:rsid w:val="005A6F02"/>
    <w:rsid w:val="005B0BCB"/>
    <w:rsid w:val="005B170A"/>
    <w:rsid w:val="005B2B2E"/>
    <w:rsid w:val="005B42D3"/>
    <w:rsid w:val="005B753C"/>
    <w:rsid w:val="005B77B6"/>
    <w:rsid w:val="005C0C9A"/>
    <w:rsid w:val="005C0FAD"/>
    <w:rsid w:val="005C1B4B"/>
    <w:rsid w:val="005C2541"/>
    <w:rsid w:val="005C71E9"/>
    <w:rsid w:val="005D3D65"/>
    <w:rsid w:val="005D4A53"/>
    <w:rsid w:val="005D5D01"/>
    <w:rsid w:val="005D7318"/>
    <w:rsid w:val="005D7700"/>
    <w:rsid w:val="005E0CC6"/>
    <w:rsid w:val="005E20DB"/>
    <w:rsid w:val="005E5EEE"/>
    <w:rsid w:val="005E7012"/>
    <w:rsid w:val="005E7D55"/>
    <w:rsid w:val="005F0DA6"/>
    <w:rsid w:val="005F2CC9"/>
    <w:rsid w:val="005F32AD"/>
    <w:rsid w:val="005F41CD"/>
    <w:rsid w:val="005F573F"/>
    <w:rsid w:val="005F7C32"/>
    <w:rsid w:val="00601BED"/>
    <w:rsid w:val="006065A9"/>
    <w:rsid w:val="006075B1"/>
    <w:rsid w:val="00607651"/>
    <w:rsid w:val="006101EB"/>
    <w:rsid w:val="006103AF"/>
    <w:rsid w:val="00610C1D"/>
    <w:rsid w:val="006131D3"/>
    <w:rsid w:val="006137A9"/>
    <w:rsid w:val="00613805"/>
    <w:rsid w:val="00620751"/>
    <w:rsid w:val="00620AB1"/>
    <w:rsid w:val="00620C5C"/>
    <w:rsid w:val="00620FA5"/>
    <w:rsid w:val="00621C3C"/>
    <w:rsid w:val="00622516"/>
    <w:rsid w:val="00625BAE"/>
    <w:rsid w:val="00627195"/>
    <w:rsid w:val="00630E7C"/>
    <w:rsid w:val="0063561B"/>
    <w:rsid w:val="00635815"/>
    <w:rsid w:val="00636FAB"/>
    <w:rsid w:val="0064042D"/>
    <w:rsid w:val="00641AEC"/>
    <w:rsid w:val="0064420C"/>
    <w:rsid w:val="0064524B"/>
    <w:rsid w:val="006469A4"/>
    <w:rsid w:val="00650A8F"/>
    <w:rsid w:val="00651877"/>
    <w:rsid w:val="00655388"/>
    <w:rsid w:val="00655D42"/>
    <w:rsid w:val="00656199"/>
    <w:rsid w:val="006607FE"/>
    <w:rsid w:val="00664D3A"/>
    <w:rsid w:val="006669C2"/>
    <w:rsid w:val="00666B96"/>
    <w:rsid w:val="00667621"/>
    <w:rsid w:val="00671F37"/>
    <w:rsid w:val="006731C8"/>
    <w:rsid w:val="00675060"/>
    <w:rsid w:val="006759C2"/>
    <w:rsid w:val="0067631B"/>
    <w:rsid w:val="00676831"/>
    <w:rsid w:val="00677253"/>
    <w:rsid w:val="00677A9F"/>
    <w:rsid w:val="00681CA4"/>
    <w:rsid w:val="00682027"/>
    <w:rsid w:val="006839AA"/>
    <w:rsid w:val="00685B63"/>
    <w:rsid w:val="00686753"/>
    <w:rsid w:val="00690252"/>
    <w:rsid w:val="00694E1A"/>
    <w:rsid w:val="00695A1E"/>
    <w:rsid w:val="00696BE1"/>
    <w:rsid w:val="006A1BF5"/>
    <w:rsid w:val="006A25BB"/>
    <w:rsid w:val="006A4E81"/>
    <w:rsid w:val="006A5D0B"/>
    <w:rsid w:val="006B0D6E"/>
    <w:rsid w:val="006B10B6"/>
    <w:rsid w:val="006B1377"/>
    <w:rsid w:val="006B2726"/>
    <w:rsid w:val="006B393E"/>
    <w:rsid w:val="006B574E"/>
    <w:rsid w:val="006B57B2"/>
    <w:rsid w:val="006C0EDC"/>
    <w:rsid w:val="006C109B"/>
    <w:rsid w:val="006C180F"/>
    <w:rsid w:val="006C2F7A"/>
    <w:rsid w:val="006C3DCD"/>
    <w:rsid w:val="006C4214"/>
    <w:rsid w:val="006C5871"/>
    <w:rsid w:val="006C63D3"/>
    <w:rsid w:val="006D1B2D"/>
    <w:rsid w:val="006D1E80"/>
    <w:rsid w:val="006D2B9B"/>
    <w:rsid w:val="006D555F"/>
    <w:rsid w:val="006D7E28"/>
    <w:rsid w:val="006E17CD"/>
    <w:rsid w:val="006E23B6"/>
    <w:rsid w:val="006E25AB"/>
    <w:rsid w:val="006E3262"/>
    <w:rsid w:val="006E3A6D"/>
    <w:rsid w:val="006E4748"/>
    <w:rsid w:val="006E7746"/>
    <w:rsid w:val="006E7F70"/>
    <w:rsid w:val="006F34E3"/>
    <w:rsid w:val="006F416D"/>
    <w:rsid w:val="006F4826"/>
    <w:rsid w:val="006F4D0E"/>
    <w:rsid w:val="006F4FF8"/>
    <w:rsid w:val="006F5626"/>
    <w:rsid w:val="006F738D"/>
    <w:rsid w:val="00700738"/>
    <w:rsid w:val="00707997"/>
    <w:rsid w:val="0071029B"/>
    <w:rsid w:val="0071052E"/>
    <w:rsid w:val="00711762"/>
    <w:rsid w:val="007123C0"/>
    <w:rsid w:val="00714C1A"/>
    <w:rsid w:val="00716588"/>
    <w:rsid w:val="00721552"/>
    <w:rsid w:val="007229AD"/>
    <w:rsid w:val="00723B31"/>
    <w:rsid w:val="00726C83"/>
    <w:rsid w:val="00726E5E"/>
    <w:rsid w:val="00727D90"/>
    <w:rsid w:val="00731ED4"/>
    <w:rsid w:val="007327F4"/>
    <w:rsid w:val="007367A7"/>
    <w:rsid w:val="00736C13"/>
    <w:rsid w:val="00736E1E"/>
    <w:rsid w:val="00736F0E"/>
    <w:rsid w:val="00737F92"/>
    <w:rsid w:val="00744199"/>
    <w:rsid w:val="007445DB"/>
    <w:rsid w:val="0074569B"/>
    <w:rsid w:val="00746FE8"/>
    <w:rsid w:val="00747533"/>
    <w:rsid w:val="007509D4"/>
    <w:rsid w:val="007510E2"/>
    <w:rsid w:val="007513AA"/>
    <w:rsid w:val="00752314"/>
    <w:rsid w:val="00752473"/>
    <w:rsid w:val="00752903"/>
    <w:rsid w:val="007560C9"/>
    <w:rsid w:val="00757D44"/>
    <w:rsid w:val="007639B2"/>
    <w:rsid w:val="007648C6"/>
    <w:rsid w:val="00766BBE"/>
    <w:rsid w:val="00767521"/>
    <w:rsid w:val="007732C9"/>
    <w:rsid w:val="007738F3"/>
    <w:rsid w:val="00774793"/>
    <w:rsid w:val="00774CB6"/>
    <w:rsid w:val="00776A3D"/>
    <w:rsid w:val="00782488"/>
    <w:rsid w:val="00782521"/>
    <w:rsid w:val="0078551E"/>
    <w:rsid w:val="00785E49"/>
    <w:rsid w:val="007868C5"/>
    <w:rsid w:val="00786A8D"/>
    <w:rsid w:val="00786B17"/>
    <w:rsid w:val="00787338"/>
    <w:rsid w:val="00787C90"/>
    <w:rsid w:val="007903ED"/>
    <w:rsid w:val="007906EE"/>
    <w:rsid w:val="00790A1F"/>
    <w:rsid w:val="00793B7A"/>
    <w:rsid w:val="00793BDE"/>
    <w:rsid w:val="00793C15"/>
    <w:rsid w:val="00793DA2"/>
    <w:rsid w:val="007A01EB"/>
    <w:rsid w:val="007A3DFA"/>
    <w:rsid w:val="007B1345"/>
    <w:rsid w:val="007B13AE"/>
    <w:rsid w:val="007B2475"/>
    <w:rsid w:val="007B249F"/>
    <w:rsid w:val="007B2ECC"/>
    <w:rsid w:val="007B362B"/>
    <w:rsid w:val="007B71B0"/>
    <w:rsid w:val="007C1DF4"/>
    <w:rsid w:val="007C5394"/>
    <w:rsid w:val="007C6BB9"/>
    <w:rsid w:val="007C7016"/>
    <w:rsid w:val="007D0A80"/>
    <w:rsid w:val="007D1633"/>
    <w:rsid w:val="007D1B60"/>
    <w:rsid w:val="007D2E6D"/>
    <w:rsid w:val="007D39AD"/>
    <w:rsid w:val="007D5501"/>
    <w:rsid w:val="007D7F23"/>
    <w:rsid w:val="007E03CA"/>
    <w:rsid w:val="007E073D"/>
    <w:rsid w:val="007E260F"/>
    <w:rsid w:val="007E35CB"/>
    <w:rsid w:val="007E4B05"/>
    <w:rsid w:val="007F16A8"/>
    <w:rsid w:val="007F226D"/>
    <w:rsid w:val="007F355F"/>
    <w:rsid w:val="007F6149"/>
    <w:rsid w:val="007F618C"/>
    <w:rsid w:val="007F688D"/>
    <w:rsid w:val="00802325"/>
    <w:rsid w:val="008052A5"/>
    <w:rsid w:val="008052C8"/>
    <w:rsid w:val="00806F44"/>
    <w:rsid w:val="00807954"/>
    <w:rsid w:val="00812E7D"/>
    <w:rsid w:val="00815144"/>
    <w:rsid w:val="00815DBC"/>
    <w:rsid w:val="00816F1C"/>
    <w:rsid w:val="008175AA"/>
    <w:rsid w:val="008223E7"/>
    <w:rsid w:val="00826D20"/>
    <w:rsid w:val="00833678"/>
    <w:rsid w:val="00835A91"/>
    <w:rsid w:val="00840460"/>
    <w:rsid w:val="008408C1"/>
    <w:rsid w:val="00840B15"/>
    <w:rsid w:val="008413D6"/>
    <w:rsid w:val="00843A62"/>
    <w:rsid w:val="00844B0F"/>
    <w:rsid w:val="0084763A"/>
    <w:rsid w:val="008503AA"/>
    <w:rsid w:val="00851BEB"/>
    <w:rsid w:val="0085234E"/>
    <w:rsid w:val="00854E3D"/>
    <w:rsid w:val="008552CA"/>
    <w:rsid w:val="00856E94"/>
    <w:rsid w:val="00857E65"/>
    <w:rsid w:val="008601C5"/>
    <w:rsid w:val="008631BE"/>
    <w:rsid w:val="00863F9A"/>
    <w:rsid w:val="00864126"/>
    <w:rsid w:val="008648A5"/>
    <w:rsid w:val="00865F66"/>
    <w:rsid w:val="00867518"/>
    <w:rsid w:val="008704E4"/>
    <w:rsid w:val="00870542"/>
    <w:rsid w:val="00876062"/>
    <w:rsid w:val="00880650"/>
    <w:rsid w:val="00880DE8"/>
    <w:rsid w:val="0088121C"/>
    <w:rsid w:val="00883E43"/>
    <w:rsid w:val="00887AD9"/>
    <w:rsid w:val="00890BD7"/>
    <w:rsid w:val="00891A6E"/>
    <w:rsid w:val="008937AA"/>
    <w:rsid w:val="008941B7"/>
    <w:rsid w:val="008951FB"/>
    <w:rsid w:val="0089609E"/>
    <w:rsid w:val="008968EB"/>
    <w:rsid w:val="00897689"/>
    <w:rsid w:val="00897FEE"/>
    <w:rsid w:val="008A1E20"/>
    <w:rsid w:val="008A2056"/>
    <w:rsid w:val="008A3A56"/>
    <w:rsid w:val="008A405E"/>
    <w:rsid w:val="008A4DD1"/>
    <w:rsid w:val="008A51A2"/>
    <w:rsid w:val="008A51C6"/>
    <w:rsid w:val="008A51D2"/>
    <w:rsid w:val="008B2EB2"/>
    <w:rsid w:val="008B408B"/>
    <w:rsid w:val="008B55B4"/>
    <w:rsid w:val="008B7AF1"/>
    <w:rsid w:val="008C1066"/>
    <w:rsid w:val="008C30C7"/>
    <w:rsid w:val="008C30FF"/>
    <w:rsid w:val="008C3EB9"/>
    <w:rsid w:val="008D0832"/>
    <w:rsid w:val="008D5E56"/>
    <w:rsid w:val="008E226B"/>
    <w:rsid w:val="008E36EC"/>
    <w:rsid w:val="008E3A6A"/>
    <w:rsid w:val="008E4D17"/>
    <w:rsid w:val="008E5CE3"/>
    <w:rsid w:val="008F06C5"/>
    <w:rsid w:val="008F10C0"/>
    <w:rsid w:val="008F1194"/>
    <w:rsid w:val="008F273A"/>
    <w:rsid w:val="008F5FA6"/>
    <w:rsid w:val="008F63F3"/>
    <w:rsid w:val="008F64BD"/>
    <w:rsid w:val="008F7A9C"/>
    <w:rsid w:val="00900503"/>
    <w:rsid w:val="00904393"/>
    <w:rsid w:val="009043ED"/>
    <w:rsid w:val="00904655"/>
    <w:rsid w:val="009048F1"/>
    <w:rsid w:val="0091299A"/>
    <w:rsid w:val="00912D99"/>
    <w:rsid w:val="009140B3"/>
    <w:rsid w:val="00914764"/>
    <w:rsid w:val="0091539C"/>
    <w:rsid w:val="00917531"/>
    <w:rsid w:val="00917822"/>
    <w:rsid w:val="00921389"/>
    <w:rsid w:val="00922681"/>
    <w:rsid w:val="009238C0"/>
    <w:rsid w:val="00924D99"/>
    <w:rsid w:val="00925BAA"/>
    <w:rsid w:val="00925EE3"/>
    <w:rsid w:val="0092796F"/>
    <w:rsid w:val="009317F7"/>
    <w:rsid w:val="009328FC"/>
    <w:rsid w:val="00933D7D"/>
    <w:rsid w:val="009360C5"/>
    <w:rsid w:val="009402B6"/>
    <w:rsid w:val="00943729"/>
    <w:rsid w:val="00944443"/>
    <w:rsid w:val="00950842"/>
    <w:rsid w:val="0095570C"/>
    <w:rsid w:val="00956AB8"/>
    <w:rsid w:val="00957152"/>
    <w:rsid w:val="0095738A"/>
    <w:rsid w:val="0096064B"/>
    <w:rsid w:val="00962C63"/>
    <w:rsid w:val="00963568"/>
    <w:rsid w:val="0096763E"/>
    <w:rsid w:val="009704B0"/>
    <w:rsid w:val="00972036"/>
    <w:rsid w:val="00974095"/>
    <w:rsid w:val="00975C9E"/>
    <w:rsid w:val="009802BB"/>
    <w:rsid w:val="00983F19"/>
    <w:rsid w:val="00984DF5"/>
    <w:rsid w:val="00987853"/>
    <w:rsid w:val="009920D4"/>
    <w:rsid w:val="00993996"/>
    <w:rsid w:val="0099432F"/>
    <w:rsid w:val="009952EB"/>
    <w:rsid w:val="00995D43"/>
    <w:rsid w:val="00995D4C"/>
    <w:rsid w:val="009964E7"/>
    <w:rsid w:val="00997C57"/>
    <w:rsid w:val="009A0F61"/>
    <w:rsid w:val="009A180F"/>
    <w:rsid w:val="009A20E5"/>
    <w:rsid w:val="009A623A"/>
    <w:rsid w:val="009A623D"/>
    <w:rsid w:val="009B3309"/>
    <w:rsid w:val="009B3319"/>
    <w:rsid w:val="009B4B17"/>
    <w:rsid w:val="009B532B"/>
    <w:rsid w:val="009B5F0E"/>
    <w:rsid w:val="009B6B20"/>
    <w:rsid w:val="009B7560"/>
    <w:rsid w:val="009B77E9"/>
    <w:rsid w:val="009C0DE2"/>
    <w:rsid w:val="009C3E19"/>
    <w:rsid w:val="009C4684"/>
    <w:rsid w:val="009C532F"/>
    <w:rsid w:val="009C5CA3"/>
    <w:rsid w:val="009C5DC9"/>
    <w:rsid w:val="009D3EE1"/>
    <w:rsid w:val="009D6FE6"/>
    <w:rsid w:val="009D7635"/>
    <w:rsid w:val="009D7E49"/>
    <w:rsid w:val="009E1BA7"/>
    <w:rsid w:val="009E354F"/>
    <w:rsid w:val="009E3E67"/>
    <w:rsid w:val="009E51CE"/>
    <w:rsid w:val="009E5D82"/>
    <w:rsid w:val="009E5ECF"/>
    <w:rsid w:val="009E734D"/>
    <w:rsid w:val="009F0667"/>
    <w:rsid w:val="009F0EAA"/>
    <w:rsid w:val="009F1503"/>
    <w:rsid w:val="009F38A2"/>
    <w:rsid w:val="009F42AB"/>
    <w:rsid w:val="009F5A9B"/>
    <w:rsid w:val="009F78CB"/>
    <w:rsid w:val="009F79DC"/>
    <w:rsid w:val="00A00A06"/>
    <w:rsid w:val="00A0309C"/>
    <w:rsid w:val="00A0599B"/>
    <w:rsid w:val="00A114AB"/>
    <w:rsid w:val="00A14107"/>
    <w:rsid w:val="00A204B8"/>
    <w:rsid w:val="00A20DBC"/>
    <w:rsid w:val="00A23FE4"/>
    <w:rsid w:val="00A32EDC"/>
    <w:rsid w:val="00A35817"/>
    <w:rsid w:val="00A36C54"/>
    <w:rsid w:val="00A37466"/>
    <w:rsid w:val="00A37ADA"/>
    <w:rsid w:val="00A40CC4"/>
    <w:rsid w:val="00A410CD"/>
    <w:rsid w:val="00A41431"/>
    <w:rsid w:val="00A4301D"/>
    <w:rsid w:val="00A44028"/>
    <w:rsid w:val="00A502B4"/>
    <w:rsid w:val="00A50357"/>
    <w:rsid w:val="00A51997"/>
    <w:rsid w:val="00A52C01"/>
    <w:rsid w:val="00A55391"/>
    <w:rsid w:val="00A609BD"/>
    <w:rsid w:val="00A63318"/>
    <w:rsid w:val="00A65678"/>
    <w:rsid w:val="00A70DD1"/>
    <w:rsid w:val="00A716CA"/>
    <w:rsid w:val="00A73662"/>
    <w:rsid w:val="00A7397B"/>
    <w:rsid w:val="00A7679C"/>
    <w:rsid w:val="00A81299"/>
    <w:rsid w:val="00A82227"/>
    <w:rsid w:val="00A847E1"/>
    <w:rsid w:val="00A85C20"/>
    <w:rsid w:val="00A86058"/>
    <w:rsid w:val="00A86985"/>
    <w:rsid w:val="00A903F6"/>
    <w:rsid w:val="00A90BD5"/>
    <w:rsid w:val="00A90F41"/>
    <w:rsid w:val="00A943B2"/>
    <w:rsid w:val="00A9602E"/>
    <w:rsid w:val="00A965CC"/>
    <w:rsid w:val="00AA0222"/>
    <w:rsid w:val="00AA4BB9"/>
    <w:rsid w:val="00AA5C47"/>
    <w:rsid w:val="00AB07A4"/>
    <w:rsid w:val="00AB181B"/>
    <w:rsid w:val="00AB2E64"/>
    <w:rsid w:val="00AB4D75"/>
    <w:rsid w:val="00AC1915"/>
    <w:rsid w:val="00AC3B69"/>
    <w:rsid w:val="00AC3E58"/>
    <w:rsid w:val="00AC6720"/>
    <w:rsid w:val="00AC7ECD"/>
    <w:rsid w:val="00AD0766"/>
    <w:rsid w:val="00AD083F"/>
    <w:rsid w:val="00AD0F07"/>
    <w:rsid w:val="00AD2170"/>
    <w:rsid w:val="00AD275A"/>
    <w:rsid w:val="00AD3D6D"/>
    <w:rsid w:val="00AD77DF"/>
    <w:rsid w:val="00AD7F00"/>
    <w:rsid w:val="00AE0559"/>
    <w:rsid w:val="00AE0D97"/>
    <w:rsid w:val="00AE11E1"/>
    <w:rsid w:val="00AE22BA"/>
    <w:rsid w:val="00AE3B5F"/>
    <w:rsid w:val="00AE3CFD"/>
    <w:rsid w:val="00AE55D2"/>
    <w:rsid w:val="00AE7106"/>
    <w:rsid w:val="00AF06CB"/>
    <w:rsid w:val="00AF1B84"/>
    <w:rsid w:val="00AF37BE"/>
    <w:rsid w:val="00AF4D16"/>
    <w:rsid w:val="00AF5B4A"/>
    <w:rsid w:val="00AF6215"/>
    <w:rsid w:val="00AF7145"/>
    <w:rsid w:val="00B03428"/>
    <w:rsid w:val="00B035CC"/>
    <w:rsid w:val="00B06606"/>
    <w:rsid w:val="00B068D9"/>
    <w:rsid w:val="00B06E83"/>
    <w:rsid w:val="00B103CA"/>
    <w:rsid w:val="00B14087"/>
    <w:rsid w:val="00B222AD"/>
    <w:rsid w:val="00B23CE0"/>
    <w:rsid w:val="00B26878"/>
    <w:rsid w:val="00B268F6"/>
    <w:rsid w:val="00B33D09"/>
    <w:rsid w:val="00B34418"/>
    <w:rsid w:val="00B3452A"/>
    <w:rsid w:val="00B34575"/>
    <w:rsid w:val="00B34F64"/>
    <w:rsid w:val="00B35BFF"/>
    <w:rsid w:val="00B36B4B"/>
    <w:rsid w:val="00B448BD"/>
    <w:rsid w:val="00B45E08"/>
    <w:rsid w:val="00B46B69"/>
    <w:rsid w:val="00B51E8B"/>
    <w:rsid w:val="00B522B8"/>
    <w:rsid w:val="00B53061"/>
    <w:rsid w:val="00B5338E"/>
    <w:rsid w:val="00B5561F"/>
    <w:rsid w:val="00B55F0E"/>
    <w:rsid w:val="00B60F6F"/>
    <w:rsid w:val="00B62D15"/>
    <w:rsid w:val="00B6527B"/>
    <w:rsid w:val="00B72F81"/>
    <w:rsid w:val="00B80087"/>
    <w:rsid w:val="00B816CE"/>
    <w:rsid w:val="00B827FF"/>
    <w:rsid w:val="00B83FD3"/>
    <w:rsid w:val="00B8445D"/>
    <w:rsid w:val="00B846E1"/>
    <w:rsid w:val="00B85AD9"/>
    <w:rsid w:val="00B87EE4"/>
    <w:rsid w:val="00B9000E"/>
    <w:rsid w:val="00B9010E"/>
    <w:rsid w:val="00B9061C"/>
    <w:rsid w:val="00B90A67"/>
    <w:rsid w:val="00B90BE2"/>
    <w:rsid w:val="00B93150"/>
    <w:rsid w:val="00B93351"/>
    <w:rsid w:val="00B93D42"/>
    <w:rsid w:val="00B93FAF"/>
    <w:rsid w:val="00B94054"/>
    <w:rsid w:val="00B96AC7"/>
    <w:rsid w:val="00B96CA5"/>
    <w:rsid w:val="00B96DBD"/>
    <w:rsid w:val="00B9744A"/>
    <w:rsid w:val="00B97C29"/>
    <w:rsid w:val="00BA031B"/>
    <w:rsid w:val="00BA0D89"/>
    <w:rsid w:val="00BA6C89"/>
    <w:rsid w:val="00BB3E93"/>
    <w:rsid w:val="00BC2074"/>
    <w:rsid w:val="00BC46FA"/>
    <w:rsid w:val="00BC622C"/>
    <w:rsid w:val="00BC7992"/>
    <w:rsid w:val="00BD0813"/>
    <w:rsid w:val="00BD241F"/>
    <w:rsid w:val="00BD3CD7"/>
    <w:rsid w:val="00BD403D"/>
    <w:rsid w:val="00BD5C05"/>
    <w:rsid w:val="00BD7002"/>
    <w:rsid w:val="00BE3C7B"/>
    <w:rsid w:val="00BE7552"/>
    <w:rsid w:val="00BF0549"/>
    <w:rsid w:val="00BF2E42"/>
    <w:rsid w:val="00BF437F"/>
    <w:rsid w:val="00BF6512"/>
    <w:rsid w:val="00C04069"/>
    <w:rsid w:val="00C0427F"/>
    <w:rsid w:val="00C06321"/>
    <w:rsid w:val="00C06F7E"/>
    <w:rsid w:val="00C102B5"/>
    <w:rsid w:val="00C14296"/>
    <w:rsid w:val="00C148C1"/>
    <w:rsid w:val="00C1555E"/>
    <w:rsid w:val="00C15669"/>
    <w:rsid w:val="00C23138"/>
    <w:rsid w:val="00C235CA"/>
    <w:rsid w:val="00C25CB9"/>
    <w:rsid w:val="00C27353"/>
    <w:rsid w:val="00C27641"/>
    <w:rsid w:val="00C315C2"/>
    <w:rsid w:val="00C32E7A"/>
    <w:rsid w:val="00C35A51"/>
    <w:rsid w:val="00C41C63"/>
    <w:rsid w:val="00C422BC"/>
    <w:rsid w:val="00C42B47"/>
    <w:rsid w:val="00C445A2"/>
    <w:rsid w:val="00C44BBE"/>
    <w:rsid w:val="00C469A4"/>
    <w:rsid w:val="00C507C3"/>
    <w:rsid w:val="00C52188"/>
    <w:rsid w:val="00C5358D"/>
    <w:rsid w:val="00C56AB8"/>
    <w:rsid w:val="00C56D03"/>
    <w:rsid w:val="00C607F8"/>
    <w:rsid w:val="00C61603"/>
    <w:rsid w:val="00C62452"/>
    <w:rsid w:val="00C62BBB"/>
    <w:rsid w:val="00C6302E"/>
    <w:rsid w:val="00C63B3B"/>
    <w:rsid w:val="00C64AD3"/>
    <w:rsid w:val="00C66A8B"/>
    <w:rsid w:val="00C731E8"/>
    <w:rsid w:val="00C770B0"/>
    <w:rsid w:val="00C80108"/>
    <w:rsid w:val="00C8038D"/>
    <w:rsid w:val="00C832E2"/>
    <w:rsid w:val="00C83664"/>
    <w:rsid w:val="00C83B2F"/>
    <w:rsid w:val="00C83DF8"/>
    <w:rsid w:val="00C858FA"/>
    <w:rsid w:val="00C8666B"/>
    <w:rsid w:val="00C8699C"/>
    <w:rsid w:val="00C86A37"/>
    <w:rsid w:val="00C90148"/>
    <w:rsid w:val="00C91599"/>
    <w:rsid w:val="00C945DD"/>
    <w:rsid w:val="00CA09F4"/>
    <w:rsid w:val="00CA0DC9"/>
    <w:rsid w:val="00CA391F"/>
    <w:rsid w:val="00CA43A1"/>
    <w:rsid w:val="00CA4E97"/>
    <w:rsid w:val="00CA5249"/>
    <w:rsid w:val="00CB2DEC"/>
    <w:rsid w:val="00CB41C7"/>
    <w:rsid w:val="00CB59D1"/>
    <w:rsid w:val="00CC0F54"/>
    <w:rsid w:val="00CC2489"/>
    <w:rsid w:val="00CC3D0D"/>
    <w:rsid w:val="00CC5555"/>
    <w:rsid w:val="00CC565F"/>
    <w:rsid w:val="00CC6FA2"/>
    <w:rsid w:val="00CD23DC"/>
    <w:rsid w:val="00CD27C9"/>
    <w:rsid w:val="00CD33C4"/>
    <w:rsid w:val="00CD4424"/>
    <w:rsid w:val="00CD5730"/>
    <w:rsid w:val="00CD5B9E"/>
    <w:rsid w:val="00CE014A"/>
    <w:rsid w:val="00CE036D"/>
    <w:rsid w:val="00CE17A5"/>
    <w:rsid w:val="00CE44C5"/>
    <w:rsid w:val="00CE6D6D"/>
    <w:rsid w:val="00CF1C3C"/>
    <w:rsid w:val="00CF1F0A"/>
    <w:rsid w:val="00CF5336"/>
    <w:rsid w:val="00CF561E"/>
    <w:rsid w:val="00CF6520"/>
    <w:rsid w:val="00CF65CD"/>
    <w:rsid w:val="00CF7499"/>
    <w:rsid w:val="00CF7B71"/>
    <w:rsid w:val="00D00929"/>
    <w:rsid w:val="00D02FFD"/>
    <w:rsid w:val="00D0366F"/>
    <w:rsid w:val="00D044DD"/>
    <w:rsid w:val="00D051DE"/>
    <w:rsid w:val="00D1044D"/>
    <w:rsid w:val="00D105D7"/>
    <w:rsid w:val="00D11503"/>
    <w:rsid w:val="00D13215"/>
    <w:rsid w:val="00D139BC"/>
    <w:rsid w:val="00D14796"/>
    <w:rsid w:val="00D147D4"/>
    <w:rsid w:val="00D1613E"/>
    <w:rsid w:val="00D16D7D"/>
    <w:rsid w:val="00D17ACB"/>
    <w:rsid w:val="00D20077"/>
    <w:rsid w:val="00D23445"/>
    <w:rsid w:val="00D26B6C"/>
    <w:rsid w:val="00D26EB7"/>
    <w:rsid w:val="00D27B3D"/>
    <w:rsid w:val="00D308D9"/>
    <w:rsid w:val="00D30DD9"/>
    <w:rsid w:val="00D349D1"/>
    <w:rsid w:val="00D4229E"/>
    <w:rsid w:val="00D45647"/>
    <w:rsid w:val="00D45F6A"/>
    <w:rsid w:val="00D46B85"/>
    <w:rsid w:val="00D52660"/>
    <w:rsid w:val="00D5513A"/>
    <w:rsid w:val="00D572EB"/>
    <w:rsid w:val="00D61F41"/>
    <w:rsid w:val="00D62C77"/>
    <w:rsid w:val="00D62DA7"/>
    <w:rsid w:val="00D679DE"/>
    <w:rsid w:val="00D7081E"/>
    <w:rsid w:val="00D726E8"/>
    <w:rsid w:val="00D743B6"/>
    <w:rsid w:val="00D74957"/>
    <w:rsid w:val="00D77F94"/>
    <w:rsid w:val="00D80059"/>
    <w:rsid w:val="00D81B3B"/>
    <w:rsid w:val="00D84113"/>
    <w:rsid w:val="00D86132"/>
    <w:rsid w:val="00D86E84"/>
    <w:rsid w:val="00D913AA"/>
    <w:rsid w:val="00D92DC5"/>
    <w:rsid w:val="00D92E2E"/>
    <w:rsid w:val="00D94F12"/>
    <w:rsid w:val="00D95B6E"/>
    <w:rsid w:val="00DA1A87"/>
    <w:rsid w:val="00DA1FBF"/>
    <w:rsid w:val="00DA469C"/>
    <w:rsid w:val="00DA4F05"/>
    <w:rsid w:val="00DB2075"/>
    <w:rsid w:val="00DB32E7"/>
    <w:rsid w:val="00DB45EE"/>
    <w:rsid w:val="00DB525D"/>
    <w:rsid w:val="00DB55B9"/>
    <w:rsid w:val="00DB6EE5"/>
    <w:rsid w:val="00DC2413"/>
    <w:rsid w:val="00DC3CE7"/>
    <w:rsid w:val="00DC5857"/>
    <w:rsid w:val="00DC739A"/>
    <w:rsid w:val="00DD29DC"/>
    <w:rsid w:val="00DD322B"/>
    <w:rsid w:val="00DD4E93"/>
    <w:rsid w:val="00DD4F5E"/>
    <w:rsid w:val="00DD5BBB"/>
    <w:rsid w:val="00DD6525"/>
    <w:rsid w:val="00DD7E08"/>
    <w:rsid w:val="00DE09D9"/>
    <w:rsid w:val="00DE1C54"/>
    <w:rsid w:val="00DE1FE6"/>
    <w:rsid w:val="00DE30A8"/>
    <w:rsid w:val="00DE63F9"/>
    <w:rsid w:val="00DF1A83"/>
    <w:rsid w:val="00DF238C"/>
    <w:rsid w:val="00DF4393"/>
    <w:rsid w:val="00E00A83"/>
    <w:rsid w:val="00E010A5"/>
    <w:rsid w:val="00E021E3"/>
    <w:rsid w:val="00E02590"/>
    <w:rsid w:val="00E03FAB"/>
    <w:rsid w:val="00E04447"/>
    <w:rsid w:val="00E05ABD"/>
    <w:rsid w:val="00E06970"/>
    <w:rsid w:val="00E079CA"/>
    <w:rsid w:val="00E1167F"/>
    <w:rsid w:val="00E119CA"/>
    <w:rsid w:val="00E15CA5"/>
    <w:rsid w:val="00E20A2C"/>
    <w:rsid w:val="00E22258"/>
    <w:rsid w:val="00E251B6"/>
    <w:rsid w:val="00E25334"/>
    <w:rsid w:val="00E313DA"/>
    <w:rsid w:val="00E318C9"/>
    <w:rsid w:val="00E32A95"/>
    <w:rsid w:val="00E33BE9"/>
    <w:rsid w:val="00E33D4F"/>
    <w:rsid w:val="00E34750"/>
    <w:rsid w:val="00E34923"/>
    <w:rsid w:val="00E34CA5"/>
    <w:rsid w:val="00E35E89"/>
    <w:rsid w:val="00E36862"/>
    <w:rsid w:val="00E404F9"/>
    <w:rsid w:val="00E414CC"/>
    <w:rsid w:val="00E4491D"/>
    <w:rsid w:val="00E467E7"/>
    <w:rsid w:val="00E50F60"/>
    <w:rsid w:val="00E539E7"/>
    <w:rsid w:val="00E540BF"/>
    <w:rsid w:val="00E5460D"/>
    <w:rsid w:val="00E651B2"/>
    <w:rsid w:val="00E66BA4"/>
    <w:rsid w:val="00E66F0F"/>
    <w:rsid w:val="00E67472"/>
    <w:rsid w:val="00E7082E"/>
    <w:rsid w:val="00E7095D"/>
    <w:rsid w:val="00E71F2C"/>
    <w:rsid w:val="00E72FFF"/>
    <w:rsid w:val="00E75EAB"/>
    <w:rsid w:val="00E77EDD"/>
    <w:rsid w:val="00E80CC5"/>
    <w:rsid w:val="00E81CC9"/>
    <w:rsid w:val="00E82176"/>
    <w:rsid w:val="00E825CA"/>
    <w:rsid w:val="00E82C5B"/>
    <w:rsid w:val="00E84118"/>
    <w:rsid w:val="00E84B8C"/>
    <w:rsid w:val="00E857E0"/>
    <w:rsid w:val="00E86979"/>
    <w:rsid w:val="00E909DE"/>
    <w:rsid w:val="00E91F09"/>
    <w:rsid w:val="00E92EF9"/>
    <w:rsid w:val="00E945C7"/>
    <w:rsid w:val="00E95956"/>
    <w:rsid w:val="00EA1519"/>
    <w:rsid w:val="00EA1D11"/>
    <w:rsid w:val="00EA3214"/>
    <w:rsid w:val="00EA70A0"/>
    <w:rsid w:val="00EA7612"/>
    <w:rsid w:val="00EB0407"/>
    <w:rsid w:val="00EB0536"/>
    <w:rsid w:val="00EB2587"/>
    <w:rsid w:val="00EB42A8"/>
    <w:rsid w:val="00EB5601"/>
    <w:rsid w:val="00EB6B8F"/>
    <w:rsid w:val="00EB6ED9"/>
    <w:rsid w:val="00EC1EFD"/>
    <w:rsid w:val="00EC501A"/>
    <w:rsid w:val="00EC526F"/>
    <w:rsid w:val="00EC5C01"/>
    <w:rsid w:val="00ED0A75"/>
    <w:rsid w:val="00ED7642"/>
    <w:rsid w:val="00EF08E3"/>
    <w:rsid w:val="00EF2E4D"/>
    <w:rsid w:val="00EF3427"/>
    <w:rsid w:val="00EF5074"/>
    <w:rsid w:val="00EF7CC6"/>
    <w:rsid w:val="00F020F8"/>
    <w:rsid w:val="00F0278D"/>
    <w:rsid w:val="00F10410"/>
    <w:rsid w:val="00F10924"/>
    <w:rsid w:val="00F1548E"/>
    <w:rsid w:val="00F15CEC"/>
    <w:rsid w:val="00F16569"/>
    <w:rsid w:val="00F16B5F"/>
    <w:rsid w:val="00F178DE"/>
    <w:rsid w:val="00F17EF3"/>
    <w:rsid w:val="00F26549"/>
    <w:rsid w:val="00F306EE"/>
    <w:rsid w:val="00F31ECF"/>
    <w:rsid w:val="00F34445"/>
    <w:rsid w:val="00F34BA8"/>
    <w:rsid w:val="00F40B38"/>
    <w:rsid w:val="00F40B4E"/>
    <w:rsid w:val="00F43209"/>
    <w:rsid w:val="00F444B7"/>
    <w:rsid w:val="00F45304"/>
    <w:rsid w:val="00F46AB9"/>
    <w:rsid w:val="00F46B5A"/>
    <w:rsid w:val="00F46CC7"/>
    <w:rsid w:val="00F50E71"/>
    <w:rsid w:val="00F519E6"/>
    <w:rsid w:val="00F52633"/>
    <w:rsid w:val="00F53DC4"/>
    <w:rsid w:val="00F54D55"/>
    <w:rsid w:val="00F57032"/>
    <w:rsid w:val="00F6104A"/>
    <w:rsid w:val="00F640E5"/>
    <w:rsid w:val="00F65292"/>
    <w:rsid w:val="00F66234"/>
    <w:rsid w:val="00F67C2E"/>
    <w:rsid w:val="00F7361B"/>
    <w:rsid w:val="00F75A91"/>
    <w:rsid w:val="00F75CA3"/>
    <w:rsid w:val="00F76488"/>
    <w:rsid w:val="00F76B77"/>
    <w:rsid w:val="00F80238"/>
    <w:rsid w:val="00F83572"/>
    <w:rsid w:val="00F8357C"/>
    <w:rsid w:val="00F85E4C"/>
    <w:rsid w:val="00F86215"/>
    <w:rsid w:val="00F86688"/>
    <w:rsid w:val="00F8713D"/>
    <w:rsid w:val="00F87ECD"/>
    <w:rsid w:val="00F90B68"/>
    <w:rsid w:val="00F91888"/>
    <w:rsid w:val="00F947AE"/>
    <w:rsid w:val="00F94EF4"/>
    <w:rsid w:val="00FA0A5E"/>
    <w:rsid w:val="00FA187F"/>
    <w:rsid w:val="00FA1947"/>
    <w:rsid w:val="00FA1C4A"/>
    <w:rsid w:val="00FA3625"/>
    <w:rsid w:val="00FA61F0"/>
    <w:rsid w:val="00FA64DA"/>
    <w:rsid w:val="00FA652A"/>
    <w:rsid w:val="00FA7D7E"/>
    <w:rsid w:val="00FB4C0B"/>
    <w:rsid w:val="00FB5BF5"/>
    <w:rsid w:val="00FB5EDF"/>
    <w:rsid w:val="00FB6C47"/>
    <w:rsid w:val="00FB702E"/>
    <w:rsid w:val="00FB7E2B"/>
    <w:rsid w:val="00FC1729"/>
    <w:rsid w:val="00FC21E2"/>
    <w:rsid w:val="00FC2995"/>
    <w:rsid w:val="00FC2BDE"/>
    <w:rsid w:val="00FC345F"/>
    <w:rsid w:val="00FC4B72"/>
    <w:rsid w:val="00FC4D89"/>
    <w:rsid w:val="00FC5206"/>
    <w:rsid w:val="00FC6CD8"/>
    <w:rsid w:val="00FD028C"/>
    <w:rsid w:val="00FD2217"/>
    <w:rsid w:val="00FD4477"/>
    <w:rsid w:val="00FD5AA1"/>
    <w:rsid w:val="00FD76CC"/>
    <w:rsid w:val="00FE097C"/>
    <w:rsid w:val="00FE0CF9"/>
    <w:rsid w:val="00FE3C42"/>
    <w:rsid w:val="00FE3F4D"/>
    <w:rsid w:val="00FE45A9"/>
    <w:rsid w:val="00FE5074"/>
    <w:rsid w:val="00FE5649"/>
    <w:rsid w:val="00FE5DBC"/>
    <w:rsid w:val="00FE6FDC"/>
    <w:rsid w:val="00FE71D7"/>
    <w:rsid w:val="00FF014F"/>
    <w:rsid w:val="00FF03D7"/>
    <w:rsid w:val="00FF6451"/>
    <w:rsid w:val="00FF793B"/>
    <w:rsid w:val="00FF7DAF"/>
    <w:rsid w:val="014D0D28"/>
    <w:rsid w:val="014E42EA"/>
    <w:rsid w:val="0380AC3F"/>
    <w:rsid w:val="04C5B1B4"/>
    <w:rsid w:val="063226BB"/>
    <w:rsid w:val="07A22910"/>
    <w:rsid w:val="07C63470"/>
    <w:rsid w:val="081DA83B"/>
    <w:rsid w:val="0867B9C8"/>
    <w:rsid w:val="088A9C01"/>
    <w:rsid w:val="0A5CD5D1"/>
    <w:rsid w:val="0B00E256"/>
    <w:rsid w:val="0B0EE62A"/>
    <w:rsid w:val="0BB3B4B5"/>
    <w:rsid w:val="0C8963DE"/>
    <w:rsid w:val="0DFFAD8E"/>
    <w:rsid w:val="0EB40BA1"/>
    <w:rsid w:val="0FA9EBA0"/>
    <w:rsid w:val="10C36C35"/>
    <w:rsid w:val="10F46261"/>
    <w:rsid w:val="110F00E2"/>
    <w:rsid w:val="11476C45"/>
    <w:rsid w:val="115D0C72"/>
    <w:rsid w:val="11CD6AAE"/>
    <w:rsid w:val="13A531A3"/>
    <w:rsid w:val="14092CAA"/>
    <w:rsid w:val="14A02E89"/>
    <w:rsid w:val="14E0601B"/>
    <w:rsid w:val="15CC3588"/>
    <w:rsid w:val="18274B6D"/>
    <w:rsid w:val="19194F2F"/>
    <w:rsid w:val="19C551B0"/>
    <w:rsid w:val="1B51E82D"/>
    <w:rsid w:val="1BC93566"/>
    <w:rsid w:val="1CBFA071"/>
    <w:rsid w:val="1DD15C12"/>
    <w:rsid w:val="1E14E949"/>
    <w:rsid w:val="1E58B148"/>
    <w:rsid w:val="1EC943F8"/>
    <w:rsid w:val="2179C255"/>
    <w:rsid w:val="21C97374"/>
    <w:rsid w:val="21D34FC0"/>
    <w:rsid w:val="21FBD051"/>
    <w:rsid w:val="21FFE89B"/>
    <w:rsid w:val="2219750C"/>
    <w:rsid w:val="225719AE"/>
    <w:rsid w:val="236543D5"/>
    <w:rsid w:val="24EA2C78"/>
    <w:rsid w:val="252E1872"/>
    <w:rsid w:val="25F8C81A"/>
    <w:rsid w:val="26E33848"/>
    <w:rsid w:val="29B6F3C9"/>
    <w:rsid w:val="2AA48F9E"/>
    <w:rsid w:val="2D1028B3"/>
    <w:rsid w:val="2D260F49"/>
    <w:rsid w:val="2DB8C710"/>
    <w:rsid w:val="2E7C1E72"/>
    <w:rsid w:val="2EDBBA05"/>
    <w:rsid w:val="2FF2B4F8"/>
    <w:rsid w:val="305C39EF"/>
    <w:rsid w:val="328D0B58"/>
    <w:rsid w:val="345F55C3"/>
    <w:rsid w:val="362DCAC9"/>
    <w:rsid w:val="36606312"/>
    <w:rsid w:val="385B8087"/>
    <w:rsid w:val="38CD9BDA"/>
    <w:rsid w:val="3A21E893"/>
    <w:rsid w:val="3B932149"/>
    <w:rsid w:val="3BBB9A54"/>
    <w:rsid w:val="3BE7FD67"/>
    <w:rsid w:val="3D11DE2E"/>
    <w:rsid w:val="3E36E375"/>
    <w:rsid w:val="3E5667C3"/>
    <w:rsid w:val="3EF45D97"/>
    <w:rsid w:val="4044469D"/>
    <w:rsid w:val="4105FD4A"/>
    <w:rsid w:val="415E4F59"/>
    <w:rsid w:val="41931E79"/>
    <w:rsid w:val="42375367"/>
    <w:rsid w:val="42C30C3E"/>
    <w:rsid w:val="44587A33"/>
    <w:rsid w:val="446789FB"/>
    <w:rsid w:val="4597B9DF"/>
    <w:rsid w:val="45CBFBFC"/>
    <w:rsid w:val="463A1A39"/>
    <w:rsid w:val="46DEFA89"/>
    <w:rsid w:val="47007392"/>
    <w:rsid w:val="48565C64"/>
    <w:rsid w:val="4A877D8B"/>
    <w:rsid w:val="4BBB7BAD"/>
    <w:rsid w:val="4C2625FF"/>
    <w:rsid w:val="4C8D2DF5"/>
    <w:rsid w:val="4D13D10C"/>
    <w:rsid w:val="4DC1F660"/>
    <w:rsid w:val="4DCFADE8"/>
    <w:rsid w:val="4EADCBCD"/>
    <w:rsid w:val="4EC286D0"/>
    <w:rsid w:val="51D4F30F"/>
    <w:rsid w:val="529EB5CF"/>
    <w:rsid w:val="52EE66EE"/>
    <w:rsid w:val="5347FD4B"/>
    <w:rsid w:val="55D59766"/>
    <w:rsid w:val="56119992"/>
    <w:rsid w:val="570DF079"/>
    <w:rsid w:val="571E84E2"/>
    <w:rsid w:val="5749BBFC"/>
    <w:rsid w:val="577C9569"/>
    <w:rsid w:val="58706125"/>
    <w:rsid w:val="597D293D"/>
    <w:rsid w:val="5998A38B"/>
    <w:rsid w:val="5ADDAAAE"/>
    <w:rsid w:val="5B39D3BE"/>
    <w:rsid w:val="5D91EC54"/>
    <w:rsid w:val="5EAFDCAD"/>
    <w:rsid w:val="5FE79A70"/>
    <w:rsid w:val="5FF41C84"/>
    <w:rsid w:val="60C56728"/>
    <w:rsid w:val="630029E7"/>
    <w:rsid w:val="6314343A"/>
    <w:rsid w:val="65758A75"/>
    <w:rsid w:val="67E47BED"/>
    <w:rsid w:val="68599706"/>
    <w:rsid w:val="69F56767"/>
    <w:rsid w:val="6AE9260D"/>
    <w:rsid w:val="6B510CAA"/>
    <w:rsid w:val="6C2C9412"/>
    <w:rsid w:val="6C5F438E"/>
    <w:rsid w:val="6DF3F779"/>
    <w:rsid w:val="6F0E9EE4"/>
    <w:rsid w:val="6F2C8D9B"/>
    <w:rsid w:val="6F8A7C4D"/>
    <w:rsid w:val="72F1642C"/>
    <w:rsid w:val="734D3232"/>
    <w:rsid w:val="74391117"/>
    <w:rsid w:val="76FBB2F9"/>
    <w:rsid w:val="77274EBA"/>
    <w:rsid w:val="79637DC3"/>
    <w:rsid w:val="79A80F10"/>
    <w:rsid w:val="79ACCC2E"/>
    <w:rsid w:val="7A323B6F"/>
    <w:rsid w:val="7A713261"/>
    <w:rsid w:val="7AFF4E24"/>
    <w:rsid w:val="7B8EC2B6"/>
    <w:rsid w:val="7C7B37AC"/>
    <w:rsid w:val="7CDA1633"/>
    <w:rsid w:val="7DD50785"/>
    <w:rsid w:val="7FB4C699"/>
    <w:rsid w:val="7FC2E5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3571F7A6"/>
  <w15:docId w15:val="{25CA71DE-0E12-449A-9CDF-BFDB4A44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71" w:qFormat="1"/>
    <w:lsdException w:name="heading 2" w:uiPriority="71" w:qFormat="1"/>
    <w:lsdException w:name="heading 3" w:uiPriority="7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620FA5"/>
    <w:pPr>
      <w:keepNext/>
      <w:keepLines/>
      <w:numPr>
        <w:numId w:val="21"/>
      </w:numPr>
      <w:tabs>
        <w:tab w:val="left" w:pos="1134"/>
      </w:tabs>
      <w:spacing w:before="480" w:after="360"/>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620FA5"/>
    <w:pPr>
      <w:numPr>
        <w:ilvl w:val="1"/>
      </w:numPr>
      <w:spacing w:before="360" w:after="240"/>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620FA5"/>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1D3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20FA5"/>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620FA5"/>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620FA5"/>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1D34"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883E43"/>
    <w:pPr>
      <w:tabs>
        <w:tab w:val="right" w:pos="9639"/>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883E43"/>
    <w:rPr>
      <w:rFonts w:eastAsia="Calibri"/>
      <w:color w:val="757579" w:themeColor="accent3"/>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2"/>
    <w:qFormat/>
    <w:rsid w:val="00D349D1"/>
    <w:pPr>
      <w:numPr>
        <w:numId w:val="7"/>
      </w:numPr>
      <w:tabs>
        <w:tab w:val="left" w:pos="397"/>
      </w:tabs>
      <w:spacing w:before="60" w:after="60"/>
      <w:ind w:left="198" w:hanging="198"/>
    </w:pPr>
  </w:style>
  <w:style w:type="paragraph" w:styleId="ListNumber">
    <w:name w:val="List Number"/>
    <w:basedOn w:val="BodyText"/>
    <w:uiPriority w:val="2"/>
    <w:qFormat/>
    <w:rsid w:val="00D349D1"/>
    <w:pPr>
      <w:numPr>
        <w:numId w:val="10"/>
      </w:numPr>
      <w:tabs>
        <w:tab w:val="clear" w:pos="227"/>
        <w:tab w:val="left" w:pos="397"/>
      </w:tabs>
      <w:ind w:left="397" w:hanging="397"/>
    </w:pPr>
  </w:style>
  <w:style w:type="paragraph" w:styleId="ListBullet2">
    <w:name w:val="List Bullet 2"/>
    <w:basedOn w:val="ListBulle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620FA5"/>
    <w:pPr>
      <w:spacing w:after="170" w:line="216" w:lineRule="auto"/>
    </w:pPr>
    <w:rPr>
      <w:rFonts w:eastAsiaTheme="majorEastAsia" w:cstheme="majorBidi"/>
      <w:color w:val="757579" w:themeColor="accent3"/>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7"/>
      </w:numPr>
      <w:tabs>
        <w:tab w:val="clear" w:pos="794"/>
        <w:tab w:val="left" w:pos="851"/>
      </w:tabs>
      <w:ind w:left="1497" w:hanging="340"/>
    </w:pPr>
  </w:style>
  <w:style w:type="paragraph" w:styleId="FootnoteText">
    <w:name w:val="footnote text"/>
    <w:basedOn w:val="BodyText"/>
    <w:link w:val="FootnoteTextChar"/>
    <w:uiPriority w:val="9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9"/>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620FA5"/>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after="240"/>
      <w:outlineLvl w:val="1"/>
    </w:pPr>
    <w:rPr>
      <w:bCs w:val="0"/>
    </w:rPr>
  </w:style>
  <w:style w:type="character" w:styleId="Hyperlink">
    <w:name w:val="Hyperlink"/>
    <w:basedOn w:val="DefaultParagraphFont"/>
    <w:uiPriority w:val="99"/>
    <w:qFormat/>
    <w:rsid w:val="00620FA5"/>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35"/>
    <w:qFormat/>
    <w:rsid w:val="00620FA5"/>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3"/>
      </w:numPr>
      <w:tabs>
        <w:tab w:val="num" w:pos="1209"/>
      </w:tabs>
      <w:ind w:left="1209"/>
    </w:pPr>
  </w:style>
  <w:style w:type="paragraph" w:styleId="ListBullet5">
    <w:name w:val="List Bullet 5"/>
    <w:basedOn w:val="Normal"/>
    <w:uiPriority w:val="99"/>
    <w:semiHidden/>
    <w:locked/>
    <w:rsid w:val="00E251B6"/>
    <w:pPr>
      <w:numPr>
        <w:numId w:val="4"/>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8"/>
      </w:numPr>
      <w:tabs>
        <w:tab w:val="clear" w:pos="397"/>
      </w:tabs>
      <w:ind w:left="1078" w:hanging="284"/>
    </w:pPr>
  </w:style>
  <w:style w:type="paragraph" w:styleId="ListNumber4">
    <w:name w:val="List Number 4"/>
    <w:basedOn w:val="Normal"/>
    <w:uiPriority w:val="99"/>
    <w:semiHidden/>
    <w:locked/>
    <w:rsid w:val="00E251B6"/>
    <w:pPr>
      <w:numPr>
        <w:numId w:val="5"/>
      </w:numPr>
    </w:pPr>
  </w:style>
  <w:style w:type="paragraph" w:styleId="ListNumber5">
    <w:name w:val="List Number 5"/>
    <w:basedOn w:val="Normal"/>
    <w:uiPriority w:val="99"/>
    <w:semiHidden/>
    <w:locked/>
    <w:rsid w:val="00E251B6"/>
    <w:pPr>
      <w:numPr>
        <w:numId w:val="6"/>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9"/>
      </w:numPr>
    </w:pPr>
  </w:style>
  <w:style w:type="numbering" w:customStyle="1" w:styleId="Sources">
    <w:name w:val="Sources"/>
    <w:rsid w:val="008861FC"/>
    <w:pPr>
      <w:numPr>
        <w:numId w:val="8"/>
      </w:numPr>
    </w:pPr>
  </w:style>
  <w:style w:type="numbering" w:styleId="1ai">
    <w:name w:val="Outline List 1"/>
    <w:basedOn w:val="NoList"/>
    <w:uiPriority w:val="99"/>
    <w:semiHidden/>
    <w:unhideWhenUsed/>
    <w:locked/>
    <w:rsid w:val="008861FC"/>
    <w:pPr>
      <w:numPr>
        <w:numId w:val="12"/>
      </w:numPr>
    </w:pPr>
  </w:style>
  <w:style w:type="numbering" w:styleId="111111">
    <w:name w:val="Outline List 2"/>
    <w:basedOn w:val="NoList"/>
    <w:uiPriority w:val="99"/>
    <w:semiHidden/>
    <w:unhideWhenUsed/>
    <w:locked/>
    <w:rsid w:val="008861FC"/>
    <w:pPr>
      <w:numPr>
        <w:numId w:val="11"/>
      </w:numPr>
    </w:pPr>
  </w:style>
  <w:style w:type="numbering" w:customStyle="1" w:styleId="Bullets">
    <w:name w:val="Bullets"/>
    <w:rsid w:val="008861FC"/>
    <w:pPr>
      <w:numPr>
        <w:numId w:val="7"/>
      </w:numPr>
    </w:pPr>
  </w:style>
  <w:style w:type="numbering" w:customStyle="1" w:styleId="Numbers">
    <w:name w:val="Numbers"/>
    <w:rsid w:val="008861FC"/>
    <w:pPr>
      <w:numPr>
        <w:numId w:val="10"/>
      </w:numPr>
    </w:pPr>
  </w:style>
  <w:style w:type="numbering" w:styleId="ArticleSection">
    <w:name w:val="Outline List 3"/>
    <w:basedOn w:val="NoList"/>
    <w:uiPriority w:val="99"/>
    <w:semiHidden/>
    <w:unhideWhenUsed/>
    <w:locked/>
    <w:rsid w:val="008861FC"/>
    <w:pPr>
      <w:numPr>
        <w:numId w:val="13"/>
      </w:numPr>
    </w:pPr>
  </w:style>
  <w:style w:type="paragraph" w:customStyle="1" w:styleId="AppendixHeading1base">
    <w:name w:val="Appendix Heading 1 base"/>
    <w:uiPriority w:val="20"/>
    <w:semiHidden/>
    <w:qFormat/>
    <w:rsid w:val="005C1B4B"/>
    <w:pPr>
      <w:keepNext/>
      <w:pageBreakBefore/>
      <w:numPr>
        <w:numId w:val="16"/>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6"/>
      </w:numPr>
      <w:ind w:left="1134" w:hanging="1134"/>
    </w:pPr>
  </w:style>
  <w:style w:type="paragraph" w:customStyle="1" w:styleId="AppendixHeading3">
    <w:name w:val="Appendix Heading 3"/>
    <w:basedOn w:val="Heading3"/>
    <w:next w:val="BodyText"/>
    <w:uiPriority w:val="11"/>
    <w:qFormat/>
    <w:rsid w:val="00C80108"/>
    <w:pPr>
      <w:numPr>
        <w:numId w:val="16"/>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4"/>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B87EE4"/>
    <w:pPr>
      <w:numPr>
        <w:numId w:val="19"/>
      </w:numPr>
      <w:spacing w:before="0" w:after="0"/>
      <w:ind w:left="454" w:hanging="227"/>
      <w:contextualSpacing/>
    </w:pPr>
  </w:style>
  <w:style w:type="character" w:styleId="UnresolvedMention">
    <w:name w:val="Unresolved Mention"/>
    <w:basedOn w:val="DefaultParagraphFont"/>
    <w:uiPriority w:val="99"/>
    <w:unhideWhenUsed/>
    <w:rsid w:val="00E77EDD"/>
    <w:rPr>
      <w:color w:val="605E5C"/>
      <w:shd w:val="clear" w:color="auto" w:fill="E1DFDD"/>
    </w:rPr>
  </w:style>
  <w:style w:type="paragraph" w:customStyle="1" w:styleId="Boxedheadingblue">
    <w:name w:val="Boxed heading blue"/>
    <w:basedOn w:val="Boxedheading"/>
    <w:uiPriority w:val="20"/>
    <w:qFormat/>
    <w:rsid w:val="00383DDB"/>
    <w:pPr>
      <w:shd w:val="clear" w:color="auto" w:fill="D0EAFF" w:themeFill="accent2" w:themeFillTint="1A"/>
    </w:pPr>
  </w:style>
  <w:style w:type="paragraph" w:customStyle="1" w:styleId="Boxedtextblue">
    <w:name w:val="Boxed text blue"/>
    <w:basedOn w:val="Boxedtext"/>
    <w:uiPriority w:val="20"/>
    <w:qFormat/>
    <w:rsid w:val="00383DDB"/>
    <w:pPr>
      <w:shd w:val="clear" w:color="auto" w:fill="D0EAFF" w:themeFill="accent2" w:themeFillTint="1A"/>
    </w:pPr>
  </w:style>
  <w:style w:type="paragraph" w:customStyle="1" w:styleId="Boxedlistbulletblue">
    <w:name w:val="Boxed list bullet blue"/>
    <w:basedOn w:val="Boxedlistbullet"/>
    <w:uiPriority w:val="20"/>
    <w:qFormat/>
    <w:rsid w:val="00383DDB"/>
    <w:pPr>
      <w:shd w:val="clear" w:color="auto" w:fill="D0EAFF" w:themeFill="accent2" w:themeFillTint="1A"/>
    </w:pPr>
  </w:style>
  <w:style w:type="paragraph" w:customStyle="1" w:styleId="Boxedheadingpurple">
    <w:name w:val="Boxed heading purple"/>
    <w:basedOn w:val="Boxedheading"/>
    <w:uiPriority w:val="21"/>
    <w:qFormat/>
    <w:rsid w:val="00383DDB"/>
    <w:pPr>
      <w:shd w:val="clear" w:color="auto" w:fill="CACBF5" w:themeFill="accent4" w:themeFillTint="33"/>
    </w:pPr>
  </w:style>
  <w:style w:type="paragraph" w:customStyle="1" w:styleId="Boxedtextpurple">
    <w:name w:val="Boxed text purple"/>
    <w:basedOn w:val="Boxedtext"/>
    <w:uiPriority w:val="21"/>
    <w:qFormat/>
    <w:rsid w:val="00383DDB"/>
    <w:pPr>
      <w:shd w:val="clear" w:color="auto" w:fill="CACBF5" w:themeFill="accent4" w:themeFillTint="33"/>
    </w:pPr>
  </w:style>
  <w:style w:type="paragraph" w:customStyle="1" w:styleId="Boxedlistbulletpurple">
    <w:name w:val="Boxed list bullet purple"/>
    <w:basedOn w:val="Boxedlistbullet"/>
    <w:uiPriority w:val="21"/>
    <w:qFormat/>
    <w:rsid w:val="00383DDB"/>
    <w:pPr>
      <w:shd w:val="clear" w:color="auto" w:fill="CACBF5" w:themeFill="accent4" w:themeFillTint="33"/>
    </w:pPr>
  </w:style>
  <w:style w:type="paragraph" w:customStyle="1" w:styleId="EndNoteBibliography">
    <w:name w:val="EndNote Bibliography"/>
    <w:basedOn w:val="Normal"/>
    <w:link w:val="EndNoteBibliographyChar"/>
    <w:rsid w:val="00324496"/>
    <w:pPr>
      <w:spacing w:after="160"/>
    </w:pPr>
    <w:rPr>
      <w:noProof/>
      <w:color w:val="auto"/>
      <w:lang w:val="en-US" w:eastAsia="en-US"/>
    </w:rPr>
  </w:style>
  <w:style w:type="character" w:customStyle="1" w:styleId="EndNoteBibliographyChar">
    <w:name w:val="EndNote Bibliography Char"/>
    <w:link w:val="EndNoteBibliography"/>
    <w:rsid w:val="00324496"/>
    <w:rPr>
      <w:rFonts w:eastAsia="Calibri"/>
      <w:noProof/>
      <w:lang w:val="en-US" w:eastAsia="en-US"/>
    </w:rPr>
  </w:style>
  <w:style w:type="paragraph" w:customStyle="1" w:styleId="Default">
    <w:name w:val="Default"/>
    <w:rsid w:val="0048667A"/>
    <w:pPr>
      <w:autoSpaceDE w:val="0"/>
      <w:autoSpaceDN w:val="0"/>
      <w:adjustRightInd w:val="0"/>
    </w:pPr>
    <w:rPr>
      <w:rFonts w:cs="Calibri"/>
      <w:color w:val="000000"/>
      <w:sz w:val="24"/>
      <w:szCs w:val="24"/>
    </w:rPr>
  </w:style>
  <w:style w:type="paragraph" w:styleId="Revision">
    <w:name w:val="Revision"/>
    <w:hidden/>
    <w:uiPriority w:val="99"/>
    <w:semiHidden/>
    <w:rsid w:val="00D27B3D"/>
    <w:rPr>
      <w:rFonts w:eastAsia="Calibri"/>
      <w:color w:val="0000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928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02a\AppData\Roaming\Microsoft\Templates\Simple%20Report%20-%20standard.dotx" TargetMode="External"/></Relationships>
</file>

<file path=word/documenttasks/documenttasks1.xml><?xml version="1.0" encoding="utf-8"?>
<t:Tasks xmlns:t="http://schemas.microsoft.com/office/tasks/2019/documenttasks" xmlns:oel="http://schemas.microsoft.com/office/2019/extlst">
  <t:Task id="{B9BDAC3D-93EA-48FC-B99C-76C9033198F8}">
    <t:Anchor>
      <t:Comment id="1603505560"/>
    </t:Anchor>
    <t:History>
      <t:Event id="{A73C1276-7CCC-4C7F-B338-0A64629EB703}" time="2021-03-23T23:30:45Z">
        <t:Attribution userId="S::rae02a@csiro.au::dca14233-4506-4337-932a-79a4294c047a" userProvider="AD" userName="Rae, Ben (O&amp;A, Hobart)"/>
        <t:Anchor>
          <t:Comment id="402077884"/>
        </t:Anchor>
        <t:Create/>
      </t:Event>
      <t:Event id="{5B08E1CA-3A29-45B9-9248-083EA4B9D044}" time="2021-03-23T23:30:45Z">
        <t:Attribution userId="S::rae02a@csiro.au::dca14233-4506-4337-932a-79a4294c047a" userProvider="AD" userName="Rae, Ben (O&amp;A, Hobart)"/>
        <t:Anchor>
          <t:Comment id="402077884"/>
        </t:Anchor>
        <t:Assign userId="S::pol12d@csiro.au::f5a7cc13-ce69-4725-bd5c-66f76fd0c92a" userProvider="AD" userName="Pollino, Carmel (L&amp;W, Black Mountain)"/>
      </t:Event>
      <t:Event id="{EB85AD4C-6DA1-45B5-B636-D2B8B02E084B}" time="2021-03-23T23:30:45Z">
        <t:Attribution userId="S::rae02a@csiro.au::dca14233-4506-4337-932a-79a4294c047a" userProvider="AD" userName="Rae, Ben (O&amp;A, Hobart)"/>
        <t:Anchor>
          <t:Comment id="402077884"/>
        </t:Anchor>
        <t:SetTitle title="@Pollino, Carmel (L&amp;W, Black Mountain) can we discuss where it is implied that stakeholders set requirements Carmel?"/>
      </t:Event>
    </t:History>
  </t:Task>
  <t:Task id="{41DD92B9-0EEC-4F3E-9D0A-B6B23D180356}">
    <t:Anchor>
      <t:Comment id="1071365161"/>
    </t:Anchor>
    <t:History>
      <t:Event id="{5FE1F2DB-37D9-417B-BB93-DFDD5E227755}" time="2021-03-23T23:15:42Z">
        <t:Attribution userId="S::rae02a@csiro.au::dca14233-4506-4337-932a-79a4294c047a" userProvider="AD" userName="Rae, Ben (O&amp;A, Hobart)"/>
        <t:Anchor>
          <t:Comment id="1587879789"/>
        </t:Anchor>
        <t:Create/>
      </t:Event>
      <t:Event id="{59C9074B-AECD-4292-8819-71A7B22B14F0}" time="2021-03-23T23:15:42Z">
        <t:Attribution userId="S::rae02a@csiro.au::dca14233-4506-4337-932a-79a4294c047a" userProvider="AD" userName="Rae, Ben (O&amp;A, Hobart)"/>
        <t:Anchor>
          <t:Comment id="1587879789"/>
        </t:Anchor>
        <t:Assign userId="S::pol12d@csiro.au::f5a7cc13-ce69-4725-bd5c-66f76fd0c92a" userProvider="AD" userName="Pollino, Carmel (L&amp;W, Black Mountain)"/>
      </t:Event>
      <t:Event id="{7B7EBC88-52B0-4A57-A81E-6BBD3B9BEE6B}" time="2021-03-23T23:15:42Z">
        <t:Attribution userId="S::rae02a@csiro.au::dca14233-4506-4337-932a-79a4294c047a" userProvider="AD" userName="Rae, Ben (O&amp;A, Hobart)"/>
        <t:Anchor>
          <t:Comment id="1587879789"/>
        </t:Anchor>
        <t:SetTitle title="@Pollino, Carmel (L&amp;W, Black Mountain) Carmel, are you able to suggest additional text?"/>
      </t:Event>
    </t:History>
  </t:Task>
</t:Task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7" ma:contentTypeDescription="Create a new document." ma:contentTypeScope="" ma:versionID="833eb89387ab8684a867a9b32b0672b8">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943bca1171db9de005a66333d08d4cc"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1B938-499A-44E7-8569-60314921B25C}">
  <ds:schemaRefs>
    <ds:schemaRef ds:uri="http://schemas.openxmlformats.org/officeDocument/2006/bibliography"/>
  </ds:schemaRefs>
</ds:datastoreItem>
</file>

<file path=customXml/itemProps2.xml><?xml version="1.0" encoding="utf-8"?>
<ds:datastoreItem xmlns:ds="http://schemas.openxmlformats.org/officeDocument/2006/customXml" ds:itemID="{6C40BA5B-1F77-49FC-A30A-81A2D70B9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B46C6-87C6-421A-B31D-11DC0B14DB54}">
  <ds:schemaRefs>
    <ds:schemaRef ds:uri="http://schemas.microsoft.com/sharepoint/v3/contenttype/forms"/>
  </ds:schemaRefs>
</ds:datastoreItem>
</file>

<file path=customXml/itemProps4.xml><?xml version="1.0" encoding="utf-8"?>
<ds:datastoreItem xmlns:ds="http://schemas.openxmlformats.org/officeDocument/2006/customXml" ds:itemID="{FBE28C95-E140-4F35-929E-1DA165EDAD71}">
  <ds:schemaRefs>
    <ds:schemaRef ds:uri="http://www.w3.org/XML/1998/namespace"/>
    <ds:schemaRef ds:uri="http://purl.org/dc/terms/"/>
    <ds:schemaRef ds:uri="d731c216-4847-40b9-9cc1-07675d6a1b95"/>
    <ds:schemaRef ds:uri="http://purl.org/dc/elements/1.1/"/>
    <ds:schemaRef ds:uri="850cd0c5-34cb-451e-bc90-918567b3d76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Simple Report - standard.dotx</Template>
  <TotalTime>6</TotalTime>
  <Pages>18</Pages>
  <Words>6539</Words>
  <Characters>40180</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Submission DR149 - CSIRO - National Water Reform 2020 - Public inquiry</vt:lpstr>
    </vt:vector>
  </TitlesOfParts>
  <Company>CSIRO</Company>
  <LinksUpToDate>false</LinksUpToDate>
  <CharactersWithSpaces>46626</CharactersWithSpaces>
  <SharedDoc>false</SharedDoc>
  <HLinks>
    <vt:vector size="60" baseType="variant">
      <vt:variant>
        <vt:i4>4325387</vt:i4>
      </vt:variant>
      <vt:variant>
        <vt:i4>42</vt:i4>
      </vt:variant>
      <vt:variant>
        <vt:i4>0</vt:i4>
      </vt:variant>
      <vt:variant>
        <vt:i4>5</vt:i4>
      </vt:variant>
      <vt:variant>
        <vt:lpwstr/>
      </vt:variant>
      <vt:variant>
        <vt:lpwstr>_ENREF_30</vt:lpwstr>
      </vt:variant>
      <vt:variant>
        <vt:i4>2031677</vt:i4>
      </vt:variant>
      <vt:variant>
        <vt:i4>32</vt:i4>
      </vt:variant>
      <vt:variant>
        <vt:i4>0</vt:i4>
      </vt:variant>
      <vt:variant>
        <vt:i4>5</vt:i4>
      </vt:variant>
      <vt:variant>
        <vt:lpwstr/>
      </vt:variant>
      <vt:variant>
        <vt:lpwstr>_Toc67399412</vt:lpwstr>
      </vt:variant>
      <vt:variant>
        <vt:i4>1638460</vt:i4>
      </vt:variant>
      <vt:variant>
        <vt:i4>26</vt:i4>
      </vt:variant>
      <vt:variant>
        <vt:i4>0</vt:i4>
      </vt:variant>
      <vt:variant>
        <vt:i4>5</vt:i4>
      </vt:variant>
      <vt:variant>
        <vt:lpwstr/>
      </vt:variant>
      <vt:variant>
        <vt:lpwstr>_Toc67399404</vt:lpwstr>
      </vt:variant>
      <vt:variant>
        <vt:i4>1966140</vt:i4>
      </vt:variant>
      <vt:variant>
        <vt:i4>20</vt:i4>
      </vt:variant>
      <vt:variant>
        <vt:i4>0</vt:i4>
      </vt:variant>
      <vt:variant>
        <vt:i4>5</vt:i4>
      </vt:variant>
      <vt:variant>
        <vt:lpwstr/>
      </vt:variant>
      <vt:variant>
        <vt:lpwstr>_Toc67399403</vt:lpwstr>
      </vt:variant>
      <vt:variant>
        <vt:i4>1900604</vt:i4>
      </vt:variant>
      <vt:variant>
        <vt:i4>14</vt:i4>
      </vt:variant>
      <vt:variant>
        <vt:i4>0</vt:i4>
      </vt:variant>
      <vt:variant>
        <vt:i4>5</vt:i4>
      </vt:variant>
      <vt:variant>
        <vt:lpwstr/>
      </vt:variant>
      <vt:variant>
        <vt:lpwstr>_Toc67399400</vt:lpwstr>
      </vt:variant>
      <vt:variant>
        <vt:i4>1179701</vt:i4>
      </vt:variant>
      <vt:variant>
        <vt:i4>8</vt:i4>
      </vt:variant>
      <vt:variant>
        <vt:i4>0</vt:i4>
      </vt:variant>
      <vt:variant>
        <vt:i4>5</vt:i4>
      </vt:variant>
      <vt:variant>
        <vt:lpwstr/>
      </vt:variant>
      <vt:variant>
        <vt:lpwstr>_Toc67399398</vt:lpwstr>
      </vt:variant>
      <vt:variant>
        <vt:i4>1900597</vt:i4>
      </vt:variant>
      <vt:variant>
        <vt:i4>2</vt:i4>
      </vt:variant>
      <vt:variant>
        <vt:i4>0</vt:i4>
      </vt:variant>
      <vt:variant>
        <vt:i4>5</vt:i4>
      </vt:variant>
      <vt:variant>
        <vt:lpwstr/>
      </vt:variant>
      <vt:variant>
        <vt:lpwstr>_Toc67399397</vt:lpwstr>
      </vt:variant>
      <vt:variant>
        <vt:i4>5636212</vt:i4>
      </vt:variant>
      <vt:variant>
        <vt:i4>6</vt:i4>
      </vt:variant>
      <vt:variant>
        <vt:i4>0</vt:i4>
      </vt:variant>
      <vt:variant>
        <vt:i4>5</vt:i4>
      </vt:variant>
      <vt:variant>
        <vt:lpwstr>mailto:pol12d@csiro.au</vt:lpwstr>
      </vt:variant>
      <vt:variant>
        <vt:lpwstr/>
      </vt:variant>
      <vt:variant>
        <vt:i4>5636212</vt:i4>
      </vt:variant>
      <vt:variant>
        <vt:i4>3</vt:i4>
      </vt:variant>
      <vt:variant>
        <vt:i4>0</vt:i4>
      </vt:variant>
      <vt:variant>
        <vt:i4>5</vt:i4>
      </vt:variant>
      <vt:variant>
        <vt:lpwstr>mailto:pol12d@csiro.au</vt:lpwstr>
      </vt:variant>
      <vt:variant>
        <vt:lpwstr/>
      </vt:variant>
      <vt:variant>
        <vt:i4>5177378</vt:i4>
      </vt:variant>
      <vt:variant>
        <vt:i4>0</vt:i4>
      </vt:variant>
      <vt:variant>
        <vt:i4>0</vt:i4>
      </vt:variant>
      <vt:variant>
        <vt:i4>5</vt:i4>
      </vt:variant>
      <vt:variant>
        <vt:lpwstr>mailto:Sandra.Oliver@csiro.au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DR149 - CSIRO - National Water Reform 2020 - Public inquiry</dc:title>
  <dc:subject/>
  <dc:creator>CSIRO</dc:creator>
  <cp:keywords/>
  <cp:lastModifiedBy>Alston, Chris</cp:lastModifiedBy>
  <cp:revision>4</cp:revision>
  <cp:lastPrinted>2012-02-13T06:58:00Z</cp:lastPrinted>
  <dcterms:created xsi:type="dcterms:W3CDTF">2021-03-24T05:39:00Z</dcterms:created>
  <dcterms:modified xsi:type="dcterms:W3CDTF">2021-03-28T23:55:00Z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0x0101006CBFFB2887E109479714270EF09F4F34</vt:lpwstr>
  </property>
</Properties>
</file>