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3BE0F" w14:textId="5E175D76" w:rsidR="00B50962" w:rsidRPr="00D15EB6" w:rsidRDefault="00B50962" w:rsidP="00B50962">
      <w:pPr>
        <w:rPr>
          <w:rFonts w:asciiTheme="majorHAnsi" w:hAnsiTheme="majorHAnsi" w:cstheme="majorHAnsi"/>
          <w:i/>
          <w:color w:val="7F7F7F" w:themeColor="text1" w:themeTint="80"/>
          <w:szCs w:val="22"/>
        </w:rPr>
      </w:pPr>
      <w:r>
        <w:rPr>
          <w:rFonts w:asciiTheme="majorHAnsi" w:hAnsiTheme="majorHAnsi" w:cstheme="majorHAnsi"/>
        </w:rPr>
        <w:t>Telephone:</w:t>
      </w:r>
      <w:r>
        <w:rPr>
          <w:rFonts w:asciiTheme="majorHAnsi" w:hAnsiTheme="majorHAnsi" w:cstheme="majorHAnsi"/>
        </w:rPr>
        <w:tab/>
        <w:t>07 3900 6000</w:t>
      </w:r>
    </w:p>
    <w:p w14:paraId="261F0C7C" w14:textId="289C46E6" w:rsidR="00B50962" w:rsidRDefault="00B50962" w:rsidP="00B50962">
      <w:pPr>
        <w:rPr>
          <w:rFonts w:asciiTheme="majorHAnsi" w:hAnsiTheme="majorHAnsi" w:cstheme="majorHAnsi"/>
        </w:rPr>
      </w:pPr>
      <w:r>
        <w:rPr>
          <w:rFonts w:asciiTheme="majorHAnsi" w:hAnsiTheme="majorHAnsi" w:cstheme="majorHAnsi"/>
        </w:rPr>
        <w:t xml:space="preserve">Reference: </w:t>
      </w:r>
      <w:r>
        <w:rPr>
          <w:rFonts w:asciiTheme="majorHAnsi" w:hAnsiTheme="majorHAnsi" w:cstheme="majorHAnsi"/>
        </w:rPr>
        <w:tab/>
      </w:r>
      <w:proofErr w:type="spellStart"/>
      <w:r w:rsidR="006D354F">
        <w:rPr>
          <w:rFonts w:asciiTheme="majorHAnsi" w:hAnsiTheme="majorHAnsi" w:cstheme="majorHAnsi"/>
        </w:rPr>
        <w:t>OoC</w:t>
      </w:r>
      <w:proofErr w:type="spellEnd"/>
      <w:r w:rsidR="00732CB7">
        <w:rPr>
          <w:rFonts w:asciiTheme="majorHAnsi" w:hAnsiTheme="majorHAnsi" w:cstheme="majorHAnsi"/>
        </w:rPr>
        <w:t xml:space="preserve"> </w:t>
      </w:r>
      <w:r w:rsidR="00450545">
        <w:rPr>
          <w:rFonts w:asciiTheme="majorHAnsi" w:hAnsiTheme="majorHAnsi" w:cstheme="majorHAnsi"/>
        </w:rPr>
        <w:t>–</w:t>
      </w:r>
      <w:r w:rsidR="00732CB7">
        <w:rPr>
          <w:rFonts w:asciiTheme="majorHAnsi" w:hAnsiTheme="majorHAnsi" w:cstheme="majorHAnsi"/>
        </w:rPr>
        <w:t xml:space="preserve"> </w:t>
      </w:r>
      <w:r w:rsidR="00450545">
        <w:rPr>
          <w:rFonts w:asciiTheme="majorHAnsi" w:hAnsiTheme="majorHAnsi" w:cstheme="majorHAnsi"/>
        </w:rPr>
        <w:t>TF22/473</w:t>
      </w:r>
      <w:r w:rsidR="00732CB7">
        <w:rPr>
          <w:rFonts w:asciiTheme="majorHAnsi" w:hAnsiTheme="majorHAnsi" w:cstheme="majorHAnsi"/>
        </w:rPr>
        <w:t xml:space="preserve"> </w:t>
      </w:r>
      <w:r w:rsidR="004B3595">
        <w:rPr>
          <w:rFonts w:asciiTheme="majorHAnsi" w:hAnsiTheme="majorHAnsi" w:cstheme="majorHAnsi"/>
        </w:rPr>
        <w:t>–</w:t>
      </w:r>
      <w:r w:rsidR="00732CB7">
        <w:rPr>
          <w:rFonts w:asciiTheme="majorHAnsi" w:hAnsiTheme="majorHAnsi" w:cstheme="majorHAnsi"/>
        </w:rPr>
        <w:t xml:space="preserve"> </w:t>
      </w:r>
      <w:r w:rsidR="004B3595">
        <w:rPr>
          <w:rFonts w:asciiTheme="majorHAnsi" w:hAnsiTheme="majorHAnsi" w:cstheme="majorHAnsi"/>
        </w:rPr>
        <w:t>D22/9501</w:t>
      </w:r>
    </w:p>
    <w:p w14:paraId="6989ED6B" w14:textId="68A77D54" w:rsidR="00B50962" w:rsidRDefault="00B50962" w:rsidP="00B50962">
      <w:pPr>
        <w:rPr>
          <w:rFonts w:asciiTheme="majorHAnsi" w:hAnsiTheme="majorHAnsi" w:cstheme="majorHAnsi"/>
        </w:rPr>
      </w:pPr>
    </w:p>
    <w:p w14:paraId="7C7FE93C" w14:textId="77777777" w:rsidR="001E2018" w:rsidRDefault="001E2018" w:rsidP="00B50962">
      <w:pPr>
        <w:rPr>
          <w:rFonts w:asciiTheme="majorHAnsi" w:hAnsiTheme="majorHAnsi" w:cstheme="majorHAnsi"/>
        </w:rPr>
      </w:pPr>
    </w:p>
    <w:p w14:paraId="43252CBF" w14:textId="6C15F256" w:rsidR="00D15EB6" w:rsidRDefault="002F0656" w:rsidP="00B50962">
      <w:pPr>
        <w:rPr>
          <w:rFonts w:asciiTheme="majorHAnsi" w:hAnsiTheme="majorHAnsi" w:cstheme="majorHAnsi"/>
        </w:rPr>
      </w:pPr>
      <w:r>
        <w:rPr>
          <w:rFonts w:asciiTheme="majorHAnsi" w:hAnsiTheme="majorHAnsi" w:cstheme="majorHAnsi"/>
        </w:rPr>
        <w:t>20 June 2022</w:t>
      </w:r>
    </w:p>
    <w:p w14:paraId="0078FE0B" w14:textId="77777777" w:rsidR="00D15EB6" w:rsidRDefault="00D15EB6" w:rsidP="00B50962">
      <w:pPr>
        <w:rPr>
          <w:rFonts w:asciiTheme="majorHAnsi" w:hAnsiTheme="majorHAnsi" w:cstheme="majorHAnsi"/>
        </w:rPr>
      </w:pPr>
    </w:p>
    <w:p w14:paraId="6B660526" w14:textId="77777777" w:rsidR="00B50962" w:rsidRDefault="00B50962" w:rsidP="00B50962">
      <w:pPr>
        <w:rPr>
          <w:rFonts w:asciiTheme="majorHAnsi" w:hAnsiTheme="majorHAnsi" w:cstheme="majorHAnsi"/>
        </w:rPr>
      </w:pPr>
    </w:p>
    <w:p w14:paraId="43E0767E" w14:textId="6605ACF5" w:rsidR="00B50962" w:rsidRDefault="00FF1EF8" w:rsidP="00B50962">
      <w:pPr>
        <w:rPr>
          <w:rFonts w:asciiTheme="majorHAnsi" w:hAnsiTheme="majorHAnsi" w:cstheme="majorHAnsi"/>
        </w:rPr>
      </w:pPr>
      <w:r>
        <w:rPr>
          <w:rFonts w:asciiTheme="majorHAnsi" w:hAnsiTheme="majorHAnsi" w:cstheme="majorHAnsi"/>
        </w:rPr>
        <w:t>Mr Michael Brennan</w:t>
      </w:r>
    </w:p>
    <w:p w14:paraId="152EAB00" w14:textId="3F1A9CD1" w:rsidR="00B50962" w:rsidRDefault="00FF1EF8" w:rsidP="00B50962">
      <w:pPr>
        <w:rPr>
          <w:rFonts w:asciiTheme="majorHAnsi" w:hAnsiTheme="majorHAnsi" w:cstheme="majorHAnsi"/>
        </w:rPr>
      </w:pPr>
      <w:r>
        <w:rPr>
          <w:rFonts w:asciiTheme="majorHAnsi" w:hAnsiTheme="majorHAnsi" w:cstheme="majorHAnsi"/>
        </w:rPr>
        <w:t>Chair</w:t>
      </w:r>
    </w:p>
    <w:p w14:paraId="3A62CFB4" w14:textId="44A243FE" w:rsidR="00B50962" w:rsidRDefault="00FF1EF8" w:rsidP="00B50962">
      <w:pPr>
        <w:rPr>
          <w:rFonts w:asciiTheme="majorHAnsi" w:hAnsiTheme="majorHAnsi" w:cstheme="majorHAnsi"/>
        </w:rPr>
      </w:pPr>
      <w:r>
        <w:rPr>
          <w:rFonts w:asciiTheme="majorHAnsi" w:hAnsiTheme="majorHAnsi" w:cstheme="majorHAnsi"/>
        </w:rPr>
        <w:t>Productivity Commission</w:t>
      </w:r>
    </w:p>
    <w:p w14:paraId="30696470" w14:textId="77777777" w:rsidR="00843047" w:rsidRDefault="00843047" w:rsidP="00B50962">
      <w:pPr>
        <w:rPr>
          <w:rFonts w:asciiTheme="majorHAnsi" w:hAnsiTheme="majorHAnsi" w:cstheme="majorHAnsi"/>
        </w:rPr>
      </w:pPr>
      <w:r w:rsidRPr="00843047">
        <w:rPr>
          <w:rFonts w:asciiTheme="majorHAnsi" w:hAnsiTheme="majorHAnsi" w:cstheme="majorHAnsi"/>
        </w:rPr>
        <w:t xml:space="preserve">GPO Box 1428 </w:t>
      </w:r>
    </w:p>
    <w:p w14:paraId="6711107B" w14:textId="1EDB9FA2" w:rsidR="00B50962" w:rsidRPr="00075A9D" w:rsidRDefault="00843047" w:rsidP="00B50962">
      <w:pPr>
        <w:rPr>
          <w:rFonts w:asciiTheme="majorHAnsi" w:hAnsiTheme="majorHAnsi" w:cstheme="majorHAnsi"/>
        </w:rPr>
      </w:pPr>
      <w:r>
        <w:rPr>
          <w:rFonts w:asciiTheme="majorHAnsi" w:hAnsiTheme="majorHAnsi" w:cstheme="majorHAnsi"/>
        </w:rPr>
        <w:t xml:space="preserve">CANBERRA CITY </w:t>
      </w:r>
      <w:r w:rsidRPr="00843047">
        <w:rPr>
          <w:rFonts w:asciiTheme="majorHAnsi" w:hAnsiTheme="majorHAnsi" w:cstheme="majorHAnsi"/>
        </w:rPr>
        <w:t xml:space="preserve"> ACT </w:t>
      </w:r>
      <w:r>
        <w:rPr>
          <w:rFonts w:asciiTheme="majorHAnsi" w:hAnsiTheme="majorHAnsi" w:cstheme="majorHAnsi"/>
        </w:rPr>
        <w:t xml:space="preserve"> </w:t>
      </w:r>
      <w:r w:rsidRPr="00843047">
        <w:rPr>
          <w:rFonts w:asciiTheme="majorHAnsi" w:hAnsiTheme="majorHAnsi" w:cstheme="majorHAnsi"/>
        </w:rPr>
        <w:t>2601</w:t>
      </w:r>
    </w:p>
    <w:p w14:paraId="68A990EB" w14:textId="2EC616D1" w:rsidR="002F0656" w:rsidRDefault="002F0656" w:rsidP="00B50962">
      <w:pPr>
        <w:rPr>
          <w:rFonts w:asciiTheme="majorHAnsi" w:hAnsiTheme="majorHAnsi" w:cstheme="majorHAnsi"/>
        </w:rPr>
      </w:pPr>
    </w:p>
    <w:p w14:paraId="006625DF" w14:textId="77777777" w:rsidR="001E2018" w:rsidRPr="00075A9D" w:rsidRDefault="001E2018" w:rsidP="00B50962">
      <w:pPr>
        <w:rPr>
          <w:rFonts w:asciiTheme="majorHAnsi" w:hAnsiTheme="majorHAnsi" w:cstheme="majorHAnsi"/>
        </w:rPr>
      </w:pPr>
    </w:p>
    <w:p w14:paraId="0F8EBC6A" w14:textId="34EB9FEC" w:rsidR="00B50962" w:rsidRDefault="00B50962" w:rsidP="00B50962">
      <w:pPr>
        <w:rPr>
          <w:rFonts w:asciiTheme="majorHAnsi" w:hAnsiTheme="majorHAnsi" w:cstheme="majorHAnsi"/>
          <w:color w:val="000000"/>
        </w:rPr>
      </w:pPr>
      <w:r>
        <w:rPr>
          <w:rFonts w:asciiTheme="majorHAnsi" w:hAnsiTheme="majorHAnsi" w:cstheme="majorHAnsi"/>
        </w:rPr>
        <w:t xml:space="preserve">Dear </w:t>
      </w:r>
      <w:r w:rsidR="00843047">
        <w:rPr>
          <w:rFonts w:asciiTheme="majorHAnsi" w:hAnsiTheme="majorHAnsi" w:cstheme="majorHAnsi"/>
        </w:rPr>
        <w:t>Mr Brennan</w:t>
      </w:r>
    </w:p>
    <w:p w14:paraId="71DEF071" w14:textId="77777777" w:rsidR="00B50962" w:rsidRDefault="00B50962" w:rsidP="00B50962">
      <w:pPr>
        <w:rPr>
          <w:rFonts w:asciiTheme="majorHAnsi" w:hAnsiTheme="majorHAnsi" w:cstheme="majorHAnsi"/>
          <w:color w:val="000000"/>
        </w:rPr>
      </w:pPr>
    </w:p>
    <w:p w14:paraId="10BB1943" w14:textId="7AE63950" w:rsidR="00B50962" w:rsidRDefault="00B50962" w:rsidP="00B50962">
      <w:pPr>
        <w:rPr>
          <w:rFonts w:asciiTheme="majorHAnsi" w:hAnsiTheme="majorHAnsi" w:cstheme="majorHAnsi"/>
        </w:rPr>
      </w:pPr>
      <w:r>
        <w:rPr>
          <w:rFonts w:asciiTheme="majorHAnsi" w:hAnsiTheme="majorHAnsi" w:cstheme="majorHAnsi"/>
        </w:rPr>
        <w:t xml:space="preserve">Thank you for </w:t>
      </w:r>
      <w:r w:rsidR="000A3CA4">
        <w:rPr>
          <w:rFonts w:asciiTheme="majorHAnsi" w:hAnsiTheme="majorHAnsi" w:cstheme="majorHAnsi"/>
        </w:rPr>
        <w:t xml:space="preserve">providing the Queensland Family and Child Commission (QFCC) with the opportunity to </w:t>
      </w:r>
      <w:r w:rsidR="00843047">
        <w:rPr>
          <w:rFonts w:asciiTheme="majorHAnsi" w:hAnsiTheme="majorHAnsi" w:cstheme="majorHAnsi"/>
        </w:rPr>
        <w:t>make a submission to the Productivity Commission’s inquiry into the National School Reform Agreement</w:t>
      </w:r>
      <w:r w:rsidR="001816EF">
        <w:rPr>
          <w:rFonts w:asciiTheme="majorHAnsi" w:hAnsiTheme="majorHAnsi" w:cstheme="majorHAnsi"/>
        </w:rPr>
        <w:t xml:space="preserve"> (NSRA)</w:t>
      </w:r>
      <w:r w:rsidR="00843047">
        <w:rPr>
          <w:rFonts w:asciiTheme="majorHAnsi" w:hAnsiTheme="majorHAnsi" w:cstheme="majorHAnsi"/>
        </w:rPr>
        <w:t>.</w:t>
      </w:r>
    </w:p>
    <w:p w14:paraId="1CE5E7A8" w14:textId="3AF4C703" w:rsidR="00F80D0A" w:rsidRDefault="00F80D0A" w:rsidP="00B50962">
      <w:pPr>
        <w:rPr>
          <w:rFonts w:asciiTheme="majorHAnsi" w:hAnsiTheme="majorHAnsi" w:cstheme="majorHAnsi"/>
        </w:rPr>
      </w:pPr>
    </w:p>
    <w:p w14:paraId="13E61EC9" w14:textId="77777777" w:rsidR="001816EF" w:rsidRDefault="001816EF" w:rsidP="001816EF">
      <w:r>
        <w:rPr>
          <w:rFonts w:asciiTheme="majorHAnsi" w:hAnsiTheme="majorHAnsi" w:cstheme="majorHAnsi"/>
        </w:rPr>
        <w:t xml:space="preserve">The QFCC is a statutory body </w:t>
      </w:r>
      <w:r w:rsidRPr="002670FE">
        <w:t>of the Queensland Government seeking to give practical effect to the rights of all children and young people in Queensland</w:t>
      </w:r>
      <w:r>
        <w:t xml:space="preserve">. </w:t>
      </w:r>
      <w:r w:rsidRPr="002670FE">
        <w:t xml:space="preserve">Under the </w:t>
      </w:r>
      <w:r w:rsidRPr="002670FE">
        <w:rPr>
          <w:i/>
          <w:iCs/>
        </w:rPr>
        <w:t>Family and Child Commission Act 2014</w:t>
      </w:r>
      <w:r w:rsidRPr="002670FE">
        <w:t>, the QFCC is responsible for promoting the safety, wellbeing and best interests of children and young people. This includes representing their best interests in decision-making processes.</w:t>
      </w:r>
    </w:p>
    <w:p w14:paraId="4AD0F52E" w14:textId="77777777" w:rsidR="001816EF" w:rsidRDefault="001816EF" w:rsidP="001816EF"/>
    <w:p w14:paraId="243D92AB" w14:textId="38AE9CC0" w:rsidR="001816EF" w:rsidRDefault="001816EF" w:rsidP="001816EF">
      <w:r>
        <w:t>This submission will focus on promot</w:t>
      </w:r>
      <w:r w:rsidR="00D608E5">
        <w:t>ing</w:t>
      </w:r>
      <w:r>
        <w:t xml:space="preserve"> children’s right to education through the </w:t>
      </w:r>
      <w:r w:rsidR="00D608E5">
        <w:t>NSRA</w:t>
      </w:r>
      <w:r>
        <w:t>.</w:t>
      </w:r>
    </w:p>
    <w:p w14:paraId="5134A7E8" w14:textId="6C1A430C" w:rsidR="00774630" w:rsidRDefault="00774630" w:rsidP="001816EF"/>
    <w:p w14:paraId="468B2669" w14:textId="4C1CF147" w:rsidR="00774630" w:rsidRPr="00774630" w:rsidRDefault="00774630" w:rsidP="001816EF">
      <w:pPr>
        <w:rPr>
          <w:b/>
          <w:bCs/>
        </w:rPr>
      </w:pPr>
      <w:r>
        <w:rPr>
          <w:b/>
          <w:bCs/>
        </w:rPr>
        <w:t>Right to education and impact of COVID-19</w:t>
      </w:r>
    </w:p>
    <w:p w14:paraId="3FA365D8" w14:textId="7A86EACE" w:rsidR="001816EF" w:rsidRDefault="001816EF" w:rsidP="001816EF"/>
    <w:p w14:paraId="24EACAC9" w14:textId="6C4AD5C8" w:rsidR="001816EF" w:rsidRDefault="001816EF" w:rsidP="001816EF">
      <w:r>
        <w:t xml:space="preserve">Under articles 28 and 29 of the United Nations </w:t>
      </w:r>
      <w:r>
        <w:rPr>
          <w:i/>
          <w:iCs/>
        </w:rPr>
        <w:t xml:space="preserve">Convention on the Rights of the Child </w:t>
      </w:r>
      <w:r>
        <w:t>(UNCRC), all children have the right to education</w:t>
      </w:r>
      <w:r w:rsidR="00D608E5">
        <w:t>,</w:t>
      </w:r>
      <w:r>
        <w:t xml:space="preserve"> to </w:t>
      </w:r>
      <w:r w:rsidR="00D608E5">
        <w:t>develop</w:t>
      </w:r>
      <w:r>
        <w:t xml:space="preserve"> the child’s personality, talents and abilities to their fullest potential.</w:t>
      </w:r>
    </w:p>
    <w:p w14:paraId="7FBA6EF7" w14:textId="2E3FED32" w:rsidR="001816EF" w:rsidRDefault="001816EF" w:rsidP="001816EF"/>
    <w:p w14:paraId="657B6D8E" w14:textId="7DA7F099" w:rsidR="001816EF" w:rsidRDefault="001816EF" w:rsidP="001816EF">
      <w:r>
        <w:t xml:space="preserve">The NSRA should focus </w:t>
      </w:r>
      <w:r w:rsidR="00D608E5">
        <w:t xml:space="preserve">on </w:t>
      </w:r>
      <w:r w:rsidR="00957B6D">
        <w:t>upholding these rights</w:t>
      </w:r>
      <w:r>
        <w:t>, including outlining the role</w:t>
      </w:r>
      <w:r w:rsidR="005F232D">
        <w:t>s</w:t>
      </w:r>
      <w:r>
        <w:t xml:space="preserve"> of governments</w:t>
      </w:r>
      <w:r w:rsidR="00D608E5">
        <w:t xml:space="preserve"> and communities </w:t>
      </w:r>
      <w:r w:rsidR="00DF000E">
        <w:t xml:space="preserve">in guaranteeing </w:t>
      </w:r>
      <w:r>
        <w:t>access to a high standard of education.</w:t>
      </w:r>
    </w:p>
    <w:p w14:paraId="4F6AD9B7" w14:textId="512F2B5A" w:rsidR="00871D35" w:rsidRDefault="00871D35" w:rsidP="001816EF"/>
    <w:p w14:paraId="71F35F86" w14:textId="0052DB90" w:rsidR="00612EE2" w:rsidRDefault="00871D35" w:rsidP="001816EF">
      <w:r>
        <w:t>This is particularly important at present, given the</w:t>
      </w:r>
      <w:r w:rsidR="005F232D">
        <w:t xml:space="preserve"> long-term</w:t>
      </w:r>
      <w:r>
        <w:t xml:space="preserve"> impact of COVID-19 on children and young people across Australia. The Productivity Commission should consider the impact of COVID-19 on school non-attendance, and any lasting effects on children’s educatio</w:t>
      </w:r>
      <w:r w:rsidR="005F232D">
        <w:t>n</w:t>
      </w:r>
      <w:r>
        <w:t>.</w:t>
      </w:r>
      <w:r w:rsidR="00774630">
        <w:t xml:space="preserve"> </w:t>
      </w:r>
    </w:p>
    <w:p w14:paraId="64A5D362" w14:textId="77777777" w:rsidR="00612EE2" w:rsidRDefault="00612EE2" w:rsidP="001816EF"/>
    <w:p w14:paraId="32570251" w14:textId="0D603184" w:rsidR="00774630" w:rsidRPr="00612EE2" w:rsidRDefault="005F232D" w:rsidP="001816EF">
      <w:r>
        <w:t>At the same time, consideration may be given to whether</w:t>
      </w:r>
      <w:r w:rsidR="00774630">
        <w:t xml:space="preserve"> </w:t>
      </w:r>
      <w:r>
        <w:t xml:space="preserve">ongoing </w:t>
      </w:r>
      <w:r w:rsidR="00774630">
        <w:t>options to learn from home</w:t>
      </w:r>
      <w:r>
        <w:t xml:space="preserve"> could benefit</w:t>
      </w:r>
      <w:r w:rsidR="00774630">
        <w:t xml:space="preserve"> some children</w:t>
      </w:r>
      <w:r w:rsidR="00612EE2">
        <w:t xml:space="preserve">, particularly those experiencing </w:t>
      </w:r>
      <w:r w:rsidR="00774630" w:rsidRPr="002670FE">
        <w:rPr>
          <w:rFonts w:cstheme="minorHAnsi"/>
        </w:rPr>
        <w:t>chronic illness, disability or mental health issues</w:t>
      </w:r>
      <w:r>
        <w:rPr>
          <w:rFonts w:cstheme="minorHAnsi"/>
        </w:rPr>
        <w:t>,</w:t>
      </w:r>
      <w:r w:rsidR="00774630" w:rsidRPr="002670FE">
        <w:rPr>
          <w:rFonts w:cstheme="minorHAnsi"/>
        </w:rPr>
        <w:t xml:space="preserve"> or </w:t>
      </w:r>
      <w:r>
        <w:rPr>
          <w:rFonts w:cstheme="minorHAnsi"/>
        </w:rPr>
        <w:t>those</w:t>
      </w:r>
      <w:r w:rsidR="00774630" w:rsidRPr="002670FE">
        <w:rPr>
          <w:rFonts w:cstheme="minorHAnsi"/>
        </w:rPr>
        <w:t xml:space="preserve"> who live in or move between remote areas</w:t>
      </w:r>
      <w:r w:rsidR="00612EE2">
        <w:rPr>
          <w:rFonts w:cstheme="minorHAnsi"/>
        </w:rPr>
        <w:t>.</w:t>
      </w:r>
    </w:p>
    <w:p w14:paraId="2CA6DEBD" w14:textId="77777777" w:rsidR="00774630" w:rsidRDefault="00774630" w:rsidP="001816EF"/>
    <w:p w14:paraId="739AA63C" w14:textId="7DEC6B15" w:rsidR="001816EF" w:rsidRDefault="0003711C" w:rsidP="001816EF">
      <w:r>
        <w:t>It is important</w:t>
      </w:r>
      <w:r w:rsidR="005F232D">
        <w:t xml:space="preserve"> that children be the focus of the NSRA, to make sure reforms</w:t>
      </w:r>
      <w:r>
        <w:t xml:space="preserve"> </w:t>
      </w:r>
      <w:r w:rsidR="005F232D">
        <w:t>are</w:t>
      </w:r>
      <w:r>
        <w:t xml:space="preserve"> delivered with the rights, needs and best interests of children </w:t>
      </w:r>
      <w:r w:rsidR="005F232D">
        <w:t>as a primary concern.</w:t>
      </w:r>
      <w:r>
        <w:t xml:space="preserve"> </w:t>
      </w:r>
    </w:p>
    <w:p w14:paraId="3495AA74" w14:textId="6CB901A6" w:rsidR="0003711C" w:rsidRDefault="0003711C" w:rsidP="001816EF"/>
    <w:p w14:paraId="29CF8974" w14:textId="77777777" w:rsidR="001E2018" w:rsidRDefault="001E2018" w:rsidP="001816EF"/>
    <w:p w14:paraId="32866BB2" w14:textId="77777777" w:rsidR="001E2018" w:rsidRDefault="001E2018" w:rsidP="001816EF"/>
    <w:p w14:paraId="13957B4A" w14:textId="77777777" w:rsidR="001E2018" w:rsidRDefault="001E2018" w:rsidP="001816EF"/>
    <w:p w14:paraId="10813D06" w14:textId="69DE6354" w:rsidR="0003711C" w:rsidRDefault="0003711C" w:rsidP="001816EF">
      <w:r>
        <w:lastRenderedPageBreak/>
        <w:t xml:space="preserve">At present, the strategy focuses on ways to improve teaching quality to </w:t>
      </w:r>
      <w:r w:rsidR="00612EE2">
        <w:t>strengthen</w:t>
      </w:r>
      <w:r>
        <w:t xml:space="preserve"> </w:t>
      </w:r>
      <w:r w:rsidR="00B004FC">
        <w:t xml:space="preserve">outcomes for </w:t>
      </w:r>
      <w:r>
        <w:t>children in education. Consideration should be given to</w:t>
      </w:r>
      <w:r w:rsidR="00B004FC">
        <w:t xml:space="preserve"> </w:t>
      </w:r>
      <w:r w:rsidR="00612EE2">
        <w:t>providing</w:t>
      </w:r>
      <w:r w:rsidR="005F232D">
        <w:t xml:space="preserve"> additional</w:t>
      </w:r>
      <w:r w:rsidR="00B004FC">
        <w:t xml:space="preserve"> support in schools for children experiencing</w:t>
      </w:r>
      <w:r>
        <w:t xml:space="preserve"> </w:t>
      </w:r>
      <w:r w:rsidR="00612EE2">
        <w:t>disadvantage, including children in the identified equity cohorts.</w:t>
      </w:r>
    </w:p>
    <w:p w14:paraId="3F1FD7C1" w14:textId="77777777" w:rsidR="00B004FC" w:rsidRPr="001816EF" w:rsidRDefault="00B004FC" w:rsidP="001816EF"/>
    <w:p w14:paraId="702E6835" w14:textId="78C52A47" w:rsidR="00774630" w:rsidRDefault="00B004FC" w:rsidP="00B50962">
      <w:pPr>
        <w:rPr>
          <w:rFonts w:asciiTheme="majorHAnsi" w:hAnsiTheme="majorHAnsi" w:cstheme="majorHAnsi"/>
        </w:rPr>
      </w:pPr>
      <w:r>
        <w:rPr>
          <w:rFonts w:asciiTheme="majorHAnsi" w:hAnsiTheme="majorHAnsi" w:cstheme="majorHAnsi"/>
        </w:rPr>
        <w:t xml:space="preserve">In addition, consideration should be given to expanding the </w:t>
      </w:r>
      <w:r w:rsidR="005F232D">
        <w:rPr>
          <w:rFonts w:asciiTheme="majorHAnsi" w:hAnsiTheme="majorHAnsi" w:cstheme="majorHAnsi"/>
        </w:rPr>
        <w:t xml:space="preserve">identified </w:t>
      </w:r>
      <w:r>
        <w:rPr>
          <w:rFonts w:asciiTheme="majorHAnsi" w:hAnsiTheme="majorHAnsi" w:cstheme="majorHAnsi"/>
        </w:rPr>
        <w:t>equity cohorts to include children in contact with child protection and youth justice services, who are known to be at risk of disengagement from education.</w:t>
      </w:r>
    </w:p>
    <w:p w14:paraId="5EA652D8" w14:textId="2DC51916" w:rsidR="00272B55" w:rsidRDefault="00272B55" w:rsidP="00B50962">
      <w:pPr>
        <w:rPr>
          <w:rFonts w:asciiTheme="majorHAnsi" w:hAnsiTheme="majorHAnsi" w:cstheme="majorHAnsi"/>
        </w:rPr>
      </w:pPr>
    </w:p>
    <w:p w14:paraId="44534019" w14:textId="0ACBD44E" w:rsidR="006C7BF4" w:rsidRDefault="006C7BF4" w:rsidP="00B50962">
      <w:pPr>
        <w:rPr>
          <w:rFonts w:asciiTheme="majorHAnsi" w:hAnsiTheme="majorHAnsi" w:cstheme="majorHAnsi"/>
        </w:rPr>
      </w:pPr>
      <w:r>
        <w:rPr>
          <w:rFonts w:asciiTheme="majorHAnsi" w:hAnsiTheme="majorHAnsi" w:cstheme="majorHAnsi"/>
        </w:rPr>
        <w:t>In 2019, 77.2 per cent of children on guardianship or custody orders achieved the national reading benchmarks in year 5 in Queensland, compared to 94.8 per cent of all students. In numeracy, 75.8 per cent of children on orders achieved the benchmarks, compared to 95.6 per cent of all children.</w:t>
      </w:r>
      <w:r>
        <w:rPr>
          <w:rStyle w:val="FootnoteReference"/>
          <w:rFonts w:asciiTheme="majorHAnsi" w:hAnsiTheme="majorHAnsi" w:cstheme="majorHAnsi"/>
        </w:rPr>
        <w:footnoteReference w:id="1"/>
      </w:r>
    </w:p>
    <w:p w14:paraId="09543435" w14:textId="77777777" w:rsidR="006C7BF4" w:rsidRDefault="006C7BF4" w:rsidP="00B50962">
      <w:pPr>
        <w:rPr>
          <w:rFonts w:asciiTheme="majorHAnsi" w:hAnsiTheme="majorHAnsi" w:cstheme="majorHAnsi"/>
        </w:rPr>
      </w:pPr>
    </w:p>
    <w:p w14:paraId="05BB8786" w14:textId="2B5831D3" w:rsidR="006C7BF4" w:rsidRDefault="006C7BF4" w:rsidP="00B50962">
      <w:pPr>
        <w:rPr>
          <w:rFonts w:asciiTheme="majorHAnsi" w:hAnsiTheme="majorHAnsi" w:cstheme="majorHAnsi"/>
        </w:rPr>
      </w:pPr>
      <w:r>
        <w:rPr>
          <w:rFonts w:asciiTheme="majorHAnsi" w:hAnsiTheme="majorHAnsi" w:cstheme="majorHAnsi"/>
        </w:rPr>
        <w:t xml:space="preserve">In 2013, a broader national study found </w:t>
      </w:r>
      <w:r w:rsidR="00272B55">
        <w:rPr>
          <w:rFonts w:asciiTheme="majorHAnsi" w:hAnsiTheme="majorHAnsi" w:cstheme="majorHAnsi"/>
        </w:rPr>
        <w:t xml:space="preserve">82 per cent of children in out-of-home care </w:t>
      </w:r>
      <w:r>
        <w:rPr>
          <w:rFonts w:asciiTheme="majorHAnsi" w:hAnsiTheme="majorHAnsi" w:cstheme="majorHAnsi"/>
        </w:rPr>
        <w:t xml:space="preserve">met </w:t>
      </w:r>
      <w:r w:rsidR="00272B55">
        <w:rPr>
          <w:rFonts w:asciiTheme="majorHAnsi" w:hAnsiTheme="majorHAnsi" w:cstheme="majorHAnsi"/>
        </w:rPr>
        <w:t xml:space="preserve">the national minimum standard in reading in year 3, compared to 95 per cent of all children. By year 9, this </w:t>
      </w:r>
      <w:r>
        <w:rPr>
          <w:rFonts w:asciiTheme="majorHAnsi" w:hAnsiTheme="majorHAnsi" w:cstheme="majorHAnsi"/>
        </w:rPr>
        <w:t xml:space="preserve">dropped </w:t>
      </w:r>
      <w:r w:rsidR="00272B55">
        <w:rPr>
          <w:rFonts w:asciiTheme="majorHAnsi" w:hAnsiTheme="majorHAnsi" w:cstheme="majorHAnsi"/>
        </w:rPr>
        <w:t>to 69 per cent, compared to 93 per cent of all children. Only 57 per cent of young care leavers complete</w:t>
      </w:r>
      <w:r>
        <w:rPr>
          <w:rFonts w:asciiTheme="majorHAnsi" w:hAnsiTheme="majorHAnsi" w:cstheme="majorHAnsi"/>
        </w:rPr>
        <w:t>d</w:t>
      </w:r>
      <w:r w:rsidR="00272B55">
        <w:rPr>
          <w:rFonts w:asciiTheme="majorHAnsi" w:hAnsiTheme="majorHAnsi" w:cstheme="majorHAnsi"/>
        </w:rPr>
        <w:t xml:space="preserve"> year 12</w:t>
      </w:r>
      <w:r>
        <w:rPr>
          <w:rFonts w:asciiTheme="majorHAnsi" w:hAnsiTheme="majorHAnsi" w:cstheme="majorHAnsi"/>
        </w:rPr>
        <w:t xml:space="preserve"> in 2013</w:t>
      </w:r>
      <w:r w:rsidR="00272B55">
        <w:rPr>
          <w:rFonts w:asciiTheme="majorHAnsi" w:hAnsiTheme="majorHAnsi" w:cstheme="majorHAnsi"/>
        </w:rPr>
        <w:t>, compared to a national average of 85 per cent.</w:t>
      </w:r>
      <w:r w:rsidR="00272B55">
        <w:rPr>
          <w:rStyle w:val="FootnoteReference"/>
          <w:rFonts w:asciiTheme="majorHAnsi" w:hAnsiTheme="majorHAnsi" w:cstheme="majorHAnsi"/>
        </w:rPr>
        <w:footnoteReference w:id="2"/>
      </w:r>
      <w:r w:rsidR="00272B55">
        <w:rPr>
          <w:rFonts w:asciiTheme="majorHAnsi" w:hAnsiTheme="majorHAnsi" w:cstheme="majorHAnsi"/>
        </w:rPr>
        <w:t xml:space="preserve"> </w:t>
      </w:r>
    </w:p>
    <w:p w14:paraId="0B835D0C" w14:textId="41177BAA" w:rsidR="00763F3A" w:rsidRDefault="00763F3A" w:rsidP="00B50962">
      <w:pPr>
        <w:rPr>
          <w:rFonts w:asciiTheme="majorHAnsi" w:hAnsiTheme="majorHAnsi" w:cstheme="majorHAnsi"/>
        </w:rPr>
      </w:pPr>
    </w:p>
    <w:p w14:paraId="1792CE73" w14:textId="42B083C1" w:rsidR="00272B55" w:rsidRDefault="00763F3A" w:rsidP="00B50962">
      <w:pPr>
        <w:rPr>
          <w:rFonts w:asciiTheme="majorHAnsi" w:hAnsiTheme="majorHAnsi" w:cstheme="majorHAnsi"/>
        </w:rPr>
      </w:pPr>
      <w:r>
        <w:rPr>
          <w:rFonts w:asciiTheme="majorHAnsi" w:hAnsiTheme="majorHAnsi" w:cstheme="majorHAnsi"/>
        </w:rPr>
        <w:t>These statistics demonstrate children in care of the State</w:t>
      </w:r>
      <w:r w:rsidR="00754369">
        <w:rPr>
          <w:rFonts w:asciiTheme="majorHAnsi" w:hAnsiTheme="majorHAnsi" w:cstheme="majorHAnsi"/>
        </w:rPr>
        <w:t xml:space="preserve"> need to be specifically focused on reduce inequitable education outcomes. </w:t>
      </w:r>
      <w:r w:rsidR="00D608E5">
        <w:rPr>
          <w:rFonts w:asciiTheme="majorHAnsi" w:hAnsiTheme="majorHAnsi" w:cstheme="majorHAnsi"/>
        </w:rPr>
        <w:t xml:space="preserve">The NSRA </w:t>
      </w:r>
      <w:r w:rsidR="001A2300">
        <w:rPr>
          <w:rFonts w:asciiTheme="majorHAnsi" w:hAnsiTheme="majorHAnsi" w:cstheme="majorHAnsi"/>
        </w:rPr>
        <w:t xml:space="preserve">should be </w:t>
      </w:r>
      <w:r w:rsidR="00D608E5">
        <w:rPr>
          <w:rFonts w:asciiTheme="majorHAnsi" w:hAnsiTheme="majorHAnsi" w:cstheme="majorHAnsi"/>
        </w:rPr>
        <w:t xml:space="preserve">strengthened </w:t>
      </w:r>
      <w:r w:rsidR="001A2300">
        <w:rPr>
          <w:rFonts w:asciiTheme="majorHAnsi" w:hAnsiTheme="majorHAnsi" w:cstheme="majorHAnsi"/>
        </w:rPr>
        <w:t xml:space="preserve">by focusing on </w:t>
      </w:r>
      <w:r w:rsidR="00D608E5">
        <w:rPr>
          <w:rFonts w:asciiTheme="majorHAnsi" w:hAnsiTheme="majorHAnsi" w:cstheme="majorHAnsi"/>
        </w:rPr>
        <w:t>improving outcomes for children in these more vulnerable cohorts.</w:t>
      </w:r>
      <w:r w:rsidR="00272B55">
        <w:rPr>
          <w:rFonts w:asciiTheme="majorHAnsi" w:hAnsiTheme="majorHAnsi" w:cstheme="majorHAnsi"/>
        </w:rPr>
        <w:t xml:space="preserve"> </w:t>
      </w:r>
    </w:p>
    <w:p w14:paraId="6881F59A" w14:textId="5CB7FC92" w:rsidR="005A1CD6" w:rsidRDefault="005A1CD6" w:rsidP="00B50962">
      <w:pPr>
        <w:rPr>
          <w:rFonts w:asciiTheme="majorHAnsi" w:hAnsiTheme="majorHAnsi" w:cstheme="majorHAnsi"/>
        </w:rPr>
      </w:pPr>
    </w:p>
    <w:p w14:paraId="19614EE6" w14:textId="54FF9490" w:rsidR="005A1CD6" w:rsidRDefault="005A1CD6" w:rsidP="00B50962">
      <w:pPr>
        <w:rPr>
          <w:rFonts w:asciiTheme="majorHAnsi" w:hAnsiTheme="majorHAnsi" w:cstheme="majorHAnsi"/>
          <w:b/>
          <w:bCs/>
        </w:rPr>
      </w:pPr>
      <w:r>
        <w:rPr>
          <w:rFonts w:asciiTheme="majorHAnsi" w:hAnsiTheme="majorHAnsi" w:cstheme="majorHAnsi"/>
          <w:b/>
          <w:bCs/>
        </w:rPr>
        <w:t>First Nations perspectives</w:t>
      </w:r>
    </w:p>
    <w:p w14:paraId="6BF34435" w14:textId="6E8C94AB" w:rsidR="005A1CD6" w:rsidRDefault="005A1CD6" w:rsidP="00B50962">
      <w:pPr>
        <w:rPr>
          <w:rFonts w:asciiTheme="majorHAnsi" w:hAnsiTheme="majorHAnsi" w:cstheme="majorHAnsi"/>
          <w:b/>
          <w:bCs/>
        </w:rPr>
      </w:pPr>
    </w:p>
    <w:p w14:paraId="22306839" w14:textId="670FD579" w:rsidR="005A1CD6" w:rsidRDefault="005A1CD6" w:rsidP="00B50962">
      <w:r>
        <w:t xml:space="preserve">The NSRA </w:t>
      </w:r>
      <w:r w:rsidR="00C97D79">
        <w:t>includes Aboriginal and Torres Strait Islander students as an</w:t>
      </w:r>
      <w:r w:rsidR="005F232D">
        <w:t xml:space="preserve"> identified</w:t>
      </w:r>
      <w:r w:rsidR="00C97D79">
        <w:t xml:space="preserve"> equity </w:t>
      </w:r>
      <w:proofErr w:type="gramStart"/>
      <w:r w:rsidR="00C97D79">
        <w:t>cohort, and</w:t>
      </w:r>
      <w:proofErr w:type="gramEnd"/>
      <w:r w:rsidR="00C97D79">
        <w:t xml:space="preserve"> includes a target to increase the proportion of Aboriginal and Torres Strait Islander people attaining a Year 12 or equivalent qualification to 96 per cent by 2031.</w:t>
      </w:r>
    </w:p>
    <w:p w14:paraId="3A6464C5" w14:textId="387AA7CB" w:rsidR="00EA701B" w:rsidRDefault="00EA701B" w:rsidP="00B50962"/>
    <w:p w14:paraId="4AF0F085" w14:textId="77777777" w:rsidR="00D608E5" w:rsidRDefault="00DF1F3F" w:rsidP="00B50962">
      <w:r>
        <w:t>To help achieve these outcomes, education policy and curriculum should promote First Nations cultural practices.</w:t>
      </w:r>
      <w:r w:rsidR="00AC3FCE">
        <w:t xml:space="preserve"> </w:t>
      </w:r>
    </w:p>
    <w:p w14:paraId="1CC87F8A" w14:textId="77777777" w:rsidR="00D608E5" w:rsidRDefault="00D608E5" w:rsidP="00B50962"/>
    <w:p w14:paraId="5483E27F" w14:textId="0A2E756C" w:rsidR="00EA701B" w:rsidRPr="005A1CD6" w:rsidRDefault="00AC3FCE" w:rsidP="00B50962">
      <w:r>
        <w:t xml:space="preserve">This can </w:t>
      </w:r>
      <w:r w:rsidR="00D608E5">
        <w:t>build</w:t>
      </w:r>
      <w:r>
        <w:t xml:space="preserve"> on the foundation provided by the 2020 </w:t>
      </w:r>
      <w:proofErr w:type="spellStart"/>
      <w:r>
        <w:t>Mparntwe</w:t>
      </w:r>
      <w:proofErr w:type="spellEnd"/>
      <w:r>
        <w:t xml:space="preserve"> Education Declaration, signed by Education Ministers across Australia, which calls for a cross-curriculum priority to provide </w:t>
      </w:r>
      <w:r w:rsidR="005F232D">
        <w:t>‘</w:t>
      </w:r>
      <w:r>
        <w:t xml:space="preserve">Aboriginal and Torres Strait Islander students with the ability to see themselves, their identities and cultures reflected in the curriculum and allows all students to engage in reconciliation, respect and recognition of the world’s oldest continuous living </w:t>
      </w:r>
      <w:r w:rsidR="005F232D">
        <w:t>c</w:t>
      </w:r>
      <w:r>
        <w:t>ultures’.</w:t>
      </w:r>
      <w:r>
        <w:rPr>
          <w:rStyle w:val="FootnoteReference"/>
        </w:rPr>
        <w:footnoteReference w:id="3"/>
      </w:r>
    </w:p>
    <w:p w14:paraId="69B58E30" w14:textId="751CC0F8" w:rsidR="00774630" w:rsidRDefault="00774630" w:rsidP="00B50962">
      <w:pPr>
        <w:rPr>
          <w:rFonts w:asciiTheme="majorHAnsi" w:hAnsiTheme="majorHAnsi" w:cstheme="majorHAnsi"/>
        </w:rPr>
      </w:pPr>
    </w:p>
    <w:p w14:paraId="78D4FBFF" w14:textId="4C670B95" w:rsidR="00774630" w:rsidRPr="00774630" w:rsidRDefault="00774630" w:rsidP="00B50962">
      <w:pPr>
        <w:rPr>
          <w:rFonts w:asciiTheme="majorHAnsi" w:hAnsiTheme="majorHAnsi" w:cstheme="majorHAnsi"/>
          <w:b/>
          <w:bCs/>
        </w:rPr>
      </w:pPr>
      <w:r>
        <w:rPr>
          <w:rFonts w:asciiTheme="majorHAnsi" w:hAnsiTheme="majorHAnsi" w:cstheme="majorHAnsi"/>
          <w:b/>
          <w:bCs/>
        </w:rPr>
        <w:t>School disciplinary absences</w:t>
      </w:r>
    </w:p>
    <w:p w14:paraId="5B63DE24" w14:textId="214DFD59" w:rsidR="00B004FC" w:rsidRDefault="00B004FC" w:rsidP="00B50962">
      <w:pPr>
        <w:rPr>
          <w:rFonts w:asciiTheme="majorHAnsi" w:hAnsiTheme="majorHAnsi" w:cstheme="majorHAnsi"/>
        </w:rPr>
      </w:pPr>
    </w:p>
    <w:p w14:paraId="2B71BA86" w14:textId="335B7396" w:rsidR="00774630" w:rsidRDefault="00774630" w:rsidP="00774630">
      <w:r>
        <w:t xml:space="preserve">The NSRA should also consider the use of school disciplinary absences (SDAs), which is an issue of great concern to the QFCC. Overuse of SDAs may impact the right of children and young people to </w:t>
      </w:r>
      <w:proofErr w:type="gramStart"/>
      <w:r>
        <w:t>education, and</w:t>
      </w:r>
      <w:proofErr w:type="gramEnd"/>
      <w:r>
        <w:t xml:space="preserve"> have a profound effect on their ongoing wellbeing.</w:t>
      </w:r>
    </w:p>
    <w:p w14:paraId="788CFE9C" w14:textId="77777777" w:rsidR="00774630" w:rsidRDefault="00774630" w:rsidP="00774630"/>
    <w:p w14:paraId="69FD38DC" w14:textId="77777777" w:rsidR="00DF2C51" w:rsidRDefault="00DF2C51" w:rsidP="00774630">
      <w:r>
        <w:br w:type="page"/>
      </w:r>
    </w:p>
    <w:p w14:paraId="450D7714" w14:textId="142BA8F3" w:rsidR="00774630" w:rsidRDefault="00774630" w:rsidP="00774630">
      <w:r>
        <w:lastRenderedPageBreak/>
        <w:t>In 2021, students with disability made up 46 per cent of all students receiving an SDA in Queensland.</w:t>
      </w:r>
      <w:r>
        <w:rPr>
          <w:rStyle w:val="FootnoteReference"/>
          <w:rFonts w:cstheme="minorHAnsi"/>
        </w:rPr>
        <w:footnoteReference w:id="4"/>
      </w:r>
      <w:r>
        <w:t xml:space="preserve"> Aboriginal students and Torres Strait Islander students made up 25.2 per cent of this cohort,</w:t>
      </w:r>
      <w:r>
        <w:rPr>
          <w:rStyle w:val="FootnoteReference"/>
          <w:rFonts w:cstheme="minorHAnsi"/>
        </w:rPr>
        <w:footnoteReference w:id="5"/>
      </w:r>
      <w:r>
        <w:t xml:space="preserve"> despite c</w:t>
      </w:r>
      <w:r w:rsidRPr="00B70BB5">
        <w:t xml:space="preserve">omprising </w:t>
      </w:r>
      <w:r>
        <w:t>approximately 10 per cent</w:t>
      </w:r>
      <w:r w:rsidRPr="00B70BB5">
        <w:t xml:space="preserve"> of </w:t>
      </w:r>
      <w:r w:rsidR="005F232D">
        <w:t>full-time</w:t>
      </w:r>
      <w:r>
        <w:t xml:space="preserve"> enrolments in Queensland Government schools.</w:t>
      </w:r>
      <w:r>
        <w:rPr>
          <w:rStyle w:val="FootnoteReference"/>
          <w:rFonts w:cstheme="minorHAnsi"/>
        </w:rPr>
        <w:footnoteReference w:id="6"/>
      </w:r>
    </w:p>
    <w:p w14:paraId="4CC67CF4" w14:textId="77777777" w:rsidR="00774630" w:rsidRPr="009F6A94" w:rsidRDefault="00774630" w:rsidP="00774630"/>
    <w:p w14:paraId="309E1049" w14:textId="4A24640D" w:rsidR="00774630" w:rsidRDefault="00774630" w:rsidP="00774630">
      <w:r>
        <w:t xml:space="preserve">Disengagement from education is a known risk factor for contact with the youth justice system. In 2021, the QFCC’s </w:t>
      </w:r>
      <w:hyperlink r:id="rId11" w:tooltip="https://www.qfcc.qld.gov.au/sites/default/files/2021-06/QFCC%20Changing%20the%20Sentence%20lo%20res%20spreads.pdf" w:history="1">
        <w:r w:rsidRPr="00003957">
          <w:rPr>
            <w:rStyle w:val="Hyperlink"/>
            <w:i/>
            <w:iCs/>
          </w:rPr>
          <w:t>Changing the sentence: Overseeing Queensland’s youth justice reforms</w:t>
        </w:r>
      </w:hyperlink>
      <w:r>
        <w:rPr>
          <w:i/>
          <w:iCs/>
        </w:rPr>
        <w:t xml:space="preserve"> </w:t>
      </w:r>
      <w:r>
        <w:t xml:space="preserve">report found around 53 per cent </w:t>
      </w:r>
      <w:r w:rsidRPr="00F0710B">
        <w:t>of children in the statutory youth justice system are disengaged from education, training or employment.</w:t>
      </w:r>
      <w:r>
        <w:rPr>
          <w:rStyle w:val="FootnoteReference"/>
          <w:rFonts w:cstheme="minorHAnsi"/>
        </w:rPr>
        <w:footnoteReference w:id="7"/>
      </w:r>
    </w:p>
    <w:p w14:paraId="72372931" w14:textId="77777777" w:rsidR="00774630" w:rsidRDefault="00774630" w:rsidP="00774630"/>
    <w:p w14:paraId="45E82CA6" w14:textId="6F7FD962" w:rsidR="00774630" w:rsidRDefault="00774630" w:rsidP="00774630">
      <w:r>
        <w:t xml:space="preserve">When a child is suspended from school, not only is their access to education limited, </w:t>
      </w:r>
      <w:proofErr w:type="gramStart"/>
      <w:r>
        <w:t>they</w:t>
      </w:r>
      <w:proofErr w:type="gramEnd"/>
      <w:r>
        <w:t xml:space="preserve"> also lose access to the social and health supports schools offer. Directly and indirectly, schools provide for the welfare of children</w:t>
      </w:r>
      <w:r w:rsidR="005F232D">
        <w:t xml:space="preserve"> as</w:t>
      </w:r>
      <w:r>
        <w:t xml:space="preserve"> school staff are uniquely placed to identify children who may need to be referred for further support. Children who are suspended from school lose what might otherwise be their only accessible support network.</w:t>
      </w:r>
    </w:p>
    <w:p w14:paraId="7323ABF8" w14:textId="77777777" w:rsidR="00774630" w:rsidRDefault="00774630" w:rsidP="00774630"/>
    <w:p w14:paraId="66075817" w14:textId="11FB7F75" w:rsidR="00B004FC" w:rsidRDefault="00774630" w:rsidP="00774630">
      <w:pPr>
        <w:rPr>
          <w:rFonts w:cstheme="minorHAnsi"/>
        </w:rPr>
      </w:pPr>
      <w:r>
        <w:rPr>
          <w:rFonts w:cstheme="minorHAnsi"/>
        </w:rPr>
        <w:t xml:space="preserve">For these reasons, SDAs should be administered only as a last resort. Where students are suspended </w:t>
      </w:r>
      <w:r w:rsidR="00AC3FCE">
        <w:rPr>
          <w:rFonts w:cstheme="minorHAnsi"/>
        </w:rPr>
        <w:t xml:space="preserve">or disengaged </w:t>
      </w:r>
      <w:r>
        <w:rPr>
          <w:rFonts w:cstheme="minorHAnsi"/>
        </w:rPr>
        <w:t xml:space="preserve">from schools, </w:t>
      </w:r>
      <w:r w:rsidR="00AC3FCE">
        <w:rPr>
          <w:rFonts w:cstheme="minorHAnsi"/>
        </w:rPr>
        <w:t xml:space="preserve">alternative </w:t>
      </w:r>
      <w:r>
        <w:rPr>
          <w:rFonts w:cstheme="minorHAnsi"/>
        </w:rPr>
        <w:t>pathways must be provided to make sure children have the opportunity to continue their education and remain connected to school staff who can refer them to broader support services when required.</w:t>
      </w:r>
      <w:r w:rsidR="00AC3FCE">
        <w:rPr>
          <w:rFonts w:cstheme="minorHAnsi"/>
        </w:rPr>
        <w:t xml:space="preserve"> Where children are disengaged from education, alternative programs must be available to successfully re-engage those children.</w:t>
      </w:r>
    </w:p>
    <w:p w14:paraId="6CEF0AF5" w14:textId="28343B5B" w:rsidR="00774630" w:rsidRDefault="00774630" w:rsidP="00774630">
      <w:pPr>
        <w:rPr>
          <w:rFonts w:cstheme="minorHAnsi"/>
        </w:rPr>
      </w:pPr>
    </w:p>
    <w:p w14:paraId="76D5DEEF" w14:textId="3211F88F" w:rsidR="00774630" w:rsidRPr="00774630" w:rsidRDefault="00774630" w:rsidP="00774630">
      <w:pPr>
        <w:rPr>
          <w:rFonts w:cstheme="minorHAnsi"/>
          <w:b/>
          <w:bCs/>
        </w:rPr>
      </w:pPr>
      <w:r>
        <w:rPr>
          <w:rFonts w:cstheme="minorHAnsi"/>
          <w:b/>
          <w:bCs/>
        </w:rPr>
        <w:t>Participation of children in decision-making</w:t>
      </w:r>
    </w:p>
    <w:p w14:paraId="0BF80374" w14:textId="77777777" w:rsidR="00774630" w:rsidRPr="00774630" w:rsidRDefault="00774630" w:rsidP="00774630">
      <w:pPr>
        <w:rPr>
          <w:rFonts w:cstheme="minorHAnsi"/>
        </w:rPr>
      </w:pPr>
    </w:p>
    <w:p w14:paraId="47FCF2E2" w14:textId="2BFE84A3" w:rsidR="00B004FC" w:rsidRDefault="00B004FC" w:rsidP="00774630">
      <w:pPr>
        <w:rPr>
          <w:rFonts w:asciiTheme="majorHAnsi" w:hAnsiTheme="majorHAnsi" w:cstheme="majorHAnsi"/>
        </w:rPr>
      </w:pPr>
      <w:r>
        <w:rPr>
          <w:rFonts w:asciiTheme="majorHAnsi" w:hAnsiTheme="majorHAnsi" w:cstheme="majorHAnsi"/>
        </w:rPr>
        <w:t>Under article 12 of the UNCRC, children have a right to have a say in decisions that affect them</w:t>
      </w:r>
      <w:r w:rsidR="00D16CAE">
        <w:rPr>
          <w:rFonts w:asciiTheme="majorHAnsi" w:hAnsiTheme="majorHAnsi" w:cstheme="majorHAnsi"/>
        </w:rPr>
        <w:t>. The terms of reference for the current review, laid out in Appendix B, speak to the importance of consulting with all parties to the NSRA and all school sectors. However, there is no mention of consulting directly with the children who are at the centre of the education system.</w:t>
      </w:r>
    </w:p>
    <w:p w14:paraId="25FE7DAF" w14:textId="2F28565A" w:rsidR="00D16CAE" w:rsidRDefault="00D16CAE" w:rsidP="00B50962">
      <w:pPr>
        <w:rPr>
          <w:rFonts w:asciiTheme="majorHAnsi" w:hAnsiTheme="majorHAnsi" w:cstheme="majorHAnsi"/>
        </w:rPr>
      </w:pPr>
    </w:p>
    <w:p w14:paraId="64AC0380" w14:textId="77777777" w:rsidR="00562E39" w:rsidRDefault="00562E39" w:rsidP="00562E39">
      <w:r>
        <w:t xml:space="preserve">The QFCC strongly encourages the Productivity Commission to engage directly with children to hear their views and consider their experiences when identifying opportunities to strengthen the NSRA. </w:t>
      </w:r>
    </w:p>
    <w:p w14:paraId="7F5FC52F" w14:textId="77777777" w:rsidR="00562E39" w:rsidRDefault="00562E39" w:rsidP="00562E39"/>
    <w:p w14:paraId="5EBFEDB8" w14:textId="77777777" w:rsidR="00450545" w:rsidRDefault="00562E39" w:rsidP="00450545">
      <w:r>
        <w:t xml:space="preserve">The NSRA should also build in regular opportunities to engage directly with children as part of the measurement framework. </w:t>
      </w:r>
      <w:r w:rsidR="00450545" w:rsidRPr="00562E39">
        <w:t>Evaluations of programs and services for children and young people, including education, should be designed and conducted with the voices of children and young people at the forefront.</w:t>
      </w:r>
    </w:p>
    <w:p w14:paraId="5BBB5710" w14:textId="77777777" w:rsidR="00562E39" w:rsidRDefault="00562E39" w:rsidP="00562E39">
      <w:pPr>
        <w:rPr>
          <w:rFonts w:asciiTheme="majorHAnsi" w:hAnsiTheme="majorHAnsi" w:cstheme="majorHAnsi"/>
        </w:rPr>
      </w:pPr>
    </w:p>
    <w:p w14:paraId="7676EBAC" w14:textId="77777777" w:rsidR="00562E39" w:rsidRDefault="00562E39" w:rsidP="00562E39">
      <w:r>
        <w:t xml:space="preserve">In 2021, the QFCC released the </w:t>
      </w:r>
      <w:r w:rsidRPr="00450545">
        <w:rPr>
          <w:i/>
          <w:iCs/>
        </w:rPr>
        <w:t>Model of Participation</w:t>
      </w:r>
      <w:r>
        <w:t xml:space="preserve">, which helps organisations genuinely connect with young people, support them to share their views, amplify what they tell us and make sure their views influence decision-making. The Model of Participation is available at </w:t>
      </w:r>
      <w:hyperlink r:id="rId12" w:history="1">
        <w:r>
          <w:rPr>
            <w:rStyle w:val="Hyperlink"/>
          </w:rPr>
          <w:t>https://www.qfcc.qld.gov.au/model-participation</w:t>
        </w:r>
      </w:hyperlink>
      <w:r>
        <w:t xml:space="preserve">. </w:t>
      </w:r>
    </w:p>
    <w:p w14:paraId="2C1F344E" w14:textId="44266FE6" w:rsidR="00562E39" w:rsidRDefault="00562E39" w:rsidP="00562E39">
      <w:pPr>
        <w:rPr>
          <w:rFonts w:asciiTheme="majorHAnsi" w:hAnsiTheme="majorHAnsi" w:cstheme="majorHAnsi"/>
        </w:rPr>
      </w:pPr>
    </w:p>
    <w:p w14:paraId="74F6E555" w14:textId="25E9C72F" w:rsidR="00562E39" w:rsidRDefault="00562E39" w:rsidP="00562E39">
      <w:r>
        <w:t xml:space="preserve">In addition, the measurement framework </w:t>
      </w:r>
      <w:r w:rsidRPr="00562E39">
        <w:t xml:space="preserve">should </w:t>
      </w:r>
      <w:r w:rsidR="00450545">
        <w:t>make sure major programs and policy initiatives are</w:t>
      </w:r>
      <w:r w:rsidRPr="00562E39">
        <w:t xml:space="preserve"> evaluated at key time points to ensure they are being implemented as intended and are achieving desired outcomes. </w:t>
      </w:r>
    </w:p>
    <w:p w14:paraId="3DDB27F2" w14:textId="77777777" w:rsidR="00562E39" w:rsidRDefault="00562E39" w:rsidP="00562E39"/>
    <w:p w14:paraId="3A34DC6B" w14:textId="77777777" w:rsidR="00562E39" w:rsidRDefault="00562E39" w:rsidP="00562E39">
      <w:r w:rsidRPr="00562E39">
        <w:lastRenderedPageBreak/>
        <w:t xml:space="preserve">Evaluation findings can inform continuous improvement and provide funders, service providers, clients, and the community with confidence that government funds are being used efficiently and effectively. </w:t>
      </w:r>
    </w:p>
    <w:p w14:paraId="6F468BBD" w14:textId="77777777" w:rsidR="00450545" w:rsidRDefault="00450545" w:rsidP="00B50962">
      <w:pPr>
        <w:rPr>
          <w:rFonts w:asciiTheme="majorHAnsi" w:hAnsiTheme="majorHAnsi" w:cstheme="majorHAnsi"/>
        </w:rPr>
      </w:pPr>
    </w:p>
    <w:p w14:paraId="245ABC31" w14:textId="6C3C82C9" w:rsidR="00B50962" w:rsidRDefault="00B50962" w:rsidP="00B50962">
      <w:pPr>
        <w:rPr>
          <w:rFonts w:asciiTheme="majorHAnsi" w:hAnsiTheme="majorHAnsi" w:cstheme="majorHAnsi"/>
        </w:rPr>
      </w:pPr>
      <w:r>
        <w:rPr>
          <w:rFonts w:asciiTheme="majorHAnsi" w:hAnsiTheme="majorHAnsi" w:cstheme="majorHAnsi"/>
        </w:rPr>
        <w:t xml:space="preserve">If you or your officers have any queries in relation to this matter they may contact </w:t>
      </w:r>
      <w:r w:rsidR="00D608E5">
        <w:rPr>
          <w:rFonts w:asciiTheme="majorHAnsi" w:hAnsiTheme="majorHAnsi" w:cstheme="majorHAnsi"/>
        </w:rPr>
        <w:t>Tony King, Senior Executive Director, Corporate and Communications</w:t>
      </w:r>
      <w:r>
        <w:rPr>
          <w:rFonts w:asciiTheme="majorHAnsi" w:hAnsiTheme="majorHAnsi" w:cstheme="majorHAnsi"/>
        </w:rPr>
        <w:t xml:space="preserve">. </w:t>
      </w:r>
    </w:p>
    <w:p w14:paraId="47F262D1" w14:textId="77777777" w:rsidR="00B50962" w:rsidRDefault="00B50962" w:rsidP="00B50962">
      <w:pPr>
        <w:rPr>
          <w:rFonts w:asciiTheme="majorHAnsi" w:hAnsiTheme="majorHAnsi" w:cstheme="majorHAnsi"/>
        </w:rPr>
      </w:pPr>
    </w:p>
    <w:p w14:paraId="38C5BC8D" w14:textId="51D9DD8C" w:rsidR="00B50962" w:rsidRDefault="00B50962" w:rsidP="00B50962">
      <w:pPr>
        <w:rPr>
          <w:rFonts w:asciiTheme="majorHAnsi" w:hAnsiTheme="majorHAnsi" w:cstheme="majorHAnsi"/>
        </w:rPr>
      </w:pPr>
      <w:r>
        <w:rPr>
          <w:rFonts w:asciiTheme="majorHAnsi" w:hAnsiTheme="majorHAnsi" w:cstheme="majorHAnsi"/>
        </w:rPr>
        <w:t>Yours sincerely</w:t>
      </w:r>
    </w:p>
    <w:p w14:paraId="2E152E8F" w14:textId="77777777" w:rsidR="001E2018" w:rsidRDefault="001E2018" w:rsidP="00B50962">
      <w:pPr>
        <w:rPr>
          <w:rFonts w:asciiTheme="majorHAnsi" w:hAnsiTheme="majorHAnsi" w:cstheme="majorHAnsi"/>
        </w:rPr>
      </w:pPr>
    </w:p>
    <w:p w14:paraId="14DF31C9" w14:textId="54FE05E2" w:rsidR="00B50962" w:rsidRDefault="00B50962" w:rsidP="00B50962">
      <w:pPr>
        <w:rPr>
          <w:rFonts w:asciiTheme="majorHAnsi" w:hAnsiTheme="majorHAnsi" w:cstheme="majorHAnsi"/>
        </w:rPr>
      </w:pPr>
    </w:p>
    <w:p w14:paraId="33AE4564" w14:textId="77777777" w:rsidR="00B50962" w:rsidRDefault="004C2F70" w:rsidP="00B50962">
      <w:pPr>
        <w:pStyle w:val="Heading5"/>
        <w:ind w:left="0"/>
        <w:rPr>
          <w:rFonts w:asciiTheme="majorHAnsi" w:hAnsiTheme="majorHAnsi" w:cstheme="majorHAnsi"/>
          <w:u w:val="none"/>
        </w:rPr>
      </w:pPr>
      <w:r w:rsidRPr="004C2F70">
        <w:rPr>
          <w:rFonts w:asciiTheme="majorHAnsi" w:hAnsiTheme="majorHAnsi" w:cstheme="majorHAnsi"/>
          <w:bCs w:val="0"/>
          <w:u w:val="none"/>
        </w:rPr>
        <w:t>Luke Twyford</w:t>
      </w:r>
      <w:r w:rsidR="00B50962">
        <w:rPr>
          <w:rFonts w:asciiTheme="majorHAnsi" w:hAnsiTheme="majorHAnsi" w:cstheme="majorHAnsi"/>
          <w:b w:val="0"/>
          <w:u w:val="none"/>
        </w:rPr>
        <w:br/>
      </w:r>
      <w:r w:rsidR="00B50962">
        <w:rPr>
          <w:rFonts w:asciiTheme="majorHAnsi" w:hAnsiTheme="majorHAnsi" w:cstheme="majorHAnsi"/>
          <w:u w:val="none"/>
        </w:rPr>
        <w:t>Principal Commissioner</w:t>
      </w:r>
    </w:p>
    <w:p w14:paraId="3FA8CCF1" w14:textId="77777777" w:rsidR="00B50962" w:rsidRDefault="00B50962" w:rsidP="00B50962">
      <w:pPr>
        <w:pStyle w:val="Heading5"/>
        <w:ind w:left="0"/>
        <w:rPr>
          <w:rFonts w:asciiTheme="majorHAnsi" w:hAnsiTheme="majorHAnsi" w:cstheme="majorHAnsi"/>
          <w:u w:val="none"/>
        </w:rPr>
      </w:pPr>
      <w:r>
        <w:rPr>
          <w:rFonts w:asciiTheme="majorHAnsi" w:hAnsiTheme="majorHAnsi" w:cstheme="majorHAnsi"/>
          <w:u w:val="none"/>
        </w:rPr>
        <w:t>Queensland Family and Child Commission</w:t>
      </w:r>
    </w:p>
    <w:p w14:paraId="49CB1B8F" w14:textId="77777777" w:rsidR="00B50962" w:rsidRDefault="00B50962" w:rsidP="00B50962">
      <w:pPr>
        <w:rPr>
          <w:rFonts w:asciiTheme="majorHAnsi" w:hAnsiTheme="majorHAnsi" w:cstheme="majorHAnsi"/>
        </w:rPr>
      </w:pPr>
    </w:p>
    <w:p w14:paraId="0FED06E8" w14:textId="77777777" w:rsidR="00B50962" w:rsidRDefault="00B50962" w:rsidP="00B50962">
      <w:pPr>
        <w:rPr>
          <w:rFonts w:asciiTheme="majorHAnsi" w:hAnsiTheme="majorHAnsi" w:cstheme="majorHAnsi"/>
        </w:rPr>
      </w:pPr>
    </w:p>
    <w:p w14:paraId="0134E2A9" w14:textId="77777777" w:rsidR="00B50962" w:rsidRDefault="00B50962" w:rsidP="00B50962">
      <w:pPr>
        <w:rPr>
          <w:rFonts w:asciiTheme="majorHAnsi" w:hAnsiTheme="majorHAnsi" w:cstheme="majorHAnsi"/>
        </w:rPr>
      </w:pPr>
    </w:p>
    <w:p w14:paraId="64E8128F" w14:textId="77777777" w:rsidR="003A6986" w:rsidRDefault="004B061D"/>
    <w:sectPr w:rsidR="003A6986" w:rsidSect="00B50962">
      <w:headerReference w:type="first" r:id="rId13"/>
      <w:pgSz w:w="11899" w:h="16838"/>
      <w:pgMar w:top="1440" w:right="1693" w:bottom="1440"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D76D2" w14:textId="77777777" w:rsidR="000A0953" w:rsidRDefault="000A0953">
      <w:r>
        <w:separator/>
      </w:r>
    </w:p>
  </w:endnote>
  <w:endnote w:type="continuationSeparator" w:id="0">
    <w:p w14:paraId="312200DA" w14:textId="77777777" w:rsidR="000A0953" w:rsidRDefault="000A0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C0832" w14:textId="77777777" w:rsidR="000A0953" w:rsidRDefault="000A0953">
      <w:r>
        <w:separator/>
      </w:r>
    </w:p>
  </w:footnote>
  <w:footnote w:type="continuationSeparator" w:id="0">
    <w:p w14:paraId="1501F4DD" w14:textId="77777777" w:rsidR="000A0953" w:rsidRDefault="000A0953">
      <w:r>
        <w:continuationSeparator/>
      </w:r>
    </w:p>
  </w:footnote>
  <w:footnote w:id="1">
    <w:p w14:paraId="489C6650" w14:textId="55D88C18" w:rsidR="006C7BF4" w:rsidRPr="00D15EB6" w:rsidRDefault="006C7BF4">
      <w:pPr>
        <w:pStyle w:val="FootnoteText"/>
        <w:rPr>
          <w:rFonts w:asciiTheme="majorHAnsi" w:hAnsiTheme="majorHAnsi" w:cstheme="majorHAnsi"/>
        </w:rPr>
      </w:pPr>
      <w:r w:rsidRPr="00D15EB6">
        <w:rPr>
          <w:rStyle w:val="FootnoteReference"/>
          <w:rFonts w:asciiTheme="majorHAnsi" w:hAnsiTheme="majorHAnsi" w:cstheme="majorHAnsi"/>
          <w:sz w:val="18"/>
          <w:szCs w:val="18"/>
        </w:rPr>
        <w:footnoteRef/>
      </w:r>
      <w:r w:rsidRPr="00D15EB6">
        <w:rPr>
          <w:rFonts w:asciiTheme="majorHAnsi" w:hAnsiTheme="majorHAnsi" w:cstheme="majorHAnsi"/>
          <w:sz w:val="18"/>
          <w:szCs w:val="18"/>
        </w:rPr>
        <w:t xml:space="preserve"> Productivity Commission 2022, </w:t>
      </w:r>
      <w:r w:rsidRPr="00D15EB6">
        <w:rPr>
          <w:rFonts w:asciiTheme="majorHAnsi" w:hAnsiTheme="majorHAnsi" w:cstheme="majorHAnsi"/>
          <w:i/>
          <w:iCs/>
          <w:sz w:val="18"/>
          <w:szCs w:val="18"/>
        </w:rPr>
        <w:t>Report on Government Services 2022</w:t>
      </w:r>
      <w:r w:rsidRPr="00D15EB6">
        <w:rPr>
          <w:rFonts w:asciiTheme="majorHAnsi" w:hAnsiTheme="majorHAnsi" w:cstheme="majorHAnsi"/>
          <w:sz w:val="18"/>
          <w:szCs w:val="18"/>
        </w:rPr>
        <w:t xml:space="preserve">, Part F, Section 16: Child Protection Services, </w:t>
      </w:r>
      <w:r w:rsidR="0001500A" w:rsidRPr="00D15EB6">
        <w:rPr>
          <w:rFonts w:asciiTheme="majorHAnsi" w:hAnsiTheme="majorHAnsi" w:cstheme="majorHAnsi"/>
          <w:sz w:val="18"/>
          <w:szCs w:val="18"/>
        </w:rPr>
        <w:t xml:space="preserve">table 16A.39, </w:t>
      </w:r>
      <w:hyperlink r:id="rId1" w:history="1">
        <w:r w:rsidR="0001500A" w:rsidRPr="00D15EB6">
          <w:rPr>
            <w:rStyle w:val="Hyperlink"/>
            <w:rFonts w:asciiTheme="majorHAnsi" w:hAnsiTheme="majorHAnsi" w:cstheme="majorHAnsi"/>
            <w:sz w:val="18"/>
            <w:szCs w:val="18"/>
          </w:rPr>
          <w:t>https://www.pc.gov.au/research/ongoing/report-on-government-services/2022/community-services/child-protection</w:t>
        </w:r>
      </w:hyperlink>
      <w:r w:rsidR="0001500A" w:rsidRPr="00D15EB6">
        <w:rPr>
          <w:rFonts w:asciiTheme="majorHAnsi" w:hAnsiTheme="majorHAnsi" w:cstheme="majorHAnsi"/>
          <w:sz w:val="18"/>
          <w:szCs w:val="18"/>
        </w:rPr>
        <w:t>, accessed 16 June 2022.</w:t>
      </w:r>
    </w:p>
  </w:footnote>
  <w:footnote w:id="2">
    <w:p w14:paraId="3FF3444C" w14:textId="454D2AE5" w:rsidR="00272B55" w:rsidRPr="00272B55" w:rsidRDefault="00272B55" w:rsidP="00272B55">
      <w:r w:rsidRPr="00272B55">
        <w:rPr>
          <w:rStyle w:val="FootnoteReference"/>
          <w:sz w:val="18"/>
          <w:szCs w:val="20"/>
        </w:rPr>
        <w:footnoteRef/>
      </w:r>
      <w:r w:rsidRPr="00272B55">
        <w:rPr>
          <w:sz w:val="18"/>
          <w:szCs w:val="20"/>
        </w:rPr>
        <w:t xml:space="preserve"> </w:t>
      </w:r>
      <w:proofErr w:type="spellStart"/>
      <w:r w:rsidRPr="00272B55">
        <w:rPr>
          <w:sz w:val="18"/>
          <w:szCs w:val="20"/>
        </w:rPr>
        <w:t>Te</w:t>
      </w:r>
      <w:proofErr w:type="spellEnd"/>
      <w:r w:rsidRPr="00272B55">
        <w:rPr>
          <w:sz w:val="18"/>
          <w:szCs w:val="20"/>
        </w:rPr>
        <w:t xml:space="preserve"> </w:t>
      </w:r>
      <w:proofErr w:type="spellStart"/>
      <w:r w:rsidRPr="00272B55">
        <w:rPr>
          <w:sz w:val="18"/>
          <w:szCs w:val="20"/>
        </w:rPr>
        <w:t>Riele</w:t>
      </w:r>
      <w:proofErr w:type="spellEnd"/>
      <w:r w:rsidRPr="00272B55">
        <w:rPr>
          <w:sz w:val="18"/>
          <w:szCs w:val="20"/>
        </w:rPr>
        <w:t xml:space="preserve"> K et al 2022 ‘Attending school every day counts – but kids in out-of-home care are missing out’, </w:t>
      </w:r>
      <w:r w:rsidRPr="00272B55">
        <w:rPr>
          <w:i/>
          <w:iCs/>
          <w:sz w:val="18"/>
          <w:szCs w:val="20"/>
        </w:rPr>
        <w:t>The Conversation</w:t>
      </w:r>
      <w:r w:rsidRPr="00272B55">
        <w:rPr>
          <w:sz w:val="18"/>
          <w:szCs w:val="20"/>
        </w:rPr>
        <w:t xml:space="preserve">, 11 May, </w:t>
      </w:r>
      <w:hyperlink r:id="rId2" w:history="1">
        <w:r w:rsidRPr="00272B55">
          <w:rPr>
            <w:rStyle w:val="Hyperlink"/>
            <w:sz w:val="18"/>
            <w:szCs w:val="20"/>
          </w:rPr>
          <w:t>https://theconversation.com/attending-school-every-day-counts-but-kids-in-out-of-home-care-are-missing-out-182299</w:t>
        </w:r>
      </w:hyperlink>
      <w:r w:rsidRPr="00272B55">
        <w:rPr>
          <w:sz w:val="18"/>
          <w:szCs w:val="20"/>
        </w:rPr>
        <w:t>, accessed 15 June 2022.</w:t>
      </w:r>
    </w:p>
  </w:footnote>
  <w:footnote w:id="3">
    <w:p w14:paraId="73A55937" w14:textId="59FEEE8E" w:rsidR="00AC3FCE" w:rsidRPr="00AC3FCE" w:rsidRDefault="00AC3FCE" w:rsidP="00AC3FCE">
      <w:pPr>
        <w:rPr>
          <w:sz w:val="18"/>
          <w:szCs w:val="20"/>
        </w:rPr>
      </w:pPr>
      <w:r w:rsidRPr="00AC3FCE">
        <w:rPr>
          <w:rStyle w:val="FootnoteReference"/>
          <w:sz w:val="18"/>
          <w:szCs w:val="20"/>
        </w:rPr>
        <w:footnoteRef/>
      </w:r>
      <w:r w:rsidRPr="00AC3FCE">
        <w:rPr>
          <w:sz w:val="18"/>
          <w:szCs w:val="20"/>
        </w:rPr>
        <w:t xml:space="preserve"> Education Council 2020 </w:t>
      </w:r>
      <w:r w:rsidRPr="00AC3FCE">
        <w:rPr>
          <w:i/>
          <w:iCs/>
          <w:sz w:val="18"/>
          <w:szCs w:val="20"/>
        </w:rPr>
        <w:t>Alice Springs (</w:t>
      </w:r>
      <w:proofErr w:type="spellStart"/>
      <w:r w:rsidRPr="00AC3FCE">
        <w:rPr>
          <w:i/>
          <w:iCs/>
          <w:sz w:val="18"/>
          <w:szCs w:val="20"/>
        </w:rPr>
        <w:t>Mpartnwe</w:t>
      </w:r>
      <w:proofErr w:type="spellEnd"/>
      <w:r w:rsidRPr="00AC3FCE">
        <w:rPr>
          <w:i/>
          <w:iCs/>
          <w:sz w:val="18"/>
          <w:szCs w:val="20"/>
        </w:rPr>
        <w:t>) Education Declaration</w:t>
      </w:r>
      <w:r w:rsidRPr="00AC3FCE">
        <w:rPr>
          <w:sz w:val="18"/>
          <w:szCs w:val="20"/>
        </w:rPr>
        <w:t xml:space="preserve">, </w:t>
      </w:r>
      <w:hyperlink r:id="rId3" w:history="1">
        <w:r w:rsidRPr="00AC3FCE">
          <w:rPr>
            <w:rStyle w:val="Hyperlink"/>
            <w:sz w:val="18"/>
            <w:szCs w:val="20"/>
          </w:rPr>
          <w:t>https://www.dese.gov.au/alice-springs-mparntwe-education-declaration/resources/alice-springs-mparntwe-education-declaration</w:t>
        </w:r>
      </w:hyperlink>
      <w:r w:rsidRPr="00AC3FCE">
        <w:rPr>
          <w:sz w:val="18"/>
          <w:szCs w:val="20"/>
        </w:rPr>
        <w:t>, accessed 15 June 2022.</w:t>
      </w:r>
    </w:p>
  </w:footnote>
  <w:footnote w:id="4">
    <w:p w14:paraId="0F7311C7" w14:textId="77777777" w:rsidR="00774630" w:rsidRPr="00AC3FCE" w:rsidRDefault="00774630" w:rsidP="00AC3FCE">
      <w:pPr>
        <w:rPr>
          <w:sz w:val="18"/>
          <w:szCs w:val="20"/>
        </w:rPr>
      </w:pPr>
      <w:r w:rsidRPr="00AC3FCE">
        <w:rPr>
          <w:rStyle w:val="FootnoteReference"/>
          <w:sz w:val="18"/>
          <w:szCs w:val="20"/>
        </w:rPr>
        <w:footnoteRef/>
      </w:r>
      <w:r w:rsidRPr="00AC3FCE">
        <w:rPr>
          <w:sz w:val="18"/>
          <w:szCs w:val="20"/>
        </w:rPr>
        <w:t xml:space="preserve"> Queensland Parliament, Answer to Question on Notice No. 282, asked 29 March 2022.</w:t>
      </w:r>
    </w:p>
  </w:footnote>
  <w:footnote w:id="5">
    <w:p w14:paraId="4C7DA701" w14:textId="77777777" w:rsidR="00774630" w:rsidRPr="00AC3FCE" w:rsidRDefault="00774630" w:rsidP="00AC3FCE">
      <w:pPr>
        <w:rPr>
          <w:sz w:val="18"/>
          <w:szCs w:val="20"/>
        </w:rPr>
      </w:pPr>
      <w:r w:rsidRPr="00AC3FCE">
        <w:rPr>
          <w:rStyle w:val="FootnoteReference"/>
          <w:sz w:val="18"/>
          <w:szCs w:val="20"/>
        </w:rPr>
        <w:footnoteRef/>
      </w:r>
      <w:r w:rsidRPr="00AC3FCE">
        <w:rPr>
          <w:sz w:val="18"/>
          <w:szCs w:val="20"/>
        </w:rPr>
        <w:t xml:space="preserve"> Queensland Parliament, Answer to Question on Notice No. 282, asked 29 March 2022.</w:t>
      </w:r>
    </w:p>
  </w:footnote>
  <w:footnote w:id="6">
    <w:p w14:paraId="0B7CB58C" w14:textId="52D1CCBA" w:rsidR="00774630" w:rsidRPr="00AC3FCE" w:rsidRDefault="00774630" w:rsidP="00AC3FCE">
      <w:pPr>
        <w:rPr>
          <w:sz w:val="18"/>
          <w:szCs w:val="20"/>
        </w:rPr>
      </w:pPr>
      <w:r w:rsidRPr="00AC3FCE">
        <w:rPr>
          <w:rStyle w:val="FootnoteReference"/>
          <w:sz w:val="18"/>
          <w:szCs w:val="20"/>
        </w:rPr>
        <w:footnoteRef/>
      </w:r>
      <w:r w:rsidRPr="00AC3FCE">
        <w:rPr>
          <w:sz w:val="18"/>
          <w:szCs w:val="20"/>
        </w:rPr>
        <w:t xml:space="preserve"> Report on Government Services 2022, </w:t>
      </w:r>
      <w:r w:rsidRPr="00AC3FCE">
        <w:rPr>
          <w:sz w:val="18"/>
          <w:szCs w:val="18"/>
        </w:rPr>
        <w:t xml:space="preserve">Part b, Section 4: School Education, School Education Data Tables, Table 4A.5 accessed </w:t>
      </w:r>
      <w:r w:rsidR="00AC3FCE" w:rsidRPr="00AC3FCE">
        <w:rPr>
          <w:sz w:val="18"/>
          <w:szCs w:val="18"/>
        </w:rPr>
        <w:t>15 June</w:t>
      </w:r>
      <w:r w:rsidRPr="00AC3FCE">
        <w:rPr>
          <w:sz w:val="18"/>
          <w:szCs w:val="18"/>
        </w:rPr>
        <w:t xml:space="preserve"> 2022</w:t>
      </w:r>
      <w:r w:rsidRPr="00AC3FCE">
        <w:rPr>
          <w:sz w:val="16"/>
          <w:szCs w:val="16"/>
        </w:rPr>
        <w:t xml:space="preserve"> </w:t>
      </w:r>
    </w:p>
  </w:footnote>
  <w:footnote w:id="7">
    <w:p w14:paraId="4A4D69B7" w14:textId="2E15FD7B" w:rsidR="00774630" w:rsidRPr="00F0710B" w:rsidRDefault="00774630" w:rsidP="00AC3FCE">
      <w:r w:rsidRPr="00AC3FCE">
        <w:rPr>
          <w:rStyle w:val="FootnoteReference"/>
          <w:sz w:val="18"/>
          <w:szCs w:val="20"/>
        </w:rPr>
        <w:footnoteRef/>
      </w:r>
      <w:r w:rsidRPr="00AC3FCE">
        <w:rPr>
          <w:sz w:val="18"/>
          <w:szCs w:val="20"/>
        </w:rPr>
        <w:t xml:space="preserve"> Queensland Family and Child Commission 2021, </w:t>
      </w:r>
      <w:r w:rsidRPr="00AC3FCE">
        <w:rPr>
          <w:i/>
          <w:iCs/>
          <w:sz w:val="18"/>
          <w:szCs w:val="20"/>
        </w:rPr>
        <w:t>Changing the sentence: overseeing Queensland’s youth justice reforms</w:t>
      </w:r>
      <w:r w:rsidRPr="00AC3FCE">
        <w:rPr>
          <w:sz w:val="18"/>
          <w:szCs w:val="20"/>
        </w:rPr>
        <w:t xml:space="preserve">, </w:t>
      </w:r>
      <w:hyperlink r:id="rId4" w:history="1">
        <w:r w:rsidRPr="00AC3FCE">
          <w:rPr>
            <w:rStyle w:val="Hyperlink"/>
            <w:sz w:val="18"/>
            <w:szCs w:val="20"/>
          </w:rPr>
          <w:t>https://www.qfcc.qld.gov.au/keeping-kids-more-safe/monitoring-reviewing-systems-protect-children/changing-sentence</w:t>
        </w:r>
      </w:hyperlink>
      <w:r w:rsidRPr="00AC3FCE">
        <w:rPr>
          <w:sz w:val="18"/>
          <w:szCs w:val="20"/>
        </w:rPr>
        <w:t xml:space="preserve">, accessed </w:t>
      </w:r>
      <w:r w:rsidR="00AC3FCE" w:rsidRPr="00AC3FCE">
        <w:rPr>
          <w:sz w:val="18"/>
          <w:szCs w:val="20"/>
        </w:rPr>
        <w:t>15 June</w:t>
      </w:r>
      <w:r w:rsidRPr="00AC3FCE">
        <w:rPr>
          <w:sz w:val="18"/>
          <w:szCs w:val="20"/>
        </w:rPr>
        <w:t xml:space="preserv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093FF" w14:textId="77777777" w:rsidR="00B50962" w:rsidRDefault="00002862">
    <w:r>
      <w:rPr>
        <w:rFonts w:asciiTheme="majorHAnsi" w:hAnsiTheme="majorHAnsi" w:cstheme="majorHAnsi"/>
        <w:i/>
        <w:noProof/>
        <w:color w:val="7F7F7F" w:themeColor="text1" w:themeTint="80"/>
        <w:lang w:eastAsia="en-AU"/>
      </w:rPr>
      <w:drawing>
        <wp:anchor distT="0" distB="0" distL="114300" distR="114300" simplePos="0" relativeHeight="251658240" behindDoc="1" locked="0" layoutInCell="1" allowOverlap="1" wp14:anchorId="59C9F4B7" wp14:editId="33BDE766">
          <wp:simplePos x="0" y="0"/>
          <wp:positionH relativeFrom="page">
            <wp:align>right</wp:align>
          </wp:positionH>
          <wp:positionV relativeFrom="paragraph">
            <wp:posOffset>-457200</wp:posOffset>
          </wp:positionV>
          <wp:extent cx="2094230" cy="107632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4230" cy="10763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3022F"/>
    <w:multiLevelType w:val="hybridMultilevel"/>
    <w:tmpl w:val="C46044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54F"/>
    <w:rsid w:val="00002862"/>
    <w:rsid w:val="00003957"/>
    <w:rsid w:val="00003DFD"/>
    <w:rsid w:val="00010D67"/>
    <w:rsid w:val="0001500A"/>
    <w:rsid w:val="00034CC7"/>
    <w:rsid w:val="0003711C"/>
    <w:rsid w:val="00075A9D"/>
    <w:rsid w:val="000A0953"/>
    <w:rsid w:val="000A3CA4"/>
    <w:rsid w:val="000A5622"/>
    <w:rsid w:val="000D7BC5"/>
    <w:rsid w:val="000F11F1"/>
    <w:rsid w:val="00155954"/>
    <w:rsid w:val="001816EF"/>
    <w:rsid w:val="00181797"/>
    <w:rsid w:val="001A2300"/>
    <w:rsid w:val="001D4141"/>
    <w:rsid w:val="001E2018"/>
    <w:rsid w:val="00203E8F"/>
    <w:rsid w:val="0021170B"/>
    <w:rsid w:val="0022209E"/>
    <w:rsid w:val="00240A11"/>
    <w:rsid w:val="002704A8"/>
    <w:rsid w:val="00272B55"/>
    <w:rsid w:val="002A44A2"/>
    <w:rsid w:val="002F0656"/>
    <w:rsid w:val="00341EFC"/>
    <w:rsid w:val="003D0CE3"/>
    <w:rsid w:val="003E2D78"/>
    <w:rsid w:val="00450545"/>
    <w:rsid w:val="004B061D"/>
    <w:rsid w:val="004B3595"/>
    <w:rsid w:val="004C2F70"/>
    <w:rsid w:val="00542DE3"/>
    <w:rsid w:val="00562E39"/>
    <w:rsid w:val="00565C9E"/>
    <w:rsid w:val="00575BC8"/>
    <w:rsid w:val="005A1CD6"/>
    <w:rsid w:val="005F232D"/>
    <w:rsid w:val="00612EE2"/>
    <w:rsid w:val="006C7BF4"/>
    <w:rsid w:val="006D354F"/>
    <w:rsid w:val="00704A01"/>
    <w:rsid w:val="00732CB7"/>
    <w:rsid w:val="00737122"/>
    <w:rsid w:val="00754369"/>
    <w:rsid w:val="00763F3A"/>
    <w:rsid w:val="00774630"/>
    <w:rsid w:val="007F4149"/>
    <w:rsid w:val="00843047"/>
    <w:rsid w:val="00871D35"/>
    <w:rsid w:val="008F421A"/>
    <w:rsid w:val="009100C2"/>
    <w:rsid w:val="00957B6D"/>
    <w:rsid w:val="009845C5"/>
    <w:rsid w:val="00A21934"/>
    <w:rsid w:val="00A512E7"/>
    <w:rsid w:val="00A52E79"/>
    <w:rsid w:val="00A76A8B"/>
    <w:rsid w:val="00AC3FCE"/>
    <w:rsid w:val="00AF38E3"/>
    <w:rsid w:val="00B004FC"/>
    <w:rsid w:val="00B50962"/>
    <w:rsid w:val="00BA1E54"/>
    <w:rsid w:val="00BF6835"/>
    <w:rsid w:val="00C33644"/>
    <w:rsid w:val="00C60B99"/>
    <w:rsid w:val="00C97D79"/>
    <w:rsid w:val="00CD2B0D"/>
    <w:rsid w:val="00D15EB6"/>
    <w:rsid w:val="00D16CAE"/>
    <w:rsid w:val="00D26E85"/>
    <w:rsid w:val="00D608E5"/>
    <w:rsid w:val="00D85EB8"/>
    <w:rsid w:val="00DC7119"/>
    <w:rsid w:val="00DE54D3"/>
    <w:rsid w:val="00DF000E"/>
    <w:rsid w:val="00DF1F3F"/>
    <w:rsid w:val="00DF2C51"/>
    <w:rsid w:val="00E01052"/>
    <w:rsid w:val="00E5464C"/>
    <w:rsid w:val="00EA35A2"/>
    <w:rsid w:val="00EA701B"/>
    <w:rsid w:val="00EB2F88"/>
    <w:rsid w:val="00F157AC"/>
    <w:rsid w:val="00F25A94"/>
    <w:rsid w:val="00F50C70"/>
    <w:rsid w:val="00F7712C"/>
    <w:rsid w:val="00F80D0A"/>
    <w:rsid w:val="00FF1EF8"/>
    <w:rsid w:val="00FF33E7"/>
  </w:rsids>
  <m:mathPr>
    <m:mathFont m:val="Cambria Math"/>
    <m:brkBin m:val="before"/>
    <m:brkBinSub m:val="--"/>
    <m:smallFrac m:val="0"/>
    <m:dispDef m:val="0"/>
    <m:lMargin m:val="0"/>
    <m:rMargin m:val="0"/>
    <m:defJc m:val="centerGroup"/>
    <m:wrapRight/>
    <m:intLim m:val="subSup"/>
    <m:naryLim m:val="subSup"/>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C63EF85"/>
  <w15:docId w15:val="{F8AD185E-BFC7-4E58-B052-DA310EEB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11"/>
    <w:rPr>
      <w:rFonts w:ascii="Calibri" w:hAnsi="Calibri"/>
      <w:sz w:val="22"/>
      <w:szCs w:val="24"/>
    </w:rPr>
  </w:style>
  <w:style w:type="paragraph" w:styleId="Heading1">
    <w:name w:val="heading 1"/>
    <w:basedOn w:val="Normal"/>
    <w:next w:val="Normal"/>
    <w:link w:val="Heading1Char"/>
    <w:qFormat/>
    <w:rsid w:val="00240A11"/>
    <w:pPr>
      <w:keepNext/>
      <w:keepLines/>
      <w:spacing w:before="240"/>
      <w:outlineLvl w:val="0"/>
    </w:pPr>
    <w:rPr>
      <w:rFonts w:ascii="Arial" w:eastAsiaTheme="majorEastAsia" w:hAnsi="Arial" w:cstheme="majorBidi"/>
      <w:b/>
      <w:color w:val="4D5357"/>
      <w:sz w:val="68"/>
      <w:szCs w:val="32"/>
    </w:rPr>
  </w:style>
  <w:style w:type="paragraph" w:styleId="Heading2">
    <w:name w:val="heading 2"/>
    <w:basedOn w:val="Normal"/>
    <w:next w:val="Normal"/>
    <w:link w:val="Heading2Char"/>
    <w:unhideWhenUsed/>
    <w:qFormat/>
    <w:rsid w:val="00240A11"/>
    <w:pPr>
      <w:keepNext/>
      <w:keepLines/>
      <w:spacing w:before="40"/>
      <w:outlineLvl w:val="1"/>
    </w:pPr>
    <w:rPr>
      <w:rFonts w:ascii="Arial" w:eastAsiaTheme="majorEastAsia" w:hAnsi="Arial" w:cstheme="majorBidi"/>
      <w:b/>
      <w:color w:val="4D5357"/>
      <w:sz w:val="40"/>
      <w:szCs w:val="26"/>
    </w:rPr>
  </w:style>
  <w:style w:type="paragraph" w:styleId="Heading3">
    <w:name w:val="heading 3"/>
    <w:basedOn w:val="Normal"/>
    <w:next w:val="Normal"/>
    <w:link w:val="Heading3Char"/>
    <w:uiPriority w:val="9"/>
    <w:unhideWhenUsed/>
    <w:qFormat/>
    <w:rsid w:val="00240A11"/>
    <w:pPr>
      <w:keepNext/>
      <w:keepLines/>
      <w:spacing w:before="40"/>
      <w:outlineLvl w:val="2"/>
    </w:pPr>
    <w:rPr>
      <w:rFonts w:ascii="Arial" w:eastAsiaTheme="majorEastAsia" w:hAnsi="Arial" w:cstheme="majorBidi"/>
      <w:b/>
      <w:color w:val="4D5357"/>
      <w:sz w:val="30"/>
    </w:rPr>
  </w:style>
  <w:style w:type="paragraph" w:styleId="Heading4">
    <w:name w:val="heading 4"/>
    <w:basedOn w:val="Normal"/>
    <w:next w:val="Normal"/>
    <w:link w:val="Heading4Char"/>
    <w:uiPriority w:val="9"/>
    <w:unhideWhenUsed/>
    <w:qFormat/>
    <w:rsid w:val="00240A11"/>
    <w:pPr>
      <w:keepNext/>
      <w:keepLines/>
      <w:spacing w:before="40" w:line="260" w:lineRule="atLeast"/>
      <w:ind w:left="864" w:hanging="864"/>
      <w:outlineLvl w:val="3"/>
    </w:pPr>
    <w:rPr>
      <w:rFonts w:ascii="Arial" w:eastAsiaTheme="majorEastAsia" w:hAnsi="Arial" w:cstheme="majorBidi"/>
      <w:b/>
      <w:iCs/>
      <w:color w:val="4D5357"/>
      <w:sz w:val="26"/>
      <w:szCs w:val="20"/>
      <w:lang w:eastAsia="ko-KR"/>
    </w:rPr>
  </w:style>
  <w:style w:type="paragraph" w:styleId="Heading5">
    <w:name w:val="heading 5"/>
    <w:basedOn w:val="Normal"/>
    <w:next w:val="Normal"/>
    <w:link w:val="Heading5Char"/>
    <w:semiHidden/>
    <w:unhideWhenUsed/>
    <w:qFormat/>
    <w:rsid w:val="00B50962"/>
    <w:pPr>
      <w:keepNext/>
      <w:autoSpaceDE w:val="0"/>
      <w:autoSpaceDN w:val="0"/>
      <w:ind w:left="-720"/>
      <w:outlineLvl w:val="4"/>
    </w:pPr>
    <w:rPr>
      <w:rFonts w:ascii="Arial" w:eastAsia="Times New Roman" w:hAnsi="Arial" w:cs="Arial"/>
      <w:b/>
      <w:bCs/>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40A11"/>
    <w:pPr>
      <w:spacing w:line="260" w:lineRule="atLeast"/>
    </w:pPr>
    <w:rPr>
      <w:rFonts w:eastAsia="Batang" w:cs="Times New Roman"/>
      <w:sz w:val="20"/>
      <w:szCs w:val="20"/>
      <w:lang w:eastAsia="ko-KR"/>
    </w:rPr>
  </w:style>
  <w:style w:type="character" w:customStyle="1" w:styleId="BodyTextChar">
    <w:name w:val="Body Text Char"/>
    <w:basedOn w:val="DefaultParagraphFont"/>
    <w:link w:val="BodyText"/>
    <w:rsid w:val="00240A11"/>
    <w:rPr>
      <w:rFonts w:ascii="Calibri" w:eastAsia="Batang" w:hAnsi="Calibri" w:cs="Times New Roman"/>
      <w:lang w:eastAsia="ko-KR"/>
    </w:rPr>
  </w:style>
  <w:style w:type="character" w:styleId="Emphasis">
    <w:name w:val="Emphasis"/>
    <w:basedOn w:val="DefaultParagraphFont"/>
    <w:uiPriority w:val="20"/>
    <w:qFormat/>
    <w:rsid w:val="00240A11"/>
    <w:rPr>
      <w:rFonts w:asciiTheme="majorHAnsi" w:hAnsiTheme="majorHAnsi"/>
      <w:b/>
      <w:i w:val="0"/>
      <w:iCs/>
      <w:sz w:val="22"/>
    </w:rPr>
  </w:style>
  <w:style w:type="paragraph" w:styleId="Footer">
    <w:name w:val="footer"/>
    <w:basedOn w:val="Normal"/>
    <w:link w:val="FooterChar"/>
    <w:uiPriority w:val="99"/>
    <w:unhideWhenUsed/>
    <w:rsid w:val="00240A11"/>
    <w:pPr>
      <w:tabs>
        <w:tab w:val="center" w:pos="4513"/>
        <w:tab w:val="right" w:pos="9026"/>
      </w:tabs>
    </w:pPr>
    <w:rPr>
      <w:sz w:val="20"/>
    </w:rPr>
  </w:style>
  <w:style w:type="character" w:customStyle="1" w:styleId="FooterChar">
    <w:name w:val="Footer Char"/>
    <w:basedOn w:val="DefaultParagraphFont"/>
    <w:link w:val="Footer"/>
    <w:uiPriority w:val="99"/>
    <w:rsid w:val="00240A11"/>
    <w:rPr>
      <w:rFonts w:ascii="Calibri" w:hAnsi="Calibri"/>
      <w:szCs w:val="24"/>
    </w:rPr>
  </w:style>
  <w:style w:type="character" w:customStyle="1" w:styleId="Heading1Char">
    <w:name w:val="Heading 1 Char"/>
    <w:basedOn w:val="DefaultParagraphFont"/>
    <w:link w:val="Heading1"/>
    <w:rsid w:val="00240A11"/>
    <w:rPr>
      <w:rFonts w:ascii="Arial" w:eastAsiaTheme="majorEastAsia" w:hAnsi="Arial" w:cstheme="majorBidi"/>
      <w:b/>
      <w:color w:val="4D5357"/>
      <w:sz w:val="68"/>
      <w:szCs w:val="32"/>
    </w:rPr>
  </w:style>
  <w:style w:type="character" w:customStyle="1" w:styleId="Heading5Char">
    <w:name w:val="Heading 5 Char"/>
    <w:basedOn w:val="DefaultParagraphFont"/>
    <w:link w:val="Heading5"/>
    <w:semiHidden/>
    <w:rsid w:val="00B50962"/>
    <w:rPr>
      <w:rFonts w:ascii="Arial" w:eastAsia="Times New Roman" w:hAnsi="Arial" w:cs="Arial"/>
      <w:b/>
      <w:bCs/>
      <w:sz w:val="22"/>
      <w:szCs w:val="22"/>
      <w:u w:val="single"/>
    </w:rPr>
  </w:style>
  <w:style w:type="character" w:customStyle="1" w:styleId="Heading2Char">
    <w:name w:val="Heading 2 Char"/>
    <w:basedOn w:val="DefaultParagraphFont"/>
    <w:link w:val="Heading2"/>
    <w:rsid w:val="00240A11"/>
    <w:rPr>
      <w:rFonts w:ascii="Arial" w:eastAsiaTheme="majorEastAsia" w:hAnsi="Arial" w:cstheme="majorBidi"/>
      <w:b/>
      <w:color w:val="4D5357"/>
      <w:sz w:val="40"/>
      <w:szCs w:val="26"/>
    </w:rPr>
  </w:style>
  <w:style w:type="character" w:customStyle="1" w:styleId="Heading3Char">
    <w:name w:val="Heading 3 Char"/>
    <w:basedOn w:val="DefaultParagraphFont"/>
    <w:link w:val="Heading3"/>
    <w:uiPriority w:val="9"/>
    <w:rsid w:val="00240A11"/>
    <w:rPr>
      <w:rFonts w:ascii="Arial" w:eastAsiaTheme="majorEastAsia" w:hAnsi="Arial" w:cstheme="majorBidi"/>
      <w:b/>
      <w:color w:val="4D5357"/>
      <w:sz w:val="30"/>
      <w:szCs w:val="24"/>
    </w:rPr>
  </w:style>
  <w:style w:type="character" w:customStyle="1" w:styleId="Heading4Char">
    <w:name w:val="Heading 4 Char"/>
    <w:basedOn w:val="DefaultParagraphFont"/>
    <w:link w:val="Heading4"/>
    <w:uiPriority w:val="9"/>
    <w:rsid w:val="00240A11"/>
    <w:rPr>
      <w:rFonts w:ascii="Arial" w:eastAsiaTheme="majorEastAsia" w:hAnsi="Arial" w:cstheme="majorBidi"/>
      <w:b/>
      <w:iCs/>
      <w:color w:val="4D5357"/>
      <w:sz w:val="26"/>
      <w:lang w:eastAsia="ko-KR"/>
    </w:rPr>
  </w:style>
  <w:style w:type="character" w:styleId="Hyperlink">
    <w:name w:val="Hyperlink"/>
    <w:basedOn w:val="DefaultParagraphFont"/>
    <w:uiPriority w:val="99"/>
    <w:unhideWhenUsed/>
    <w:rsid w:val="00240A11"/>
    <w:rPr>
      <w:color w:val="0000FF" w:themeColor="hyperlink"/>
      <w:u w:val="single"/>
    </w:rPr>
  </w:style>
  <w:style w:type="character" w:styleId="IntenseEmphasis">
    <w:name w:val="Intense Emphasis"/>
    <w:basedOn w:val="DefaultParagraphFont"/>
    <w:uiPriority w:val="21"/>
    <w:qFormat/>
    <w:rsid w:val="00240A11"/>
    <w:rPr>
      <w:rFonts w:ascii="Calibri" w:hAnsi="Calibri"/>
      <w:b/>
      <w:i w:val="0"/>
      <w:iCs/>
      <w:color w:val="auto"/>
      <w:sz w:val="22"/>
    </w:rPr>
  </w:style>
  <w:style w:type="character" w:styleId="IntenseReference">
    <w:name w:val="Intense Reference"/>
    <w:basedOn w:val="DefaultParagraphFont"/>
    <w:uiPriority w:val="32"/>
    <w:qFormat/>
    <w:rsid w:val="00240A11"/>
    <w:rPr>
      <w:rFonts w:ascii="Calibri" w:hAnsi="Calibri"/>
      <w:b/>
      <w:bCs/>
      <w:smallCaps/>
      <w:color w:val="auto"/>
      <w:spacing w:val="5"/>
      <w:sz w:val="20"/>
    </w:rPr>
  </w:style>
  <w:style w:type="paragraph" w:styleId="ListParagraph">
    <w:name w:val="List Paragraph"/>
    <w:basedOn w:val="Normal"/>
    <w:link w:val="ListParagraphChar"/>
    <w:uiPriority w:val="34"/>
    <w:qFormat/>
    <w:rsid w:val="00341EFC"/>
    <w:pPr>
      <w:spacing w:after="240" w:line="260" w:lineRule="atLeast"/>
      <w:ind w:left="720"/>
      <w:contextualSpacing/>
    </w:pPr>
    <w:rPr>
      <w:rFonts w:eastAsia="Batang" w:cs="Times New Roman"/>
      <w:szCs w:val="20"/>
      <w:lang w:eastAsia="ko-KR"/>
    </w:rPr>
  </w:style>
  <w:style w:type="character" w:customStyle="1" w:styleId="ListParagraphChar">
    <w:name w:val="List Paragraph Char"/>
    <w:link w:val="ListParagraph"/>
    <w:uiPriority w:val="34"/>
    <w:locked/>
    <w:rsid w:val="00341EFC"/>
    <w:rPr>
      <w:rFonts w:ascii="Calibri" w:eastAsia="Batang" w:hAnsi="Calibri" w:cs="Times New Roman"/>
      <w:sz w:val="22"/>
      <w:lang w:eastAsia="ko-KR"/>
    </w:rPr>
  </w:style>
  <w:style w:type="paragraph" w:styleId="Quote">
    <w:name w:val="Quote"/>
    <w:basedOn w:val="Normal"/>
    <w:next w:val="Normal"/>
    <w:link w:val="QuoteChar"/>
    <w:uiPriority w:val="29"/>
    <w:qFormat/>
    <w:rsid w:val="00240A11"/>
    <w:pPr>
      <w:spacing w:before="200" w:after="160"/>
      <w:ind w:left="864" w:right="864"/>
      <w:jc w:val="center"/>
    </w:pPr>
    <w:rPr>
      <w:i/>
      <w:iCs/>
    </w:rPr>
  </w:style>
  <w:style w:type="character" w:customStyle="1" w:styleId="QuoteChar">
    <w:name w:val="Quote Char"/>
    <w:basedOn w:val="DefaultParagraphFont"/>
    <w:link w:val="Quote"/>
    <w:uiPriority w:val="29"/>
    <w:rsid w:val="00240A11"/>
    <w:rPr>
      <w:rFonts w:ascii="Calibri" w:hAnsi="Calibri"/>
      <w:i/>
      <w:iCs/>
      <w:sz w:val="22"/>
      <w:szCs w:val="24"/>
    </w:rPr>
  </w:style>
  <w:style w:type="character" w:styleId="Strong">
    <w:name w:val="Strong"/>
    <w:basedOn w:val="DefaultParagraphFont"/>
    <w:uiPriority w:val="22"/>
    <w:qFormat/>
    <w:rsid w:val="00240A11"/>
    <w:rPr>
      <w:rFonts w:ascii="Calibri" w:hAnsi="Calibri"/>
      <w:b/>
      <w:bCs/>
      <w:sz w:val="22"/>
    </w:rPr>
  </w:style>
  <w:style w:type="paragraph" w:styleId="Subtitle">
    <w:name w:val="Subtitle"/>
    <w:basedOn w:val="Normal"/>
    <w:next w:val="Normal"/>
    <w:link w:val="SubtitleChar"/>
    <w:uiPriority w:val="11"/>
    <w:qFormat/>
    <w:rsid w:val="00240A11"/>
    <w:pPr>
      <w:numPr>
        <w:ilvl w:val="1"/>
      </w:numPr>
      <w:spacing w:after="160"/>
    </w:pPr>
    <w:rPr>
      <w:rFonts w:ascii="Arial" w:eastAsiaTheme="minorEastAsia" w:hAnsi="Arial"/>
      <w:b/>
      <w:color w:val="44BAD2"/>
      <w:spacing w:val="15"/>
      <w:sz w:val="48"/>
      <w:szCs w:val="22"/>
    </w:rPr>
  </w:style>
  <w:style w:type="character" w:customStyle="1" w:styleId="SubtitleChar">
    <w:name w:val="Subtitle Char"/>
    <w:basedOn w:val="DefaultParagraphFont"/>
    <w:link w:val="Subtitle"/>
    <w:uiPriority w:val="11"/>
    <w:rsid w:val="00240A11"/>
    <w:rPr>
      <w:rFonts w:ascii="Arial" w:eastAsiaTheme="minorEastAsia" w:hAnsi="Arial"/>
      <w:b/>
      <w:color w:val="44BAD2"/>
      <w:spacing w:val="15"/>
      <w:sz w:val="48"/>
      <w:szCs w:val="22"/>
    </w:rPr>
  </w:style>
  <w:style w:type="character" w:styleId="SubtleEmphasis">
    <w:name w:val="Subtle Emphasis"/>
    <w:basedOn w:val="DefaultParagraphFont"/>
    <w:uiPriority w:val="19"/>
    <w:qFormat/>
    <w:rsid w:val="00240A11"/>
    <w:rPr>
      <w:rFonts w:ascii="Calibri" w:hAnsi="Calibri"/>
      <w:b/>
      <w:i w:val="0"/>
      <w:iCs/>
      <w:color w:val="auto"/>
      <w:sz w:val="22"/>
    </w:rPr>
  </w:style>
  <w:style w:type="character" w:styleId="SubtleReference">
    <w:name w:val="Subtle Reference"/>
    <w:basedOn w:val="DefaultParagraphFont"/>
    <w:uiPriority w:val="31"/>
    <w:qFormat/>
    <w:rsid w:val="00240A11"/>
    <w:rPr>
      <w:rFonts w:ascii="Calibri" w:hAnsi="Calibri"/>
      <w:b/>
      <w:smallCaps/>
      <w:color w:val="auto"/>
      <w:sz w:val="20"/>
    </w:rPr>
  </w:style>
  <w:style w:type="paragraph" w:styleId="TOC1">
    <w:name w:val="toc 1"/>
    <w:basedOn w:val="Normal"/>
    <w:next w:val="Normal"/>
    <w:autoRedefine/>
    <w:uiPriority w:val="39"/>
    <w:unhideWhenUsed/>
    <w:rsid w:val="00240A11"/>
    <w:pPr>
      <w:spacing w:after="100" w:line="260" w:lineRule="atLeast"/>
    </w:pPr>
    <w:rPr>
      <w:rFonts w:eastAsia="Batang" w:cs="Times New Roman"/>
      <w:sz w:val="20"/>
      <w:szCs w:val="20"/>
      <w:lang w:eastAsia="ko-KR"/>
    </w:rPr>
  </w:style>
  <w:style w:type="paragraph" w:styleId="TOCHeading">
    <w:name w:val="TOC Heading"/>
    <w:basedOn w:val="Heading1"/>
    <w:next w:val="Normal"/>
    <w:uiPriority w:val="39"/>
    <w:unhideWhenUsed/>
    <w:qFormat/>
    <w:rsid w:val="00240A11"/>
    <w:pPr>
      <w:pageBreakBefore/>
      <w:spacing w:before="480" w:line="276" w:lineRule="auto"/>
      <w:outlineLvl w:val="9"/>
    </w:pPr>
    <w:rPr>
      <w:rFonts w:asciiTheme="minorHAnsi" w:hAnsiTheme="minorHAnsi"/>
      <w:b w:val="0"/>
      <w:bCs/>
      <w:color w:val="auto"/>
      <w:sz w:val="28"/>
      <w:szCs w:val="28"/>
      <w:lang w:val="en-US"/>
    </w:rPr>
  </w:style>
  <w:style w:type="paragraph" w:styleId="Header">
    <w:name w:val="header"/>
    <w:basedOn w:val="Normal"/>
    <w:link w:val="HeaderChar"/>
    <w:uiPriority w:val="99"/>
    <w:unhideWhenUsed/>
    <w:rsid w:val="009100C2"/>
    <w:pPr>
      <w:tabs>
        <w:tab w:val="center" w:pos="4513"/>
        <w:tab w:val="right" w:pos="9026"/>
      </w:tabs>
    </w:pPr>
  </w:style>
  <w:style w:type="character" w:customStyle="1" w:styleId="HeaderChar">
    <w:name w:val="Header Char"/>
    <w:basedOn w:val="DefaultParagraphFont"/>
    <w:link w:val="Header"/>
    <w:uiPriority w:val="99"/>
    <w:rsid w:val="009100C2"/>
    <w:rPr>
      <w:rFonts w:ascii="Calibri" w:hAnsi="Calibri"/>
      <w:sz w:val="22"/>
      <w:szCs w:val="24"/>
    </w:rPr>
  </w:style>
  <w:style w:type="paragraph" w:styleId="FootnoteText">
    <w:name w:val="footnote text"/>
    <w:basedOn w:val="Normal"/>
    <w:link w:val="FootnoteTextChar"/>
    <w:uiPriority w:val="99"/>
    <w:unhideWhenUsed/>
    <w:rsid w:val="001816EF"/>
    <w:rPr>
      <w:rFonts w:asciiTheme="minorHAnsi" w:hAnsiTheme="minorHAnsi"/>
      <w:sz w:val="20"/>
      <w:szCs w:val="20"/>
    </w:rPr>
  </w:style>
  <w:style w:type="character" w:customStyle="1" w:styleId="FootnoteTextChar">
    <w:name w:val="Footnote Text Char"/>
    <w:basedOn w:val="DefaultParagraphFont"/>
    <w:link w:val="FootnoteText"/>
    <w:uiPriority w:val="99"/>
    <w:rsid w:val="001816EF"/>
  </w:style>
  <w:style w:type="character" w:styleId="FootnoteReference">
    <w:name w:val="footnote reference"/>
    <w:basedOn w:val="DefaultParagraphFont"/>
    <w:uiPriority w:val="99"/>
    <w:unhideWhenUsed/>
    <w:rsid w:val="001816EF"/>
    <w:rPr>
      <w:vertAlign w:val="superscript"/>
    </w:rPr>
  </w:style>
  <w:style w:type="character" w:styleId="UnresolvedMention">
    <w:name w:val="Unresolved Mention"/>
    <w:basedOn w:val="DefaultParagraphFont"/>
    <w:uiPriority w:val="99"/>
    <w:semiHidden/>
    <w:unhideWhenUsed/>
    <w:rsid w:val="00AC3FCE"/>
    <w:rPr>
      <w:color w:val="605E5C"/>
      <w:shd w:val="clear" w:color="auto" w:fill="E1DFDD"/>
    </w:rPr>
  </w:style>
  <w:style w:type="paragraph" w:styleId="Revision">
    <w:name w:val="Revision"/>
    <w:hidden/>
    <w:uiPriority w:val="99"/>
    <w:semiHidden/>
    <w:rsid w:val="008F421A"/>
    <w:rPr>
      <w:rFonts w:ascii="Calibri" w:hAnsi="Calibri"/>
      <w:sz w:val="22"/>
      <w:szCs w:val="24"/>
    </w:rPr>
  </w:style>
  <w:style w:type="character" w:styleId="FollowedHyperlink">
    <w:name w:val="FollowedHyperlink"/>
    <w:basedOn w:val="DefaultParagraphFont"/>
    <w:uiPriority w:val="99"/>
    <w:semiHidden/>
    <w:unhideWhenUsed/>
    <w:rsid w:val="001E20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935815">
      <w:bodyDiv w:val="1"/>
      <w:marLeft w:val="0"/>
      <w:marRight w:val="0"/>
      <w:marTop w:val="0"/>
      <w:marBottom w:val="0"/>
      <w:divBdr>
        <w:top w:val="none" w:sz="0" w:space="0" w:color="auto"/>
        <w:left w:val="none" w:sz="0" w:space="0" w:color="auto"/>
        <w:bottom w:val="none" w:sz="0" w:space="0" w:color="auto"/>
        <w:right w:val="none" w:sz="0" w:space="0" w:color="auto"/>
      </w:divBdr>
    </w:div>
    <w:div w:id="2053579380">
      <w:bodyDiv w:val="1"/>
      <w:marLeft w:val="0"/>
      <w:marRight w:val="0"/>
      <w:marTop w:val="0"/>
      <w:marBottom w:val="0"/>
      <w:divBdr>
        <w:top w:val="none" w:sz="0" w:space="0" w:color="auto"/>
        <w:left w:val="none" w:sz="0" w:space="0" w:color="auto"/>
        <w:bottom w:val="none" w:sz="0" w:space="0" w:color="auto"/>
        <w:right w:val="none" w:sz="0" w:space="0" w:color="auto"/>
      </w:divBdr>
    </w:div>
    <w:div w:id="2141531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fcc.qld.gov.au/model-particip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fcc.qld.gov.au/sites/default/files/2021-06/QFCC%20Changing%20the%20Sentence%20lo%20res%20spread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dese.gov.au/alice-springs-mparntwe-education-declaration/resources/alice-springs-mparntwe-education-declaration" TargetMode="External"/><Relationship Id="rId2" Type="http://schemas.openxmlformats.org/officeDocument/2006/relationships/hyperlink" Target="https://theconversation.com/attending-school-every-day-counts-but-kids-in-out-of-home-care-are-missing-out-182299" TargetMode="External"/><Relationship Id="rId1" Type="http://schemas.openxmlformats.org/officeDocument/2006/relationships/hyperlink" Target="https://www.pc.gov.au/research/ongoing/report-on-government-services/2022/community-services/child-protection" TargetMode="External"/><Relationship Id="rId4" Type="http://schemas.openxmlformats.org/officeDocument/2006/relationships/hyperlink" Target="https://www.qfcc.qld.gov.au/keeping-kids-more-safe/monitoring-reviewing-systems-protect-children/changing-sente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2167780-d458-4e20-a521-cd369a511d6e">
      <Value>1</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fd73c270524f96b9100fc5a4a27dcfcc">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83d684da3de833e913f3eddef279d447"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22EB0-AFAD-4F33-A40E-9D99E298DA67}">
  <ds:schemaRefs>
    <ds:schemaRef ds:uri="http://schemas.openxmlformats.org/package/2006/metadata/core-properties"/>
    <ds:schemaRef ds:uri="52167780-d458-4e20-a521-cd369a511d6e"/>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8863fef4-a928-4b42-80f7-22702e616c5c"/>
    <ds:schemaRef ds:uri="http://www.w3.org/XML/1998/namespace"/>
    <ds:schemaRef ds:uri="http://purl.org/dc/dcmitype/"/>
  </ds:schemaRefs>
</ds:datastoreItem>
</file>

<file path=customXml/itemProps2.xml><?xml version="1.0" encoding="utf-8"?>
<ds:datastoreItem xmlns:ds="http://schemas.openxmlformats.org/officeDocument/2006/customXml" ds:itemID="{732EA39D-C151-4271-AA1D-1E27ED592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A86688-1EBE-43EC-A844-01D9AD1FB957}">
  <ds:schemaRefs>
    <ds:schemaRef ds:uri="http://schemas.microsoft.com/sharepoint/v3/contenttype/forms"/>
  </ds:schemaRefs>
</ds:datastoreItem>
</file>

<file path=customXml/itemProps4.xml><?xml version="1.0" encoding="utf-8"?>
<ds:datastoreItem xmlns:ds="http://schemas.openxmlformats.org/officeDocument/2006/customXml" ds:itemID="{B0F5F738-83AF-42BE-AE61-314C7CAA2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Submission 32 - Queensland Family and Child Commission (QFCC) - National School Reform Agreement - Commissioned study</vt:lpstr>
    </vt:vector>
  </TitlesOfParts>
  <Company>Queensland Family and Child Commission (QFCC)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32 - Queensland Family and Child Commission (QFCC) - National School Reform Agreement - Commissioned study</dc:title>
  <dc:subject/>
  <dc:creator>Queensland Family and Child Commission (QFCC) </dc:creator>
  <cp:keywords/>
  <cp:lastModifiedBy>Alston, Chris</cp:lastModifiedBy>
  <cp:revision>3</cp:revision>
  <cp:lastPrinted>2015-09-23T07:05:00Z</cp:lastPrinted>
  <dcterms:created xsi:type="dcterms:W3CDTF">2022-06-22T02:04:00Z</dcterms:created>
  <dcterms:modified xsi:type="dcterms:W3CDTF">2022-06-22T06:03:00Z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0x010100BA39D53A6EC3464A8EC21955720B744F</vt:lpwstr>
  </property>
  <property fmtid="{D5CDD505-2E9C-101B-9397-08002B2CF9AE}" pid="3" name="RevIMBCS">
    <vt:lpwstr>1;#Unclassified|3955eeb1-2d18-4582-aeb2-00144ec3aaf5</vt:lpwstr>
  </property>
</Properties>
</file>