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0F9FF" w14:textId="77777777" w:rsidR="00E521FD" w:rsidRPr="00E521FD" w:rsidRDefault="00E521FD" w:rsidP="00E521FD"/>
    <w:p w14:paraId="4B2393A3" w14:textId="77777777" w:rsidR="00E521FD" w:rsidRPr="00E521FD" w:rsidRDefault="00E521FD" w:rsidP="00E521FD"/>
    <w:p w14:paraId="2EE3B28D" w14:textId="77777777" w:rsidR="00E521FD" w:rsidRPr="00E521FD" w:rsidRDefault="00E521FD" w:rsidP="00E521FD"/>
    <w:p w14:paraId="704598FF" w14:textId="70A1A082" w:rsidR="006A3499" w:rsidRPr="00165B0C" w:rsidRDefault="00241009" w:rsidP="00165B0C">
      <w:pPr>
        <w:rPr>
          <w:rFonts w:ascii="Century Gothic" w:hAnsi="Century Gothic"/>
          <w:color w:val="652D86" w:themeColor="text2"/>
          <w:sz w:val="36"/>
          <w:szCs w:val="36"/>
        </w:rPr>
      </w:pPr>
      <w:r w:rsidRPr="00165B0C">
        <w:rPr>
          <w:rFonts w:ascii="Century Gothic" w:hAnsi="Century Gothic"/>
          <w:color w:val="652D86" w:themeColor="text2"/>
          <w:sz w:val="36"/>
          <w:szCs w:val="36"/>
        </w:rPr>
        <w:t>Australian Longitudinal Study on Women</w:t>
      </w:r>
      <w:r w:rsidR="001B0B19">
        <w:rPr>
          <w:rFonts w:ascii="Century Gothic" w:hAnsi="Century Gothic"/>
          <w:color w:val="652D86" w:themeColor="text2"/>
          <w:sz w:val="36"/>
          <w:szCs w:val="36"/>
        </w:rPr>
        <w:t>’</w:t>
      </w:r>
      <w:r w:rsidRPr="00165B0C">
        <w:rPr>
          <w:rFonts w:ascii="Century Gothic" w:hAnsi="Century Gothic"/>
          <w:color w:val="652D86" w:themeColor="text2"/>
          <w:sz w:val="36"/>
          <w:szCs w:val="36"/>
        </w:rPr>
        <w:t xml:space="preserve">s Health </w:t>
      </w:r>
      <w:r w:rsidRPr="00165B0C">
        <w:rPr>
          <w:rFonts w:ascii="Century Gothic" w:hAnsi="Century Gothic"/>
          <w:color w:val="652D86" w:themeColor="text2"/>
          <w:sz w:val="36"/>
          <w:szCs w:val="36"/>
        </w:rPr>
        <w:br/>
        <w:t>submission to the</w:t>
      </w:r>
    </w:p>
    <w:p w14:paraId="390B5D4E" w14:textId="77777777" w:rsidR="006A3499" w:rsidRPr="00D70883" w:rsidRDefault="006A3499" w:rsidP="006A3499">
      <w:pPr>
        <w:rPr>
          <w:rFonts w:cstheme="minorHAnsi"/>
          <w:color w:val="51247A"/>
        </w:rPr>
      </w:pPr>
    </w:p>
    <w:p w14:paraId="04075E1E" w14:textId="68F66AEE" w:rsidR="006A3499" w:rsidRPr="003603E5" w:rsidRDefault="002E48CA" w:rsidP="003603E5">
      <w:pPr>
        <w:pStyle w:val="Title"/>
      </w:pPr>
      <w:r w:rsidRPr="003603E5">
        <w:t>Productivity Commission Enquiry into Carer</w:t>
      </w:r>
      <w:r w:rsidR="001B0B19">
        <w:t>’</w:t>
      </w:r>
      <w:r w:rsidRPr="003603E5">
        <w:t>s Leave</w:t>
      </w:r>
    </w:p>
    <w:p w14:paraId="29B26424" w14:textId="77777777" w:rsidR="006A3499" w:rsidRPr="00D70883" w:rsidRDefault="006A3499" w:rsidP="006A3499">
      <w:pPr>
        <w:rPr>
          <w:rFonts w:cstheme="minorHAnsi"/>
          <w:color w:val="51247A"/>
        </w:rPr>
      </w:pPr>
    </w:p>
    <w:p w14:paraId="3BB8783E" w14:textId="77777777" w:rsidR="006A3499" w:rsidRPr="00D70883" w:rsidRDefault="006A3499" w:rsidP="006A3499">
      <w:pPr>
        <w:rPr>
          <w:rFonts w:cstheme="minorHAnsi"/>
          <w:color w:val="51247A"/>
        </w:rPr>
      </w:pPr>
    </w:p>
    <w:p w14:paraId="2EE9C116" w14:textId="77777777" w:rsidR="006A3499" w:rsidRPr="00D70883" w:rsidRDefault="006A3499" w:rsidP="006A3499">
      <w:pPr>
        <w:rPr>
          <w:rFonts w:cstheme="minorHAnsi"/>
          <w:color w:val="51247A"/>
        </w:rPr>
      </w:pPr>
    </w:p>
    <w:p w14:paraId="58A1254F" w14:textId="77777777" w:rsidR="006A3499" w:rsidRDefault="006A3499" w:rsidP="006A3499">
      <w:pPr>
        <w:rPr>
          <w:rFonts w:cstheme="minorHAnsi"/>
          <w:b/>
          <w:sz w:val="32"/>
          <w:szCs w:val="32"/>
        </w:rPr>
      </w:pPr>
    </w:p>
    <w:p w14:paraId="39212A02" w14:textId="77777777" w:rsidR="006A3499" w:rsidRDefault="006A3499" w:rsidP="006A3499">
      <w:pPr>
        <w:rPr>
          <w:rFonts w:cstheme="minorHAnsi"/>
          <w:sz w:val="24"/>
          <w:szCs w:val="24"/>
        </w:rPr>
      </w:pPr>
    </w:p>
    <w:p w14:paraId="48554E31" w14:textId="77777777" w:rsidR="006A3499" w:rsidRDefault="006A3499" w:rsidP="006A3499">
      <w:pPr>
        <w:rPr>
          <w:rFonts w:cstheme="minorHAnsi"/>
          <w:sz w:val="24"/>
          <w:szCs w:val="24"/>
        </w:rPr>
      </w:pPr>
    </w:p>
    <w:p w14:paraId="0BA581E0" w14:textId="77777777" w:rsidR="006A3499" w:rsidRDefault="006A3499" w:rsidP="006A3499">
      <w:pPr>
        <w:rPr>
          <w:rFonts w:cstheme="minorHAnsi"/>
          <w:sz w:val="24"/>
          <w:szCs w:val="24"/>
        </w:rPr>
      </w:pPr>
    </w:p>
    <w:p w14:paraId="67741A35" w14:textId="77777777" w:rsidR="006A3499" w:rsidRDefault="006A3499" w:rsidP="006A3499">
      <w:pPr>
        <w:rPr>
          <w:rFonts w:cstheme="minorHAnsi"/>
          <w:sz w:val="24"/>
          <w:szCs w:val="24"/>
        </w:rPr>
      </w:pPr>
    </w:p>
    <w:p w14:paraId="6C1E470E" w14:textId="77777777" w:rsidR="006A3499" w:rsidRDefault="006A3499" w:rsidP="006A3499">
      <w:pPr>
        <w:rPr>
          <w:rFonts w:cstheme="minorHAnsi"/>
          <w:sz w:val="24"/>
          <w:szCs w:val="24"/>
        </w:rPr>
      </w:pPr>
    </w:p>
    <w:p w14:paraId="6098E230" w14:textId="77777777" w:rsidR="006A3499" w:rsidRDefault="006A3499" w:rsidP="006A3499">
      <w:pPr>
        <w:rPr>
          <w:rFonts w:cstheme="minorHAnsi"/>
          <w:sz w:val="24"/>
          <w:szCs w:val="24"/>
        </w:rPr>
      </w:pPr>
    </w:p>
    <w:p w14:paraId="642A4040" w14:textId="77777777" w:rsidR="006A3499" w:rsidRDefault="006A3499" w:rsidP="006A3499">
      <w:pPr>
        <w:rPr>
          <w:rFonts w:cstheme="minorHAnsi"/>
          <w:sz w:val="24"/>
          <w:szCs w:val="24"/>
        </w:rPr>
      </w:pPr>
    </w:p>
    <w:p w14:paraId="43EFB7E8" w14:textId="77777777" w:rsidR="006A3499" w:rsidRDefault="006A3499" w:rsidP="006A3499">
      <w:pPr>
        <w:rPr>
          <w:rFonts w:cstheme="minorHAnsi"/>
          <w:sz w:val="24"/>
          <w:szCs w:val="24"/>
        </w:rPr>
      </w:pPr>
    </w:p>
    <w:p w14:paraId="5E6F2542" w14:textId="77777777" w:rsidR="006A3499" w:rsidRDefault="006A3499" w:rsidP="006A3499">
      <w:pPr>
        <w:rPr>
          <w:rFonts w:cstheme="minorHAnsi"/>
          <w:sz w:val="24"/>
          <w:szCs w:val="24"/>
        </w:rPr>
      </w:pPr>
    </w:p>
    <w:p w14:paraId="68F536FB" w14:textId="77777777" w:rsidR="006A3499" w:rsidRPr="000B6088" w:rsidRDefault="006A3499" w:rsidP="006A3499">
      <w:pPr>
        <w:rPr>
          <w:rFonts w:cstheme="minorHAnsi"/>
          <w:b/>
          <w:sz w:val="24"/>
          <w:szCs w:val="24"/>
        </w:rPr>
      </w:pPr>
      <w:r w:rsidRPr="000B6088">
        <w:rPr>
          <w:rFonts w:cstheme="minorHAnsi"/>
          <w:b/>
          <w:sz w:val="24"/>
          <w:szCs w:val="24"/>
        </w:rPr>
        <w:t>Coordinating Authors</w:t>
      </w:r>
    </w:p>
    <w:p w14:paraId="224B2B81" w14:textId="7673B2E6" w:rsidR="006A3499" w:rsidRPr="009F396E" w:rsidRDefault="002B1232" w:rsidP="006A3499">
      <w:pPr>
        <w:rPr>
          <w:rFonts w:cstheme="minorHAnsi"/>
          <w:sz w:val="24"/>
          <w:szCs w:val="24"/>
        </w:rPr>
      </w:pPr>
      <w:r>
        <w:rPr>
          <w:rFonts w:cstheme="minorHAnsi"/>
          <w:sz w:val="24"/>
          <w:szCs w:val="24"/>
        </w:rPr>
        <w:t>A/Prof Leigh Tooth</w:t>
      </w:r>
      <w:r w:rsidR="006A3499" w:rsidRPr="009F396E">
        <w:rPr>
          <w:rFonts w:cstheme="minorHAnsi"/>
          <w:sz w:val="24"/>
          <w:szCs w:val="24"/>
        </w:rPr>
        <w:tab/>
      </w:r>
      <w:r w:rsidR="002A2443">
        <w:rPr>
          <w:rFonts w:cstheme="minorHAnsi"/>
          <w:sz w:val="24"/>
          <w:szCs w:val="24"/>
        </w:rPr>
        <w:tab/>
      </w:r>
      <w:r w:rsidR="002A2443">
        <w:rPr>
          <w:rFonts w:cstheme="minorHAnsi"/>
          <w:sz w:val="24"/>
          <w:szCs w:val="24"/>
        </w:rPr>
        <w:tab/>
        <w:t>Helen Gray</w:t>
      </w:r>
      <w:r w:rsidR="006A3499" w:rsidRPr="009F396E">
        <w:rPr>
          <w:rFonts w:cstheme="minorHAnsi"/>
          <w:sz w:val="24"/>
          <w:szCs w:val="24"/>
        </w:rPr>
        <w:tab/>
      </w:r>
      <w:r w:rsidR="006A3499" w:rsidRPr="009F396E">
        <w:rPr>
          <w:rFonts w:cstheme="minorHAnsi"/>
          <w:sz w:val="24"/>
          <w:szCs w:val="24"/>
        </w:rPr>
        <w:tab/>
      </w:r>
      <w:r w:rsidR="006A3499" w:rsidRPr="009F396E">
        <w:rPr>
          <w:rFonts w:cstheme="minorHAnsi"/>
          <w:sz w:val="24"/>
          <w:szCs w:val="24"/>
        </w:rPr>
        <w:tab/>
      </w:r>
      <w:r w:rsidR="006A3499" w:rsidRPr="009F396E">
        <w:rPr>
          <w:rFonts w:cstheme="minorHAnsi"/>
          <w:sz w:val="24"/>
          <w:szCs w:val="24"/>
        </w:rPr>
        <w:tab/>
      </w:r>
      <w:r w:rsidR="006A3499">
        <w:rPr>
          <w:rFonts w:cstheme="minorHAnsi"/>
          <w:sz w:val="24"/>
          <w:szCs w:val="24"/>
        </w:rPr>
        <w:tab/>
      </w:r>
    </w:p>
    <w:p w14:paraId="394B93C9" w14:textId="23432F4B" w:rsidR="006A3499" w:rsidRPr="009F396E" w:rsidRDefault="006A3499" w:rsidP="006A3499">
      <w:pPr>
        <w:rPr>
          <w:rFonts w:cstheme="minorHAnsi"/>
          <w:sz w:val="24"/>
          <w:szCs w:val="24"/>
        </w:rPr>
      </w:pPr>
      <w:r w:rsidRPr="009F396E">
        <w:rPr>
          <w:rFonts w:cstheme="minorHAnsi"/>
          <w:sz w:val="24"/>
          <w:szCs w:val="24"/>
        </w:rPr>
        <w:tab/>
      </w:r>
      <w:r w:rsidRPr="009F396E">
        <w:rPr>
          <w:rFonts w:cstheme="minorHAnsi"/>
          <w:sz w:val="24"/>
          <w:szCs w:val="24"/>
        </w:rPr>
        <w:tab/>
      </w:r>
      <w:r w:rsidRPr="009F396E">
        <w:rPr>
          <w:rFonts w:cstheme="minorHAnsi"/>
          <w:sz w:val="24"/>
          <w:szCs w:val="24"/>
        </w:rPr>
        <w:tab/>
      </w:r>
      <w:r w:rsidRPr="009F396E">
        <w:rPr>
          <w:rFonts w:cstheme="minorHAnsi"/>
          <w:sz w:val="24"/>
          <w:szCs w:val="24"/>
        </w:rPr>
        <w:tab/>
      </w:r>
      <w:r w:rsidRPr="009F396E">
        <w:rPr>
          <w:rFonts w:cstheme="minorHAnsi"/>
          <w:sz w:val="24"/>
          <w:szCs w:val="24"/>
        </w:rPr>
        <w:tab/>
      </w:r>
      <w:r w:rsidRPr="009F396E">
        <w:rPr>
          <w:rFonts w:cstheme="minorHAnsi"/>
          <w:sz w:val="24"/>
          <w:szCs w:val="24"/>
        </w:rPr>
        <w:tab/>
      </w:r>
    </w:p>
    <w:p w14:paraId="2371518D" w14:textId="77777777" w:rsidR="006A3499" w:rsidRDefault="006A3499" w:rsidP="006A3499">
      <w:pPr>
        <w:spacing w:after="160" w:line="259" w:lineRule="auto"/>
        <w:rPr>
          <w:rFonts w:cstheme="minorHAnsi"/>
        </w:rPr>
      </w:pPr>
    </w:p>
    <w:p w14:paraId="4D52454B" w14:textId="77777777" w:rsidR="00241009" w:rsidRDefault="00241009">
      <w:pPr>
        <w:spacing w:after="160" w:line="259" w:lineRule="auto"/>
        <w:rPr>
          <w:rFonts w:cstheme="minorHAnsi"/>
        </w:rPr>
      </w:pPr>
      <w:r>
        <w:rPr>
          <w:rFonts w:cstheme="minorHAnsi"/>
        </w:rPr>
        <w:br w:type="page"/>
      </w:r>
    </w:p>
    <w:sdt>
      <w:sdtPr>
        <w:rPr>
          <w:rFonts w:asciiTheme="minorHAnsi" w:hAnsiTheme="minorHAnsi"/>
          <w:color w:val="auto"/>
          <w:sz w:val="22"/>
        </w:rPr>
        <w:id w:val="1186169753"/>
        <w:docPartObj>
          <w:docPartGallery w:val="Table of Contents"/>
          <w:docPartUnique/>
        </w:docPartObj>
      </w:sdtPr>
      <w:sdtEndPr>
        <w:rPr>
          <w:b/>
          <w:bCs/>
          <w:noProof/>
        </w:rPr>
      </w:sdtEndPr>
      <w:sdtContent>
        <w:p w14:paraId="783C664D" w14:textId="56AC1976" w:rsidR="00F8295B" w:rsidRDefault="00F8295B">
          <w:pPr>
            <w:pStyle w:val="TOCHeading"/>
          </w:pPr>
          <w:r>
            <w:t>Table of Contents</w:t>
          </w:r>
        </w:p>
        <w:p w14:paraId="44800A29" w14:textId="78E2AF87" w:rsidR="009A2D57" w:rsidRDefault="00F8295B">
          <w:pPr>
            <w:pStyle w:val="TOC1"/>
            <w:rPr>
              <w:rFonts w:eastAsiaTheme="minorEastAsia"/>
              <w:b w:val="0"/>
              <w:noProof/>
              <w:lang w:eastAsia="en-AU"/>
            </w:rPr>
          </w:pPr>
          <w:r>
            <w:fldChar w:fldCharType="begin"/>
          </w:r>
          <w:r>
            <w:instrText xml:space="preserve"> TOC \o "1-3" \h \z \u </w:instrText>
          </w:r>
          <w:r>
            <w:fldChar w:fldCharType="separate"/>
          </w:r>
          <w:hyperlink w:anchor="_Toc113022362" w:history="1">
            <w:r w:rsidR="009A2D57" w:rsidRPr="00CF0FDC">
              <w:rPr>
                <w:rStyle w:val="Hyperlink"/>
                <w:noProof/>
              </w:rPr>
              <w:t>Introduction</w:t>
            </w:r>
            <w:r w:rsidR="009A2D57">
              <w:rPr>
                <w:noProof/>
                <w:webHidden/>
              </w:rPr>
              <w:tab/>
            </w:r>
            <w:r w:rsidR="009A2D57">
              <w:rPr>
                <w:noProof/>
                <w:webHidden/>
              </w:rPr>
              <w:fldChar w:fldCharType="begin"/>
            </w:r>
            <w:r w:rsidR="009A2D57">
              <w:rPr>
                <w:noProof/>
                <w:webHidden/>
              </w:rPr>
              <w:instrText xml:space="preserve"> PAGEREF _Toc113022362 \h </w:instrText>
            </w:r>
            <w:r w:rsidR="009A2D57">
              <w:rPr>
                <w:noProof/>
                <w:webHidden/>
              </w:rPr>
            </w:r>
            <w:r w:rsidR="009A2D57">
              <w:rPr>
                <w:noProof/>
                <w:webHidden/>
              </w:rPr>
              <w:fldChar w:fldCharType="separate"/>
            </w:r>
            <w:r w:rsidR="00FF554C">
              <w:rPr>
                <w:noProof/>
                <w:webHidden/>
              </w:rPr>
              <w:t>3</w:t>
            </w:r>
            <w:r w:rsidR="009A2D57">
              <w:rPr>
                <w:noProof/>
                <w:webHidden/>
              </w:rPr>
              <w:fldChar w:fldCharType="end"/>
            </w:r>
          </w:hyperlink>
        </w:p>
        <w:p w14:paraId="7F12AA52" w14:textId="0D47EF9D" w:rsidR="009A2D57" w:rsidRDefault="007A1542">
          <w:pPr>
            <w:pStyle w:val="TOC1"/>
            <w:rPr>
              <w:rFonts w:eastAsiaTheme="minorEastAsia"/>
              <w:b w:val="0"/>
              <w:noProof/>
              <w:lang w:eastAsia="en-AU"/>
            </w:rPr>
          </w:pPr>
          <w:hyperlink w:anchor="_Toc113022363" w:history="1">
            <w:r w:rsidR="009A2D57" w:rsidRPr="00CF0FDC">
              <w:rPr>
                <w:rStyle w:val="Hyperlink"/>
                <w:noProof/>
              </w:rPr>
              <w:t>Summary and recommendations</w:t>
            </w:r>
            <w:r w:rsidR="009A2D57">
              <w:rPr>
                <w:noProof/>
                <w:webHidden/>
              </w:rPr>
              <w:tab/>
            </w:r>
            <w:r w:rsidR="009A2D57">
              <w:rPr>
                <w:noProof/>
                <w:webHidden/>
              </w:rPr>
              <w:fldChar w:fldCharType="begin"/>
            </w:r>
            <w:r w:rsidR="009A2D57">
              <w:rPr>
                <w:noProof/>
                <w:webHidden/>
              </w:rPr>
              <w:instrText xml:space="preserve"> PAGEREF _Toc113022363 \h </w:instrText>
            </w:r>
            <w:r w:rsidR="009A2D57">
              <w:rPr>
                <w:noProof/>
                <w:webHidden/>
              </w:rPr>
            </w:r>
            <w:r w:rsidR="009A2D57">
              <w:rPr>
                <w:noProof/>
                <w:webHidden/>
              </w:rPr>
              <w:fldChar w:fldCharType="separate"/>
            </w:r>
            <w:r w:rsidR="00FF554C">
              <w:rPr>
                <w:noProof/>
                <w:webHidden/>
              </w:rPr>
              <w:t>4</w:t>
            </w:r>
            <w:r w:rsidR="009A2D57">
              <w:rPr>
                <w:noProof/>
                <w:webHidden/>
              </w:rPr>
              <w:fldChar w:fldCharType="end"/>
            </w:r>
          </w:hyperlink>
        </w:p>
        <w:p w14:paraId="0A1D0D6B" w14:textId="314C1257" w:rsidR="009A2D57" w:rsidRDefault="007A1542" w:rsidP="009A2D57">
          <w:pPr>
            <w:pStyle w:val="TOC2"/>
            <w:ind w:left="720"/>
            <w:rPr>
              <w:rFonts w:eastAsiaTheme="minorEastAsia"/>
              <w:noProof/>
              <w:lang w:eastAsia="en-AU"/>
            </w:rPr>
          </w:pPr>
          <w:hyperlink w:anchor="_Toc113022364" w:history="1">
            <w:r w:rsidR="009A2D57" w:rsidRPr="00CF0FDC">
              <w:rPr>
                <w:rStyle w:val="Hyperlink"/>
                <w:noProof/>
              </w:rPr>
              <w:t>Summary</w:t>
            </w:r>
            <w:r w:rsidR="009A2D57">
              <w:rPr>
                <w:noProof/>
                <w:webHidden/>
              </w:rPr>
              <w:tab/>
            </w:r>
            <w:r w:rsidR="009A2D57">
              <w:rPr>
                <w:noProof/>
                <w:webHidden/>
              </w:rPr>
              <w:fldChar w:fldCharType="begin"/>
            </w:r>
            <w:r w:rsidR="009A2D57">
              <w:rPr>
                <w:noProof/>
                <w:webHidden/>
              </w:rPr>
              <w:instrText xml:space="preserve"> PAGEREF _Toc113022364 \h </w:instrText>
            </w:r>
            <w:r w:rsidR="009A2D57">
              <w:rPr>
                <w:noProof/>
                <w:webHidden/>
              </w:rPr>
            </w:r>
            <w:r w:rsidR="009A2D57">
              <w:rPr>
                <w:noProof/>
                <w:webHidden/>
              </w:rPr>
              <w:fldChar w:fldCharType="separate"/>
            </w:r>
            <w:r w:rsidR="00FF554C">
              <w:rPr>
                <w:noProof/>
                <w:webHidden/>
              </w:rPr>
              <w:t>4</w:t>
            </w:r>
            <w:r w:rsidR="009A2D57">
              <w:rPr>
                <w:noProof/>
                <w:webHidden/>
              </w:rPr>
              <w:fldChar w:fldCharType="end"/>
            </w:r>
          </w:hyperlink>
        </w:p>
        <w:p w14:paraId="17987EA4" w14:textId="17721DA2" w:rsidR="009A2D57" w:rsidRDefault="007A1542" w:rsidP="009A2D57">
          <w:pPr>
            <w:pStyle w:val="TOC2"/>
            <w:ind w:left="720"/>
            <w:rPr>
              <w:rFonts w:eastAsiaTheme="minorEastAsia"/>
              <w:noProof/>
              <w:lang w:eastAsia="en-AU"/>
            </w:rPr>
          </w:pPr>
          <w:hyperlink w:anchor="_Toc113022365" w:history="1">
            <w:r w:rsidR="009A2D57" w:rsidRPr="00CF0FDC">
              <w:rPr>
                <w:rStyle w:val="Hyperlink"/>
                <w:noProof/>
              </w:rPr>
              <w:t>Recommendations</w:t>
            </w:r>
            <w:r w:rsidR="009A2D57">
              <w:rPr>
                <w:noProof/>
                <w:webHidden/>
              </w:rPr>
              <w:tab/>
            </w:r>
            <w:r w:rsidR="009A2D57">
              <w:rPr>
                <w:noProof/>
                <w:webHidden/>
              </w:rPr>
              <w:fldChar w:fldCharType="begin"/>
            </w:r>
            <w:r w:rsidR="009A2D57">
              <w:rPr>
                <w:noProof/>
                <w:webHidden/>
              </w:rPr>
              <w:instrText xml:space="preserve"> PAGEREF _Toc113022365 \h </w:instrText>
            </w:r>
            <w:r w:rsidR="009A2D57">
              <w:rPr>
                <w:noProof/>
                <w:webHidden/>
              </w:rPr>
            </w:r>
            <w:r w:rsidR="009A2D57">
              <w:rPr>
                <w:noProof/>
                <w:webHidden/>
              </w:rPr>
              <w:fldChar w:fldCharType="separate"/>
            </w:r>
            <w:r w:rsidR="00FF554C">
              <w:rPr>
                <w:noProof/>
                <w:webHidden/>
              </w:rPr>
              <w:t>6</w:t>
            </w:r>
            <w:r w:rsidR="009A2D57">
              <w:rPr>
                <w:noProof/>
                <w:webHidden/>
              </w:rPr>
              <w:fldChar w:fldCharType="end"/>
            </w:r>
          </w:hyperlink>
        </w:p>
        <w:p w14:paraId="503F18F8" w14:textId="3F5862AE" w:rsidR="009A2D57" w:rsidRDefault="007A1542">
          <w:pPr>
            <w:pStyle w:val="TOC1"/>
            <w:rPr>
              <w:rFonts w:eastAsiaTheme="minorEastAsia"/>
              <w:b w:val="0"/>
              <w:noProof/>
              <w:lang w:eastAsia="en-AU"/>
            </w:rPr>
          </w:pPr>
          <w:hyperlink w:anchor="_Toc113022366" w:history="1">
            <w:r w:rsidR="009A2D57" w:rsidRPr="00CF0FDC">
              <w:rPr>
                <w:rStyle w:val="Hyperlink"/>
                <w:noProof/>
              </w:rPr>
              <w:t>Terms of reference</w:t>
            </w:r>
            <w:r w:rsidR="009A2D57">
              <w:rPr>
                <w:noProof/>
                <w:webHidden/>
              </w:rPr>
              <w:tab/>
            </w:r>
            <w:r w:rsidR="009A2D57">
              <w:rPr>
                <w:noProof/>
                <w:webHidden/>
              </w:rPr>
              <w:fldChar w:fldCharType="begin"/>
            </w:r>
            <w:r w:rsidR="009A2D57">
              <w:rPr>
                <w:noProof/>
                <w:webHidden/>
              </w:rPr>
              <w:instrText xml:space="preserve"> PAGEREF _Toc113022366 \h </w:instrText>
            </w:r>
            <w:r w:rsidR="009A2D57">
              <w:rPr>
                <w:noProof/>
                <w:webHidden/>
              </w:rPr>
            </w:r>
            <w:r w:rsidR="009A2D57">
              <w:rPr>
                <w:noProof/>
                <w:webHidden/>
              </w:rPr>
              <w:fldChar w:fldCharType="separate"/>
            </w:r>
            <w:r w:rsidR="00FF554C">
              <w:rPr>
                <w:noProof/>
                <w:webHidden/>
              </w:rPr>
              <w:t>8</w:t>
            </w:r>
            <w:r w:rsidR="009A2D57">
              <w:rPr>
                <w:noProof/>
                <w:webHidden/>
              </w:rPr>
              <w:fldChar w:fldCharType="end"/>
            </w:r>
          </w:hyperlink>
        </w:p>
        <w:p w14:paraId="1FADAF32" w14:textId="597BF6C4" w:rsidR="009A2D57" w:rsidRDefault="007A1542">
          <w:pPr>
            <w:pStyle w:val="TOC2"/>
            <w:rPr>
              <w:rFonts w:eastAsiaTheme="minorEastAsia"/>
              <w:noProof/>
              <w:lang w:eastAsia="en-AU"/>
            </w:rPr>
          </w:pPr>
          <w:hyperlink w:anchor="_Toc113022367" w:history="1">
            <w:r w:rsidR="009A2D57" w:rsidRPr="00CF0FDC">
              <w:rPr>
                <w:rStyle w:val="Hyperlink"/>
                <w:noProof/>
              </w:rPr>
              <w:t>The circumstances in which people become informal carers of older Australians.</w:t>
            </w:r>
            <w:r w:rsidR="009A2D57">
              <w:rPr>
                <w:noProof/>
                <w:webHidden/>
              </w:rPr>
              <w:tab/>
            </w:r>
            <w:r w:rsidR="009A2D57">
              <w:rPr>
                <w:noProof/>
                <w:webHidden/>
              </w:rPr>
              <w:fldChar w:fldCharType="begin"/>
            </w:r>
            <w:r w:rsidR="009A2D57">
              <w:rPr>
                <w:noProof/>
                <w:webHidden/>
              </w:rPr>
              <w:instrText xml:space="preserve"> PAGEREF _Toc113022367 \h </w:instrText>
            </w:r>
            <w:r w:rsidR="009A2D57">
              <w:rPr>
                <w:noProof/>
                <w:webHidden/>
              </w:rPr>
            </w:r>
            <w:r w:rsidR="009A2D57">
              <w:rPr>
                <w:noProof/>
                <w:webHidden/>
              </w:rPr>
              <w:fldChar w:fldCharType="separate"/>
            </w:r>
            <w:r w:rsidR="00FF554C">
              <w:rPr>
                <w:noProof/>
                <w:webHidden/>
              </w:rPr>
              <w:t>8</w:t>
            </w:r>
            <w:r w:rsidR="009A2D57">
              <w:rPr>
                <w:noProof/>
                <w:webHidden/>
              </w:rPr>
              <w:fldChar w:fldCharType="end"/>
            </w:r>
          </w:hyperlink>
        </w:p>
        <w:p w14:paraId="6526E77B" w14:textId="0F712B4D" w:rsidR="009A2D57" w:rsidRDefault="007A1542" w:rsidP="009A2D57">
          <w:pPr>
            <w:pStyle w:val="TOC3"/>
            <w:ind w:left="720"/>
            <w:rPr>
              <w:rFonts w:eastAsiaTheme="minorEastAsia"/>
              <w:noProof/>
              <w:lang w:eastAsia="en-AU"/>
            </w:rPr>
          </w:pPr>
          <w:hyperlink w:anchor="_Toc113022368" w:history="1">
            <w:r w:rsidR="009A2D57" w:rsidRPr="00CF0FDC">
              <w:rPr>
                <w:rStyle w:val="Hyperlink"/>
                <w:noProof/>
              </w:rPr>
              <w:t>Occupation, caregiving, and employment status</w:t>
            </w:r>
            <w:r w:rsidR="009A2D57">
              <w:rPr>
                <w:noProof/>
                <w:webHidden/>
              </w:rPr>
              <w:tab/>
            </w:r>
            <w:r w:rsidR="009A2D57">
              <w:rPr>
                <w:noProof/>
                <w:webHidden/>
              </w:rPr>
              <w:fldChar w:fldCharType="begin"/>
            </w:r>
            <w:r w:rsidR="009A2D57">
              <w:rPr>
                <w:noProof/>
                <w:webHidden/>
              </w:rPr>
              <w:instrText xml:space="preserve"> PAGEREF _Toc113022368 \h </w:instrText>
            </w:r>
            <w:r w:rsidR="009A2D57">
              <w:rPr>
                <w:noProof/>
                <w:webHidden/>
              </w:rPr>
            </w:r>
            <w:r w:rsidR="009A2D57">
              <w:rPr>
                <w:noProof/>
                <w:webHidden/>
              </w:rPr>
              <w:fldChar w:fldCharType="separate"/>
            </w:r>
            <w:r w:rsidR="00FF554C">
              <w:rPr>
                <w:noProof/>
                <w:webHidden/>
              </w:rPr>
              <w:t>8</w:t>
            </w:r>
            <w:r w:rsidR="009A2D57">
              <w:rPr>
                <w:noProof/>
                <w:webHidden/>
              </w:rPr>
              <w:fldChar w:fldCharType="end"/>
            </w:r>
          </w:hyperlink>
        </w:p>
        <w:p w14:paraId="208B3D1E" w14:textId="4CCDA25F" w:rsidR="009A2D57" w:rsidRDefault="007A1542" w:rsidP="009A2D57">
          <w:pPr>
            <w:pStyle w:val="TOC3"/>
            <w:ind w:left="720"/>
            <w:rPr>
              <w:rFonts w:eastAsiaTheme="minorEastAsia"/>
              <w:noProof/>
              <w:lang w:eastAsia="en-AU"/>
            </w:rPr>
          </w:pPr>
          <w:hyperlink w:anchor="_Toc113022369" w:history="1">
            <w:r w:rsidR="009A2D57" w:rsidRPr="00CF0FDC">
              <w:rPr>
                <w:rStyle w:val="Hyperlink"/>
                <w:noProof/>
              </w:rPr>
              <w:t>Continuing labour force participation vs. reducing or stopping work</w:t>
            </w:r>
            <w:r w:rsidR="009A2D57">
              <w:rPr>
                <w:noProof/>
                <w:webHidden/>
              </w:rPr>
              <w:tab/>
            </w:r>
            <w:r w:rsidR="009A2D57">
              <w:rPr>
                <w:noProof/>
                <w:webHidden/>
              </w:rPr>
              <w:fldChar w:fldCharType="begin"/>
            </w:r>
            <w:r w:rsidR="009A2D57">
              <w:rPr>
                <w:noProof/>
                <w:webHidden/>
              </w:rPr>
              <w:instrText xml:space="preserve"> PAGEREF _Toc113022369 \h </w:instrText>
            </w:r>
            <w:r w:rsidR="009A2D57">
              <w:rPr>
                <w:noProof/>
                <w:webHidden/>
              </w:rPr>
            </w:r>
            <w:r w:rsidR="009A2D57">
              <w:rPr>
                <w:noProof/>
                <w:webHidden/>
              </w:rPr>
              <w:fldChar w:fldCharType="separate"/>
            </w:r>
            <w:r w:rsidR="00FF554C">
              <w:rPr>
                <w:noProof/>
                <w:webHidden/>
              </w:rPr>
              <w:t>8</w:t>
            </w:r>
            <w:r w:rsidR="009A2D57">
              <w:rPr>
                <w:noProof/>
                <w:webHidden/>
              </w:rPr>
              <w:fldChar w:fldCharType="end"/>
            </w:r>
          </w:hyperlink>
        </w:p>
        <w:p w14:paraId="18B45CCD" w14:textId="7790C3DA" w:rsidR="009A2D57" w:rsidRDefault="007A1542" w:rsidP="009A2D57">
          <w:pPr>
            <w:pStyle w:val="TOC3"/>
            <w:ind w:left="720"/>
            <w:rPr>
              <w:rFonts w:eastAsiaTheme="minorEastAsia"/>
              <w:noProof/>
              <w:lang w:eastAsia="en-AU"/>
            </w:rPr>
          </w:pPr>
          <w:hyperlink w:anchor="_Toc113022370" w:history="1">
            <w:r w:rsidR="009A2D57" w:rsidRPr="00CF0FDC">
              <w:rPr>
                <w:rStyle w:val="Hyperlink"/>
                <w:noProof/>
              </w:rPr>
              <w:t>Planned vs. sudden care requirements</w:t>
            </w:r>
            <w:r w:rsidR="009A2D57">
              <w:rPr>
                <w:noProof/>
                <w:webHidden/>
              </w:rPr>
              <w:tab/>
            </w:r>
            <w:r w:rsidR="009A2D57">
              <w:rPr>
                <w:noProof/>
                <w:webHidden/>
              </w:rPr>
              <w:fldChar w:fldCharType="begin"/>
            </w:r>
            <w:r w:rsidR="009A2D57">
              <w:rPr>
                <w:noProof/>
                <w:webHidden/>
              </w:rPr>
              <w:instrText xml:space="preserve"> PAGEREF _Toc113022370 \h </w:instrText>
            </w:r>
            <w:r w:rsidR="009A2D57">
              <w:rPr>
                <w:noProof/>
                <w:webHidden/>
              </w:rPr>
            </w:r>
            <w:r w:rsidR="009A2D57">
              <w:rPr>
                <w:noProof/>
                <w:webHidden/>
              </w:rPr>
              <w:fldChar w:fldCharType="separate"/>
            </w:r>
            <w:r w:rsidR="00FF554C">
              <w:rPr>
                <w:noProof/>
                <w:webHidden/>
              </w:rPr>
              <w:t>9</w:t>
            </w:r>
            <w:r w:rsidR="009A2D57">
              <w:rPr>
                <w:noProof/>
                <w:webHidden/>
              </w:rPr>
              <w:fldChar w:fldCharType="end"/>
            </w:r>
          </w:hyperlink>
        </w:p>
        <w:p w14:paraId="5A58E117" w14:textId="7F847712" w:rsidR="009A2D57" w:rsidRDefault="007A1542" w:rsidP="009A2D57">
          <w:pPr>
            <w:pStyle w:val="TOC3"/>
            <w:ind w:left="720"/>
            <w:rPr>
              <w:rFonts w:eastAsiaTheme="minorEastAsia"/>
              <w:noProof/>
              <w:lang w:eastAsia="en-AU"/>
            </w:rPr>
          </w:pPr>
          <w:hyperlink w:anchor="_Toc113022371" w:history="1">
            <w:r w:rsidR="009A2D57" w:rsidRPr="00CF0FDC">
              <w:rPr>
                <w:rStyle w:val="Hyperlink"/>
                <w:noProof/>
              </w:rPr>
              <w:t>Reasons for becoming a carer</w:t>
            </w:r>
            <w:r w:rsidR="009A2D57">
              <w:rPr>
                <w:noProof/>
                <w:webHidden/>
              </w:rPr>
              <w:tab/>
            </w:r>
            <w:r w:rsidR="009A2D57">
              <w:rPr>
                <w:noProof/>
                <w:webHidden/>
              </w:rPr>
              <w:fldChar w:fldCharType="begin"/>
            </w:r>
            <w:r w:rsidR="009A2D57">
              <w:rPr>
                <w:noProof/>
                <w:webHidden/>
              </w:rPr>
              <w:instrText xml:space="preserve"> PAGEREF _Toc113022371 \h </w:instrText>
            </w:r>
            <w:r w:rsidR="009A2D57">
              <w:rPr>
                <w:noProof/>
                <w:webHidden/>
              </w:rPr>
            </w:r>
            <w:r w:rsidR="009A2D57">
              <w:rPr>
                <w:noProof/>
                <w:webHidden/>
              </w:rPr>
              <w:fldChar w:fldCharType="separate"/>
            </w:r>
            <w:r w:rsidR="00FF554C">
              <w:rPr>
                <w:noProof/>
                <w:webHidden/>
              </w:rPr>
              <w:t>9</w:t>
            </w:r>
            <w:r w:rsidR="009A2D57">
              <w:rPr>
                <w:noProof/>
                <w:webHidden/>
              </w:rPr>
              <w:fldChar w:fldCharType="end"/>
            </w:r>
          </w:hyperlink>
        </w:p>
        <w:p w14:paraId="1EC0072C" w14:textId="792AF813" w:rsidR="009A2D57" w:rsidRDefault="007A1542">
          <w:pPr>
            <w:pStyle w:val="TOC2"/>
            <w:rPr>
              <w:rFonts w:eastAsiaTheme="minorEastAsia"/>
              <w:noProof/>
              <w:lang w:eastAsia="en-AU"/>
            </w:rPr>
          </w:pPr>
          <w:hyperlink w:anchor="_Toc113022372" w:history="1">
            <w:r w:rsidR="009A2D57" w:rsidRPr="00CF0FDC">
              <w:rPr>
                <w:rStyle w:val="Hyperlink"/>
                <w:noProof/>
              </w:rPr>
              <w:t>Evidence on how formal and informal care interact in the aged care sector.</w:t>
            </w:r>
            <w:r w:rsidR="009A2D57">
              <w:rPr>
                <w:noProof/>
                <w:webHidden/>
              </w:rPr>
              <w:tab/>
            </w:r>
            <w:r w:rsidR="009A2D57">
              <w:rPr>
                <w:noProof/>
                <w:webHidden/>
              </w:rPr>
              <w:fldChar w:fldCharType="begin"/>
            </w:r>
            <w:r w:rsidR="009A2D57">
              <w:rPr>
                <w:noProof/>
                <w:webHidden/>
              </w:rPr>
              <w:instrText xml:space="preserve"> PAGEREF _Toc113022372 \h </w:instrText>
            </w:r>
            <w:r w:rsidR="009A2D57">
              <w:rPr>
                <w:noProof/>
                <w:webHidden/>
              </w:rPr>
            </w:r>
            <w:r w:rsidR="009A2D57">
              <w:rPr>
                <w:noProof/>
                <w:webHidden/>
              </w:rPr>
              <w:fldChar w:fldCharType="separate"/>
            </w:r>
            <w:r w:rsidR="00FF554C">
              <w:rPr>
                <w:noProof/>
                <w:webHidden/>
              </w:rPr>
              <w:t>10</w:t>
            </w:r>
            <w:r w:rsidR="009A2D57">
              <w:rPr>
                <w:noProof/>
                <w:webHidden/>
              </w:rPr>
              <w:fldChar w:fldCharType="end"/>
            </w:r>
          </w:hyperlink>
        </w:p>
        <w:p w14:paraId="47DFF854" w14:textId="2B6DA6B2" w:rsidR="009A2D57" w:rsidRDefault="007A1542">
          <w:pPr>
            <w:pStyle w:val="TOC2"/>
            <w:rPr>
              <w:rFonts w:eastAsiaTheme="minorEastAsia"/>
              <w:noProof/>
              <w:lang w:eastAsia="en-AU"/>
            </w:rPr>
          </w:pPr>
          <w:hyperlink w:anchor="_Toc113022373" w:history="1">
            <w:r w:rsidR="009A2D57" w:rsidRPr="00CF0FDC">
              <w:rPr>
                <w:rStyle w:val="Hyperlink"/>
                <w:noProof/>
              </w:rPr>
              <w:t>Evidence on how informal carers of older people are affected by caring responsibilities:</w:t>
            </w:r>
            <w:r w:rsidR="009A2D57">
              <w:rPr>
                <w:noProof/>
                <w:webHidden/>
              </w:rPr>
              <w:tab/>
            </w:r>
            <w:r w:rsidR="009A2D57">
              <w:rPr>
                <w:noProof/>
                <w:webHidden/>
              </w:rPr>
              <w:fldChar w:fldCharType="begin"/>
            </w:r>
            <w:r w:rsidR="009A2D57">
              <w:rPr>
                <w:noProof/>
                <w:webHidden/>
              </w:rPr>
              <w:instrText xml:space="preserve"> PAGEREF _Toc113022373 \h </w:instrText>
            </w:r>
            <w:r w:rsidR="009A2D57">
              <w:rPr>
                <w:noProof/>
                <w:webHidden/>
              </w:rPr>
            </w:r>
            <w:r w:rsidR="009A2D57">
              <w:rPr>
                <w:noProof/>
                <w:webHidden/>
              </w:rPr>
              <w:fldChar w:fldCharType="separate"/>
            </w:r>
            <w:r w:rsidR="00FF554C">
              <w:rPr>
                <w:noProof/>
                <w:webHidden/>
              </w:rPr>
              <w:t>10</w:t>
            </w:r>
            <w:r w:rsidR="009A2D57">
              <w:rPr>
                <w:noProof/>
                <w:webHidden/>
              </w:rPr>
              <w:fldChar w:fldCharType="end"/>
            </w:r>
          </w:hyperlink>
        </w:p>
        <w:p w14:paraId="76468415" w14:textId="3B13EC69" w:rsidR="009A2D57" w:rsidRDefault="007A1542" w:rsidP="009A2D57">
          <w:pPr>
            <w:pStyle w:val="TOC3"/>
            <w:ind w:left="720"/>
            <w:rPr>
              <w:rFonts w:eastAsiaTheme="minorEastAsia"/>
              <w:noProof/>
              <w:lang w:eastAsia="en-AU"/>
            </w:rPr>
          </w:pPr>
          <w:hyperlink w:anchor="_Toc113022374" w:history="1">
            <w:r w:rsidR="009A2D57" w:rsidRPr="00CF0FDC">
              <w:rPr>
                <w:rStyle w:val="Hyperlink"/>
                <w:noProof/>
              </w:rPr>
              <w:t>Health</w:t>
            </w:r>
            <w:r w:rsidR="009A2D57">
              <w:rPr>
                <w:noProof/>
                <w:webHidden/>
              </w:rPr>
              <w:tab/>
            </w:r>
            <w:r w:rsidR="009A2D57">
              <w:rPr>
                <w:noProof/>
                <w:webHidden/>
              </w:rPr>
              <w:fldChar w:fldCharType="begin"/>
            </w:r>
            <w:r w:rsidR="009A2D57">
              <w:rPr>
                <w:noProof/>
                <w:webHidden/>
              </w:rPr>
              <w:instrText xml:space="preserve"> PAGEREF _Toc113022374 \h </w:instrText>
            </w:r>
            <w:r w:rsidR="009A2D57">
              <w:rPr>
                <w:noProof/>
                <w:webHidden/>
              </w:rPr>
            </w:r>
            <w:r w:rsidR="009A2D57">
              <w:rPr>
                <w:noProof/>
                <w:webHidden/>
              </w:rPr>
              <w:fldChar w:fldCharType="separate"/>
            </w:r>
            <w:r w:rsidR="00FF554C">
              <w:rPr>
                <w:noProof/>
                <w:webHidden/>
              </w:rPr>
              <w:t>11</w:t>
            </w:r>
            <w:r w:rsidR="009A2D57">
              <w:rPr>
                <w:noProof/>
                <w:webHidden/>
              </w:rPr>
              <w:fldChar w:fldCharType="end"/>
            </w:r>
          </w:hyperlink>
        </w:p>
        <w:p w14:paraId="0A46041B" w14:textId="5E4F7538" w:rsidR="009A2D57" w:rsidRDefault="007A1542" w:rsidP="009A2D57">
          <w:pPr>
            <w:pStyle w:val="TOC3"/>
            <w:ind w:left="720"/>
            <w:rPr>
              <w:rFonts w:eastAsiaTheme="minorEastAsia"/>
              <w:noProof/>
              <w:lang w:eastAsia="en-AU"/>
            </w:rPr>
          </w:pPr>
          <w:hyperlink w:anchor="_Toc113022375" w:history="1">
            <w:r w:rsidR="009A2D57" w:rsidRPr="00CF0FDC">
              <w:rPr>
                <w:rStyle w:val="Hyperlink"/>
                <w:noProof/>
              </w:rPr>
              <w:t>Socio-demographic factors related to ongoing vs transitory care</w:t>
            </w:r>
            <w:r w:rsidR="009A2D57">
              <w:rPr>
                <w:noProof/>
                <w:webHidden/>
              </w:rPr>
              <w:tab/>
            </w:r>
            <w:r w:rsidR="009A2D57">
              <w:rPr>
                <w:noProof/>
                <w:webHidden/>
              </w:rPr>
              <w:fldChar w:fldCharType="begin"/>
            </w:r>
            <w:r w:rsidR="009A2D57">
              <w:rPr>
                <w:noProof/>
                <w:webHidden/>
              </w:rPr>
              <w:instrText xml:space="preserve"> PAGEREF _Toc113022375 \h </w:instrText>
            </w:r>
            <w:r w:rsidR="009A2D57">
              <w:rPr>
                <w:noProof/>
                <w:webHidden/>
              </w:rPr>
            </w:r>
            <w:r w:rsidR="009A2D57">
              <w:rPr>
                <w:noProof/>
                <w:webHidden/>
              </w:rPr>
              <w:fldChar w:fldCharType="separate"/>
            </w:r>
            <w:r w:rsidR="00FF554C">
              <w:rPr>
                <w:noProof/>
                <w:webHidden/>
              </w:rPr>
              <w:t>11</w:t>
            </w:r>
            <w:r w:rsidR="009A2D57">
              <w:rPr>
                <w:noProof/>
                <w:webHidden/>
              </w:rPr>
              <w:fldChar w:fldCharType="end"/>
            </w:r>
          </w:hyperlink>
        </w:p>
        <w:p w14:paraId="3B1837A1" w14:textId="1C3023D0" w:rsidR="009A2D57" w:rsidRDefault="007A1542" w:rsidP="009A2D57">
          <w:pPr>
            <w:pStyle w:val="TOC3"/>
            <w:ind w:left="720"/>
            <w:rPr>
              <w:rFonts w:eastAsiaTheme="minorEastAsia"/>
              <w:noProof/>
              <w:lang w:eastAsia="en-AU"/>
            </w:rPr>
          </w:pPr>
          <w:hyperlink w:anchor="_Toc113022376" w:history="1">
            <w:r w:rsidR="009A2D57" w:rsidRPr="00CF0FDC">
              <w:rPr>
                <w:rStyle w:val="Hyperlink"/>
                <w:noProof/>
              </w:rPr>
              <w:t>Live-in carers</w:t>
            </w:r>
            <w:r w:rsidR="009A2D57">
              <w:rPr>
                <w:noProof/>
                <w:webHidden/>
              </w:rPr>
              <w:tab/>
            </w:r>
            <w:r w:rsidR="009A2D57">
              <w:rPr>
                <w:noProof/>
                <w:webHidden/>
              </w:rPr>
              <w:fldChar w:fldCharType="begin"/>
            </w:r>
            <w:r w:rsidR="009A2D57">
              <w:rPr>
                <w:noProof/>
                <w:webHidden/>
              </w:rPr>
              <w:instrText xml:space="preserve"> PAGEREF _Toc113022376 \h </w:instrText>
            </w:r>
            <w:r w:rsidR="009A2D57">
              <w:rPr>
                <w:noProof/>
                <w:webHidden/>
              </w:rPr>
            </w:r>
            <w:r w:rsidR="009A2D57">
              <w:rPr>
                <w:noProof/>
                <w:webHidden/>
              </w:rPr>
              <w:fldChar w:fldCharType="separate"/>
            </w:r>
            <w:r w:rsidR="00FF554C">
              <w:rPr>
                <w:noProof/>
                <w:webHidden/>
              </w:rPr>
              <w:t>13</w:t>
            </w:r>
            <w:r w:rsidR="009A2D57">
              <w:rPr>
                <w:noProof/>
                <w:webHidden/>
              </w:rPr>
              <w:fldChar w:fldCharType="end"/>
            </w:r>
          </w:hyperlink>
        </w:p>
        <w:p w14:paraId="2B1B01B1" w14:textId="4A3E5B51" w:rsidR="009A2D57" w:rsidRDefault="007A1542" w:rsidP="009A2D57">
          <w:pPr>
            <w:pStyle w:val="TOC3"/>
            <w:ind w:left="720"/>
            <w:rPr>
              <w:rFonts w:eastAsiaTheme="minorEastAsia"/>
              <w:noProof/>
              <w:lang w:eastAsia="en-AU"/>
            </w:rPr>
          </w:pPr>
          <w:hyperlink w:anchor="_Toc113022377" w:history="1">
            <w:r w:rsidR="009A2D57" w:rsidRPr="00CF0FDC">
              <w:rPr>
                <w:rStyle w:val="Hyperlink"/>
                <w:noProof/>
              </w:rPr>
              <w:t>Caregivers with a history of intimate partner violence</w:t>
            </w:r>
            <w:r w:rsidR="009A2D57">
              <w:rPr>
                <w:noProof/>
                <w:webHidden/>
              </w:rPr>
              <w:tab/>
            </w:r>
            <w:r w:rsidR="009A2D57">
              <w:rPr>
                <w:noProof/>
                <w:webHidden/>
              </w:rPr>
              <w:fldChar w:fldCharType="begin"/>
            </w:r>
            <w:r w:rsidR="009A2D57">
              <w:rPr>
                <w:noProof/>
                <w:webHidden/>
              </w:rPr>
              <w:instrText xml:space="preserve"> PAGEREF _Toc113022377 \h </w:instrText>
            </w:r>
            <w:r w:rsidR="009A2D57">
              <w:rPr>
                <w:noProof/>
                <w:webHidden/>
              </w:rPr>
            </w:r>
            <w:r w:rsidR="009A2D57">
              <w:rPr>
                <w:noProof/>
                <w:webHidden/>
              </w:rPr>
              <w:fldChar w:fldCharType="separate"/>
            </w:r>
            <w:r w:rsidR="00FF554C">
              <w:rPr>
                <w:noProof/>
                <w:webHidden/>
              </w:rPr>
              <w:t>13</w:t>
            </w:r>
            <w:r w:rsidR="009A2D57">
              <w:rPr>
                <w:noProof/>
                <w:webHidden/>
              </w:rPr>
              <w:fldChar w:fldCharType="end"/>
            </w:r>
          </w:hyperlink>
        </w:p>
        <w:p w14:paraId="461CB3D9" w14:textId="60BDEB4E" w:rsidR="009A2D57" w:rsidRDefault="007A1542" w:rsidP="009A2D57">
          <w:pPr>
            <w:pStyle w:val="TOC3"/>
            <w:ind w:left="720"/>
            <w:rPr>
              <w:rFonts w:eastAsiaTheme="minorEastAsia"/>
              <w:noProof/>
              <w:lang w:eastAsia="en-AU"/>
            </w:rPr>
          </w:pPr>
          <w:hyperlink w:anchor="_Toc113022378" w:history="1">
            <w:r w:rsidR="009A2D57" w:rsidRPr="00CF0FDC">
              <w:rPr>
                <w:rStyle w:val="Hyperlink"/>
                <w:noProof/>
              </w:rPr>
              <w:t>‘Sandwich generation’ caregivers</w:t>
            </w:r>
            <w:r w:rsidR="009A2D57">
              <w:rPr>
                <w:noProof/>
                <w:webHidden/>
              </w:rPr>
              <w:tab/>
            </w:r>
            <w:r w:rsidR="009A2D57">
              <w:rPr>
                <w:noProof/>
                <w:webHidden/>
              </w:rPr>
              <w:fldChar w:fldCharType="begin"/>
            </w:r>
            <w:r w:rsidR="009A2D57">
              <w:rPr>
                <w:noProof/>
                <w:webHidden/>
              </w:rPr>
              <w:instrText xml:space="preserve"> PAGEREF _Toc113022378 \h </w:instrText>
            </w:r>
            <w:r w:rsidR="009A2D57">
              <w:rPr>
                <w:noProof/>
                <w:webHidden/>
              </w:rPr>
            </w:r>
            <w:r w:rsidR="009A2D57">
              <w:rPr>
                <w:noProof/>
                <w:webHidden/>
              </w:rPr>
              <w:fldChar w:fldCharType="separate"/>
            </w:r>
            <w:r w:rsidR="00FF554C">
              <w:rPr>
                <w:noProof/>
                <w:webHidden/>
              </w:rPr>
              <w:t>14</w:t>
            </w:r>
            <w:r w:rsidR="009A2D57">
              <w:rPr>
                <w:noProof/>
                <w:webHidden/>
              </w:rPr>
              <w:fldChar w:fldCharType="end"/>
            </w:r>
          </w:hyperlink>
        </w:p>
        <w:p w14:paraId="562C6FC9" w14:textId="1C4944A7" w:rsidR="009A2D57" w:rsidRDefault="007A1542">
          <w:pPr>
            <w:pStyle w:val="TOC2"/>
            <w:rPr>
              <w:rFonts w:eastAsiaTheme="minorEastAsia"/>
              <w:noProof/>
              <w:lang w:eastAsia="en-AU"/>
            </w:rPr>
          </w:pPr>
          <w:hyperlink w:anchor="_Toc113022379" w:history="1">
            <w:r w:rsidR="009A2D57" w:rsidRPr="00CF0FDC">
              <w:rPr>
                <w:rStyle w:val="Hyperlink"/>
                <w:noProof/>
              </w:rPr>
              <w:t>Costs and benefits of leaving formal employment to provide informal care that carers don’t take into consideration.</w:t>
            </w:r>
            <w:r w:rsidR="009A2D57">
              <w:rPr>
                <w:noProof/>
                <w:webHidden/>
              </w:rPr>
              <w:tab/>
            </w:r>
            <w:r w:rsidR="009A2D57">
              <w:rPr>
                <w:noProof/>
                <w:webHidden/>
              </w:rPr>
              <w:fldChar w:fldCharType="begin"/>
            </w:r>
            <w:r w:rsidR="009A2D57">
              <w:rPr>
                <w:noProof/>
                <w:webHidden/>
              </w:rPr>
              <w:instrText xml:space="preserve"> PAGEREF _Toc113022379 \h </w:instrText>
            </w:r>
            <w:r w:rsidR="009A2D57">
              <w:rPr>
                <w:noProof/>
                <w:webHidden/>
              </w:rPr>
            </w:r>
            <w:r w:rsidR="009A2D57">
              <w:rPr>
                <w:noProof/>
                <w:webHidden/>
              </w:rPr>
              <w:fldChar w:fldCharType="separate"/>
            </w:r>
            <w:r w:rsidR="00FF554C">
              <w:rPr>
                <w:noProof/>
                <w:webHidden/>
              </w:rPr>
              <w:t>15</w:t>
            </w:r>
            <w:r w:rsidR="009A2D57">
              <w:rPr>
                <w:noProof/>
                <w:webHidden/>
              </w:rPr>
              <w:fldChar w:fldCharType="end"/>
            </w:r>
          </w:hyperlink>
        </w:p>
        <w:p w14:paraId="01C957B4" w14:textId="1EC91D51" w:rsidR="009A2D57" w:rsidRDefault="007A1542" w:rsidP="009A2D57">
          <w:pPr>
            <w:pStyle w:val="TOC3"/>
            <w:ind w:left="720"/>
            <w:rPr>
              <w:rFonts w:eastAsiaTheme="minorEastAsia"/>
              <w:noProof/>
              <w:lang w:eastAsia="en-AU"/>
            </w:rPr>
          </w:pPr>
          <w:hyperlink w:anchor="_Toc113022380" w:history="1">
            <w:r w:rsidR="009A2D57" w:rsidRPr="00CF0FDC">
              <w:rPr>
                <w:rStyle w:val="Hyperlink"/>
                <w:noProof/>
              </w:rPr>
              <w:t>The decision to retire</w:t>
            </w:r>
            <w:r w:rsidR="009A2D57">
              <w:rPr>
                <w:noProof/>
                <w:webHidden/>
              </w:rPr>
              <w:tab/>
            </w:r>
            <w:r w:rsidR="009A2D57">
              <w:rPr>
                <w:noProof/>
                <w:webHidden/>
              </w:rPr>
              <w:fldChar w:fldCharType="begin"/>
            </w:r>
            <w:r w:rsidR="009A2D57">
              <w:rPr>
                <w:noProof/>
                <w:webHidden/>
              </w:rPr>
              <w:instrText xml:space="preserve"> PAGEREF _Toc113022380 \h </w:instrText>
            </w:r>
            <w:r w:rsidR="009A2D57">
              <w:rPr>
                <w:noProof/>
                <w:webHidden/>
              </w:rPr>
            </w:r>
            <w:r w:rsidR="009A2D57">
              <w:rPr>
                <w:noProof/>
                <w:webHidden/>
              </w:rPr>
              <w:fldChar w:fldCharType="separate"/>
            </w:r>
            <w:r w:rsidR="00FF554C">
              <w:rPr>
                <w:noProof/>
                <w:webHidden/>
              </w:rPr>
              <w:t>15</w:t>
            </w:r>
            <w:r w:rsidR="009A2D57">
              <w:rPr>
                <w:noProof/>
                <w:webHidden/>
              </w:rPr>
              <w:fldChar w:fldCharType="end"/>
            </w:r>
          </w:hyperlink>
        </w:p>
        <w:p w14:paraId="2436342A" w14:textId="6E049EAC" w:rsidR="009A2D57" w:rsidRDefault="007A1542">
          <w:pPr>
            <w:pStyle w:val="TOC2"/>
            <w:rPr>
              <w:rFonts w:eastAsiaTheme="minorEastAsia"/>
              <w:noProof/>
              <w:lang w:eastAsia="en-AU"/>
            </w:rPr>
          </w:pPr>
          <w:hyperlink w:anchor="_Toc113022381" w:history="1">
            <w:r w:rsidR="009A2D57" w:rsidRPr="00CF0FDC">
              <w:rPr>
                <w:rStyle w:val="Hyperlink"/>
                <w:noProof/>
              </w:rPr>
              <w:t>How many employees who would take leave would return to work once they had ceased caring?</w:t>
            </w:r>
            <w:r w:rsidR="009A2D57">
              <w:rPr>
                <w:noProof/>
                <w:webHidden/>
              </w:rPr>
              <w:tab/>
            </w:r>
            <w:r w:rsidR="009A2D57">
              <w:rPr>
                <w:noProof/>
                <w:webHidden/>
              </w:rPr>
              <w:fldChar w:fldCharType="begin"/>
            </w:r>
            <w:r w:rsidR="009A2D57">
              <w:rPr>
                <w:noProof/>
                <w:webHidden/>
              </w:rPr>
              <w:instrText xml:space="preserve"> PAGEREF _Toc113022381 \h </w:instrText>
            </w:r>
            <w:r w:rsidR="009A2D57">
              <w:rPr>
                <w:noProof/>
                <w:webHidden/>
              </w:rPr>
            </w:r>
            <w:r w:rsidR="009A2D57">
              <w:rPr>
                <w:noProof/>
                <w:webHidden/>
              </w:rPr>
              <w:fldChar w:fldCharType="separate"/>
            </w:r>
            <w:r w:rsidR="00FF554C">
              <w:rPr>
                <w:noProof/>
                <w:webHidden/>
              </w:rPr>
              <w:t>16</w:t>
            </w:r>
            <w:r w:rsidR="009A2D57">
              <w:rPr>
                <w:noProof/>
                <w:webHidden/>
              </w:rPr>
              <w:fldChar w:fldCharType="end"/>
            </w:r>
          </w:hyperlink>
        </w:p>
        <w:p w14:paraId="4E7BE356" w14:textId="62B6D269" w:rsidR="009A2D57" w:rsidRDefault="007A1542" w:rsidP="009A2D57">
          <w:pPr>
            <w:pStyle w:val="TOC3"/>
            <w:ind w:left="720"/>
            <w:rPr>
              <w:rFonts w:eastAsiaTheme="minorEastAsia"/>
              <w:noProof/>
              <w:lang w:eastAsia="en-AU"/>
            </w:rPr>
          </w:pPr>
          <w:hyperlink w:anchor="_Toc113022382" w:history="1">
            <w:r w:rsidR="009A2D57" w:rsidRPr="00CF0FDC">
              <w:rPr>
                <w:rStyle w:val="Hyperlink"/>
                <w:noProof/>
              </w:rPr>
              <w:t>Caregiving transitions</w:t>
            </w:r>
            <w:r w:rsidR="009A2D57">
              <w:rPr>
                <w:noProof/>
                <w:webHidden/>
              </w:rPr>
              <w:tab/>
            </w:r>
            <w:r w:rsidR="009A2D57">
              <w:rPr>
                <w:noProof/>
                <w:webHidden/>
              </w:rPr>
              <w:fldChar w:fldCharType="begin"/>
            </w:r>
            <w:r w:rsidR="009A2D57">
              <w:rPr>
                <w:noProof/>
                <w:webHidden/>
              </w:rPr>
              <w:instrText xml:space="preserve"> PAGEREF _Toc113022382 \h </w:instrText>
            </w:r>
            <w:r w:rsidR="009A2D57">
              <w:rPr>
                <w:noProof/>
                <w:webHidden/>
              </w:rPr>
            </w:r>
            <w:r w:rsidR="009A2D57">
              <w:rPr>
                <w:noProof/>
                <w:webHidden/>
              </w:rPr>
              <w:fldChar w:fldCharType="separate"/>
            </w:r>
            <w:r w:rsidR="00FF554C">
              <w:rPr>
                <w:noProof/>
                <w:webHidden/>
              </w:rPr>
              <w:t>16</w:t>
            </w:r>
            <w:r w:rsidR="009A2D57">
              <w:rPr>
                <w:noProof/>
                <w:webHidden/>
              </w:rPr>
              <w:fldChar w:fldCharType="end"/>
            </w:r>
          </w:hyperlink>
        </w:p>
        <w:p w14:paraId="01CD2DF1" w14:textId="5F2D0B57" w:rsidR="009A2D57" w:rsidRDefault="007A1542" w:rsidP="009A2D57">
          <w:pPr>
            <w:pStyle w:val="TOC3"/>
            <w:ind w:left="720"/>
            <w:rPr>
              <w:rFonts w:eastAsiaTheme="minorEastAsia"/>
              <w:noProof/>
              <w:lang w:eastAsia="en-AU"/>
            </w:rPr>
          </w:pPr>
          <w:hyperlink w:anchor="_Toc113022383" w:history="1">
            <w:r w:rsidR="009A2D57" w:rsidRPr="00CF0FDC">
              <w:rPr>
                <w:rStyle w:val="Hyperlink"/>
                <w:noProof/>
              </w:rPr>
              <w:t>Factors affecting employment transitions</w:t>
            </w:r>
            <w:r w:rsidR="009A2D57">
              <w:rPr>
                <w:noProof/>
                <w:webHidden/>
              </w:rPr>
              <w:tab/>
            </w:r>
            <w:r w:rsidR="009A2D57">
              <w:rPr>
                <w:noProof/>
                <w:webHidden/>
              </w:rPr>
              <w:fldChar w:fldCharType="begin"/>
            </w:r>
            <w:r w:rsidR="009A2D57">
              <w:rPr>
                <w:noProof/>
                <w:webHidden/>
              </w:rPr>
              <w:instrText xml:space="preserve"> PAGEREF _Toc113022383 \h </w:instrText>
            </w:r>
            <w:r w:rsidR="009A2D57">
              <w:rPr>
                <w:noProof/>
                <w:webHidden/>
              </w:rPr>
            </w:r>
            <w:r w:rsidR="009A2D57">
              <w:rPr>
                <w:noProof/>
                <w:webHidden/>
              </w:rPr>
              <w:fldChar w:fldCharType="separate"/>
            </w:r>
            <w:r w:rsidR="00FF554C">
              <w:rPr>
                <w:noProof/>
                <w:webHidden/>
              </w:rPr>
              <w:t>17</w:t>
            </w:r>
            <w:r w:rsidR="009A2D57">
              <w:rPr>
                <w:noProof/>
                <w:webHidden/>
              </w:rPr>
              <w:fldChar w:fldCharType="end"/>
            </w:r>
          </w:hyperlink>
        </w:p>
        <w:p w14:paraId="376825E8" w14:textId="7FCD31E1" w:rsidR="009A2D57" w:rsidRDefault="007A1542">
          <w:pPr>
            <w:pStyle w:val="TOC2"/>
            <w:rPr>
              <w:rFonts w:eastAsiaTheme="minorEastAsia"/>
              <w:noProof/>
              <w:lang w:eastAsia="en-AU"/>
            </w:rPr>
          </w:pPr>
          <w:hyperlink w:anchor="_Toc113022384" w:history="1">
            <w:r w:rsidR="009A2D57" w:rsidRPr="00CF0FDC">
              <w:rPr>
                <w:rStyle w:val="Hyperlink"/>
                <w:noProof/>
              </w:rPr>
              <w:t>How an entitlement to extended unpaid carer leave ought to be designed.</w:t>
            </w:r>
            <w:r w:rsidR="009A2D57">
              <w:rPr>
                <w:noProof/>
                <w:webHidden/>
              </w:rPr>
              <w:tab/>
            </w:r>
            <w:r w:rsidR="009A2D57">
              <w:rPr>
                <w:noProof/>
                <w:webHidden/>
              </w:rPr>
              <w:fldChar w:fldCharType="begin"/>
            </w:r>
            <w:r w:rsidR="009A2D57">
              <w:rPr>
                <w:noProof/>
                <w:webHidden/>
              </w:rPr>
              <w:instrText xml:space="preserve"> PAGEREF _Toc113022384 \h </w:instrText>
            </w:r>
            <w:r w:rsidR="009A2D57">
              <w:rPr>
                <w:noProof/>
                <w:webHidden/>
              </w:rPr>
            </w:r>
            <w:r w:rsidR="009A2D57">
              <w:rPr>
                <w:noProof/>
                <w:webHidden/>
              </w:rPr>
              <w:fldChar w:fldCharType="separate"/>
            </w:r>
            <w:r w:rsidR="00FF554C">
              <w:rPr>
                <w:noProof/>
                <w:webHidden/>
              </w:rPr>
              <w:t>18</w:t>
            </w:r>
            <w:r w:rsidR="009A2D57">
              <w:rPr>
                <w:noProof/>
                <w:webHidden/>
              </w:rPr>
              <w:fldChar w:fldCharType="end"/>
            </w:r>
          </w:hyperlink>
        </w:p>
        <w:p w14:paraId="31830755" w14:textId="4D5711FC" w:rsidR="009A2D57" w:rsidRDefault="007A1542" w:rsidP="009A2D57">
          <w:pPr>
            <w:pStyle w:val="TOC3"/>
            <w:ind w:left="720"/>
            <w:rPr>
              <w:rFonts w:eastAsiaTheme="minorEastAsia"/>
              <w:noProof/>
              <w:lang w:eastAsia="en-AU"/>
            </w:rPr>
          </w:pPr>
          <w:hyperlink w:anchor="_Toc113022385" w:history="1">
            <w:r w:rsidR="009A2D57" w:rsidRPr="00CF0FDC">
              <w:rPr>
                <w:rStyle w:val="Hyperlink"/>
                <w:noProof/>
              </w:rPr>
              <w:t>Eligibility criterion</w:t>
            </w:r>
            <w:r w:rsidR="009A2D57">
              <w:rPr>
                <w:noProof/>
                <w:webHidden/>
              </w:rPr>
              <w:tab/>
            </w:r>
            <w:r w:rsidR="009A2D57">
              <w:rPr>
                <w:noProof/>
                <w:webHidden/>
              </w:rPr>
              <w:fldChar w:fldCharType="begin"/>
            </w:r>
            <w:r w:rsidR="009A2D57">
              <w:rPr>
                <w:noProof/>
                <w:webHidden/>
              </w:rPr>
              <w:instrText xml:space="preserve"> PAGEREF _Toc113022385 \h </w:instrText>
            </w:r>
            <w:r w:rsidR="009A2D57">
              <w:rPr>
                <w:noProof/>
                <w:webHidden/>
              </w:rPr>
            </w:r>
            <w:r w:rsidR="009A2D57">
              <w:rPr>
                <w:noProof/>
                <w:webHidden/>
              </w:rPr>
              <w:fldChar w:fldCharType="separate"/>
            </w:r>
            <w:r w:rsidR="00FF554C">
              <w:rPr>
                <w:noProof/>
                <w:webHidden/>
              </w:rPr>
              <w:t>18</w:t>
            </w:r>
            <w:r w:rsidR="009A2D57">
              <w:rPr>
                <w:noProof/>
                <w:webHidden/>
              </w:rPr>
              <w:fldChar w:fldCharType="end"/>
            </w:r>
          </w:hyperlink>
        </w:p>
        <w:p w14:paraId="0ABD0E64" w14:textId="328A690C" w:rsidR="009A2D57" w:rsidRDefault="007A1542">
          <w:pPr>
            <w:pStyle w:val="TOC2"/>
            <w:rPr>
              <w:rFonts w:eastAsiaTheme="minorEastAsia"/>
              <w:noProof/>
              <w:lang w:eastAsia="en-AU"/>
            </w:rPr>
          </w:pPr>
          <w:hyperlink w:anchor="_Toc113022386" w:history="1">
            <w:r w:rsidR="009A2D57" w:rsidRPr="00CF0FDC">
              <w:rPr>
                <w:rStyle w:val="Hyperlink"/>
                <w:noProof/>
              </w:rPr>
              <w:t>Income supports and services currently offered to informal carers.</w:t>
            </w:r>
            <w:r w:rsidR="009A2D57">
              <w:rPr>
                <w:noProof/>
                <w:webHidden/>
              </w:rPr>
              <w:tab/>
            </w:r>
            <w:r w:rsidR="009A2D57">
              <w:rPr>
                <w:noProof/>
                <w:webHidden/>
              </w:rPr>
              <w:fldChar w:fldCharType="begin"/>
            </w:r>
            <w:r w:rsidR="009A2D57">
              <w:rPr>
                <w:noProof/>
                <w:webHidden/>
              </w:rPr>
              <w:instrText xml:space="preserve"> PAGEREF _Toc113022386 \h </w:instrText>
            </w:r>
            <w:r w:rsidR="009A2D57">
              <w:rPr>
                <w:noProof/>
                <w:webHidden/>
              </w:rPr>
            </w:r>
            <w:r w:rsidR="009A2D57">
              <w:rPr>
                <w:noProof/>
                <w:webHidden/>
              </w:rPr>
              <w:fldChar w:fldCharType="separate"/>
            </w:r>
            <w:r w:rsidR="00FF554C">
              <w:rPr>
                <w:noProof/>
                <w:webHidden/>
              </w:rPr>
              <w:t>20</w:t>
            </w:r>
            <w:r w:rsidR="009A2D57">
              <w:rPr>
                <w:noProof/>
                <w:webHidden/>
              </w:rPr>
              <w:fldChar w:fldCharType="end"/>
            </w:r>
          </w:hyperlink>
        </w:p>
        <w:p w14:paraId="11DDC2E3" w14:textId="50C37AA1" w:rsidR="009A2D57" w:rsidRDefault="007A1542">
          <w:pPr>
            <w:pStyle w:val="TOC2"/>
            <w:rPr>
              <w:rFonts w:eastAsiaTheme="minorEastAsia"/>
              <w:noProof/>
              <w:lang w:eastAsia="en-AU"/>
            </w:rPr>
          </w:pPr>
          <w:hyperlink w:anchor="_Toc113022387" w:history="1">
            <w:r w:rsidR="009A2D57" w:rsidRPr="00CF0FDC">
              <w:rPr>
                <w:rStyle w:val="Hyperlink"/>
                <w:noProof/>
              </w:rPr>
              <w:t>Alternative supports for carers of older people.</w:t>
            </w:r>
            <w:r w:rsidR="009A2D57">
              <w:rPr>
                <w:noProof/>
                <w:webHidden/>
              </w:rPr>
              <w:tab/>
            </w:r>
            <w:r w:rsidR="009A2D57">
              <w:rPr>
                <w:noProof/>
                <w:webHidden/>
              </w:rPr>
              <w:fldChar w:fldCharType="begin"/>
            </w:r>
            <w:r w:rsidR="009A2D57">
              <w:rPr>
                <w:noProof/>
                <w:webHidden/>
              </w:rPr>
              <w:instrText xml:space="preserve"> PAGEREF _Toc113022387 \h </w:instrText>
            </w:r>
            <w:r w:rsidR="009A2D57">
              <w:rPr>
                <w:noProof/>
                <w:webHidden/>
              </w:rPr>
            </w:r>
            <w:r w:rsidR="009A2D57">
              <w:rPr>
                <w:noProof/>
                <w:webHidden/>
              </w:rPr>
              <w:fldChar w:fldCharType="separate"/>
            </w:r>
            <w:r w:rsidR="00FF554C">
              <w:rPr>
                <w:noProof/>
                <w:webHidden/>
              </w:rPr>
              <w:t>21</w:t>
            </w:r>
            <w:r w:rsidR="009A2D57">
              <w:rPr>
                <w:noProof/>
                <w:webHidden/>
              </w:rPr>
              <w:fldChar w:fldCharType="end"/>
            </w:r>
          </w:hyperlink>
        </w:p>
        <w:p w14:paraId="038A268E" w14:textId="3810FA15" w:rsidR="009A2D57" w:rsidRDefault="007A1542" w:rsidP="009A2D57">
          <w:pPr>
            <w:pStyle w:val="TOC3"/>
            <w:ind w:left="720"/>
            <w:rPr>
              <w:rFonts w:eastAsiaTheme="minorEastAsia"/>
              <w:noProof/>
              <w:lang w:eastAsia="en-AU"/>
            </w:rPr>
          </w:pPr>
          <w:hyperlink w:anchor="_Toc113022388" w:history="1">
            <w:r w:rsidR="009A2D57" w:rsidRPr="00CF0FDC">
              <w:rPr>
                <w:rStyle w:val="Hyperlink"/>
                <w:noProof/>
              </w:rPr>
              <w:t>Financial support</w:t>
            </w:r>
            <w:r w:rsidR="009A2D57">
              <w:rPr>
                <w:noProof/>
                <w:webHidden/>
              </w:rPr>
              <w:tab/>
            </w:r>
            <w:r w:rsidR="009A2D57">
              <w:rPr>
                <w:noProof/>
                <w:webHidden/>
              </w:rPr>
              <w:fldChar w:fldCharType="begin"/>
            </w:r>
            <w:r w:rsidR="009A2D57">
              <w:rPr>
                <w:noProof/>
                <w:webHidden/>
              </w:rPr>
              <w:instrText xml:space="preserve"> PAGEREF _Toc113022388 \h </w:instrText>
            </w:r>
            <w:r w:rsidR="009A2D57">
              <w:rPr>
                <w:noProof/>
                <w:webHidden/>
              </w:rPr>
            </w:r>
            <w:r w:rsidR="009A2D57">
              <w:rPr>
                <w:noProof/>
                <w:webHidden/>
              </w:rPr>
              <w:fldChar w:fldCharType="separate"/>
            </w:r>
            <w:r w:rsidR="00FF554C">
              <w:rPr>
                <w:noProof/>
                <w:webHidden/>
              </w:rPr>
              <w:t>22</w:t>
            </w:r>
            <w:r w:rsidR="009A2D57">
              <w:rPr>
                <w:noProof/>
                <w:webHidden/>
              </w:rPr>
              <w:fldChar w:fldCharType="end"/>
            </w:r>
          </w:hyperlink>
        </w:p>
        <w:p w14:paraId="65F5CFE1" w14:textId="65246974" w:rsidR="009A2D57" w:rsidRDefault="007A1542">
          <w:pPr>
            <w:pStyle w:val="TOC2"/>
            <w:rPr>
              <w:rFonts w:eastAsiaTheme="minorEastAsia"/>
              <w:noProof/>
              <w:lang w:eastAsia="en-AU"/>
            </w:rPr>
          </w:pPr>
          <w:hyperlink w:anchor="_Toc113022389" w:history="1">
            <w:r w:rsidR="009A2D57" w:rsidRPr="00CF0FDC">
              <w:rPr>
                <w:rStyle w:val="Hyperlink"/>
                <w:noProof/>
              </w:rPr>
              <w:t>How we should consider whether reforms to supports for carers of older people should apply to other carers too.</w:t>
            </w:r>
            <w:r w:rsidR="009A2D57">
              <w:rPr>
                <w:noProof/>
                <w:webHidden/>
              </w:rPr>
              <w:tab/>
            </w:r>
            <w:r w:rsidR="009A2D57">
              <w:rPr>
                <w:noProof/>
                <w:webHidden/>
              </w:rPr>
              <w:fldChar w:fldCharType="begin"/>
            </w:r>
            <w:r w:rsidR="009A2D57">
              <w:rPr>
                <w:noProof/>
                <w:webHidden/>
              </w:rPr>
              <w:instrText xml:space="preserve"> PAGEREF _Toc113022389 \h </w:instrText>
            </w:r>
            <w:r w:rsidR="009A2D57">
              <w:rPr>
                <w:noProof/>
                <w:webHidden/>
              </w:rPr>
            </w:r>
            <w:r w:rsidR="009A2D57">
              <w:rPr>
                <w:noProof/>
                <w:webHidden/>
              </w:rPr>
              <w:fldChar w:fldCharType="separate"/>
            </w:r>
            <w:r w:rsidR="00FF554C">
              <w:rPr>
                <w:noProof/>
                <w:webHidden/>
              </w:rPr>
              <w:t>22</w:t>
            </w:r>
            <w:r w:rsidR="009A2D57">
              <w:rPr>
                <w:noProof/>
                <w:webHidden/>
              </w:rPr>
              <w:fldChar w:fldCharType="end"/>
            </w:r>
          </w:hyperlink>
        </w:p>
        <w:p w14:paraId="2234D0B8" w14:textId="142DCD4E" w:rsidR="009A2D57" w:rsidRDefault="007A1542">
          <w:pPr>
            <w:pStyle w:val="TOC1"/>
            <w:rPr>
              <w:rFonts w:eastAsiaTheme="minorEastAsia"/>
              <w:b w:val="0"/>
              <w:noProof/>
              <w:lang w:eastAsia="en-AU"/>
            </w:rPr>
          </w:pPr>
          <w:hyperlink w:anchor="_Toc113022390" w:history="1">
            <w:r w:rsidR="009A2D57" w:rsidRPr="00CF0FDC">
              <w:rPr>
                <w:rStyle w:val="Hyperlink"/>
                <w:noProof/>
              </w:rPr>
              <w:t>Contributing authors</w:t>
            </w:r>
            <w:r w:rsidR="009A2D57">
              <w:rPr>
                <w:noProof/>
                <w:webHidden/>
              </w:rPr>
              <w:tab/>
            </w:r>
            <w:r w:rsidR="009A2D57">
              <w:rPr>
                <w:noProof/>
                <w:webHidden/>
              </w:rPr>
              <w:fldChar w:fldCharType="begin"/>
            </w:r>
            <w:r w:rsidR="009A2D57">
              <w:rPr>
                <w:noProof/>
                <w:webHidden/>
              </w:rPr>
              <w:instrText xml:space="preserve"> PAGEREF _Toc113022390 \h </w:instrText>
            </w:r>
            <w:r w:rsidR="009A2D57">
              <w:rPr>
                <w:noProof/>
                <w:webHidden/>
              </w:rPr>
            </w:r>
            <w:r w:rsidR="009A2D57">
              <w:rPr>
                <w:noProof/>
                <w:webHidden/>
              </w:rPr>
              <w:fldChar w:fldCharType="separate"/>
            </w:r>
            <w:r w:rsidR="00FF554C">
              <w:rPr>
                <w:noProof/>
                <w:webHidden/>
              </w:rPr>
              <w:t>23</w:t>
            </w:r>
            <w:r w:rsidR="009A2D57">
              <w:rPr>
                <w:noProof/>
                <w:webHidden/>
              </w:rPr>
              <w:fldChar w:fldCharType="end"/>
            </w:r>
          </w:hyperlink>
        </w:p>
        <w:p w14:paraId="5F37DE7C" w14:textId="310DFAF0" w:rsidR="009A2D57" w:rsidRDefault="007A1542">
          <w:pPr>
            <w:pStyle w:val="TOC1"/>
            <w:rPr>
              <w:rFonts w:eastAsiaTheme="minorEastAsia"/>
              <w:b w:val="0"/>
              <w:noProof/>
              <w:lang w:eastAsia="en-AU"/>
            </w:rPr>
          </w:pPr>
          <w:hyperlink w:anchor="_Toc113022391" w:history="1">
            <w:r w:rsidR="009A2D57" w:rsidRPr="00CF0FDC">
              <w:rPr>
                <w:rStyle w:val="Hyperlink"/>
                <w:noProof/>
              </w:rPr>
              <w:t>Endnotes</w:t>
            </w:r>
            <w:r w:rsidR="009A2D57">
              <w:rPr>
                <w:noProof/>
                <w:webHidden/>
              </w:rPr>
              <w:tab/>
            </w:r>
            <w:r w:rsidR="009A2D57">
              <w:rPr>
                <w:noProof/>
                <w:webHidden/>
              </w:rPr>
              <w:fldChar w:fldCharType="begin"/>
            </w:r>
            <w:r w:rsidR="009A2D57">
              <w:rPr>
                <w:noProof/>
                <w:webHidden/>
              </w:rPr>
              <w:instrText xml:space="preserve"> PAGEREF _Toc113022391 \h </w:instrText>
            </w:r>
            <w:r w:rsidR="009A2D57">
              <w:rPr>
                <w:noProof/>
                <w:webHidden/>
              </w:rPr>
            </w:r>
            <w:r w:rsidR="009A2D57">
              <w:rPr>
                <w:noProof/>
                <w:webHidden/>
              </w:rPr>
              <w:fldChar w:fldCharType="separate"/>
            </w:r>
            <w:r w:rsidR="00FF554C">
              <w:rPr>
                <w:noProof/>
                <w:webHidden/>
              </w:rPr>
              <w:t>24</w:t>
            </w:r>
            <w:r w:rsidR="009A2D57">
              <w:rPr>
                <w:noProof/>
                <w:webHidden/>
              </w:rPr>
              <w:fldChar w:fldCharType="end"/>
            </w:r>
          </w:hyperlink>
        </w:p>
        <w:p w14:paraId="402DA1EA" w14:textId="7D5F2B5C" w:rsidR="00F8295B" w:rsidRDefault="00F8295B">
          <w:r>
            <w:rPr>
              <w:b/>
              <w:bCs/>
              <w:noProof/>
            </w:rPr>
            <w:fldChar w:fldCharType="end"/>
          </w:r>
        </w:p>
      </w:sdtContent>
    </w:sdt>
    <w:p w14:paraId="68680813" w14:textId="77777777" w:rsidR="006A3499" w:rsidRPr="00D70883" w:rsidRDefault="006A3499" w:rsidP="006A3499">
      <w:pPr>
        <w:rPr>
          <w:rFonts w:cstheme="minorHAnsi"/>
        </w:rPr>
      </w:pPr>
    </w:p>
    <w:p w14:paraId="7A0AA84D" w14:textId="77777777" w:rsidR="006A3499" w:rsidRPr="00D70883" w:rsidRDefault="006A3499" w:rsidP="006A3499">
      <w:pPr>
        <w:rPr>
          <w:rFonts w:cstheme="minorHAnsi"/>
        </w:rPr>
      </w:pPr>
    </w:p>
    <w:p w14:paraId="05E7854B" w14:textId="77777777" w:rsidR="006A3499" w:rsidRDefault="006A3499" w:rsidP="006A3499">
      <w:pPr>
        <w:spacing w:after="160" w:line="259" w:lineRule="auto"/>
        <w:rPr>
          <w:rFonts w:cstheme="minorHAnsi"/>
        </w:rPr>
      </w:pPr>
      <w:r>
        <w:rPr>
          <w:rFonts w:cstheme="minorHAnsi"/>
        </w:rPr>
        <w:br w:type="page"/>
      </w:r>
    </w:p>
    <w:p w14:paraId="1DF13057" w14:textId="19D2AA92" w:rsidR="006A3499" w:rsidRPr="009F396E" w:rsidRDefault="006A3499" w:rsidP="00241009">
      <w:pPr>
        <w:pStyle w:val="Heading1"/>
      </w:pPr>
      <w:bookmarkStart w:id="0" w:name="_Toc113022362"/>
      <w:r w:rsidRPr="009F396E">
        <w:lastRenderedPageBreak/>
        <w:t>Introduction</w:t>
      </w:r>
      <w:bookmarkEnd w:id="0"/>
    </w:p>
    <w:p w14:paraId="767B4229" w14:textId="044FB981" w:rsidR="0032304C" w:rsidRDefault="00241009" w:rsidP="00273BE2">
      <w:pPr>
        <w:pStyle w:val="BodyText"/>
        <w:rPr>
          <w:szCs w:val="24"/>
        </w:rPr>
      </w:pPr>
      <w:r>
        <w:t>The Australian Longitudinal Study on Women</w:t>
      </w:r>
      <w:r w:rsidR="001B0B19">
        <w:t>’</w:t>
      </w:r>
      <w:r>
        <w:t xml:space="preserve">s Health </w:t>
      </w:r>
      <w:r w:rsidR="001A4E82">
        <w:t xml:space="preserve">(ALSWH) </w:t>
      </w:r>
      <w:r>
        <w:t xml:space="preserve">has tracked </w:t>
      </w:r>
      <w:r w:rsidR="007D7382">
        <w:t xml:space="preserve">the </w:t>
      </w:r>
      <w:r>
        <w:t xml:space="preserve">health </w:t>
      </w:r>
      <w:r w:rsidR="007D7382">
        <w:t xml:space="preserve">and wellbeing of over 57,000 Australian women </w:t>
      </w:r>
      <w:r>
        <w:t xml:space="preserve">since 1996. </w:t>
      </w:r>
      <w:r w:rsidR="007D7382">
        <w:t xml:space="preserve">The Study surveys four cohorts of women encompassing the adult lifespan. The cohorts comprise women born in 1989-95, 1973-78, 1946-51, and 1921-26. </w:t>
      </w:r>
      <w:r w:rsidR="00A60AB6">
        <w:rPr>
          <w:szCs w:val="24"/>
        </w:rPr>
        <w:t>D</w:t>
      </w:r>
      <w:r w:rsidR="0032304C" w:rsidRPr="0010109C">
        <w:rPr>
          <w:szCs w:val="24"/>
        </w:rPr>
        <w:t xml:space="preserve">ata </w:t>
      </w:r>
      <w:r w:rsidR="00A60AB6">
        <w:rPr>
          <w:szCs w:val="24"/>
        </w:rPr>
        <w:t>from ALSWH are</w:t>
      </w:r>
      <w:r w:rsidR="0032304C" w:rsidRPr="0010109C">
        <w:rPr>
          <w:szCs w:val="24"/>
        </w:rPr>
        <w:t xml:space="preserve"> widely used to assess </w:t>
      </w:r>
      <w:r w:rsidR="00EE1A8D">
        <w:rPr>
          <w:szCs w:val="24"/>
        </w:rPr>
        <w:t>women</w:t>
      </w:r>
      <w:r w:rsidR="001B0B19">
        <w:rPr>
          <w:szCs w:val="24"/>
        </w:rPr>
        <w:t>’</w:t>
      </w:r>
      <w:r w:rsidR="00EE1A8D">
        <w:rPr>
          <w:szCs w:val="24"/>
        </w:rPr>
        <w:t>s health status in Australia and</w:t>
      </w:r>
      <w:r w:rsidR="0032304C" w:rsidRPr="0010109C">
        <w:rPr>
          <w:szCs w:val="24"/>
        </w:rPr>
        <w:t xml:space="preserve"> investigate the behavioural and socio-demographic characteristics that affect health and the use of health services at different life stages.</w:t>
      </w:r>
      <w:r w:rsidR="0032304C">
        <w:rPr>
          <w:szCs w:val="24"/>
        </w:rPr>
        <w:t xml:space="preserve"> </w:t>
      </w:r>
    </w:p>
    <w:p w14:paraId="48D845E2" w14:textId="7DAF520A" w:rsidR="00241009" w:rsidRDefault="00241009" w:rsidP="00273BE2">
      <w:pPr>
        <w:pStyle w:val="BodyText"/>
      </w:pPr>
      <w:r>
        <w:t xml:space="preserve">The </w:t>
      </w:r>
      <w:r w:rsidR="005F10A5">
        <w:t xml:space="preserve">Australian Government Department of Health and Aged Care </w:t>
      </w:r>
      <w:r w:rsidR="00EE1A8D">
        <w:t xml:space="preserve">funds ALSWH </w:t>
      </w:r>
      <w:r w:rsidR="005F10A5">
        <w:t>to provide scientifically valid information relevant to the development of health policy and practice in women</w:t>
      </w:r>
      <w:r w:rsidR="001B0B19">
        <w:t>’</w:t>
      </w:r>
      <w:r w:rsidR="005F10A5">
        <w:t xml:space="preserve">s health. </w:t>
      </w:r>
      <w:r w:rsidR="00EE1A8D">
        <w:t>The Study is</w:t>
      </w:r>
      <w:r>
        <w:t xml:space="preserve"> managed by the University of Queensland and the University of Newcastle. </w:t>
      </w:r>
    </w:p>
    <w:p w14:paraId="724C7622" w14:textId="61939E6D" w:rsidR="00B579F6" w:rsidRPr="00246596" w:rsidRDefault="007D7382" w:rsidP="00273BE2">
      <w:pPr>
        <w:pStyle w:val="BodyText"/>
      </w:pPr>
      <w:r>
        <w:t xml:space="preserve">The ALSWH surveys have tracked </w:t>
      </w:r>
      <w:r w:rsidR="00EE1A8D">
        <w:t>carers</w:t>
      </w:r>
      <w:r w:rsidR="001B0B19">
        <w:t>’</w:t>
      </w:r>
      <w:r w:rsidR="00EE1A8D">
        <w:t xml:space="preserve"> experience</w:t>
      </w:r>
      <w:r w:rsidR="00A60AB6">
        <w:t>s in the 1921-26, 1946-51, and 1973-78 cohorts</w:t>
      </w:r>
      <w:r w:rsidR="00B579F6">
        <w:t xml:space="preserve"> since 1996. </w:t>
      </w:r>
      <w:r w:rsidR="00246596">
        <w:t>In 2006 and 2007</w:t>
      </w:r>
      <w:r w:rsidR="00EE1A8D">
        <w:t>,</w:t>
      </w:r>
      <w:r w:rsidR="00246596">
        <w:t xml:space="preserve"> ALSWH researchers were contracted to provide detailed analyses of caregiving by women born between 1946</w:t>
      </w:r>
      <w:r w:rsidR="001A4E82">
        <w:t>-51</w:t>
      </w:r>
      <w:r w:rsidR="00246596">
        <w:t xml:space="preserve">, with particular emphasis on the impact of employment and other life roles and to develop and pilot a </w:t>
      </w:r>
      <w:proofErr w:type="spellStart"/>
      <w:r w:rsidR="00246596">
        <w:t>substudy</w:t>
      </w:r>
      <w:proofErr w:type="spellEnd"/>
      <w:r w:rsidR="00246596">
        <w:t xml:space="preserve"> focusing on support needed for mid-aged women who provide care for someone who is frail or disabled.</w:t>
      </w:r>
    </w:p>
    <w:p w14:paraId="52AFD193" w14:textId="6EBC0952" w:rsidR="005F10A5" w:rsidRPr="00246596" w:rsidRDefault="00A60AB6" w:rsidP="00273BE2">
      <w:pPr>
        <w:pStyle w:val="BodyText"/>
      </w:pPr>
      <w:r>
        <w:t>In 2008</w:t>
      </w:r>
      <w:r w:rsidR="001A4E82">
        <w:t>,</w:t>
      </w:r>
      <w:r>
        <w:t xml:space="preserve"> </w:t>
      </w:r>
      <w:r w:rsidR="000E088B">
        <w:t>the then Department of Health and Ageing</w:t>
      </w:r>
      <w:r w:rsidR="00EE1A8D">
        <w:t xml:space="preserve"> contracted researchers in the ALSWH team </w:t>
      </w:r>
      <w:r>
        <w:t>to provide further detailed analyses of car</w:t>
      </w:r>
      <w:r w:rsidR="00EE1A8D">
        <w:t>egiving</w:t>
      </w:r>
      <w:r>
        <w:t xml:space="preserve"> by women born between 1946</w:t>
      </w:r>
      <w:r w:rsidR="001A4E82">
        <w:t>-51</w:t>
      </w:r>
      <w:r>
        <w:t xml:space="preserve"> and 1921</w:t>
      </w:r>
      <w:r w:rsidR="001A4E82">
        <w:t>-26</w:t>
      </w:r>
      <w:r>
        <w:t>. These analyses examine</w:t>
      </w:r>
      <w:r w:rsidR="00C66E78">
        <w:t>d</w:t>
      </w:r>
      <w:r>
        <w:t xml:space="preserve"> the influence of factors such as where carers lived (</w:t>
      </w:r>
      <w:r w:rsidR="00EE1A8D">
        <w:t>in relation to the care recipient and in terms of area of residence), care recipient needs (such as functional dependency levels),</w:t>
      </w:r>
      <w:r>
        <w:t xml:space="preserve"> and the frequency and amount of care. The research was </w:t>
      </w:r>
      <w:r w:rsidR="009D48CA">
        <w:t>commissioned</w:t>
      </w:r>
      <w:r>
        <w:t xml:space="preserve"> to address questions</w:t>
      </w:r>
      <w:r w:rsidR="009D48CA">
        <w:t xml:space="preserve"> on caregiving</w:t>
      </w:r>
      <w:r>
        <w:t xml:space="preserve"> transitions, carer needs, interventions and services used by carers. </w:t>
      </w:r>
    </w:p>
    <w:p w14:paraId="71DE6D41" w14:textId="3045BB66" w:rsidR="005F10A5" w:rsidRDefault="005F10A5" w:rsidP="00273BE2">
      <w:pPr>
        <w:pStyle w:val="BodyText"/>
        <w:rPr>
          <w:rFonts w:cstheme="minorHAnsi"/>
          <w:iCs/>
        </w:rPr>
      </w:pPr>
      <w:r w:rsidRPr="0010109C">
        <w:t>Th</w:t>
      </w:r>
      <w:r>
        <w:t>e study</w:t>
      </w:r>
      <w:r w:rsidR="001B0B19">
        <w:t>’</w:t>
      </w:r>
      <w:r>
        <w:t>s 2018</w:t>
      </w:r>
      <w:r w:rsidRPr="0010109C">
        <w:t xml:space="preserve"> major report, </w:t>
      </w:r>
      <w:r>
        <w:t>part of a</w:t>
      </w:r>
      <w:r w:rsidR="007239C6">
        <w:t>n ongoing</w:t>
      </w:r>
      <w:r w:rsidRPr="0010109C">
        <w:t xml:space="preserve"> series for the Department of Health</w:t>
      </w:r>
      <w:r>
        <w:t xml:space="preserve"> and Aged Care</w:t>
      </w:r>
      <w:r w:rsidRPr="0010109C">
        <w:t xml:space="preserve">, </w:t>
      </w:r>
      <w:r w:rsidR="007239C6">
        <w:t>re-</w:t>
      </w:r>
      <w:r w:rsidRPr="0010109C">
        <w:t>examin</w:t>
      </w:r>
      <w:r>
        <w:t>ed</w:t>
      </w:r>
      <w:r w:rsidRPr="0010109C">
        <w:t xml:space="preserve"> </w:t>
      </w:r>
      <w:r>
        <w:t xml:space="preserve">informal caregiving across the life course. </w:t>
      </w:r>
      <w:r w:rsidR="004B6D21" w:rsidRPr="0090347F">
        <w:rPr>
          <w:rFonts w:cstheme="minorHAnsi"/>
        </w:rPr>
        <w:t>Th</w:t>
      </w:r>
      <w:r w:rsidR="004B6D21">
        <w:rPr>
          <w:rFonts w:cstheme="minorHAnsi"/>
        </w:rPr>
        <w:t xml:space="preserve">e </w:t>
      </w:r>
      <w:r w:rsidR="004B6D21" w:rsidRPr="0090347F">
        <w:rPr>
          <w:rFonts w:cstheme="minorHAnsi"/>
        </w:rPr>
        <w:t>report</w:t>
      </w:r>
      <w:r w:rsidR="004B6D21">
        <w:rPr>
          <w:rFonts w:cstheme="minorHAnsi"/>
        </w:rPr>
        <w:t>,</w:t>
      </w:r>
      <w:r w:rsidR="004B6D21" w:rsidRPr="0090347F">
        <w:rPr>
          <w:rFonts w:cstheme="minorHAnsi"/>
        </w:rPr>
        <w:t xml:space="preserve"> </w:t>
      </w:r>
      <w:r w:rsidR="004B6D21" w:rsidRPr="004B6D21">
        <w:rPr>
          <w:rStyle w:val="BodyTextChar"/>
          <w:i/>
          <w:iCs/>
        </w:rPr>
        <w:t xml:space="preserve">From </w:t>
      </w:r>
      <w:proofErr w:type="gramStart"/>
      <w:r w:rsidR="004B6D21" w:rsidRPr="004B6D21">
        <w:rPr>
          <w:rStyle w:val="BodyTextChar"/>
          <w:i/>
          <w:iCs/>
        </w:rPr>
        <w:t>child care</w:t>
      </w:r>
      <w:proofErr w:type="gramEnd"/>
      <w:r w:rsidR="004B6D21" w:rsidRPr="004B6D21">
        <w:rPr>
          <w:rStyle w:val="BodyTextChar"/>
          <w:i/>
          <w:iCs/>
        </w:rPr>
        <w:t xml:space="preserve"> to elder care: Findings from the Australian Longitudinal Study on Women</w:t>
      </w:r>
      <w:r w:rsidR="001B0B19">
        <w:rPr>
          <w:rStyle w:val="BodyTextChar"/>
          <w:i/>
          <w:iCs/>
        </w:rPr>
        <w:t>’</w:t>
      </w:r>
      <w:r w:rsidR="004B6D21" w:rsidRPr="004B6D21">
        <w:rPr>
          <w:rStyle w:val="BodyTextChar"/>
          <w:i/>
          <w:iCs/>
        </w:rPr>
        <w:t>s Health</w:t>
      </w:r>
      <w:r w:rsidR="00EE1A8D">
        <w:rPr>
          <w:rStyle w:val="BodyTextChar"/>
          <w:i/>
          <w:iCs/>
        </w:rPr>
        <w:t>,</w:t>
      </w:r>
      <w:r w:rsidR="004B6D21">
        <w:rPr>
          <w:b/>
          <w:sz w:val="40"/>
          <w:szCs w:val="40"/>
        </w:rPr>
        <w:t xml:space="preserve"> </w:t>
      </w:r>
      <w:r w:rsidR="004B6D21">
        <w:rPr>
          <w:rFonts w:cstheme="minorHAnsi"/>
        </w:rPr>
        <w:t>present</w:t>
      </w:r>
      <w:r w:rsidR="00C66E78">
        <w:rPr>
          <w:rFonts w:cstheme="minorHAnsi"/>
        </w:rPr>
        <w:t>ed</w:t>
      </w:r>
      <w:r w:rsidR="004B6D21">
        <w:rPr>
          <w:rFonts w:cstheme="minorHAnsi"/>
        </w:rPr>
        <w:t xml:space="preserve"> an analysis of </w:t>
      </w:r>
      <w:r w:rsidR="004B6D21" w:rsidRPr="0090347F">
        <w:rPr>
          <w:rFonts w:cstheme="minorHAnsi"/>
          <w:iCs/>
        </w:rPr>
        <w:t xml:space="preserve">the </w:t>
      </w:r>
      <w:r w:rsidR="00EE1A8D">
        <w:rPr>
          <w:rFonts w:cstheme="minorHAnsi"/>
          <w:iCs/>
        </w:rPr>
        <w:t>caregiving patterns</w:t>
      </w:r>
      <w:r w:rsidR="004B6D21" w:rsidRPr="0090347F">
        <w:rPr>
          <w:rFonts w:cstheme="minorHAnsi"/>
          <w:iCs/>
        </w:rPr>
        <w:t xml:space="preserve"> by Australian women across the life course</w:t>
      </w:r>
      <w:r w:rsidR="004B6D21">
        <w:rPr>
          <w:rFonts w:cstheme="minorHAnsi"/>
          <w:iCs/>
        </w:rPr>
        <w:t>. It use</w:t>
      </w:r>
      <w:r w:rsidR="007239C6">
        <w:rPr>
          <w:rFonts w:cstheme="minorHAnsi"/>
          <w:iCs/>
        </w:rPr>
        <w:t>d</w:t>
      </w:r>
      <w:r w:rsidR="004B6D21" w:rsidRPr="0090347F">
        <w:rPr>
          <w:rFonts w:cstheme="minorHAnsi"/>
          <w:iCs/>
        </w:rPr>
        <w:t xml:space="preserve"> data from women aged 18 to 97</w:t>
      </w:r>
      <w:r w:rsidR="00EE1A8D">
        <w:rPr>
          <w:rFonts w:cstheme="minorHAnsi"/>
          <w:iCs/>
        </w:rPr>
        <w:t xml:space="preserve"> </w:t>
      </w:r>
      <w:r w:rsidR="004B6D21">
        <w:rPr>
          <w:rFonts w:cstheme="minorHAnsi"/>
          <w:iCs/>
        </w:rPr>
        <w:t xml:space="preserve">to investigate </w:t>
      </w:r>
      <w:r w:rsidR="004B6D21" w:rsidRPr="0090347F">
        <w:rPr>
          <w:rFonts w:cstheme="minorHAnsi"/>
          <w:iCs/>
        </w:rPr>
        <w:t>the socio-demographic factors associated with caregiving patterns and</w:t>
      </w:r>
      <w:r w:rsidR="004B6D21">
        <w:rPr>
          <w:rFonts w:cstheme="minorHAnsi"/>
          <w:iCs/>
        </w:rPr>
        <w:t xml:space="preserve"> </w:t>
      </w:r>
      <w:r w:rsidR="004B6D21" w:rsidRPr="0090347F">
        <w:rPr>
          <w:rFonts w:cstheme="minorHAnsi"/>
          <w:iCs/>
        </w:rPr>
        <w:t>the impact of car</w:t>
      </w:r>
      <w:r w:rsidR="004B6D21">
        <w:rPr>
          <w:rFonts w:cstheme="minorHAnsi"/>
          <w:iCs/>
        </w:rPr>
        <w:t>egiv</w:t>
      </w:r>
      <w:r w:rsidR="004B6D21" w:rsidRPr="0090347F">
        <w:rPr>
          <w:rFonts w:cstheme="minorHAnsi"/>
          <w:iCs/>
        </w:rPr>
        <w:t>ing on social, employment and health outcomes</w:t>
      </w:r>
      <w:r w:rsidR="00EE1A8D">
        <w:rPr>
          <w:rFonts w:cstheme="minorHAnsi"/>
          <w:iCs/>
        </w:rPr>
        <w:t>,</w:t>
      </w:r>
      <w:r w:rsidR="004B6D21" w:rsidRPr="0090347F">
        <w:rPr>
          <w:rFonts w:cstheme="minorHAnsi"/>
          <w:iCs/>
        </w:rPr>
        <w:t xml:space="preserve"> including health service use.</w:t>
      </w:r>
    </w:p>
    <w:p w14:paraId="14147E7D" w14:textId="444CFF2C" w:rsidR="0083028E" w:rsidRPr="0083028E" w:rsidRDefault="00896122" w:rsidP="00896122">
      <w:r>
        <w:t>The ALSWH has reported on the impact of caregiving on carer</w:t>
      </w:r>
      <w:r w:rsidR="00EE1A8D">
        <w:t>s</w:t>
      </w:r>
      <w:r w:rsidR="001B0B19">
        <w:t>’</w:t>
      </w:r>
      <w:r>
        <w:t xml:space="preserve"> health and wellbeing for over 15 years and </w:t>
      </w:r>
      <w:r w:rsidR="00EE1A8D">
        <w:t xml:space="preserve">has </w:t>
      </w:r>
      <w:r>
        <w:t>made numerous policy recommendations. On behalf of the Study staff and its hundreds of collaborating researchers, we welcome the Productivity Commission</w:t>
      </w:r>
      <w:r w:rsidR="001B0B19">
        <w:t>’</w:t>
      </w:r>
      <w:r>
        <w:t xml:space="preserve">s Carer Leave Inquiry. </w:t>
      </w:r>
    </w:p>
    <w:p w14:paraId="4CADF020" w14:textId="7D124667" w:rsidR="005F10A5" w:rsidRPr="009F396E" w:rsidRDefault="005F10A5" w:rsidP="002E48CA">
      <w:pPr>
        <w:rPr>
          <w:rFonts w:cstheme="minorHAnsi"/>
          <w:sz w:val="24"/>
          <w:szCs w:val="24"/>
        </w:rPr>
      </w:pPr>
    </w:p>
    <w:p w14:paraId="593AA0C5" w14:textId="77777777" w:rsidR="00D44241" w:rsidRDefault="00D44241" w:rsidP="005C4BA2">
      <w:pPr>
        <w:pStyle w:val="BoilerplateBlurb"/>
        <w:ind w:left="0"/>
        <w:rPr>
          <w:rFonts w:asciiTheme="minorHAnsi" w:hAnsiTheme="minorHAnsi" w:cstheme="minorHAnsi"/>
          <w:sz w:val="24"/>
          <w:szCs w:val="24"/>
        </w:rPr>
      </w:pPr>
    </w:p>
    <w:p w14:paraId="394DF26C" w14:textId="77777777" w:rsidR="006A3499" w:rsidRDefault="006A3499" w:rsidP="006A3499">
      <w:pPr>
        <w:pStyle w:val="BoilerplateBlurb"/>
        <w:rPr>
          <w:rFonts w:asciiTheme="minorHAnsi" w:hAnsiTheme="minorHAnsi" w:cstheme="minorHAnsi"/>
          <w:sz w:val="24"/>
          <w:szCs w:val="24"/>
        </w:rPr>
      </w:pPr>
    </w:p>
    <w:p w14:paraId="3527FFCB" w14:textId="77777777" w:rsidR="00636186" w:rsidRDefault="00636186">
      <w:pPr>
        <w:spacing w:after="160" w:line="259" w:lineRule="auto"/>
        <w:rPr>
          <w:rFonts w:ascii="Century Gothic" w:eastAsiaTheme="majorEastAsia" w:hAnsi="Century Gothic" w:cstheme="majorBidi"/>
          <w:color w:val="DDD0E3" w:themeColor="background1"/>
          <w:sz w:val="36"/>
          <w:szCs w:val="36"/>
        </w:rPr>
      </w:pPr>
      <w:r>
        <w:br w:type="page"/>
      </w:r>
    </w:p>
    <w:p w14:paraId="6EA353FE" w14:textId="7AA3696E" w:rsidR="006A3499" w:rsidRPr="009F396E" w:rsidRDefault="006A3499" w:rsidP="00241009">
      <w:pPr>
        <w:pStyle w:val="Heading1"/>
      </w:pPr>
      <w:bookmarkStart w:id="1" w:name="_Toc113022363"/>
      <w:r w:rsidRPr="009F396E">
        <w:lastRenderedPageBreak/>
        <w:t>Summary and recommendations</w:t>
      </w:r>
      <w:bookmarkEnd w:id="1"/>
    </w:p>
    <w:p w14:paraId="310940C0" w14:textId="166B6BC7" w:rsidR="006A3499" w:rsidRPr="007E7A88" w:rsidRDefault="006917B9" w:rsidP="006A3499">
      <w:r>
        <w:t xml:space="preserve">The ALSWH surveys ask women about their experiences providing care for someone on the basis of disability, illness, or frailty in old age. </w:t>
      </w:r>
      <w:r w:rsidR="00CF66F5">
        <w:t>Unless specified, the</w:t>
      </w:r>
      <w:r>
        <w:t xml:space="preserve"> analys</w:t>
      </w:r>
      <w:r w:rsidR="0037307F">
        <w:t xml:space="preserve">es presented do not </w:t>
      </w:r>
      <w:r w:rsidR="00B4478A">
        <w:t>distinguish</w:t>
      </w:r>
      <w:r w:rsidR="0037307F">
        <w:t xml:space="preserve"> between caring for the elderly versus adult partners (who may be elderly) and adult children. </w:t>
      </w:r>
    </w:p>
    <w:p w14:paraId="4B448AD2" w14:textId="72DC5DEF" w:rsidR="00103D53" w:rsidRPr="00103D53" w:rsidRDefault="00103D53" w:rsidP="007E147B">
      <w:pPr>
        <w:pStyle w:val="Heading2"/>
      </w:pPr>
      <w:bookmarkStart w:id="2" w:name="_Toc113022364"/>
      <w:r w:rsidRPr="00103D53">
        <w:t>Summary</w:t>
      </w:r>
      <w:bookmarkEnd w:id="2"/>
    </w:p>
    <w:p w14:paraId="4F4B1784" w14:textId="77527536" w:rsidR="00485FF7" w:rsidRPr="00273BE2" w:rsidRDefault="00485FF7" w:rsidP="00273BE2">
      <w:pPr>
        <w:pStyle w:val="BodyText"/>
        <w:rPr>
          <w:b/>
          <w:bCs w:val="0"/>
        </w:rPr>
      </w:pPr>
      <w:r w:rsidRPr="00273BE2">
        <w:rPr>
          <w:b/>
          <w:bCs w:val="0"/>
        </w:rPr>
        <w:t xml:space="preserve">The circumstances in which people become informal carers of older Australians </w:t>
      </w:r>
    </w:p>
    <w:p w14:paraId="0ED1F8E6" w14:textId="77777777" w:rsidR="00485FF7" w:rsidRDefault="00485FF7" w:rsidP="00273BE2">
      <w:pPr>
        <w:pStyle w:val="BodyText"/>
      </w:pPr>
      <w:r>
        <w:t>Among mid-age women from the 1946-51 cohort:</w:t>
      </w:r>
    </w:p>
    <w:p w14:paraId="28465025" w14:textId="77777777" w:rsidR="00485FF7" w:rsidRDefault="00485FF7" w:rsidP="00273BE2">
      <w:pPr>
        <w:pStyle w:val="BodyText"/>
        <w:numPr>
          <w:ilvl w:val="0"/>
          <w:numId w:val="23"/>
        </w:numPr>
      </w:pPr>
      <w:r>
        <w:t xml:space="preserve">Occupation made no difference to their likelihood of taking on a caregiving role. </w:t>
      </w:r>
    </w:p>
    <w:p w14:paraId="2C7D64F3" w14:textId="32125D47" w:rsidR="00485FF7" w:rsidRDefault="00485FF7" w:rsidP="00273BE2">
      <w:pPr>
        <w:pStyle w:val="BodyText"/>
        <w:numPr>
          <w:ilvl w:val="0"/>
          <w:numId w:val="23"/>
        </w:numPr>
      </w:pPr>
      <w:r>
        <w:t xml:space="preserve">Women who </w:t>
      </w:r>
      <w:r w:rsidR="00B4478A">
        <w:t xml:space="preserve">were </w:t>
      </w:r>
      <w:r>
        <w:t xml:space="preserve">not in paid work were more likely to be live-in carers. </w:t>
      </w:r>
    </w:p>
    <w:p w14:paraId="61967905" w14:textId="2F24BF7C" w:rsidR="00485FF7" w:rsidRDefault="00485FF7" w:rsidP="00273BE2">
      <w:pPr>
        <w:pStyle w:val="BodyText"/>
        <w:numPr>
          <w:ilvl w:val="0"/>
          <w:numId w:val="23"/>
        </w:numPr>
      </w:pPr>
      <w:r>
        <w:t>Women with high</w:t>
      </w:r>
      <w:r w:rsidR="00B4478A">
        <w:t>-</w:t>
      </w:r>
      <w:r>
        <w:t xml:space="preserve">status jobs were more likely to remain in full-time employment whilst providing care. </w:t>
      </w:r>
    </w:p>
    <w:p w14:paraId="739C79CD" w14:textId="0F9C9E9A" w:rsidR="00485FF7" w:rsidRPr="00F00339" w:rsidRDefault="00485FF7" w:rsidP="00273BE2">
      <w:pPr>
        <w:pStyle w:val="BodyText"/>
        <w:numPr>
          <w:ilvl w:val="0"/>
          <w:numId w:val="23"/>
        </w:numPr>
      </w:pPr>
      <w:r>
        <w:t>T</w:t>
      </w:r>
      <w:r w:rsidRPr="005E6CF8">
        <w:t>aking on a caring role accelerate</w:t>
      </w:r>
      <w:r w:rsidR="009D1C6B">
        <w:t xml:space="preserve">d </w:t>
      </w:r>
      <w:r w:rsidRPr="005E6CF8">
        <w:t>women</w:t>
      </w:r>
      <w:r w:rsidR="001B0B19">
        <w:t>’</w:t>
      </w:r>
      <w:r w:rsidRPr="005E6CF8">
        <w:t xml:space="preserve">s departure from the workforce. </w:t>
      </w:r>
    </w:p>
    <w:p w14:paraId="54F9A009" w14:textId="0AEE1DCA" w:rsidR="00485FF7" w:rsidRPr="00F00339" w:rsidRDefault="00485FF7" w:rsidP="00273BE2">
      <w:pPr>
        <w:pStyle w:val="BodyText"/>
        <w:numPr>
          <w:ilvl w:val="0"/>
          <w:numId w:val="23"/>
        </w:numPr>
      </w:pPr>
      <w:r>
        <w:t>W</w:t>
      </w:r>
      <w:r w:rsidRPr="005E6CF8">
        <w:t xml:space="preserve">omen </w:t>
      </w:r>
      <w:r>
        <w:t>in the workforce did</w:t>
      </w:r>
      <w:r w:rsidRPr="005E6CF8">
        <w:t xml:space="preserve"> not self-selecting into caring roles because they already worked fewer hours. </w:t>
      </w:r>
      <w:r w:rsidR="00B4478A">
        <w:t>Instead</w:t>
      </w:r>
      <w:r w:rsidRPr="005E6CF8">
        <w:t>, taking up caring was associated with a subsequent decrease in women</w:t>
      </w:r>
      <w:r w:rsidR="001B0B19">
        <w:t>’</w:t>
      </w:r>
      <w:r w:rsidRPr="005E6CF8">
        <w:t>s labour force participation</w:t>
      </w:r>
    </w:p>
    <w:p w14:paraId="66592CF7" w14:textId="7DF91659" w:rsidR="00485FF7" w:rsidRDefault="00485FF7" w:rsidP="00273BE2">
      <w:pPr>
        <w:pStyle w:val="BodyText"/>
        <w:numPr>
          <w:ilvl w:val="0"/>
          <w:numId w:val="23"/>
        </w:numPr>
      </w:pPr>
      <w:r>
        <w:t>67% of live-in carers and 54% who lived elsewhere reported a gradual transition into car</w:t>
      </w:r>
      <w:r w:rsidR="00B4478A">
        <w:t>egiving</w:t>
      </w:r>
      <w:r>
        <w:t xml:space="preserve"> rather than a sudden change.</w:t>
      </w:r>
    </w:p>
    <w:p w14:paraId="57DB6325" w14:textId="19EAEC2A" w:rsidR="009D1C6B" w:rsidRPr="005E6CF8" w:rsidRDefault="009D1C6B" w:rsidP="009D1C6B">
      <w:pPr>
        <w:pStyle w:val="BodyText"/>
        <w:numPr>
          <w:ilvl w:val="0"/>
          <w:numId w:val="23"/>
        </w:numPr>
      </w:pPr>
      <w:r>
        <w:t xml:space="preserve">89% of carers providing low levels of care made a gradual transition into caring. </w:t>
      </w:r>
    </w:p>
    <w:p w14:paraId="6A92F06E" w14:textId="55ABC61D" w:rsidR="00485FF7" w:rsidRPr="00004583" w:rsidRDefault="00485FF7" w:rsidP="00273BE2">
      <w:pPr>
        <w:pStyle w:val="BodyText"/>
        <w:numPr>
          <w:ilvl w:val="0"/>
          <w:numId w:val="23"/>
        </w:numPr>
      </w:pPr>
      <w:r>
        <w:t>Carers with high to medium demands on their time were more likely to make a sudden change into car</w:t>
      </w:r>
      <w:r w:rsidR="00B4478A">
        <w:t>egiving</w:t>
      </w:r>
      <w:r>
        <w:t xml:space="preserve"> compared to carers who provided care less frequently. </w:t>
      </w:r>
    </w:p>
    <w:p w14:paraId="221E9ED4" w14:textId="77777777" w:rsidR="00485FF7" w:rsidRPr="00273BE2" w:rsidRDefault="00485FF7" w:rsidP="00273BE2">
      <w:pPr>
        <w:pStyle w:val="BodyText"/>
        <w:rPr>
          <w:b/>
          <w:bCs w:val="0"/>
        </w:rPr>
      </w:pPr>
      <w:r w:rsidRPr="00273BE2">
        <w:rPr>
          <w:b/>
          <w:bCs w:val="0"/>
        </w:rPr>
        <w:t>How formal and informal care interact in the aged care sector</w:t>
      </w:r>
    </w:p>
    <w:p w14:paraId="0BBFEFF4" w14:textId="77777777" w:rsidR="00485FF7" w:rsidRDefault="00485FF7" w:rsidP="00273BE2">
      <w:pPr>
        <w:pStyle w:val="BodyText"/>
        <w:numPr>
          <w:ilvl w:val="0"/>
          <w:numId w:val="24"/>
        </w:numPr>
      </w:pPr>
      <w:r>
        <w:t>At age 70-75, only 8.7% of women from the 1921-26 cohort required regular help. This rose to 40.2% of women at 94-100.</w:t>
      </w:r>
    </w:p>
    <w:p w14:paraId="03EAB56A" w14:textId="6D01D11A" w:rsidR="00485FF7" w:rsidRDefault="00485FF7" w:rsidP="00273BE2">
      <w:pPr>
        <w:pStyle w:val="BodyText"/>
        <w:numPr>
          <w:ilvl w:val="0"/>
          <w:numId w:val="24"/>
        </w:numPr>
      </w:pPr>
      <w:r>
        <w:t>Between age</w:t>
      </w:r>
      <w:r w:rsidR="00B4478A">
        <w:t>s</w:t>
      </w:r>
      <w:r>
        <w:t xml:space="preserve"> 75 and 90, 70% of the 1921-26 cohort accessed Home and Community Care Services</w:t>
      </w:r>
      <w:r w:rsidR="00B4478A">
        <w:t xml:space="preserve"> (HACC)</w:t>
      </w:r>
      <w:r>
        <w:t xml:space="preserve">. </w:t>
      </w:r>
    </w:p>
    <w:p w14:paraId="410E034E" w14:textId="44EAEF4A" w:rsidR="00485FF7" w:rsidRPr="00273BE2" w:rsidRDefault="00485FF7" w:rsidP="00273BE2">
      <w:pPr>
        <w:pStyle w:val="BodyText"/>
        <w:rPr>
          <w:b/>
          <w:bCs w:val="0"/>
        </w:rPr>
      </w:pPr>
      <w:r w:rsidRPr="00273BE2">
        <w:rPr>
          <w:b/>
          <w:bCs w:val="0"/>
        </w:rPr>
        <w:t>Evidence on how informal carers of older people are affected by their caring responsibilities</w:t>
      </w:r>
    </w:p>
    <w:p w14:paraId="51A1AA8A" w14:textId="79C2D6ED" w:rsidR="00485FF7" w:rsidRPr="000118D3" w:rsidRDefault="00485FF7" w:rsidP="00273BE2">
      <w:pPr>
        <w:pStyle w:val="BodyText"/>
      </w:pPr>
      <w:r>
        <w:t>What causes informal carers to have lower labour force participation, incomes, or poorer health and wellbeing</w:t>
      </w:r>
      <w:r w:rsidR="0098214D">
        <w:t>?</w:t>
      </w:r>
    </w:p>
    <w:p w14:paraId="42185CDB" w14:textId="2E971040" w:rsidR="00485FF7" w:rsidRDefault="00485FF7" w:rsidP="00273BE2">
      <w:pPr>
        <w:pStyle w:val="BodyText"/>
        <w:numPr>
          <w:ilvl w:val="0"/>
          <w:numId w:val="25"/>
        </w:numPr>
      </w:pPr>
      <w:r>
        <w:t xml:space="preserve">Mid-age women in poor health tend to self-select into caregiving roles. Poor health and disengagement with the workforce continues when caregiving stops. </w:t>
      </w:r>
    </w:p>
    <w:p w14:paraId="3BAF068A" w14:textId="5F2E18A0" w:rsidR="00485FF7" w:rsidRDefault="00485FF7" w:rsidP="00273BE2">
      <w:pPr>
        <w:pStyle w:val="BodyText"/>
        <w:numPr>
          <w:ilvl w:val="0"/>
          <w:numId w:val="25"/>
        </w:numPr>
      </w:pPr>
      <w:r>
        <w:t>Caring for people with both physical and cognitive impairments is more burdensome and impacts the carer</w:t>
      </w:r>
      <w:r w:rsidR="001B0B19">
        <w:t>’</w:t>
      </w:r>
      <w:r>
        <w:t xml:space="preserve">s quality of life more than caring for someone with only one type of impairment. </w:t>
      </w:r>
    </w:p>
    <w:p w14:paraId="449AB2D3" w14:textId="77777777" w:rsidR="00485FF7" w:rsidRDefault="00485FF7" w:rsidP="00273BE2">
      <w:pPr>
        <w:pStyle w:val="BodyText"/>
        <w:numPr>
          <w:ilvl w:val="0"/>
          <w:numId w:val="25"/>
        </w:numPr>
      </w:pPr>
      <w:r>
        <w:t xml:space="preserve">Emotional strain is highest when caring for someone with a cognitive impairment. </w:t>
      </w:r>
    </w:p>
    <w:p w14:paraId="7DCB288F" w14:textId="77777777" w:rsidR="00485FF7" w:rsidRDefault="00485FF7" w:rsidP="00273BE2">
      <w:pPr>
        <w:pStyle w:val="BodyText"/>
        <w:numPr>
          <w:ilvl w:val="0"/>
          <w:numId w:val="25"/>
        </w:numPr>
      </w:pPr>
      <w:r>
        <w:lastRenderedPageBreak/>
        <w:t xml:space="preserve">Young women engaged in ongoing caregiving or transitioning into caregiving are more likely to have difficulties managing on their income and reduced participation in the labour force. </w:t>
      </w:r>
    </w:p>
    <w:p w14:paraId="75DFE2F8" w14:textId="3A2A7437" w:rsidR="00485FF7" w:rsidRPr="000118D3" w:rsidRDefault="00485FF7" w:rsidP="00273BE2">
      <w:pPr>
        <w:pStyle w:val="BodyText"/>
        <w:numPr>
          <w:ilvl w:val="0"/>
          <w:numId w:val="25"/>
        </w:numPr>
      </w:pPr>
      <w:r>
        <w:t>At age 53-58, p</w:t>
      </w:r>
      <w:r w:rsidRPr="000118D3">
        <w:t xml:space="preserve">oorer socioeconomic status </w:t>
      </w:r>
      <w:r w:rsidR="00B4478A" w:rsidRPr="000118D3">
        <w:t xml:space="preserve">(no occupation, part-time employment, financial stress) </w:t>
      </w:r>
      <w:r w:rsidRPr="000118D3">
        <w:t>was associated with ongoing caregiving but not with starting caregiving. By mid-age, self-selection into caregiving roles may not be as strongly influenced by opportunity cost</w:t>
      </w:r>
      <w:r w:rsidR="00B4478A">
        <w:t>s</w:t>
      </w:r>
      <w:r w:rsidRPr="000118D3">
        <w:t xml:space="preserve"> related to socioeconomic factors</w:t>
      </w:r>
      <w:r>
        <w:t>.</w:t>
      </w:r>
    </w:p>
    <w:p w14:paraId="29132906" w14:textId="77777777" w:rsidR="00485FF7" w:rsidRPr="00004583" w:rsidRDefault="00485FF7" w:rsidP="00273BE2">
      <w:pPr>
        <w:pStyle w:val="BodyText"/>
      </w:pPr>
      <w:r>
        <w:t>Are different groups more or less affected?</w:t>
      </w:r>
    </w:p>
    <w:p w14:paraId="5F19986E" w14:textId="1B26AC69" w:rsidR="00485FF7" w:rsidRDefault="00485FF7" w:rsidP="00273BE2">
      <w:pPr>
        <w:pStyle w:val="BodyText"/>
        <w:numPr>
          <w:ilvl w:val="0"/>
          <w:numId w:val="26"/>
        </w:numPr>
      </w:pPr>
      <w:r>
        <w:t xml:space="preserve">Compared to caregivers who live elsewhere to the care recipient, caregivers who </w:t>
      </w:r>
      <w:r w:rsidRPr="004B7DD3">
        <w:t xml:space="preserve">live with the </w:t>
      </w:r>
      <w:r>
        <w:t>person they care for are more likely to provide high levels of care, care for younger people (a partner vs older parents), have lower participation in the workforce, have poorer physical and mental health, have a higher number of chronic illnesses, and to be obese, inactive, or smoke.</w:t>
      </w:r>
    </w:p>
    <w:p w14:paraId="73F99836" w14:textId="77777777" w:rsidR="00485FF7" w:rsidRDefault="00485FF7" w:rsidP="00273BE2">
      <w:pPr>
        <w:pStyle w:val="BodyText"/>
        <w:numPr>
          <w:ilvl w:val="0"/>
          <w:numId w:val="26"/>
        </w:numPr>
      </w:pPr>
      <w:r>
        <w:t xml:space="preserve">1 in 20 mid-age women are caregivers and survivors of intimate partner violence. Women with both life experiences have twice the odds of experiencing depressive symptoms and stress. They also have worse physical health than other women. </w:t>
      </w:r>
    </w:p>
    <w:p w14:paraId="4951512B" w14:textId="1C0C3A8A" w:rsidR="00485FF7" w:rsidRDefault="00485FF7" w:rsidP="00273BE2">
      <w:pPr>
        <w:pStyle w:val="BodyText"/>
        <w:numPr>
          <w:ilvl w:val="0"/>
          <w:numId w:val="26"/>
        </w:numPr>
      </w:pPr>
      <w:r>
        <w:t>Sandwich or multigenerational care</w:t>
      </w:r>
      <w:r w:rsidR="00F870C9">
        <w:t>rs</w:t>
      </w:r>
      <w:r>
        <w:t xml:space="preserve"> look after someone who is ill, disabled, or frail and care for grandchildren or someone else</w:t>
      </w:r>
      <w:r w:rsidR="001B0B19">
        <w:t>’</w:t>
      </w:r>
      <w:r>
        <w:t xml:space="preserve">s children. </w:t>
      </w:r>
    </w:p>
    <w:p w14:paraId="4FA3BAB5" w14:textId="6DE0CAFD" w:rsidR="00485FF7" w:rsidRDefault="00485FF7" w:rsidP="00273BE2">
      <w:pPr>
        <w:pStyle w:val="BodyText"/>
        <w:numPr>
          <w:ilvl w:val="0"/>
          <w:numId w:val="26"/>
        </w:numPr>
      </w:pPr>
      <w:r>
        <w:t>65-70</w:t>
      </w:r>
      <w:r w:rsidR="00F870C9">
        <w:t>-year-</w:t>
      </w:r>
      <w:r>
        <w:t xml:space="preserve">olds from the 1946-51 cohort are at risk of being overburdened by multigenerational caregiving; they have higher rates of depression and anxiety, more </w:t>
      </w:r>
      <w:r w:rsidR="00F870C9">
        <w:t>general practitioner</w:t>
      </w:r>
      <w:r>
        <w:t xml:space="preserve"> visits, more sedentary lifestyles, and are less likely to rate their health as excellent or very good than women who only provides care for someone they live with. </w:t>
      </w:r>
    </w:p>
    <w:p w14:paraId="573E94A8" w14:textId="77AE372A" w:rsidR="00485FF7" w:rsidRDefault="00485FF7" w:rsidP="00273BE2">
      <w:pPr>
        <w:pStyle w:val="BodyText"/>
        <w:numPr>
          <w:ilvl w:val="0"/>
          <w:numId w:val="26"/>
        </w:numPr>
      </w:pPr>
      <w:r>
        <w:t>In contrast, 37-42</w:t>
      </w:r>
      <w:r w:rsidR="00F870C9">
        <w:t>-year-</w:t>
      </w:r>
      <w:r>
        <w:t xml:space="preserve">olds who cared for their children and another adult who lived with them tended to fare better than women who only provided life-in care for another adult. </w:t>
      </w:r>
    </w:p>
    <w:p w14:paraId="16D9E83F" w14:textId="0E319F95" w:rsidR="00485FF7" w:rsidRDefault="00485FF7" w:rsidP="00273BE2">
      <w:pPr>
        <w:pStyle w:val="BodyText"/>
        <w:numPr>
          <w:ilvl w:val="0"/>
          <w:numId w:val="26"/>
        </w:numPr>
      </w:pPr>
      <w:r>
        <w:t xml:space="preserve">Young women caring for someone they lived with were likely to have more children (33% have </w:t>
      </w:r>
      <w:r w:rsidR="00F870C9">
        <w:t>three</w:t>
      </w:r>
      <w:r>
        <w:t xml:space="preserve"> or more children).   </w:t>
      </w:r>
    </w:p>
    <w:p w14:paraId="40AF6BFD" w14:textId="3FFB97FA" w:rsidR="00485FF7" w:rsidRPr="00273BE2" w:rsidRDefault="00485FF7" w:rsidP="00273BE2">
      <w:pPr>
        <w:pStyle w:val="BodyText"/>
        <w:rPr>
          <w:b/>
          <w:bCs w:val="0"/>
        </w:rPr>
      </w:pPr>
      <w:r w:rsidRPr="00273BE2">
        <w:rPr>
          <w:b/>
          <w:bCs w:val="0"/>
        </w:rPr>
        <w:t>Costs and benefits of leaving formal employment to provide informal care that carers don</w:t>
      </w:r>
      <w:r w:rsidR="001B0B19">
        <w:rPr>
          <w:b/>
          <w:bCs w:val="0"/>
        </w:rPr>
        <w:t>’</w:t>
      </w:r>
      <w:r w:rsidRPr="00273BE2">
        <w:rPr>
          <w:b/>
          <w:bCs w:val="0"/>
        </w:rPr>
        <w:t>t take into consideration</w:t>
      </w:r>
    </w:p>
    <w:p w14:paraId="24CE9E1B" w14:textId="77777777" w:rsidR="00485FF7" w:rsidRPr="00B125C5" w:rsidRDefault="00485FF7" w:rsidP="00273BE2">
      <w:pPr>
        <w:pStyle w:val="BodyText"/>
        <w:numPr>
          <w:ilvl w:val="0"/>
          <w:numId w:val="27"/>
        </w:numPr>
      </w:pPr>
      <w:r>
        <w:t xml:space="preserve">Live-in carers were more likely to rate the ability to access government pensions or benefits as an important factor in the decision to retire. </w:t>
      </w:r>
    </w:p>
    <w:p w14:paraId="25943971" w14:textId="77777777" w:rsidR="00485FF7" w:rsidRPr="001D0DC3" w:rsidRDefault="00485FF7" w:rsidP="00273BE2">
      <w:pPr>
        <w:pStyle w:val="BodyText"/>
        <w:numPr>
          <w:ilvl w:val="0"/>
          <w:numId w:val="27"/>
        </w:numPr>
      </w:pPr>
      <w:r>
        <w:t>Overall, carers were more likely to rate the number of people dependent on financial support and the need to care for a spouse or other family member as important factors in the decision to retire.</w:t>
      </w:r>
    </w:p>
    <w:p w14:paraId="426C7067" w14:textId="77777777" w:rsidR="00485FF7" w:rsidRPr="00273BE2" w:rsidRDefault="00485FF7" w:rsidP="00273BE2">
      <w:pPr>
        <w:pStyle w:val="BodyText"/>
        <w:rPr>
          <w:b/>
          <w:bCs w:val="0"/>
        </w:rPr>
      </w:pPr>
      <w:r w:rsidRPr="00273BE2">
        <w:rPr>
          <w:b/>
          <w:bCs w:val="0"/>
        </w:rPr>
        <w:t>How many employees who take extended unpaid carer leave would subsequently return?</w:t>
      </w:r>
    </w:p>
    <w:p w14:paraId="5520FCC7" w14:textId="38C1D03F" w:rsidR="00485FF7" w:rsidRDefault="00485FF7" w:rsidP="00273BE2">
      <w:pPr>
        <w:pStyle w:val="BodyText"/>
        <w:numPr>
          <w:ilvl w:val="0"/>
          <w:numId w:val="28"/>
        </w:numPr>
      </w:pPr>
      <w:r>
        <w:t xml:space="preserve">Caregiving is highly transitory. From age </w:t>
      </w:r>
      <w:r w:rsidR="00962D5A">
        <w:t xml:space="preserve">45-72 (across eight consecutive surveys) 24-30% of </w:t>
      </w:r>
      <w:r>
        <w:t xml:space="preserve">women from the 1946-51 cohort provided care at some point. However, only 4% of the women </w:t>
      </w:r>
      <w:r w:rsidR="00962D5A">
        <w:t>reported</w:t>
      </w:r>
      <w:r>
        <w:t xml:space="preserve"> caregiv</w:t>
      </w:r>
      <w:r w:rsidR="00962D5A">
        <w:t>ing at each survey.</w:t>
      </w:r>
    </w:p>
    <w:p w14:paraId="6D8E4491" w14:textId="77777777" w:rsidR="00485FF7" w:rsidRDefault="00485FF7" w:rsidP="00273BE2">
      <w:pPr>
        <w:pStyle w:val="BodyText"/>
        <w:numPr>
          <w:ilvl w:val="0"/>
          <w:numId w:val="28"/>
        </w:numPr>
      </w:pPr>
      <w:r>
        <w:t xml:space="preserve">When mid-aged women stopped caring, some returned to their former employment status but proportionally more decreased their working hours. </w:t>
      </w:r>
    </w:p>
    <w:p w14:paraId="05E96C8F" w14:textId="77777777" w:rsidR="00485FF7" w:rsidRDefault="00485FF7" w:rsidP="00273BE2">
      <w:pPr>
        <w:pStyle w:val="BodyText"/>
        <w:numPr>
          <w:ilvl w:val="0"/>
          <w:numId w:val="28"/>
        </w:numPr>
      </w:pPr>
      <w:r>
        <w:t xml:space="preserve">Women who have better physical health while caring are more likely to take up work again when they stop providing care. </w:t>
      </w:r>
    </w:p>
    <w:p w14:paraId="66F6636B" w14:textId="77777777" w:rsidR="00485FF7" w:rsidRPr="00273BE2" w:rsidRDefault="00485FF7" w:rsidP="00273BE2">
      <w:pPr>
        <w:pStyle w:val="BodyText"/>
        <w:rPr>
          <w:b/>
          <w:bCs w:val="0"/>
        </w:rPr>
      </w:pPr>
      <w:r w:rsidRPr="00273BE2">
        <w:rPr>
          <w:b/>
          <w:bCs w:val="0"/>
        </w:rPr>
        <w:lastRenderedPageBreak/>
        <w:t>How should an entitlement to unpaid leave be designed?</w:t>
      </w:r>
    </w:p>
    <w:p w14:paraId="1550E5ED" w14:textId="77777777" w:rsidR="00485FF7" w:rsidRDefault="00485FF7" w:rsidP="00273BE2">
      <w:pPr>
        <w:pStyle w:val="BodyText"/>
        <w:numPr>
          <w:ilvl w:val="0"/>
          <w:numId w:val="29"/>
        </w:numPr>
      </w:pPr>
      <w:r>
        <w:t>Leave entitlements should be made available to both live-in carers and those who live elsewhere to the care recipient</w:t>
      </w:r>
    </w:p>
    <w:p w14:paraId="5B9177B5" w14:textId="77777777" w:rsidR="00485FF7" w:rsidRDefault="00485FF7" w:rsidP="00273BE2">
      <w:pPr>
        <w:pStyle w:val="BodyText"/>
        <w:numPr>
          <w:ilvl w:val="0"/>
          <w:numId w:val="29"/>
        </w:numPr>
      </w:pPr>
      <w:r>
        <w:t xml:space="preserve">Leave entitlements should not be limited to family relationships. </w:t>
      </w:r>
    </w:p>
    <w:p w14:paraId="76AA46F3" w14:textId="385AFA4A" w:rsidR="00485FF7" w:rsidRDefault="00485FF7" w:rsidP="00273BE2">
      <w:pPr>
        <w:pStyle w:val="BodyText"/>
        <w:numPr>
          <w:ilvl w:val="1"/>
          <w:numId w:val="29"/>
        </w:numPr>
      </w:pPr>
      <w:r>
        <w:t xml:space="preserve">About 15% of mid-age caregivers care for a friend, 5% for a neighbour, and a further 5% care for someone </w:t>
      </w:r>
      <w:r w:rsidR="001B0B19">
        <w:t>‘</w:t>
      </w:r>
      <w:r>
        <w:t>other</w:t>
      </w:r>
      <w:r w:rsidR="001B0B19">
        <w:t>’</w:t>
      </w:r>
      <w:r>
        <w:t xml:space="preserve"> than family. </w:t>
      </w:r>
    </w:p>
    <w:p w14:paraId="7D70BD34" w14:textId="77777777" w:rsidR="00485FF7" w:rsidRDefault="00485FF7" w:rsidP="00273BE2">
      <w:pPr>
        <w:pStyle w:val="BodyText"/>
        <w:numPr>
          <w:ilvl w:val="1"/>
          <w:numId w:val="29"/>
        </w:numPr>
      </w:pPr>
      <w:r>
        <w:t>The traditional social expectation of receiving care from your children in old age will be challenged as the number of childfree adults increases in successive generations.</w:t>
      </w:r>
    </w:p>
    <w:p w14:paraId="69176781" w14:textId="4FA1A126" w:rsidR="00485FF7" w:rsidRPr="00273BE2" w:rsidRDefault="00485FF7" w:rsidP="00273BE2">
      <w:pPr>
        <w:pStyle w:val="BodyText"/>
        <w:rPr>
          <w:b/>
          <w:bCs w:val="0"/>
        </w:rPr>
      </w:pPr>
      <w:r w:rsidRPr="00273BE2">
        <w:rPr>
          <w:b/>
          <w:bCs w:val="0"/>
        </w:rPr>
        <w:t>Income supports and services currently offered to informal carers</w:t>
      </w:r>
    </w:p>
    <w:p w14:paraId="41EAA431" w14:textId="77777777" w:rsidR="00485FF7" w:rsidRDefault="00485FF7" w:rsidP="00273BE2">
      <w:pPr>
        <w:pStyle w:val="BodyText"/>
        <w:numPr>
          <w:ilvl w:val="0"/>
          <w:numId w:val="30"/>
        </w:numPr>
      </w:pPr>
      <w:r>
        <w:t>Care recipients used services more than carers did.</w:t>
      </w:r>
    </w:p>
    <w:p w14:paraId="61A9CDF5" w14:textId="77777777" w:rsidR="00485FF7" w:rsidRDefault="00485FF7" w:rsidP="00273BE2">
      <w:pPr>
        <w:pStyle w:val="BodyText"/>
        <w:numPr>
          <w:ilvl w:val="0"/>
          <w:numId w:val="30"/>
        </w:numPr>
      </w:pPr>
      <w:r>
        <w:t xml:space="preserve">The most highly used services were home maintenance and counselling. </w:t>
      </w:r>
    </w:p>
    <w:p w14:paraId="4A4F07E5" w14:textId="77777777" w:rsidR="00485FF7" w:rsidRDefault="00485FF7" w:rsidP="00273BE2">
      <w:pPr>
        <w:pStyle w:val="BodyText"/>
        <w:numPr>
          <w:ilvl w:val="0"/>
          <w:numId w:val="30"/>
        </w:numPr>
      </w:pPr>
      <w:r>
        <w:t xml:space="preserve">Carers who used these services had higher carer strain and poorer mental health than carers who did not use those services. </w:t>
      </w:r>
    </w:p>
    <w:p w14:paraId="54EEB881" w14:textId="77777777" w:rsidR="00485FF7" w:rsidRDefault="00485FF7" w:rsidP="00273BE2">
      <w:pPr>
        <w:pStyle w:val="BodyText"/>
        <w:numPr>
          <w:ilvl w:val="0"/>
          <w:numId w:val="30"/>
        </w:numPr>
      </w:pPr>
      <w:r>
        <w:t xml:space="preserve">Carers who lived elsewhere were more likely to use paid services than live-in carers. </w:t>
      </w:r>
    </w:p>
    <w:p w14:paraId="70B1078B" w14:textId="77777777" w:rsidR="00485FF7" w:rsidRPr="00273BE2" w:rsidRDefault="00485FF7" w:rsidP="00273BE2">
      <w:pPr>
        <w:pStyle w:val="BodyText"/>
        <w:rPr>
          <w:b/>
          <w:bCs w:val="0"/>
        </w:rPr>
      </w:pPr>
      <w:r w:rsidRPr="00273BE2">
        <w:rPr>
          <w:b/>
          <w:bCs w:val="0"/>
        </w:rPr>
        <w:t>Alternative supports for carers of older people</w:t>
      </w:r>
    </w:p>
    <w:p w14:paraId="527B6072" w14:textId="77777777" w:rsidR="00485FF7" w:rsidRPr="00407A7A" w:rsidRDefault="00485FF7" w:rsidP="00273BE2">
      <w:pPr>
        <w:pStyle w:val="BodyText"/>
        <w:numPr>
          <w:ilvl w:val="0"/>
          <w:numId w:val="31"/>
        </w:numPr>
      </w:pPr>
      <w:r>
        <w:t xml:space="preserve">Additional financial support is needed to complement the introduction of extended unpaid carers leave - at age 37-42, </w:t>
      </w:r>
      <w:r>
        <w:rPr>
          <w:rFonts w:eastAsia="Times New Roman"/>
          <w:color w:val="212121"/>
          <w:lang w:eastAsia="en-AU"/>
        </w:rPr>
        <w:t xml:space="preserve">26% of live-in carers and 20% of carers living elsewhere </w:t>
      </w:r>
      <w:r>
        <w:t xml:space="preserve">from the 1973-78 cohort </w:t>
      </w:r>
      <w:r>
        <w:rPr>
          <w:rFonts w:eastAsia="Times New Roman"/>
          <w:color w:val="212121"/>
          <w:lang w:eastAsia="en-AU"/>
        </w:rPr>
        <w:t xml:space="preserve">found it </w:t>
      </w:r>
      <w:r w:rsidRPr="00C80E62">
        <w:rPr>
          <w:rFonts w:eastAsia="Times New Roman"/>
          <w:color w:val="212121"/>
          <w:lang w:eastAsia="en-AU"/>
        </w:rPr>
        <w:t>impossible or v</w:t>
      </w:r>
      <w:r>
        <w:rPr>
          <w:rFonts w:eastAsia="Times New Roman"/>
          <w:color w:val="212121"/>
          <w:lang w:eastAsia="en-AU"/>
        </w:rPr>
        <w:t>ery</w:t>
      </w:r>
      <w:r w:rsidRPr="00C80E62">
        <w:rPr>
          <w:rFonts w:eastAsia="Times New Roman"/>
          <w:color w:val="212121"/>
          <w:lang w:eastAsia="en-AU"/>
        </w:rPr>
        <w:t xml:space="preserve"> difficult to </w:t>
      </w:r>
      <w:r>
        <w:rPr>
          <w:rFonts w:eastAsia="Times New Roman"/>
          <w:color w:val="212121"/>
          <w:lang w:eastAsia="en-AU"/>
        </w:rPr>
        <w:t>manage on their income.</w:t>
      </w:r>
    </w:p>
    <w:p w14:paraId="622FE67B" w14:textId="77777777" w:rsidR="00485FF7" w:rsidRPr="00273BE2" w:rsidRDefault="00485FF7" w:rsidP="00273BE2">
      <w:pPr>
        <w:pStyle w:val="BodyText"/>
        <w:rPr>
          <w:b/>
          <w:bCs w:val="0"/>
        </w:rPr>
      </w:pPr>
      <w:r w:rsidRPr="00273BE2">
        <w:rPr>
          <w:b/>
          <w:bCs w:val="0"/>
        </w:rPr>
        <w:t>Should reforms to supports for carers of older people apply to other carers too?</w:t>
      </w:r>
    </w:p>
    <w:p w14:paraId="62A9DA31" w14:textId="77777777" w:rsidR="00485FF7" w:rsidRPr="004547A3" w:rsidRDefault="00485FF7" w:rsidP="00273BE2">
      <w:pPr>
        <w:pStyle w:val="BodyText"/>
        <w:numPr>
          <w:ilvl w:val="0"/>
          <w:numId w:val="31"/>
        </w:numPr>
      </w:pPr>
      <w:r>
        <w:t xml:space="preserve">Yes – at age 65-70, about 10% of the 1946-51 cohort were caring for their adult children. </w:t>
      </w:r>
    </w:p>
    <w:p w14:paraId="0847A5AB" w14:textId="77777777" w:rsidR="003F5922" w:rsidRPr="000B6088" w:rsidRDefault="003F5922" w:rsidP="006A3499">
      <w:pPr>
        <w:rPr>
          <w:rFonts w:cstheme="minorHAnsi"/>
          <w:szCs w:val="20"/>
        </w:rPr>
      </w:pPr>
    </w:p>
    <w:p w14:paraId="0A52E757" w14:textId="6F452854" w:rsidR="006A3499" w:rsidRPr="00DB5995" w:rsidRDefault="006A3499" w:rsidP="007E147B">
      <w:pPr>
        <w:pStyle w:val="Heading2"/>
      </w:pPr>
      <w:bookmarkStart w:id="3" w:name="_Toc113022365"/>
      <w:r w:rsidRPr="000B6088">
        <w:t>Recommendations</w:t>
      </w:r>
      <w:bookmarkEnd w:id="3"/>
      <w:r w:rsidRPr="000B6088">
        <w:t xml:space="preserve"> </w:t>
      </w:r>
    </w:p>
    <w:p w14:paraId="6F0D5DF2" w14:textId="77777777" w:rsidR="005568AD" w:rsidRPr="00901358" w:rsidRDefault="005568AD" w:rsidP="005568AD">
      <w:pPr>
        <w:pStyle w:val="BodyText"/>
        <w:numPr>
          <w:ilvl w:val="0"/>
          <w:numId w:val="32"/>
        </w:numPr>
      </w:pPr>
      <w:r>
        <w:t xml:space="preserve">In addition to unpaid leave entitlements, </w:t>
      </w:r>
      <w:proofErr w:type="spellStart"/>
      <w:r>
        <w:t>flexibible</w:t>
      </w:r>
      <w:proofErr w:type="spellEnd"/>
      <w:r>
        <w:t xml:space="preserve"> working </w:t>
      </w:r>
      <w:proofErr w:type="spellStart"/>
      <w:r>
        <w:t>arrangmeents</w:t>
      </w:r>
      <w:proofErr w:type="spellEnd"/>
      <w:r>
        <w:t xml:space="preserve"> would enhance the ability of caregivers to continue participating in the workforce – for example greater availability and acceptance of part-time work, flexible hours, and job sharing. </w:t>
      </w:r>
    </w:p>
    <w:p w14:paraId="6ED9F1FD" w14:textId="77777777" w:rsidR="005568AD" w:rsidRDefault="005568AD" w:rsidP="005568AD">
      <w:pPr>
        <w:pStyle w:val="BodyText"/>
        <w:numPr>
          <w:ilvl w:val="0"/>
          <w:numId w:val="32"/>
        </w:numPr>
      </w:pPr>
      <w:r>
        <w:t xml:space="preserve">Carers need the flexibility to take leave in a </w:t>
      </w:r>
      <w:proofErr w:type="gramStart"/>
      <w:r>
        <w:t>block, or</w:t>
      </w:r>
      <w:proofErr w:type="gramEnd"/>
      <w:r>
        <w:t xml:space="preserve"> spread across an extended period to support their ability to maintain part-time employment.</w:t>
      </w:r>
    </w:p>
    <w:p w14:paraId="3A257876" w14:textId="77777777" w:rsidR="005568AD" w:rsidRDefault="005568AD" w:rsidP="005568AD">
      <w:pPr>
        <w:pStyle w:val="BodyText"/>
        <w:numPr>
          <w:ilvl w:val="0"/>
          <w:numId w:val="32"/>
        </w:numPr>
      </w:pPr>
      <w:r>
        <w:t>Additional support in the form of respite and in home community care, should be made available for women caring for people with both cognitive and physical impairments.</w:t>
      </w:r>
    </w:p>
    <w:p w14:paraId="4A8B22F4" w14:textId="77777777" w:rsidR="005568AD" w:rsidRPr="00AA1166" w:rsidRDefault="005568AD" w:rsidP="005568AD">
      <w:pPr>
        <w:pStyle w:val="BodyText"/>
        <w:numPr>
          <w:ilvl w:val="0"/>
          <w:numId w:val="32"/>
        </w:numPr>
      </w:pPr>
      <w:r>
        <w:t xml:space="preserve">Women caring for people with cognitive impairments could benefit from additional counselling, training, and respite. </w:t>
      </w:r>
    </w:p>
    <w:p w14:paraId="56C8CD8B" w14:textId="77777777" w:rsidR="005568AD" w:rsidRPr="00901358" w:rsidRDefault="005568AD" w:rsidP="005568AD">
      <w:pPr>
        <w:pStyle w:val="BodyText"/>
        <w:numPr>
          <w:ilvl w:val="0"/>
          <w:numId w:val="32"/>
        </w:numPr>
      </w:pPr>
      <w:r>
        <w:t xml:space="preserve">Policies should </w:t>
      </w:r>
      <w:proofErr w:type="gramStart"/>
      <w:r>
        <w:t>take into account</w:t>
      </w:r>
      <w:proofErr w:type="gramEnd"/>
      <w:r>
        <w:t xml:space="preserve"> the life stage of carers, and not generalise findings from one age group to another. </w:t>
      </w:r>
    </w:p>
    <w:p w14:paraId="708244B4" w14:textId="77777777" w:rsidR="005568AD" w:rsidRPr="00901358" w:rsidRDefault="005568AD" w:rsidP="005568AD">
      <w:pPr>
        <w:pStyle w:val="BodyText"/>
        <w:numPr>
          <w:ilvl w:val="0"/>
          <w:numId w:val="32"/>
        </w:numPr>
      </w:pPr>
      <w:r>
        <w:t xml:space="preserve">Live-in carers require additional </w:t>
      </w:r>
      <w:proofErr w:type="spellStart"/>
      <w:r>
        <w:t>suppots</w:t>
      </w:r>
      <w:proofErr w:type="spellEnd"/>
      <w:r>
        <w:t xml:space="preserve"> to </w:t>
      </w:r>
      <w:proofErr w:type="spellStart"/>
      <w:r>
        <w:t>maintian</w:t>
      </w:r>
      <w:proofErr w:type="spellEnd"/>
      <w:r>
        <w:t xml:space="preserve"> their health and wellbeing. Regular access to </w:t>
      </w:r>
      <w:r w:rsidRPr="0090347F">
        <w:t xml:space="preserve">respite services </w:t>
      </w:r>
      <w:r>
        <w:t>is vital to ensure they have the time to</w:t>
      </w:r>
      <w:r w:rsidRPr="0090347F">
        <w:t xml:space="preserve"> visit health </w:t>
      </w:r>
      <w:r w:rsidRPr="0090347F">
        <w:lastRenderedPageBreak/>
        <w:t>services</w:t>
      </w:r>
      <w:r>
        <w:t xml:space="preserve"> and engage in self-care. Targeted mental health interventions as well as greater access to (and acceptance of) community support services would also help to reduce the burden on live-in carers. </w:t>
      </w:r>
    </w:p>
    <w:p w14:paraId="5092AD38" w14:textId="77777777" w:rsidR="005568AD" w:rsidRPr="00901358" w:rsidRDefault="005568AD" w:rsidP="005568AD">
      <w:pPr>
        <w:pStyle w:val="BodyText"/>
        <w:numPr>
          <w:ilvl w:val="0"/>
          <w:numId w:val="32"/>
        </w:numPr>
      </w:pPr>
      <w:r>
        <w:t xml:space="preserve">Up to 1 in 20 mid-age women are impacted by the cumulative impacts of intimate partner violence and caregiving. Younger generations of women report much higher levels of intimate partner violence. Additional support programs aimed at increasing resilience and maintaining social supports will be vital as the next generation steps up to care for our ageing population. </w:t>
      </w:r>
    </w:p>
    <w:p w14:paraId="260C12B0" w14:textId="77777777" w:rsidR="005568AD" w:rsidRPr="00780D3B" w:rsidRDefault="005568AD" w:rsidP="005568AD">
      <w:pPr>
        <w:pStyle w:val="BodyText"/>
        <w:numPr>
          <w:ilvl w:val="0"/>
          <w:numId w:val="32"/>
        </w:numPr>
      </w:pPr>
      <w:r w:rsidRPr="00780D3B">
        <w:t xml:space="preserve">More accessible and affordable </w:t>
      </w:r>
      <w:proofErr w:type="gramStart"/>
      <w:r w:rsidRPr="00780D3B">
        <w:t>child care</w:t>
      </w:r>
      <w:proofErr w:type="gramEnd"/>
      <w:r w:rsidRPr="00780D3B">
        <w:t xml:space="preserve"> options for parents returning to work may reduce the burden on grandparents of caring for their grandchildren.</w:t>
      </w:r>
    </w:p>
    <w:p w14:paraId="3835BF82" w14:textId="77777777" w:rsidR="005568AD" w:rsidRPr="006A1B55" w:rsidRDefault="005568AD" w:rsidP="005568AD">
      <w:pPr>
        <w:pStyle w:val="BodyText"/>
        <w:numPr>
          <w:ilvl w:val="0"/>
          <w:numId w:val="32"/>
        </w:numPr>
      </w:pPr>
      <w:r w:rsidRPr="00780D3B">
        <w:t>More research is needed to investigate the impact of long-term multigenerational caregiving among those who are reaching retirement age, and who are experiencing their own age-related health issues.</w:t>
      </w:r>
    </w:p>
    <w:p w14:paraId="0100A257" w14:textId="77777777" w:rsidR="005568AD" w:rsidRPr="006A1B55" w:rsidRDefault="005568AD" w:rsidP="005568AD">
      <w:pPr>
        <w:pStyle w:val="BodyText"/>
        <w:numPr>
          <w:ilvl w:val="0"/>
          <w:numId w:val="32"/>
        </w:numPr>
      </w:pPr>
      <w:r w:rsidRPr="00780D3B">
        <w:t xml:space="preserve">While </w:t>
      </w:r>
      <w:proofErr w:type="gramStart"/>
      <w:r w:rsidRPr="00780D3B">
        <w:t>child care</w:t>
      </w:r>
      <w:proofErr w:type="gramEnd"/>
      <w:r w:rsidRPr="00780D3B">
        <w:t xml:space="preserve"> and respite care may be available to caregivers, these are rarely, if ever, offered as a coordinated support service. The complex support needs of caregivers in this position warrant assessment at the individual level.</w:t>
      </w:r>
    </w:p>
    <w:p w14:paraId="10609B5B" w14:textId="77777777" w:rsidR="005568AD" w:rsidRPr="006A1B55" w:rsidRDefault="005568AD" w:rsidP="005568AD">
      <w:pPr>
        <w:pStyle w:val="BodyText"/>
        <w:numPr>
          <w:ilvl w:val="0"/>
          <w:numId w:val="32"/>
        </w:numPr>
      </w:pPr>
      <w:r>
        <w:t>To maximise the number of women returning to work after extended unpaid carer leave caregivers need to maintain their own physical health. Access to regular respite care is a necessary support to provide carers with time for self-care.</w:t>
      </w:r>
    </w:p>
    <w:p w14:paraId="6534AAEE" w14:textId="77777777" w:rsidR="005568AD" w:rsidRPr="006A1B55" w:rsidRDefault="005568AD" w:rsidP="005568AD">
      <w:pPr>
        <w:pStyle w:val="BodyText"/>
        <w:numPr>
          <w:ilvl w:val="0"/>
          <w:numId w:val="32"/>
        </w:numPr>
      </w:pPr>
      <w:r>
        <w:t xml:space="preserve">Increasing access to affordable </w:t>
      </w:r>
      <w:proofErr w:type="gramStart"/>
      <w:r>
        <w:t>child care</w:t>
      </w:r>
      <w:proofErr w:type="gramEnd"/>
      <w:r>
        <w:t xml:space="preserve"> will also decrease the burden on caregivers and allow more women to return to work. </w:t>
      </w:r>
    </w:p>
    <w:p w14:paraId="308E4CA2" w14:textId="77777777" w:rsidR="005568AD" w:rsidRDefault="005568AD" w:rsidP="005568AD">
      <w:pPr>
        <w:pStyle w:val="BodyText"/>
        <w:numPr>
          <w:ilvl w:val="0"/>
          <w:numId w:val="32"/>
        </w:numPr>
      </w:pPr>
      <w:r>
        <w:t>Unpaid leave should be made available to both live-in carers and those who live elsewhere to their care recipient.</w:t>
      </w:r>
    </w:p>
    <w:p w14:paraId="5E1EAEAD" w14:textId="77777777" w:rsidR="005568AD" w:rsidRDefault="005568AD" w:rsidP="005568AD">
      <w:pPr>
        <w:pStyle w:val="BodyText"/>
        <w:numPr>
          <w:ilvl w:val="0"/>
          <w:numId w:val="32"/>
        </w:numPr>
      </w:pPr>
      <w:r>
        <w:t xml:space="preserve">Leave entitlements should not depend on a family relationship, this will become particularly relevant as younger generations age. Traditionally, care for the elderly comes from partners and children. An increasing proportion of adults are childfree and will not be able to call upon these relationships as they age. </w:t>
      </w:r>
    </w:p>
    <w:p w14:paraId="5A201C28" w14:textId="77777777" w:rsidR="005568AD" w:rsidRPr="006A1B55" w:rsidRDefault="005568AD" w:rsidP="005568AD">
      <w:pPr>
        <w:pStyle w:val="BodyText"/>
        <w:numPr>
          <w:ilvl w:val="0"/>
          <w:numId w:val="32"/>
        </w:numPr>
      </w:pPr>
      <w:r>
        <w:t xml:space="preserve">Caregiving is highly transitory so the entitlement should be made available to a wider range of circumstances, as caregivers may be required to care for adult children, partners, parents and parents-in-law. </w:t>
      </w:r>
    </w:p>
    <w:p w14:paraId="1CE5074C" w14:textId="77777777" w:rsidR="005568AD" w:rsidRDefault="005568AD" w:rsidP="005568AD">
      <w:pPr>
        <w:pStyle w:val="BodyText"/>
        <w:numPr>
          <w:ilvl w:val="0"/>
          <w:numId w:val="32"/>
        </w:numPr>
      </w:pPr>
      <w:r>
        <w:t>Li</w:t>
      </w:r>
      <w:r w:rsidRPr="004206F4">
        <w:t xml:space="preserve">ve-in carers may need to be targeted for more formal support. </w:t>
      </w:r>
    </w:p>
    <w:p w14:paraId="19559D24" w14:textId="77777777" w:rsidR="005568AD" w:rsidRDefault="005568AD" w:rsidP="005568AD">
      <w:pPr>
        <w:pStyle w:val="BodyText"/>
        <w:numPr>
          <w:ilvl w:val="0"/>
          <w:numId w:val="32"/>
        </w:numPr>
      </w:pPr>
      <w:r w:rsidRPr="004206F4">
        <w:t xml:space="preserve">Policies should consider the particular needs of live-in carers who </w:t>
      </w:r>
      <w:r>
        <w:t xml:space="preserve">are </w:t>
      </w:r>
      <w:r w:rsidRPr="004206F4">
        <w:t xml:space="preserve">likely to have a high care index, be strained and help their care recipients with more personal and demanding tasks. </w:t>
      </w:r>
    </w:p>
    <w:p w14:paraId="047A4034" w14:textId="77777777" w:rsidR="005568AD" w:rsidRPr="004206F4" w:rsidRDefault="005568AD" w:rsidP="005568AD">
      <w:pPr>
        <w:pStyle w:val="BodyText"/>
        <w:numPr>
          <w:ilvl w:val="0"/>
          <w:numId w:val="32"/>
        </w:numPr>
      </w:pPr>
      <w:r w:rsidRPr="004206F4">
        <w:t>Policies should endeavour to improve acceptance of, or reduce the stigma about, using services.</w:t>
      </w:r>
    </w:p>
    <w:p w14:paraId="4B928D10" w14:textId="77777777" w:rsidR="005568AD" w:rsidRDefault="005568AD" w:rsidP="005568AD">
      <w:pPr>
        <w:pStyle w:val="BodyText"/>
        <w:numPr>
          <w:ilvl w:val="0"/>
          <w:numId w:val="32"/>
        </w:numPr>
      </w:pPr>
      <w:r>
        <w:t xml:space="preserve">A carer’s leave payment, similar to the Parental Leave Pay offered by the Australian Government would reduce the financial impact of taking unpaid leave to provide care and improve the wellbeing of carers. </w:t>
      </w:r>
    </w:p>
    <w:p w14:paraId="2981B0ED" w14:textId="579D60AC" w:rsidR="006A3499" w:rsidRPr="000B6088" w:rsidRDefault="005568AD" w:rsidP="005568AD">
      <w:pPr>
        <w:pStyle w:val="BodyText"/>
        <w:numPr>
          <w:ilvl w:val="0"/>
          <w:numId w:val="32"/>
        </w:numPr>
      </w:pPr>
      <w:r w:rsidRPr="005568AD">
        <w:rPr>
          <w:rFonts w:cstheme="minorHAnsi"/>
          <w:sz w:val="20"/>
          <w:szCs w:val="20"/>
          <w14:textOutline w14:w="9525" w14:cap="rnd" w14:cmpd="sng" w14:algn="ctr">
            <w14:noFill/>
            <w14:prstDash w14:val="solid"/>
            <w14:bevel/>
          </w14:textOutline>
        </w:rPr>
        <w:t xml:space="preserve">Carer’s Leave entitlements should be made available regardless of whether care is provided to someone because they are elderly, ill, or disabled.  </w:t>
      </w:r>
    </w:p>
    <w:p w14:paraId="6F6D300A" w14:textId="77777777" w:rsidR="006A3499" w:rsidRPr="000B6088" w:rsidRDefault="006A3499" w:rsidP="006A3499">
      <w:pPr>
        <w:rPr>
          <w:rFonts w:cstheme="minorHAnsi"/>
          <w:szCs w:val="20"/>
        </w:rPr>
      </w:pPr>
    </w:p>
    <w:p w14:paraId="62833D72" w14:textId="77777777" w:rsidR="006A3499" w:rsidRPr="000B6088" w:rsidRDefault="006A3499" w:rsidP="006A3499">
      <w:pPr>
        <w:rPr>
          <w:rFonts w:cstheme="minorHAnsi"/>
          <w:szCs w:val="20"/>
        </w:rPr>
      </w:pPr>
    </w:p>
    <w:p w14:paraId="5FD92477" w14:textId="77777777" w:rsidR="006A3499" w:rsidRPr="000B6088" w:rsidRDefault="006A3499" w:rsidP="006A3499">
      <w:pPr>
        <w:rPr>
          <w:rFonts w:cstheme="minorHAnsi"/>
          <w:szCs w:val="20"/>
        </w:rPr>
      </w:pPr>
    </w:p>
    <w:p w14:paraId="73878DEB" w14:textId="23A1B188" w:rsidR="006A3499" w:rsidRDefault="006A3499" w:rsidP="006A3499">
      <w:pPr>
        <w:spacing w:after="160" w:line="259" w:lineRule="auto"/>
        <w:rPr>
          <w:rFonts w:cstheme="minorHAnsi"/>
        </w:rPr>
      </w:pPr>
    </w:p>
    <w:p w14:paraId="73003A68" w14:textId="1896564F" w:rsidR="00DB5995" w:rsidRPr="00DB5995" w:rsidRDefault="006A3499" w:rsidP="00DB5995">
      <w:pPr>
        <w:pStyle w:val="Heading1"/>
      </w:pPr>
      <w:bookmarkStart w:id="4" w:name="_Toc113022366"/>
      <w:r w:rsidRPr="00176C24">
        <w:lastRenderedPageBreak/>
        <w:t>Terms of reference</w:t>
      </w:r>
      <w:bookmarkEnd w:id="4"/>
    </w:p>
    <w:p w14:paraId="46B9817F" w14:textId="61D3FAA8" w:rsidR="00DB5995" w:rsidRPr="00DB5995" w:rsidRDefault="00530FAB" w:rsidP="007E147B">
      <w:pPr>
        <w:pStyle w:val="Heading2"/>
      </w:pPr>
      <w:bookmarkStart w:id="5" w:name="_Toc113022367"/>
      <w:r>
        <w:t>T</w:t>
      </w:r>
      <w:r w:rsidR="00AD41FC" w:rsidRPr="006A1B55">
        <w:t>he circumstances in which people become informal carers of older Australians.</w:t>
      </w:r>
      <w:bookmarkEnd w:id="5"/>
    </w:p>
    <w:p w14:paraId="0881E452" w14:textId="1C43EE4E" w:rsidR="00DB5995" w:rsidRPr="00DB5995" w:rsidRDefault="00AD41FC" w:rsidP="00DB5995">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F8295B">
        <w:rPr>
          <w:i/>
          <w:iCs/>
        </w:rPr>
        <w:t>How often does the decision to become a carer necessitate changed work arrangements or leaving the workforce?</w:t>
      </w:r>
    </w:p>
    <w:p w14:paraId="03F34E7D" w14:textId="60E69228" w:rsidR="00CD4A99" w:rsidRDefault="00CD4A99" w:rsidP="00CD4A99">
      <w:pPr>
        <w:pStyle w:val="Heading3"/>
      </w:pPr>
      <w:bookmarkStart w:id="6" w:name="_Toc113022368"/>
      <w:r>
        <w:t>Occupation, caregiving, and employment status</w:t>
      </w:r>
      <w:bookmarkEnd w:id="6"/>
    </w:p>
    <w:p w14:paraId="2816D67F" w14:textId="7AA899C4" w:rsidR="00CD4A99" w:rsidRPr="00866B54" w:rsidRDefault="00CD4A99" w:rsidP="00273BE2">
      <w:pPr>
        <w:pStyle w:val="BodyText"/>
      </w:pPr>
      <w:r w:rsidRPr="00866B54">
        <w:t xml:space="preserve">In a 2006 study of mid-age women from the 1946-51 cohort, </w:t>
      </w:r>
      <w:r w:rsidR="00507B7F">
        <w:t xml:space="preserve">researchers </w:t>
      </w:r>
      <w:r w:rsidR="00D44241" w:rsidRPr="00866B54">
        <w:t>investigated</w:t>
      </w:r>
      <w:r w:rsidRPr="00866B54">
        <w:t xml:space="preserve"> the relationships between caregiver</w:t>
      </w:r>
      <w:r w:rsidR="001B0B19">
        <w:t>’</w:t>
      </w:r>
      <w:r w:rsidRPr="00866B54">
        <w:t xml:space="preserve">s </w:t>
      </w:r>
      <w:r w:rsidR="00866B54">
        <w:t>employment</w:t>
      </w:r>
      <w:r w:rsidRPr="00866B54">
        <w:t xml:space="preserve"> status (full-time, part-time, or not employed) and their occupational classification (managers/professionals, trades/higher skilled, labour</w:t>
      </w:r>
      <w:r w:rsidR="0005463E">
        <w:t>er</w:t>
      </w:r>
      <w:r w:rsidRPr="00866B54">
        <w:t xml:space="preserve">s/low or unskilled, and no paid job). They found that </w:t>
      </w:r>
      <w:r w:rsidR="00D44241">
        <w:t>employment</w:t>
      </w:r>
      <w:r w:rsidRPr="00866B54">
        <w:t xml:space="preserve"> status </w:t>
      </w:r>
      <w:r w:rsidR="0005463E">
        <w:t xml:space="preserve">(how much they worked) </w:t>
      </w:r>
      <w:r w:rsidRPr="00866B54">
        <w:t>was related to the type of care the women provided (</w:t>
      </w:r>
      <w:r w:rsidR="00D44241" w:rsidRPr="00866B54">
        <w:t>e.g.,</w:t>
      </w:r>
      <w:r w:rsidRPr="00866B54">
        <w:t xml:space="preserve"> live with </w:t>
      </w:r>
      <w:r w:rsidR="007B3441">
        <w:t xml:space="preserve">the </w:t>
      </w:r>
      <w:r w:rsidRPr="00866B54">
        <w:t xml:space="preserve">recipient, live elsewhere, non-carer). </w:t>
      </w:r>
      <w:r w:rsidR="00565401" w:rsidRPr="00866B54">
        <w:t xml:space="preserve">However, there were no differences between the type of care women provided and their occupation. </w:t>
      </w:r>
      <w:r w:rsidRPr="00866B54">
        <w:t xml:space="preserve">Live-in carers </w:t>
      </w:r>
      <w:r w:rsidR="007B3441">
        <w:t>comprised</w:t>
      </w:r>
      <w:r w:rsidRPr="00866B54">
        <w:t xml:space="preserve"> 6-7% of the three occupational classifications but 12.2% of those with no paid job </w:t>
      </w:r>
      <w:r w:rsidRPr="00866B54">
        <w:fldChar w:fldCharType="begin"/>
      </w:r>
      <w:r w:rsidR="000F4423">
        <w:instrText xml:space="preserve"> ADDIN EN.CITE &lt;EndNote&gt;&lt;Cite&gt;&lt;Author&gt;Lucke&lt;/Author&gt;&lt;Year&gt;2006&lt;/Year&gt;&lt;RecNum&gt;18&lt;/RecNum&gt;&lt;DisplayText&gt;(Lucke, 2006)&lt;/DisplayText&gt;&lt;record&gt;&lt;rec-number&gt;18&lt;/rec-number&gt;&lt;foreign-keys&gt;&lt;key app="EN" db-id="xx2v2zadpfd5z8etd04xdztg9xtdpff2szrs" timestamp="1661775992"&gt;18&lt;/key&gt;&lt;/foreign-keys&gt;&lt;ref-type name="Report"&gt;27&lt;/ref-type&gt;&lt;contributors&gt;&lt;authors&gt;&lt;author&gt;Lucke, J.; Tooth, L.; Hockey, R.; Dobson, A.&lt;/author&gt;&lt;/authors&gt;&lt;subsidiary-authors&gt;&lt;author&gt;Australian Longitudinal Study on Women&amp;apos;s Health&lt;/author&gt;&lt;/subsidiary-authors&gt;&lt;/contributors&gt;&lt;titles&gt;&lt;title&gt;Employed carers in mid-life: Findings from the Australian Longitudinal Study on Women’s Health. &lt;/title&gt;&lt;/titles&gt;&lt;dates&gt;&lt;year&gt;2006&lt;/year&gt;&lt;pub-dates&gt;&lt;date&gt;October 2006&lt;/date&gt;&lt;/pub-dates&gt;&lt;/dates&gt;&lt;work-type&gt;Report&lt;/work-type&gt;&lt;urls&gt;&lt;related-urls&gt;&lt;url&gt;https://alswh.org.au/post-outcomes/employed-carers-in-mid-life-findings-from-the-australian-longitudinal-study-on-womens-health/&lt;/url&gt;&lt;/related-urls&gt;&lt;/urls&gt;&lt;language&gt;English&lt;/language&gt;&lt;/record&gt;&lt;/Cite&gt;&lt;/EndNote&gt;</w:instrText>
      </w:r>
      <w:r w:rsidRPr="00866B54">
        <w:fldChar w:fldCharType="separate"/>
      </w:r>
      <w:r w:rsidR="000F4423">
        <w:rPr>
          <w:noProof/>
        </w:rPr>
        <w:t>(</w:t>
      </w:r>
      <w:hyperlink w:anchor="_ENREF_8" w:tooltip="Lucke, 2006 #18" w:history="1">
        <w:r w:rsidR="000F4423">
          <w:rPr>
            <w:noProof/>
          </w:rPr>
          <w:t>Lucke, 2006</w:t>
        </w:r>
      </w:hyperlink>
      <w:r w:rsidR="000F4423">
        <w:rPr>
          <w:noProof/>
        </w:rPr>
        <w:t>)</w:t>
      </w:r>
      <w:r w:rsidRPr="00866B54">
        <w:fldChar w:fldCharType="end"/>
      </w:r>
      <w:r w:rsidRPr="00866B54">
        <w:t>.</w:t>
      </w:r>
    </w:p>
    <w:p w14:paraId="68A6763C" w14:textId="08453E30" w:rsidR="00CD4A99" w:rsidRPr="009F043B" w:rsidRDefault="00CD4A99" w:rsidP="00273BE2">
      <w:pPr>
        <w:pStyle w:val="BodyText"/>
      </w:pPr>
      <w:r w:rsidRPr="00866B54">
        <w:t xml:space="preserve">Higher status occupations were associated with a higher likelihood of working full-time whilst providing care, with 61% of managers and professionals working full-time compared with 47% of higher skilled workers and 30% of unskilled workers. Unskilled workers were most likely to work part-time (65%) compared with 50% of higher skilled workers and 35% of managers and professionals. No relationship </w:t>
      </w:r>
      <w:r w:rsidR="00565401" w:rsidRPr="00866B54">
        <w:t>was</w:t>
      </w:r>
      <w:r w:rsidRPr="00866B54">
        <w:t xml:space="preserve"> found between </w:t>
      </w:r>
      <w:r w:rsidR="00D44241" w:rsidRPr="00866B54">
        <w:t>caregiving</w:t>
      </w:r>
      <w:r w:rsidRPr="00866B54">
        <w:t xml:space="preserve"> and education levels. However, women who were more educated were more likely </w:t>
      </w:r>
      <w:r w:rsidR="007B3441">
        <w:t>also t</w:t>
      </w:r>
      <w:r w:rsidRPr="00866B54">
        <w:t xml:space="preserve">o work full-time </w:t>
      </w:r>
      <w:r w:rsidRPr="00866B54">
        <w:fldChar w:fldCharType="begin"/>
      </w:r>
      <w:r w:rsidR="000F4423">
        <w:instrText xml:space="preserve"> ADDIN EN.CITE &lt;EndNote&gt;&lt;Cite&gt;&lt;Author&gt;Lucke&lt;/Author&gt;&lt;Year&gt;2006&lt;/Year&gt;&lt;RecNum&gt;18&lt;/RecNum&gt;&lt;DisplayText&gt;(Lucke, 2006)&lt;/DisplayText&gt;&lt;record&gt;&lt;rec-number&gt;18&lt;/rec-number&gt;&lt;foreign-keys&gt;&lt;key app="EN" db-id="xx2v2zadpfd5z8etd04xdztg9xtdpff2szrs" timestamp="1661775992"&gt;18&lt;/key&gt;&lt;/foreign-keys&gt;&lt;ref-type name="Report"&gt;27&lt;/ref-type&gt;&lt;contributors&gt;&lt;authors&gt;&lt;author&gt;Lucke, J.; Tooth, L.; Hockey, R.; Dobson, A.&lt;/author&gt;&lt;/authors&gt;&lt;subsidiary-authors&gt;&lt;author&gt;Australian Longitudinal Study on Women&amp;apos;s Health&lt;/author&gt;&lt;/subsidiary-authors&gt;&lt;/contributors&gt;&lt;titles&gt;&lt;title&gt;Employed carers in mid-life: Findings from the Australian Longitudinal Study on Women’s Health. &lt;/title&gt;&lt;/titles&gt;&lt;dates&gt;&lt;year&gt;2006&lt;/year&gt;&lt;pub-dates&gt;&lt;date&gt;October 2006&lt;/date&gt;&lt;/pub-dates&gt;&lt;/dates&gt;&lt;work-type&gt;Report&lt;/work-type&gt;&lt;urls&gt;&lt;related-urls&gt;&lt;url&gt;https://alswh.org.au/post-outcomes/employed-carers-in-mid-life-findings-from-the-australian-longitudinal-study-on-womens-health/&lt;/url&gt;&lt;/related-urls&gt;&lt;/urls&gt;&lt;language&gt;English&lt;/language&gt;&lt;/record&gt;&lt;/Cite&gt;&lt;/EndNote&gt;</w:instrText>
      </w:r>
      <w:r w:rsidRPr="00866B54">
        <w:fldChar w:fldCharType="separate"/>
      </w:r>
      <w:r w:rsidR="000F4423">
        <w:rPr>
          <w:noProof/>
        </w:rPr>
        <w:t>(</w:t>
      </w:r>
      <w:hyperlink w:anchor="_ENREF_8" w:tooltip="Lucke, 2006 #18" w:history="1">
        <w:r w:rsidR="000F4423">
          <w:rPr>
            <w:noProof/>
          </w:rPr>
          <w:t>Lucke, 2006</w:t>
        </w:r>
      </w:hyperlink>
      <w:r w:rsidR="000F4423">
        <w:rPr>
          <w:noProof/>
        </w:rPr>
        <w:t>)</w:t>
      </w:r>
      <w:r w:rsidRPr="00866B54">
        <w:fldChar w:fldCharType="end"/>
      </w:r>
    </w:p>
    <w:p w14:paraId="04A70DD2" w14:textId="54C21BDD" w:rsidR="00C86FDA" w:rsidRDefault="00C86FDA" w:rsidP="00C86FDA">
      <w:pPr>
        <w:pStyle w:val="Heading3"/>
      </w:pPr>
      <w:bookmarkStart w:id="7" w:name="_Toc113022369"/>
      <w:r>
        <w:t>C</w:t>
      </w:r>
      <w:r w:rsidRPr="00A3371A">
        <w:t>ontinuing labour force participation vs. reducing or stopping work</w:t>
      </w:r>
      <w:bookmarkEnd w:id="7"/>
      <w:r w:rsidRPr="00A3371A">
        <w:t xml:space="preserve"> </w:t>
      </w:r>
    </w:p>
    <w:p w14:paraId="15C61939" w14:textId="6A64D395" w:rsidR="002B60D0" w:rsidRDefault="002B60D0" w:rsidP="00273BE2">
      <w:pPr>
        <w:pStyle w:val="BodyText"/>
      </w:pPr>
      <w:r>
        <w:rPr>
          <w:color w:val="231F20"/>
        </w:rPr>
        <w:t xml:space="preserve">Two analyses have investigated </w:t>
      </w:r>
      <w:r w:rsidRPr="008D5EEE">
        <w:t>the</w:t>
      </w:r>
      <w:r>
        <w:t xml:space="preserve"> </w:t>
      </w:r>
      <w:r w:rsidRPr="008D5EEE">
        <w:t xml:space="preserve">order of events leading to informal caregiving and changes in labour force </w:t>
      </w:r>
      <w:r>
        <w:t>participati</w:t>
      </w:r>
      <w:r w:rsidRPr="008D5EEE">
        <w:t>on</w:t>
      </w:r>
      <w:r>
        <w:t xml:space="preserve"> among</w:t>
      </w:r>
      <w:r w:rsidRPr="008D5EEE">
        <w:t xml:space="preserve"> women</w:t>
      </w:r>
      <w:r>
        <w:t xml:space="preserve"> in the 1946-51 cohort. </w:t>
      </w:r>
    </w:p>
    <w:p w14:paraId="3D3A9115" w14:textId="36217E1F" w:rsidR="00F51A81" w:rsidRDefault="00F51A81" w:rsidP="00273BE2">
      <w:pPr>
        <w:pStyle w:val="BodyText"/>
      </w:pPr>
      <w:r>
        <w:t>Women who started to provide care were more likely to decrease working than women who provided ongoing care between the two surveys (22% vs 18%) or women who stopped caregiving or never provided care (19% and 17%</w:t>
      </w:r>
      <w:r w:rsidR="001B0B19">
        <w:t>,</w:t>
      </w:r>
      <w:r>
        <w:t xml:space="preserve"> respectively). A substantial proportion of these women</w:t>
      </w:r>
      <w:r w:rsidR="001B0B19">
        <w:t xml:space="preserve"> (12%)</w:t>
      </w:r>
      <w:r>
        <w:t xml:space="preserve"> </w:t>
      </w:r>
      <w:r w:rsidR="001B0B19">
        <w:t>started work or increased work hours and started</w:t>
      </w:r>
      <w:r>
        <w:t xml:space="preserve"> car</w:t>
      </w:r>
      <w:r w:rsidR="001B0B19">
        <w:t>egiving</w:t>
      </w:r>
      <w:r>
        <w:t xml:space="preserve"> </w:t>
      </w:r>
      <w:r w:rsidR="00507B7F">
        <w:fldChar w:fldCharType="begin"/>
      </w:r>
      <w:r w:rsidR="000F4423">
        <w:instrText xml:space="preserve"> ADDIN EN.CITE &lt;EndNote&gt;&lt;Cite&gt;&lt;Author&gt;Berecki&lt;/Author&gt;&lt;Year&gt;2007&lt;/Year&gt;&lt;RecNum&gt;19&lt;/RecNum&gt;&lt;DisplayText&gt;(Berecki, 2007)&lt;/DisplayText&gt;&lt;record&gt;&lt;rec-number&gt;19&lt;/rec-number&gt;&lt;foreign-keys&gt;&lt;key app="EN" db-id="xx2v2zadpfd5z8etd04xdztg9xtdpff2szrs" timestamp="1661782346"&gt;19&lt;/key&gt;&lt;/foreign-keys&gt;&lt;ref-type name="Report"&gt;27&lt;/ref-type&gt;&lt;contributors&gt;&lt;authors&gt;&lt;author&gt;Berecki, J.; Lucke, J.; Hockey, R.; Dobson A.&lt;/author&gt;&lt;/authors&gt;&lt;/contributors&gt;&lt;titles&gt;&lt;title&gt;Changes in Caring Roles and Employment in Mid-Life: Findings from the Australian Longitudinal Study on Women’s Health&lt;/title&gt;&lt;/titles&gt;&lt;dates&gt;&lt;year&gt;2007&lt;/year&gt;&lt;pub-dates&gt;&lt;date&gt;July 2007&lt;/date&gt;&lt;/pub-dates&gt;&lt;/dates&gt;&lt;urls&gt;&lt;related-urls&gt;&lt;url&gt;https://alswh.org.au/post-outcomes/changes-in-caring-roles-and-employment-in-mid-life-findings-from-the-australian-longitudinal-study-on-womens-health/&lt;/url&gt;&lt;/related-urls&gt;&lt;/urls&gt;&lt;/record&gt;&lt;/Cite&gt;&lt;/EndNote&gt;</w:instrText>
      </w:r>
      <w:r w:rsidR="00507B7F">
        <w:fldChar w:fldCharType="separate"/>
      </w:r>
      <w:r w:rsidR="000F4423">
        <w:rPr>
          <w:noProof/>
        </w:rPr>
        <w:t>(</w:t>
      </w:r>
      <w:hyperlink w:anchor="_ENREF_2" w:tooltip="Berecki, 2007 #19" w:history="1">
        <w:r w:rsidR="000F4423">
          <w:rPr>
            <w:noProof/>
          </w:rPr>
          <w:t>Berecki, 2007</w:t>
        </w:r>
      </w:hyperlink>
      <w:r w:rsidR="000F4423">
        <w:rPr>
          <w:noProof/>
        </w:rPr>
        <w:t>)</w:t>
      </w:r>
      <w:r w:rsidR="00507B7F">
        <w:fldChar w:fldCharType="end"/>
      </w:r>
      <w:r w:rsidR="00C86FDA">
        <w:t xml:space="preserve">. </w:t>
      </w:r>
    </w:p>
    <w:p w14:paraId="6C1AEEB0" w14:textId="7CC63BDF" w:rsidR="002B60D0" w:rsidRPr="00F51A81" w:rsidRDefault="00004583" w:rsidP="00273BE2">
      <w:pPr>
        <w:pStyle w:val="BodyText"/>
      </w:pPr>
      <w:r w:rsidRPr="005E6CF8">
        <w:t>In mid-aged women, taking on a caring role appeared to accelerate the women</w:t>
      </w:r>
      <w:r w:rsidR="001B0B19">
        <w:t>’</w:t>
      </w:r>
      <w:r w:rsidRPr="005E6CF8">
        <w:t>s departure from the workforce. Overall, women</w:t>
      </w:r>
      <w:r w:rsidR="001B0B19">
        <w:t>’</w:t>
      </w:r>
      <w:r w:rsidRPr="005E6CF8">
        <w:t xml:space="preserve">s employment levels decreased in their 50s. </w:t>
      </w:r>
      <w:r w:rsidR="00F51A81" w:rsidRPr="008D5EEE">
        <w:t xml:space="preserve">Between </w:t>
      </w:r>
      <w:r w:rsidR="00F51A81">
        <w:t>the surveys</w:t>
      </w:r>
      <w:r w:rsidR="00F51A81" w:rsidRPr="008D5EEE">
        <w:t xml:space="preserve">, the </w:t>
      </w:r>
      <w:r w:rsidR="00F51A81">
        <w:t>percentage</w:t>
      </w:r>
      <w:r w:rsidR="00F51A81" w:rsidRPr="008D5EEE">
        <w:t xml:space="preserve"> of women </w:t>
      </w:r>
      <w:r w:rsidR="00F51A81">
        <w:t xml:space="preserve">providing care </w:t>
      </w:r>
      <w:r w:rsidR="00F51A81" w:rsidRPr="008D5EEE">
        <w:t>increased from 12 to 14%</w:t>
      </w:r>
      <w:r w:rsidR="00F51A81">
        <w:t>, while p</w:t>
      </w:r>
      <w:r w:rsidR="00F51A81" w:rsidRPr="008D5EEE">
        <w:t>aid employment participation</w:t>
      </w:r>
      <w:r w:rsidR="00F51A81">
        <w:t xml:space="preserve"> </w:t>
      </w:r>
      <w:r w:rsidR="00F51A81" w:rsidRPr="008D5EEE">
        <w:t xml:space="preserve">decreased from 67 to 62%. </w:t>
      </w:r>
      <w:r w:rsidR="00F51A81">
        <w:t>The r</w:t>
      </w:r>
      <w:r w:rsidRPr="005E6CF8">
        <w:t xml:space="preserve">esearchers found that mid-age women were not </w:t>
      </w:r>
      <w:r w:rsidR="00D44241" w:rsidRPr="005E6CF8">
        <w:t>self-selecting</w:t>
      </w:r>
      <w:r w:rsidRPr="005E6CF8">
        <w:t xml:space="preserve"> into caring roles because they worked fewer hours.</w:t>
      </w:r>
      <w:r w:rsidR="00F51A81" w:rsidRPr="00F51A81">
        <w:t xml:space="preserve"> </w:t>
      </w:r>
      <w:r w:rsidR="00F51A81">
        <w:t>T</w:t>
      </w:r>
      <w:r w:rsidR="00F51A81" w:rsidRPr="008D5EEE">
        <w:t>ransition</w:t>
      </w:r>
      <w:r w:rsidR="00F51A81">
        <w:t>ing</w:t>
      </w:r>
      <w:r w:rsidR="00F51A81" w:rsidRPr="008D5EEE">
        <w:t xml:space="preserve"> into caregiving </w:t>
      </w:r>
      <w:r w:rsidR="00F51A81">
        <w:t>at Survey 4 was not associated with how many hours women had spent in paid employment at Survey 3.</w:t>
      </w:r>
      <w:r w:rsidRPr="005E6CF8">
        <w:t xml:space="preserve"> </w:t>
      </w:r>
      <w:r w:rsidR="007B3441">
        <w:t>Instead</w:t>
      </w:r>
      <w:r w:rsidRPr="005E6CF8">
        <w:t>, taking up caring was associated with a subsequent decrease in women</w:t>
      </w:r>
      <w:r w:rsidR="001B0B19">
        <w:t>’</w:t>
      </w:r>
      <w:r w:rsidRPr="005E6CF8">
        <w:t>s labour force participation</w:t>
      </w:r>
      <w:r w:rsidR="00F51A81">
        <w:t xml:space="preserve">. </w:t>
      </w:r>
      <w:r w:rsidR="005E6CF8" w:rsidRPr="00F51A81">
        <w:t xml:space="preserve">The authors concluded that policies to support continuing labour force participation during caregiving could include creating flexible working arrangements </w:t>
      </w:r>
      <w:r w:rsidR="005E6CF8" w:rsidRPr="00F51A81">
        <w:fldChar w:fldCharType="begin"/>
      </w:r>
      <w:r w:rsidR="000F4423">
        <w:instrText xml:space="preserve"> ADDIN EN.CITE &lt;EndNote&gt;&lt;Cite&gt;&lt;Author&gt;Berecki-Gisolf&lt;/Author&gt;&lt;Year&gt;2008&lt;/Year&gt;&lt;RecNum&gt;10&lt;/RecNum&gt;&lt;DisplayText&gt;(Berecki-Gisolf et al., 2008)&lt;/DisplayText&gt;&lt;record&gt;&lt;rec-number&gt;10&lt;/rec-number&gt;&lt;foreign-keys&gt;&lt;key app="EN" db-id="xx2v2zadpfd5z8etd04xdztg9xtdpff2szrs" timestamp="1661132651"&gt;10&lt;/key&gt;&lt;/foreign-keys&gt;&lt;ref-type name="Journal Article"&gt;17&lt;/ref-type&gt;&lt;contributors&gt;&lt;authors&gt;&lt;author&gt;Berecki-Gisolf, J.&lt;/author&gt;&lt;author&gt;Lucke, J.&lt;/author&gt;&lt;author&gt;Hockey, R.&lt;/author&gt;&lt;author&gt;Dobson, A.&lt;/author&gt;&lt;/authors&gt;&lt;/contributors&gt;&lt;titles&gt;&lt;title&gt;Transitions into informal caregiving and out of paid employment of women in their 50&amp;apos;s&lt;/title&gt;&lt;secondary-title&gt;Social science &amp;amp; medicine&lt;/secondary-title&gt;&lt;/titles&gt;&lt;periodical&gt;&lt;full-title&gt;Social science &amp;amp; medicine&lt;/full-title&gt;&lt;/periodical&gt;&lt;pages&gt;122-127&lt;/pages&gt;&lt;volume&gt;67&lt;/volume&gt;&lt;keywords&gt;&lt;keyword&gt;Australia&lt;/keyword&gt;&lt;keyword&gt;Informal care&lt;/keyword&gt;&lt;keyword&gt;Work&lt;/keyword&gt;&lt;keyword&gt;Labour&lt;/keyword&gt;&lt;keyword&gt;Policy&lt;/keyword&gt;&lt;keyword&gt;Women&lt;/keyword&gt;&lt;keyword&gt;Middle age&lt;/keyword&gt;&lt;/keywords&gt;&lt;dates&gt;&lt;year&gt;2008&lt;/year&gt;&lt;/dates&gt;&lt;urls&gt;&lt;/urls&gt;&lt;/record&gt;&lt;/Cite&gt;&lt;/EndNote&gt;</w:instrText>
      </w:r>
      <w:r w:rsidR="005E6CF8" w:rsidRPr="00F51A81">
        <w:fldChar w:fldCharType="separate"/>
      </w:r>
      <w:r w:rsidR="000F4423">
        <w:rPr>
          <w:noProof/>
        </w:rPr>
        <w:t>(</w:t>
      </w:r>
      <w:hyperlink w:anchor="_ENREF_1" w:tooltip="Berecki-Gisolf, 2008 #10" w:history="1">
        <w:r w:rsidR="000F4423">
          <w:rPr>
            <w:noProof/>
          </w:rPr>
          <w:t>Berecki-Gisolf et al., 2008</w:t>
        </w:r>
      </w:hyperlink>
      <w:r w:rsidR="000F4423">
        <w:rPr>
          <w:noProof/>
        </w:rPr>
        <w:t>)</w:t>
      </w:r>
      <w:r w:rsidR="005E6CF8" w:rsidRPr="00F51A81">
        <w:fldChar w:fldCharType="end"/>
      </w:r>
      <w:r w:rsidR="005E6CF8" w:rsidRPr="00F51A81">
        <w:t xml:space="preserve">. </w:t>
      </w:r>
    </w:p>
    <w:p w14:paraId="03A1DF55" w14:textId="74016E7B" w:rsidR="00F51A81" w:rsidRDefault="00F51A81" w:rsidP="00273BE2">
      <w:pPr>
        <w:pStyle w:val="BodyText"/>
      </w:pPr>
    </w:p>
    <w:p w14:paraId="75F86422" w14:textId="5133EB25" w:rsidR="00F51A81" w:rsidRPr="00F51A81" w:rsidRDefault="00F51A81" w:rsidP="00273BE2">
      <w:pPr>
        <w:pStyle w:val="BodyText"/>
      </w:pPr>
      <w:r w:rsidRPr="000B6088">
        <w:rPr>
          <w:rFonts w:cstheme="minorHAnsi"/>
          <w:noProof/>
          <w:color w:val="000000" w:themeColor="text1"/>
          <w:szCs w:val="20"/>
          <w:lang w:val="en-GB" w:eastAsia="en-GB"/>
        </w:rPr>
        <w:lastRenderedPageBreak/>
        <mc:AlternateContent>
          <mc:Choice Requires="wps">
            <w:drawing>
              <wp:inline distT="0" distB="0" distL="0" distR="0" wp14:anchorId="4FD0C2DB" wp14:editId="5069EDE8">
                <wp:extent cx="5759450" cy="1786255"/>
                <wp:effectExtent l="0" t="0" r="12700" b="23495"/>
                <wp:docPr id="11" name="Text Box 11"/>
                <wp:cNvGraphicFramePr/>
                <a:graphic xmlns:a="http://schemas.openxmlformats.org/drawingml/2006/main">
                  <a:graphicData uri="http://schemas.microsoft.com/office/word/2010/wordprocessingShape">
                    <wps:wsp>
                      <wps:cNvSpPr txBox="1"/>
                      <wps:spPr>
                        <a:xfrm>
                          <a:off x="0" y="0"/>
                          <a:ext cx="5759450" cy="1786255"/>
                        </a:xfrm>
                        <a:prstGeom prst="rect">
                          <a:avLst/>
                        </a:prstGeom>
                        <a:solidFill>
                          <a:schemeClr val="accent2"/>
                        </a:solidFill>
                        <a:ln w="3175">
                          <a:solidFill>
                            <a:srgbClr val="D7D1CC"/>
                          </a:solidFill>
                        </a:ln>
                        <a:effectLst/>
                      </wps:spPr>
                      <wps:style>
                        <a:lnRef idx="0">
                          <a:schemeClr val="accent1"/>
                        </a:lnRef>
                        <a:fillRef idx="0">
                          <a:schemeClr val="accent1"/>
                        </a:fillRef>
                        <a:effectRef idx="0">
                          <a:schemeClr val="accent1"/>
                        </a:effectRef>
                        <a:fontRef idx="minor">
                          <a:schemeClr val="dk1"/>
                        </a:fontRef>
                      </wps:style>
                      <wps:txbx>
                        <w:txbxContent>
                          <w:p w14:paraId="55266B81" w14:textId="77777777" w:rsidR="00F51A81" w:rsidRPr="000B6088" w:rsidRDefault="00F51A81" w:rsidP="00F51A81">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3DF71725" w14:textId="70540303" w:rsidR="00726BD4" w:rsidRPr="00901358" w:rsidRDefault="00726BD4" w:rsidP="00726BD4">
                            <w:pPr>
                              <w:pStyle w:val="ListParagraph0"/>
                              <w:numPr>
                                <w:ilvl w:val="0"/>
                                <w:numId w:val="19"/>
                              </w:numPr>
                            </w:pPr>
                            <w:r>
                              <w:t xml:space="preserve">In addition to unpaid leave entitlements, flexibible working arrangmeents would enhance the ability of caregivers to continue participating in the workforce – for example greater availability and acceptance of part-time work, flexible hours, and job sharing. </w:t>
                            </w:r>
                          </w:p>
                          <w:p w14:paraId="65E0516C" w14:textId="1DCE7301" w:rsidR="00F51A81" w:rsidRPr="00901358" w:rsidRDefault="00726BD4" w:rsidP="00F51A81">
                            <w:pPr>
                              <w:pStyle w:val="ListParagraph0"/>
                              <w:numPr>
                                <w:ilvl w:val="0"/>
                                <w:numId w:val="19"/>
                              </w:numPr>
                            </w:pPr>
                            <w:r>
                              <w:t>Carers need the flexibility to take leave in a block, or spread across an extended period to support their ability to maintain part-time employment.</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spAutoFit/>
                      </wps:bodyPr>
                    </wps:wsp>
                  </a:graphicData>
                </a:graphic>
              </wp:inline>
            </w:drawing>
          </mc:Choice>
          <mc:Fallback xmlns:oel="http://schemas.microsoft.com/office/2019/extlst">
            <w:pict>
              <v:shapetype w14:anchorId="4FD0C2DB" id="_x0000_t202" coordsize="21600,21600" o:spt="202" path="m,l,21600r21600,l21600,xe">
                <v:stroke joinstyle="miter"/>
                <v:path gradientshapeok="t" o:connecttype="rect"/>
              </v:shapetype>
              <v:shape id="Text Box 11" o:spid="_x0000_s1026" type="#_x0000_t202" style="width:453.5pt;height:14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MjwgAIAAJMFAAAOAAAAZHJzL2Uyb0RvYy54bWysVEtvGjEQvlfqf7B8b5alISQoS0RBVJWi&#10;JCqpcjZeG6x6Pa5t2KW/PmPv8kjSHlKVgxnvfJ7HN4/rm6bSZCucV2AKmp/1KBGGQ6nMqqA/Huef&#10;LinxgZmSaTCioDvh6c3444fr2o5EH9agS+EIGjF+VNuCrkOwoyzzfC0q5s/ACoNKCa5iAa9ulZWO&#10;1Wi90lm/17vIanCldcCF9/h11irpONmXUvBwL6UXgeiCYmwhnS6dy3hm42s2Wjlm14p3YbB/iKJi&#10;yqDTg6kZC4xsnHpjqlLcgQcZzjhUGUipuEg5YDZ571U2izWzIuWC5Hh7oMn/P7P8bruwD46E5gs0&#10;WMBISG39yOPHmE8jXRX/MVKCeqRwd6BNNIFw/DgYDq7OB6jiqMuHlxf9wSDayY7PrfPhq4CKRKGg&#10;DuuS6GLbWx9a6B4SvXnQqpwrrdMl9oKYake2DKvIOBcm9DsHL5DakLqgn/PhIBl/ofNutTzYmA1n&#10;+XT61gRGrE30KVLrdLEd+UhS2GkRMdp8F5KoMtHy10ATo8kuoiNKYlrvedjhj1G953Gbx94zmHB4&#10;XCkDrqXpJb/lz33IssVjIU/yjmJolk3XJ0sod9g+DtrJ8pbPFZb4lvnwwByOErYFrodwj4fUgOWB&#10;TqJkDe73n75HPHY4aimpcTQL6n9tmBOU6G8Ge/8qPz+Ps9xeevijxJ1qlqcas6mmgH2T4yKyPIkR&#10;H/RelA6qJ9wik+gVVcxw9F3QsBenoV0YuIW4mEwSCKfXsnBrFpZH07E6sYEfmyfmbNflAQfkDvZD&#10;zEavmr3Fpsaxk02AuUqTEAluWe2Ix8lPs9RtqbhaTu8Jddyl42cAAAD//wMAUEsDBBQABgAIAAAA&#10;IQBKrNP42gAAAAUBAAAPAAAAZHJzL2Rvd25yZXYueG1sTI9PS8NAEMXvgt9hGcGb3bRCrTGbImJh&#10;D16MgtdJdpqN7p+Q3bbpt3f0opcHjze895tqO3snjjSlIQYFy0UBgkIXzRB6Be9vu5sNiJQxGHQx&#10;kIIzJdjWlxcVliaewisdm9wLLgmpRAU257GUMnWWPKZFHClwto+Tx8x26qWZ8MTl3slVUaylxyHw&#10;gsWRnix1X83BK3CtfZnoQ+8HXD973ez0pz5rpa6v5scHEJnm/HcMP/iMDjUztfEQTBJOAT+Sf5Wz&#10;++KObatgtVnegqwr+Z++/gYAAP//AwBQSwECLQAUAAYACAAAACEAtoM4kv4AAADhAQAAEwAAAAAA&#10;AAAAAAAAAAAAAAAAW0NvbnRlbnRfVHlwZXNdLnhtbFBLAQItABQABgAIAAAAIQA4/SH/1gAAAJQB&#10;AAALAAAAAAAAAAAAAAAAAC8BAABfcmVscy8ucmVsc1BLAQItABQABgAIAAAAIQD9HMjwgAIAAJMF&#10;AAAOAAAAAAAAAAAAAAAAAC4CAABkcnMvZTJvRG9jLnhtbFBLAQItABQABgAIAAAAIQBKrNP42gAA&#10;AAUBAAAPAAAAAAAAAAAAAAAAANoEAABkcnMvZG93bnJldi54bWxQSwUGAAAAAAQABADzAAAA4QUA&#10;AAAA&#10;" fillcolor="#bad8d4 [3205]" strokecolor="#d7d1cc" strokeweight=".25pt">
                <v:textbox style="mso-fit-shape-to-text:t" inset=",2.5mm,,2.5mm">
                  <w:txbxContent>
                    <w:p w14:paraId="55266B81" w14:textId="77777777" w:rsidR="00F51A81" w:rsidRPr="000B6088" w:rsidRDefault="00F51A81" w:rsidP="00F51A81">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3DF71725" w14:textId="70540303" w:rsidR="00726BD4" w:rsidRPr="00901358" w:rsidRDefault="00726BD4" w:rsidP="00726BD4">
                      <w:pPr>
                        <w:pStyle w:val="ListParagraph0"/>
                        <w:numPr>
                          <w:ilvl w:val="0"/>
                          <w:numId w:val="19"/>
                        </w:numPr>
                      </w:pPr>
                      <w:r>
                        <w:t xml:space="preserve">In addition to unpaid leave entitlements, flexibible working arrangmeents would enhance the ability of caregivers to continue participating in the workforce – for example greater availability and acceptance of part-time work, flexible hours, and job sharing. </w:t>
                      </w:r>
                    </w:p>
                    <w:p w14:paraId="65E0516C" w14:textId="1DCE7301" w:rsidR="00F51A81" w:rsidRPr="00901358" w:rsidRDefault="00726BD4" w:rsidP="00F51A81">
                      <w:pPr>
                        <w:pStyle w:val="ListParagraph0"/>
                        <w:numPr>
                          <w:ilvl w:val="0"/>
                          <w:numId w:val="19"/>
                        </w:numPr>
                      </w:pPr>
                      <w:r>
                        <w:t>Carers need the flexibility to take leave in a block, or spread across an extended period to support their ability to maintain part-time employment.</w:t>
                      </w:r>
                    </w:p>
                  </w:txbxContent>
                </v:textbox>
                <w10:anchorlock/>
              </v:shape>
            </w:pict>
          </mc:Fallback>
        </mc:AlternateContent>
      </w:r>
    </w:p>
    <w:p w14:paraId="5E8A1A38" w14:textId="77777777" w:rsidR="00F8295B" w:rsidRDefault="00F8295B" w:rsidP="00273BE2">
      <w:pPr>
        <w:pStyle w:val="BodyText"/>
      </w:pPr>
    </w:p>
    <w:p w14:paraId="27CB3BD9" w14:textId="63F35785" w:rsidR="00DB5995" w:rsidRPr="00DB5995" w:rsidRDefault="00F8295B" w:rsidP="00DB5995">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F8295B">
        <w:rPr>
          <w:i/>
          <w:iCs/>
        </w:rPr>
        <w:t>How often is this a planned decision versus an impromptu decision triggered by an emergency?</w:t>
      </w:r>
    </w:p>
    <w:p w14:paraId="236CEC6B" w14:textId="1BB91E47" w:rsidR="002B60D0" w:rsidRDefault="002B60D0" w:rsidP="002B60D0">
      <w:pPr>
        <w:pStyle w:val="Heading3"/>
      </w:pPr>
      <w:bookmarkStart w:id="8" w:name="_Toc113022370"/>
      <w:r>
        <w:t>Planned vs</w:t>
      </w:r>
      <w:r w:rsidR="00C40D08">
        <w:t>.</w:t>
      </w:r>
      <w:r>
        <w:t xml:space="preserve"> sudden care requirements</w:t>
      </w:r>
      <w:bookmarkEnd w:id="8"/>
    </w:p>
    <w:p w14:paraId="1852DA18" w14:textId="561D2016" w:rsidR="00502D4B" w:rsidRDefault="00C40D08" w:rsidP="00273BE2">
      <w:pPr>
        <w:pStyle w:val="BodyText"/>
      </w:pPr>
      <w:r>
        <w:t>In 2007, the</w:t>
      </w:r>
      <w:r w:rsidR="0001025F">
        <w:t xml:space="preserve"> </w:t>
      </w:r>
      <w:r w:rsidR="007239C6">
        <w:t xml:space="preserve">Commonwealth Government </w:t>
      </w:r>
      <w:r w:rsidR="00D44241">
        <w:t>commissioned</w:t>
      </w:r>
      <w:r w:rsidR="007239C6">
        <w:t xml:space="preserve"> </w:t>
      </w:r>
      <w:r>
        <w:t xml:space="preserve">the ALSWH to conduct a </w:t>
      </w:r>
      <w:proofErr w:type="spellStart"/>
      <w:r w:rsidR="007239C6">
        <w:t>substudy</w:t>
      </w:r>
      <w:proofErr w:type="spellEnd"/>
      <w:r w:rsidR="007239C6">
        <w:t xml:space="preserve"> investigat</w:t>
      </w:r>
      <w:r>
        <w:t>ing</w:t>
      </w:r>
      <w:r w:rsidR="007239C6">
        <w:t xml:space="preserve"> caregiving </w:t>
      </w:r>
      <w:r w:rsidR="00D44241">
        <w:t>transitions</w:t>
      </w:r>
      <w:r w:rsidR="007239C6">
        <w:t xml:space="preserve"> </w:t>
      </w:r>
      <w:r w:rsidR="00042A3F">
        <w:t>among 355 women aged 56-61</w:t>
      </w:r>
      <w:r>
        <w:t xml:space="preserve">. The women included in the </w:t>
      </w:r>
      <w:proofErr w:type="spellStart"/>
      <w:r>
        <w:t>substudy</w:t>
      </w:r>
      <w:proofErr w:type="spellEnd"/>
      <w:r>
        <w:t xml:space="preserve"> were</w:t>
      </w:r>
      <w:r w:rsidR="00042A3F">
        <w:t xml:space="preserve"> from</w:t>
      </w:r>
      <w:r w:rsidR="007239C6">
        <w:t xml:space="preserve"> the </w:t>
      </w:r>
      <w:r w:rsidR="0001025F">
        <w:t xml:space="preserve">ALSWH 1946-51 </w:t>
      </w:r>
      <w:r w:rsidR="00042A3F">
        <w:t>pilot group.</w:t>
      </w:r>
    </w:p>
    <w:p w14:paraId="2DC830D8" w14:textId="44EB19F9" w:rsidR="00FD650E" w:rsidRDefault="007239C6" w:rsidP="00273BE2">
      <w:pPr>
        <w:pStyle w:val="BodyText"/>
      </w:pPr>
      <w:r>
        <w:t>The research showed</w:t>
      </w:r>
      <w:r w:rsidR="0001025F">
        <w:t xml:space="preserve"> that</w:t>
      </w:r>
      <w:r w:rsidR="00FD650E">
        <w:t xml:space="preserve"> 67% of live-in carers and 54% of carers who lived elsewhere reported a gradual transition into caring rather than a sudden change or other situation</w:t>
      </w:r>
      <w:r w:rsidR="00502D4B">
        <w:t>.</w:t>
      </w:r>
      <w:r w:rsidR="00FD650E">
        <w:t xml:space="preserve"> </w:t>
      </w:r>
    </w:p>
    <w:p w14:paraId="15DC4A6A" w14:textId="458F2CE0" w:rsidR="000D5448" w:rsidRDefault="00FD650E" w:rsidP="00273BE2">
      <w:pPr>
        <w:pStyle w:val="BodyText"/>
      </w:pPr>
      <w:r>
        <w:t xml:space="preserve">The intensity of care needed also provides insight into the circumstances in which participants in the </w:t>
      </w:r>
      <w:proofErr w:type="spellStart"/>
      <w:r>
        <w:t>substudy</w:t>
      </w:r>
      <w:proofErr w:type="spellEnd"/>
      <w:r>
        <w:t xml:space="preserve"> bec</w:t>
      </w:r>
      <w:r w:rsidR="00C40D08">
        <w:t>a</w:t>
      </w:r>
      <w:r>
        <w:t xml:space="preserve">me carers. The intensity of care </w:t>
      </w:r>
      <w:r w:rsidR="00C40D08">
        <w:t xml:space="preserve">measure used in the </w:t>
      </w:r>
      <w:proofErr w:type="spellStart"/>
      <w:r w:rsidR="00C40D08">
        <w:t>substudy</w:t>
      </w:r>
      <w:proofErr w:type="spellEnd"/>
      <w:r w:rsidR="00C40D08">
        <w:t xml:space="preserve"> was </w:t>
      </w:r>
      <w:r>
        <w:t xml:space="preserve">divided into high, medium and low categories. </w:t>
      </w:r>
      <w:r w:rsidR="00D44241">
        <w:t>These</w:t>
      </w:r>
      <w:r>
        <w:t xml:space="preserve"> are defined in Table 1. </w:t>
      </w:r>
      <w:r w:rsidR="000D5448">
        <w:t>There was a trend for carers in the high (28%) and medium care index (34%) groups to be more likely to make a sudden change into caring compared to carers with a low care index (6%). The majority of carers with a low care index (89%) made a gradual transition into caring</w:t>
      </w:r>
      <w:r w:rsidR="004206F4">
        <w:t xml:space="preserve"> </w:t>
      </w:r>
      <w:r w:rsidR="004206F4">
        <w:fldChar w:fldCharType="begin"/>
      </w:r>
      <w:r w:rsidR="000F4423">
        <w:instrText xml:space="preserve"> ADDIN EN.CITE &lt;EndNote&gt;&lt;Cite&gt;&lt;Author&gt;McKenzie S&lt;/Author&gt;&lt;Year&gt;2009&lt;/Year&gt;&lt;RecNum&gt;17&lt;/RecNum&gt;&lt;DisplayText&gt;(McKenzie S, 2009)&lt;/DisplayText&gt;&lt;record&gt;&lt;rec-number&gt;17&lt;/rec-number&gt;&lt;foreign-keys&gt;&lt;key app="EN" db-id="xx2v2zadpfd5z8etd04xdztg9xtdpff2szrs" timestamp="1661772826"&gt;17&lt;/key&gt;&lt;/foreign-keys&gt;&lt;ref-type name="Report"&gt;27&lt;/ref-type&gt;&lt;contributors&gt;&lt;authors&gt;&lt;author&gt;McKenzie S, Tooth L, Lucke J &amp;amp; Dobson A. &lt;/author&gt;&lt;/authors&gt;&lt;subsidiary-authors&gt;&lt;author&gt; Report prepared for Australian Government Department of Health &amp;amp; Ageing&lt;/author&gt;&lt;/subsidiary-authors&gt;&lt;/contributors&gt;&lt;titles&gt;&lt;title&gt;Caring and use of services in women born between 1946 and 1951: Findings from the Australian Longitudinal Study on Women’s Health.&lt;/title&gt;&lt;/titles&gt;&lt;dates&gt;&lt;year&gt;2009&lt;/year&gt;&lt;pub-dates&gt;&lt;date&gt;January, 2009&lt;/date&gt;&lt;/pub-dates&gt;&lt;/dates&gt;&lt;work-type&gt;Report&lt;/work-type&gt;&lt;urls&gt;&lt;related-urls&gt;&lt;url&gt;https://alswh.org.au/post-outcomes/caring-and-use-of-services-in-women-born-between-1946-and-1951-findings-from-the-australian-longitudinal-study-on-womens-health/&lt;/url&gt;&lt;/related-urls&gt;&lt;/urls&gt;&lt;language&gt;English&lt;/language&gt;&lt;/record&gt;&lt;/Cite&gt;&lt;/EndNote&gt;</w:instrText>
      </w:r>
      <w:r w:rsidR="004206F4">
        <w:fldChar w:fldCharType="separate"/>
      </w:r>
      <w:r w:rsidR="000F4423">
        <w:rPr>
          <w:noProof/>
        </w:rPr>
        <w:t>(</w:t>
      </w:r>
      <w:hyperlink w:anchor="_ENREF_9" w:tooltip="McKenzie S, 2009 #17" w:history="1">
        <w:r w:rsidR="000F4423">
          <w:rPr>
            <w:noProof/>
          </w:rPr>
          <w:t>McKenzie S, 2009</w:t>
        </w:r>
      </w:hyperlink>
      <w:r w:rsidR="000F4423">
        <w:rPr>
          <w:noProof/>
        </w:rPr>
        <w:t>)</w:t>
      </w:r>
      <w:r w:rsidR="004206F4">
        <w:fldChar w:fldCharType="end"/>
      </w:r>
      <w:r w:rsidR="000D5448">
        <w:t xml:space="preserve">. </w:t>
      </w:r>
    </w:p>
    <w:p w14:paraId="28395E80" w14:textId="05FD6C21" w:rsidR="00FD650E" w:rsidRDefault="00FD650E" w:rsidP="00273BE2">
      <w:pPr>
        <w:pStyle w:val="BodyText"/>
      </w:pPr>
    </w:p>
    <w:p w14:paraId="2D263636" w14:textId="0F192AEA" w:rsidR="00FD650E" w:rsidRDefault="00FD650E" w:rsidP="00FD650E">
      <w:pPr>
        <w:pStyle w:val="TableHeading"/>
      </w:pPr>
      <w:r>
        <w:t>Table 1: Caregiving intensity index</w:t>
      </w:r>
    </w:p>
    <w:tbl>
      <w:tblPr>
        <w:tblStyle w:val="ListTable3-Accent4"/>
        <w:tblW w:w="0" w:type="auto"/>
        <w:tblBorders>
          <w:top w:val="single" w:sz="4" w:space="0" w:color="652D86"/>
          <w:left w:val="single" w:sz="4" w:space="0" w:color="652D86"/>
          <w:bottom w:val="single" w:sz="4" w:space="0" w:color="652D86"/>
          <w:right w:val="single" w:sz="4" w:space="0" w:color="652D86"/>
          <w:insideH w:val="single" w:sz="4" w:space="0" w:color="652D86"/>
          <w:insideV w:val="single" w:sz="4" w:space="0" w:color="652D86"/>
        </w:tblBorders>
        <w:tblLook w:val="0680" w:firstRow="0" w:lastRow="0" w:firstColumn="1" w:lastColumn="0" w:noHBand="1" w:noVBand="1"/>
      </w:tblPr>
      <w:tblGrid>
        <w:gridCol w:w="2342"/>
        <w:gridCol w:w="6718"/>
      </w:tblGrid>
      <w:tr w:rsidR="00FD650E" w14:paraId="01D75B55" w14:textId="77777777" w:rsidTr="00FD650E">
        <w:tc>
          <w:tcPr>
            <w:cnfStyle w:val="001000000000" w:firstRow="0" w:lastRow="0" w:firstColumn="1" w:lastColumn="0" w:oddVBand="0" w:evenVBand="0" w:oddHBand="0" w:evenHBand="0" w:firstRowFirstColumn="0" w:firstRowLastColumn="0" w:lastRowFirstColumn="0" w:lastRowLastColumn="0"/>
            <w:tcW w:w="2376" w:type="dxa"/>
            <w:tcBorders>
              <w:right w:val="none" w:sz="0" w:space="0" w:color="auto"/>
            </w:tcBorders>
          </w:tcPr>
          <w:p w14:paraId="587C0F98" w14:textId="77777777" w:rsidR="00FD650E" w:rsidRPr="009E1059" w:rsidRDefault="00FD650E" w:rsidP="00EB53F2">
            <w:pPr>
              <w:pStyle w:val="PlainText"/>
              <w:spacing w:line="276" w:lineRule="auto"/>
            </w:pPr>
            <w:r w:rsidRPr="009E1059">
              <w:t>Low</w:t>
            </w:r>
          </w:p>
        </w:tc>
        <w:tc>
          <w:tcPr>
            <w:tcW w:w="6866" w:type="dxa"/>
          </w:tcPr>
          <w:p w14:paraId="2A6F1076" w14:textId="77777777" w:rsidR="00FD650E" w:rsidRDefault="00FD650E" w:rsidP="00EB53F2">
            <w:pPr>
              <w:pStyle w:val="PlainText"/>
              <w:spacing w:line="276" w:lineRule="auto"/>
              <w:cnfStyle w:val="000000000000" w:firstRow="0" w:lastRow="0" w:firstColumn="0" w:lastColumn="0" w:oddVBand="0" w:evenVBand="0" w:oddHBand="0" w:evenHBand="0" w:firstRowFirstColumn="0" w:firstRowLastColumn="0" w:lastRowFirstColumn="0" w:lastRowLastColumn="0"/>
            </w:pPr>
            <w:r>
              <w:t>Caregiving once per week for one hour at a time; or caregiving every few weeks for several hours at a time</w:t>
            </w:r>
          </w:p>
        </w:tc>
      </w:tr>
      <w:tr w:rsidR="00FD650E" w14:paraId="294D6D3D" w14:textId="77777777" w:rsidTr="00FD650E">
        <w:tc>
          <w:tcPr>
            <w:cnfStyle w:val="001000000000" w:firstRow="0" w:lastRow="0" w:firstColumn="1" w:lastColumn="0" w:oddVBand="0" w:evenVBand="0" w:oddHBand="0" w:evenHBand="0" w:firstRowFirstColumn="0" w:firstRowLastColumn="0" w:lastRowFirstColumn="0" w:lastRowLastColumn="0"/>
            <w:tcW w:w="2376" w:type="dxa"/>
            <w:tcBorders>
              <w:right w:val="none" w:sz="0" w:space="0" w:color="auto"/>
            </w:tcBorders>
          </w:tcPr>
          <w:p w14:paraId="3DD784E6" w14:textId="77777777" w:rsidR="00FD650E" w:rsidRPr="009E1059" w:rsidRDefault="00FD650E" w:rsidP="00EB53F2">
            <w:pPr>
              <w:pStyle w:val="PlainText"/>
              <w:spacing w:line="276" w:lineRule="auto"/>
            </w:pPr>
            <w:r w:rsidRPr="009E1059">
              <w:t>Medium</w:t>
            </w:r>
          </w:p>
        </w:tc>
        <w:tc>
          <w:tcPr>
            <w:tcW w:w="6866" w:type="dxa"/>
          </w:tcPr>
          <w:p w14:paraId="10124E2A" w14:textId="77777777" w:rsidR="00FD650E" w:rsidRDefault="00FD650E" w:rsidP="00EB53F2">
            <w:pPr>
              <w:pStyle w:val="PlainText"/>
              <w:spacing w:line="276" w:lineRule="auto"/>
              <w:cnfStyle w:val="000000000000" w:firstRow="0" w:lastRow="0" w:firstColumn="0" w:lastColumn="0" w:oddVBand="0" w:evenVBand="0" w:oddHBand="0" w:evenHBand="0" w:firstRowFirstColumn="0" w:firstRowLastColumn="0" w:lastRowFirstColumn="0" w:lastRowLastColumn="0"/>
            </w:pPr>
            <w:r>
              <w:t>Caregiving several times per week for several hours at a time; or caregiving every day for about an hour</w:t>
            </w:r>
          </w:p>
        </w:tc>
      </w:tr>
      <w:tr w:rsidR="00FD650E" w14:paraId="6C513593" w14:textId="77777777" w:rsidTr="00FD650E">
        <w:tc>
          <w:tcPr>
            <w:cnfStyle w:val="001000000000" w:firstRow="0" w:lastRow="0" w:firstColumn="1" w:lastColumn="0" w:oddVBand="0" w:evenVBand="0" w:oddHBand="0" w:evenHBand="0" w:firstRowFirstColumn="0" w:firstRowLastColumn="0" w:lastRowFirstColumn="0" w:lastRowLastColumn="0"/>
            <w:tcW w:w="2376" w:type="dxa"/>
            <w:tcBorders>
              <w:right w:val="none" w:sz="0" w:space="0" w:color="auto"/>
            </w:tcBorders>
          </w:tcPr>
          <w:p w14:paraId="1A6477AF" w14:textId="77777777" w:rsidR="00FD650E" w:rsidRPr="009E1059" w:rsidRDefault="00FD650E" w:rsidP="00EB53F2">
            <w:pPr>
              <w:pStyle w:val="PlainText"/>
              <w:spacing w:line="276" w:lineRule="auto"/>
            </w:pPr>
            <w:r w:rsidRPr="009E1059">
              <w:t>High</w:t>
            </w:r>
          </w:p>
        </w:tc>
        <w:tc>
          <w:tcPr>
            <w:tcW w:w="6866" w:type="dxa"/>
          </w:tcPr>
          <w:p w14:paraId="1B5022BC" w14:textId="77777777" w:rsidR="00FD650E" w:rsidRDefault="00FD650E" w:rsidP="00EB53F2">
            <w:pPr>
              <w:pStyle w:val="PlainText"/>
              <w:spacing w:line="276" w:lineRule="auto"/>
              <w:cnfStyle w:val="000000000000" w:firstRow="0" w:lastRow="0" w:firstColumn="0" w:lastColumn="0" w:oddVBand="0" w:evenVBand="0" w:oddHBand="0" w:evenHBand="0" w:firstRowFirstColumn="0" w:firstRowLastColumn="0" w:lastRowFirstColumn="0" w:lastRowLastColumn="0"/>
            </w:pPr>
            <w:r>
              <w:t>Caregiving all day, several times a week, or caregiving every day for several hours at a time</w:t>
            </w:r>
          </w:p>
        </w:tc>
      </w:tr>
    </w:tbl>
    <w:p w14:paraId="389ACA12" w14:textId="68B8FA7D" w:rsidR="000D5448" w:rsidRDefault="000D5448" w:rsidP="00636186">
      <w:pPr>
        <w:spacing w:before="40" w:after="160" w:line="276" w:lineRule="auto"/>
        <w:contextualSpacing/>
        <w:rPr>
          <w:szCs w:val="24"/>
        </w:rPr>
      </w:pPr>
    </w:p>
    <w:p w14:paraId="1BD7ADDF" w14:textId="60ED3BF1" w:rsidR="00151768" w:rsidRDefault="00151768" w:rsidP="00151768">
      <w:pPr>
        <w:pStyle w:val="Heading3"/>
      </w:pPr>
      <w:bookmarkStart w:id="9" w:name="_Toc113022371"/>
      <w:r>
        <w:t>Reasons for becoming a carer</w:t>
      </w:r>
      <w:bookmarkEnd w:id="9"/>
    </w:p>
    <w:p w14:paraId="4756BDBB" w14:textId="5EE6B776" w:rsidR="00AD41FC" w:rsidRDefault="0078557A" w:rsidP="00273BE2">
      <w:pPr>
        <w:pStyle w:val="BodyText"/>
      </w:pPr>
      <w:r>
        <w:t>The mid-age c</w:t>
      </w:r>
      <w:r w:rsidR="000D5448">
        <w:t>arers</w:t>
      </w:r>
      <w:r>
        <w:t xml:space="preserve"> in the 2007 </w:t>
      </w:r>
      <w:proofErr w:type="spellStart"/>
      <w:r>
        <w:t>substudy</w:t>
      </w:r>
      <w:proofErr w:type="spellEnd"/>
      <w:r w:rsidR="000D5448">
        <w:t xml:space="preserve"> were </w:t>
      </w:r>
      <w:r w:rsidR="00FD650E">
        <w:t xml:space="preserve">also </w:t>
      </w:r>
      <w:r w:rsidR="000D5448">
        <w:t>asked to indicate the reason that they started to provide care. The most highly rated response was that the participants</w:t>
      </w:r>
      <w:r w:rsidR="00EE1A8D">
        <w:t xml:space="preserve"> </w:t>
      </w:r>
      <w:r w:rsidR="000D5448">
        <w:t>wanted to become carers</w:t>
      </w:r>
      <w:r w:rsidR="001B0B19">
        <w:t>’</w:t>
      </w:r>
      <w:r w:rsidR="000D5448">
        <w:t xml:space="preserve"> (55%)</w:t>
      </w:r>
      <w:r w:rsidR="00441741">
        <w:t>,</w:t>
      </w:r>
      <w:r w:rsidR="000D5448">
        <w:t xml:space="preserve"> followed by </w:t>
      </w:r>
      <w:r w:rsidR="001B0B19">
        <w:t>‘</w:t>
      </w:r>
      <w:r w:rsidR="000D5448">
        <w:t>there was no one else to do it</w:t>
      </w:r>
      <w:r w:rsidR="001B0B19">
        <w:t>’</w:t>
      </w:r>
      <w:r w:rsidR="000D5448">
        <w:t xml:space="preserve"> (40%) and </w:t>
      </w:r>
      <w:r w:rsidR="001B0B19">
        <w:t>‘</w:t>
      </w:r>
      <w:r w:rsidR="000D5448">
        <w:t>I was already caring for them to some extent</w:t>
      </w:r>
      <w:r w:rsidR="001B0B19">
        <w:t>’</w:t>
      </w:r>
      <w:r w:rsidR="000D5448">
        <w:t xml:space="preserve"> (39%). The patterns were similar between carers who lived with their care recipients and carers who lived elsewhere</w:t>
      </w:r>
      <w:r w:rsidR="004206F4">
        <w:t xml:space="preserve"> </w:t>
      </w:r>
      <w:r w:rsidR="004206F4">
        <w:fldChar w:fldCharType="begin"/>
      </w:r>
      <w:r w:rsidR="000F4423">
        <w:instrText xml:space="preserve"> ADDIN EN.CITE &lt;EndNote&gt;&lt;Cite&gt;&lt;Author&gt;McKenzie S&lt;/Author&gt;&lt;Year&gt;2009&lt;/Year&gt;&lt;RecNum&gt;17&lt;/RecNum&gt;&lt;DisplayText&gt;(McKenzie S, 2009)&lt;/DisplayText&gt;&lt;record&gt;&lt;rec-number&gt;17&lt;/rec-number&gt;&lt;foreign-keys&gt;&lt;key app="EN" db-id="xx2v2zadpfd5z8etd04xdztg9xtdpff2szrs" timestamp="1661772826"&gt;17&lt;/key&gt;&lt;/foreign-keys&gt;&lt;ref-type name="Report"&gt;27&lt;/ref-type&gt;&lt;contributors&gt;&lt;authors&gt;&lt;author&gt;McKenzie S, Tooth L, Lucke J &amp;amp; Dobson A. &lt;/author&gt;&lt;/authors&gt;&lt;subsidiary-authors&gt;&lt;author&gt; Report prepared for Australian Government Department of Health &amp;amp; Ageing&lt;/author&gt;&lt;/subsidiary-authors&gt;&lt;/contributors&gt;&lt;titles&gt;&lt;title&gt;Caring and use of services in women born between 1946 and 1951: Findings from the Australian Longitudinal Study on Women’s Health.&lt;/title&gt;&lt;/titles&gt;&lt;dates&gt;&lt;year&gt;2009&lt;/year&gt;&lt;pub-dates&gt;&lt;date&gt;January, 2009&lt;/date&gt;&lt;/pub-dates&gt;&lt;/dates&gt;&lt;work-type&gt;Report&lt;/work-type&gt;&lt;urls&gt;&lt;related-urls&gt;&lt;url&gt;https://alswh.org.au/post-outcomes/caring-and-use-of-services-in-women-born-between-1946-and-1951-findings-from-the-australian-longitudinal-study-on-womens-health/&lt;/url&gt;&lt;/related-urls&gt;&lt;/urls&gt;&lt;language&gt;English&lt;/language&gt;&lt;/record&gt;&lt;/Cite&gt;&lt;/EndNote&gt;</w:instrText>
      </w:r>
      <w:r w:rsidR="004206F4">
        <w:fldChar w:fldCharType="separate"/>
      </w:r>
      <w:r w:rsidR="000F4423">
        <w:rPr>
          <w:noProof/>
        </w:rPr>
        <w:t>(</w:t>
      </w:r>
      <w:hyperlink w:anchor="_ENREF_9" w:tooltip="McKenzie S, 2009 #17" w:history="1">
        <w:r w:rsidR="000F4423">
          <w:rPr>
            <w:noProof/>
          </w:rPr>
          <w:t>McKenzie S, 2009</w:t>
        </w:r>
      </w:hyperlink>
      <w:r w:rsidR="000F4423">
        <w:rPr>
          <w:noProof/>
        </w:rPr>
        <w:t>)</w:t>
      </w:r>
      <w:r w:rsidR="004206F4">
        <w:fldChar w:fldCharType="end"/>
      </w:r>
      <w:r w:rsidR="000D5448">
        <w:t>.</w:t>
      </w:r>
    </w:p>
    <w:p w14:paraId="287014F3" w14:textId="77777777" w:rsidR="0078557A" w:rsidRPr="0078557A" w:rsidRDefault="0078557A" w:rsidP="00273BE2">
      <w:pPr>
        <w:pStyle w:val="BodyText"/>
      </w:pPr>
    </w:p>
    <w:p w14:paraId="3AAB14F9" w14:textId="0971773D" w:rsidR="00730459" w:rsidRDefault="00530FAB" w:rsidP="007E147B">
      <w:pPr>
        <w:pStyle w:val="Heading2"/>
      </w:pPr>
      <w:bookmarkStart w:id="10" w:name="_Toc113022372"/>
      <w:r>
        <w:t>E</w:t>
      </w:r>
      <w:r w:rsidR="00AD41FC" w:rsidRPr="00452B36">
        <w:t>vidence on how formal and informal care interact in the aged care sector.</w:t>
      </w:r>
      <w:bookmarkEnd w:id="10"/>
    </w:p>
    <w:p w14:paraId="368E2DD9" w14:textId="4B2922FD" w:rsidR="00474724" w:rsidRPr="00DB5995" w:rsidRDefault="00AD41FC" w:rsidP="00DB5995">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F8295B">
        <w:rPr>
          <w:i/>
          <w:iCs/>
        </w:rPr>
        <w:t xml:space="preserve">How many older Australians receive informal care and formal in-home care? </w:t>
      </w:r>
    </w:p>
    <w:p w14:paraId="5B3F053F" w14:textId="77777777" w:rsidR="00DB5995" w:rsidRDefault="00DB5995" w:rsidP="00273BE2">
      <w:pPr>
        <w:pStyle w:val="BodyText"/>
      </w:pPr>
    </w:p>
    <w:p w14:paraId="58AEF0F7" w14:textId="7EC70975" w:rsidR="007A6312" w:rsidRDefault="007A6312" w:rsidP="00273BE2">
      <w:pPr>
        <w:pStyle w:val="BodyText"/>
      </w:pPr>
      <w:r>
        <w:t>The ALSWH survey does not distinguish between formal and informal care. Participants from the 1921-26 cohort are asked the question</w:t>
      </w:r>
      <w:r w:rsidR="00441741">
        <w:t>,</w:t>
      </w:r>
      <w:r>
        <w:t xml:space="preserve"> </w:t>
      </w:r>
      <w:r w:rsidR="001B0B19">
        <w:t>“</w:t>
      </w:r>
      <w:r w:rsidRPr="007A6312">
        <w:t>Do you regularly need help with daily tasks because of long-term illness, disability or frailty (</w:t>
      </w:r>
      <w:r w:rsidR="00D44241" w:rsidRPr="007A6312">
        <w:t>e.g.,</w:t>
      </w:r>
      <w:r w:rsidRPr="007A6312">
        <w:t xml:space="preserve"> personal care, getting around, preparing meals etc</w:t>
      </w:r>
      <w:r w:rsidR="00441741">
        <w:t>.</w:t>
      </w:r>
      <w:r w:rsidRPr="007A6312">
        <w:t>)?</w:t>
      </w:r>
      <w:r w:rsidR="001B0B19">
        <w:t>”</w:t>
      </w:r>
      <w:r>
        <w:t xml:space="preserve">. </w:t>
      </w:r>
    </w:p>
    <w:p w14:paraId="153AD34C" w14:textId="69B43EAA" w:rsidR="007A6312" w:rsidRDefault="007A6312" w:rsidP="00273BE2">
      <w:pPr>
        <w:pStyle w:val="BodyText"/>
      </w:pPr>
      <w:r>
        <w:t xml:space="preserve">At their first survey in </w:t>
      </w:r>
      <w:r w:rsidR="003C4200">
        <w:t>1996</w:t>
      </w:r>
      <w:r>
        <w:t>, aged 70-75, only 8.7% of women required regular help. By age 85-90 in 2011</w:t>
      </w:r>
      <w:r w:rsidR="003C4200">
        <w:t>, 22.7% of the cohort required regular help</w:t>
      </w:r>
      <w:r w:rsidR="0084489A">
        <w:t xml:space="preserve"> </w:t>
      </w:r>
      <w:r w:rsidR="0084489A">
        <w:fldChar w:fldCharType="begin"/>
      </w:r>
      <w:r w:rsidR="000F4423">
        <w:instrText xml:space="preserve"> ADDIN EN.CITE &lt;EndNote&gt;&lt;Cite&gt;&lt;Year&gt;2011&lt;/Year&gt;&lt;RecNum&gt;23&lt;/RecNum&gt;&lt;DisplayText&gt;(&lt;style face="italic"&gt;Databook for the 1921-26 cohort&lt;/style&gt;, 2011)&lt;/DisplayText&gt;&lt;record&gt;&lt;rec-number&gt;23&lt;/rec-number&gt;&lt;foreign-keys&gt;&lt;key app="EN" db-id="xx2v2zadpfd5z8etd04xdztg9xtdpff2szrs" timestamp="1662076229"&gt;23&lt;/key&gt;&lt;/foreign-keys&gt;&lt;ref-type name="Dataset"&gt;59&lt;/ref-type&gt;&lt;contributors&gt;&lt;secondary-authors&gt;&lt;author&gt;Australian Longitudinal Study on Women&amp;apos;s Health&lt;/author&gt;&lt;/secondary-authors&gt;&lt;subsidiary-authors&gt;&lt;author&gt;The Australian Government Department of Health and Aged Care&lt;/author&gt;&lt;/subsidiary-authors&gt;&lt;/contributors&gt;&lt;titles&gt;&lt;title&gt;Databook for the 1921-26 cohort&lt;/title&gt;&lt;/titles&gt;&lt;section&gt;2011&lt;/section&gt;&lt;dates&gt;&lt;year&gt;2011&lt;/year&gt;&lt;pub-dates&gt;&lt;date&gt;05/08/2022&lt;/date&gt;&lt;/pub-dates&gt;&lt;/dates&gt;&lt;urls&gt;&lt;related-urls&gt;&lt;url&gt;https://alswh.org.au/old_databook/&lt;/url&gt;&lt;/related-urls&gt;&lt;/urls&gt;&lt;/record&gt;&lt;/Cite&gt;&lt;/EndNote&gt;</w:instrText>
      </w:r>
      <w:r w:rsidR="0084489A">
        <w:fldChar w:fldCharType="separate"/>
      </w:r>
      <w:r w:rsidR="000F4423">
        <w:rPr>
          <w:noProof/>
        </w:rPr>
        <w:t>(</w:t>
      </w:r>
      <w:hyperlink w:anchor="_ENREF_5" w:tooltip=", 2011 #23" w:history="1">
        <w:r w:rsidR="000F4423" w:rsidRPr="000F4423">
          <w:rPr>
            <w:i/>
            <w:noProof/>
          </w:rPr>
          <w:t>Databook for the 1921-26 cohort</w:t>
        </w:r>
        <w:r w:rsidR="000F4423">
          <w:rPr>
            <w:noProof/>
          </w:rPr>
          <w:t>, 2011</w:t>
        </w:r>
      </w:hyperlink>
      <w:r w:rsidR="000F4423">
        <w:rPr>
          <w:noProof/>
        </w:rPr>
        <w:t>)</w:t>
      </w:r>
      <w:r w:rsidR="0084489A">
        <w:fldChar w:fldCharType="end"/>
      </w:r>
      <w:r w:rsidR="003C4200">
        <w:t xml:space="preserve">. </w:t>
      </w:r>
    </w:p>
    <w:p w14:paraId="1DA29B7E" w14:textId="6EB3461C" w:rsidR="00D76FD5" w:rsidRPr="00D76FD5" w:rsidRDefault="0007294E" w:rsidP="00273BE2">
      <w:pPr>
        <w:pStyle w:val="BodyText"/>
      </w:pPr>
      <w:r>
        <w:t>F</w:t>
      </w:r>
      <w:r w:rsidR="00D76FD5">
        <w:t xml:space="preserve">rom </w:t>
      </w:r>
      <w:r>
        <w:t xml:space="preserve">85-90 </w:t>
      </w:r>
      <w:r w:rsidR="003C4200">
        <w:t>onwards, this cohort switched to regular six-</w:t>
      </w:r>
      <w:r w:rsidR="00D44241">
        <w:t>monthly</w:t>
      </w:r>
      <w:r w:rsidR="003C4200">
        <w:t xml:space="preserve"> surveys. </w:t>
      </w:r>
      <w:r w:rsidR="00441741">
        <w:t xml:space="preserve">Between the ages of </w:t>
      </w:r>
      <w:r w:rsidR="003C4200">
        <w:t xml:space="preserve">85-90 </w:t>
      </w:r>
      <w:r>
        <w:t>to</w:t>
      </w:r>
      <w:r w:rsidR="00441741">
        <w:t xml:space="preserve"> </w:t>
      </w:r>
      <w:r>
        <w:t>94-100</w:t>
      </w:r>
      <w:r w:rsidR="00441741">
        <w:t>,</w:t>
      </w:r>
      <w:r w:rsidR="00D76FD5">
        <w:t xml:space="preserve"> </w:t>
      </w:r>
      <w:r>
        <w:t>the number of women requir</w:t>
      </w:r>
      <w:r w:rsidR="003C4200">
        <w:t>ing</w:t>
      </w:r>
      <w:r>
        <w:t xml:space="preserve"> </w:t>
      </w:r>
      <w:r w:rsidR="003C4200">
        <w:t xml:space="preserve">regular help </w:t>
      </w:r>
      <w:r>
        <w:t>rose</w:t>
      </w:r>
      <w:r w:rsidR="0084489A">
        <w:t xml:space="preserve"> rapidly</w:t>
      </w:r>
      <w:r>
        <w:t xml:space="preserve"> from </w:t>
      </w:r>
      <w:r w:rsidR="00D76FD5">
        <w:t>30.2% to 40.2%</w:t>
      </w:r>
      <w:r w:rsidR="0084489A">
        <w:t xml:space="preserve"> </w:t>
      </w:r>
      <w:r w:rsidR="0084489A">
        <w:fldChar w:fldCharType="begin"/>
      </w:r>
      <w:r w:rsidR="000F4423">
        <w:instrText xml:space="preserve"> ADDIN EN.CITE &lt;EndNote&gt;&lt;Cite&gt;&lt;Year&gt;2020&lt;/Year&gt;&lt;RecNum&gt;24&lt;/RecNum&gt;&lt;DisplayText&gt;(&lt;style face="italic"&gt;Data Book for the 1921-26 Cohort Surveys 1-6&lt;/style&gt;, 2020)&lt;/DisplayText&gt;&lt;record&gt;&lt;rec-number&gt;24&lt;/rec-number&gt;&lt;foreign-keys&gt;&lt;key app="EN" db-id="xx2v2zadpfd5z8etd04xdztg9xtdpff2szrs" timestamp="1662076575"&gt;24&lt;/key&gt;&lt;/foreign-keys&gt;&lt;ref-type name="Dataset"&gt;59&lt;/ref-type&gt;&lt;contributors&gt;&lt;secondary-authors&gt;&lt;author&gt;Australian Longitudinal Study on Women&amp;apos;s Health&lt;/author&gt;&lt;/secondary-authors&gt;&lt;subsidiary-authors&gt;&lt;author&gt;Australian Government Department of Health and Aged Care&lt;/author&gt;&lt;/subsidiary-authors&gt;&lt;/contributors&gt;&lt;titles&gt;&lt;title&gt;Data book for waves 1 to 16 of the six monthly survey of the 1921-1926 cohort (completed in 2020)&lt;/title&gt;&lt;short-title&gt;Data Book for the 1921-26 Cohort Surveys 1-6&lt;/short-title&gt;&lt;/titles&gt;&lt;section&gt;2020&lt;/section&gt;&lt;dates&gt;&lt;year&gt;2020&lt;/year&gt;&lt;pub-dates&gt;&lt;date&gt;05/08/2020&lt;/date&gt;&lt;/pub-dates&gt;&lt;/dates&gt;&lt;urls&gt;&lt;related-urls&gt;&lt;url&gt;https://alswh.org.au/databook-for-6mfu-1921-26-cohort1to16/&lt;/url&gt;&lt;/related-urls&gt;&lt;/urls&gt;&lt;remote-database-provider&gt;Australian Longitudinal Study on Women&amp;apos;s Health&lt;/remote-database-provider&gt;&lt;/record&gt;&lt;/Cite&gt;&lt;/EndNote&gt;</w:instrText>
      </w:r>
      <w:r w:rsidR="0084489A">
        <w:fldChar w:fldCharType="separate"/>
      </w:r>
      <w:r w:rsidR="000F4423">
        <w:rPr>
          <w:noProof/>
        </w:rPr>
        <w:t>(</w:t>
      </w:r>
      <w:hyperlink w:anchor="_ENREF_4" w:tooltip=", 2020 #24" w:history="1">
        <w:r w:rsidR="000F4423" w:rsidRPr="000F4423">
          <w:rPr>
            <w:i/>
            <w:noProof/>
          </w:rPr>
          <w:t>Data Book for the 1921-26 Cohort Surveys 1-6</w:t>
        </w:r>
        <w:r w:rsidR="000F4423">
          <w:rPr>
            <w:noProof/>
          </w:rPr>
          <w:t>, 2020</w:t>
        </w:r>
      </w:hyperlink>
      <w:r w:rsidR="000F4423">
        <w:rPr>
          <w:noProof/>
        </w:rPr>
        <w:t>)</w:t>
      </w:r>
      <w:r w:rsidR="0084489A">
        <w:fldChar w:fldCharType="end"/>
      </w:r>
      <w:r>
        <w:t xml:space="preserve">. </w:t>
      </w:r>
    </w:p>
    <w:p w14:paraId="3DB82EC5" w14:textId="77777777" w:rsidR="00D16D46" w:rsidRDefault="00D16D46" w:rsidP="00273BE2">
      <w:pPr>
        <w:pStyle w:val="BodyText"/>
      </w:pPr>
    </w:p>
    <w:p w14:paraId="51DC1551" w14:textId="314EF921" w:rsidR="00D4517E" w:rsidRPr="00474724" w:rsidRDefault="00AD41FC" w:rsidP="00474724">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474724">
        <w:rPr>
          <w:i/>
          <w:iCs/>
        </w:rPr>
        <w:t>How many older Australians rely solely on informal care? In what circumstances, or for what reasons does this occur?</w:t>
      </w:r>
    </w:p>
    <w:p w14:paraId="4A6FE931" w14:textId="77777777" w:rsidR="00DB5995" w:rsidRDefault="00DB5995" w:rsidP="00273BE2">
      <w:pPr>
        <w:pStyle w:val="BodyText"/>
      </w:pPr>
    </w:p>
    <w:p w14:paraId="437D0C44" w14:textId="671C3DCE" w:rsidR="007239C6" w:rsidRDefault="008B1FE6" w:rsidP="00273BE2">
      <w:pPr>
        <w:pStyle w:val="BodyText"/>
      </w:pPr>
      <w:r>
        <w:t>T</w:t>
      </w:r>
      <w:r w:rsidR="0007294E">
        <w:t>he ALSWH surveys do not provide data on formal vs</w:t>
      </w:r>
      <w:r w:rsidR="00142D3D">
        <w:t>.</w:t>
      </w:r>
      <w:r w:rsidR="0007294E">
        <w:t xml:space="preserve"> informal care</w:t>
      </w:r>
      <w:r>
        <w:t xml:space="preserve">. An </w:t>
      </w:r>
      <w:r w:rsidR="0007294E">
        <w:t>analysis</w:t>
      </w:r>
      <w:r w:rsidR="00564DF1">
        <w:t xml:space="preserve"> of additional </w:t>
      </w:r>
      <w:r w:rsidR="00D16D46">
        <w:t xml:space="preserve">linked </w:t>
      </w:r>
      <w:r w:rsidR="00564DF1">
        <w:t>aged care datasets has been used to e</w:t>
      </w:r>
      <w:r w:rsidR="00D16D46">
        <w:t xml:space="preserve">stimate </w:t>
      </w:r>
      <w:r w:rsidR="007239C6">
        <w:t xml:space="preserve">the proportion of older women who </w:t>
      </w:r>
      <w:r w:rsidR="00D44241">
        <w:t>did and</w:t>
      </w:r>
      <w:r w:rsidR="003A703A">
        <w:t xml:space="preserve"> did</w:t>
      </w:r>
      <w:r w:rsidR="007239C6">
        <w:t xml:space="preserve"> not </w:t>
      </w:r>
      <w:r w:rsidR="00103D53">
        <w:t xml:space="preserve">use formal </w:t>
      </w:r>
      <w:r w:rsidR="007239C6">
        <w:t>aged care services</w:t>
      </w:r>
      <w:r w:rsidR="003A703A">
        <w:t xml:space="preserve"> from 2001-2011</w:t>
      </w:r>
      <w:r w:rsidR="00B672AB">
        <w:t>,</w:t>
      </w:r>
      <w:r w:rsidR="003A703A">
        <w:t xml:space="preserve"> when the women were </w:t>
      </w:r>
      <w:r w:rsidR="00012171">
        <w:t xml:space="preserve">between </w:t>
      </w:r>
      <w:r w:rsidR="003A703A">
        <w:t>75</w:t>
      </w:r>
      <w:r w:rsidR="00012171">
        <w:t xml:space="preserve"> and </w:t>
      </w:r>
      <w:r w:rsidR="003A703A">
        <w:t xml:space="preserve">90 years old. </w:t>
      </w:r>
    </w:p>
    <w:p w14:paraId="1E68F24E" w14:textId="4F99B3B3" w:rsidR="007239C6" w:rsidRDefault="007239C6" w:rsidP="00273BE2">
      <w:pPr>
        <w:pStyle w:val="BodyText"/>
      </w:pPr>
      <w:r>
        <w:t xml:space="preserve">Approximately 70% of women accessed </w:t>
      </w:r>
      <w:r w:rsidR="003A703A">
        <w:t>Home and Community Care (HACC)</w:t>
      </w:r>
      <w:r>
        <w:t xml:space="preserve"> services </w:t>
      </w:r>
      <w:r w:rsidR="003A703A">
        <w:t>during this period</w:t>
      </w:r>
      <w:r>
        <w:t>. Women who received Veteran</w:t>
      </w:r>
      <w:r w:rsidR="001B0B19">
        <w:t>’</w:t>
      </w:r>
      <w:r>
        <w:t xml:space="preserve">s Affairs cover were 36% less likely to use HACC </w:t>
      </w:r>
      <w:r w:rsidR="000F4423">
        <w:fldChar w:fldCharType="begin"/>
      </w:r>
      <w:r w:rsidR="000F4423">
        <w:instrText xml:space="preserve"> ADDIN EN.CITE &lt;EndNote&gt;&lt;Cite&gt;&lt;Author&gt;Rahman&lt;/Author&gt;&lt;Year&gt;2019&lt;/Year&gt;&lt;RecNum&gt;20&lt;/RecNum&gt;&lt;DisplayText&gt;(Rahman, Efird, Kendig, et al., 2019)&lt;/DisplayText&gt;&lt;record&gt;&lt;rec-number&gt;20&lt;/rec-number&gt;&lt;foreign-keys&gt;&lt;key app="EN" db-id="xx2v2zadpfd5z8etd04xdztg9xtdpff2szrs" timestamp="1661869882"&gt;20&lt;/key&gt;&lt;/foreign-keys&gt;&lt;ref-type name="Journal Article"&gt;17&lt;/ref-type&gt;&lt;contributors&gt;&lt;authors&gt;&lt;author&gt;Rahman, Mijanur&lt;/author&gt;&lt;author&gt;Efird, Jimmy T.&lt;/author&gt;&lt;author&gt;Kendig, Hal&lt;/author&gt;&lt;author&gt;Byles, Julie E.&lt;/author&gt;&lt;/authors&gt;&lt;/contributors&gt;&lt;titles&gt;&lt;title&gt;Patterns of home and community care use among older participants in the Australian Longitudinal Study of Women’s Health&lt;/title&gt;&lt;secondary-title&gt;European Journal of Ageing&lt;/secondary-title&gt;&lt;/titles&gt;&lt;periodical&gt;&lt;full-title&gt;European Journal of Ageing&lt;/full-title&gt;&lt;/periodical&gt;&lt;pages&gt;293-303&lt;/pages&gt;&lt;volume&gt;16&lt;/volume&gt;&lt;number&gt;3&lt;/number&gt;&lt;dates&gt;&lt;year&gt;2019&lt;/year&gt;&lt;pub-dates&gt;&lt;date&gt;2019/09/01&lt;/date&gt;&lt;/pub-dates&gt;&lt;/dates&gt;&lt;isbn&gt;1613-9380&lt;/isbn&gt;&lt;urls&gt;&lt;related-urls&gt;&lt;url&gt;https://doi.org/10.1007/s10433-018-0495-y&lt;/url&gt;&lt;/related-urls&gt;&lt;/urls&gt;&lt;electronic-resource-num&gt;10.1007/s10433-018-0495-y&lt;/electronic-resource-num&gt;&lt;/record&gt;&lt;/Cite&gt;&lt;/EndNote&gt;</w:instrText>
      </w:r>
      <w:r w:rsidR="000F4423">
        <w:fldChar w:fldCharType="separate"/>
      </w:r>
      <w:r w:rsidR="000F4423">
        <w:rPr>
          <w:noProof/>
        </w:rPr>
        <w:t>(</w:t>
      </w:r>
      <w:hyperlink w:anchor="_ENREF_11" w:tooltip="Rahman, 2019 #20" w:history="1">
        <w:r w:rsidR="000F4423">
          <w:rPr>
            <w:noProof/>
          </w:rPr>
          <w:t>Rahman, Efird, Kendig, et al., 2019</w:t>
        </w:r>
      </w:hyperlink>
      <w:r w:rsidR="000F4423">
        <w:rPr>
          <w:noProof/>
        </w:rPr>
        <w:t>)</w:t>
      </w:r>
      <w:r w:rsidR="000F4423">
        <w:fldChar w:fldCharType="end"/>
      </w:r>
      <w:r>
        <w:t xml:space="preserve">. </w:t>
      </w:r>
    </w:p>
    <w:p w14:paraId="4959C792" w14:textId="09A4349E" w:rsidR="007239C6" w:rsidRPr="007239C6" w:rsidRDefault="003A703A" w:rsidP="00273BE2">
      <w:pPr>
        <w:pStyle w:val="BodyText"/>
      </w:pPr>
      <w:r>
        <w:t>In a separate analysis, a</w:t>
      </w:r>
      <w:r w:rsidR="007239C6">
        <w:t xml:space="preserve">bout 41% of the </w:t>
      </w:r>
      <w:r>
        <w:t xml:space="preserve">1921-26 </w:t>
      </w:r>
      <w:r w:rsidR="007239C6">
        <w:t xml:space="preserve">cohort were classified as </w:t>
      </w:r>
      <w:r w:rsidR="001B0B19">
        <w:t>‘</w:t>
      </w:r>
      <w:r w:rsidR="007239C6">
        <w:t>mostly non-users</w:t>
      </w:r>
      <w:r w:rsidR="001B0B19">
        <w:t>’</w:t>
      </w:r>
      <w:r w:rsidR="007239C6">
        <w:t xml:space="preserve"> of HACC services. </w:t>
      </w:r>
      <w:r w:rsidR="00012171">
        <w:t xml:space="preserve">This is because </w:t>
      </w:r>
      <w:r w:rsidR="007239C6">
        <w:t xml:space="preserve">their use of aged care </w:t>
      </w:r>
      <w:r w:rsidR="00012171">
        <w:t xml:space="preserve">services </w:t>
      </w:r>
      <w:r w:rsidR="007239C6">
        <w:t>and mortality increased when the women were aged 85 and over. Women who didn</w:t>
      </w:r>
      <w:r w:rsidR="001B0B19">
        <w:t>’</w:t>
      </w:r>
      <w:r w:rsidR="007239C6">
        <w:t>t use HACC services were more likely to live in a major city, have difficulty managing on their income, live with a part</w:t>
      </w:r>
      <w:r w:rsidR="00142D3D">
        <w:t>n</w:t>
      </w:r>
      <w:r w:rsidR="007239C6">
        <w:t>er or other family member, or provide care to grandchildren or other people</w:t>
      </w:r>
      <w:r w:rsidR="001B0B19">
        <w:t>’</w:t>
      </w:r>
      <w:r w:rsidR="007239C6">
        <w:t xml:space="preserve">s children </w:t>
      </w:r>
      <w:r w:rsidR="007239C6">
        <w:fldChar w:fldCharType="begin"/>
      </w:r>
      <w:r w:rsidR="000F4423">
        <w:instrText xml:space="preserve"> ADDIN EN.CITE &lt;EndNote&gt;&lt;Cite&gt;&lt;Author&gt;Rahman&lt;/Author&gt;&lt;Year&gt;2019&lt;/Year&gt;&lt;RecNum&gt;21&lt;/RecNum&gt;&lt;DisplayText&gt;(Rahman, Efird, &amp;amp; Byles, 2019)&lt;/DisplayText&gt;&lt;record&gt;&lt;rec-number&gt;21&lt;/rec-number&gt;&lt;foreign-keys&gt;&lt;key app="EN" db-id="xx2v2zadpfd5z8etd04xdztg9xtdpff2szrs" timestamp="1661873463"&gt;21&lt;/key&gt;&lt;/foreign-keys&gt;&lt;ref-type name="Journal Article"&gt;17&lt;/ref-type&gt;&lt;contributors&gt;&lt;authors&gt;&lt;author&gt;Rahman, Mijanur&lt;/author&gt;&lt;author&gt;Efird, Jimmy T.&lt;/author&gt;&lt;author&gt;Byles, Julie E.&lt;/author&gt;&lt;/authors&gt;&lt;/contributors&gt;&lt;titles&gt;&lt;title&gt;Patterns of aged care use among older Australian women: A prospective cohort study using linked data&lt;/title&gt;&lt;secondary-title&gt;Archives of Gerontology and Geriatrics&lt;/secondary-title&gt;&lt;/titles&gt;&lt;periodical&gt;&lt;full-title&gt;Archives of Gerontology and Geriatrics&lt;/full-title&gt;&lt;/periodical&gt;&lt;pages&gt;39-47&lt;/pages&gt;&lt;volume&gt;81&lt;/volume&gt;&lt;keywords&gt;&lt;keyword&gt;Older women&lt;/keyword&gt;&lt;keyword&gt;Aged care&lt;/keyword&gt;&lt;keyword&gt;Data linkage&lt;/keyword&gt;&lt;keyword&gt;Latent patterns&lt;/keyword&gt;&lt;keyword&gt;Influencing factors&lt;/keyword&gt;&lt;keyword&gt;Australia&lt;/keyword&gt;&lt;/keywords&gt;&lt;dates&gt;&lt;year&gt;2019&lt;/year&gt;&lt;pub-dates&gt;&lt;date&gt;2019/03/01/&lt;/date&gt;&lt;/pub-dates&gt;&lt;/dates&gt;&lt;isbn&gt;0167-4943&lt;/isbn&gt;&lt;urls&gt;&lt;related-urls&gt;&lt;url&gt;https://www.sciencedirect.com/science/article/pii/S0167494318302188&lt;/url&gt;&lt;/related-urls&gt;&lt;/urls&gt;&lt;electronic-resource-num&gt;https://doi.org/10.1016/j.archger.2018.11.010&lt;/electronic-resource-num&gt;&lt;/record&gt;&lt;/Cite&gt;&lt;/EndNote&gt;</w:instrText>
      </w:r>
      <w:r w:rsidR="007239C6">
        <w:fldChar w:fldCharType="separate"/>
      </w:r>
      <w:r w:rsidR="000F4423">
        <w:rPr>
          <w:noProof/>
        </w:rPr>
        <w:t>(</w:t>
      </w:r>
      <w:hyperlink w:anchor="_ENREF_10" w:tooltip="Rahman, 2019 #21" w:history="1">
        <w:r w:rsidR="000F4423">
          <w:rPr>
            <w:noProof/>
          </w:rPr>
          <w:t>Rahman, Efird, &amp; Byles, 2019</w:t>
        </w:r>
      </w:hyperlink>
      <w:r w:rsidR="000F4423">
        <w:rPr>
          <w:noProof/>
        </w:rPr>
        <w:t>)</w:t>
      </w:r>
      <w:r w:rsidR="007239C6">
        <w:fldChar w:fldCharType="end"/>
      </w:r>
      <w:r w:rsidR="007239C6">
        <w:t xml:space="preserve">. </w:t>
      </w:r>
    </w:p>
    <w:p w14:paraId="4CC03C69" w14:textId="77777777" w:rsidR="00F71ADB" w:rsidRDefault="00F71ADB" w:rsidP="00AD41FC"/>
    <w:p w14:paraId="49CA8D79" w14:textId="60F8248B" w:rsidR="00730459" w:rsidRDefault="00530FAB" w:rsidP="007E147B">
      <w:pPr>
        <w:pStyle w:val="Heading2"/>
      </w:pPr>
      <w:bookmarkStart w:id="11" w:name="_Toc113022373"/>
      <w:r>
        <w:t>E</w:t>
      </w:r>
      <w:r w:rsidR="00AD41FC" w:rsidRPr="00A12FBC">
        <w:t>vidence on how informal carers of older people are affected by their caring responsibilities:</w:t>
      </w:r>
      <w:bookmarkEnd w:id="11"/>
    </w:p>
    <w:p w14:paraId="56068DB0" w14:textId="5D275A92" w:rsidR="00D4517E" w:rsidRPr="003E1311" w:rsidRDefault="00AD41FC" w:rsidP="003E1311">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What other evidence should the Commission consider relating to what causes informal carers to have lower labour force participation, or incomes, or poorer health and wellbeing compared to those without caring responsibilities?</w:t>
      </w:r>
    </w:p>
    <w:p w14:paraId="28B761B9" w14:textId="77777777" w:rsidR="00DB5995" w:rsidRDefault="00DB5995" w:rsidP="00273BE2">
      <w:pPr>
        <w:pStyle w:val="BodyText"/>
      </w:pPr>
    </w:p>
    <w:p w14:paraId="6C8D9C61" w14:textId="560051D6" w:rsidR="00EA19D5" w:rsidRDefault="00050E68" w:rsidP="00273BE2">
      <w:pPr>
        <w:pStyle w:val="BodyText"/>
      </w:pPr>
      <w:r>
        <w:lastRenderedPageBreak/>
        <w:t xml:space="preserve">As a longitudinal study, ALSWH </w:t>
      </w:r>
      <w:r w:rsidR="00B672AB">
        <w:t>allows researchers</w:t>
      </w:r>
      <w:r>
        <w:t xml:space="preserve"> to investigate which factors may </w:t>
      </w:r>
      <w:r w:rsidR="00D4517E">
        <w:t>contribute to lower labour force participation</w:t>
      </w:r>
      <w:r w:rsidR="00B672AB">
        <w:t xml:space="preserve"> and</w:t>
      </w:r>
      <w:r w:rsidR="00D4517E">
        <w:t xml:space="preserve"> incomes or poorer health and wellbeing</w:t>
      </w:r>
      <w:r w:rsidR="00B672AB">
        <w:t xml:space="preserve"> among caregivers</w:t>
      </w:r>
      <w:r w:rsidR="00D4517E">
        <w:t xml:space="preserve">. </w:t>
      </w:r>
      <w:r w:rsidR="00EA19D5">
        <w:t xml:space="preserve">Several authors have examined changes in caregiving over time for ALSWH participants and the associations of such transitions with various </w:t>
      </w:r>
      <w:r w:rsidR="00EA19D5" w:rsidRPr="00B25C1F">
        <w:t>socio-demographic status, health status and health behaviour</w:t>
      </w:r>
      <w:r w:rsidR="00EA19D5">
        <w:t xml:space="preserve"> factors</w:t>
      </w:r>
      <w:r w:rsidR="00EA19D5" w:rsidRPr="00B25C1F">
        <w:t xml:space="preserve">. </w:t>
      </w:r>
    </w:p>
    <w:p w14:paraId="648414B1" w14:textId="2C039E6E" w:rsidR="00D33A9D" w:rsidRDefault="00D33A9D" w:rsidP="00103D53">
      <w:pPr>
        <w:pStyle w:val="Heading3"/>
      </w:pPr>
      <w:bookmarkStart w:id="12" w:name="_Toc113022374"/>
      <w:r>
        <w:t>Health</w:t>
      </w:r>
      <w:bookmarkEnd w:id="12"/>
    </w:p>
    <w:p w14:paraId="2FDA0F7B" w14:textId="6CAF80B5" w:rsidR="00103D53" w:rsidRDefault="00103D53" w:rsidP="00142D3D">
      <w:pPr>
        <w:pStyle w:val="Heading4"/>
      </w:pPr>
      <w:r>
        <w:t>Poor health</w:t>
      </w:r>
      <w:r w:rsidR="00755477">
        <w:t xml:space="preserve"> before and after caregiving roles</w:t>
      </w:r>
      <w:r w:rsidR="000C0281">
        <w:t xml:space="preserve"> </w:t>
      </w:r>
    </w:p>
    <w:p w14:paraId="26B0D982" w14:textId="56C7B946" w:rsidR="00835311" w:rsidRPr="00487123" w:rsidRDefault="000C0281" w:rsidP="00273BE2">
      <w:pPr>
        <w:pStyle w:val="BodyText"/>
      </w:pPr>
      <w:r>
        <w:t>Poorer</w:t>
      </w:r>
      <w:r w:rsidR="00835311">
        <w:t xml:space="preserve"> physical</w:t>
      </w:r>
      <w:r w:rsidR="00142D3D">
        <w:t xml:space="preserve"> and</w:t>
      </w:r>
      <w:r w:rsidR="00835311">
        <w:t xml:space="preserve"> mental</w:t>
      </w:r>
      <w:r>
        <w:t xml:space="preserve"> health</w:t>
      </w:r>
      <w:r w:rsidR="00835311">
        <w:t xml:space="preserve"> and reduced quality of life</w:t>
      </w:r>
      <w:r>
        <w:t xml:space="preserve"> </w:t>
      </w:r>
      <w:r w:rsidR="00835311">
        <w:t xml:space="preserve">are </w:t>
      </w:r>
      <w:r>
        <w:t>known impact</w:t>
      </w:r>
      <w:r w:rsidR="00835311">
        <w:t>s</w:t>
      </w:r>
      <w:r>
        <w:t xml:space="preserve"> of taking on </w:t>
      </w:r>
      <w:r w:rsidRPr="00487123">
        <w:t>the burden of caregiving</w:t>
      </w:r>
      <w:r w:rsidR="00835311" w:rsidRPr="00487123">
        <w:t xml:space="preserve">. </w:t>
      </w:r>
      <w:r w:rsidR="007E3873" w:rsidRPr="00487123">
        <w:t>The</w:t>
      </w:r>
      <w:r w:rsidR="00755477" w:rsidRPr="00487123">
        <w:t xml:space="preserve">re is a possible compounding relationship between poor health before caregiving, and the negative impacts of caregiving on health. </w:t>
      </w:r>
    </w:p>
    <w:p w14:paraId="6F29A4C5" w14:textId="2FDEB49A" w:rsidR="007E3873" w:rsidRPr="00487123" w:rsidRDefault="00487123" w:rsidP="00273BE2">
      <w:pPr>
        <w:pStyle w:val="BodyText"/>
      </w:pPr>
      <w:r w:rsidRPr="00487123">
        <w:t xml:space="preserve">Research published by Lee and </w:t>
      </w:r>
      <w:proofErr w:type="spellStart"/>
      <w:r w:rsidRPr="00487123">
        <w:t>Gramotnev</w:t>
      </w:r>
      <w:proofErr w:type="spellEnd"/>
      <w:r w:rsidRPr="00487123">
        <w:t xml:space="preserve"> in 2007 investigated transitions into and out of caregiving. They analysed data from 9555 women in the 1946-51 cohort between Survey 2 and Survey 3 (when the women were aged 47-55). The women were classified as continuing to give care (3%), stopped caring (5%), started caring (3%), or were never caregivers (89%). </w:t>
      </w:r>
    </w:p>
    <w:p w14:paraId="733BF5D4" w14:textId="38FF3831" w:rsidR="00835311" w:rsidRPr="00487123" w:rsidRDefault="00EA19D5" w:rsidP="00273BE2">
      <w:pPr>
        <w:pStyle w:val="BodyText"/>
      </w:pPr>
      <w:r w:rsidRPr="00487123">
        <w:t xml:space="preserve">At both surveys, women in the three caregiver groups showed poorer physical and emotional health, greater use of health services, poorer health behaviours and lower engagement in the paid workforce compared with never caregivers. </w:t>
      </w:r>
      <w:r w:rsidR="00487123" w:rsidRPr="00487123">
        <w:t xml:space="preserve">The authors concluded that </w:t>
      </w:r>
      <w:r w:rsidR="00487123">
        <w:t>m</w:t>
      </w:r>
      <w:r w:rsidR="00487123" w:rsidRPr="00487123">
        <w:t>id-aged women in poorer health tend to self-select into caregiving</w:t>
      </w:r>
      <w:r w:rsidR="00487123">
        <w:t xml:space="preserve"> </w:t>
      </w:r>
      <w:r w:rsidR="00487123" w:rsidRPr="00CC612C">
        <w:rPr>
          <w:color w:val="231F20"/>
        </w:rPr>
        <w:t xml:space="preserve">because they </w:t>
      </w:r>
      <w:r w:rsidR="00487123">
        <w:rPr>
          <w:color w:val="231F20"/>
        </w:rPr>
        <w:t>were already</w:t>
      </w:r>
      <w:r w:rsidR="00487123" w:rsidRPr="00CC612C">
        <w:rPr>
          <w:color w:val="231F20"/>
        </w:rPr>
        <w:t xml:space="preserve"> less engaged with the paid workforce</w:t>
      </w:r>
      <w:r w:rsidR="00487123">
        <w:rPr>
          <w:color w:val="231F20"/>
        </w:rPr>
        <w:t>. Their p</w:t>
      </w:r>
      <w:r w:rsidR="00487123" w:rsidRPr="00CC612C">
        <w:rPr>
          <w:color w:val="231F20"/>
        </w:rPr>
        <w:t>oor health and disengagement from the paid workforce continue</w:t>
      </w:r>
      <w:r w:rsidR="00487123">
        <w:rPr>
          <w:color w:val="231F20"/>
        </w:rPr>
        <w:t>d</w:t>
      </w:r>
      <w:r w:rsidR="00487123" w:rsidRPr="00CC612C">
        <w:rPr>
          <w:color w:val="231F20"/>
        </w:rPr>
        <w:t xml:space="preserve"> even when caregiving stop</w:t>
      </w:r>
      <w:r w:rsidR="00487123">
        <w:rPr>
          <w:color w:val="231F20"/>
        </w:rPr>
        <w:t xml:space="preserve">ped. </w:t>
      </w:r>
    </w:p>
    <w:p w14:paraId="0F22A3E1" w14:textId="21BE9ED1" w:rsidR="005F08E3" w:rsidRDefault="005F08E3" w:rsidP="00142D3D">
      <w:pPr>
        <w:pStyle w:val="Heading4"/>
      </w:pPr>
      <w:r>
        <w:t xml:space="preserve">Impact of care recipient impairment on the health of their carer </w:t>
      </w:r>
    </w:p>
    <w:p w14:paraId="093CD57F" w14:textId="3A25D73A" w:rsidR="00AC4C91" w:rsidRDefault="00835311" w:rsidP="00273BE2">
      <w:pPr>
        <w:pStyle w:val="BodyText"/>
      </w:pPr>
      <w:r>
        <w:t>The burden on caregivers has also been linked to th</w:t>
      </w:r>
      <w:r w:rsidR="0018296F">
        <w:t>eir care recipient</w:t>
      </w:r>
      <w:r w:rsidR="001B0B19">
        <w:t>’</w:t>
      </w:r>
      <w:r w:rsidR="0018296F">
        <w:t>s type of impairment.</w:t>
      </w:r>
      <w:r w:rsidR="008804CD">
        <w:t xml:space="preserve"> Physical care needs </w:t>
      </w:r>
      <w:r w:rsidR="00AC4C91">
        <w:t>are often appraised as being more manageable. The care recipient</w:t>
      </w:r>
      <w:r w:rsidR="001B0B19">
        <w:t>’</w:t>
      </w:r>
      <w:r w:rsidR="00AC4C91">
        <w:t>s needs can be met in planned time periods and supported by community care – e.g. meals on wheels, home nursing, or domestic care. In contrast, cognitive and personality changes in the care recipient (e.g. dementia, stroke and other neurological disorders)</w:t>
      </w:r>
      <w:r w:rsidR="00142D3D">
        <w:t xml:space="preserve"> may be more difficult </w:t>
      </w:r>
      <w:r w:rsidR="00B672AB">
        <w:t xml:space="preserve">to manage </w:t>
      </w:r>
      <w:r w:rsidR="00142D3D">
        <w:t xml:space="preserve">due to the requirement for </w:t>
      </w:r>
      <w:r w:rsidR="00AC4C91">
        <w:t xml:space="preserve">constant supervision </w:t>
      </w:r>
      <w:r w:rsidR="002239C0">
        <w:t xml:space="preserve">and uncooperative or oppositional </w:t>
      </w:r>
      <w:r w:rsidR="00D44241">
        <w:t>behaviour</w:t>
      </w:r>
      <w:r w:rsidR="002239C0">
        <w:t xml:space="preserve">. </w:t>
      </w:r>
    </w:p>
    <w:p w14:paraId="267BEF00" w14:textId="670F6BFA" w:rsidR="00721625" w:rsidRDefault="00721625" w:rsidP="00273BE2">
      <w:pPr>
        <w:pStyle w:val="BodyText"/>
      </w:pPr>
      <w:r>
        <w:t xml:space="preserve">An analysis of level and burden and quality of life among carers in the 1921-26 cohort found that 60% cared for people who had both cognitive and physical impairments. The carers were 78-83 years old and </w:t>
      </w:r>
      <w:r w:rsidR="00B672AB">
        <w:t>mostly cared</w:t>
      </w:r>
      <w:r>
        <w:t xml:space="preserve"> for their elderly husbands. </w:t>
      </w:r>
    </w:p>
    <w:p w14:paraId="53967AF0" w14:textId="21953A50" w:rsidR="00835311" w:rsidRPr="00D4517E" w:rsidRDefault="00721625" w:rsidP="00273BE2">
      <w:pPr>
        <w:pStyle w:val="BodyText"/>
      </w:pPr>
      <w:r>
        <w:t xml:space="preserve">Those who </w:t>
      </w:r>
      <w:r w:rsidR="008804CD">
        <w:t>look</w:t>
      </w:r>
      <w:r w:rsidR="002239C0">
        <w:t>ed</w:t>
      </w:r>
      <w:r w:rsidR="008804CD">
        <w:t xml:space="preserve"> after people with both physical and cognitive impairments found caregiving to be</w:t>
      </w:r>
      <w:r w:rsidR="004D1799">
        <w:t xml:space="preserve"> objectively</w:t>
      </w:r>
      <w:r w:rsidR="008804CD">
        <w:t xml:space="preserve"> more burdensome</w:t>
      </w:r>
      <w:r w:rsidR="004D1799">
        <w:t xml:space="preserve"> and had worse </w:t>
      </w:r>
      <w:r w:rsidR="00576B41">
        <w:t>physical limitations in their own lives</w:t>
      </w:r>
      <w:r w:rsidR="008804CD">
        <w:t xml:space="preserve"> than those caring for someone with only one type of impairment. </w:t>
      </w:r>
      <w:r w:rsidR="00B672AB">
        <w:t>Levels of e</w:t>
      </w:r>
      <w:r w:rsidR="004D1799">
        <w:t>motional strain was</w:t>
      </w:r>
      <w:r w:rsidR="008804CD">
        <w:t xml:space="preserve"> highest in women caring for people with cognitive impairments, regardless of whether they also had physical impairments</w:t>
      </w:r>
      <w:r w:rsidR="00C870F4">
        <w:t xml:space="preserve"> </w:t>
      </w:r>
      <w:r w:rsidR="000F4423">
        <w:fldChar w:fldCharType="begin"/>
      </w:r>
      <w:r w:rsidR="000F4423">
        <w:instrText xml:space="preserve"> ADDIN EN.CITE &lt;EndNote&gt;&lt;Cite&gt;&lt;Author&gt;Tooth&lt;/Author&gt;&lt;Year&gt;2008&lt;/Year&gt;&lt;RecNum&gt;22&lt;/RecNum&gt;&lt;DisplayText&gt;(Tooth et al., 2008)&lt;/DisplayText&gt;&lt;record&gt;&lt;rec-number&gt;22&lt;/rec-number&gt;&lt;foreign-keys&gt;&lt;key app="EN" db-id="xx2v2zadpfd5z8etd04xdztg9xtdpff2szrs" timestamp="1661993826"&gt;22&lt;/key&gt;&lt;/foreign-keys&gt;&lt;ref-type name="Journal Article"&gt;17&lt;/ref-type&gt;&lt;contributors&gt;&lt;authors&gt;&lt;author&gt;Tooth, Leigh&lt;/author&gt;&lt;author&gt;Russell, Anne&lt;/author&gt;&lt;author&gt;Lucke, Jayne&lt;/author&gt;&lt;author&gt;Byrne, Gerard&lt;/author&gt;&lt;author&gt;Lee, Christina&lt;/author&gt;&lt;author&gt;Wilson, Andrew&lt;/author&gt;&lt;author&gt;Dobson, Annette&lt;/author&gt;&lt;/authors&gt;&lt;/contributors&gt;&lt;titles&gt;&lt;title&gt;Impact of cognitive and physical impairment on carer burden and quality of life&lt;/title&gt;&lt;secondary-title&gt;Quality of Life Research&lt;/secondary-title&gt;&lt;/titles&gt;&lt;periodical&gt;&lt;full-title&gt;Quality of life research&lt;/full-title&gt;&lt;/periodical&gt;&lt;pages&gt;267-273&lt;/pages&gt;&lt;volume&gt;17&lt;/volume&gt;&lt;number&gt;2&lt;/number&gt;&lt;dates&gt;&lt;year&gt;2008&lt;/year&gt;&lt;pub-dates&gt;&lt;date&gt;2008/03/01&lt;/date&gt;&lt;/pub-dates&gt;&lt;/dates&gt;&lt;isbn&gt;1573-2649&lt;/isbn&gt;&lt;urls&gt;&lt;related-urls&gt;&lt;url&gt;https://doi.org/10.1007/s11136-007-9300-7&lt;/url&gt;&lt;/related-urls&gt;&lt;/urls&gt;&lt;electronic-resource-num&gt;10.1007/s11136-007-9300-7&lt;/electronic-resource-num&gt;&lt;/record&gt;&lt;/Cite&gt;&lt;/EndNote&gt;</w:instrText>
      </w:r>
      <w:r w:rsidR="000F4423">
        <w:fldChar w:fldCharType="separate"/>
      </w:r>
      <w:r w:rsidR="000F4423">
        <w:rPr>
          <w:noProof/>
        </w:rPr>
        <w:t>(</w:t>
      </w:r>
      <w:hyperlink w:anchor="_ENREF_14" w:tooltip="Tooth, 2008 #22" w:history="1">
        <w:r w:rsidR="000F4423">
          <w:rPr>
            <w:noProof/>
          </w:rPr>
          <w:t>Tooth et al., 2008</w:t>
        </w:r>
      </w:hyperlink>
      <w:r w:rsidR="000F4423">
        <w:rPr>
          <w:noProof/>
        </w:rPr>
        <w:t>)</w:t>
      </w:r>
      <w:r w:rsidR="000F4423">
        <w:fldChar w:fldCharType="end"/>
      </w:r>
      <w:r w:rsidR="00876D8F">
        <w:t>.</w:t>
      </w:r>
    </w:p>
    <w:p w14:paraId="4D82EC53" w14:textId="6BE906BA" w:rsidR="00103D53" w:rsidRDefault="00A85A38" w:rsidP="00103D53">
      <w:pPr>
        <w:pStyle w:val="Heading3"/>
      </w:pPr>
      <w:bookmarkStart w:id="13" w:name="_Toc113022375"/>
      <w:r>
        <w:t>Socio</w:t>
      </w:r>
      <w:r w:rsidR="00EE1A8D">
        <w:t>-</w:t>
      </w:r>
      <w:r>
        <w:t>demographic factors related to o</w:t>
      </w:r>
      <w:r w:rsidR="00D4517E">
        <w:t>ngoing vs transitory</w:t>
      </w:r>
      <w:r w:rsidR="00103D53">
        <w:t xml:space="preserve"> care</w:t>
      </w:r>
      <w:bookmarkEnd w:id="13"/>
    </w:p>
    <w:p w14:paraId="1FF2E688" w14:textId="669344AB" w:rsidR="00D33A9D" w:rsidRDefault="00EA19D5" w:rsidP="00273BE2">
      <w:pPr>
        <w:pStyle w:val="BodyText"/>
        <w:rPr>
          <w:rFonts w:cstheme="minorHAnsi"/>
        </w:rPr>
      </w:pPr>
      <w:r>
        <w:t>Tooth and Mishra (2014) investigated longer</w:t>
      </w:r>
      <w:r w:rsidR="00DA65AC">
        <w:t>-</w:t>
      </w:r>
      <w:r>
        <w:t xml:space="preserve">term transitions in caregiving in women in the 1973-78 cohort (over 13 years, from Surveys 1-5) and the 1946-51 cohort (over </w:t>
      </w:r>
      <w:r w:rsidR="00DA65AC">
        <w:t>nine</w:t>
      </w:r>
      <w:r>
        <w:t xml:space="preserve"> years, from Surveys 3 to 6) and associations between these transitions and the </w:t>
      </w:r>
      <w:r w:rsidRPr="003675E3">
        <w:rPr>
          <w:rFonts w:cstheme="minorHAnsi"/>
        </w:rPr>
        <w:t>women</w:t>
      </w:r>
      <w:r w:rsidR="001B0B19">
        <w:rPr>
          <w:rFonts w:cstheme="minorHAnsi"/>
        </w:rPr>
        <w:t>’</w:t>
      </w:r>
      <w:r w:rsidRPr="003675E3">
        <w:rPr>
          <w:rFonts w:cstheme="minorHAnsi"/>
        </w:rPr>
        <w:t xml:space="preserve">s </w:t>
      </w:r>
      <w:r>
        <w:rPr>
          <w:rFonts w:cstheme="minorHAnsi"/>
        </w:rPr>
        <w:t>baseline d</w:t>
      </w:r>
      <w:r w:rsidRPr="003675E3">
        <w:rPr>
          <w:rFonts w:cstheme="minorHAnsi"/>
        </w:rPr>
        <w:t>emographic, socioeconomic status, health status</w:t>
      </w:r>
      <w:r>
        <w:rPr>
          <w:rFonts w:cstheme="minorHAnsi"/>
        </w:rPr>
        <w:t xml:space="preserve"> </w:t>
      </w:r>
      <w:r w:rsidRPr="003675E3">
        <w:rPr>
          <w:rFonts w:cstheme="minorHAnsi"/>
        </w:rPr>
        <w:t>and health behaviour characteristics</w:t>
      </w:r>
      <w:r>
        <w:rPr>
          <w:rFonts w:cstheme="minorHAnsi"/>
        </w:rPr>
        <w:t xml:space="preserve">. </w:t>
      </w:r>
    </w:p>
    <w:p w14:paraId="586FEE7D" w14:textId="411711B0" w:rsidR="00EA19D5" w:rsidRDefault="00EA19D5" w:rsidP="00273BE2">
      <w:pPr>
        <w:pStyle w:val="BodyText"/>
      </w:pPr>
      <w:r w:rsidRPr="00164D0C">
        <w:lastRenderedPageBreak/>
        <w:t xml:space="preserve">The study included </w:t>
      </w:r>
      <w:r w:rsidRPr="004E7759">
        <w:t xml:space="preserve">14,202 women </w:t>
      </w:r>
      <w:r>
        <w:t xml:space="preserve">in the 1973-78 cohort and </w:t>
      </w:r>
      <w:r w:rsidRPr="00164D0C">
        <w:t>12,282 women</w:t>
      </w:r>
      <w:r>
        <w:t xml:space="preserve"> in the 1946-51 cohort, and latent class analysis was used to identify </w:t>
      </w:r>
      <w:r w:rsidR="001B0B19">
        <w:t>‘</w:t>
      </w:r>
      <w:r>
        <w:t>classes</w:t>
      </w:r>
      <w:r w:rsidR="001B0B19">
        <w:t>’</w:t>
      </w:r>
      <w:r>
        <w:t xml:space="preserve"> or </w:t>
      </w:r>
      <w:r w:rsidR="001B0B19">
        <w:t>‘</w:t>
      </w:r>
      <w:r>
        <w:t>trajectories</w:t>
      </w:r>
      <w:r w:rsidR="001B0B19">
        <w:t>’</w:t>
      </w:r>
      <w:r>
        <w:t xml:space="preserve"> of women who have similar patterns of caregiving over time</w:t>
      </w:r>
      <w:r w:rsidRPr="00164D0C">
        <w:t xml:space="preserve">. </w:t>
      </w:r>
    </w:p>
    <w:p w14:paraId="718848AC" w14:textId="77777777" w:rsidR="00DA65AC" w:rsidRDefault="00EA19D5" w:rsidP="00273BE2">
      <w:pPr>
        <w:pStyle w:val="BodyText"/>
      </w:pPr>
      <w:r>
        <w:t>For the 1973-78 cohort, f</w:t>
      </w:r>
      <w:r w:rsidRPr="004E7759">
        <w:t xml:space="preserve">ive </w:t>
      </w:r>
      <w:r w:rsidR="00DA65AC">
        <w:t>caregiving trajectories</w:t>
      </w:r>
      <w:r>
        <w:t xml:space="preserve"> were found to </w:t>
      </w:r>
      <w:r w:rsidRPr="004E7759">
        <w:t>represent distinct groups</w:t>
      </w:r>
      <w:r>
        <w:t xml:space="preserve"> of caregivers</w:t>
      </w:r>
      <w:r w:rsidRPr="004E7759">
        <w:t xml:space="preserve">. </w:t>
      </w:r>
      <w:r>
        <w:t xml:space="preserve">However, most women (94%) were in a single class which had the lowest probability of being a caregiver over the </w:t>
      </w:r>
      <w:r w:rsidR="00D44241">
        <w:t>period</w:t>
      </w:r>
      <w:r>
        <w:t xml:space="preserve">, and most women had </w:t>
      </w:r>
      <w:r w:rsidR="001B0B19">
        <w:t>‘</w:t>
      </w:r>
      <w:r>
        <w:t>never</w:t>
      </w:r>
      <w:r w:rsidR="001B0B19">
        <w:t>’</w:t>
      </w:r>
      <w:r>
        <w:t xml:space="preserve"> provided care. The other four classes were: </w:t>
      </w:r>
      <w:r w:rsidR="001B0B19">
        <w:t>‘</w:t>
      </w:r>
      <w:r w:rsidRPr="004E7759">
        <w:t>ongoing</w:t>
      </w:r>
      <w:r w:rsidR="001B0B19">
        <w:t>’</w:t>
      </w:r>
      <w:r w:rsidRPr="004E7759">
        <w:t xml:space="preserve"> with the highest probability of caregiv</w:t>
      </w:r>
      <w:r>
        <w:t>ing</w:t>
      </w:r>
      <w:r w:rsidRPr="004E7759">
        <w:t xml:space="preserve"> across the 5 surveys</w:t>
      </w:r>
      <w:r>
        <w:t xml:space="preserve"> (1%</w:t>
      </w:r>
      <w:r w:rsidRPr="004E7759">
        <w:t xml:space="preserve">), </w:t>
      </w:r>
      <w:r w:rsidR="001B0B19">
        <w:t>‘</w:t>
      </w:r>
      <w:r w:rsidRPr="004E7759">
        <w:t>starting</w:t>
      </w:r>
      <w:r w:rsidR="001B0B19">
        <w:t>’</w:t>
      </w:r>
      <w:r w:rsidRPr="004E7759">
        <w:t xml:space="preserve"> </w:t>
      </w:r>
      <w:r>
        <w:t xml:space="preserve">with </w:t>
      </w:r>
      <w:r w:rsidRPr="004E7759">
        <w:t>an initial low probability of caregiving which increased over time</w:t>
      </w:r>
      <w:r>
        <w:t xml:space="preserve"> (2%</w:t>
      </w:r>
      <w:r w:rsidRPr="004E7759">
        <w:t xml:space="preserve">), </w:t>
      </w:r>
      <w:r w:rsidR="001B0B19">
        <w:t>‘</w:t>
      </w:r>
      <w:r w:rsidRPr="004E7759">
        <w:t>short-term</w:t>
      </w:r>
      <w:r w:rsidR="001B0B19">
        <w:t>’</w:t>
      </w:r>
      <w:r w:rsidRPr="004E7759">
        <w:t xml:space="preserve"> </w:t>
      </w:r>
      <w:r>
        <w:t xml:space="preserve">with </w:t>
      </w:r>
      <w:r w:rsidRPr="004E7759">
        <w:t xml:space="preserve">an initial low probability </w:t>
      </w:r>
      <w:r>
        <w:t xml:space="preserve">of caregiving </w:t>
      </w:r>
      <w:r w:rsidRPr="004E7759">
        <w:t>which spiked and then dropped to low</w:t>
      </w:r>
      <w:r>
        <w:t xml:space="preserve"> (3%),</w:t>
      </w:r>
      <w:r w:rsidRPr="004E7759">
        <w:t xml:space="preserve"> </w:t>
      </w:r>
      <w:r>
        <w:t xml:space="preserve">and </w:t>
      </w:r>
      <w:r w:rsidR="001B0B19">
        <w:t>‘</w:t>
      </w:r>
      <w:r w:rsidRPr="004E7759">
        <w:t>early high then fluctuating</w:t>
      </w:r>
      <w:r w:rsidR="001B0B19">
        <w:t>’</w:t>
      </w:r>
      <w:r w:rsidRPr="004E7759">
        <w:t xml:space="preserve"> (1%</w:t>
      </w:r>
      <w:r>
        <w:t xml:space="preserve">). </w:t>
      </w:r>
    </w:p>
    <w:p w14:paraId="5F5EF1D2" w14:textId="051352BC" w:rsidR="00EA19D5" w:rsidRDefault="00EA19D5" w:rsidP="00273BE2">
      <w:pPr>
        <w:pStyle w:val="BodyText"/>
      </w:pPr>
      <w:r>
        <w:t>I</w:t>
      </w:r>
      <w:r w:rsidRPr="004E7759">
        <w:t xml:space="preserve">ndicators of poorer </w:t>
      </w:r>
      <w:r>
        <w:t xml:space="preserve">socioeconomic </w:t>
      </w:r>
      <w:r w:rsidRPr="004E7759">
        <w:t>factors at baseline (</w:t>
      </w:r>
      <w:r>
        <w:t>difficulties with income management</w:t>
      </w:r>
      <w:r w:rsidRPr="004E7759">
        <w:t xml:space="preserve">, reduced labour force participation) </w:t>
      </w:r>
      <w:r>
        <w:t xml:space="preserve">were associated with the </w:t>
      </w:r>
      <w:r w:rsidRPr="004E7759">
        <w:t xml:space="preserve">latent classes representing </w:t>
      </w:r>
      <w:r w:rsidR="001B0B19">
        <w:t>‘</w:t>
      </w:r>
      <w:r>
        <w:t>ongoing</w:t>
      </w:r>
      <w:r w:rsidR="001B0B19">
        <w:t>’</w:t>
      </w:r>
      <w:r>
        <w:t xml:space="preserve"> and </w:t>
      </w:r>
      <w:r w:rsidR="001B0B19">
        <w:t>‘</w:t>
      </w:r>
      <w:r>
        <w:t>starting</w:t>
      </w:r>
      <w:r w:rsidR="001B0B19">
        <w:t>’</w:t>
      </w:r>
      <w:r>
        <w:t xml:space="preserve"> caregiving</w:t>
      </w:r>
      <w:r w:rsidRPr="004E7759">
        <w:t>. However,</w:t>
      </w:r>
      <w:r>
        <w:t xml:space="preserve"> </w:t>
      </w:r>
      <w:r w:rsidRPr="004E7759">
        <w:t xml:space="preserve">the </w:t>
      </w:r>
      <w:r>
        <w:t xml:space="preserve">socioeconomic </w:t>
      </w:r>
      <w:r w:rsidRPr="004E7759">
        <w:t xml:space="preserve">factors associated with the latent class representing </w:t>
      </w:r>
      <w:r w:rsidR="001B0B19">
        <w:t>‘</w:t>
      </w:r>
      <w:r w:rsidRPr="004E7759">
        <w:t>short-term</w:t>
      </w:r>
      <w:r w:rsidR="001B0B19">
        <w:t>’</w:t>
      </w:r>
      <w:r w:rsidRPr="004E7759">
        <w:t xml:space="preserve"> </w:t>
      </w:r>
      <w:r>
        <w:t xml:space="preserve">caregiving </w:t>
      </w:r>
      <w:r w:rsidRPr="004E7759">
        <w:t>were more</w:t>
      </w:r>
      <w:r>
        <w:t xml:space="preserve"> </w:t>
      </w:r>
      <w:r w:rsidRPr="004E7759">
        <w:t>mixed</w:t>
      </w:r>
      <w:r w:rsidR="00DA65AC">
        <w:t>. W</w:t>
      </w:r>
      <w:r w:rsidRPr="004E7759">
        <w:t>hile they re</w:t>
      </w:r>
      <w:r>
        <w:t xml:space="preserve">presented </w:t>
      </w:r>
      <w:r w:rsidRPr="004E7759">
        <w:t>financial hardship at baseline,</w:t>
      </w:r>
      <w:r>
        <w:t xml:space="preserve"> </w:t>
      </w:r>
      <w:r w:rsidRPr="004E7759">
        <w:t xml:space="preserve">they also </w:t>
      </w:r>
      <w:r>
        <w:t>reflected varying l</w:t>
      </w:r>
      <w:r w:rsidRPr="004E7759">
        <w:t>evels of labour force participation</w:t>
      </w:r>
      <w:r>
        <w:t xml:space="preserve"> </w:t>
      </w:r>
      <w:r w:rsidRPr="004E7759">
        <w:t>(from no work or study up to full-time work and study)</w:t>
      </w:r>
      <w:r>
        <w:t xml:space="preserve"> </w:t>
      </w:r>
      <w:r w:rsidRPr="004E7759">
        <w:t xml:space="preserve">and </w:t>
      </w:r>
      <w:r>
        <w:t xml:space="preserve">both low and high </w:t>
      </w:r>
      <w:r w:rsidRPr="004E7759">
        <w:t>educational qualifications (</w:t>
      </w:r>
      <w:r w:rsidRPr="004E7759">
        <w:rPr>
          <w:rFonts w:eastAsia="VgsrygAdvTT86d47313+22"/>
        </w:rPr>
        <w:t>≤</w:t>
      </w:r>
      <w:r w:rsidRPr="004E7759">
        <w:t>10 years and</w:t>
      </w:r>
      <w:r>
        <w:t xml:space="preserve"> </w:t>
      </w:r>
      <w:r w:rsidRPr="004E7759">
        <w:t>also trade/certificate/diploma). In a further contrast, no</w:t>
      </w:r>
      <w:r>
        <w:t xml:space="preserve"> socioeconomic </w:t>
      </w:r>
      <w:r w:rsidRPr="004E7759">
        <w:t>factors were associated with the latent class representing</w:t>
      </w:r>
      <w:r>
        <w:t xml:space="preserve"> </w:t>
      </w:r>
      <w:r w:rsidR="001B0B19">
        <w:t>‘</w:t>
      </w:r>
      <w:r>
        <w:t>fluctuating</w:t>
      </w:r>
      <w:r w:rsidR="001B0B19">
        <w:t>’</w:t>
      </w:r>
      <w:r>
        <w:t xml:space="preserve"> caregiving</w:t>
      </w:r>
      <w:r w:rsidRPr="004E7759">
        <w:t>.</w:t>
      </w:r>
      <w:r>
        <w:t xml:space="preserve"> The authors suggested t</w:t>
      </w:r>
      <w:r w:rsidRPr="004E7759">
        <w:t>his may indicate that self-selection into more transitory</w:t>
      </w:r>
      <w:r>
        <w:t xml:space="preserve"> </w:t>
      </w:r>
      <w:r w:rsidRPr="004E7759">
        <w:t>car</w:t>
      </w:r>
      <w:r>
        <w:t>egiving</w:t>
      </w:r>
      <w:r w:rsidRPr="004E7759">
        <w:t xml:space="preserve"> behavio</w:t>
      </w:r>
      <w:r>
        <w:t>u</w:t>
      </w:r>
      <w:r w:rsidRPr="004E7759">
        <w:t>rs by young women may be less influenced</w:t>
      </w:r>
      <w:r>
        <w:t xml:space="preserve"> </w:t>
      </w:r>
      <w:r w:rsidRPr="004E7759">
        <w:t xml:space="preserve">by </w:t>
      </w:r>
      <w:r>
        <w:t xml:space="preserve">socioeconomic </w:t>
      </w:r>
      <w:r w:rsidRPr="004E7759">
        <w:t>factors, or that young women who participate</w:t>
      </w:r>
      <w:r>
        <w:t xml:space="preserve"> </w:t>
      </w:r>
      <w:r w:rsidRPr="004E7759">
        <w:t>in transitory car</w:t>
      </w:r>
      <w:r>
        <w:t>egiv</w:t>
      </w:r>
      <w:r w:rsidRPr="004E7759">
        <w:t>ing may comprise distinct groups</w:t>
      </w:r>
      <w:r>
        <w:t xml:space="preserve">. There were mixed and </w:t>
      </w:r>
      <w:r w:rsidRPr="000B79CE">
        <w:t>inconsistent findings on the associations between health and health behaviours on caregiving</w:t>
      </w:r>
      <w:r>
        <w:t xml:space="preserve"> </w:t>
      </w:r>
      <w:r w:rsidR="000F4423">
        <w:fldChar w:fldCharType="begin"/>
      </w:r>
      <w:r w:rsidR="000F4423">
        <w:instrText xml:space="preserve"> ADDIN EN.CITE &lt;EndNote&gt;&lt;Cite&gt;&lt;Author&gt;Tooth&lt;/Author&gt;&lt;Year&gt;2014&lt;/Year&gt;&lt;RecNum&gt;4&lt;/RecNum&gt;&lt;DisplayText&gt;(Tooth &amp;amp; Mishra, 2014)&lt;/DisplayText&gt;&lt;record&gt;&lt;rec-number&gt;4&lt;/rec-number&gt;&lt;foreign-keys&gt;&lt;key app="EN" db-id="xx2v2zadpfd5z8etd04xdztg9xtdpff2szrs" timestamp="1661132650"&gt;4&lt;/key&gt;&lt;/foreign-keys&gt;&lt;ref-type name="Journal Article"&gt;17&lt;/ref-type&gt;&lt;contributors&gt;&lt;authors&gt;&lt;author&gt;Tooth, Leigh&lt;/author&gt;&lt;author&gt;Mishra, Gita&lt;/author&gt;&lt;/authors&gt;&lt;/contributors&gt;&lt;titles&gt;&lt;title&gt;Socioeconomic factors associated with trajectories of caring by young and mid-aged women: a cohort study&lt;/title&gt;&lt;secondary-title&gt;BMC Public Health&lt;/secondary-title&gt;&lt;/titles&gt;&lt;periodical&gt;&lt;full-title&gt;BMC Public Health&lt;/full-title&gt;&lt;/periodical&gt;&lt;pages&gt;74&lt;/pages&gt;&lt;volume&gt;14&lt;/volume&gt;&lt;number&gt;1&lt;/number&gt;&lt;dates&gt;&lt;year&gt;2014&lt;/year&gt;&lt;/dates&gt;&lt;isbn&gt;1471-2458&lt;/isbn&gt;&lt;accession-num&gt;doi:10.1186/1471-2458-14-74&lt;/accession-num&gt;&lt;urls&gt;&lt;related-urls&gt;&lt;url&gt;http://www.biomedcentral.com/1471-2458/14/74&lt;/url&gt;&lt;url&gt;http://www.ncbi.nlm.nih.gov/pmc/articles/PMC3904927/pdf/1471-2458-14-74.pdf&lt;/url&gt;&lt;/related-urls&gt;&lt;/urls&gt;&lt;/record&gt;&lt;/Cite&gt;&lt;/EndNote&gt;</w:instrText>
      </w:r>
      <w:r w:rsidR="000F4423">
        <w:fldChar w:fldCharType="separate"/>
      </w:r>
      <w:r w:rsidR="000F4423">
        <w:rPr>
          <w:noProof/>
        </w:rPr>
        <w:t>(</w:t>
      </w:r>
      <w:hyperlink w:anchor="_ENREF_13" w:tooltip="Tooth, 2014 #4" w:history="1">
        <w:r w:rsidR="000F4423">
          <w:rPr>
            <w:noProof/>
          </w:rPr>
          <w:t>Tooth &amp; Mishra, 2014</w:t>
        </w:r>
      </w:hyperlink>
      <w:r w:rsidR="000F4423">
        <w:rPr>
          <w:noProof/>
        </w:rPr>
        <w:t>)</w:t>
      </w:r>
      <w:r w:rsidR="000F4423">
        <w:fldChar w:fldCharType="end"/>
      </w:r>
    </w:p>
    <w:p w14:paraId="6E7362B8" w14:textId="77777777" w:rsidR="00DA65AC" w:rsidRDefault="00EA19D5" w:rsidP="00273BE2">
      <w:pPr>
        <w:pStyle w:val="BodyText"/>
      </w:pPr>
      <w:r>
        <w:t>For the 1946-51 cohort, t</w:t>
      </w:r>
      <w:r w:rsidRPr="00164D0C">
        <w:t>hree trajectories of car</w:t>
      </w:r>
      <w:r>
        <w:t>egiv</w:t>
      </w:r>
      <w:r w:rsidRPr="00164D0C">
        <w:t>ing were identified represent</w:t>
      </w:r>
      <w:r>
        <w:t xml:space="preserve">ing </w:t>
      </w:r>
      <w:r w:rsidR="001B0B19">
        <w:t>‘</w:t>
      </w:r>
      <w:r w:rsidRPr="00164D0C">
        <w:t>ongoing</w:t>
      </w:r>
      <w:r w:rsidR="001B0B19">
        <w:t>’</w:t>
      </w:r>
      <w:r>
        <w:t xml:space="preserve"> (21% of women with the highest probability of being a caregiver across the 4 surveys)</w:t>
      </w:r>
      <w:r w:rsidRPr="00164D0C">
        <w:t xml:space="preserve">, </w:t>
      </w:r>
      <w:r w:rsidR="001B0B19">
        <w:t>‘</w:t>
      </w:r>
      <w:r w:rsidRPr="00164D0C">
        <w:t>starting</w:t>
      </w:r>
      <w:r w:rsidR="001B0B19">
        <w:t>’</w:t>
      </w:r>
      <w:r w:rsidRPr="00164D0C">
        <w:t xml:space="preserve"> </w:t>
      </w:r>
      <w:r>
        <w:t xml:space="preserve">(9% of women, who showed an initial low probability of caregiving which increased over time) </w:t>
      </w:r>
      <w:r w:rsidRPr="00164D0C">
        <w:t xml:space="preserve">and </w:t>
      </w:r>
      <w:r w:rsidR="001B0B19">
        <w:t>‘</w:t>
      </w:r>
      <w:r w:rsidRPr="00164D0C">
        <w:t>never</w:t>
      </w:r>
      <w:r w:rsidR="001B0B19">
        <w:t>’</w:t>
      </w:r>
      <w:r w:rsidRPr="00164D0C">
        <w:t xml:space="preserve"> car</w:t>
      </w:r>
      <w:r>
        <w:t>egiv</w:t>
      </w:r>
      <w:r w:rsidRPr="00164D0C">
        <w:t>ing</w:t>
      </w:r>
      <w:r>
        <w:t xml:space="preserve"> (70% of women with the lowest probability of being a caregiver across all surveys)</w:t>
      </w:r>
      <w:r w:rsidRPr="00164D0C">
        <w:t xml:space="preserve">. </w:t>
      </w:r>
    </w:p>
    <w:p w14:paraId="188A84B1" w14:textId="56693D3D" w:rsidR="00AA1166" w:rsidRDefault="00876D8F" w:rsidP="00273BE2">
      <w:pPr>
        <w:pStyle w:val="BodyText"/>
      </w:pPr>
      <w:r>
        <w:t>P</w:t>
      </w:r>
      <w:r w:rsidRPr="00164D0C">
        <w:t xml:space="preserve">oorer socioeconomic status </w:t>
      </w:r>
      <w:r>
        <w:t xml:space="preserve">(no occupation, part-time employment, difficulties with income management) </w:t>
      </w:r>
      <w:r w:rsidRPr="00164D0C">
        <w:t>were</w:t>
      </w:r>
      <w:r>
        <w:t xml:space="preserve"> </w:t>
      </w:r>
      <w:r w:rsidRPr="00164D0C">
        <w:t xml:space="preserve">associated with </w:t>
      </w:r>
      <w:r w:rsidR="001B0B19">
        <w:t>‘</w:t>
      </w:r>
      <w:r w:rsidRPr="00164D0C">
        <w:t>ongoing</w:t>
      </w:r>
      <w:r w:rsidR="001B0B19">
        <w:t>’</w:t>
      </w:r>
      <w:r w:rsidRPr="00164D0C">
        <w:t xml:space="preserve"> car</w:t>
      </w:r>
      <w:r>
        <w:t>egiv</w:t>
      </w:r>
      <w:r w:rsidRPr="00164D0C">
        <w:t>ing, but not</w:t>
      </w:r>
      <w:r w:rsidR="00EE1A8D">
        <w:t xml:space="preserve"> </w:t>
      </w:r>
      <w:r w:rsidR="00DA65AC">
        <w:t>‘</w:t>
      </w:r>
      <w:r w:rsidRPr="00164D0C">
        <w:t>starting</w:t>
      </w:r>
      <w:r w:rsidR="001B0B19">
        <w:t>’</w:t>
      </w:r>
      <w:r w:rsidRPr="00164D0C">
        <w:t xml:space="preserve"> car</w:t>
      </w:r>
      <w:r>
        <w:t>egiv</w:t>
      </w:r>
      <w:r w:rsidRPr="00164D0C">
        <w:t>ing.</w:t>
      </w:r>
      <w:r>
        <w:t xml:space="preserve"> The authors suggested that </w:t>
      </w:r>
      <w:r w:rsidRPr="004C0B04">
        <w:t>by</w:t>
      </w:r>
      <w:r>
        <w:t xml:space="preserve"> </w:t>
      </w:r>
      <w:r w:rsidRPr="004C0B04">
        <w:t>mid-age</w:t>
      </w:r>
      <w:r w:rsidR="00DA65AC">
        <w:t>,</w:t>
      </w:r>
      <w:r w:rsidRPr="004C0B04">
        <w:t xml:space="preserve"> self-selection into new </w:t>
      </w:r>
      <w:r>
        <w:t>caregiving</w:t>
      </w:r>
      <w:r w:rsidRPr="004C0B04">
        <w:t xml:space="preserve"> roles may not be as</w:t>
      </w:r>
      <w:r>
        <w:t xml:space="preserve"> </w:t>
      </w:r>
      <w:r w:rsidRPr="004C0B04">
        <w:t>strongly influenced by opportunity cost</w:t>
      </w:r>
      <w:r w:rsidR="00DA65AC">
        <w:t>s</w:t>
      </w:r>
      <w:r w:rsidRPr="004C0B04">
        <w:t xml:space="preserve"> related to </w:t>
      </w:r>
      <w:r>
        <w:t xml:space="preserve">socioeconomic </w:t>
      </w:r>
      <w:r w:rsidRPr="004C0B04">
        <w:t>factors</w:t>
      </w:r>
      <w:r>
        <w:t xml:space="preserve"> (</w:t>
      </w:r>
      <w:r w:rsidRPr="004C0B04">
        <w:t>that is, if a woman assesses she has less to lose</w:t>
      </w:r>
      <w:r>
        <w:t xml:space="preserve"> </w:t>
      </w:r>
      <w:r w:rsidRPr="004C0B04">
        <w:t>by becoming a care</w:t>
      </w:r>
      <w:r>
        <w:t>give</w:t>
      </w:r>
      <w:r w:rsidRPr="004C0B04">
        <w:t>r</w:t>
      </w:r>
      <w:r>
        <w:t xml:space="preserve"> </w:t>
      </w:r>
      <w:r w:rsidRPr="004C0B04">
        <w:t>she may be more likely to self-select into car</w:t>
      </w:r>
      <w:r>
        <w:t>egiv</w:t>
      </w:r>
      <w:r w:rsidRPr="004C0B04">
        <w:t>ing</w:t>
      </w:r>
      <w:r>
        <w:t xml:space="preserve"> </w:t>
      </w:r>
      <w:r w:rsidRPr="004C0B04">
        <w:t>compared to a woman who assesses she has more to lose).</w:t>
      </w:r>
      <w:r>
        <w:t xml:space="preserve"> No associations between health factors and trajectories of caregiving were found.</w:t>
      </w:r>
      <w:r w:rsidR="00DA65AC">
        <w:t xml:space="preserve"> </w:t>
      </w:r>
      <w:r w:rsidR="000F4423">
        <w:fldChar w:fldCharType="begin"/>
      </w:r>
      <w:r w:rsidR="000F4423">
        <w:instrText xml:space="preserve"> ADDIN EN.CITE &lt;EndNote&gt;&lt;Cite&gt;&lt;Author&gt;Tooth&lt;/Author&gt;&lt;Year&gt;2014&lt;/Year&gt;&lt;RecNum&gt;4&lt;/RecNum&gt;&lt;DisplayText&gt;(Tooth &amp;amp; Mishra, 2014)&lt;/DisplayText&gt;&lt;record&gt;&lt;rec-number&gt;4&lt;/rec-number&gt;&lt;foreign-keys&gt;&lt;key app="EN" db-id="xx2v2zadpfd5z8etd04xdztg9xtdpff2szrs" timestamp="1661132650"&gt;4&lt;/key&gt;&lt;/foreign-keys&gt;&lt;ref-type name="Journal Article"&gt;17&lt;/ref-type&gt;&lt;contributors&gt;&lt;authors&gt;&lt;author&gt;Tooth, Leigh&lt;/author&gt;&lt;author&gt;Mishra, Gita&lt;/author&gt;&lt;/authors&gt;&lt;/contributors&gt;&lt;titles&gt;&lt;title&gt;Socioeconomic factors associated with trajectories of caring by young and mid-aged women: a cohort study&lt;/title&gt;&lt;secondary-title&gt;BMC Public Health&lt;/secondary-title&gt;&lt;/titles&gt;&lt;periodical&gt;&lt;full-title&gt;BMC Public Health&lt;/full-title&gt;&lt;/periodical&gt;&lt;pages&gt;74&lt;/pages&gt;&lt;volume&gt;14&lt;/volume&gt;&lt;number&gt;1&lt;/number&gt;&lt;dates&gt;&lt;year&gt;2014&lt;/year&gt;&lt;/dates&gt;&lt;isbn&gt;1471-2458&lt;/isbn&gt;&lt;accession-num&gt;doi:10.1186/1471-2458-14-74&lt;/accession-num&gt;&lt;urls&gt;&lt;related-urls&gt;&lt;url&gt;http://www.biomedcentral.com/1471-2458/14/74&lt;/url&gt;&lt;url&gt;http://www.ncbi.nlm.nih.gov/pmc/articles/PMC3904927/pdf/1471-2458-14-74.pdf&lt;/url&gt;&lt;/related-urls&gt;&lt;/urls&gt;&lt;/record&gt;&lt;/Cite&gt;&lt;/EndNote&gt;</w:instrText>
      </w:r>
      <w:r w:rsidR="000F4423">
        <w:fldChar w:fldCharType="separate"/>
      </w:r>
      <w:r w:rsidR="000F4423">
        <w:rPr>
          <w:noProof/>
        </w:rPr>
        <w:t>(</w:t>
      </w:r>
      <w:hyperlink w:anchor="_ENREF_13" w:tooltip="Tooth, 2014 #4" w:history="1">
        <w:r w:rsidR="000F4423">
          <w:rPr>
            <w:noProof/>
          </w:rPr>
          <w:t>Tooth &amp; Mishra, 2014</w:t>
        </w:r>
      </w:hyperlink>
      <w:r w:rsidR="000F4423">
        <w:rPr>
          <w:noProof/>
        </w:rPr>
        <w:t>)</w:t>
      </w:r>
      <w:r w:rsidR="000F4423">
        <w:fldChar w:fldCharType="end"/>
      </w:r>
      <w:r w:rsidR="00EA19D5" w:rsidRPr="00164D0C">
        <w:t>.</w:t>
      </w:r>
      <w:r w:rsidR="00EA19D5">
        <w:t xml:space="preserve"> </w:t>
      </w:r>
    </w:p>
    <w:p w14:paraId="62F20AB5" w14:textId="77777777" w:rsidR="00DA65AC" w:rsidRPr="00730459" w:rsidRDefault="00DA65AC" w:rsidP="00273BE2">
      <w:pPr>
        <w:pStyle w:val="BodyText"/>
      </w:pPr>
    </w:p>
    <w:p w14:paraId="19A19AFD" w14:textId="45F974D4" w:rsidR="00AA1166" w:rsidRDefault="00AA1166" w:rsidP="006A1B55">
      <w:pPr>
        <w:spacing w:before="40" w:after="160" w:line="276" w:lineRule="auto"/>
        <w:contextualSpacing/>
        <w:jc w:val="both"/>
        <w:rPr>
          <w:szCs w:val="24"/>
        </w:rPr>
      </w:pPr>
      <w:r w:rsidRPr="000B6088">
        <w:rPr>
          <w:rFonts w:cstheme="minorHAnsi"/>
          <w:noProof/>
          <w:color w:val="000000" w:themeColor="text1"/>
          <w:szCs w:val="20"/>
          <w:lang w:val="en-GB" w:eastAsia="en-GB"/>
        </w:rPr>
        <mc:AlternateContent>
          <mc:Choice Requires="wps">
            <w:drawing>
              <wp:inline distT="0" distB="0" distL="0" distR="0" wp14:anchorId="0E03CA93" wp14:editId="7DA28BD2">
                <wp:extent cx="5759450" cy="1414145"/>
                <wp:effectExtent l="0" t="0" r="12700" b="14605"/>
                <wp:docPr id="7" name="Text Box 7"/>
                <wp:cNvGraphicFramePr/>
                <a:graphic xmlns:a="http://schemas.openxmlformats.org/drawingml/2006/main">
                  <a:graphicData uri="http://schemas.microsoft.com/office/word/2010/wordprocessingShape">
                    <wps:wsp>
                      <wps:cNvSpPr txBox="1"/>
                      <wps:spPr>
                        <a:xfrm>
                          <a:off x="0" y="0"/>
                          <a:ext cx="5759450" cy="1414145"/>
                        </a:xfrm>
                        <a:prstGeom prst="rect">
                          <a:avLst/>
                        </a:prstGeom>
                        <a:solidFill>
                          <a:schemeClr val="accent2"/>
                        </a:solidFill>
                        <a:ln w="3175">
                          <a:solidFill>
                            <a:srgbClr val="D7D1CC"/>
                          </a:solidFill>
                        </a:ln>
                        <a:effectLst/>
                      </wps:spPr>
                      <wps:style>
                        <a:lnRef idx="0">
                          <a:schemeClr val="accent1"/>
                        </a:lnRef>
                        <a:fillRef idx="0">
                          <a:schemeClr val="accent1"/>
                        </a:fillRef>
                        <a:effectRef idx="0">
                          <a:schemeClr val="accent1"/>
                        </a:effectRef>
                        <a:fontRef idx="minor">
                          <a:schemeClr val="dk1"/>
                        </a:fontRef>
                      </wps:style>
                      <wps:txbx>
                        <w:txbxContent>
                          <w:p w14:paraId="67C39CCC" w14:textId="77777777" w:rsidR="00AA1166" w:rsidRPr="000B6088" w:rsidRDefault="00AA1166" w:rsidP="00AA1166">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02B8705B" w14:textId="2D74E74D" w:rsidR="009C6787" w:rsidRDefault="009C6787" w:rsidP="00273BE2">
                            <w:pPr>
                              <w:pStyle w:val="ListParagraph0"/>
                              <w:numPr>
                                <w:ilvl w:val="0"/>
                                <w:numId w:val="19"/>
                              </w:numPr>
                            </w:pPr>
                            <w:r>
                              <w:t xml:space="preserve">Additional support </w:t>
                            </w:r>
                            <w:r w:rsidR="00073E25">
                              <w:t xml:space="preserve">in the form of respite and in home community care, </w:t>
                            </w:r>
                            <w:r>
                              <w:t xml:space="preserve">should be made available for women caring for </w:t>
                            </w:r>
                            <w:r w:rsidR="00610370">
                              <w:t xml:space="preserve">people with </w:t>
                            </w:r>
                            <w:r>
                              <w:t>both cognitive and physical impairments.</w:t>
                            </w:r>
                          </w:p>
                          <w:p w14:paraId="78DA31BD" w14:textId="293CFFFC" w:rsidR="00073E25" w:rsidRPr="00AA1166" w:rsidRDefault="00073E25" w:rsidP="00273BE2">
                            <w:pPr>
                              <w:pStyle w:val="ListParagraph0"/>
                              <w:numPr>
                                <w:ilvl w:val="0"/>
                                <w:numId w:val="19"/>
                              </w:numPr>
                            </w:pPr>
                            <w:r>
                              <w:t xml:space="preserve">Women caring for people with cognitive impairments could benefit from additional counselling, </w:t>
                            </w:r>
                            <w:r w:rsidR="004E135B">
                              <w:t xml:space="preserve">training, and respite. </w:t>
                            </w:r>
                          </w:p>
                          <w:p w14:paraId="5663237C" w14:textId="3F182793" w:rsidR="00AA1166" w:rsidRPr="00901358" w:rsidRDefault="00AA1166" w:rsidP="00273BE2">
                            <w:pPr>
                              <w:pStyle w:val="ListParagraph0"/>
                              <w:numPr>
                                <w:ilvl w:val="0"/>
                                <w:numId w:val="19"/>
                              </w:numPr>
                            </w:pPr>
                            <w:r>
                              <w:t xml:space="preserve">Policies should take into account the </w:t>
                            </w:r>
                            <w:r w:rsidR="00D44241">
                              <w:t>life stage</w:t>
                            </w:r>
                            <w:r>
                              <w:t xml:space="preserve"> of carers, and not generalise findings from one age group to another. </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0E03CA93" id="Text Box 7" o:spid="_x0000_s1027" type="#_x0000_t202" style="width:453.5pt;height:1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K0TgAIAAJoFAAAOAAAAZHJzL2Uyb0RvYy54bWysVNtuGjEQfa/Uf7D8Xpal0DQoS0RBVJWi&#10;JGpS5dl4bbDq9bi2YZd+fcbe5Za0D6kKknfsOR7PnLlcXTeVJlvhvAJT0LzXp0QYDqUyq4L+eFx8&#10;+EyJD8yUTIMRBd0JT68n799d1XYsBrAGXQpH0Ijx49oWdB2CHWeZ52tRMd8DKwwqJbiKBdy6VVY6&#10;VqP1SmeDfv9TVoMrrQMuvMfTeaukk2RfSsHDnZReBKILir6FtLq0LuOaTa7YeOWYXSveucH+wYuK&#10;KYOPHkzNWWBk49QrU5XiDjzI0ONQZSCl4iLFgNHk/RfRPKyZFSkWJMfbA03+/5nlt9sHe+9IaL5A&#10;gwmMhNTWjz0exnga6ar4RU8J6pHC3YE20QTC8XB0MbocjlDFUZcP438U7WTH69b58FVARaJQUId5&#10;SXSx7Y0PLXQPia950KpcKK3TJtaCmGlHtgyzyDgXJgy6B86Q2pC6oB/zi1EyfqbzbrU82JhfzPPZ&#10;7LUJ9Fib+KZIpdP5duQjSWGnRcRo811IospEy18dTYwmu4iOKIlhveVihz969ZbLbRz7l8GEw+VK&#10;GXAtTef8lj/3LssWj4k8iTuKoVk2GPhJuSyh3GEVOWgbzFu+UJjpG+bDPXPYUVgdOCXCHS5SA2YJ&#10;OomSNbjffzqPeCx01FJSY4cW1P/aMCco0d8MtsBlPhzGlm43ffxR4k41y1ON2VQzwPLJcR5ZnsSI&#10;D3ovSgfVEw6TaXwVVcxwfLugYS/OQjs3cBhxMZ0mEDaxZeHGPFgeTcckxTp+bJ6Ys12xB+yTW9j3&#10;Mhu/qPkWm+rHTjcBFio1ROS5ZbXjHwdAaqluWMUJc7pPqONInTwDAAD//wMAUEsDBBQABgAIAAAA&#10;IQBp5CR/2gAAAAUBAAAPAAAAZHJzL2Rvd25yZXYueG1sTI/BTsMwEETvSPyDtUjcqEMOLYQ4FUJU&#10;8oELAYnrJt7GAXsdxW6b/j2GC1xGGs1q5m29XbwTR5rjGFjB7aoAQdwHM/Kg4P1td3MHIiZkgy4w&#10;KThThG1zeVFjZcKJX+nYpkHkEo4VKrApTZWUsbfkMa7CRJyzfZg9pmznQZoZT7ncO1kWxVp6HDkv&#10;WJzoyVL/1R68AtfZl5k+9H7E9bPX7U5/6rNW6vpqeXwAkWhJf8fwg5/RoclMXTiwicIpyI+kX83Z&#10;fbHJtlNQluUGZFPL//TNNwAAAP//AwBQSwECLQAUAAYACAAAACEAtoM4kv4AAADhAQAAEwAAAAAA&#10;AAAAAAAAAAAAAAAAW0NvbnRlbnRfVHlwZXNdLnhtbFBLAQItABQABgAIAAAAIQA4/SH/1gAAAJQB&#10;AAALAAAAAAAAAAAAAAAAAC8BAABfcmVscy8ucmVsc1BLAQItABQABgAIAAAAIQBbnK0TgAIAAJoF&#10;AAAOAAAAAAAAAAAAAAAAAC4CAABkcnMvZTJvRG9jLnhtbFBLAQItABQABgAIAAAAIQBp5CR/2gAA&#10;AAUBAAAPAAAAAAAAAAAAAAAAANoEAABkcnMvZG93bnJldi54bWxQSwUGAAAAAAQABADzAAAA4QUA&#10;AAAA&#10;" fillcolor="#bad8d4 [3205]" strokecolor="#d7d1cc" strokeweight=".25pt">
                <v:textbox style="mso-fit-shape-to-text:t" inset=",2.5mm,,2.5mm">
                  <w:txbxContent>
                    <w:p w14:paraId="67C39CCC" w14:textId="77777777" w:rsidR="00AA1166" w:rsidRPr="000B6088" w:rsidRDefault="00AA1166" w:rsidP="00AA1166">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02B8705B" w14:textId="2D74E74D" w:rsidR="009C6787" w:rsidRDefault="009C6787" w:rsidP="00273BE2">
                      <w:pPr>
                        <w:pStyle w:val="ListParagraph0"/>
                        <w:numPr>
                          <w:ilvl w:val="0"/>
                          <w:numId w:val="19"/>
                        </w:numPr>
                      </w:pPr>
                      <w:r>
                        <w:t xml:space="preserve">Additional support </w:t>
                      </w:r>
                      <w:r w:rsidR="00073E25">
                        <w:t xml:space="preserve">in the form of respite and in home community care, </w:t>
                      </w:r>
                      <w:r>
                        <w:t xml:space="preserve">should be made available for women caring for </w:t>
                      </w:r>
                      <w:r w:rsidR="00610370">
                        <w:t xml:space="preserve">people with </w:t>
                      </w:r>
                      <w:r>
                        <w:t>both cognitive and physical impairments.</w:t>
                      </w:r>
                    </w:p>
                    <w:p w14:paraId="78DA31BD" w14:textId="293CFFFC" w:rsidR="00073E25" w:rsidRPr="00AA1166" w:rsidRDefault="00073E25" w:rsidP="00273BE2">
                      <w:pPr>
                        <w:pStyle w:val="ListParagraph0"/>
                        <w:numPr>
                          <w:ilvl w:val="0"/>
                          <w:numId w:val="19"/>
                        </w:numPr>
                      </w:pPr>
                      <w:r>
                        <w:t xml:space="preserve">Women caring for people with cognitive impairments could benefit from additional counselling, </w:t>
                      </w:r>
                      <w:r w:rsidR="004E135B">
                        <w:t xml:space="preserve">training, and respite. </w:t>
                      </w:r>
                    </w:p>
                    <w:p w14:paraId="5663237C" w14:textId="3F182793" w:rsidR="00AA1166" w:rsidRPr="00901358" w:rsidRDefault="00AA1166" w:rsidP="00273BE2">
                      <w:pPr>
                        <w:pStyle w:val="ListParagraph0"/>
                        <w:numPr>
                          <w:ilvl w:val="0"/>
                          <w:numId w:val="19"/>
                        </w:numPr>
                      </w:pPr>
                      <w:r>
                        <w:t xml:space="preserve">Policies should take into account the </w:t>
                      </w:r>
                      <w:r w:rsidR="00D44241">
                        <w:t>life stage</w:t>
                      </w:r>
                      <w:r>
                        <w:t xml:space="preserve"> of carers, and not generalise findings from one age group to another. </w:t>
                      </w:r>
                    </w:p>
                  </w:txbxContent>
                </v:textbox>
                <w10:anchorlock/>
              </v:shape>
            </w:pict>
          </mc:Fallback>
        </mc:AlternateContent>
      </w:r>
    </w:p>
    <w:p w14:paraId="05E5BFF7" w14:textId="77777777" w:rsidR="0083028E" w:rsidRPr="00A12FBC" w:rsidRDefault="0083028E" w:rsidP="003E1311">
      <w:pPr>
        <w:pStyle w:val="ListBullet0"/>
        <w:numPr>
          <w:ilvl w:val="0"/>
          <w:numId w:val="0"/>
        </w:numPr>
        <w:ind w:left="425"/>
      </w:pPr>
    </w:p>
    <w:p w14:paraId="453C5CA7" w14:textId="1E2CD13F" w:rsidR="00DB5995" w:rsidRPr="00DB5995" w:rsidRDefault="00AD41FC" w:rsidP="00DB5995">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lastRenderedPageBreak/>
        <w:t>Are different groups of informal carers (for example, women, young people, older carers, etc) more or less likely to be affected? Why?</w:t>
      </w:r>
    </w:p>
    <w:p w14:paraId="5431504A" w14:textId="39DBEDBE" w:rsidR="004B7DD3" w:rsidRDefault="00C853EF" w:rsidP="008F1B16">
      <w:pPr>
        <w:pStyle w:val="Heading3"/>
      </w:pPr>
      <w:bookmarkStart w:id="14" w:name="_Toc113022376"/>
      <w:r>
        <w:t>Live-in carers</w:t>
      </w:r>
      <w:bookmarkEnd w:id="14"/>
    </w:p>
    <w:p w14:paraId="089B1D5C" w14:textId="0FEB8E90" w:rsidR="00901358" w:rsidRDefault="00901358" w:rsidP="00273BE2">
      <w:pPr>
        <w:pStyle w:val="BodyText"/>
        <w:rPr>
          <w:rFonts w:cstheme="minorHAnsi"/>
        </w:rPr>
      </w:pPr>
      <w:r>
        <w:t>ALSWH</w:t>
      </w:r>
      <w:r w:rsidR="001B0B19">
        <w:t>’</w:t>
      </w:r>
      <w:r>
        <w:t xml:space="preserve">s ongoing research into caregiving highlights </w:t>
      </w:r>
      <w:r w:rsidR="004B7DD3">
        <w:t xml:space="preserve">the </w:t>
      </w:r>
      <w:r>
        <w:t xml:space="preserve">differences between </w:t>
      </w:r>
      <w:r w:rsidR="004B7DD3">
        <w:t>caregiver</w:t>
      </w:r>
      <w:r>
        <w:t>s who</w:t>
      </w:r>
      <w:r w:rsidR="004B7DD3">
        <w:t xml:space="preserve"> </w:t>
      </w:r>
      <w:r w:rsidR="004B7DD3" w:rsidRPr="004B7DD3">
        <w:rPr>
          <w:rFonts w:cstheme="minorHAnsi"/>
        </w:rPr>
        <w:t>live with the care recipient</w:t>
      </w:r>
      <w:r>
        <w:rPr>
          <w:rFonts w:cstheme="minorHAnsi"/>
        </w:rPr>
        <w:t xml:space="preserve"> and those who lived elsewhere. </w:t>
      </w:r>
    </w:p>
    <w:p w14:paraId="50A0D2E3" w14:textId="39C7C19C" w:rsidR="00901358" w:rsidRDefault="00C853EF" w:rsidP="00273BE2">
      <w:pPr>
        <w:pStyle w:val="BodyText"/>
      </w:pPr>
      <w:r>
        <w:t>A</w:t>
      </w:r>
      <w:r w:rsidR="008F1B16">
        <w:t xml:space="preserve">t age 53-58, live-in carers </w:t>
      </w:r>
      <w:r>
        <w:t xml:space="preserve">from the 1946-51 cohort </w:t>
      </w:r>
      <w:r w:rsidR="008F1B16">
        <w:t>were</w:t>
      </w:r>
      <w:r>
        <w:t xml:space="preserve"> </w:t>
      </w:r>
      <w:r w:rsidR="008F1B16">
        <w:t>l</w:t>
      </w:r>
      <w:r w:rsidR="008F1B16" w:rsidRPr="00901358">
        <w:t>ess likely to be in the workforce</w:t>
      </w:r>
      <w:r>
        <w:t xml:space="preserve">. About </w:t>
      </w:r>
      <w:r w:rsidR="008F1B16">
        <w:t>56% of live</w:t>
      </w:r>
      <w:r w:rsidR="0043499C">
        <w:t>-</w:t>
      </w:r>
      <w:r w:rsidR="008F1B16">
        <w:t xml:space="preserve">in carers participated in the </w:t>
      </w:r>
      <w:r w:rsidR="00D44241">
        <w:t>workforce</w:t>
      </w:r>
      <w:r w:rsidR="008F1B16">
        <w:t xml:space="preserve"> compared to 73% of women caring for someone who lived elsewhere and a similar percentage of women without caring duties</w:t>
      </w:r>
      <w:r>
        <w:t>. They also r</w:t>
      </w:r>
      <w:r w:rsidR="008F1B16">
        <w:t xml:space="preserve">eported lower emotional or informational support </w:t>
      </w:r>
      <w:r>
        <w:t xml:space="preserve">and </w:t>
      </w:r>
      <w:r w:rsidR="008F1B16" w:rsidRPr="008A54C0">
        <w:t xml:space="preserve">had </w:t>
      </w:r>
      <w:r w:rsidR="00901358" w:rsidRPr="008A54C0">
        <w:t xml:space="preserve">poorer health </w:t>
      </w:r>
      <w:r w:rsidR="008F1B16">
        <w:fldChar w:fldCharType="begin"/>
      </w:r>
      <w:r w:rsidR="000F4423">
        <w:instrText xml:space="preserve"> ADDIN EN.CITE &lt;EndNote&gt;&lt;Cite&gt;&lt;Author&gt;Lucke&lt;/Author&gt;&lt;Year&gt;2006&lt;/Year&gt;&lt;RecNum&gt;18&lt;/RecNum&gt;&lt;DisplayText&gt;(Lucke, 2006)&lt;/DisplayText&gt;&lt;record&gt;&lt;rec-number&gt;18&lt;/rec-number&gt;&lt;foreign-keys&gt;&lt;key app="EN" db-id="xx2v2zadpfd5z8etd04xdztg9xtdpff2szrs" timestamp="1661775992"&gt;18&lt;/key&gt;&lt;/foreign-keys&gt;&lt;ref-type name="Report"&gt;27&lt;/ref-type&gt;&lt;contributors&gt;&lt;authors&gt;&lt;author&gt;Lucke, J.; Tooth, L.; Hockey, R.; Dobson, A.&lt;/author&gt;&lt;/authors&gt;&lt;subsidiary-authors&gt;&lt;author&gt;Australian Longitudinal Study on Women&amp;apos;s Health&lt;/author&gt;&lt;/subsidiary-authors&gt;&lt;/contributors&gt;&lt;titles&gt;&lt;title&gt;Employed carers in mid-life: Findings from the Australian Longitudinal Study on Women’s Health. &lt;/title&gt;&lt;/titles&gt;&lt;dates&gt;&lt;year&gt;2006&lt;/year&gt;&lt;pub-dates&gt;&lt;date&gt;October 2006&lt;/date&gt;&lt;/pub-dates&gt;&lt;/dates&gt;&lt;work-type&gt;Report&lt;/work-type&gt;&lt;urls&gt;&lt;related-urls&gt;&lt;url&gt;https://alswh.org.au/post-outcomes/employed-carers-in-mid-life-findings-from-the-australian-longitudinal-study-on-womens-health/&lt;/url&gt;&lt;/related-urls&gt;&lt;/urls&gt;&lt;language&gt;English&lt;/language&gt;&lt;/record&gt;&lt;/Cite&gt;&lt;/EndNote&gt;</w:instrText>
      </w:r>
      <w:r w:rsidR="008F1B16">
        <w:fldChar w:fldCharType="separate"/>
      </w:r>
      <w:r w:rsidR="000F4423">
        <w:rPr>
          <w:noProof/>
        </w:rPr>
        <w:t>(</w:t>
      </w:r>
      <w:hyperlink w:anchor="_ENREF_8" w:tooltip="Lucke, 2006 #18" w:history="1">
        <w:r w:rsidR="000F4423">
          <w:rPr>
            <w:noProof/>
          </w:rPr>
          <w:t>Lucke, 2006</w:t>
        </w:r>
      </w:hyperlink>
      <w:r w:rsidR="000F4423">
        <w:rPr>
          <w:noProof/>
        </w:rPr>
        <w:t>)</w:t>
      </w:r>
      <w:r w:rsidR="008F1B16">
        <w:fldChar w:fldCharType="end"/>
      </w:r>
      <w:r w:rsidR="008F1B16">
        <w:t>.</w:t>
      </w:r>
    </w:p>
    <w:p w14:paraId="4E744B73" w14:textId="722E0B1E" w:rsidR="00B226FE" w:rsidRPr="00B226FE" w:rsidRDefault="00B226FE" w:rsidP="00273BE2">
      <w:pPr>
        <w:pStyle w:val="BodyText"/>
        <w:rPr>
          <w:rFonts w:cstheme="minorHAnsi"/>
          <w:szCs w:val="24"/>
        </w:rPr>
      </w:pPr>
      <w:r>
        <w:t xml:space="preserve">Women who were live-in carers, compared to </w:t>
      </w:r>
      <w:r w:rsidR="00730459">
        <w:t xml:space="preserve">those who </w:t>
      </w:r>
      <w:r>
        <w:t xml:space="preserve">lived elsewhere, were more likely to </w:t>
      </w:r>
      <w:r w:rsidR="00250110">
        <w:t xml:space="preserve">be providing </w:t>
      </w:r>
      <w:r>
        <w:t>high</w:t>
      </w:r>
      <w:r w:rsidR="00250110">
        <w:t>er intensity</w:t>
      </w:r>
      <w:r>
        <w:t xml:space="preserve"> care </w:t>
      </w:r>
      <w:r w:rsidR="00250110">
        <w:t xml:space="preserve">(high care </w:t>
      </w:r>
      <w:r>
        <w:t>index</w:t>
      </w:r>
      <w:r w:rsidR="00250110">
        <w:t>)</w:t>
      </w:r>
      <w:r>
        <w:t xml:space="preserve">, have been caring for longer, be the main care provider, care for younger recipients (who were typically their husbands/partners), and perform more activities of daily living, particularly basic activities of daily living. Carers who lived elsewhere, compared to live-in carers, were more likely to have a medium care index, care for older recipients (who were typically their parents), and </w:t>
      </w:r>
      <w:r w:rsidR="00250110">
        <w:t xml:space="preserve">care </w:t>
      </w:r>
      <w:r>
        <w:t xml:space="preserve">recipients were more likely to use paid services </w:t>
      </w:r>
      <w:r>
        <w:fldChar w:fldCharType="begin"/>
      </w:r>
      <w:r w:rsidR="000F4423">
        <w:instrText xml:space="preserve"> ADDIN EN.CITE &lt;EndNote&gt;&lt;Cite&gt;&lt;Author&gt;McKenzie S&lt;/Author&gt;&lt;Year&gt;2009&lt;/Year&gt;&lt;RecNum&gt;17&lt;/RecNum&gt;&lt;DisplayText&gt;(McKenzie S, 2009)&lt;/DisplayText&gt;&lt;record&gt;&lt;rec-number&gt;17&lt;/rec-number&gt;&lt;foreign-keys&gt;&lt;key app="EN" db-id="xx2v2zadpfd5z8etd04xdztg9xtdpff2szrs" timestamp="1661772826"&gt;17&lt;/key&gt;&lt;/foreign-keys&gt;&lt;ref-type name="Report"&gt;27&lt;/ref-type&gt;&lt;contributors&gt;&lt;authors&gt;&lt;author&gt;McKenzie S, Tooth L, Lucke J &amp;amp; Dobson A. &lt;/author&gt;&lt;/authors&gt;&lt;subsidiary-authors&gt;&lt;author&gt; Report prepared for Australian Government Department of Health &amp;amp; Ageing&lt;/author&gt;&lt;/subsidiary-authors&gt;&lt;/contributors&gt;&lt;titles&gt;&lt;title&gt;Caring and use of services in women born between 1946 and 1951: Findings from the Australian Longitudinal Study on Women’s Health.&lt;/title&gt;&lt;/titles&gt;&lt;dates&gt;&lt;year&gt;2009&lt;/year&gt;&lt;pub-dates&gt;&lt;date&gt;January, 2009&lt;/date&gt;&lt;/pub-dates&gt;&lt;/dates&gt;&lt;work-type&gt;Report&lt;/work-type&gt;&lt;urls&gt;&lt;related-urls&gt;&lt;url&gt;https://alswh.org.au/post-outcomes/caring-and-use-of-services-in-women-born-between-1946-and-1951-findings-from-the-australian-longitudinal-study-on-womens-health/&lt;/url&gt;&lt;/related-urls&gt;&lt;/urls&gt;&lt;language&gt;English&lt;/language&gt;&lt;/record&gt;&lt;/Cite&gt;&lt;/EndNote&gt;</w:instrText>
      </w:r>
      <w:r>
        <w:fldChar w:fldCharType="separate"/>
      </w:r>
      <w:r w:rsidR="000F4423">
        <w:rPr>
          <w:noProof/>
        </w:rPr>
        <w:t>(</w:t>
      </w:r>
      <w:hyperlink w:anchor="_ENREF_9" w:tooltip="McKenzie S, 2009 #17" w:history="1">
        <w:r w:rsidR="000F4423">
          <w:rPr>
            <w:noProof/>
          </w:rPr>
          <w:t>McKenzie S, 2009</w:t>
        </w:r>
      </w:hyperlink>
      <w:r w:rsidR="000F4423">
        <w:rPr>
          <w:noProof/>
        </w:rPr>
        <w:t>)</w:t>
      </w:r>
      <w:r>
        <w:fldChar w:fldCharType="end"/>
      </w:r>
      <w:r>
        <w:t>.</w:t>
      </w:r>
    </w:p>
    <w:p w14:paraId="26B8D9BF" w14:textId="4FF3549F" w:rsidR="00901358" w:rsidRPr="008A54C0" w:rsidRDefault="008F1B16" w:rsidP="00273BE2">
      <w:pPr>
        <w:pStyle w:val="BodyText"/>
        <w:rPr>
          <w:rFonts w:cstheme="minorHAnsi"/>
        </w:rPr>
      </w:pPr>
      <w:r w:rsidRPr="008F1B16">
        <w:rPr>
          <w:rFonts w:cstheme="minorHAnsi"/>
        </w:rPr>
        <w:t>By age 65-70</w:t>
      </w:r>
      <w:r w:rsidR="0043499C">
        <w:rPr>
          <w:rFonts w:cstheme="minorHAnsi"/>
        </w:rPr>
        <w:t>,</w:t>
      </w:r>
      <w:r w:rsidR="00C853EF">
        <w:rPr>
          <w:rFonts w:cstheme="minorHAnsi"/>
        </w:rPr>
        <w:t xml:space="preserve"> </w:t>
      </w:r>
      <w:r>
        <w:t>a</w:t>
      </w:r>
      <w:r w:rsidRPr="008F1B16">
        <w:t xml:space="preserve"> higher percentage of </w:t>
      </w:r>
      <w:r w:rsidR="008A54C0">
        <w:t>live</w:t>
      </w:r>
      <w:r w:rsidR="0043499C">
        <w:t>-</w:t>
      </w:r>
      <w:r w:rsidR="008A54C0">
        <w:t>in carers</w:t>
      </w:r>
      <w:r w:rsidR="00C853EF">
        <w:t xml:space="preserve"> from the 1946-51 cohort</w:t>
      </w:r>
      <w:r w:rsidR="008A54C0">
        <w:t xml:space="preserve"> </w:t>
      </w:r>
      <w:r w:rsidRPr="008F1B16">
        <w:t xml:space="preserve">reported </w:t>
      </w:r>
      <w:r w:rsidR="00250110">
        <w:t xml:space="preserve">having </w:t>
      </w:r>
      <w:r w:rsidRPr="008F1B16">
        <w:t>three or more chronic conditions</w:t>
      </w:r>
      <w:r w:rsidR="0043499C">
        <w:t>,</w:t>
      </w:r>
      <w:r w:rsidRPr="008F1B16">
        <w:t xml:space="preserve"> and fewer had no chronic conditions than caregivers living elsewhere and non-caregivers</w:t>
      </w:r>
      <w:r w:rsidR="00A83B67">
        <w:t>.</w:t>
      </w:r>
      <w:r w:rsidR="00B226FE">
        <w:t xml:space="preserve"> </w:t>
      </w:r>
      <w:r>
        <w:t xml:space="preserve">Live-in carers </w:t>
      </w:r>
      <w:r w:rsidR="00901358" w:rsidRPr="008F1B16">
        <w:t>had poorer self-reported health compared with other caregivers and non-caregivers</w:t>
      </w:r>
      <w:r w:rsidR="00C853EF">
        <w:t xml:space="preserve">. </w:t>
      </w:r>
      <w:r w:rsidR="00901358">
        <w:t xml:space="preserve">A higher percentage of </w:t>
      </w:r>
      <w:r w:rsidR="008A54C0">
        <w:t>live</w:t>
      </w:r>
      <w:r w:rsidR="0043499C">
        <w:t>-</w:t>
      </w:r>
      <w:r w:rsidR="008A54C0">
        <w:t xml:space="preserve">in carers </w:t>
      </w:r>
      <w:r w:rsidR="00901358">
        <w:t>were obese</w:t>
      </w:r>
      <w:r w:rsidR="008A54C0">
        <w:t xml:space="preserve">, inactive, and smoked than caregivers who lived </w:t>
      </w:r>
      <w:r w:rsidR="00D44241">
        <w:t>separately</w:t>
      </w:r>
      <w:r w:rsidR="008A54C0">
        <w:t xml:space="preserve"> </w:t>
      </w:r>
      <w:r w:rsidR="0043499C">
        <w:t>from</w:t>
      </w:r>
      <w:r w:rsidR="008A54C0">
        <w:t xml:space="preserve"> their care recipient or </w:t>
      </w:r>
      <w:r w:rsidR="00D44241">
        <w:t>non-caregivers</w:t>
      </w:r>
      <w:r w:rsidR="00B226FE">
        <w:t xml:space="preserve">. </w:t>
      </w:r>
      <w:r w:rsidR="008A54C0">
        <w:rPr>
          <w:rFonts w:cstheme="minorHAnsi"/>
        </w:rPr>
        <w:t>Live</w:t>
      </w:r>
      <w:r w:rsidR="0043499C">
        <w:rPr>
          <w:rFonts w:cstheme="minorHAnsi"/>
        </w:rPr>
        <w:t>-</w:t>
      </w:r>
      <w:r w:rsidR="008A54C0">
        <w:rPr>
          <w:rFonts w:cstheme="minorHAnsi"/>
        </w:rPr>
        <w:t xml:space="preserve">in carers </w:t>
      </w:r>
      <w:r w:rsidR="00B226FE">
        <w:rPr>
          <w:rFonts w:cstheme="minorHAnsi"/>
        </w:rPr>
        <w:t xml:space="preserve">also </w:t>
      </w:r>
      <w:r w:rsidR="008A54C0">
        <w:rPr>
          <w:rFonts w:cstheme="minorHAnsi"/>
        </w:rPr>
        <w:t>had p</w:t>
      </w:r>
      <w:r w:rsidR="00901358" w:rsidRPr="008A54C0">
        <w:rPr>
          <w:rFonts w:cstheme="minorHAnsi"/>
        </w:rPr>
        <w:t xml:space="preserve">oorer mental health </w:t>
      </w:r>
      <w:r w:rsidR="008A54C0">
        <w:rPr>
          <w:rFonts w:cstheme="minorHAnsi"/>
        </w:rPr>
        <w:t>–</w:t>
      </w:r>
      <w:r w:rsidR="00901358" w:rsidRPr="008A54C0">
        <w:rPr>
          <w:rFonts w:cstheme="minorHAnsi"/>
        </w:rPr>
        <w:t xml:space="preserve"> </w:t>
      </w:r>
      <w:r w:rsidR="008A54C0">
        <w:rPr>
          <w:rFonts w:cstheme="minorHAnsi"/>
        </w:rPr>
        <w:t xml:space="preserve">they had </w:t>
      </w:r>
      <w:r w:rsidR="00901358" w:rsidRPr="00901358">
        <w:t>higher levels of stress</w:t>
      </w:r>
      <w:r w:rsidR="00901358">
        <w:t>, a</w:t>
      </w:r>
      <w:r w:rsidR="00901358" w:rsidRPr="00901358">
        <w:t xml:space="preserve"> higher percentage reported anxiety than non-caregivers</w:t>
      </w:r>
      <w:r w:rsidR="00901358">
        <w:t xml:space="preserve">, and a higher </w:t>
      </w:r>
      <w:r w:rsidR="0043499C">
        <w:t>rat</w:t>
      </w:r>
      <w:r w:rsidR="00901358">
        <w:t xml:space="preserve">e </w:t>
      </w:r>
      <w:r w:rsidR="00901358" w:rsidRPr="00901358">
        <w:t>reported depression than caregivers living elsewhere and non-caregivers</w:t>
      </w:r>
      <w:r w:rsidR="00901358">
        <w:t xml:space="preserve"> </w:t>
      </w:r>
      <w:r w:rsidR="00901358">
        <w:fldChar w:fldCharType="begin"/>
      </w:r>
      <w:r w:rsidR="000F4423">
        <w:instrText xml:space="preserve"> ADDIN EN.CITE &lt;EndNote&gt;&lt;Cite&gt;&lt;Author&gt;Tooth L&lt;/Author&gt;&lt;Year&gt;2018&lt;/Year&gt;&lt;RecNum&gt;16&lt;/RecNum&gt;&lt;DisplayText&gt;(Tooth L, 2018)&lt;/DisplayText&gt;&lt;record&gt;&lt;rec-number&gt;16&lt;/rec-number&gt;&lt;foreign-keys&gt;&lt;key app="EN" db-id="xx2v2zadpfd5z8etd04xdztg9xtdpff2szrs" timestamp="1661136169"&gt;16&lt;/key&gt;&lt;/foreign-keys&gt;&lt;ref-type name="Report"&gt;27&lt;/ref-type&gt;&lt;contributors&gt;&lt;authors&gt;&lt;author&gt;Tooth L, Loxton D, Chan H, Coombe J, Dobson A, Hockey R, Townsend N, Byles J &amp;amp; Mishra G. &lt;/author&gt;&lt;/authors&gt;&lt;subsidiary-authors&gt;&lt;author&gt;Report prepared for the Australian Government Department of Health&lt;/author&gt;&lt;/subsidiary-authors&gt;&lt;/contributors&gt;&lt;titles&gt;&lt;title&gt;From child care to elder care: Findings from the Australian Longitudinal Study on Women’s Health.&lt;/title&gt;&lt;/titles&gt;&lt;dates&gt;&lt;year&gt;2018&lt;/year&gt;&lt;pub-dates&gt;&lt;date&gt;May&lt;/date&gt;&lt;/pub-dates&gt;&lt;/dates&gt;&lt;urls&gt;&lt;/urls&gt;&lt;/record&gt;&lt;/Cite&gt;&lt;/EndNote&gt;</w:instrText>
      </w:r>
      <w:r w:rsidR="00901358">
        <w:fldChar w:fldCharType="separate"/>
      </w:r>
      <w:r w:rsidR="000F4423">
        <w:rPr>
          <w:noProof/>
        </w:rPr>
        <w:t>(</w:t>
      </w:r>
      <w:hyperlink w:anchor="_ENREF_12" w:tooltip="Tooth L, 2018 #16" w:history="1">
        <w:r w:rsidR="000F4423">
          <w:rPr>
            <w:noProof/>
          </w:rPr>
          <w:t>Tooth L, 2018</w:t>
        </w:r>
      </w:hyperlink>
      <w:r w:rsidR="000F4423">
        <w:rPr>
          <w:noProof/>
        </w:rPr>
        <w:t>)</w:t>
      </w:r>
      <w:r w:rsidR="00901358">
        <w:fldChar w:fldCharType="end"/>
      </w:r>
      <w:r w:rsidR="00901358" w:rsidRPr="00901358">
        <w:t>.</w:t>
      </w:r>
    </w:p>
    <w:p w14:paraId="53323F6C" w14:textId="2D59B59F" w:rsidR="00452B36" w:rsidRDefault="00452B36" w:rsidP="00452B36">
      <w:pPr>
        <w:spacing w:before="80" w:after="160" w:line="276" w:lineRule="auto"/>
        <w:ind w:left="360"/>
        <w:jc w:val="both"/>
        <w:rPr>
          <w:rFonts w:cstheme="minorHAnsi"/>
          <w:szCs w:val="24"/>
        </w:rPr>
      </w:pPr>
    </w:p>
    <w:p w14:paraId="39777586" w14:textId="4F92D1A1" w:rsidR="00901358" w:rsidRPr="00901358" w:rsidRDefault="00901358" w:rsidP="00901358">
      <w:pPr>
        <w:spacing w:before="80" w:after="160" w:line="276" w:lineRule="auto"/>
        <w:jc w:val="both"/>
        <w:rPr>
          <w:rFonts w:cstheme="minorHAnsi"/>
          <w:szCs w:val="24"/>
        </w:rPr>
      </w:pPr>
      <w:r w:rsidRPr="000B6088">
        <w:rPr>
          <w:rFonts w:cstheme="minorHAnsi"/>
          <w:noProof/>
          <w:color w:val="000000" w:themeColor="text1"/>
          <w:szCs w:val="20"/>
          <w:lang w:val="en-GB" w:eastAsia="en-GB"/>
        </w:rPr>
        <mc:AlternateContent>
          <mc:Choice Requires="wps">
            <w:drawing>
              <wp:inline distT="0" distB="0" distL="0" distR="0" wp14:anchorId="4E80E348" wp14:editId="5EE5A54B">
                <wp:extent cx="5759450" cy="2241550"/>
                <wp:effectExtent l="0" t="0" r="12700" b="25400"/>
                <wp:docPr id="4" name="Text Box 4"/>
                <wp:cNvGraphicFramePr/>
                <a:graphic xmlns:a="http://schemas.openxmlformats.org/drawingml/2006/main">
                  <a:graphicData uri="http://schemas.microsoft.com/office/word/2010/wordprocessingShape">
                    <wps:wsp>
                      <wps:cNvSpPr txBox="1"/>
                      <wps:spPr>
                        <a:xfrm>
                          <a:off x="0" y="0"/>
                          <a:ext cx="5759450" cy="2241550"/>
                        </a:xfrm>
                        <a:prstGeom prst="rect">
                          <a:avLst/>
                        </a:prstGeom>
                        <a:solidFill>
                          <a:schemeClr val="accent2"/>
                        </a:solidFill>
                        <a:ln w="3175">
                          <a:solidFill>
                            <a:srgbClr val="D7D1CC"/>
                          </a:solidFill>
                        </a:ln>
                        <a:effectLst/>
                      </wps:spPr>
                      <wps:style>
                        <a:lnRef idx="0">
                          <a:schemeClr val="accent1"/>
                        </a:lnRef>
                        <a:fillRef idx="0">
                          <a:schemeClr val="accent1"/>
                        </a:fillRef>
                        <a:effectRef idx="0">
                          <a:schemeClr val="accent1"/>
                        </a:effectRef>
                        <a:fontRef idx="minor">
                          <a:schemeClr val="dk1"/>
                        </a:fontRef>
                      </wps:style>
                      <wps:txbx>
                        <w:txbxContent>
                          <w:p w14:paraId="11BF621A" w14:textId="77777777" w:rsidR="00901358" w:rsidRPr="000B6088" w:rsidRDefault="00901358" w:rsidP="00901358">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00B1AF36" w14:textId="6F03640A" w:rsidR="00901358" w:rsidRPr="00901358" w:rsidRDefault="0043499C" w:rsidP="00273BE2">
                            <w:pPr>
                              <w:pStyle w:val="ListParagraph0"/>
                              <w:numPr>
                                <w:ilvl w:val="0"/>
                                <w:numId w:val="19"/>
                              </w:numPr>
                            </w:pPr>
                            <w:r>
                              <w:t>L</w:t>
                            </w:r>
                            <w:r w:rsidR="002B1232">
                              <w:t>ive-in carers</w:t>
                            </w:r>
                            <w:r>
                              <w:t xml:space="preserve"> require additional suppots to maintian their health and wellbeing. Regular access to </w:t>
                            </w:r>
                            <w:r w:rsidR="00901358" w:rsidRPr="0090347F">
                              <w:t xml:space="preserve">respite services </w:t>
                            </w:r>
                            <w:r>
                              <w:t>is vital to ensure they have the time to</w:t>
                            </w:r>
                            <w:r w:rsidR="00901358" w:rsidRPr="0090347F">
                              <w:t xml:space="preserve"> visit health services</w:t>
                            </w:r>
                            <w:r>
                              <w:t xml:space="preserve"> and engage in self-care. Targeted mental health interventions as well as greater access to (and acceptance of) community support services would also help to reduce the burden on live-in carers. </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4E80E348" id="Text Box 4" o:spid="_x0000_s1028" type="#_x0000_t202" style="width:453.5pt;height:1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FVUgwIAAJoFAAAOAAAAZHJzL2Uyb0RvYy54bWysVEtvGjEQvlfqf7B8b5al0DQoS0RBVJWi&#10;JGpS5Wy8Nlj1elzbsEt/fcbeXSBJe0hVDma883ke3zwur5pKk51wXoEpaH42oEQYDqUy64L+eFh+&#10;+EyJD8yUTIMRBd0LT6+m799d1nYihrABXQpH0Ijxk9oWdBOCnWSZ5xtRMX8GVhhUSnAVC3h166x0&#10;rEbrlc6Gg8GnrAZXWgdceI9fF62STpN9KQUPt1J6EYguKMYW0unSuYpnNr1kk7VjdqN4Fwb7hygq&#10;pgw6PZhasMDI1qlXpirFHXiQ4YxDlYGUiouUA2aTD15kc79hVqRckBxvDzT5/2eW3+zu7Z0jofkC&#10;DRYwElJbP/H4MebTSFfFf4yUoB4p3B9oE00gHD+Oz8cXozGqOOqGw1E+xgvayY7PrfPhq4CKRKGg&#10;DuuS6GK7ax9aaA+J3jxoVS6V1ukSe0HMtSM7hlVknAsThp2DZ0htSF3Qj/n5OBl/pvNuvTrYWJwv&#10;8vn8tQmMWJvoU6TW6WI78pGksNciYrT5LiRRZaLlr4EmRpNdREeUxLTe8rDDH6N6y+M2j94zmHB4&#10;XCkDrqXpOb/lzz5k2eKxkCd5RzE0qwYTx2L37bKCco9d5KAdMG/5UmGlr5kPd8zhRGF34JYIt3hI&#10;DVgl6CRKNuB+/+l7xGOjo5aSGie0oP7XljlBif5mcAQu8tEojnR7GeCPEneqWZ1qzLaaA7ZPjvvI&#10;8iRGfNC9KB1Uj7hMZtErqpjh6LugoRfnod0buIy4mM0SCIfYsnBt7i2PpmORYh8/NI/M2a7ZA87J&#10;DfSzzCYver7Fpv6xs22ApUoDEXluWe34xwWQRqpbVnHDnN4T6rhSp08AAAD//wMAUEsDBBQABgAI&#10;AAAAIQD8trIu2gAAAAUBAAAPAAAAZHJzL2Rvd25yZXYueG1sTI/BTsMwEETvSPyDtUjcqA0VBUKc&#10;CiEq+cCFgMTVibdxwF5Httumf4/hQi8jjWY187Zez96xPcY0BpJwvRDAkPpgRhokfLxvru6BpazJ&#10;aBcIJRwxwbo5P6t1ZcKB3nDf5oGVEkqVlmBznirOU2/R67QIE1LJtiF6nYuNAzdRH0q5d/xGiBX3&#10;eqSyYPWEzxb773bnJbjOvkb8VNtRr168ajfqSx2VlJcX89MjsIxz/j+GX/yCDk1h6sKOTGJOQnkk&#10;/2nJHsRdsZ2E5e1SAG9qfkrf/AAAAP//AwBQSwECLQAUAAYACAAAACEAtoM4kv4AAADhAQAAEwAA&#10;AAAAAAAAAAAAAAAAAAAAW0NvbnRlbnRfVHlwZXNdLnhtbFBLAQItABQABgAIAAAAIQA4/SH/1gAA&#10;AJQBAAALAAAAAAAAAAAAAAAAAC8BAABfcmVscy8ucmVsc1BLAQItABQABgAIAAAAIQAXeFVUgwIA&#10;AJoFAAAOAAAAAAAAAAAAAAAAAC4CAABkcnMvZTJvRG9jLnhtbFBLAQItABQABgAIAAAAIQD8trIu&#10;2gAAAAUBAAAPAAAAAAAAAAAAAAAAAN0EAABkcnMvZG93bnJldi54bWxQSwUGAAAAAAQABADzAAAA&#10;5AUAAAAA&#10;" fillcolor="#bad8d4 [3205]" strokecolor="#d7d1cc" strokeweight=".25pt">
                <v:textbox style="mso-fit-shape-to-text:t" inset=",2.5mm,,2.5mm">
                  <w:txbxContent>
                    <w:p w14:paraId="11BF621A" w14:textId="77777777" w:rsidR="00901358" w:rsidRPr="000B6088" w:rsidRDefault="00901358" w:rsidP="00901358">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00B1AF36" w14:textId="6F03640A" w:rsidR="00901358" w:rsidRPr="00901358" w:rsidRDefault="0043499C" w:rsidP="00273BE2">
                      <w:pPr>
                        <w:pStyle w:val="ListParagraph0"/>
                        <w:numPr>
                          <w:ilvl w:val="0"/>
                          <w:numId w:val="19"/>
                        </w:numPr>
                      </w:pPr>
                      <w:r>
                        <w:t>L</w:t>
                      </w:r>
                      <w:r w:rsidR="002B1232">
                        <w:t>ive-in carers</w:t>
                      </w:r>
                      <w:r>
                        <w:t xml:space="preserve"> require additional suppots to maintian their health and wellbeing. Regular access to </w:t>
                      </w:r>
                      <w:r w:rsidR="00901358" w:rsidRPr="0090347F">
                        <w:t xml:space="preserve">respite services </w:t>
                      </w:r>
                      <w:r>
                        <w:t>is vital to ensure they have the time to</w:t>
                      </w:r>
                      <w:r w:rsidR="00901358" w:rsidRPr="0090347F">
                        <w:t xml:space="preserve"> visit health services</w:t>
                      </w:r>
                      <w:r>
                        <w:t xml:space="preserve"> and engage in self-care. Targeted mental health interventions as well as greater access to (and acceptance of) community support services would also help to reduce the burden on live-in carers. </w:t>
                      </w:r>
                    </w:p>
                  </w:txbxContent>
                </v:textbox>
                <w10:anchorlock/>
              </v:shape>
            </w:pict>
          </mc:Fallback>
        </mc:AlternateContent>
      </w:r>
    </w:p>
    <w:p w14:paraId="2D5F5BFF" w14:textId="58A1C526" w:rsidR="006A1B55" w:rsidRDefault="006A1B55" w:rsidP="006A1B55">
      <w:pPr>
        <w:pStyle w:val="Heading3"/>
      </w:pPr>
      <w:bookmarkStart w:id="15" w:name="_Toc113022377"/>
      <w:r>
        <w:t>Caregivers with a history of intimate partner violence</w:t>
      </w:r>
      <w:bookmarkEnd w:id="15"/>
    </w:p>
    <w:p w14:paraId="49054212" w14:textId="77777777" w:rsidR="00A0073E" w:rsidRDefault="006A1B55" w:rsidP="00273BE2">
      <w:pPr>
        <w:pStyle w:val="BodyText"/>
        <w:rPr>
          <w:rFonts w:ascii="Roboto" w:hAnsi="Roboto"/>
          <w:shd w:val="clear" w:color="auto" w:fill="FFFFFF"/>
        </w:rPr>
      </w:pPr>
      <w:r w:rsidRPr="00B226FE">
        <w:rPr>
          <w:shd w:val="clear" w:color="auto" w:fill="FFFFFF"/>
        </w:rPr>
        <w:t>Research on the impact of caregiving usually focuses on current relationship dynamics rather than looking at how past experiences affect a woman</w:t>
      </w:r>
      <w:r w:rsidR="001B0B19">
        <w:rPr>
          <w:shd w:val="clear" w:color="auto" w:fill="FFFFFF"/>
        </w:rPr>
        <w:t>’</w:t>
      </w:r>
      <w:r w:rsidRPr="00B226FE">
        <w:rPr>
          <w:shd w:val="clear" w:color="auto" w:fill="FFFFFF"/>
        </w:rPr>
        <w:t xml:space="preserve">s capacity to provide care and remain healthy. </w:t>
      </w:r>
      <w:r w:rsidRPr="00B226FE">
        <w:rPr>
          <w:rFonts w:ascii="Roboto" w:hAnsi="Roboto"/>
          <w:shd w:val="clear" w:color="auto" w:fill="FFFFFF"/>
        </w:rPr>
        <w:t xml:space="preserve">Intimate partner violence is associated with poor personal resources in women –financial stress, lower education levels and poor social support – and this lack of resources remains a factor for women years after the violence stops. </w:t>
      </w:r>
    </w:p>
    <w:p w14:paraId="0BBC29EB" w14:textId="7DBFFACB" w:rsidR="006A1B55" w:rsidRPr="00B226FE" w:rsidRDefault="0005195B" w:rsidP="00273BE2">
      <w:pPr>
        <w:pStyle w:val="BodyText"/>
        <w:rPr>
          <w:shd w:val="clear" w:color="auto" w:fill="FFFFFF"/>
        </w:rPr>
      </w:pPr>
      <w:r>
        <w:rPr>
          <w:rFonts w:ascii="Roboto" w:hAnsi="Roboto"/>
          <w:shd w:val="clear" w:color="auto" w:fill="FFFFFF"/>
        </w:rPr>
        <w:t>Ferreira, Loxton and Tooth (2017</w:t>
      </w:r>
      <w:r w:rsidR="00D44241">
        <w:rPr>
          <w:rFonts w:ascii="Roboto" w:hAnsi="Roboto"/>
          <w:shd w:val="clear" w:color="auto" w:fill="FFFFFF"/>
        </w:rPr>
        <w:t>)</w:t>
      </w:r>
      <w:r w:rsidR="00D44241" w:rsidRPr="00B226FE">
        <w:rPr>
          <w:rFonts w:ascii="Roboto" w:hAnsi="Roboto"/>
          <w:shd w:val="clear" w:color="auto" w:fill="FFFFFF"/>
        </w:rPr>
        <w:t xml:space="preserve"> </w:t>
      </w:r>
      <w:r w:rsidR="00D44241" w:rsidRPr="00B226FE">
        <w:rPr>
          <w:shd w:val="clear" w:color="auto" w:fill="FFFFFF"/>
        </w:rPr>
        <w:t>followed</w:t>
      </w:r>
      <w:r w:rsidR="006A1B55" w:rsidRPr="00B226FE">
        <w:rPr>
          <w:shd w:val="clear" w:color="auto" w:fill="FFFFFF"/>
        </w:rPr>
        <w:t xml:space="preserve"> 8453 women aged between 45 and 65 from ALSWH</w:t>
      </w:r>
      <w:r w:rsidR="001B0B19">
        <w:rPr>
          <w:shd w:val="clear" w:color="auto" w:fill="FFFFFF"/>
        </w:rPr>
        <w:t>’</w:t>
      </w:r>
      <w:r w:rsidR="006A1B55" w:rsidRPr="00B226FE">
        <w:rPr>
          <w:shd w:val="clear" w:color="auto" w:fill="FFFFFF"/>
        </w:rPr>
        <w:t>s 1946-51 cohort</w:t>
      </w:r>
      <w:r>
        <w:rPr>
          <w:shd w:val="clear" w:color="auto" w:fill="FFFFFF"/>
        </w:rPr>
        <w:t xml:space="preserve"> to investigate the impact of domestic violence on women who were </w:t>
      </w:r>
      <w:r>
        <w:rPr>
          <w:shd w:val="clear" w:color="auto" w:fill="FFFFFF"/>
        </w:rPr>
        <w:lastRenderedPageBreak/>
        <w:t xml:space="preserve">also caregivers. The experience of violence may have been historical, and the women did not disclose if they provided care for the perpetrator or someone else. </w:t>
      </w:r>
    </w:p>
    <w:p w14:paraId="7FC2F92E" w14:textId="033229F3" w:rsidR="006A1B55" w:rsidRPr="00B226FE" w:rsidRDefault="006A1B55" w:rsidP="00273BE2">
      <w:pPr>
        <w:pStyle w:val="BodyText"/>
      </w:pPr>
      <w:r w:rsidRPr="00B226FE">
        <w:rPr>
          <w:shd w:val="clear" w:color="auto" w:fill="FFFFFF"/>
        </w:rPr>
        <w:t>Nearly 1 in 20 mid</w:t>
      </w:r>
      <w:r w:rsidR="00250110">
        <w:rPr>
          <w:shd w:val="clear" w:color="auto" w:fill="FFFFFF"/>
        </w:rPr>
        <w:t>-</w:t>
      </w:r>
      <w:r w:rsidRPr="00B226FE">
        <w:rPr>
          <w:shd w:val="clear" w:color="auto" w:fill="FFFFFF"/>
        </w:rPr>
        <w:t xml:space="preserve">aged women from the ALSWH 1946-51 cohort </w:t>
      </w:r>
      <w:r w:rsidR="00A0073E">
        <w:rPr>
          <w:shd w:val="clear" w:color="auto" w:fill="FFFFFF"/>
        </w:rPr>
        <w:t xml:space="preserve">are </w:t>
      </w:r>
      <w:r w:rsidRPr="00B226FE">
        <w:rPr>
          <w:shd w:val="clear" w:color="auto" w:fill="FFFFFF"/>
        </w:rPr>
        <w:t>carers who ha</w:t>
      </w:r>
      <w:r w:rsidR="00A0073E">
        <w:rPr>
          <w:shd w:val="clear" w:color="auto" w:fill="FFFFFF"/>
        </w:rPr>
        <w:t>ve</w:t>
      </w:r>
      <w:r w:rsidRPr="00B226FE">
        <w:rPr>
          <w:shd w:val="clear" w:color="auto" w:fill="FFFFFF"/>
        </w:rPr>
        <w:t xml:space="preserve"> also experienced intimate partner violence. </w:t>
      </w:r>
      <w:r w:rsidRPr="00B226FE">
        <w:t xml:space="preserve">Women with both </w:t>
      </w:r>
      <w:r w:rsidR="00250110">
        <w:t xml:space="preserve">these </w:t>
      </w:r>
      <w:r w:rsidRPr="00B226FE">
        <w:t>life experiences ha</w:t>
      </w:r>
      <w:r w:rsidR="00A0073E">
        <w:t>ve</w:t>
      </w:r>
      <w:r w:rsidRPr="00B226FE">
        <w:t xml:space="preserve"> twice the odds of experiencing depressive symptoms and stress – and they also ha</w:t>
      </w:r>
      <w:r w:rsidR="00A0073E">
        <w:t>ve</w:t>
      </w:r>
      <w:r w:rsidRPr="00B226FE">
        <w:t xml:space="preserve"> worse physical health </w:t>
      </w:r>
      <w:r w:rsidR="00A0073E">
        <w:t xml:space="preserve">than </w:t>
      </w:r>
      <w:r w:rsidRPr="00B226FE">
        <w:t xml:space="preserve">other women. </w:t>
      </w:r>
    </w:p>
    <w:p w14:paraId="5F4FF026" w14:textId="56B9E4AB" w:rsidR="006A1B55" w:rsidRPr="0005195B" w:rsidRDefault="006A1B55" w:rsidP="00273BE2">
      <w:pPr>
        <w:pStyle w:val="BodyText"/>
        <w:rPr>
          <w:rFonts w:ascii="Roboto" w:hAnsi="Roboto"/>
          <w:shd w:val="clear" w:color="auto" w:fill="FFFFFF"/>
        </w:rPr>
      </w:pPr>
      <w:r w:rsidRPr="00B226FE">
        <w:rPr>
          <w:shd w:val="clear" w:color="auto" w:fill="FFFFFF"/>
        </w:rPr>
        <w:t>When the researchers compared these two very different, very stressful life events, they found the impact on the women</w:t>
      </w:r>
      <w:r w:rsidR="001B0B19">
        <w:rPr>
          <w:shd w:val="clear" w:color="auto" w:fill="FFFFFF"/>
        </w:rPr>
        <w:t>’</w:t>
      </w:r>
      <w:r w:rsidRPr="00B226FE">
        <w:rPr>
          <w:shd w:val="clear" w:color="auto" w:fill="FFFFFF"/>
        </w:rPr>
        <w:t>s health was almost the same, even though one was perpetrated against the individual (violence) and one was undertaken with a degree of personal control (caregiving)</w:t>
      </w:r>
      <w:r w:rsidR="0005195B">
        <w:rPr>
          <w:shd w:val="clear" w:color="auto" w:fill="FFFFFF"/>
        </w:rPr>
        <w:t xml:space="preserve">. </w:t>
      </w:r>
      <w:r w:rsidR="0005195B" w:rsidRPr="00B226FE">
        <w:rPr>
          <w:shd w:val="clear" w:color="auto" w:fill="FFFFFF"/>
        </w:rPr>
        <w:t>The researchers found the association between poor health, caregiving and the experience of intimate partner violence was reduced when women had better personal resources like resilience and social support to draw on for support</w:t>
      </w:r>
      <w:r w:rsidR="0005195B" w:rsidRPr="00B226FE">
        <w:rPr>
          <w:rFonts w:ascii="Roboto" w:hAnsi="Roboto"/>
          <w:shd w:val="clear" w:color="auto" w:fill="FFFFFF"/>
        </w:rPr>
        <w:t xml:space="preserve"> </w:t>
      </w:r>
      <w:r w:rsidR="0005195B" w:rsidRPr="00B226FE">
        <w:rPr>
          <w:rFonts w:ascii="Roboto" w:hAnsi="Roboto"/>
          <w:shd w:val="clear" w:color="auto" w:fill="FFFFFF"/>
        </w:rPr>
        <w:fldChar w:fldCharType="begin"/>
      </w:r>
      <w:r w:rsidR="000F4423">
        <w:rPr>
          <w:rFonts w:ascii="Roboto" w:hAnsi="Roboto"/>
          <w:shd w:val="clear" w:color="auto" w:fill="FFFFFF"/>
        </w:rPr>
        <w:instrText xml:space="preserve"> ADDIN EN.CITE &lt;EndNote&gt;&lt;Cite&gt;&lt;Author&gt;Ferreira&lt;/Author&gt;&lt;Year&gt;2017&lt;/Year&gt;&lt;RecNum&gt;3&lt;/RecNum&gt;&lt;DisplayText&gt;(Ferreira et al., 2017)&lt;/DisplayText&gt;&lt;record&gt;&lt;rec-number&gt;3&lt;/rec-number&gt;&lt;foreign-keys&gt;&lt;key app="EN" db-id="xx2v2zadpfd5z8etd04xdztg9xtdpff2szrs" timestamp="1661132650"&gt;3&lt;/key&gt;&lt;/foreign-keys&gt;&lt;ref-type name="Journal Article"&gt;17&lt;/ref-type&gt;&lt;contributors&gt;&lt;authors&gt;&lt;author&gt;Ferreira, Pablo&lt;/author&gt;&lt;author&gt;Loxton, Deborah&lt;/author&gt;&lt;author&gt;Tooth, Leigh R.&lt;/author&gt;&lt;/authors&gt;&lt;/contributors&gt;&lt;titles&gt;&lt;title&gt;Intimate personal violence and caregiving: Influences on physical and mental health in middle-aged women&lt;/title&gt;&lt;secondary-title&gt;Maturitas&lt;/secondary-title&gt;&lt;/titles&gt;&lt;periodical&gt;&lt;full-title&gt;Maturitas&lt;/full-title&gt;&lt;abbr-1&gt;Maturitas&lt;/abbr-1&gt;&lt;/periodical&gt;&lt;pages&gt;34-40&lt;/pages&gt;&lt;volume&gt;102&lt;/volume&gt;&lt;keywords&gt;&lt;keyword&gt;Caregiving&lt;/keyword&gt;&lt;keyword&gt;Intimate partner violence&lt;/keyword&gt;&lt;keyword&gt;Physical health&lt;/keyword&gt;&lt;keyword&gt;Mental health&lt;/keyword&gt;&lt;keyword&gt;Stress&lt;/keyword&gt;&lt;keyword&gt;Middle-aged women&lt;/keyword&gt;&lt;/keywords&gt;&lt;dates&gt;&lt;year&gt;2017&lt;/year&gt;&lt;pub-dates&gt;&lt;date&gt;8//&lt;/date&gt;&lt;/pub-dates&gt;&lt;/dates&gt;&lt;isbn&gt;0378-5122&lt;/isbn&gt;&lt;urls&gt;&lt;related-urls&gt;&lt;url&gt;http://www.sciencedirect.com/science/article/pii/S0378512217301366&lt;/url&gt;&lt;/related-urls&gt;&lt;/urls&gt;&lt;electronic-resource-num&gt;https://doi.org/10.1016/j.maturitas.2017.05.001&lt;/electronic-resource-num&gt;&lt;/record&gt;&lt;/Cite&gt;&lt;/EndNote&gt;</w:instrText>
      </w:r>
      <w:r w:rsidR="0005195B" w:rsidRPr="00B226FE">
        <w:rPr>
          <w:rFonts w:ascii="Roboto" w:hAnsi="Roboto"/>
          <w:shd w:val="clear" w:color="auto" w:fill="FFFFFF"/>
        </w:rPr>
        <w:fldChar w:fldCharType="separate"/>
      </w:r>
      <w:r w:rsidR="000F4423">
        <w:rPr>
          <w:rFonts w:ascii="Roboto" w:hAnsi="Roboto"/>
          <w:noProof/>
          <w:shd w:val="clear" w:color="auto" w:fill="FFFFFF"/>
        </w:rPr>
        <w:t>(</w:t>
      </w:r>
      <w:hyperlink w:anchor="_ENREF_6" w:tooltip="Ferreira, 2017 #3" w:history="1">
        <w:r w:rsidR="000F4423">
          <w:rPr>
            <w:rFonts w:ascii="Roboto" w:hAnsi="Roboto"/>
            <w:noProof/>
            <w:shd w:val="clear" w:color="auto" w:fill="FFFFFF"/>
          </w:rPr>
          <w:t>Ferreira et al., 2017</w:t>
        </w:r>
      </w:hyperlink>
      <w:r w:rsidR="000F4423">
        <w:rPr>
          <w:rFonts w:ascii="Roboto" w:hAnsi="Roboto"/>
          <w:noProof/>
          <w:shd w:val="clear" w:color="auto" w:fill="FFFFFF"/>
        </w:rPr>
        <w:t>)</w:t>
      </w:r>
      <w:r w:rsidR="0005195B" w:rsidRPr="00B226FE">
        <w:rPr>
          <w:rFonts w:ascii="Roboto" w:hAnsi="Roboto"/>
          <w:shd w:val="clear" w:color="auto" w:fill="FFFFFF"/>
        </w:rPr>
        <w:fldChar w:fldCharType="end"/>
      </w:r>
      <w:r w:rsidR="0005195B">
        <w:rPr>
          <w:rFonts w:ascii="Roboto" w:hAnsi="Roboto"/>
          <w:shd w:val="clear" w:color="auto" w:fill="FFFFFF"/>
        </w:rPr>
        <w:t>.</w:t>
      </w:r>
    </w:p>
    <w:p w14:paraId="7668F946" w14:textId="342FEFA3" w:rsidR="0005195B" w:rsidRDefault="0005195B" w:rsidP="00273BE2">
      <w:pPr>
        <w:pStyle w:val="BodyText"/>
        <w:rPr>
          <w:shd w:val="clear" w:color="auto" w:fill="FFFFFF"/>
        </w:rPr>
      </w:pPr>
    </w:p>
    <w:p w14:paraId="2E0907C6" w14:textId="26B0F018" w:rsidR="0005195B" w:rsidRPr="00B226FE" w:rsidRDefault="0005195B" w:rsidP="00273BE2">
      <w:pPr>
        <w:pStyle w:val="BodyText"/>
        <w:rPr>
          <w:shd w:val="clear" w:color="auto" w:fill="FFFFFF"/>
        </w:rPr>
      </w:pPr>
      <w:r w:rsidRPr="000B6088">
        <w:rPr>
          <w:noProof/>
          <w:lang w:val="en-GB" w:eastAsia="en-GB"/>
        </w:rPr>
        <mc:AlternateContent>
          <mc:Choice Requires="wps">
            <w:drawing>
              <wp:inline distT="0" distB="0" distL="0" distR="0" wp14:anchorId="6CF796CB" wp14:editId="75BD8BCC">
                <wp:extent cx="5759450" cy="1414145"/>
                <wp:effectExtent l="0" t="0" r="12700" b="14605"/>
                <wp:docPr id="8" name="Text Box 8"/>
                <wp:cNvGraphicFramePr/>
                <a:graphic xmlns:a="http://schemas.openxmlformats.org/drawingml/2006/main">
                  <a:graphicData uri="http://schemas.microsoft.com/office/word/2010/wordprocessingShape">
                    <wps:wsp>
                      <wps:cNvSpPr txBox="1"/>
                      <wps:spPr>
                        <a:xfrm>
                          <a:off x="0" y="0"/>
                          <a:ext cx="5759450" cy="1414145"/>
                        </a:xfrm>
                        <a:prstGeom prst="rect">
                          <a:avLst/>
                        </a:prstGeom>
                        <a:solidFill>
                          <a:schemeClr val="accent2"/>
                        </a:solidFill>
                        <a:ln w="3175">
                          <a:solidFill>
                            <a:srgbClr val="D7D1CC"/>
                          </a:solidFill>
                        </a:ln>
                        <a:effectLst/>
                      </wps:spPr>
                      <wps:style>
                        <a:lnRef idx="0">
                          <a:schemeClr val="accent1"/>
                        </a:lnRef>
                        <a:fillRef idx="0">
                          <a:schemeClr val="accent1"/>
                        </a:fillRef>
                        <a:effectRef idx="0">
                          <a:schemeClr val="accent1"/>
                        </a:effectRef>
                        <a:fontRef idx="minor">
                          <a:schemeClr val="dk1"/>
                        </a:fontRef>
                      </wps:style>
                      <wps:txbx>
                        <w:txbxContent>
                          <w:p w14:paraId="2B7BFC51" w14:textId="77777777" w:rsidR="0005195B" w:rsidRPr="000B6088" w:rsidRDefault="0005195B" w:rsidP="0005195B">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4E8B6A8B" w14:textId="3C2A1F72" w:rsidR="0005195B" w:rsidRPr="00901358" w:rsidRDefault="0005195B" w:rsidP="00273BE2">
                            <w:pPr>
                              <w:pStyle w:val="ListParagraph0"/>
                              <w:numPr>
                                <w:ilvl w:val="0"/>
                                <w:numId w:val="19"/>
                              </w:numPr>
                            </w:pPr>
                            <w:r>
                              <w:t xml:space="preserve">Up to 1 in 20 mid-age women are impacted by the cumulative impacts of intimate partner violence and caregiving. </w:t>
                            </w:r>
                            <w:r w:rsidR="00A0073E">
                              <w:t>Y</w:t>
                            </w:r>
                            <w:r>
                              <w:t xml:space="preserve">ounger </w:t>
                            </w:r>
                            <w:r w:rsidR="00A0073E">
                              <w:t xml:space="preserve">generations of </w:t>
                            </w:r>
                            <w:r>
                              <w:t>women report much higher levels of intimate partner violence</w:t>
                            </w:r>
                            <w:r w:rsidR="00A0073E">
                              <w:t>. A</w:t>
                            </w:r>
                            <w:r>
                              <w:t>dditional support</w:t>
                            </w:r>
                            <w:r w:rsidR="00A0073E">
                              <w:t xml:space="preserve"> programs aimed at </w:t>
                            </w:r>
                            <w:r>
                              <w:t>increas</w:t>
                            </w:r>
                            <w:r w:rsidR="00A0073E">
                              <w:t xml:space="preserve">ing </w:t>
                            </w:r>
                            <w:r>
                              <w:t>resilience and maintain</w:t>
                            </w:r>
                            <w:r w:rsidR="00A0073E">
                              <w:t>ing</w:t>
                            </w:r>
                            <w:r>
                              <w:t xml:space="preserve"> social supports will be vital as the next generation steps up to care for our ageing population. </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6CF796CB" id="Text Box 8" o:spid="_x0000_s1029" type="#_x0000_t202" style="width:453.5pt;height:11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iggIAAJoFAAAOAAAAZHJzL2Uyb0RvYy54bWysVG1v2yAQ/j5p/wHxfXXcJesa1amyRJkm&#10;VW21dupngiFBwxwDEjv79T2wnZd2+9BpiYQP7uG4e+7l6rqpNNkK5xWYguZnA0qE4VAqsyroj8fF&#10;h8+U+MBMyTQYUdCd8PR68v7dVW3H4hzWoEvhCBoxflzbgq5DsOMs83wtKubPwAqDSgmuYgG3bpWV&#10;jtVovdLZ+WDwKavBldYBF97j6bxV0kmyL6Xg4U5KLwLRBUXfQlpdWpdxzSZXbLxyzK4V79xg/+BF&#10;xZTBR/em5iwwsnHqlalKcQceZDjjUGUgpeIixYDR5IMX0TysmRUpFiTH2z1N/v+Z5bfbB3vvSGi+&#10;QIMJjITU1o89HsZ4Gumq+EVPCeqRwt2eNtEEwvFwdDG6HI5QxVGXD+N/FO1kh+vW+fBVQEWiUFCH&#10;eUl0se2NDy20h8TXPGhVLpTWaRNrQcy0I1uGWWScCxPOuwdOkNqQuqAf84tRMn6i82613NuYX8zz&#10;2ey1CfRYm/imSKXT+XbgI0lhp0XEaPNdSKLKRMtfHU2MJruIjiiJYb3lYoc/ePWWy20c/ctgwv5y&#10;pQy4lqZTfsufvcuyxWMij+KOYmiWDQaOVPflsoRyh1XkoG0wb/lCYaZvmA/3zGFHYXXglAh3uEgN&#10;mCXoJErW4H7/6TzisdBRS0mNHVpQ/2vDnKBEfzPYApf5cBhbut0M8EeJO9YsjzVmU80AyyfHeWR5&#10;EiM+6F6UDqonHCbT+CqqmOH4dkFDL85COzdwGHExnSYQNrFl4cY8WB5NxyTFOn5snpizXbEH7JNb&#10;6HuZjV/UfItN9WOnmwALlRoi8tyy2vGPAyC1VDes4oQ53ifUYaROngEAAP//AwBQSwMEFAAGAAgA&#10;AAAhAGnkJH/aAAAABQEAAA8AAABkcnMvZG93bnJldi54bWxMj8FOwzAQRO9I/IO1SNyoQw4thDgV&#10;QlTygQsBiesm3sYBex3Fbpv+PYYLXEYazWrmbb1dvBNHmuMYWMHtqgBB3Acz8qDg/W13cwciJmSD&#10;LjApOFOEbXN5UWNlwolf6dimQeQSjhUqsClNlZSxt+QxrsJEnLN9mD2mbOdBmhlPudw7WRbFWnoc&#10;OS9YnOjJUv/VHrwC19mXmT70fsT1s9ftTn/qs1bq+mp5fACRaEl/x/CDn9GhyUxdOLCJwinIj6Rf&#10;zdl9scm2U1CW5QZkU8v/9M03AAAA//8DAFBLAQItABQABgAIAAAAIQC2gziS/gAAAOEBAAATAAAA&#10;AAAAAAAAAAAAAAAAAABbQ29udGVudF9UeXBlc10ueG1sUEsBAi0AFAAGAAgAAAAhADj9If/WAAAA&#10;lAEAAAsAAAAAAAAAAAAAAAAALwEAAF9yZWxzLy5yZWxzUEsBAi0AFAAGAAgAAAAhAOT+Q2KCAgAA&#10;mgUAAA4AAAAAAAAAAAAAAAAALgIAAGRycy9lMm9Eb2MueG1sUEsBAi0AFAAGAAgAAAAhAGnkJH/a&#10;AAAABQEAAA8AAAAAAAAAAAAAAAAA3AQAAGRycy9kb3ducmV2LnhtbFBLBQYAAAAABAAEAPMAAADj&#10;BQAAAAA=&#10;" fillcolor="#bad8d4 [3205]" strokecolor="#d7d1cc" strokeweight=".25pt">
                <v:textbox style="mso-fit-shape-to-text:t" inset=",2.5mm,,2.5mm">
                  <w:txbxContent>
                    <w:p w14:paraId="2B7BFC51" w14:textId="77777777" w:rsidR="0005195B" w:rsidRPr="000B6088" w:rsidRDefault="0005195B" w:rsidP="0005195B">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4E8B6A8B" w14:textId="3C2A1F72" w:rsidR="0005195B" w:rsidRPr="00901358" w:rsidRDefault="0005195B" w:rsidP="00273BE2">
                      <w:pPr>
                        <w:pStyle w:val="ListParagraph0"/>
                        <w:numPr>
                          <w:ilvl w:val="0"/>
                          <w:numId w:val="19"/>
                        </w:numPr>
                      </w:pPr>
                      <w:r>
                        <w:t xml:space="preserve">Up to 1 in 20 mid-age women are impacted by the cumulative impacts of intimate partner violence and caregiving. </w:t>
                      </w:r>
                      <w:r w:rsidR="00A0073E">
                        <w:t>Y</w:t>
                      </w:r>
                      <w:r>
                        <w:t xml:space="preserve">ounger </w:t>
                      </w:r>
                      <w:r w:rsidR="00A0073E">
                        <w:t xml:space="preserve">generations of </w:t>
                      </w:r>
                      <w:r>
                        <w:t>women report much higher levels of intimate partner violence</w:t>
                      </w:r>
                      <w:r w:rsidR="00A0073E">
                        <w:t>. A</w:t>
                      </w:r>
                      <w:r>
                        <w:t>dditional support</w:t>
                      </w:r>
                      <w:r w:rsidR="00A0073E">
                        <w:t xml:space="preserve"> programs aimed at </w:t>
                      </w:r>
                      <w:r>
                        <w:t>increas</w:t>
                      </w:r>
                      <w:r w:rsidR="00A0073E">
                        <w:t xml:space="preserve">ing </w:t>
                      </w:r>
                      <w:r>
                        <w:t>resilience and maintain</w:t>
                      </w:r>
                      <w:r w:rsidR="00A0073E">
                        <w:t>ing</w:t>
                      </w:r>
                      <w:r>
                        <w:t xml:space="preserve"> social supports will be vital as the next generation steps up to care for our ageing population. </w:t>
                      </w:r>
                    </w:p>
                  </w:txbxContent>
                </v:textbox>
                <w10:anchorlock/>
              </v:shape>
            </w:pict>
          </mc:Fallback>
        </mc:AlternateContent>
      </w:r>
    </w:p>
    <w:p w14:paraId="390C15C4" w14:textId="77777777" w:rsidR="00DB5995" w:rsidRDefault="00DB5995" w:rsidP="00DB5995">
      <w:pPr>
        <w:pStyle w:val="BodyText"/>
      </w:pPr>
    </w:p>
    <w:p w14:paraId="14AA7674" w14:textId="216367BD" w:rsidR="006A1B55" w:rsidRDefault="001B0B19" w:rsidP="006A1B55">
      <w:pPr>
        <w:pStyle w:val="Heading3"/>
      </w:pPr>
      <w:bookmarkStart w:id="16" w:name="_Toc113022378"/>
      <w:r>
        <w:t>‘</w:t>
      </w:r>
      <w:r w:rsidR="00D44241">
        <w:t>Sandwich</w:t>
      </w:r>
      <w:r w:rsidR="006A1B55">
        <w:t xml:space="preserve"> generation</w:t>
      </w:r>
      <w:r>
        <w:t>’</w:t>
      </w:r>
      <w:r w:rsidR="006A1B55">
        <w:t xml:space="preserve"> caregivers</w:t>
      </w:r>
      <w:bookmarkEnd w:id="16"/>
    </w:p>
    <w:p w14:paraId="594E97B8" w14:textId="255AD381" w:rsidR="00E479DA" w:rsidRPr="0082380E" w:rsidRDefault="00E479DA" w:rsidP="00273BE2">
      <w:pPr>
        <w:pStyle w:val="BodyText"/>
      </w:pPr>
      <w:r w:rsidRPr="0082380E">
        <w:t>Estimates of economic impact narrowly define informal caregiving as looking after the ill, disabled or frail and don</w:t>
      </w:r>
      <w:r w:rsidR="001B0B19">
        <w:t>’</w:t>
      </w:r>
      <w:r w:rsidRPr="0082380E">
        <w:t xml:space="preserve">t </w:t>
      </w:r>
      <w:r w:rsidR="00F35375">
        <w:t xml:space="preserve">usually </w:t>
      </w:r>
      <w:r w:rsidRPr="0082380E">
        <w:t xml:space="preserve">include childcare. Multigenerational caregivers, sometimes known as the </w:t>
      </w:r>
      <w:r w:rsidR="001B0B19">
        <w:t>‘</w:t>
      </w:r>
      <w:r w:rsidRPr="0082380E">
        <w:t>Sandwich generation</w:t>
      </w:r>
      <w:r w:rsidR="001B0B19">
        <w:t>’</w:t>
      </w:r>
      <w:r w:rsidR="00F35375">
        <w:t>,</w:t>
      </w:r>
      <w:r w:rsidRPr="0082380E">
        <w:t xml:space="preserve"> provide care for both younger and older generations.</w:t>
      </w:r>
      <w:r w:rsidR="0046714E">
        <w:t xml:space="preserve"> </w:t>
      </w:r>
      <w:r w:rsidRPr="0082380E">
        <w:t>Care provided to spouses, adult children</w:t>
      </w:r>
      <w:r w:rsidR="00F35375">
        <w:t>,</w:t>
      </w:r>
      <w:r w:rsidRPr="0082380E">
        <w:t xml:space="preserve"> and one or both parents is often due to illness, disability or problems associated with ageing. </w:t>
      </w:r>
      <w:r w:rsidR="0046714E">
        <w:t>G</w:t>
      </w:r>
      <w:r w:rsidRPr="0082380E">
        <w:t xml:space="preserve">randchildren are often cared for to support adult children returning to </w:t>
      </w:r>
      <w:r w:rsidR="00D44241" w:rsidRPr="0082380E">
        <w:t>work or</w:t>
      </w:r>
      <w:r w:rsidRPr="0082380E">
        <w:t xml:space="preserve"> undergoing medical treatment. </w:t>
      </w:r>
    </w:p>
    <w:p w14:paraId="42831732" w14:textId="207A6BC3" w:rsidR="006A1B55" w:rsidRPr="0082380E" w:rsidRDefault="006A1B55" w:rsidP="00273BE2">
      <w:pPr>
        <w:pStyle w:val="BodyText"/>
      </w:pPr>
      <w:r w:rsidRPr="0082380E">
        <w:t>The ALSWH 2018 Major Report on Caregiving</w:t>
      </w:r>
      <w:r w:rsidR="00E479DA" w:rsidRPr="0082380E">
        <w:t xml:space="preserve"> </w:t>
      </w:r>
      <w:r w:rsidR="00E479DA" w:rsidRPr="0082380E">
        <w:fldChar w:fldCharType="begin"/>
      </w:r>
      <w:r w:rsidR="000F4423">
        <w:instrText xml:space="preserve"> ADDIN EN.CITE &lt;EndNote&gt;&lt;Cite&gt;&lt;Author&gt;Tooth L&lt;/Author&gt;&lt;Year&gt;2018&lt;/Year&gt;&lt;RecNum&gt;16&lt;/RecNum&gt;&lt;DisplayText&gt;(Tooth L, 2018)&lt;/DisplayText&gt;&lt;record&gt;&lt;rec-number&gt;16&lt;/rec-number&gt;&lt;foreign-keys&gt;&lt;key app="EN" db-id="xx2v2zadpfd5z8etd04xdztg9xtdpff2szrs" timestamp="1661136169"&gt;16&lt;/key&gt;&lt;/foreign-keys&gt;&lt;ref-type name="Report"&gt;27&lt;/ref-type&gt;&lt;contributors&gt;&lt;authors&gt;&lt;author&gt;Tooth L, Loxton D, Chan H, Coombe J, Dobson A, Hockey R, Townsend N, Byles J &amp;amp; Mishra G. &lt;/author&gt;&lt;/authors&gt;&lt;subsidiary-authors&gt;&lt;author&gt;Report prepared for the Australian Government Department of Health&lt;/author&gt;&lt;/subsidiary-authors&gt;&lt;/contributors&gt;&lt;titles&gt;&lt;title&gt;From child care to elder care: Findings from the Australian Longitudinal Study on Women’s Health.&lt;/title&gt;&lt;/titles&gt;&lt;dates&gt;&lt;year&gt;2018&lt;/year&gt;&lt;pub-dates&gt;&lt;date&gt;May&lt;/date&gt;&lt;/pub-dates&gt;&lt;/dates&gt;&lt;urls&gt;&lt;/urls&gt;&lt;/record&gt;&lt;/Cite&gt;&lt;/EndNote&gt;</w:instrText>
      </w:r>
      <w:r w:rsidR="00E479DA" w:rsidRPr="0082380E">
        <w:fldChar w:fldCharType="separate"/>
      </w:r>
      <w:r w:rsidR="000F4423">
        <w:rPr>
          <w:noProof/>
        </w:rPr>
        <w:t>(</w:t>
      </w:r>
      <w:hyperlink w:anchor="_ENREF_12" w:tooltip="Tooth L, 2018 #16" w:history="1">
        <w:r w:rsidR="000F4423">
          <w:rPr>
            <w:noProof/>
          </w:rPr>
          <w:t>Tooth L, 2018</w:t>
        </w:r>
      </w:hyperlink>
      <w:r w:rsidR="000F4423">
        <w:rPr>
          <w:noProof/>
        </w:rPr>
        <w:t>)</w:t>
      </w:r>
      <w:r w:rsidR="00E479DA" w:rsidRPr="0082380E">
        <w:fldChar w:fldCharType="end"/>
      </w:r>
      <w:r w:rsidRPr="0082380E">
        <w:t xml:space="preserve"> investigated the heal</w:t>
      </w:r>
      <w:r w:rsidR="000170D2">
        <w:t>t</w:t>
      </w:r>
      <w:r w:rsidRPr="0082380E">
        <w:t>h, health behaviours and health service use of women from the 1973-78, 1946-51, and 1921-26 cohorts who provided care for children/grandchildren or any other person because of a long-term illness, disability or frailty. The r</w:t>
      </w:r>
      <w:r w:rsidR="0046714E">
        <w:t>eport</w:t>
      </w:r>
      <w:r w:rsidR="001B0B19">
        <w:t>’</w:t>
      </w:r>
      <w:r w:rsidR="0046714E">
        <w:t>s findings on this topic are summarised below.</w:t>
      </w:r>
    </w:p>
    <w:p w14:paraId="2A01F4DB" w14:textId="083C94AD" w:rsidR="006A1B55" w:rsidRPr="0082380E" w:rsidRDefault="006A1B55" w:rsidP="00273BE2">
      <w:pPr>
        <w:pStyle w:val="BodyText"/>
      </w:pPr>
      <w:r w:rsidRPr="0082380E">
        <w:t xml:space="preserve">At age 37-42, about 11% of the 1973-78 cohort women were caring for </w:t>
      </w:r>
      <w:r w:rsidR="00DB5108">
        <w:t xml:space="preserve">children as well as </w:t>
      </w:r>
      <w:r w:rsidRPr="0082380E">
        <w:t xml:space="preserve">someone who was ill, disabled or frail. </w:t>
      </w:r>
      <w:r w:rsidR="00E479DA" w:rsidRPr="0082380E">
        <w:t>Women caring for an adult</w:t>
      </w:r>
      <w:r w:rsidRPr="0082380E">
        <w:t xml:space="preserve"> they lived with were likely to have more children - 33% had </w:t>
      </w:r>
      <w:r w:rsidR="00F35375">
        <w:t>three</w:t>
      </w:r>
      <w:r w:rsidRPr="0082380E">
        <w:t xml:space="preserve"> or more children compared with 25% of those caring for someone elsewhere or non-</w:t>
      </w:r>
      <w:r w:rsidR="00D44241" w:rsidRPr="0082380E">
        <w:t>caregivers. Those</w:t>
      </w:r>
      <w:r w:rsidRPr="0082380E">
        <w:t xml:space="preserve"> who provided </w:t>
      </w:r>
      <w:proofErr w:type="gramStart"/>
      <w:r w:rsidRPr="0082380E">
        <w:t>child care</w:t>
      </w:r>
      <w:proofErr w:type="gramEnd"/>
      <w:r w:rsidRPr="0082380E">
        <w:t xml:space="preserve"> and cared for another person due to illness, disability or frailty were more likely to have </w:t>
      </w:r>
      <w:r w:rsidR="00E479DA" w:rsidRPr="0082380E">
        <w:t xml:space="preserve">fair/poor </w:t>
      </w:r>
      <w:r w:rsidR="00D44241" w:rsidRPr="0082380E">
        <w:t>self-rated</w:t>
      </w:r>
      <w:r w:rsidR="00E479DA" w:rsidRPr="0082380E">
        <w:t xml:space="preserve"> health, </w:t>
      </w:r>
      <w:r w:rsidRPr="0082380E">
        <w:t>sedentary lifestyle</w:t>
      </w:r>
      <w:r w:rsidR="00E479DA" w:rsidRPr="0082380E">
        <w:t xml:space="preserve">, and higher levels of </w:t>
      </w:r>
      <w:r w:rsidR="00D44241" w:rsidRPr="0082380E">
        <w:t>perceived</w:t>
      </w:r>
      <w:r w:rsidR="00E479DA" w:rsidRPr="0082380E">
        <w:t xml:space="preserve"> stress and depression than women who only cared for children.</w:t>
      </w:r>
    </w:p>
    <w:p w14:paraId="773285DC" w14:textId="4F17A872" w:rsidR="006A1B55" w:rsidRDefault="006A1B55" w:rsidP="00273BE2">
      <w:pPr>
        <w:pStyle w:val="BodyText"/>
        <w:rPr>
          <w:i/>
        </w:rPr>
      </w:pPr>
      <w:r w:rsidRPr="0082380E">
        <w:t>By age 65-70, 25% of the women in the 1946-51 cohort provided care to someone who was ill, disabled or frail, a</w:t>
      </w:r>
      <w:r w:rsidR="00F35375">
        <w:t>nd</w:t>
      </w:r>
      <w:r w:rsidRPr="0082380E">
        <w:t xml:space="preserve"> a grandchild or other child. They were more likely to report having depression, made more visits to the </w:t>
      </w:r>
      <w:r w:rsidR="00250110">
        <w:t>GP</w:t>
      </w:r>
      <w:r w:rsidRPr="0082380E">
        <w:t>, had a higher perceived level of stress and were less likely to rate their health as very good or excellent than non-caregivers and caregivers who provided other types of care.</w:t>
      </w:r>
    </w:p>
    <w:p w14:paraId="059F8896" w14:textId="5E8EA486" w:rsidR="006A1B55" w:rsidRPr="0082380E" w:rsidRDefault="00F35375" w:rsidP="00273BE2">
      <w:pPr>
        <w:pStyle w:val="BodyText"/>
      </w:pPr>
      <w:r>
        <w:lastRenderedPageBreak/>
        <w:t>A</w:t>
      </w:r>
      <w:r w:rsidR="006A1B55" w:rsidRPr="0082380E">
        <w:t xml:space="preserve"> qualitative analysis of participant comments</w:t>
      </w:r>
      <w:r>
        <w:t xml:space="preserve"> in the caregiving report</w:t>
      </w:r>
      <w:r w:rsidR="006A1B55" w:rsidRPr="0082380E">
        <w:t xml:space="preserve"> found that multigenerational caring</w:t>
      </w:r>
      <w:r>
        <w:t xml:space="preserve"> </w:t>
      </w:r>
      <w:r w:rsidR="006A1B55" w:rsidRPr="0082380E">
        <w:t>is often challenging and stressful. Although car</w:t>
      </w:r>
      <w:r>
        <w:t>egiving</w:t>
      </w:r>
      <w:r w:rsidR="006A1B55" w:rsidRPr="0082380E">
        <w:t xml:space="preserve"> duties fluctuate, many women provided care for their families over many years</w:t>
      </w:r>
      <w:r>
        <w:t>. S</w:t>
      </w:r>
      <w:r w:rsidR="006A1B55" w:rsidRPr="0082380E">
        <w:t>ome women report</w:t>
      </w:r>
      <w:r>
        <w:t>ed</w:t>
      </w:r>
      <w:r w:rsidR="006A1B55" w:rsidRPr="0082380E">
        <w:t xml:space="preserve"> providing care and support for three generations (their parents, children and grandchildren) at the same time. Many women reported lacking time to focus on their own health and wellbeing, and it seemed there was a lack of support beyond the family unit to assist with this care</w:t>
      </w:r>
      <w:r w:rsidR="00D67FDD">
        <w:t xml:space="preserve"> </w:t>
      </w:r>
      <w:r w:rsidR="00507B7F">
        <w:fldChar w:fldCharType="begin"/>
      </w:r>
      <w:r w:rsidR="000F4423">
        <w:instrText xml:space="preserve"> ADDIN EN.CITE &lt;EndNote&gt;&lt;Cite&gt;&lt;Author&gt;Tooth L&lt;/Author&gt;&lt;Year&gt;2018&lt;/Year&gt;&lt;RecNum&gt;16&lt;/RecNum&gt;&lt;DisplayText&gt;(Tooth L, 2018)&lt;/DisplayText&gt;&lt;record&gt;&lt;rec-number&gt;16&lt;/rec-number&gt;&lt;foreign-keys&gt;&lt;key app="EN" db-id="xx2v2zadpfd5z8etd04xdztg9xtdpff2szrs" timestamp="1661136169"&gt;16&lt;/key&gt;&lt;/foreign-keys&gt;&lt;ref-type name="Report"&gt;27&lt;/ref-type&gt;&lt;contributors&gt;&lt;authors&gt;&lt;author&gt;Tooth L, Loxton D, Chan H, Coombe J, Dobson A, Hockey R, Townsend N, Byles J &amp;amp; Mishra G. &lt;/author&gt;&lt;/authors&gt;&lt;subsidiary-authors&gt;&lt;author&gt;Report prepared for the Australian Government Department of Health&lt;/author&gt;&lt;/subsidiary-authors&gt;&lt;/contributors&gt;&lt;titles&gt;&lt;title&gt;From child care to elder care: Findings from the Australian Longitudinal Study on Women’s Health.&lt;/title&gt;&lt;/titles&gt;&lt;dates&gt;&lt;year&gt;2018&lt;/year&gt;&lt;pub-dates&gt;&lt;date&gt;May&lt;/date&gt;&lt;/pub-dates&gt;&lt;/dates&gt;&lt;urls&gt;&lt;/urls&gt;&lt;/record&gt;&lt;/Cite&gt;&lt;/EndNote&gt;</w:instrText>
      </w:r>
      <w:r w:rsidR="00507B7F">
        <w:fldChar w:fldCharType="separate"/>
      </w:r>
      <w:r w:rsidR="000F4423">
        <w:rPr>
          <w:noProof/>
        </w:rPr>
        <w:t>(</w:t>
      </w:r>
      <w:hyperlink w:anchor="_ENREF_12" w:tooltip="Tooth L, 2018 #16" w:history="1">
        <w:r w:rsidR="000F4423">
          <w:rPr>
            <w:noProof/>
          </w:rPr>
          <w:t>Tooth L, 2018</w:t>
        </w:r>
      </w:hyperlink>
      <w:r w:rsidR="000F4423">
        <w:rPr>
          <w:noProof/>
        </w:rPr>
        <w:t>)</w:t>
      </w:r>
      <w:r w:rsidR="00507B7F">
        <w:fldChar w:fldCharType="end"/>
      </w:r>
      <w:r w:rsidR="006A1B55" w:rsidRPr="0082380E">
        <w:t xml:space="preserve">. </w:t>
      </w:r>
    </w:p>
    <w:p w14:paraId="6B80192F" w14:textId="54479704" w:rsidR="006A1B55" w:rsidRPr="006A1B55" w:rsidRDefault="006A1B55" w:rsidP="006A1B55">
      <w:pPr>
        <w:spacing w:before="40" w:after="160" w:line="276" w:lineRule="auto"/>
        <w:jc w:val="both"/>
        <w:rPr>
          <w:szCs w:val="24"/>
        </w:rPr>
      </w:pPr>
    </w:p>
    <w:p w14:paraId="600C2E11" w14:textId="3BD41C59" w:rsidR="006A1B55" w:rsidRPr="006A1B55" w:rsidRDefault="006A1B55" w:rsidP="006A1B55">
      <w:pPr>
        <w:spacing w:before="40" w:after="160" w:line="276" w:lineRule="auto"/>
        <w:jc w:val="both"/>
        <w:rPr>
          <w:szCs w:val="24"/>
        </w:rPr>
      </w:pPr>
      <w:r w:rsidRPr="000B6088">
        <w:rPr>
          <w:rFonts w:cstheme="minorHAnsi"/>
          <w:noProof/>
          <w:color w:val="000000" w:themeColor="text1"/>
          <w:szCs w:val="20"/>
          <w:lang w:val="en-GB" w:eastAsia="en-GB"/>
        </w:rPr>
        <mc:AlternateContent>
          <mc:Choice Requires="wps">
            <w:drawing>
              <wp:inline distT="0" distB="0" distL="0" distR="0" wp14:anchorId="580D1E49" wp14:editId="623CD7FA">
                <wp:extent cx="5759450" cy="621030"/>
                <wp:effectExtent l="0" t="0" r="12700" b="26670"/>
                <wp:docPr id="1" name="Text Box 1"/>
                <wp:cNvGraphicFramePr/>
                <a:graphic xmlns:a="http://schemas.openxmlformats.org/drawingml/2006/main">
                  <a:graphicData uri="http://schemas.microsoft.com/office/word/2010/wordprocessingShape">
                    <wps:wsp>
                      <wps:cNvSpPr txBox="1"/>
                      <wps:spPr>
                        <a:xfrm>
                          <a:off x="0" y="0"/>
                          <a:ext cx="5759450" cy="621030"/>
                        </a:xfrm>
                        <a:prstGeom prst="rect">
                          <a:avLst/>
                        </a:prstGeom>
                        <a:solidFill>
                          <a:schemeClr val="accent2"/>
                        </a:solidFill>
                        <a:ln w="3175">
                          <a:solidFill>
                            <a:srgbClr val="D7D1CC"/>
                          </a:solidFill>
                        </a:ln>
                        <a:effectLst/>
                      </wps:spPr>
                      <wps:style>
                        <a:lnRef idx="0">
                          <a:schemeClr val="accent1"/>
                        </a:lnRef>
                        <a:fillRef idx="0">
                          <a:schemeClr val="accent1"/>
                        </a:fillRef>
                        <a:effectRef idx="0">
                          <a:schemeClr val="accent1"/>
                        </a:effectRef>
                        <a:fontRef idx="minor">
                          <a:schemeClr val="dk1"/>
                        </a:fontRef>
                      </wps:style>
                      <wps:txbx>
                        <w:txbxContent>
                          <w:p w14:paraId="0076FF57" w14:textId="2258337D" w:rsidR="006A1B55" w:rsidRPr="000B6088" w:rsidRDefault="006A1B55" w:rsidP="006A1B55">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sidR="0082380E">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1C6969F6" w14:textId="77777777" w:rsidR="006A1B55" w:rsidRPr="00780D3B" w:rsidRDefault="006A1B55" w:rsidP="00273BE2">
                            <w:pPr>
                              <w:pStyle w:val="ListParagraph0"/>
                              <w:numPr>
                                <w:ilvl w:val="0"/>
                                <w:numId w:val="19"/>
                              </w:numPr>
                            </w:pPr>
                            <w:r w:rsidRPr="00780D3B">
                              <w:t>More accessible and affordable child care options for parents returning to work may reduce the burden on grandparents of caring for their grandchildren.</w:t>
                            </w:r>
                          </w:p>
                          <w:p w14:paraId="4690EB1D" w14:textId="77777777" w:rsidR="006A1B55" w:rsidRPr="006A1B55" w:rsidRDefault="006A1B55" w:rsidP="00273BE2">
                            <w:pPr>
                              <w:pStyle w:val="ListParagraph0"/>
                              <w:numPr>
                                <w:ilvl w:val="0"/>
                                <w:numId w:val="19"/>
                              </w:numPr>
                            </w:pPr>
                            <w:r w:rsidRPr="00780D3B">
                              <w:t>More research is needed to investigate the impact of long-term multigenerational caregiving among those who are reaching retirement age, and who are experiencing their own age-related health issues.</w:t>
                            </w:r>
                          </w:p>
                          <w:p w14:paraId="702E6553" w14:textId="159314C8" w:rsidR="006A1B55" w:rsidRPr="006A1B55" w:rsidRDefault="006A1B55" w:rsidP="00273BE2">
                            <w:pPr>
                              <w:pStyle w:val="ListParagraph0"/>
                              <w:numPr>
                                <w:ilvl w:val="0"/>
                                <w:numId w:val="19"/>
                              </w:numPr>
                            </w:pPr>
                            <w:r w:rsidRPr="00780D3B">
                              <w:t>While child care and respite care may be available to caregivers, these are rarely, if ever, offered as a coordinated support service. The complex support needs of caregivers in this position warrant assessment at the individual level.</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580D1E49" id="Text Box 1" o:spid="_x0000_s1030" type="#_x0000_t202" style="width:453.5pt;height:4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W8PhQIAAJkFAAAOAAAAZHJzL2Uyb0RvYy54bWysVN9v2yAQfp+0/wHxvjpOk3aN6lRZokyT&#10;qrVaO/WZYEjQMMeAxM7++h3YTtJ2e+g0P+CD+7gfH3d3fdNUmuyE8wpMQfOzASXCcCiVWRf0++Py&#10;w0dKfGCmZBqMKOheeHozff/uurYTMYQN6FI4gkaMn9S2oJsQ7CTLPN+IivkzsMKgUoKrWMCtW2el&#10;YzVar3Q2HAwushpcaR1w4T2eLlolnSb7Ugoe7qT0IhBdUIwtpNWldRXXbHrNJmvH7EbxLgz2D1FU&#10;TBl0ejC1YIGRrVOvTFWKO/AgwxmHKgMpFRcpB8wmH7zI5mHDrEi5IDneHmjy/88s/7p7sPeOhOYT&#10;NPiAkZDa+onHw5hPI10V/xgpQT1SuD/QJppAOB6OL8dXozGqOOouhvngPPGaHW9b58NnARWJQkEd&#10;Pktii+1ufUCPCO0h0ZkHrcql0jptYimIuXZkx/ARGefChGGME289Q2pD6oKe55fjZPyZzrv16mBj&#10;cbnI5/PXJtCgNtGnSJXTxXakI0lhr0XEaPNNSKLKxMpfA02EJruIjiiJab3lYoc/RvWWy20evWcw&#10;4XC5UgZcS9NzfssffciyxSPPJ3lHMTSrBhMv6KivlhWUeywiB21/ecuXCl/6lvlwzxw2FBYHDolw&#10;h4vUgK8EnUTJBtyvP51HPNY5aimpsUEL6n9umROU6C8GO+AqH41iR7ebAX6UuFPN6lRjttUcsHxy&#10;HEeWJzHig+5F6aB6wlkyi15RxQxH3wUNvTgP7djAWcTFbJZA2MOWhVvzYHk0HR8p1vFj88Sc7Yo9&#10;YJt8hb6V2eRFzbfYVD92tg2wVKkhIs8tqx3/2P+p4rtZFQfM6T6hjhN1+hsAAP//AwBQSwMEFAAG&#10;AAgAAAAhAAFtAU/ZAAAABAEAAA8AAABkcnMvZG93bnJldi54bWxMjzFPwzAQhXck/oN1SN2oQ4e2&#10;hDgVQlTywEJAYr3E1zgQ25Httum/52CB5XRP7/Tue9VudqM4UUxD8ArulgUI8l0wg+8VvL/tb7cg&#10;UkZvcAyeFFwowa6+vqqwNOHsX+nU5F5wiE8lKrA5T6WUqbPkMC3DRJ69Q4gOM8vYSxPxzOFulKui&#10;WEuHg+cPFid6stR9NUenYGztS6QPfRhw/ex0s9ef+qKVWtzMjw8gMs357xh+8BkdamZqw9GbJEYF&#10;XCT/Tvbuiw3LlpfNFmRdyf/w9TcAAAD//wMAUEsBAi0AFAAGAAgAAAAhALaDOJL+AAAA4QEAABMA&#10;AAAAAAAAAAAAAAAAAAAAAFtDb250ZW50X1R5cGVzXS54bWxQSwECLQAUAAYACAAAACEAOP0h/9YA&#10;AACUAQAACwAAAAAAAAAAAAAAAAAvAQAAX3JlbHMvLnJlbHNQSwECLQAUAAYACAAAACEAgoVvD4UC&#10;AACZBQAADgAAAAAAAAAAAAAAAAAuAgAAZHJzL2Uyb0RvYy54bWxQSwECLQAUAAYACAAAACEAAW0B&#10;T9kAAAAEAQAADwAAAAAAAAAAAAAAAADfBAAAZHJzL2Rvd25yZXYueG1sUEsFBgAAAAAEAAQA8wAA&#10;AOUFAAAAAA==&#10;" fillcolor="#bad8d4 [3205]" strokecolor="#d7d1cc" strokeweight=".25pt">
                <v:textbox style="mso-fit-shape-to-text:t" inset=",2.5mm,,2.5mm">
                  <w:txbxContent>
                    <w:p w14:paraId="0076FF57" w14:textId="2258337D" w:rsidR="006A1B55" w:rsidRPr="000B6088" w:rsidRDefault="006A1B55" w:rsidP="006A1B55">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sidR="0082380E">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1C6969F6" w14:textId="77777777" w:rsidR="006A1B55" w:rsidRPr="00780D3B" w:rsidRDefault="006A1B55" w:rsidP="00273BE2">
                      <w:pPr>
                        <w:pStyle w:val="ListParagraph0"/>
                        <w:numPr>
                          <w:ilvl w:val="0"/>
                          <w:numId w:val="19"/>
                        </w:numPr>
                      </w:pPr>
                      <w:r w:rsidRPr="00780D3B">
                        <w:t>More accessible and affordable child care options for parents returning to work may reduce the burden on grandparents of caring for their grandchildren.</w:t>
                      </w:r>
                    </w:p>
                    <w:p w14:paraId="4690EB1D" w14:textId="77777777" w:rsidR="006A1B55" w:rsidRPr="006A1B55" w:rsidRDefault="006A1B55" w:rsidP="00273BE2">
                      <w:pPr>
                        <w:pStyle w:val="ListParagraph0"/>
                        <w:numPr>
                          <w:ilvl w:val="0"/>
                          <w:numId w:val="19"/>
                        </w:numPr>
                      </w:pPr>
                      <w:r w:rsidRPr="00780D3B">
                        <w:t>More research is needed to investigate the impact of long-term multigenerational caregiving among those who are reaching retirement age, and who are experiencing their own age-related health issues.</w:t>
                      </w:r>
                    </w:p>
                    <w:p w14:paraId="702E6553" w14:textId="159314C8" w:rsidR="006A1B55" w:rsidRPr="006A1B55" w:rsidRDefault="006A1B55" w:rsidP="00273BE2">
                      <w:pPr>
                        <w:pStyle w:val="ListParagraph0"/>
                        <w:numPr>
                          <w:ilvl w:val="0"/>
                          <w:numId w:val="19"/>
                        </w:numPr>
                      </w:pPr>
                      <w:r w:rsidRPr="00780D3B">
                        <w:t>While child care and respite care may be available to caregivers, these are rarely, if ever, offered as a coordinated support service. The complex support needs of caregivers in this position warrant assessment at the individual level.</w:t>
                      </w:r>
                    </w:p>
                  </w:txbxContent>
                </v:textbox>
                <w10:anchorlock/>
              </v:shape>
            </w:pict>
          </mc:Fallback>
        </mc:AlternateContent>
      </w:r>
    </w:p>
    <w:p w14:paraId="1670205E" w14:textId="77777777" w:rsidR="00AD41FC" w:rsidRDefault="00AD41FC" w:rsidP="00AD41FC"/>
    <w:p w14:paraId="45E70780" w14:textId="01AE3DB9" w:rsidR="00ED7464" w:rsidRDefault="00DB5995" w:rsidP="007E147B">
      <w:pPr>
        <w:pStyle w:val="Heading2"/>
      </w:pPr>
      <w:bookmarkStart w:id="17" w:name="_Toc113022379"/>
      <w:r>
        <w:t>C</w:t>
      </w:r>
      <w:r w:rsidR="00AD41FC" w:rsidRPr="001748ED">
        <w:t>osts and benefits of leaving formal employment to provide informal care that carers don</w:t>
      </w:r>
      <w:r w:rsidR="001B0B19">
        <w:t>’</w:t>
      </w:r>
      <w:r w:rsidR="00AD41FC" w:rsidRPr="001748ED">
        <w:t>t take into consideration.</w:t>
      </w:r>
      <w:bookmarkEnd w:id="17"/>
    </w:p>
    <w:p w14:paraId="66966161" w14:textId="0D7468D9" w:rsidR="00AD41FC" w:rsidRPr="003E1311" w:rsidRDefault="00AD41FC" w:rsidP="003E1311">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To what extent and how do carers consider the following factors when deciding whether to provide informal care:</w:t>
      </w:r>
    </w:p>
    <w:p w14:paraId="3222BF06" w14:textId="77777777" w:rsidR="00AD41FC" w:rsidRPr="003E1311" w:rsidRDefault="00AD41FC" w:rsidP="003E1311">
      <w:pPr>
        <w:pStyle w:val="ListBullet0"/>
        <w:numPr>
          <w:ilvl w:val="0"/>
          <w:numId w:val="18"/>
        </w:numPr>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their ability to return to work</w:t>
      </w:r>
    </w:p>
    <w:p w14:paraId="7A071B86" w14:textId="77777777" w:rsidR="00AD41FC" w:rsidRPr="003E1311" w:rsidRDefault="00AD41FC" w:rsidP="003E1311">
      <w:pPr>
        <w:pStyle w:val="ListBullet0"/>
        <w:numPr>
          <w:ilvl w:val="0"/>
          <w:numId w:val="18"/>
        </w:numPr>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their future income, including retirement income</w:t>
      </w:r>
    </w:p>
    <w:p w14:paraId="7DB7D56B" w14:textId="77777777" w:rsidR="00AD41FC" w:rsidRPr="003E1311" w:rsidRDefault="00AD41FC" w:rsidP="003E1311">
      <w:pPr>
        <w:pStyle w:val="ListBullet0"/>
        <w:numPr>
          <w:ilvl w:val="0"/>
          <w:numId w:val="18"/>
        </w:numPr>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the health and wellbeing of the care recipient</w:t>
      </w:r>
    </w:p>
    <w:p w14:paraId="10835FE3" w14:textId="77777777" w:rsidR="00AD41FC" w:rsidRPr="003E1311" w:rsidRDefault="00AD41FC" w:rsidP="003E1311">
      <w:pPr>
        <w:pStyle w:val="ListBullet0"/>
        <w:numPr>
          <w:ilvl w:val="0"/>
          <w:numId w:val="18"/>
        </w:numPr>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their own health and wellbeing</w:t>
      </w:r>
    </w:p>
    <w:p w14:paraId="43799471" w14:textId="77777777" w:rsidR="00AD41FC" w:rsidRPr="003E1311" w:rsidRDefault="00AD41FC" w:rsidP="003E1311">
      <w:pPr>
        <w:pStyle w:val="ListBullet0"/>
        <w:numPr>
          <w:ilvl w:val="0"/>
          <w:numId w:val="18"/>
        </w:numPr>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the cost of alternative care arrangements</w:t>
      </w:r>
    </w:p>
    <w:p w14:paraId="401A7B88" w14:textId="60CFC0F6" w:rsidR="00AD41FC" w:rsidRPr="003E1311" w:rsidRDefault="00AD41FC" w:rsidP="003E1311">
      <w:pPr>
        <w:pStyle w:val="ListBullet0"/>
        <w:numPr>
          <w:ilvl w:val="0"/>
          <w:numId w:val="18"/>
        </w:numPr>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any other important matters?</w:t>
      </w:r>
    </w:p>
    <w:p w14:paraId="1D2A78DB" w14:textId="059931D8" w:rsidR="001748ED" w:rsidRPr="001748ED" w:rsidRDefault="001748ED" w:rsidP="00ED7464">
      <w:pPr>
        <w:pStyle w:val="Heading3"/>
      </w:pPr>
      <w:bookmarkStart w:id="18" w:name="_Toc113022380"/>
      <w:r w:rsidRPr="001748ED">
        <w:t>The decision to retire</w:t>
      </w:r>
      <w:bookmarkEnd w:id="18"/>
    </w:p>
    <w:p w14:paraId="5301F449" w14:textId="78718FDE" w:rsidR="00AD41FC" w:rsidRDefault="001748ED" w:rsidP="003E1311">
      <w:pPr>
        <w:pStyle w:val="BodyText"/>
      </w:pPr>
      <w:r>
        <w:t xml:space="preserve">At age 53-58, live-in carers were more likely to be retired. Live-in carers were more likely to rate the ability to access government pensions or benefits as an important factor in the decision to retire. </w:t>
      </w:r>
      <w:r w:rsidR="00ED7464">
        <w:t>Overall, c</w:t>
      </w:r>
      <w:r>
        <w:t xml:space="preserve">arers were more likely to rate the number of people dependent on financial support and the need to care for a spouse or other family member as important factors in the decision to retire </w:t>
      </w:r>
      <w:r>
        <w:fldChar w:fldCharType="begin"/>
      </w:r>
      <w:r w:rsidR="000F4423">
        <w:instrText xml:space="preserve"> ADDIN EN.CITE &lt;EndNote&gt;&lt;Cite&gt;&lt;Author&gt;Lucke&lt;/Author&gt;&lt;Year&gt;2006&lt;/Year&gt;&lt;RecNum&gt;18&lt;/RecNum&gt;&lt;DisplayText&gt;(Lucke, 2006)&lt;/DisplayText&gt;&lt;record&gt;&lt;rec-number&gt;18&lt;/rec-number&gt;&lt;foreign-keys&gt;&lt;key app="EN" db-id="xx2v2zadpfd5z8etd04xdztg9xtdpff2szrs" timestamp="1661775992"&gt;18&lt;/key&gt;&lt;/foreign-keys&gt;&lt;ref-type name="Report"&gt;27&lt;/ref-type&gt;&lt;contributors&gt;&lt;authors&gt;&lt;author&gt;Lucke, J.; Tooth, L.; Hockey, R.; Dobson, A.&lt;/author&gt;&lt;/authors&gt;&lt;subsidiary-authors&gt;&lt;author&gt;Australian Longitudinal Study on Women&amp;apos;s Health&lt;/author&gt;&lt;/subsidiary-authors&gt;&lt;/contributors&gt;&lt;titles&gt;&lt;title&gt;Employed carers in mid-life: Findings from the Australian Longitudinal Study on Women’s Health. &lt;/title&gt;&lt;/titles&gt;&lt;dates&gt;&lt;year&gt;2006&lt;/year&gt;&lt;pub-dates&gt;&lt;date&gt;October 2006&lt;/date&gt;&lt;/pub-dates&gt;&lt;/dates&gt;&lt;work-type&gt;Report&lt;/work-type&gt;&lt;urls&gt;&lt;related-urls&gt;&lt;url&gt;https://alswh.org.au/post-outcomes/employed-carers-in-mid-life-findings-from-the-australian-longitudinal-study-on-womens-health/&lt;/url&gt;&lt;/related-urls&gt;&lt;/urls&gt;&lt;language&gt;English&lt;/language&gt;&lt;/record&gt;&lt;/Cite&gt;&lt;/EndNote&gt;</w:instrText>
      </w:r>
      <w:r>
        <w:fldChar w:fldCharType="separate"/>
      </w:r>
      <w:r w:rsidR="000F4423">
        <w:rPr>
          <w:noProof/>
        </w:rPr>
        <w:t>(</w:t>
      </w:r>
      <w:hyperlink w:anchor="_ENREF_8" w:tooltip="Lucke, 2006 #18" w:history="1">
        <w:r w:rsidR="000F4423">
          <w:rPr>
            <w:noProof/>
          </w:rPr>
          <w:t>Lucke, 2006</w:t>
        </w:r>
      </w:hyperlink>
      <w:r w:rsidR="000F4423">
        <w:rPr>
          <w:noProof/>
        </w:rPr>
        <w:t>)</w:t>
      </w:r>
      <w:r>
        <w:fldChar w:fldCharType="end"/>
      </w:r>
      <w:r>
        <w:t>.</w:t>
      </w:r>
    </w:p>
    <w:p w14:paraId="64F7A212" w14:textId="77777777" w:rsidR="003E1311" w:rsidRDefault="003E1311" w:rsidP="003E1311">
      <w:pPr>
        <w:pStyle w:val="BodyText"/>
      </w:pPr>
    </w:p>
    <w:p w14:paraId="1C8B787C" w14:textId="2E3FAF15" w:rsidR="00006694" w:rsidRPr="00DB5995" w:rsidRDefault="00DB5995" w:rsidP="007E147B">
      <w:pPr>
        <w:pStyle w:val="Heading2"/>
      </w:pPr>
      <w:bookmarkStart w:id="19" w:name="_Toc113022381"/>
      <w:r>
        <w:lastRenderedPageBreak/>
        <w:t>H</w:t>
      </w:r>
      <w:r w:rsidR="00AD41FC" w:rsidRPr="00AD41FC">
        <w:t>ow many employees who would take leave would return to work once they had ceased caring</w:t>
      </w:r>
      <w:r>
        <w:t>?</w:t>
      </w:r>
      <w:bookmarkEnd w:id="19"/>
    </w:p>
    <w:p w14:paraId="6A76F1D9" w14:textId="569BC226" w:rsidR="004E15E6" w:rsidRDefault="004E15E6" w:rsidP="004E15E6">
      <w:pPr>
        <w:pStyle w:val="Heading3"/>
      </w:pPr>
      <w:bookmarkStart w:id="20" w:name="_Toc113022382"/>
      <w:r>
        <w:t>Caregiving transitions</w:t>
      </w:r>
      <w:bookmarkEnd w:id="20"/>
    </w:p>
    <w:p w14:paraId="6D37CDD8" w14:textId="44F61050" w:rsidR="00962D5A" w:rsidRDefault="009F176F" w:rsidP="00962D5A">
      <w:pPr>
        <w:pStyle w:val="BodyText"/>
      </w:pPr>
      <w:r>
        <w:t xml:space="preserve">ALSWH data shows that caregiving is </w:t>
      </w:r>
      <w:r w:rsidR="00962D5A">
        <w:t xml:space="preserve">a </w:t>
      </w:r>
      <w:r>
        <w:t xml:space="preserve">highly transitory </w:t>
      </w:r>
      <w:r w:rsidR="00962D5A">
        <w:t>role</w:t>
      </w:r>
      <w:r w:rsidR="00300BF0">
        <w:t xml:space="preserve">. </w:t>
      </w:r>
      <w:r w:rsidR="00006694">
        <w:t>Data from ALSWH</w:t>
      </w:r>
      <w:r w:rsidR="001B0B19">
        <w:t>’</w:t>
      </w:r>
      <w:r w:rsidR="00006694">
        <w:t xml:space="preserve">s 2018 Major Report on Caregiving shows </w:t>
      </w:r>
      <w:r w:rsidR="00962D5A">
        <w:t>that from age 45-72 (across eight consecutive surveys)</w:t>
      </w:r>
      <w:r w:rsidR="00300BF0">
        <w:t>,</w:t>
      </w:r>
      <w:r w:rsidR="00962D5A">
        <w:t xml:space="preserve"> 24-30% of women from the 1946-51 cohort provided care at some point. However, only 4% of the women reported caregiving at every survey </w:t>
      </w:r>
      <w:r w:rsidR="00962D5A">
        <w:fldChar w:fldCharType="begin"/>
      </w:r>
      <w:r w:rsidR="000F4423">
        <w:instrText xml:space="preserve"> ADDIN EN.CITE &lt;EndNote&gt;&lt;Cite&gt;&lt;Author&gt;Tooth L&lt;/Author&gt;&lt;Year&gt;2018&lt;/Year&gt;&lt;RecNum&gt;16&lt;/RecNum&gt;&lt;DisplayText&gt;(Tooth L, 2018)&lt;/DisplayText&gt;&lt;record&gt;&lt;rec-number&gt;16&lt;/rec-number&gt;&lt;foreign-keys&gt;&lt;key app="EN" db-id="xx2v2zadpfd5z8etd04xdztg9xtdpff2szrs" timestamp="1661136169"&gt;16&lt;/key&gt;&lt;/foreign-keys&gt;&lt;ref-type name="Report"&gt;27&lt;/ref-type&gt;&lt;contributors&gt;&lt;authors&gt;&lt;author&gt;Tooth L, Loxton D, Chan H, Coombe J, Dobson A, Hockey R, Townsend N, Byles J &amp;amp; Mishra G. &lt;/author&gt;&lt;/authors&gt;&lt;subsidiary-authors&gt;&lt;author&gt;Report prepared for the Australian Government Department of Health&lt;/author&gt;&lt;/subsidiary-authors&gt;&lt;/contributors&gt;&lt;titles&gt;&lt;title&gt;From child care to elder care: Findings from the Australian Longitudinal Study on Women’s Health.&lt;/title&gt;&lt;/titles&gt;&lt;dates&gt;&lt;year&gt;2018&lt;/year&gt;&lt;pub-dates&gt;&lt;date&gt;May&lt;/date&gt;&lt;/pub-dates&gt;&lt;/dates&gt;&lt;urls&gt;&lt;/urls&gt;&lt;/record&gt;&lt;/Cite&gt;&lt;/EndNote&gt;</w:instrText>
      </w:r>
      <w:r w:rsidR="00962D5A">
        <w:fldChar w:fldCharType="separate"/>
      </w:r>
      <w:r w:rsidR="000F4423">
        <w:rPr>
          <w:noProof/>
        </w:rPr>
        <w:t>(</w:t>
      </w:r>
      <w:hyperlink w:anchor="_ENREF_12" w:tooltip="Tooth L, 2018 #16" w:history="1">
        <w:r w:rsidR="000F4423">
          <w:rPr>
            <w:noProof/>
          </w:rPr>
          <w:t>Tooth L, 2018</w:t>
        </w:r>
      </w:hyperlink>
      <w:r w:rsidR="000F4423">
        <w:rPr>
          <w:noProof/>
        </w:rPr>
        <w:t>)</w:t>
      </w:r>
      <w:r w:rsidR="00962D5A">
        <w:fldChar w:fldCharType="end"/>
      </w:r>
      <w:r w:rsidR="00962D5A">
        <w:t>.</w:t>
      </w:r>
    </w:p>
    <w:p w14:paraId="7546B3B5" w14:textId="1A037478" w:rsidR="00217245" w:rsidRPr="00DB5995" w:rsidRDefault="00006694" w:rsidP="00DB5995">
      <w:pPr>
        <w:pStyle w:val="BodyText"/>
      </w:pPr>
      <w:r>
        <w:t xml:space="preserve">The table below highlights the transitory nature of </w:t>
      </w:r>
      <w:r w:rsidR="008C0369">
        <w:t>caregiving</w:t>
      </w:r>
      <w:r>
        <w:t xml:space="preserve">. </w:t>
      </w:r>
      <w:r w:rsidR="00217245">
        <w:t xml:space="preserve">At each survey, women who provided care (for people living with them or elsewhere) are depicted in the dark purple band, while those not providing care are in the light purple band. </w:t>
      </w:r>
      <w:r w:rsidR="00811538">
        <w:t>Figure 1</w:t>
      </w:r>
      <w:r w:rsidR="00217245">
        <w:t xml:space="preserve"> shows a high degree of movement into and out of caregiving across the surveys.</w:t>
      </w:r>
      <w:r w:rsidR="009F176F">
        <w:t xml:space="preserve"> At Survey 3</w:t>
      </w:r>
      <w:r w:rsidR="00300BF0">
        <w:t>,</w:t>
      </w:r>
      <w:r w:rsidR="009F176F">
        <w:t xml:space="preserve"> aged 50-55, 1654 women (25% of total) were providing care for another person. Three years later, 601 (9% of total) had stopped,1053 (16% of total) were still providing care, and 935 (14% of total) who were not providing care at Survey 3 had started doing so </w:t>
      </w:r>
      <w:r w:rsidR="009F176F">
        <w:fldChar w:fldCharType="begin"/>
      </w:r>
      <w:r w:rsidR="000F4423">
        <w:instrText xml:space="preserve"> ADDIN EN.CITE &lt;EndNote&gt;&lt;Cite&gt;&lt;Author&gt;Tooth L&lt;/Author&gt;&lt;Year&gt;2018&lt;/Year&gt;&lt;RecNum&gt;16&lt;/RecNum&gt;&lt;DisplayText&gt;(Tooth L, 2018)&lt;/DisplayText&gt;&lt;record&gt;&lt;rec-number&gt;16&lt;/rec-number&gt;&lt;foreign-keys&gt;&lt;key app="EN" db-id="xx2v2zadpfd5z8etd04xdztg9xtdpff2szrs" timestamp="1661136169"&gt;16&lt;/key&gt;&lt;/foreign-keys&gt;&lt;ref-type name="Report"&gt;27&lt;/ref-type&gt;&lt;contributors&gt;&lt;authors&gt;&lt;author&gt;Tooth L, Loxton D, Chan H, Coombe J, Dobson A, Hockey R, Townsend N, Byles J &amp;amp; Mishra G. &lt;/author&gt;&lt;/authors&gt;&lt;subsidiary-authors&gt;&lt;author&gt;Report prepared for the Australian Government Department of Health&lt;/author&gt;&lt;/subsidiary-authors&gt;&lt;/contributors&gt;&lt;titles&gt;&lt;title&gt;From child care to elder care: Findings from the Australian Longitudinal Study on Women’s Health.&lt;/title&gt;&lt;/titles&gt;&lt;dates&gt;&lt;year&gt;2018&lt;/year&gt;&lt;pub-dates&gt;&lt;date&gt;May&lt;/date&gt;&lt;/pub-dates&gt;&lt;/dates&gt;&lt;urls&gt;&lt;/urls&gt;&lt;/record&gt;&lt;/Cite&gt;&lt;/EndNote&gt;</w:instrText>
      </w:r>
      <w:r w:rsidR="009F176F">
        <w:fldChar w:fldCharType="separate"/>
      </w:r>
      <w:r w:rsidR="000F4423">
        <w:rPr>
          <w:noProof/>
        </w:rPr>
        <w:t>(</w:t>
      </w:r>
      <w:hyperlink w:anchor="_ENREF_12" w:tooltip="Tooth L, 2018 #16" w:history="1">
        <w:r w:rsidR="000F4423">
          <w:rPr>
            <w:noProof/>
          </w:rPr>
          <w:t>Tooth L, 2018</w:t>
        </w:r>
      </w:hyperlink>
      <w:r w:rsidR="000F4423">
        <w:rPr>
          <w:noProof/>
        </w:rPr>
        <w:t>)</w:t>
      </w:r>
      <w:r w:rsidR="009F176F">
        <w:fldChar w:fldCharType="end"/>
      </w:r>
      <w:r w:rsidR="009F176F">
        <w:t>.</w:t>
      </w:r>
    </w:p>
    <w:p w14:paraId="3D901ECA" w14:textId="19A83CF1" w:rsidR="00217245" w:rsidRPr="00DB5995" w:rsidRDefault="00217245" w:rsidP="00EC36A6">
      <w:pPr>
        <w:pStyle w:val="TableCaption"/>
        <w:rPr>
          <w:szCs w:val="24"/>
        </w:rPr>
      </w:pPr>
      <w:r>
        <w:rPr>
          <w:noProof/>
          <w:szCs w:val="24"/>
          <w:lang w:eastAsia="en-AU"/>
        </w:rPr>
        <w:drawing>
          <wp:inline distT="0" distB="0" distL="0" distR="0" wp14:anchorId="5CF9F3C3" wp14:editId="7C096B82">
            <wp:extent cx="5731510" cy="4296842"/>
            <wp:effectExtent l="0" t="0" r="254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4296842"/>
                    </a:xfrm>
                    <a:prstGeom prst="rect">
                      <a:avLst/>
                    </a:prstGeom>
                    <a:noFill/>
                    <a:ln>
                      <a:noFill/>
                    </a:ln>
                  </pic:spPr>
                </pic:pic>
              </a:graphicData>
            </a:graphic>
          </wp:inline>
        </w:drawing>
      </w:r>
      <w:bookmarkStart w:id="21" w:name="_Ref506826203"/>
      <w:bookmarkStart w:id="22" w:name="_Toc506909255"/>
      <w:r w:rsidRPr="003E6540">
        <w:t xml:space="preserve">Figure </w:t>
      </w:r>
      <w:bookmarkEnd w:id="21"/>
      <w:r w:rsidR="00811538" w:rsidRPr="003E6540">
        <w:t>1</w:t>
      </w:r>
      <w:r w:rsidR="00300BF0">
        <w:t>.</w:t>
      </w:r>
      <w:r w:rsidRPr="00DB5995">
        <w:t xml:space="preserve"> Percentage of women in the 1946-51 cohort at Surveys 3 to 8, by whether they provided care for any other person (dark purple) across Surveys 3 (aged 50-55) to Survey 8 (aged 65-72) (N=6598).</w:t>
      </w:r>
      <w:bookmarkEnd w:id="22"/>
      <w:r>
        <w:t xml:space="preserve">       </w:t>
      </w:r>
    </w:p>
    <w:p w14:paraId="425B3940" w14:textId="4FA7FFD4" w:rsidR="00AD41FC" w:rsidRDefault="00AD41FC" w:rsidP="00AD41FC"/>
    <w:p w14:paraId="5F070410" w14:textId="174EA919" w:rsidR="004E15E6" w:rsidRDefault="004E15E6" w:rsidP="004E15E6">
      <w:pPr>
        <w:pStyle w:val="Heading3"/>
      </w:pPr>
      <w:bookmarkStart w:id="23" w:name="_Toc113022383"/>
      <w:r>
        <w:lastRenderedPageBreak/>
        <w:t>Factors affecting employment transitions</w:t>
      </w:r>
      <w:bookmarkEnd w:id="23"/>
    </w:p>
    <w:p w14:paraId="3142C1A1" w14:textId="382692C1" w:rsidR="009F176F" w:rsidRDefault="003E6540" w:rsidP="003E1311">
      <w:pPr>
        <w:pStyle w:val="BodyText"/>
      </w:pPr>
      <w:r>
        <w:t xml:space="preserve">As part of a series of reports commissioned by the then Australian Government Department of Health and Ageing, researchers at ALSWH investigated changes in </w:t>
      </w:r>
      <w:r w:rsidR="009F176F">
        <w:t>car</w:t>
      </w:r>
      <w:r>
        <w:t>ing roles</w:t>
      </w:r>
      <w:r w:rsidR="009F176F">
        <w:t xml:space="preserve"> and employment in mid-aged women from the 1946-51 cohort. </w:t>
      </w:r>
      <w:r>
        <w:t xml:space="preserve">The analysis showed that </w:t>
      </w:r>
      <w:r w:rsidR="004E15E6">
        <w:t>caregiving appears to accelerate women</w:t>
      </w:r>
      <w:r w:rsidR="001B0B19">
        <w:t>’</w:t>
      </w:r>
      <w:r w:rsidR="004E15E6">
        <w:t>s departure from the workforce. W</w:t>
      </w:r>
      <w:r w:rsidR="009F176F">
        <w:t>hen working women start</w:t>
      </w:r>
      <w:r w:rsidR="004E15E6">
        <w:t xml:space="preserve">ed </w:t>
      </w:r>
      <w:proofErr w:type="gramStart"/>
      <w:r w:rsidR="009F176F">
        <w:t>car</w:t>
      </w:r>
      <w:r>
        <w:t>e</w:t>
      </w:r>
      <w:r w:rsidR="004E15E6">
        <w:t>giving</w:t>
      </w:r>
      <w:proofErr w:type="gramEnd"/>
      <w:r w:rsidR="004E15E6">
        <w:t xml:space="preserve"> </w:t>
      </w:r>
      <w:r w:rsidR="009F176F">
        <w:t>they reduce</w:t>
      </w:r>
      <w:r w:rsidR="004E15E6">
        <w:t>d</w:t>
      </w:r>
      <w:r w:rsidR="009F176F">
        <w:t xml:space="preserve"> their working hours. </w:t>
      </w:r>
      <w:r>
        <w:t>W</w:t>
      </w:r>
      <w:r w:rsidR="009F176F">
        <w:t>hen women stop</w:t>
      </w:r>
      <w:r w:rsidR="004E15E6">
        <w:t>ped</w:t>
      </w:r>
      <w:r w:rsidR="009F176F">
        <w:t xml:space="preserve"> </w:t>
      </w:r>
      <w:r>
        <w:t xml:space="preserve">providing </w:t>
      </w:r>
      <w:r w:rsidR="009F176F">
        <w:t>car</w:t>
      </w:r>
      <w:r>
        <w:t>e</w:t>
      </w:r>
      <w:r w:rsidR="009F176F">
        <w:t>, some return</w:t>
      </w:r>
      <w:r>
        <w:t>ed</w:t>
      </w:r>
      <w:r w:rsidR="009F176F">
        <w:t xml:space="preserve"> to their former employment status</w:t>
      </w:r>
      <w:r w:rsidR="00362548">
        <w:t>,</w:t>
      </w:r>
      <w:r w:rsidR="009F176F">
        <w:t xml:space="preserve"> but proportionally more</w:t>
      </w:r>
      <w:r w:rsidR="00362548">
        <w:t xml:space="preserve"> women</w:t>
      </w:r>
      <w:r w:rsidR="009F176F">
        <w:t xml:space="preserve"> decreased their working hours. </w:t>
      </w:r>
      <w:r w:rsidR="00A3371A">
        <w:fldChar w:fldCharType="begin"/>
      </w:r>
      <w:r w:rsidR="000F4423">
        <w:instrText xml:space="preserve"> ADDIN EN.CITE &lt;EndNote&gt;&lt;Cite&gt;&lt;Author&gt;Berecki&lt;/Author&gt;&lt;Year&gt;2007&lt;/Year&gt;&lt;RecNum&gt;19&lt;/RecNum&gt;&lt;DisplayText&gt;(Berecki, 2007)&lt;/DisplayText&gt;&lt;record&gt;&lt;rec-number&gt;19&lt;/rec-number&gt;&lt;foreign-keys&gt;&lt;key app="EN" db-id="xx2v2zadpfd5z8etd04xdztg9xtdpff2szrs" timestamp="1661782346"&gt;19&lt;/key&gt;&lt;/foreign-keys&gt;&lt;ref-type name="Report"&gt;27&lt;/ref-type&gt;&lt;contributors&gt;&lt;authors&gt;&lt;author&gt;Berecki, J.; Lucke, J.; Hockey, R.; Dobson A.&lt;/author&gt;&lt;/authors&gt;&lt;/contributors&gt;&lt;titles&gt;&lt;title&gt;Changes in Caring Roles and Employment in Mid-Life: Findings from the Australian Longitudinal Study on Women’s Health&lt;/title&gt;&lt;/titles&gt;&lt;dates&gt;&lt;year&gt;2007&lt;/year&gt;&lt;pub-dates&gt;&lt;date&gt;July 2007&lt;/date&gt;&lt;/pub-dates&gt;&lt;/dates&gt;&lt;urls&gt;&lt;related-urls&gt;&lt;url&gt;https://alswh.org.au/post-outcomes/changes-in-caring-roles-and-employment-in-mid-life-findings-from-the-australian-longitudinal-study-on-womens-health/&lt;/url&gt;&lt;/related-urls&gt;&lt;/urls&gt;&lt;/record&gt;&lt;/Cite&gt;&lt;/EndNote&gt;</w:instrText>
      </w:r>
      <w:r w:rsidR="00A3371A">
        <w:fldChar w:fldCharType="separate"/>
      </w:r>
      <w:r w:rsidR="000F4423">
        <w:rPr>
          <w:noProof/>
        </w:rPr>
        <w:t>(</w:t>
      </w:r>
      <w:hyperlink w:anchor="_ENREF_2" w:tooltip="Berecki, 2007 #19" w:history="1">
        <w:r w:rsidR="000F4423">
          <w:rPr>
            <w:noProof/>
          </w:rPr>
          <w:t>Berecki, 2007</w:t>
        </w:r>
      </w:hyperlink>
      <w:r w:rsidR="000F4423">
        <w:rPr>
          <w:noProof/>
        </w:rPr>
        <w:t>)</w:t>
      </w:r>
      <w:r w:rsidR="00A3371A">
        <w:fldChar w:fldCharType="end"/>
      </w:r>
      <w:r w:rsidR="009F176F">
        <w:t>.</w:t>
      </w:r>
      <w:r w:rsidR="004E15E6">
        <w:t xml:space="preserve"> The findings of the report are outlined below. </w:t>
      </w:r>
    </w:p>
    <w:p w14:paraId="575E7CD2" w14:textId="5F22FB7E" w:rsidR="004E15E6" w:rsidRPr="003E1311" w:rsidRDefault="004E15E6" w:rsidP="004E15E6">
      <w:pPr>
        <w:pStyle w:val="Heading4"/>
        <w:rPr>
          <w:szCs w:val="24"/>
        </w:rPr>
      </w:pPr>
      <w:r>
        <w:t>Stopping work vs. continuing to work while providing care</w:t>
      </w:r>
    </w:p>
    <w:p w14:paraId="54270E68" w14:textId="1FB769B4" w:rsidR="004E15E6" w:rsidRDefault="009F176F" w:rsidP="004E15E6">
      <w:pPr>
        <w:pStyle w:val="BodyText"/>
        <w:numPr>
          <w:ilvl w:val="0"/>
          <w:numId w:val="31"/>
        </w:numPr>
      </w:pPr>
      <w:r>
        <w:t>Women who started caring between Survey 3 (age 50-55) and Survey 4 (age 53-58) were more likely to reduce work</w:t>
      </w:r>
      <w:r w:rsidR="00462B84">
        <w:t xml:space="preserve"> </w:t>
      </w:r>
      <w:r w:rsidR="00A3371A">
        <w:t xml:space="preserve">hours than </w:t>
      </w:r>
      <w:r>
        <w:t xml:space="preserve">those who did not start caring. </w:t>
      </w:r>
    </w:p>
    <w:p w14:paraId="08D020F8" w14:textId="5A5EE665" w:rsidR="004E15E6" w:rsidRDefault="009F176F" w:rsidP="004E15E6">
      <w:pPr>
        <w:pStyle w:val="BodyText"/>
        <w:numPr>
          <w:ilvl w:val="0"/>
          <w:numId w:val="31"/>
        </w:numPr>
      </w:pPr>
      <w:r>
        <w:t>Women who quit or reduced work when they started car</w:t>
      </w:r>
      <w:r w:rsidR="004E15E6">
        <w:t>egiving</w:t>
      </w:r>
      <w:r>
        <w:t xml:space="preserve"> </w:t>
      </w:r>
      <w:r w:rsidR="004E15E6">
        <w:t>were more likely to also care regularly for children at survey 3</w:t>
      </w:r>
      <w:r w:rsidR="00462B84">
        <w:t xml:space="preserve">. </w:t>
      </w:r>
      <w:r w:rsidR="00C86FDA">
        <w:t xml:space="preserve"> </w:t>
      </w:r>
    </w:p>
    <w:p w14:paraId="23BAD9C4" w14:textId="04072366" w:rsidR="009F176F" w:rsidRDefault="009F176F" w:rsidP="004E15E6">
      <w:pPr>
        <w:pStyle w:val="BodyText"/>
        <w:numPr>
          <w:ilvl w:val="0"/>
          <w:numId w:val="31"/>
        </w:numPr>
      </w:pPr>
      <w:r>
        <w:t>Compared to women who continued working, those</w:t>
      </w:r>
      <w:r w:rsidR="00A3371A">
        <w:t xml:space="preserve"> </w:t>
      </w:r>
      <w:r>
        <w:t>who reduce</w:t>
      </w:r>
      <w:r w:rsidR="00A3371A">
        <w:t>d</w:t>
      </w:r>
      <w:r>
        <w:t>/stop</w:t>
      </w:r>
      <w:r w:rsidR="00A3371A">
        <w:t>ped</w:t>
      </w:r>
      <w:r>
        <w:t xml:space="preserve"> working reported poor to fair health more frequently (9% vs 15%), were more likely to make &gt;4 visits to a GP (24% vs 31%)</w:t>
      </w:r>
      <w:r w:rsidR="00881870">
        <w:t xml:space="preserve"> and were </w:t>
      </w:r>
      <w:r>
        <w:t>more likely to have high levels of stress</w:t>
      </w:r>
      <w:r w:rsidR="00C86FDA">
        <w:t xml:space="preserve"> </w:t>
      </w:r>
      <w:r w:rsidR="00A3371A">
        <w:fldChar w:fldCharType="begin"/>
      </w:r>
      <w:r w:rsidR="000F4423">
        <w:instrText xml:space="preserve"> ADDIN EN.CITE &lt;EndNote&gt;&lt;Cite&gt;&lt;Author&gt;Berecki&lt;/Author&gt;&lt;Year&gt;2007&lt;/Year&gt;&lt;RecNum&gt;19&lt;/RecNum&gt;&lt;DisplayText&gt;(Berecki, 2007)&lt;/DisplayText&gt;&lt;record&gt;&lt;rec-number&gt;19&lt;/rec-number&gt;&lt;foreign-keys&gt;&lt;key app="EN" db-id="xx2v2zadpfd5z8etd04xdztg9xtdpff2szrs" timestamp="1661782346"&gt;19&lt;/key&gt;&lt;/foreign-keys&gt;&lt;ref-type name="Report"&gt;27&lt;/ref-type&gt;&lt;contributors&gt;&lt;authors&gt;&lt;author&gt;Berecki, J.; Lucke, J.; Hockey, R.; Dobson A.&lt;/author&gt;&lt;/authors&gt;&lt;/contributors&gt;&lt;titles&gt;&lt;title&gt;Changes in Caring Roles and Employment in Mid-Life: Findings from the Australian Longitudinal Study on Women’s Health&lt;/title&gt;&lt;/titles&gt;&lt;dates&gt;&lt;year&gt;2007&lt;/year&gt;&lt;pub-dates&gt;&lt;date&gt;July 2007&lt;/date&gt;&lt;/pub-dates&gt;&lt;/dates&gt;&lt;urls&gt;&lt;related-urls&gt;&lt;url&gt;https://alswh.org.au/post-outcomes/changes-in-caring-roles-and-employment-in-mid-life-findings-from-the-australian-longitudinal-study-on-womens-health/&lt;/url&gt;&lt;/related-urls&gt;&lt;/urls&gt;&lt;/record&gt;&lt;/Cite&gt;&lt;/EndNote&gt;</w:instrText>
      </w:r>
      <w:r w:rsidR="00A3371A">
        <w:fldChar w:fldCharType="separate"/>
      </w:r>
      <w:r w:rsidR="000F4423">
        <w:rPr>
          <w:noProof/>
        </w:rPr>
        <w:t>(</w:t>
      </w:r>
      <w:hyperlink w:anchor="_ENREF_2" w:tooltip="Berecki, 2007 #19" w:history="1">
        <w:r w:rsidR="000F4423">
          <w:rPr>
            <w:noProof/>
          </w:rPr>
          <w:t>Berecki, 2007</w:t>
        </w:r>
      </w:hyperlink>
      <w:r w:rsidR="000F4423">
        <w:rPr>
          <w:noProof/>
        </w:rPr>
        <w:t>)</w:t>
      </w:r>
      <w:r w:rsidR="00A3371A">
        <w:fldChar w:fldCharType="end"/>
      </w:r>
      <w:r w:rsidR="00881870">
        <w:t>.</w:t>
      </w:r>
    </w:p>
    <w:p w14:paraId="3CD2A252" w14:textId="1E73E4F3" w:rsidR="004E15E6" w:rsidRDefault="004E15E6" w:rsidP="004E15E6">
      <w:pPr>
        <w:pStyle w:val="Heading4"/>
      </w:pPr>
      <w:r>
        <w:t>Taking up work after caregiving vs. starting work again</w:t>
      </w:r>
    </w:p>
    <w:p w14:paraId="3B817EBC" w14:textId="4AC678DE" w:rsidR="00A3371A" w:rsidRDefault="009F176F" w:rsidP="003E1311">
      <w:pPr>
        <w:pStyle w:val="BodyText"/>
      </w:pPr>
      <w:r>
        <w:t xml:space="preserve">A small group of women who stopped caring and were not employed at Survey 3 took up work by Survey 4. They were in better (self-reported) health </w:t>
      </w:r>
      <w:r w:rsidR="00462B84">
        <w:t>than</w:t>
      </w:r>
      <w:r>
        <w:t xml:space="preserve"> those who did not take up work. A reduction in work when </w:t>
      </w:r>
      <w:r w:rsidR="00462B84">
        <w:t xml:space="preserve">taking on </w:t>
      </w:r>
      <w:r>
        <w:t>care</w:t>
      </w:r>
      <w:r w:rsidR="00462B84">
        <w:t>giving</w:t>
      </w:r>
      <w:r>
        <w:t xml:space="preserve"> was associated with stress and poor</w:t>
      </w:r>
      <w:r w:rsidR="00462B84">
        <w:t xml:space="preserve"> </w:t>
      </w:r>
      <w:r>
        <w:t>health</w:t>
      </w:r>
      <w:r w:rsidR="00462B84">
        <w:t xml:space="preserve"> and wellbeing</w:t>
      </w:r>
      <w:r>
        <w:t>. Taking up work when</w:t>
      </w:r>
      <w:r w:rsidR="004E15E6">
        <w:t xml:space="preserve"> women</w:t>
      </w:r>
      <w:r>
        <w:t xml:space="preserve"> stopping caring was associated with greater physical wellbeing.</w:t>
      </w:r>
    </w:p>
    <w:p w14:paraId="0AAB47FF" w14:textId="77777777" w:rsidR="004E15E6" w:rsidRDefault="00A3371A" w:rsidP="003E1311">
      <w:pPr>
        <w:pStyle w:val="BodyText"/>
      </w:pPr>
      <w:r>
        <w:t>There were 345 women who stopped caring between Survey 3 and Survey 4 and who were not in paid employment at Survey 3. The following analysis compare</w:t>
      </w:r>
      <w:r w:rsidR="00F65963">
        <w:t>d</w:t>
      </w:r>
      <w:r>
        <w:t xml:space="preserve"> those who stopped caring and started working to those who stopped caring and did not take up work. There were 267 women who did not take up work between Survey 3 and Survey 4 and only 78 who had taken up employment by Survey 4. </w:t>
      </w:r>
    </w:p>
    <w:p w14:paraId="396B1613" w14:textId="46CF801E" w:rsidR="004E15E6" w:rsidRDefault="00A3371A" w:rsidP="003E1311">
      <w:pPr>
        <w:pStyle w:val="BodyText"/>
      </w:pPr>
      <w:r>
        <w:t>There were no significant differences between socio</w:t>
      </w:r>
      <w:r w:rsidR="00EE1A8D">
        <w:t>-</w:t>
      </w:r>
      <w:r>
        <w:t>demographic</w:t>
      </w:r>
      <w:r w:rsidR="00881870">
        <w:t xml:space="preserve"> factors</w:t>
      </w:r>
      <w:r>
        <w:t xml:space="preserve"> (such as marital status, area of residence, level of education) or health service use and lifestyle variables (such as the number of visits to a GP or a specialist and caring for grandchildren). </w:t>
      </w:r>
      <w:r w:rsidR="004E15E6">
        <w:t>However, t</w:t>
      </w:r>
      <w:r>
        <w:t xml:space="preserve">here were differences in </w:t>
      </w:r>
      <w:r w:rsidR="004E15E6">
        <w:t>the women</w:t>
      </w:r>
      <w:r w:rsidR="001B0B19">
        <w:t>’</w:t>
      </w:r>
      <w:r w:rsidR="004E15E6">
        <w:t>s</w:t>
      </w:r>
      <w:r>
        <w:t xml:space="preserve"> self-rated health: women who continued not working were much more likely to report their health to be fair or poor (21%) compared to those who took up work (5%). The physical health component score (PCS) </w:t>
      </w:r>
      <w:r w:rsidR="00F65963">
        <w:t xml:space="preserve">of the SF-36 Health Survey </w:t>
      </w:r>
      <w:r>
        <w:t xml:space="preserve">was higher </w:t>
      </w:r>
      <w:r w:rsidR="00F65963">
        <w:t xml:space="preserve">(indicating better health) </w:t>
      </w:r>
      <w:r>
        <w:t>for women who took up work (median of 51.2 vs 47.5), while the mental health component score (MCS) was not statistically different. These results suggest that women with better physical health while still caring are more likely to take up work when they are no longer providing care</w:t>
      </w:r>
      <w:r w:rsidR="00881870">
        <w:t xml:space="preserve"> </w:t>
      </w:r>
      <w:r>
        <w:fldChar w:fldCharType="begin"/>
      </w:r>
      <w:r w:rsidR="000F4423">
        <w:instrText xml:space="preserve"> ADDIN EN.CITE &lt;EndNote&gt;&lt;Cite&gt;&lt;Author&gt;Berecki&lt;/Author&gt;&lt;Year&gt;2007&lt;/Year&gt;&lt;RecNum&gt;19&lt;/RecNum&gt;&lt;DisplayText&gt;(Berecki, 2007)&lt;/DisplayText&gt;&lt;record&gt;&lt;rec-number&gt;19&lt;/rec-number&gt;&lt;foreign-keys&gt;&lt;key app="EN" db-id="xx2v2zadpfd5z8etd04xdztg9xtdpff2szrs" timestamp="1661782346"&gt;19&lt;/key&gt;&lt;/foreign-keys&gt;&lt;ref-type name="Report"&gt;27&lt;/ref-type&gt;&lt;contributors&gt;&lt;authors&gt;&lt;author&gt;Berecki, J.; Lucke, J.; Hockey, R.; Dobson A.&lt;/author&gt;&lt;/authors&gt;&lt;/contributors&gt;&lt;titles&gt;&lt;title&gt;Changes in Caring Roles and Employment in Mid-Life: Findings from the Australian Longitudinal Study on Women’s Health&lt;/title&gt;&lt;/titles&gt;&lt;dates&gt;&lt;year&gt;2007&lt;/year&gt;&lt;pub-dates&gt;&lt;date&gt;July 2007&lt;/date&gt;&lt;/pub-dates&gt;&lt;/dates&gt;&lt;urls&gt;&lt;related-urls&gt;&lt;url&gt;https://alswh.org.au/post-outcomes/changes-in-caring-roles-and-employment-in-mid-life-findings-from-the-australian-longitudinal-study-on-womens-health/&lt;/url&gt;&lt;/related-urls&gt;&lt;/urls&gt;&lt;/record&gt;&lt;/Cite&gt;&lt;/EndNote&gt;</w:instrText>
      </w:r>
      <w:r>
        <w:fldChar w:fldCharType="separate"/>
      </w:r>
      <w:r w:rsidR="000F4423">
        <w:rPr>
          <w:noProof/>
        </w:rPr>
        <w:t>(</w:t>
      </w:r>
      <w:hyperlink w:anchor="_ENREF_2" w:tooltip="Berecki, 2007 #19" w:history="1">
        <w:r w:rsidR="000F4423">
          <w:rPr>
            <w:noProof/>
          </w:rPr>
          <w:t>Berecki, 2007</w:t>
        </w:r>
      </w:hyperlink>
      <w:r w:rsidR="000F4423">
        <w:rPr>
          <w:noProof/>
        </w:rPr>
        <w:t>)</w:t>
      </w:r>
      <w:r>
        <w:fldChar w:fldCharType="end"/>
      </w:r>
      <w:r w:rsidR="00F65963">
        <w:t>.</w:t>
      </w:r>
    </w:p>
    <w:p w14:paraId="5431131D" w14:textId="77777777" w:rsidR="00462B84" w:rsidRDefault="00462B84" w:rsidP="003E1311">
      <w:pPr>
        <w:pStyle w:val="BodyText"/>
      </w:pPr>
    </w:p>
    <w:p w14:paraId="03B7E465" w14:textId="2DDBC12D" w:rsidR="003E1311" w:rsidRDefault="004E15E6" w:rsidP="003E1311">
      <w:r w:rsidRPr="000B6088">
        <w:rPr>
          <w:noProof/>
          <w:lang w:val="en-GB" w:eastAsia="en-GB"/>
        </w:rPr>
        <w:lastRenderedPageBreak/>
        <mc:AlternateContent>
          <mc:Choice Requires="wps">
            <w:drawing>
              <wp:inline distT="0" distB="0" distL="0" distR="0" wp14:anchorId="628EB03D" wp14:editId="765DCB3C">
                <wp:extent cx="5759450" cy="2107565"/>
                <wp:effectExtent l="0" t="0" r="12700" b="26035"/>
                <wp:docPr id="10" name="Text Box 10"/>
                <wp:cNvGraphicFramePr/>
                <a:graphic xmlns:a="http://schemas.openxmlformats.org/drawingml/2006/main">
                  <a:graphicData uri="http://schemas.microsoft.com/office/word/2010/wordprocessingShape">
                    <wps:wsp>
                      <wps:cNvSpPr txBox="1"/>
                      <wps:spPr>
                        <a:xfrm>
                          <a:off x="0" y="0"/>
                          <a:ext cx="5759450" cy="2107565"/>
                        </a:xfrm>
                        <a:prstGeom prst="rect">
                          <a:avLst/>
                        </a:prstGeom>
                        <a:solidFill>
                          <a:schemeClr val="accent2"/>
                        </a:solidFill>
                        <a:ln w="3175">
                          <a:solidFill>
                            <a:srgbClr val="D7D1CC"/>
                          </a:solidFill>
                        </a:ln>
                        <a:effectLst/>
                      </wps:spPr>
                      <wps:style>
                        <a:lnRef idx="0">
                          <a:schemeClr val="accent1"/>
                        </a:lnRef>
                        <a:fillRef idx="0">
                          <a:schemeClr val="accent1"/>
                        </a:fillRef>
                        <a:effectRef idx="0">
                          <a:schemeClr val="accent1"/>
                        </a:effectRef>
                        <a:fontRef idx="minor">
                          <a:schemeClr val="dk1"/>
                        </a:fontRef>
                      </wps:style>
                      <wps:txbx>
                        <w:txbxContent>
                          <w:p w14:paraId="68A4F231" w14:textId="77777777" w:rsidR="004E15E6" w:rsidRPr="000B6088" w:rsidRDefault="004E15E6" w:rsidP="004E15E6">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73AA3DAC" w14:textId="090C8238" w:rsidR="004E15E6" w:rsidRPr="006A1B55" w:rsidRDefault="004E15E6" w:rsidP="004E15E6">
                            <w:pPr>
                              <w:pStyle w:val="ListParagraph0"/>
                              <w:numPr>
                                <w:ilvl w:val="0"/>
                                <w:numId w:val="19"/>
                              </w:numPr>
                            </w:pPr>
                            <w:r>
                              <w:t>To maximise the number of women returning to work after extended unpaid carer leave caregivers need to maintain their own physical health. Access to regular respite care is a necessary support to provide carers with time for self-care.</w:t>
                            </w:r>
                          </w:p>
                          <w:p w14:paraId="650CE27F" w14:textId="27519D12" w:rsidR="004E15E6" w:rsidRPr="006A1B55" w:rsidRDefault="004E15E6" w:rsidP="004E15E6">
                            <w:pPr>
                              <w:pStyle w:val="ListParagraph0"/>
                              <w:numPr>
                                <w:ilvl w:val="0"/>
                                <w:numId w:val="19"/>
                              </w:numPr>
                            </w:pPr>
                            <w:r>
                              <w:t xml:space="preserve">Increasing access to affordable child care will also decrease the burden on caregivers and allow more women to return to work. </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628EB03D" id="Text Box 10" o:spid="_x0000_s1031" type="#_x0000_t202" style="width:453.5pt;height:16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6aqgwIAAJoFAAAOAAAAZHJzL2Uyb0RvYy54bWysVEtvGjEQvlfqf7B8b5alITQoS0RBVJWi&#10;JGpS5Wy8Nlj1elzbsEt/fcfeXSBJe0hVDma883ke3zyurptKk51wXoEpaH42oEQYDqUy64J+f1x+&#10;+ESJD8yUTIMRBd0LT6+n799d1XYihrABXQpH0Ijxk9oWdBOCnWSZ5xtRMX8GVhhUSnAVC3h166x0&#10;rEbrlc6Gg8FFVoMrrQMuvMevi1ZJp8m+lIKHOym9CEQXFGML6XTpXMUzm16xydoxu1G8C4P9QxQV&#10;UwadHkwtWGBk69QrU5XiDjzIcMahykBKxUXKAbPJBy+yedgwK1IuSI63B5r8/zPLb3cP9t6R0HyG&#10;BgsYCamtn3j8GPNppKviP0ZKUI8U7g+0iSYQjh9H49Hl+QhVHHXDfDAeXYyinez43DofvgioSBQK&#10;6rAuiS62u/GhhfaQ6M2DVuVSaZ0usRfEXDuyY1hFxrkwYdg5eIbUhtQF/ZiPR8n4M51369XBxmK8&#10;yOfz1yYwYm2iT5Fap4vtyEeSwl6LiNHmm5BElYmWvwaaGE12ER1REtN6y8MOf4zqLY/bPHrPYMLh&#10;caUMuJam5/yWP/qQZYvHQp7kHcXQrBpMHCvft8sKyj12kYN2wLzlS4WVvmE+3DOHE4XdgVsi3OEh&#10;NWCVoJMo2YD79afvEY+NjlpKapzQgvqfW+YEJfqrwRG4zM/P40i3lwH+KHGnmtWpxmyrOWD75LiP&#10;LE9ixAfdi9JB9YTLZBa9oooZjr4LGnpxHtq9gcuIi9ksgXCILQs35sHyaDoWKfbxY/PEnO2aPeCc&#10;3EI/y2zyoudbbOofO9sGWKo0EJHnltWOf1wAaaS6ZRU3zOk9oY4rdfobAAD//wMAUEsDBBQABgAI&#10;AAAAIQBrWALM2gAAAAUBAAAPAAAAZHJzL2Rvd25yZXYueG1sTI9PS8NAEMXvgt9hGcGb3dRCtTGb&#10;ImJhD16MgtdJdpqN7p+Q3bbpt3f0opcHjze895tqO3snjjSlIQYFy0UBgkIXzRB6Be9vu5t7EClj&#10;MOhiIAVnSrCtLy8qLE08hVc6NrkXXBJSiQpszmMpZeoseUyLOFLgbB8nj5nt1Esz4YnLvZO3RbGW&#10;HofACxZHerLUfTUHr8C19mWiD70fcP3sdbPTn/qslbq+mh8fQGSa898x/OAzOtTM1MZDMEk4BfxI&#10;/lXONsUd21bBarXcgKwr+Z++/gYAAP//AwBQSwECLQAUAAYACAAAACEAtoM4kv4AAADhAQAAEwAA&#10;AAAAAAAAAAAAAAAAAAAAW0NvbnRlbnRfVHlwZXNdLnhtbFBLAQItABQABgAIAAAAIQA4/SH/1gAA&#10;AJQBAAALAAAAAAAAAAAAAAAAAC8BAABfcmVscy8ucmVsc1BLAQItABQABgAIAAAAIQAwK6aqgwIA&#10;AJoFAAAOAAAAAAAAAAAAAAAAAC4CAABkcnMvZTJvRG9jLnhtbFBLAQItABQABgAIAAAAIQBrWALM&#10;2gAAAAUBAAAPAAAAAAAAAAAAAAAAAN0EAABkcnMvZG93bnJldi54bWxQSwUGAAAAAAQABADzAAAA&#10;5AUAAAAA&#10;" fillcolor="#bad8d4 [3205]" strokecolor="#d7d1cc" strokeweight=".25pt">
                <v:textbox style="mso-fit-shape-to-text:t" inset=",2.5mm,,2.5mm">
                  <w:txbxContent>
                    <w:p w14:paraId="68A4F231" w14:textId="77777777" w:rsidR="004E15E6" w:rsidRPr="000B6088" w:rsidRDefault="004E15E6" w:rsidP="004E15E6">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73AA3DAC" w14:textId="090C8238" w:rsidR="004E15E6" w:rsidRPr="006A1B55" w:rsidRDefault="004E15E6" w:rsidP="004E15E6">
                      <w:pPr>
                        <w:pStyle w:val="ListParagraph0"/>
                        <w:numPr>
                          <w:ilvl w:val="0"/>
                          <w:numId w:val="19"/>
                        </w:numPr>
                      </w:pPr>
                      <w:r>
                        <w:t>To maximise the number of women returning to work after extended unpaid carer leave caregivers need to maintain their own physical health. Access to regular respite care is a necessary support to provide carers with time for self-care.</w:t>
                      </w:r>
                    </w:p>
                    <w:p w14:paraId="650CE27F" w14:textId="27519D12" w:rsidR="004E15E6" w:rsidRPr="006A1B55" w:rsidRDefault="004E15E6" w:rsidP="004E15E6">
                      <w:pPr>
                        <w:pStyle w:val="ListParagraph0"/>
                        <w:numPr>
                          <w:ilvl w:val="0"/>
                          <w:numId w:val="19"/>
                        </w:numPr>
                      </w:pPr>
                      <w:r>
                        <w:t xml:space="preserve">Increasing access to affordable child care will also decrease the burden on caregivers and allow more women to return to work. </w:t>
                      </w:r>
                    </w:p>
                  </w:txbxContent>
                </v:textbox>
                <w10:anchorlock/>
              </v:shape>
            </w:pict>
          </mc:Fallback>
        </mc:AlternateContent>
      </w:r>
    </w:p>
    <w:p w14:paraId="7DDD6611" w14:textId="77777777" w:rsidR="004E15E6" w:rsidRDefault="004E15E6" w:rsidP="007E147B">
      <w:pPr>
        <w:pStyle w:val="Heading2"/>
      </w:pPr>
    </w:p>
    <w:p w14:paraId="34519C11" w14:textId="01037CF5" w:rsidR="00400975" w:rsidRDefault="00DB5995" w:rsidP="007E147B">
      <w:pPr>
        <w:pStyle w:val="Heading2"/>
      </w:pPr>
      <w:bookmarkStart w:id="24" w:name="_Toc113022384"/>
      <w:r>
        <w:t>H</w:t>
      </w:r>
      <w:r w:rsidR="00AD41FC" w:rsidRPr="001748ED">
        <w:t>ow an entitlement to extended unpaid carer leave ought to be designed.</w:t>
      </w:r>
      <w:bookmarkEnd w:id="24"/>
    </w:p>
    <w:p w14:paraId="7BE874E5" w14:textId="302D8E9E" w:rsidR="00DB5995" w:rsidRPr="00DB5995" w:rsidRDefault="00AD41FC" w:rsidP="00DB5995">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Who should be eligible and why? What criteria should an employee need to meet and why? For example, tenure, relationship to the care recipient, and/or the nature of care required.</w:t>
      </w:r>
    </w:p>
    <w:p w14:paraId="7623238F" w14:textId="4C0877CB" w:rsidR="00883EF1" w:rsidRDefault="00883EF1" w:rsidP="00E03510">
      <w:pPr>
        <w:pStyle w:val="Heading3"/>
      </w:pPr>
      <w:bookmarkStart w:id="25" w:name="_Toc113022385"/>
      <w:r>
        <w:t>E</w:t>
      </w:r>
      <w:r w:rsidR="00E03510">
        <w:t>ligibility criterion</w:t>
      </w:r>
      <w:bookmarkEnd w:id="25"/>
      <w:r w:rsidR="00E03510">
        <w:t xml:space="preserve"> </w:t>
      </w:r>
    </w:p>
    <w:p w14:paraId="6703720C" w14:textId="6539638B" w:rsidR="006464D2" w:rsidRPr="006464D2" w:rsidRDefault="006464D2" w:rsidP="00142D3D">
      <w:pPr>
        <w:pStyle w:val="Heading4"/>
      </w:pPr>
      <w:r>
        <w:t>Live-in vs live elsewhere</w:t>
      </w:r>
    </w:p>
    <w:p w14:paraId="1F0D165F" w14:textId="5E206A07" w:rsidR="0063791D" w:rsidRPr="003E1311" w:rsidRDefault="001748ED" w:rsidP="003E1311">
      <w:pPr>
        <w:pStyle w:val="BodyText"/>
      </w:pPr>
      <w:r>
        <w:t xml:space="preserve">ALSWH research on mid-age carers suggests that both live-in carers and those who live elsewhere </w:t>
      </w:r>
      <w:r w:rsidR="00DD609F">
        <w:t>from</w:t>
      </w:r>
      <w:r>
        <w:t xml:space="preserve"> the care recipient could benefit from entitlement to unpaid carer leave.</w:t>
      </w:r>
      <w:r w:rsidR="00883EF1">
        <w:t xml:space="preserve"> </w:t>
      </w:r>
      <w:r>
        <w:t>Overall, workforce participation among</w:t>
      </w:r>
      <w:r w:rsidR="00883EF1">
        <w:t xml:space="preserve"> mid-age</w:t>
      </w:r>
      <w:r>
        <w:t xml:space="preserve"> women caring for someone who lived elsewhere was similar to participation for women who did not have caring duties (around 73%). In comparison, live-in carers had </w:t>
      </w:r>
      <w:r w:rsidR="00DD609F">
        <w:t xml:space="preserve">an </w:t>
      </w:r>
      <w:r>
        <w:t xml:space="preserve">employment participation </w:t>
      </w:r>
      <w:r w:rsidR="00DD609F">
        <w:t xml:space="preserve">rate </w:t>
      </w:r>
      <w:r>
        <w:t>of 56%. However, women caring for someone who lived elsewhere were more likely to work part-time  (4</w:t>
      </w:r>
      <w:r w:rsidR="00C67048">
        <w:t>3</w:t>
      </w:r>
      <w:r>
        <w:t xml:space="preserve">%) than </w:t>
      </w:r>
      <w:r w:rsidR="006464D2">
        <w:t>non-carers</w:t>
      </w:r>
      <w:r>
        <w:t xml:space="preserve"> (31%) </w:t>
      </w:r>
      <w:r>
        <w:fldChar w:fldCharType="begin"/>
      </w:r>
      <w:r w:rsidR="000F4423">
        <w:instrText xml:space="preserve"> ADDIN EN.CITE &lt;EndNote&gt;&lt;Cite&gt;&lt;Author&gt;Lucke&lt;/Author&gt;&lt;Year&gt;2006&lt;/Year&gt;&lt;RecNum&gt;18&lt;/RecNum&gt;&lt;DisplayText&gt;(Lucke, 2006)&lt;/DisplayText&gt;&lt;record&gt;&lt;rec-number&gt;18&lt;/rec-number&gt;&lt;foreign-keys&gt;&lt;key app="EN" db-id="xx2v2zadpfd5z8etd04xdztg9xtdpff2szrs" timestamp="1661775992"&gt;18&lt;/key&gt;&lt;/foreign-keys&gt;&lt;ref-type name="Report"&gt;27&lt;/ref-type&gt;&lt;contributors&gt;&lt;authors&gt;&lt;author&gt;Lucke, J.; Tooth, L.; Hockey, R.; Dobson, A.&lt;/author&gt;&lt;/authors&gt;&lt;subsidiary-authors&gt;&lt;author&gt;Australian Longitudinal Study on Women&amp;apos;s Health&lt;/author&gt;&lt;/subsidiary-authors&gt;&lt;/contributors&gt;&lt;titles&gt;&lt;title&gt;Employed carers in mid-life: Findings from the Australian Longitudinal Study on Women’s Health. &lt;/title&gt;&lt;/titles&gt;&lt;dates&gt;&lt;year&gt;2006&lt;/year&gt;&lt;pub-dates&gt;&lt;date&gt;October 2006&lt;/date&gt;&lt;/pub-dates&gt;&lt;/dates&gt;&lt;work-type&gt;Report&lt;/work-type&gt;&lt;urls&gt;&lt;related-urls&gt;&lt;url&gt;https://alswh.org.au/post-outcomes/employed-carers-in-mid-life-findings-from-the-australian-longitudinal-study-on-womens-health/&lt;/url&gt;&lt;/related-urls&gt;&lt;/urls&gt;&lt;language&gt;English&lt;/language&gt;&lt;/record&gt;&lt;/Cite&gt;&lt;/EndNote&gt;</w:instrText>
      </w:r>
      <w:r>
        <w:fldChar w:fldCharType="separate"/>
      </w:r>
      <w:r w:rsidR="000F4423">
        <w:rPr>
          <w:noProof/>
        </w:rPr>
        <w:t>(</w:t>
      </w:r>
      <w:hyperlink w:anchor="_ENREF_8" w:tooltip="Lucke, 2006 #18" w:history="1">
        <w:r w:rsidR="000F4423">
          <w:rPr>
            <w:noProof/>
          </w:rPr>
          <w:t>Lucke, 2006</w:t>
        </w:r>
      </w:hyperlink>
      <w:r w:rsidR="000F4423">
        <w:rPr>
          <w:noProof/>
        </w:rPr>
        <w:t>)</w:t>
      </w:r>
      <w:r>
        <w:fldChar w:fldCharType="end"/>
      </w:r>
      <w:r>
        <w:t xml:space="preserve">. </w:t>
      </w:r>
      <w:r w:rsidR="00883EF1">
        <w:t>Access to unpaid leave might help women to maintain employment rather than dropping to part</w:t>
      </w:r>
      <w:r w:rsidR="00DD609F">
        <w:t>-</w:t>
      </w:r>
      <w:r w:rsidR="00883EF1">
        <w:t xml:space="preserve">time, quitting or going into early retirement. </w:t>
      </w:r>
    </w:p>
    <w:p w14:paraId="2BEB3188" w14:textId="77777777" w:rsidR="006464D2" w:rsidRDefault="006464D2" w:rsidP="00142D3D">
      <w:pPr>
        <w:pStyle w:val="Heading4"/>
      </w:pPr>
      <w:bookmarkStart w:id="26" w:name="_Toc507070544"/>
      <w:bookmarkStart w:id="27" w:name="_Hlk504312819"/>
      <w:r w:rsidRPr="00542731">
        <w:t xml:space="preserve">Relationships with </w:t>
      </w:r>
      <w:r>
        <w:t>care recipients</w:t>
      </w:r>
    </w:p>
    <w:bookmarkEnd w:id="26"/>
    <w:bookmarkEnd w:id="27"/>
    <w:p w14:paraId="71EE43B0" w14:textId="764FA5AB" w:rsidR="006464D2" w:rsidRDefault="00F66AB3" w:rsidP="006464D2">
      <w:pPr>
        <w:rPr>
          <w:szCs w:val="24"/>
        </w:rPr>
      </w:pPr>
      <w:r>
        <w:rPr>
          <w:szCs w:val="24"/>
        </w:rPr>
        <w:t>Any proposed carer</w:t>
      </w:r>
      <w:r w:rsidR="001B0B19">
        <w:rPr>
          <w:szCs w:val="24"/>
        </w:rPr>
        <w:t>’</w:t>
      </w:r>
      <w:r>
        <w:rPr>
          <w:szCs w:val="24"/>
        </w:rPr>
        <w:t>s l</w:t>
      </w:r>
      <w:r w:rsidR="006464D2">
        <w:rPr>
          <w:szCs w:val="24"/>
        </w:rPr>
        <w:t xml:space="preserve">eave </w:t>
      </w:r>
      <w:r>
        <w:rPr>
          <w:szCs w:val="24"/>
        </w:rPr>
        <w:t>entitlement</w:t>
      </w:r>
      <w:r w:rsidR="006464D2">
        <w:rPr>
          <w:szCs w:val="24"/>
        </w:rPr>
        <w:t xml:space="preserve"> should not be limited to only caring for an elderly parent/parent-in-law or spouse/partner. </w:t>
      </w:r>
    </w:p>
    <w:p w14:paraId="0EBC99B0" w14:textId="77777777" w:rsidR="00F66AB3" w:rsidRDefault="00F66AB3" w:rsidP="006464D2">
      <w:pPr>
        <w:rPr>
          <w:szCs w:val="24"/>
        </w:rPr>
      </w:pPr>
    </w:p>
    <w:p w14:paraId="0BFC0A6D" w14:textId="1FFD573E" w:rsidR="006464D2" w:rsidRDefault="006464D2" w:rsidP="006464D2">
      <w:pPr>
        <w:rPr>
          <w:szCs w:val="24"/>
        </w:rPr>
      </w:pPr>
      <w:r>
        <w:rPr>
          <w:szCs w:val="24"/>
        </w:rPr>
        <w:fldChar w:fldCharType="begin"/>
      </w:r>
      <w:r>
        <w:rPr>
          <w:szCs w:val="24"/>
        </w:rPr>
        <w:instrText xml:space="preserve"> REF _Ref506827410 \h </w:instrText>
      </w:r>
      <w:r w:rsidR="00B91FBB">
        <w:rPr>
          <w:szCs w:val="24"/>
        </w:rPr>
        <w:instrText xml:space="preserve"> \* MERGEFORMAT </w:instrText>
      </w:r>
      <w:r>
        <w:rPr>
          <w:szCs w:val="24"/>
        </w:rPr>
      </w:r>
      <w:r>
        <w:rPr>
          <w:szCs w:val="24"/>
        </w:rPr>
        <w:fldChar w:fldCharType="separate"/>
      </w:r>
      <w:r w:rsidR="00FF554C">
        <w:t>Figure 2</w:t>
      </w:r>
      <w:r>
        <w:rPr>
          <w:szCs w:val="24"/>
        </w:rPr>
        <w:fldChar w:fldCharType="end"/>
      </w:r>
      <w:r>
        <w:rPr>
          <w:szCs w:val="24"/>
        </w:rPr>
        <w:t xml:space="preserve"> ALSWH Major Report on Caregiving</w:t>
      </w:r>
      <w:r w:rsidR="00811538">
        <w:rPr>
          <w:szCs w:val="24"/>
        </w:rPr>
        <w:t>,</w:t>
      </w:r>
      <w:r w:rsidR="00F66AB3">
        <w:rPr>
          <w:szCs w:val="24"/>
        </w:rPr>
        <w:t xml:space="preserve"> highlights the diversity of relationships between late mid-age caregivers and recipients. Almost 60</w:t>
      </w:r>
      <w:r>
        <w:rPr>
          <w:szCs w:val="24"/>
        </w:rPr>
        <w:t>% cared for their parents/parents-in-law or spouse/partner, 10% care</w:t>
      </w:r>
      <w:r w:rsidR="00F66AB3">
        <w:rPr>
          <w:szCs w:val="24"/>
        </w:rPr>
        <w:t>d</w:t>
      </w:r>
      <w:r>
        <w:rPr>
          <w:szCs w:val="24"/>
        </w:rPr>
        <w:t xml:space="preserve"> for their adult child, and about 15% were providing care for a friend </w:t>
      </w:r>
      <w:r w:rsidR="00507B7F">
        <w:rPr>
          <w:szCs w:val="24"/>
        </w:rPr>
        <w:fldChar w:fldCharType="begin"/>
      </w:r>
      <w:r w:rsidR="000F4423">
        <w:rPr>
          <w:szCs w:val="24"/>
        </w:rPr>
        <w:instrText xml:space="preserve"> ADDIN EN.CITE &lt;EndNote&gt;&lt;Cite&gt;&lt;Author&gt;Tooth L&lt;/Author&gt;&lt;Year&gt;2018&lt;/Year&gt;&lt;RecNum&gt;16&lt;/RecNum&gt;&lt;DisplayText&gt;(Tooth L, 2018)&lt;/DisplayText&gt;&lt;record&gt;&lt;rec-number&gt;16&lt;/rec-number&gt;&lt;foreign-keys&gt;&lt;key app="EN" db-id="xx2v2zadpfd5z8etd04xdztg9xtdpff2szrs" timestamp="1661136169"&gt;16&lt;/key&gt;&lt;/foreign-keys&gt;&lt;ref-type name="Report"&gt;27&lt;/ref-type&gt;&lt;contributors&gt;&lt;authors&gt;&lt;author&gt;Tooth L, Loxton D, Chan H, Coombe J, Dobson A, Hockey R, Townsend N, Byles J &amp;amp; Mishra G. &lt;/author&gt;&lt;/authors&gt;&lt;subsidiary-authors&gt;&lt;author&gt;Report prepared for the Australian Government Department of Health&lt;/author&gt;&lt;/subsidiary-authors&gt;&lt;/contributors&gt;&lt;titles&gt;&lt;title&gt;From child care to elder care: Findings from the Australian Longitudinal Study on Women’s Health.&lt;/title&gt;&lt;/titles&gt;&lt;dates&gt;&lt;year&gt;2018&lt;/year&gt;&lt;pub-dates&gt;&lt;date&gt;May&lt;/date&gt;&lt;/pub-dates&gt;&lt;/dates&gt;&lt;urls&gt;&lt;/urls&gt;&lt;/record&gt;&lt;/Cite&gt;&lt;/EndNote&gt;</w:instrText>
      </w:r>
      <w:r w:rsidR="00507B7F">
        <w:rPr>
          <w:szCs w:val="24"/>
        </w:rPr>
        <w:fldChar w:fldCharType="separate"/>
      </w:r>
      <w:r w:rsidR="000F4423">
        <w:rPr>
          <w:noProof/>
          <w:szCs w:val="24"/>
        </w:rPr>
        <w:t>(</w:t>
      </w:r>
      <w:hyperlink w:anchor="_ENREF_12" w:tooltip="Tooth L, 2018 #16" w:history="1">
        <w:r w:rsidR="000F4423">
          <w:rPr>
            <w:noProof/>
            <w:szCs w:val="24"/>
          </w:rPr>
          <w:t>Tooth L, 2018</w:t>
        </w:r>
      </w:hyperlink>
      <w:r w:rsidR="000F4423">
        <w:rPr>
          <w:noProof/>
          <w:szCs w:val="24"/>
        </w:rPr>
        <w:t>)</w:t>
      </w:r>
      <w:r w:rsidR="00507B7F">
        <w:rPr>
          <w:szCs w:val="24"/>
        </w:rPr>
        <w:fldChar w:fldCharType="end"/>
      </w:r>
      <w:r w:rsidR="00F66AB3">
        <w:rPr>
          <w:szCs w:val="24"/>
        </w:rPr>
        <w:t>.</w:t>
      </w:r>
    </w:p>
    <w:p w14:paraId="7A2D44C5" w14:textId="77777777" w:rsidR="003E1311" w:rsidRDefault="003E1311" w:rsidP="006464D2">
      <w:pPr>
        <w:rPr>
          <w:szCs w:val="24"/>
        </w:rPr>
      </w:pPr>
    </w:p>
    <w:p w14:paraId="5560175F" w14:textId="77777777" w:rsidR="006464D2" w:rsidRDefault="006464D2" w:rsidP="006464D2">
      <w:pPr>
        <w:rPr>
          <w:szCs w:val="24"/>
        </w:rPr>
      </w:pPr>
      <w:r>
        <w:rPr>
          <w:noProof/>
          <w:szCs w:val="24"/>
          <w:lang w:eastAsia="en-AU"/>
        </w:rPr>
        <w:lastRenderedPageBreak/>
        <w:drawing>
          <wp:inline distT="0" distB="0" distL="0" distR="0" wp14:anchorId="1F796F24" wp14:editId="10A97526">
            <wp:extent cx="5731510" cy="4296842"/>
            <wp:effectExtent l="0" t="0" r="2540" b="889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296842"/>
                    </a:xfrm>
                    <a:prstGeom prst="rect">
                      <a:avLst/>
                    </a:prstGeom>
                    <a:noFill/>
                    <a:ln>
                      <a:noFill/>
                    </a:ln>
                  </pic:spPr>
                </pic:pic>
              </a:graphicData>
            </a:graphic>
          </wp:inline>
        </w:drawing>
      </w:r>
    </w:p>
    <w:p w14:paraId="626D8AF9" w14:textId="16D7F03F" w:rsidR="006464D2" w:rsidRDefault="006464D2" w:rsidP="00EC36A6">
      <w:pPr>
        <w:pStyle w:val="TableCaption"/>
      </w:pPr>
      <w:bookmarkStart w:id="28" w:name="_Ref506827410"/>
      <w:bookmarkStart w:id="29" w:name="_Toc506909261"/>
      <w:r>
        <w:t xml:space="preserve">Figure </w:t>
      </w:r>
      <w:r w:rsidR="00811538">
        <w:t>2</w:t>
      </w:r>
      <w:bookmarkEnd w:id="28"/>
      <w:r w:rsidR="00DD609F">
        <w:t>.</w:t>
      </w:r>
      <w:r>
        <w:t xml:space="preserve"> Percentages showing the nature of the relationship between the caregiver and the person they cared for at Survey 8 (2016) in women aged between 65 and 70 years (N=1952).</w:t>
      </w:r>
      <w:bookmarkEnd w:id="29"/>
      <w:r>
        <w:t xml:space="preserve"> </w:t>
      </w:r>
    </w:p>
    <w:p w14:paraId="6FDAC5ED" w14:textId="1A5744D5" w:rsidR="00382562" w:rsidRDefault="00382562" w:rsidP="00273BE2">
      <w:pPr>
        <w:pStyle w:val="BodyText"/>
      </w:pPr>
    </w:p>
    <w:p w14:paraId="1D6CB094" w14:textId="7528558F" w:rsidR="00193BA2" w:rsidRDefault="00193BA2" w:rsidP="00273BE2">
      <w:pPr>
        <w:pStyle w:val="BodyText"/>
      </w:pPr>
      <w:r>
        <w:t xml:space="preserve">Traditionally, children care for their ageing parents. However, the traditional caring roles and relationships may start to shift towards friends and neighbours as caregivers or more institutionalised care as the next generations age. </w:t>
      </w:r>
    </w:p>
    <w:p w14:paraId="375C1AC1" w14:textId="42D743A1" w:rsidR="00CC57E6" w:rsidRDefault="00CC57E6" w:rsidP="00273BE2">
      <w:pPr>
        <w:pStyle w:val="BodyText"/>
      </w:pPr>
      <w:r>
        <w:t>In the 1945-5</w:t>
      </w:r>
      <w:r w:rsidR="00D94F37">
        <w:t>1</w:t>
      </w:r>
      <w:r>
        <w:t xml:space="preserve"> cohort, just under 10% of women were </w:t>
      </w:r>
      <w:r w:rsidRPr="00EC36A6">
        <w:t>childfree</w:t>
      </w:r>
      <w:r w:rsidR="00DD609F">
        <w:t xml:space="preserve"> </w:t>
      </w:r>
      <w:r w:rsidR="00EC36A6">
        <w:fldChar w:fldCharType="begin"/>
      </w:r>
      <w:r w:rsidR="000F4423">
        <w:instrText xml:space="preserve"> ADDIN EN.CITE &lt;EndNote&gt;&lt;Cite&gt;&lt;Year&gt;2019&lt;/Year&gt;&lt;RecNum&gt;25&lt;/RecNum&gt;&lt;DisplayText&gt;(&lt;style face="italic"&gt;Data Book for the 1946-51 Cohort&lt;/style&gt;, 2019)&lt;/DisplayText&gt;&lt;record&gt;&lt;rec-number&gt;25&lt;/rec-number&gt;&lt;foreign-keys&gt;&lt;key app="EN" db-id="xx2v2zadpfd5z8etd04xdztg9xtdpff2szrs" timestamp="1662081958"&gt;25&lt;/key&gt;&lt;/foreign-keys&gt;&lt;ref-type name="Dataset"&gt;59&lt;/ref-type&gt;&lt;contributors&gt;&lt;secondary-authors&gt;&lt;author&gt;Australian Longitudinal Study on Women&amp;apos;s Health&lt;/author&gt;&lt;/secondary-authors&gt;&lt;subsidiary-authors&gt;&lt;author&gt;Australian Government Department of Health and Aged Care&lt;/author&gt;&lt;/subsidiary-authors&gt;&lt;/contributors&gt;&lt;titles&gt;&lt;title&gt;Data Book for the 1946-51 Cohort&lt;/title&gt;&lt;/titles&gt;&lt;dates&gt;&lt;year&gt;2019&lt;/year&gt;&lt;/dates&gt;&lt;urls&gt;&lt;related-urls&gt;&lt;url&gt;https://alswh.org.au/mid_databook-2/&lt;/url&gt;&lt;/related-urls&gt;&lt;/urls&gt;&lt;access-date&gt;05/08/2022&lt;/access-date&gt;&lt;/record&gt;&lt;/Cite&gt;&lt;/EndNote&gt;</w:instrText>
      </w:r>
      <w:r w:rsidR="00EC36A6">
        <w:fldChar w:fldCharType="separate"/>
      </w:r>
      <w:r w:rsidR="000F4423">
        <w:rPr>
          <w:noProof/>
        </w:rPr>
        <w:t>(</w:t>
      </w:r>
      <w:hyperlink w:anchor="_ENREF_3" w:tooltip=", 2019 #25" w:history="1">
        <w:r w:rsidR="000F4423" w:rsidRPr="000F4423">
          <w:rPr>
            <w:i/>
            <w:noProof/>
          </w:rPr>
          <w:t>Data Book for the 1946-51 Cohort</w:t>
        </w:r>
        <w:r w:rsidR="000F4423">
          <w:rPr>
            <w:noProof/>
          </w:rPr>
          <w:t>, 2019</w:t>
        </w:r>
      </w:hyperlink>
      <w:r w:rsidR="000F4423">
        <w:rPr>
          <w:noProof/>
        </w:rPr>
        <w:t>)</w:t>
      </w:r>
      <w:r w:rsidR="00EC36A6">
        <w:fldChar w:fldCharType="end"/>
      </w:r>
      <w:r w:rsidRPr="00EC36A6">
        <w:t>.</w:t>
      </w:r>
      <w:r>
        <w:t xml:space="preserve"> In the 1973-78 cohort, 21% </w:t>
      </w:r>
      <w:r w:rsidR="00DD609F">
        <w:t xml:space="preserve">of </w:t>
      </w:r>
      <w:r>
        <w:t xml:space="preserve">women were childfree at age 37-42 </w:t>
      </w:r>
      <w:r w:rsidR="00507B7F">
        <w:fldChar w:fldCharType="begin"/>
      </w:r>
      <w:r w:rsidR="000F4423">
        <w:instrText xml:space="preserve"> ADDIN EN.CITE &lt;EndNote&gt;&lt;Cite&gt;&lt;Author&gt;Tooth L&lt;/Author&gt;&lt;Year&gt;2018&lt;/Year&gt;&lt;RecNum&gt;16&lt;/RecNum&gt;&lt;DisplayText&gt;(Tooth L, 2018)&lt;/DisplayText&gt;&lt;record&gt;&lt;rec-number&gt;16&lt;/rec-number&gt;&lt;foreign-keys&gt;&lt;key app="EN" db-id="xx2v2zadpfd5z8etd04xdztg9xtdpff2szrs" timestamp="1661136169"&gt;16&lt;/key&gt;&lt;/foreign-keys&gt;&lt;ref-type name="Report"&gt;27&lt;/ref-type&gt;&lt;contributors&gt;&lt;authors&gt;&lt;author&gt;Tooth L, Loxton D, Chan H, Coombe J, Dobson A, Hockey R, Townsend N, Byles J &amp;amp; Mishra G. &lt;/author&gt;&lt;/authors&gt;&lt;subsidiary-authors&gt;&lt;author&gt;Report prepared for the Australian Government Department of Health&lt;/author&gt;&lt;/subsidiary-authors&gt;&lt;/contributors&gt;&lt;titles&gt;&lt;title&gt;From child care to elder care: Findings from the Australian Longitudinal Study on Women’s Health.&lt;/title&gt;&lt;/titles&gt;&lt;dates&gt;&lt;year&gt;2018&lt;/year&gt;&lt;pub-dates&gt;&lt;date&gt;May&lt;/date&gt;&lt;/pub-dates&gt;&lt;/dates&gt;&lt;urls&gt;&lt;/urls&gt;&lt;/record&gt;&lt;/Cite&gt;&lt;/EndNote&gt;</w:instrText>
      </w:r>
      <w:r w:rsidR="00507B7F">
        <w:fldChar w:fldCharType="separate"/>
      </w:r>
      <w:r w:rsidR="000F4423">
        <w:rPr>
          <w:noProof/>
        </w:rPr>
        <w:t>(</w:t>
      </w:r>
      <w:hyperlink w:anchor="_ENREF_12" w:tooltip="Tooth L, 2018 #16" w:history="1">
        <w:r w:rsidR="000F4423">
          <w:rPr>
            <w:noProof/>
          </w:rPr>
          <w:t>Tooth L, 2018</w:t>
        </w:r>
      </w:hyperlink>
      <w:r w:rsidR="000F4423">
        <w:rPr>
          <w:noProof/>
        </w:rPr>
        <w:t>)</w:t>
      </w:r>
      <w:r w:rsidR="00507B7F">
        <w:fldChar w:fldCharType="end"/>
      </w:r>
      <w:r>
        <w:t>. The 1989-95 cohort has not yet reached their peak childbearing years. However, there are early indications that the number of child-free women in ALSWH</w:t>
      </w:r>
      <w:r w:rsidR="001B0B19">
        <w:t>’</w:t>
      </w:r>
      <w:r>
        <w:t xml:space="preserve">s youngest cohort may be even higher than </w:t>
      </w:r>
      <w:r w:rsidR="00DD609F">
        <w:t xml:space="preserve">in </w:t>
      </w:r>
      <w:r>
        <w:t xml:space="preserve">older generations. </w:t>
      </w:r>
    </w:p>
    <w:p w14:paraId="241F865E" w14:textId="16D09A4B" w:rsidR="00193BA2" w:rsidRDefault="00CC57E6" w:rsidP="00273BE2">
      <w:pPr>
        <w:pStyle w:val="BodyText"/>
      </w:pPr>
      <w:r>
        <w:t xml:space="preserve">The 1989-95 and 1973-78 cohorts are at different stages of their reproductive lives but comparing the two cohorts at equivalent ages provides insight into generational differences in birth patterns. </w:t>
      </w:r>
      <w:r w:rsidR="00193BA2">
        <w:t xml:space="preserve">Figure </w:t>
      </w:r>
      <w:r w:rsidR="00811538">
        <w:t>3</w:t>
      </w:r>
      <w:r w:rsidR="00EC36A6">
        <w:t xml:space="preserve"> </w:t>
      </w:r>
      <w:r w:rsidR="00193BA2">
        <w:t xml:space="preserve">below </w:t>
      </w:r>
      <w:r>
        <w:t xml:space="preserve">is taken </w:t>
      </w:r>
      <w:r w:rsidRPr="00CC57E6">
        <w:rPr>
          <w:rStyle w:val="BodyTextChar"/>
        </w:rPr>
        <w:t xml:space="preserve">from </w:t>
      </w:r>
      <w:r w:rsidRPr="00EC36A6">
        <w:rPr>
          <w:rStyle w:val="BodyTextChar"/>
          <w:i/>
          <w:iCs/>
        </w:rPr>
        <w:t>Reproductive health: Contraception, conception, and change of life – Findings from the Australian Longitudinal Study on Women</w:t>
      </w:r>
      <w:r w:rsidR="001B0B19">
        <w:rPr>
          <w:rStyle w:val="BodyTextChar"/>
          <w:i/>
          <w:iCs/>
        </w:rPr>
        <w:t>’</w:t>
      </w:r>
      <w:r w:rsidRPr="00EC36A6">
        <w:rPr>
          <w:rStyle w:val="BodyTextChar"/>
          <w:i/>
          <w:iCs/>
        </w:rPr>
        <w:t>s Health</w:t>
      </w:r>
      <w:r w:rsidRPr="00CC57E6">
        <w:rPr>
          <w:rStyle w:val="BodyTextChar"/>
        </w:rPr>
        <w:t>, commissioned</w:t>
      </w:r>
      <w:r>
        <w:t xml:space="preserve"> by the </w:t>
      </w:r>
      <w:r w:rsidR="000E088B">
        <w:t xml:space="preserve">then </w:t>
      </w:r>
      <w:r>
        <w:t>Australian Government Department of Health</w:t>
      </w:r>
      <w:r w:rsidR="00EC36A6">
        <w:fldChar w:fldCharType="begin"/>
      </w:r>
      <w:r w:rsidR="000F4423">
        <w:instrText xml:space="preserve"> ADDIN EN.CITE &lt;EndNote&gt;&lt;Cite&gt;&lt;Author&gt;Loxton&lt;/Author&gt;&lt;Year&gt;2021&lt;/Year&gt;&lt;RecNum&gt;26&lt;/RecNum&gt;&lt;DisplayText&gt;(Loxton, 2021)&lt;/DisplayText&gt;&lt;record&gt;&lt;rec-number&gt;26&lt;/rec-number&gt;&lt;foreign-keys&gt;&lt;key app="EN" db-id="xx2v2zadpfd5z8etd04xdztg9xtdpff2szrs" timestamp="1662082371"&gt;26&lt;/key&gt;&lt;/foreign-keys&gt;&lt;ref-type name="Report"&gt;27&lt;/ref-type&gt;&lt;contributors&gt;&lt;authors&gt;&lt;author&gt;Loxton, D.; Byles, J.; Tooth, L.; Barnes, I.; Byrnes, E.; Cavenagh, D.; Chung, H-F.; Egan, N.; Forder, P.; Harris, M.; Hockey, R.; Moss, K.; Townsend, N.; Mishra, GD.&lt;/author&gt;&lt;/authors&gt;&lt;subsidiary-authors&gt;&lt;author&gt;Report prepared for the Australian Government Department of Health&lt;/author&gt;&lt;/subsidiary-authors&gt;&lt;/contributors&gt;&lt;titles&gt;&lt;title&gt;Reproductive health: Contraception, conception, and change of life – Findings from the Australian Longitudinal Study on Women’s Health&lt;/title&gt;&lt;/titles&gt;&lt;dates&gt;&lt;year&gt;2021&lt;/year&gt;&lt;pub-dates&gt;&lt;date&gt;May, 2021&lt;/date&gt;&lt;/pub-dates&gt;&lt;/dates&gt;&lt;urls&gt;&lt;related-urls&gt;&lt;url&gt;https://alswh.org.au/post-outcomes/2021-major-report-reproductive-health-contraception-conception-change-of-life/&lt;/url&gt;&lt;/related-urls&gt;&lt;/urls&gt;&lt;/record&gt;&lt;/Cite&gt;&lt;/EndNote&gt;</w:instrText>
      </w:r>
      <w:r w:rsidR="00EC36A6">
        <w:fldChar w:fldCharType="separate"/>
      </w:r>
      <w:r w:rsidR="000F4423">
        <w:rPr>
          <w:noProof/>
        </w:rPr>
        <w:t>(</w:t>
      </w:r>
      <w:hyperlink w:anchor="_ENREF_7" w:tooltip="Loxton, 2021 #26" w:history="1">
        <w:r w:rsidR="000F4423">
          <w:rPr>
            <w:noProof/>
          </w:rPr>
          <w:t>Loxton, 2021</w:t>
        </w:r>
      </w:hyperlink>
      <w:r w:rsidR="000F4423">
        <w:rPr>
          <w:noProof/>
        </w:rPr>
        <w:t>)</w:t>
      </w:r>
      <w:r w:rsidR="00EC36A6">
        <w:fldChar w:fldCharType="end"/>
      </w:r>
      <w:r w:rsidR="00EC36A6">
        <w:t>.</w:t>
      </w:r>
      <w:r w:rsidR="00913F01">
        <w:t xml:space="preserve"> </w:t>
      </w:r>
    </w:p>
    <w:p w14:paraId="7D5EFEA0" w14:textId="405B468C" w:rsidR="00193BA2" w:rsidRDefault="00193BA2" w:rsidP="00273BE2">
      <w:pPr>
        <w:pStyle w:val="BodyText"/>
      </w:pPr>
    </w:p>
    <w:p w14:paraId="3C1939FE" w14:textId="65750EFC" w:rsidR="00193BA2" w:rsidRDefault="00193BA2" w:rsidP="00DB5995">
      <w:pPr>
        <w:pStyle w:val="NoSpacing"/>
        <w:jc w:val="center"/>
      </w:pPr>
      <w:r>
        <w:rPr>
          <w:noProof/>
          <w:lang w:eastAsia="en-AU"/>
        </w:rPr>
        <w:lastRenderedPageBreak/>
        <w:drawing>
          <wp:inline distT="0" distB="0" distL="0" distR="0" wp14:anchorId="6D4646DB" wp14:editId="182BDAC9">
            <wp:extent cx="5139055" cy="3366135"/>
            <wp:effectExtent l="0" t="0" r="4445" b="5715"/>
            <wp:docPr id="75" name="Chart 75" descr="Born 1973-78&#10;survey ">
              <a:extLst xmlns:a="http://schemas.openxmlformats.org/drawingml/2006/main">
                <a:ext uri="{FF2B5EF4-FFF2-40B4-BE49-F238E27FC236}">
                  <a16:creationId xmlns:a16="http://schemas.microsoft.com/office/drawing/2014/main" id="{00000000-0008-0000-0000-000008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24A4432" w14:textId="77777777" w:rsidR="00DB5995" w:rsidRDefault="00DB5995" w:rsidP="003E1311">
      <w:pPr>
        <w:rPr>
          <w:b/>
        </w:rPr>
      </w:pPr>
      <w:bookmarkStart w:id="30" w:name="_Ref63619986"/>
    </w:p>
    <w:p w14:paraId="11AD47ED" w14:textId="45D6DB34" w:rsidR="00E5565C" w:rsidRPr="00EC36A6" w:rsidRDefault="00193BA2" w:rsidP="00EC36A6">
      <w:pPr>
        <w:pStyle w:val="TableCaption"/>
      </w:pPr>
      <w:r w:rsidRPr="00EC36A6">
        <w:t xml:space="preserve">Figure </w:t>
      </w:r>
      <w:r w:rsidR="00811538" w:rsidRPr="00EC36A6">
        <w:t>3</w:t>
      </w:r>
      <w:bookmarkEnd w:id="30"/>
      <w:r w:rsidR="00EC36A6">
        <w:t>.</w:t>
      </w:r>
      <w:r w:rsidRPr="00EC36A6">
        <w:t xml:space="preserve"> </w:t>
      </w:r>
      <w:r w:rsidRPr="00EC36A6">
        <w:rPr>
          <w:rStyle w:val="CaptionChar"/>
          <w:i/>
          <w:iCs w:val="0"/>
          <w:szCs w:val="22"/>
        </w:rPr>
        <w:t>Births in the 1973-78 and 1989-95 cohorts at equivalent ages.</w:t>
      </w:r>
    </w:p>
    <w:p w14:paraId="13CC5359" w14:textId="20A626D8" w:rsidR="00E5565C" w:rsidRDefault="00E5565C" w:rsidP="00273BE2">
      <w:pPr>
        <w:pStyle w:val="BodyText"/>
      </w:pPr>
    </w:p>
    <w:p w14:paraId="212CF813" w14:textId="5FFD389D" w:rsidR="00E5565C" w:rsidRDefault="00E5565C" w:rsidP="00273BE2">
      <w:pPr>
        <w:pStyle w:val="BodyText"/>
      </w:pPr>
      <w:r w:rsidRPr="000B6088">
        <w:rPr>
          <w:noProof/>
          <w:lang w:val="en-GB" w:eastAsia="en-GB"/>
        </w:rPr>
        <mc:AlternateContent>
          <mc:Choice Requires="wps">
            <w:drawing>
              <wp:inline distT="0" distB="0" distL="0" distR="0" wp14:anchorId="1071BB80" wp14:editId="28E18387">
                <wp:extent cx="5759450" cy="1946910"/>
                <wp:effectExtent l="0" t="0" r="12700" b="15240"/>
                <wp:docPr id="6" name="Text Box 6"/>
                <wp:cNvGraphicFramePr/>
                <a:graphic xmlns:a="http://schemas.openxmlformats.org/drawingml/2006/main">
                  <a:graphicData uri="http://schemas.microsoft.com/office/word/2010/wordprocessingShape">
                    <wps:wsp>
                      <wps:cNvSpPr txBox="1"/>
                      <wps:spPr>
                        <a:xfrm>
                          <a:off x="0" y="0"/>
                          <a:ext cx="5759450" cy="1946910"/>
                        </a:xfrm>
                        <a:prstGeom prst="rect">
                          <a:avLst/>
                        </a:prstGeom>
                        <a:solidFill>
                          <a:schemeClr val="accent2"/>
                        </a:solidFill>
                        <a:ln w="3175">
                          <a:solidFill>
                            <a:srgbClr val="D7D1CC"/>
                          </a:solidFill>
                        </a:ln>
                        <a:effectLst/>
                      </wps:spPr>
                      <wps:style>
                        <a:lnRef idx="0">
                          <a:schemeClr val="accent1"/>
                        </a:lnRef>
                        <a:fillRef idx="0">
                          <a:schemeClr val="accent1"/>
                        </a:fillRef>
                        <a:effectRef idx="0">
                          <a:schemeClr val="accent1"/>
                        </a:effectRef>
                        <a:fontRef idx="minor">
                          <a:schemeClr val="dk1"/>
                        </a:fontRef>
                      </wps:style>
                      <wps:txbx>
                        <w:txbxContent>
                          <w:p w14:paraId="5535AEF1" w14:textId="77777777" w:rsidR="00E5565C" w:rsidRPr="000B6088" w:rsidRDefault="00E5565C" w:rsidP="00E5565C">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41A06616" w14:textId="2B62E079" w:rsidR="00E5565C" w:rsidRDefault="00E5565C" w:rsidP="00273BE2">
                            <w:pPr>
                              <w:pStyle w:val="ListParagraph0"/>
                              <w:numPr>
                                <w:ilvl w:val="0"/>
                                <w:numId w:val="19"/>
                              </w:numPr>
                            </w:pPr>
                            <w:r>
                              <w:t>Unpaid leave should be made available to both live-in carers and those who live elsewhere to their care recipient</w:t>
                            </w:r>
                            <w:r w:rsidR="00A2225B">
                              <w:t>.</w:t>
                            </w:r>
                          </w:p>
                          <w:p w14:paraId="0B4A5D39" w14:textId="38ECE34F" w:rsidR="00A2225B" w:rsidRDefault="00A2225B" w:rsidP="00273BE2">
                            <w:pPr>
                              <w:pStyle w:val="ListParagraph0"/>
                              <w:numPr>
                                <w:ilvl w:val="0"/>
                                <w:numId w:val="19"/>
                              </w:numPr>
                            </w:pPr>
                            <w:r>
                              <w:t xml:space="preserve">Leave entitlements should not depend on a family relationship, this will become particularly relevant </w:t>
                            </w:r>
                            <w:r w:rsidR="00FC4034">
                              <w:t>as younger generations age</w:t>
                            </w:r>
                            <w:r>
                              <w:t xml:space="preserve">. </w:t>
                            </w:r>
                            <w:r w:rsidR="00FC4034">
                              <w:t xml:space="preserve">Traditionally, care for the elderly comes from partners and children. </w:t>
                            </w:r>
                            <w:r>
                              <w:t>An increasing p</w:t>
                            </w:r>
                            <w:r w:rsidR="00FC4034">
                              <w:t>roportion of adults are childfree and will not be able to call upon these relations</w:t>
                            </w:r>
                            <w:r w:rsidR="00913F01">
                              <w:t>hips</w:t>
                            </w:r>
                            <w:r w:rsidR="00FC4034">
                              <w:t xml:space="preserve"> as they age. </w:t>
                            </w:r>
                          </w:p>
                          <w:p w14:paraId="6F83636E" w14:textId="325E43F8" w:rsidR="00E5565C" w:rsidRPr="006A1B55" w:rsidRDefault="00E5565C" w:rsidP="00273BE2">
                            <w:pPr>
                              <w:pStyle w:val="ListParagraph0"/>
                              <w:numPr>
                                <w:ilvl w:val="0"/>
                                <w:numId w:val="19"/>
                              </w:numPr>
                            </w:pPr>
                            <w:r>
                              <w:t xml:space="preserve">Caregiving is </w:t>
                            </w:r>
                            <w:r w:rsidR="008C0369">
                              <w:t>highly</w:t>
                            </w:r>
                            <w:r>
                              <w:t xml:space="preserve"> transitory so the entitlement should be made available </w:t>
                            </w:r>
                            <w:r w:rsidR="00D94F37">
                              <w:t>to a wider range of circumstances,</w:t>
                            </w:r>
                            <w:r>
                              <w:t xml:space="preserve"> as caregivers may be required to care for adult children, partners, parents and parents-in-law. </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1071BB80" id="Text Box 6" o:spid="_x0000_s1032" type="#_x0000_t202" style="width:453.5pt;height:15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mjYhgIAAJoFAAAOAAAAZHJzL2Uyb0RvYy54bWysVN9v2yAQfp+0/wHxvjruknaJ6lRZokyT&#10;qrZaO/WZYEjQMMeAxM7++h3YTtJ2e+g0P+CD+7gfH3d3dd1UmuyE8wpMQfOzASXCcCiVWRf0++Py&#10;wydKfGCmZBqMKOheeHo9ff/uqrYTcQ4b0KVwBI0YP6ltQTch2EmWeb4RFfNnYIVBpQRXsYBbt85K&#10;x2q0XunsfDC4yGpwpXXAhfd4umiVdJrsSyl4uJPSi0B0QTG2kFaX1lVcs+kVm6wdsxvFuzDYP0RR&#10;MWXQ6cHUggVGtk69MlUp7sCDDGccqgykVFykHDCbfPAim4cNsyLlguR4e6DJ/z+z/Hb3YO8dCc1n&#10;aPABIyG19ROPhzGfRroq/jFSgnqkcH+gTTSBcDwcXY7GwxGqOOry8fBinCdis+N163z4IqAiUSio&#10;w3dJdLHdjQ/oEqE9JHrzoFW5VFqnTawFMdeO7Bi+IuNcmHAeA8Vbz5DakLqgH/PLUTL+TOfdenWw&#10;sbhc5PP5axNoUJvoU6TS6WI78pGksNciYrT5JiRRZaLlr4EmRpNdREeUxLTecrHDH6N6y+U2j94z&#10;mHC4XCkDrqXpOb/ljz5k2eKR55O8oxiaVYOJF/SiL5cVlHusIgdtg3nLlwpf+ob5cM8cdhRWB06J&#10;cIeL1ICvBJ1EyQbcrz+dRzwWOmopqbFDC+p/bpkTlOivBltgnA+HsaXbzQA/StypZnWqMdtqDlg+&#10;Oc4jy5MY8UH3onRQPeEwmUWvqGKGo++Chl6ch3Zu4DDiYjZLIGxiy8KNebA8mo6PFOv4sXliznbF&#10;HrBPbqHvZTZ5UfMtNtWPnW0DLFVqiMhzy2rHPw6AVPHdsIoT5nSfUMeROv0NAAD//wMAUEsDBBQA&#10;BgAIAAAAIQDV6scV2QAAAAUBAAAPAAAAZHJzL2Rvd25yZXYueG1sTI9PS8QwEMXvgt8hjODNTVSo&#10;WpsuIi7k4MWu4DVtZptq/pQku9v99o5e9PLg8Yb3ftOsF+/YAVOeYpBwvRLAMAzRTGGU8L7dXN0D&#10;y0UHo10MKOGEGdbt+VmjaxOP4Q0PXRkZlYRcawm2lLnmPA8Wvc6rOGOgbBeT14VsGrlJ+kjl3vEb&#10;ISru9RRoweoZny0OX93eS3C9fU34oXaTrl686jbqU52UlJcXy9MjsIJL+TuGH3xCh5aY+rgPJjMn&#10;gR4pv0rZg7gj20u4FVUFvG34f/r2GwAA//8DAFBLAQItABQABgAIAAAAIQC2gziS/gAAAOEBAAAT&#10;AAAAAAAAAAAAAAAAAAAAAABbQ29udGVudF9UeXBlc10ueG1sUEsBAi0AFAAGAAgAAAAhADj9If/W&#10;AAAAlAEAAAsAAAAAAAAAAAAAAAAALwEAAF9yZWxzLy5yZWxzUEsBAi0AFAAGAAgAAAAhAEGSaNiG&#10;AgAAmgUAAA4AAAAAAAAAAAAAAAAALgIAAGRycy9lMm9Eb2MueG1sUEsBAi0AFAAGAAgAAAAhANXq&#10;xxXZAAAABQEAAA8AAAAAAAAAAAAAAAAA4AQAAGRycy9kb3ducmV2LnhtbFBLBQYAAAAABAAEAPMA&#10;AADmBQAAAAA=&#10;" fillcolor="#bad8d4 [3205]" strokecolor="#d7d1cc" strokeweight=".25pt">
                <v:textbox style="mso-fit-shape-to-text:t" inset=",2.5mm,,2.5mm">
                  <w:txbxContent>
                    <w:p w14:paraId="5535AEF1" w14:textId="77777777" w:rsidR="00E5565C" w:rsidRPr="000B6088" w:rsidRDefault="00E5565C" w:rsidP="00E5565C">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41A06616" w14:textId="2B62E079" w:rsidR="00E5565C" w:rsidRDefault="00E5565C" w:rsidP="00273BE2">
                      <w:pPr>
                        <w:pStyle w:val="ListParagraph0"/>
                        <w:numPr>
                          <w:ilvl w:val="0"/>
                          <w:numId w:val="19"/>
                        </w:numPr>
                      </w:pPr>
                      <w:r>
                        <w:t>Unpaid leave should be made available to both live-in carers and those who live elsewhere to their care recipient</w:t>
                      </w:r>
                      <w:r w:rsidR="00A2225B">
                        <w:t>.</w:t>
                      </w:r>
                    </w:p>
                    <w:p w14:paraId="0B4A5D39" w14:textId="38ECE34F" w:rsidR="00A2225B" w:rsidRDefault="00A2225B" w:rsidP="00273BE2">
                      <w:pPr>
                        <w:pStyle w:val="ListParagraph0"/>
                        <w:numPr>
                          <w:ilvl w:val="0"/>
                          <w:numId w:val="19"/>
                        </w:numPr>
                      </w:pPr>
                      <w:r>
                        <w:t xml:space="preserve">Leave entitlements should not depend on a family relationship, this will become particularly relevant </w:t>
                      </w:r>
                      <w:r w:rsidR="00FC4034">
                        <w:t>as younger generations age</w:t>
                      </w:r>
                      <w:r>
                        <w:t xml:space="preserve">. </w:t>
                      </w:r>
                      <w:r w:rsidR="00FC4034">
                        <w:t xml:space="preserve">Traditionally, care for the elderly comes from partners and children. </w:t>
                      </w:r>
                      <w:r>
                        <w:t>An increasing p</w:t>
                      </w:r>
                      <w:r w:rsidR="00FC4034">
                        <w:t>roportion of adults are childfree and will not be able to call upon these relations</w:t>
                      </w:r>
                      <w:r w:rsidR="00913F01">
                        <w:t>hips</w:t>
                      </w:r>
                      <w:r w:rsidR="00FC4034">
                        <w:t xml:space="preserve"> as they age. </w:t>
                      </w:r>
                    </w:p>
                    <w:p w14:paraId="6F83636E" w14:textId="325E43F8" w:rsidR="00E5565C" w:rsidRPr="006A1B55" w:rsidRDefault="00E5565C" w:rsidP="00273BE2">
                      <w:pPr>
                        <w:pStyle w:val="ListParagraph0"/>
                        <w:numPr>
                          <w:ilvl w:val="0"/>
                          <w:numId w:val="19"/>
                        </w:numPr>
                      </w:pPr>
                      <w:r>
                        <w:t xml:space="preserve">Caregiving is </w:t>
                      </w:r>
                      <w:r w:rsidR="008C0369">
                        <w:t>highly</w:t>
                      </w:r>
                      <w:r>
                        <w:t xml:space="preserve"> transitory so the entitlement should be made available </w:t>
                      </w:r>
                      <w:r w:rsidR="00D94F37">
                        <w:t>to a wider range of circumstances,</w:t>
                      </w:r>
                      <w:r>
                        <w:t xml:space="preserve"> as caregivers may be required to care for adult children, partners, parents and parents-in-law. </w:t>
                      </w:r>
                    </w:p>
                  </w:txbxContent>
                </v:textbox>
                <w10:anchorlock/>
              </v:shape>
            </w:pict>
          </mc:Fallback>
        </mc:AlternateContent>
      </w:r>
    </w:p>
    <w:p w14:paraId="1FF412C0" w14:textId="77777777" w:rsidR="006F3C27" w:rsidRDefault="006F3C27" w:rsidP="00273BE2">
      <w:pPr>
        <w:pStyle w:val="BodyText"/>
      </w:pPr>
    </w:p>
    <w:p w14:paraId="1A46D47C" w14:textId="2CD6BC95" w:rsidR="002B60D0" w:rsidRPr="00DB5995" w:rsidRDefault="00DB5995" w:rsidP="007E147B">
      <w:pPr>
        <w:pStyle w:val="Heading2"/>
        <w:rPr>
          <w:bCs/>
        </w:rPr>
      </w:pPr>
      <w:bookmarkStart w:id="31" w:name="_Toc113022386"/>
      <w:r>
        <w:t>I</w:t>
      </w:r>
      <w:r w:rsidR="00AD41FC" w:rsidRPr="000D5448">
        <w:t>ncome supports and services currently offered to informal carers.</w:t>
      </w:r>
      <w:bookmarkEnd w:id="31"/>
    </w:p>
    <w:p w14:paraId="5C79E5CC" w14:textId="77777777" w:rsidR="00AD41FC" w:rsidRPr="003E1311" w:rsidRDefault="00AD41FC" w:rsidP="003E1311">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What challenges do informal carers of older people face in accessing the supports they need?</w:t>
      </w:r>
    </w:p>
    <w:p w14:paraId="5EDB309F" w14:textId="50E954E4" w:rsidR="00AD41FC" w:rsidRPr="003E1311" w:rsidRDefault="00AD41FC" w:rsidP="003E1311">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3E1311">
        <w:rPr>
          <w:i/>
          <w:iCs/>
        </w:rPr>
        <w:t>What are the main types of supports that informal carers rely on?</w:t>
      </w:r>
    </w:p>
    <w:p w14:paraId="226A940F" w14:textId="2BB0060C" w:rsidR="000D5448" w:rsidRDefault="000D5448" w:rsidP="00DB5995">
      <w:pPr>
        <w:pStyle w:val="ListBullet0"/>
        <w:numPr>
          <w:ilvl w:val="0"/>
          <w:numId w:val="0"/>
        </w:numPr>
      </w:pPr>
    </w:p>
    <w:p w14:paraId="18C6DFC7" w14:textId="307FB616" w:rsidR="00277AEA" w:rsidRDefault="00452B36" w:rsidP="00273BE2">
      <w:pPr>
        <w:pStyle w:val="BodyText"/>
      </w:pPr>
      <w:r>
        <w:t>A</w:t>
      </w:r>
      <w:r w:rsidR="00EC36A6">
        <w:t>n ALSWH</w:t>
      </w:r>
      <w:r w:rsidR="00277AEA">
        <w:t xml:space="preserve"> </w:t>
      </w:r>
      <w:proofErr w:type="spellStart"/>
      <w:r>
        <w:t>substudy</w:t>
      </w:r>
      <w:proofErr w:type="spellEnd"/>
      <w:r>
        <w:t xml:space="preserve"> </w:t>
      </w:r>
      <w:r w:rsidR="00087C11">
        <w:t xml:space="preserve">on </w:t>
      </w:r>
      <w:r>
        <w:t>caregiving in mid-aged women investigated the types of supports and interventions used and needed by women carers</w:t>
      </w:r>
      <w:r w:rsidR="00087C11">
        <w:t xml:space="preserve">. </w:t>
      </w:r>
      <w:r w:rsidR="00EC36A6">
        <w:t xml:space="preserve">The </w:t>
      </w:r>
      <w:proofErr w:type="spellStart"/>
      <w:r w:rsidR="00EC36A6">
        <w:t>substudy</w:t>
      </w:r>
      <w:proofErr w:type="spellEnd"/>
      <w:r w:rsidR="00EC36A6">
        <w:t xml:space="preserve"> was commissioned by </w:t>
      </w:r>
      <w:r w:rsidR="00EC36A6">
        <w:lastRenderedPageBreak/>
        <w:t xml:space="preserve">the then Australian Government Department of Health and Ageing and involved women from the 1946-51 pilot group. </w:t>
      </w:r>
      <w:r w:rsidR="00087C11">
        <w:t xml:space="preserve">The </w:t>
      </w:r>
      <w:r w:rsidR="00EC36A6">
        <w:t xml:space="preserve">ALSWH </w:t>
      </w:r>
      <w:r w:rsidR="00087C11">
        <w:t>researchers found that s</w:t>
      </w:r>
      <w:r w:rsidR="004206F4">
        <w:t>ervice use by carers was low.</w:t>
      </w:r>
      <w:r>
        <w:t xml:space="preserve"> Home maintenance and </w:t>
      </w:r>
      <w:r w:rsidR="008C0369">
        <w:t>counselling</w:t>
      </w:r>
      <w:r>
        <w:t xml:space="preserve"> were the two most used services in this </w:t>
      </w:r>
      <w:proofErr w:type="spellStart"/>
      <w:r>
        <w:t>substudy</w:t>
      </w:r>
      <w:proofErr w:type="spellEnd"/>
      <w:r>
        <w:t xml:space="preserve"> – however</w:t>
      </w:r>
      <w:r w:rsidR="00213845">
        <w:t>,</w:t>
      </w:r>
      <w:r>
        <w:t xml:space="preserve"> only 8% of carers used these services </w:t>
      </w:r>
      <w:r>
        <w:fldChar w:fldCharType="begin"/>
      </w:r>
      <w:r w:rsidR="000F4423">
        <w:instrText xml:space="preserve"> ADDIN EN.CITE &lt;EndNote&gt;&lt;Cite&gt;&lt;Author&gt;McKenzie S&lt;/Author&gt;&lt;Year&gt;2009&lt;/Year&gt;&lt;RecNum&gt;17&lt;/RecNum&gt;&lt;DisplayText&gt;(McKenzie S, 2009)&lt;/DisplayText&gt;&lt;record&gt;&lt;rec-number&gt;17&lt;/rec-number&gt;&lt;foreign-keys&gt;&lt;key app="EN" db-id="xx2v2zadpfd5z8etd04xdztg9xtdpff2szrs" timestamp="1661772826"&gt;17&lt;/key&gt;&lt;/foreign-keys&gt;&lt;ref-type name="Report"&gt;27&lt;/ref-type&gt;&lt;contributors&gt;&lt;authors&gt;&lt;author&gt;McKenzie S, Tooth L, Lucke J &amp;amp; Dobson A. &lt;/author&gt;&lt;/authors&gt;&lt;subsidiary-authors&gt;&lt;author&gt; Report prepared for Australian Government Department of Health &amp;amp; Ageing&lt;/author&gt;&lt;/subsidiary-authors&gt;&lt;/contributors&gt;&lt;titles&gt;&lt;title&gt;Caring and use of services in women born between 1946 and 1951: Findings from the Australian Longitudinal Study on Women’s Health.&lt;/title&gt;&lt;/titles&gt;&lt;dates&gt;&lt;year&gt;2009&lt;/year&gt;&lt;pub-dates&gt;&lt;date&gt;January, 2009&lt;/date&gt;&lt;/pub-dates&gt;&lt;/dates&gt;&lt;work-type&gt;Report&lt;/work-type&gt;&lt;urls&gt;&lt;related-urls&gt;&lt;url&gt;https://alswh.org.au/post-outcomes/caring-and-use-of-services-in-women-born-between-1946-and-1951-findings-from-the-australian-longitudinal-study-on-womens-health/&lt;/url&gt;&lt;/related-urls&gt;&lt;/urls&gt;&lt;language&gt;English&lt;/language&gt;&lt;/record&gt;&lt;/Cite&gt;&lt;/EndNote&gt;</w:instrText>
      </w:r>
      <w:r>
        <w:fldChar w:fldCharType="separate"/>
      </w:r>
      <w:r w:rsidR="000F4423">
        <w:rPr>
          <w:noProof/>
        </w:rPr>
        <w:t>(</w:t>
      </w:r>
      <w:hyperlink w:anchor="_ENREF_9" w:tooltip="McKenzie S, 2009 #17" w:history="1">
        <w:r w:rsidR="000F4423">
          <w:rPr>
            <w:noProof/>
          </w:rPr>
          <w:t>McKenzie S, 2009</w:t>
        </w:r>
      </w:hyperlink>
      <w:r w:rsidR="000F4423">
        <w:rPr>
          <w:noProof/>
        </w:rPr>
        <w:t>)</w:t>
      </w:r>
      <w:r>
        <w:fldChar w:fldCharType="end"/>
      </w:r>
      <w:r>
        <w:t xml:space="preserve">. </w:t>
      </w:r>
    </w:p>
    <w:p w14:paraId="71F2ECD3" w14:textId="793C48EF" w:rsidR="004206F4" w:rsidRDefault="00452B36" w:rsidP="00273BE2">
      <w:pPr>
        <w:pStyle w:val="BodyText"/>
      </w:pPr>
      <w:r>
        <w:t xml:space="preserve">Participant comments provided some insight on why services were not used. </w:t>
      </w:r>
    </w:p>
    <w:p w14:paraId="109AACA8" w14:textId="75E439DF" w:rsidR="00452B36" w:rsidRPr="00D4705E" w:rsidRDefault="001B0B19" w:rsidP="00D4705E">
      <w:pPr>
        <w:pStyle w:val="BodyText"/>
        <w:ind w:left="720"/>
        <w:rPr>
          <w:i/>
          <w:iCs/>
        </w:rPr>
      </w:pPr>
      <w:r>
        <w:rPr>
          <w:i/>
          <w:iCs/>
        </w:rPr>
        <w:t>“</w:t>
      </w:r>
      <w:r w:rsidR="00452B36" w:rsidRPr="00D4705E">
        <w:rPr>
          <w:i/>
          <w:iCs/>
        </w:rPr>
        <w:t>Access to health services is not the problem, getting my mother</w:t>
      </w:r>
      <w:r>
        <w:rPr>
          <w:i/>
          <w:iCs/>
        </w:rPr>
        <w:t>’</w:t>
      </w:r>
      <w:r w:rsidR="00452B36" w:rsidRPr="00D4705E">
        <w:rPr>
          <w:i/>
          <w:iCs/>
        </w:rPr>
        <w:t>s generation to accept outside help is the problem. The only service we have used is home maintenance service. I could not have been more impressed by their service</w:t>
      </w:r>
      <w:r>
        <w:rPr>
          <w:i/>
          <w:iCs/>
        </w:rPr>
        <w:t>”</w:t>
      </w:r>
    </w:p>
    <w:p w14:paraId="043308A4" w14:textId="069674CC" w:rsidR="00452B36" w:rsidRPr="00D4705E" w:rsidRDefault="001B0B19" w:rsidP="00D4705E">
      <w:pPr>
        <w:pStyle w:val="BodyText"/>
        <w:ind w:left="720"/>
        <w:rPr>
          <w:i/>
          <w:iCs/>
        </w:rPr>
      </w:pPr>
      <w:r>
        <w:rPr>
          <w:i/>
          <w:iCs/>
        </w:rPr>
        <w:t>“</w:t>
      </w:r>
      <w:r w:rsidR="00452B36" w:rsidRPr="00D4705E">
        <w:rPr>
          <w:i/>
          <w:iCs/>
        </w:rPr>
        <w:t>I spend a lot of time driving this person to specialist or hospital. Although community transport is available, I like to be there for support. We don</w:t>
      </w:r>
      <w:r>
        <w:rPr>
          <w:i/>
          <w:iCs/>
        </w:rPr>
        <w:t>’</w:t>
      </w:r>
      <w:r w:rsidR="00452B36" w:rsidRPr="00D4705E">
        <w:rPr>
          <w:i/>
          <w:iCs/>
        </w:rPr>
        <w:t>t need community transport as yet. This person is/was independent and is loath to get help</w:t>
      </w:r>
      <w:r>
        <w:rPr>
          <w:i/>
          <w:iCs/>
        </w:rPr>
        <w:t>”</w:t>
      </w:r>
    </w:p>
    <w:p w14:paraId="156F0869" w14:textId="6A5DA6EA" w:rsidR="00277AEA" w:rsidRDefault="00277AEA" w:rsidP="00273BE2">
      <w:pPr>
        <w:pStyle w:val="BodyText"/>
      </w:pPr>
    </w:p>
    <w:p w14:paraId="25D95B9E" w14:textId="33BB9BB2" w:rsidR="00277AEA" w:rsidRDefault="00277AEA" w:rsidP="00273BE2">
      <w:pPr>
        <w:pStyle w:val="BodyText"/>
      </w:pPr>
      <w:r>
        <w:t xml:space="preserve">Findings from the 2009 </w:t>
      </w:r>
      <w:proofErr w:type="spellStart"/>
      <w:r w:rsidR="00EC36A6">
        <w:t>substudy</w:t>
      </w:r>
      <w:proofErr w:type="spellEnd"/>
      <w:r w:rsidR="00EC36A6">
        <w:t xml:space="preserve"> </w:t>
      </w:r>
      <w:r>
        <w:t xml:space="preserve">report, </w:t>
      </w:r>
      <w:r w:rsidRPr="00EC36A6">
        <w:rPr>
          <w:i/>
          <w:iCs/>
        </w:rPr>
        <w:t>Caring and use of services in women born between 1946 and 1951: Findings from the Australian Longitudinal Study on Women</w:t>
      </w:r>
      <w:r w:rsidR="001B0B19">
        <w:rPr>
          <w:i/>
          <w:iCs/>
        </w:rPr>
        <w:t>’</w:t>
      </w:r>
      <w:r w:rsidRPr="00EC36A6">
        <w:rPr>
          <w:i/>
          <w:iCs/>
        </w:rPr>
        <w:t>s Health</w:t>
      </w:r>
      <w:r>
        <w:t xml:space="preserve">, are summarised below. </w:t>
      </w:r>
    </w:p>
    <w:p w14:paraId="636D5DD8" w14:textId="77777777" w:rsidR="004206F4" w:rsidRDefault="004206F4" w:rsidP="00273BE2">
      <w:pPr>
        <w:pStyle w:val="BodyText"/>
        <w:numPr>
          <w:ilvl w:val="0"/>
          <w:numId w:val="20"/>
        </w:numPr>
      </w:pPr>
      <w:r>
        <w:t>Care recipients used services more than carers did.</w:t>
      </w:r>
    </w:p>
    <w:p w14:paraId="64512EDE" w14:textId="77777777" w:rsidR="004206F4" w:rsidRDefault="004206F4" w:rsidP="00273BE2">
      <w:pPr>
        <w:pStyle w:val="BodyText"/>
        <w:numPr>
          <w:ilvl w:val="0"/>
          <w:numId w:val="20"/>
        </w:numPr>
      </w:pPr>
      <w:r>
        <w:t xml:space="preserve">The most highly used services were home maintenance and counselling. </w:t>
      </w:r>
    </w:p>
    <w:p w14:paraId="2804A8DD" w14:textId="77777777" w:rsidR="004206F4" w:rsidRDefault="004206F4" w:rsidP="00273BE2">
      <w:pPr>
        <w:pStyle w:val="BodyText"/>
        <w:numPr>
          <w:ilvl w:val="0"/>
          <w:numId w:val="20"/>
        </w:numPr>
      </w:pPr>
      <w:r>
        <w:t xml:space="preserve">Carers who used these services had higher carer strain and poorer mental health than carers who did not use those services. </w:t>
      </w:r>
    </w:p>
    <w:p w14:paraId="7F6D3281" w14:textId="77777777" w:rsidR="004206F4" w:rsidRDefault="004206F4" w:rsidP="00273BE2">
      <w:pPr>
        <w:pStyle w:val="BodyText"/>
        <w:numPr>
          <w:ilvl w:val="0"/>
          <w:numId w:val="20"/>
        </w:numPr>
      </w:pPr>
      <w:r>
        <w:t xml:space="preserve">Carers who lived elsewhere were more likely to use paid services than live-in carers. </w:t>
      </w:r>
    </w:p>
    <w:p w14:paraId="149A1FDE" w14:textId="77777777" w:rsidR="004206F4" w:rsidRDefault="004206F4" w:rsidP="00273BE2">
      <w:pPr>
        <w:pStyle w:val="BodyText"/>
        <w:numPr>
          <w:ilvl w:val="0"/>
          <w:numId w:val="20"/>
        </w:numPr>
      </w:pPr>
      <w:r>
        <w:t xml:space="preserve">Carers who lived elsewhere and used at least one paid service were more strained than carers who lived elsewhere and did not use paid services. </w:t>
      </w:r>
    </w:p>
    <w:p w14:paraId="4AC3F984" w14:textId="04A41683" w:rsidR="000D5448" w:rsidRDefault="004206F4" w:rsidP="00273BE2">
      <w:pPr>
        <w:pStyle w:val="BodyText"/>
        <w:numPr>
          <w:ilvl w:val="0"/>
          <w:numId w:val="20"/>
        </w:numPr>
      </w:pPr>
      <w:r>
        <w:t>These results may indicate that using services was not lessening the impact of caring</w:t>
      </w:r>
      <w:r w:rsidR="00213845">
        <w:t>,</w:t>
      </w:r>
      <w:r>
        <w:t xml:space="preserve"> or it may be that carers who were strained were more likely to use services. Further investigation is required to determine the causality of these associations.</w:t>
      </w:r>
    </w:p>
    <w:p w14:paraId="3B0CC9CA" w14:textId="74A60CC4" w:rsidR="004206F4" w:rsidRDefault="004206F4" w:rsidP="00273BE2">
      <w:pPr>
        <w:pStyle w:val="BodyText"/>
      </w:pPr>
    </w:p>
    <w:p w14:paraId="415D85D9" w14:textId="4FCCCF90" w:rsidR="004206F4" w:rsidRDefault="004206F4" w:rsidP="00273BE2">
      <w:pPr>
        <w:pStyle w:val="BodyText"/>
      </w:pPr>
      <w:r w:rsidRPr="000B6088">
        <w:rPr>
          <w:noProof/>
          <w:lang w:val="en-GB" w:eastAsia="en-GB"/>
        </w:rPr>
        <mc:AlternateContent>
          <mc:Choice Requires="wps">
            <w:drawing>
              <wp:inline distT="0" distB="0" distL="0" distR="0" wp14:anchorId="7F43A3D8" wp14:editId="2A7B375C">
                <wp:extent cx="5759450" cy="584431"/>
                <wp:effectExtent l="0" t="0" r="12700" b="26670"/>
                <wp:docPr id="2" name="Text Box 2"/>
                <wp:cNvGraphicFramePr/>
                <a:graphic xmlns:a="http://schemas.openxmlformats.org/drawingml/2006/main">
                  <a:graphicData uri="http://schemas.microsoft.com/office/word/2010/wordprocessingShape">
                    <wps:wsp>
                      <wps:cNvSpPr txBox="1"/>
                      <wps:spPr>
                        <a:xfrm>
                          <a:off x="0" y="0"/>
                          <a:ext cx="5759450" cy="584431"/>
                        </a:xfrm>
                        <a:prstGeom prst="rect">
                          <a:avLst/>
                        </a:prstGeom>
                        <a:solidFill>
                          <a:schemeClr val="accent2"/>
                        </a:solidFill>
                        <a:ln w="3175">
                          <a:solidFill>
                            <a:srgbClr val="D7D1CC"/>
                          </a:solidFill>
                        </a:ln>
                        <a:effectLst/>
                      </wps:spPr>
                      <wps:style>
                        <a:lnRef idx="0">
                          <a:schemeClr val="accent1"/>
                        </a:lnRef>
                        <a:fillRef idx="0">
                          <a:schemeClr val="accent1"/>
                        </a:fillRef>
                        <a:effectRef idx="0">
                          <a:schemeClr val="accent1"/>
                        </a:effectRef>
                        <a:fontRef idx="minor">
                          <a:schemeClr val="dk1"/>
                        </a:fontRef>
                      </wps:style>
                      <wps:txbx>
                        <w:txbxContent>
                          <w:p w14:paraId="3BE49A18" w14:textId="587A4E16" w:rsidR="004206F4" w:rsidRPr="000B6088" w:rsidRDefault="004206F4" w:rsidP="004206F4">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24127B0D" w14:textId="77777777" w:rsidR="00452B36" w:rsidRDefault="004206F4" w:rsidP="00273BE2">
                            <w:pPr>
                              <w:pStyle w:val="BodyText"/>
                              <w:numPr>
                                <w:ilvl w:val="0"/>
                                <w:numId w:val="21"/>
                              </w:numPr>
                            </w:pPr>
                            <w:r>
                              <w:t>Li</w:t>
                            </w:r>
                            <w:r w:rsidRPr="004206F4">
                              <w:t xml:space="preserve">ve-in carers may need to be targeted for more formal support. </w:t>
                            </w:r>
                          </w:p>
                          <w:p w14:paraId="7C78D7F8" w14:textId="545D8DB7" w:rsidR="004206F4" w:rsidRDefault="004206F4" w:rsidP="00273BE2">
                            <w:pPr>
                              <w:pStyle w:val="BodyText"/>
                              <w:numPr>
                                <w:ilvl w:val="0"/>
                                <w:numId w:val="21"/>
                              </w:numPr>
                            </w:pPr>
                            <w:r w:rsidRPr="004206F4">
                              <w:t xml:space="preserve">Policies should consider the particular needs of live-in carers who </w:t>
                            </w:r>
                            <w:r>
                              <w:t xml:space="preserve">are </w:t>
                            </w:r>
                            <w:r w:rsidRPr="004206F4">
                              <w:t xml:space="preserve">likely to have a high care index, be strained and help their care recipients with more personal and demanding tasks. </w:t>
                            </w:r>
                          </w:p>
                          <w:p w14:paraId="4BF85067" w14:textId="430233D7" w:rsidR="004206F4" w:rsidRPr="004206F4" w:rsidRDefault="004206F4" w:rsidP="00273BE2">
                            <w:pPr>
                              <w:pStyle w:val="BodyText"/>
                              <w:numPr>
                                <w:ilvl w:val="0"/>
                                <w:numId w:val="21"/>
                              </w:numPr>
                            </w:pPr>
                            <w:r w:rsidRPr="004206F4">
                              <w:t>Policies should endeavour to improve acceptance of, or reduce the stigma about, using services.</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7F43A3D8" id="Text Box 2" o:spid="_x0000_s1033" type="#_x0000_t202" style="width:453.5pt;height: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TNhhQIAAJkFAAAOAAAAZHJzL2Uyb0RvYy54bWysVE1vGjEQvVfqf7B8bxYSKAnKElEQVaUo&#10;iUqqnI3XBqtej2sbdumvz9i7CyRpD6nKwYx33nw9z8z1TV1qshPOKzA57Z/1KBGGQ6HMOqc/Hhef&#10;LinxgZmCaTAip3vh6c3k44fryo7FOWxAF8IRdGL8uLI53YRgx1nm+UaUzJ+BFQaVElzJAl7dOisc&#10;q9B7qbPzXu9zVoErrAMuvMev80ZJJ8m/lIKHeym9CETnFHML6XTpXMUzm1yz8doxu1G8TYP9QxYl&#10;UwaDHlzNWWBk69QbV6XiDjzIcMahzEBKxUWqAavp915Vs9wwK1ItSI63B5r8/3PL73ZL++BIqL9A&#10;jQ8YCamsH3v8GOuppSvjP2ZKUI8U7g+0iToQjh+Ho+HVYIgqjrrh5WBwkdxkR2vrfPgqoCRRyKnD&#10;Z0lssd2tDxgRoR0kBvOgVbFQWqdLbAUx047sGD4i41yYcB7zRKsXSG1IldOL/miYnL/QebdeHXzM&#10;R/P+bPbWBTrUJsYUqXPa3I50JCnstYgYbb4LSVSRWPlroh0TCR1REst6j2GLP2b1HuOmDrRIkcGE&#10;g3GpDLiGppf8Fj+7lGWDR55P6o5iqFc1Fp7TUdctKyj22EQOmvnyli8UvvQt8+GBORwobA5cEuEe&#10;D6kBXwlaiZINuN9/+h7x2OeopaTCAc2p/7VlTlCivxmcgKv+YBAnurn08EeJO9WsTjVmW84A26eP&#10;68jyJEZ80J0oHZRPuEumMSqqmOEYO6ehE2ehWRu4i7iYThMIZ9iycGuWlkfXkeXYx4/1E3O2bfaA&#10;Y3IH3Siz8aueb7DR0tvpNsBCpYGIPDestvzj/KeOb3dVXDCn94Q6btTJMwAAAP//AwBQSwMEFAAG&#10;AAgAAAAhAJugKm3YAAAABAEAAA8AAABkcnMvZG93bnJldi54bWxMj81OwzAQhO9IvIO1SNyoTQ8F&#10;QpyqQlTygQuhElcn3sah/olst03fnoULXFY7mtXsN/V69o6dMOUxBgn3CwEMQx/NGAYJu4/t3SOw&#10;XHQw2sWAEi6YYd1cX9W6MvEc3vHUloFRSMiVlmBLmSrOc2/R67yIEwby9jF5XUimgZukzxTuHV8K&#10;seJej4E+WD3hi8X+0B69BNfZt4Sfaj/q1atX7VZ9qYuS8vZm3jwDKziXv2P4wSd0aIipi8dgMnMS&#10;qEj5neQ9iQeSHS1LAbyp+X/45hsAAP//AwBQSwECLQAUAAYACAAAACEAtoM4kv4AAADhAQAAEwAA&#10;AAAAAAAAAAAAAAAAAAAAW0NvbnRlbnRfVHlwZXNdLnhtbFBLAQItABQABgAIAAAAIQA4/SH/1gAA&#10;AJQBAAALAAAAAAAAAAAAAAAAAC8BAABfcmVscy8ucmVsc1BLAQItABQABgAIAAAAIQBEYTNhhQIA&#10;AJkFAAAOAAAAAAAAAAAAAAAAAC4CAABkcnMvZTJvRG9jLnhtbFBLAQItABQABgAIAAAAIQCboCpt&#10;2AAAAAQBAAAPAAAAAAAAAAAAAAAAAN8EAABkcnMvZG93bnJldi54bWxQSwUGAAAAAAQABADzAAAA&#10;5AUAAAAA&#10;" fillcolor="#bad8d4 [3205]" strokecolor="#d7d1cc" strokeweight=".25pt">
                <v:textbox style="mso-fit-shape-to-text:t" inset=",2.5mm,,2.5mm">
                  <w:txbxContent>
                    <w:p w14:paraId="3BE49A18" w14:textId="587A4E16" w:rsidR="004206F4" w:rsidRPr="000B6088" w:rsidRDefault="004206F4" w:rsidP="004206F4">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24127B0D" w14:textId="77777777" w:rsidR="00452B36" w:rsidRDefault="004206F4" w:rsidP="00273BE2">
                      <w:pPr>
                        <w:pStyle w:val="BodyText"/>
                        <w:numPr>
                          <w:ilvl w:val="0"/>
                          <w:numId w:val="21"/>
                        </w:numPr>
                      </w:pPr>
                      <w:r>
                        <w:t>Li</w:t>
                      </w:r>
                      <w:r w:rsidRPr="004206F4">
                        <w:t xml:space="preserve">ve-in carers may need to be targeted for more formal support. </w:t>
                      </w:r>
                    </w:p>
                    <w:p w14:paraId="7C78D7F8" w14:textId="545D8DB7" w:rsidR="004206F4" w:rsidRDefault="004206F4" w:rsidP="00273BE2">
                      <w:pPr>
                        <w:pStyle w:val="BodyText"/>
                        <w:numPr>
                          <w:ilvl w:val="0"/>
                          <w:numId w:val="21"/>
                        </w:numPr>
                      </w:pPr>
                      <w:r w:rsidRPr="004206F4">
                        <w:t xml:space="preserve">Policies should consider the particular needs of live-in carers who </w:t>
                      </w:r>
                      <w:r>
                        <w:t xml:space="preserve">are </w:t>
                      </w:r>
                      <w:r w:rsidRPr="004206F4">
                        <w:t xml:space="preserve">likely to have a high care index, be strained and help their care recipients with more personal and demanding tasks. </w:t>
                      </w:r>
                    </w:p>
                    <w:p w14:paraId="4BF85067" w14:textId="430233D7" w:rsidR="004206F4" w:rsidRPr="004206F4" w:rsidRDefault="004206F4" w:rsidP="00273BE2">
                      <w:pPr>
                        <w:pStyle w:val="BodyText"/>
                        <w:numPr>
                          <w:ilvl w:val="0"/>
                          <w:numId w:val="21"/>
                        </w:numPr>
                      </w:pPr>
                      <w:r w:rsidRPr="004206F4">
                        <w:t>Policies should endeavour to improve acceptance of, or reduce the stigma about, using services.</w:t>
                      </w:r>
                    </w:p>
                  </w:txbxContent>
                </v:textbox>
                <w10:anchorlock/>
              </v:shape>
            </w:pict>
          </mc:Fallback>
        </mc:AlternateContent>
      </w:r>
    </w:p>
    <w:p w14:paraId="19E53F79" w14:textId="77777777" w:rsidR="00AD41FC" w:rsidRDefault="00AD41FC" w:rsidP="00AD41FC"/>
    <w:p w14:paraId="13B5BD84" w14:textId="450D78B2" w:rsidR="002B60D0" w:rsidRPr="002B60D0" w:rsidRDefault="00DB5995" w:rsidP="007E147B">
      <w:pPr>
        <w:pStyle w:val="Heading2"/>
      </w:pPr>
      <w:bookmarkStart w:id="32" w:name="_Toc113022387"/>
      <w:r>
        <w:t>A</w:t>
      </w:r>
      <w:r w:rsidR="00AD41FC" w:rsidRPr="00A12FBC">
        <w:t>lternative supports for carers of older people.</w:t>
      </w:r>
      <w:bookmarkEnd w:id="32"/>
    </w:p>
    <w:p w14:paraId="7096DC9A" w14:textId="50440217" w:rsidR="00DB5995" w:rsidRDefault="00AD41FC" w:rsidP="00DB5995">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pPr>
      <w:r w:rsidRPr="002A2443">
        <w:t xml:space="preserve">Are there particular supports that would be needed to complement the introduction of an entitlement to extended unpaid leave? </w:t>
      </w:r>
    </w:p>
    <w:p w14:paraId="138C44D3" w14:textId="77777777" w:rsidR="00DB5995" w:rsidRDefault="00DB5995" w:rsidP="00DB5995">
      <w:pPr>
        <w:pStyle w:val="BodyText"/>
      </w:pPr>
    </w:p>
    <w:p w14:paraId="14C92322" w14:textId="5C110226" w:rsidR="00DD65ED" w:rsidRDefault="00DD65ED" w:rsidP="00DD65ED">
      <w:pPr>
        <w:pStyle w:val="Heading3"/>
      </w:pPr>
      <w:bookmarkStart w:id="33" w:name="_Toc113022388"/>
      <w:r>
        <w:lastRenderedPageBreak/>
        <w:t>Financial support</w:t>
      </w:r>
      <w:bookmarkEnd w:id="33"/>
    </w:p>
    <w:p w14:paraId="1A419B36" w14:textId="77777777" w:rsidR="00DD65ED" w:rsidRDefault="00DD65ED" w:rsidP="00DD65ED">
      <w:pPr>
        <w:rPr>
          <w:szCs w:val="24"/>
        </w:rPr>
      </w:pPr>
      <w:r>
        <w:rPr>
          <w:szCs w:val="24"/>
        </w:rPr>
        <w:t xml:space="preserve">Caregivers (particularly those living with the person they care for) report more difficulty managing on their income than non-caregivers. This is unsurprising given the associations between lower labour force participation and lower education levels and caregiving. </w:t>
      </w:r>
    </w:p>
    <w:p w14:paraId="2BD15F4B" w14:textId="77777777" w:rsidR="00DD65ED" w:rsidRDefault="00DD65ED" w:rsidP="00DD65ED">
      <w:pPr>
        <w:rPr>
          <w:szCs w:val="24"/>
        </w:rPr>
      </w:pPr>
    </w:p>
    <w:p w14:paraId="3A016E46" w14:textId="228D8FC6" w:rsidR="00DD65ED" w:rsidRDefault="00E03510" w:rsidP="00DD65ED">
      <w:pPr>
        <w:rPr>
          <w:szCs w:val="24"/>
        </w:rPr>
      </w:pPr>
      <w:r>
        <w:rPr>
          <w:szCs w:val="24"/>
        </w:rPr>
        <w:t xml:space="preserve">According to the ALSWH Major Report on Caregiving, </w:t>
      </w:r>
      <w:r w:rsidR="00DD65ED">
        <w:rPr>
          <w:szCs w:val="24"/>
        </w:rPr>
        <w:t xml:space="preserve">at age 37-42, </w:t>
      </w:r>
      <w:r w:rsidR="00DD65ED">
        <w:rPr>
          <w:rFonts w:eastAsia="Times New Roman" w:cstheme="minorHAnsi"/>
          <w:color w:val="212121"/>
          <w:szCs w:val="24"/>
          <w:lang w:eastAsia="en-AU"/>
        </w:rPr>
        <w:t xml:space="preserve">26% of live-in carers and 20% of live-elsewhere carers </w:t>
      </w:r>
      <w:r w:rsidR="00DD65ED">
        <w:rPr>
          <w:szCs w:val="24"/>
        </w:rPr>
        <w:t xml:space="preserve">from the 1972-78 cohort </w:t>
      </w:r>
      <w:r w:rsidR="00DD65ED">
        <w:rPr>
          <w:rFonts w:eastAsia="Times New Roman" w:cstheme="minorHAnsi"/>
          <w:color w:val="212121"/>
          <w:szCs w:val="24"/>
          <w:lang w:eastAsia="en-AU"/>
        </w:rPr>
        <w:t xml:space="preserve">found it </w:t>
      </w:r>
      <w:r w:rsidR="00DD65ED" w:rsidRPr="00C80E62">
        <w:rPr>
          <w:rFonts w:eastAsia="Times New Roman" w:cstheme="minorHAnsi"/>
          <w:color w:val="212121"/>
          <w:szCs w:val="24"/>
          <w:lang w:eastAsia="en-AU"/>
        </w:rPr>
        <w:t>impossible or v</w:t>
      </w:r>
      <w:r w:rsidR="00DD65ED">
        <w:rPr>
          <w:rFonts w:eastAsia="Times New Roman" w:cstheme="minorHAnsi"/>
          <w:color w:val="212121"/>
          <w:szCs w:val="24"/>
          <w:lang w:eastAsia="en-AU"/>
        </w:rPr>
        <w:t>ery</w:t>
      </w:r>
      <w:r w:rsidR="00DD65ED" w:rsidRPr="00C80E62">
        <w:rPr>
          <w:rFonts w:eastAsia="Times New Roman" w:cstheme="minorHAnsi"/>
          <w:color w:val="212121"/>
          <w:szCs w:val="24"/>
          <w:lang w:eastAsia="en-AU"/>
        </w:rPr>
        <w:t xml:space="preserve"> difficult to </w:t>
      </w:r>
      <w:r w:rsidR="00DD65ED">
        <w:rPr>
          <w:rFonts w:eastAsia="Times New Roman" w:cstheme="minorHAnsi"/>
          <w:color w:val="212121"/>
          <w:szCs w:val="24"/>
          <w:lang w:eastAsia="en-AU"/>
        </w:rPr>
        <w:t xml:space="preserve">manage on their income. In comparison,13% of non-caregivers found it impossible to manage on their income </w:t>
      </w:r>
    </w:p>
    <w:p w14:paraId="1ABF5A8C" w14:textId="63F03CDC" w:rsidR="00DD65ED" w:rsidRDefault="00DD65ED" w:rsidP="00E03510">
      <w:pPr>
        <w:rPr>
          <w:szCs w:val="24"/>
        </w:rPr>
      </w:pPr>
    </w:p>
    <w:p w14:paraId="0F509A5B" w14:textId="7156B218" w:rsidR="00E03510" w:rsidRDefault="00DD65ED" w:rsidP="00E03510">
      <w:pPr>
        <w:rPr>
          <w:szCs w:val="24"/>
        </w:rPr>
      </w:pPr>
      <w:r>
        <w:rPr>
          <w:szCs w:val="24"/>
        </w:rPr>
        <w:t xml:space="preserve">In the 1946-51 cohort, </w:t>
      </w:r>
      <w:r w:rsidR="00E03510">
        <w:rPr>
          <w:szCs w:val="24"/>
        </w:rPr>
        <w:t>16% of live-in carers</w:t>
      </w:r>
      <w:r>
        <w:rPr>
          <w:szCs w:val="24"/>
        </w:rPr>
        <w:t xml:space="preserve"> and 10% of live-elsewhere carers</w:t>
      </w:r>
      <w:r w:rsidR="00E03510">
        <w:rPr>
          <w:szCs w:val="24"/>
        </w:rPr>
        <w:t xml:space="preserve"> aged 65-70 said it was impossible</w:t>
      </w:r>
      <w:r w:rsidR="00365B8B">
        <w:rPr>
          <w:szCs w:val="24"/>
        </w:rPr>
        <w:t xml:space="preserve"> or </w:t>
      </w:r>
      <w:r w:rsidR="00E03510">
        <w:rPr>
          <w:szCs w:val="24"/>
        </w:rPr>
        <w:t xml:space="preserve">very difficult to manage on their income. In comparison, 8% </w:t>
      </w:r>
      <w:r w:rsidR="00365B8B">
        <w:rPr>
          <w:szCs w:val="24"/>
        </w:rPr>
        <w:t xml:space="preserve">of </w:t>
      </w:r>
      <w:r w:rsidR="00E03510">
        <w:rPr>
          <w:szCs w:val="24"/>
        </w:rPr>
        <w:t xml:space="preserve">on-caregivers </w:t>
      </w:r>
      <w:r w:rsidR="00365B8B">
        <w:rPr>
          <w:szCs w:val="24"/>
        </w:rPr>
        <w:t>suffered</w:t>
      </w:r>
      <w:r w:rsidR="00E03510">
        <w:rPr>
          <w:szCs w:val="24"/>
        </w:rPr>
        <w:t xml:space="preserve"> the same </w:t>
      </w:r>
      <w:r w:rsidR="00365B8B">
        <w:rPr>
          <w:szCs w:val="24"/>
        </w:rPr>
        <w:t>financial stress</w:t>
      </w:r>
      <w:r w:rsidR="00E03510">
        <w:rPr>
          <w:szCs w:val="24"/>
        </w:rPr>
        <w:t xml:space="preserve">. </w:t>
      </w:r>
      <w:r w:rsidR="00507B7F">
        <w:rPr>
          <w:szCs w:val="24"/>
        </w:rPr>
        <w:fldChar w:fldCharType="begin"/>
      </w:r>
      <w:r w:rsidR="000F4423">
        <w:rPr>
          <w:szCs w:val="24"/>
        </w:rPr>
        <w:instrText xml:space="preserve"> ADDIN EN.CITE &lt;EndNote&gt;&lt;Cite&gt;&lt;Author&gt;Tooth L&lt;/Author&gt;&lt;Year&gt;2018&lt;/Year&gt;&lt;RecNum&gt;16&lt;/RecNum&gt;&lt;DisplayText&gt;(Tooth L, 2018)&lt;/DisplayText&gt;&lt;record&gt;&lt;rec-number&gt;16&lt;/rec-number&gt;&lt;foreign-keys&gt;&lt;key app="EN" db-id="xx2v2zadpfd5z8etd04xdztg9xtdpff2szrs" timestamp="1661136169"&gt;16&lt;/key&gt;&lt;/foreign-keys&gt;&lt;ref-type name="Report"&gt;27&lt;/ref-type&gt;&lt;contributors&gt;&lt;authors&gt;&lt;author&gt;Tooth L, Loxton D, Chan H, Coombe J, Dobson A, Hockey R, Townsend N, Byles J &amp;amp; Mishra G. &lt;/author&gt;&lt;/authors&gt;&lt;subsidiary-authors&gt;&lt;author&gt;Report prepared for the Australian Government Department of Health&lt;/author&gt;&lt;/subsidiary-authors&gt;&lt;/contributors&gt;&lt;titles&gt;&lt;title&gt;From child care to elder care: Findings from the Australian Longitudinal Study on Women’s Health.&lt;/title&gt;&lt;/titles&gt;&lt;dates&gt;&lt;year&gt;2018&lt;/year&gt;&lt;pub-dates&gt;&lt;date&gt;May&lt;/date&gt;&lt;/pub-dates&gt;&lt;/dates&gt;&lt;urls&gt;&lt;/urls&gt;&lt;/record&gt;&lt;/Cite&gt;&lt;/EndNote&gt;</w:instrText>
      </w:r>
      <w:r w:rsidR="00507B7F">
        <w:rPr>
          <w:szCs w:val="24"/>
        </w:rPr>
        <w:fldChar w:fldCharType="separate"/>
      </w:r>
      <w:r w:rsidR="000F4423">
        <w:rPr>
          <w:noProof/>
          <w:szCs w:val="24"/>
        </w:rPr>
        <w:t>(</w:t>
      </w:r>
      <w:hyperlink w:anchor="_ENREF_12" w:tooltip="Tooth L, 2018 #16" w:history="1">
        <w:r w:rsidR="000F4423">
          <w:rPr>
            <w:noProof/>
            <w:szCs w:val="24"/>
          </w:rPr>
          <w:t>Tooth L, 2018</w:t>
        </w:r>
      </w:hyperlink>
      <w:r w:rsidR="000F4423">
        <w:rPr>
          <w:noProof/>
          <w:szCs w:val="24"/>
        </w:rPr>
        <w:t>)</w:t>
      </w:r>
      <w:r w:rsidR="00507B7F">
        <w:rPr>
          <w:szCs w:val="24"/>
        </w:rPr>
        <w:fldChar w:fldCharType="end"/>
      </w:r>
      <w:r>
        <w:rPr>
          <w:szCs w:val="24"/>
        </w:rPr>
        <w:t xml:space="preserve">.  </w:t>
      </w:r>
    </w:p>
    <w:p w14:paraId="223E48FC" w14:textId="77777777" w:rsidR="00E03510" w:rsidRDefault="00E03510" w:rsidP="00E03510">
      <w:pPr>
        <w:rPr>
          <w:szCs w:val="24"/>
        </w:rPr>
      </w:pPr>
    </w:p>
    <w:p w14:paraId="4A82C0AA" w14:textId="02C54372" w:rsidR="00E03510" w:rsidRDefault="00365B8B" w:rsidP="00E03510">
      <w:pPr>
        <w:rPr>
          <w:rFonts w:eastAsia="Times New Roman" w:cstheme="minorHAnsi"/>
          <w:color w:val="212121"/>
          <w:szCs w:val="24"/>
          <w:lang w:eastAsia="en-AU"/>
        </w:rPr>
      </w:pPr>
      <w:r>
        <w:rPr>
          <w:rFonts w:eastAsia="Times New Roman" w:cstheme="minorHAnsi"/>
          <w:color w:val="212121"/>
          <w:szCs w:val="24"/>
          <w:lang w:eastAsia="en-AU"/>
        </w:rPr>
        <w:t>While access to unpaid leave will guarantee a job to return to, it may exacerbate the financial stress experienced by</w:t>
      </w:r>
      <w:r w:rsidR="00792151">
        <w:rPr>
          <w:rFonts w:eastAsia="Times New Roman" w:cstheme="minorHAnsi"/>
          <w:color w:val="212121"/>
          <w:szCs w:val="24"/>
          <w:lang w:eastAsia="en-AU"/>
        </w:rPr>
        <w:t xml:space="preserve"> many carers. </w:t>
      </w:r>
    </w:p>
    <w:p w14:paraId="64B90BA8" w14:textId="77777777" w:rsidR="00DB5995" w:rsidRDefault="00DB5995" w:rsidP="00E03510">
      <w:pPr>
        <w:rPr>
          <w:rFonts w:eastAsia="Times New Roman" w:cstheme="minorHAnsi"/>
          <w:color w:val="212121"/>
          <w:szCs w:val="24"/>
          <w:lang w:eastAsia="en-AU"/>
        </w:rPr>
      </w:pPr>
    </w:p>
    <w:p w14:paraId="4B6ED815" w14:textId="766489AC" w:rsidR="00365B8B" w:rsidRDefault="00365B8B" w:rsidP="00E03510">
      <w:pPr>
        <w:rPr>
          <w:rFonts w:eastAsia="Times New Roman" w:cstheme="minorHAnsi"/>
          <w:color w:val="212121"/>
          <w:szCs w:val="24"/>
          <w:lang w:eastAsia="en-AU"/>
        </w:rPr>
      </w:pPr>
    </w:p>
    <w:p w14:paraId="0A0288D8" w14:textId="1B253CB4" w:rsidR="00365B8B" w:rsidRDefault="00365B8B" w:rsidP="00E03510">
      <w:pPr>
        <w:rPr>
          <w:szCs w:val="24"/>
        </w:rPr>
      </w:pPr>
      <w:r w:rsidRPr="000B6088">
        <w:rPr>
          <w:noProof/>
          <w:lang w:val="en-GB" w:eastAsia="en-GB"/>
        </w:rPr>
        <mc:AlternateContent>
          <mc:Choice Requires="wps">
            <w:drawing>
              <wp:inline distT="0" distB="0" distL="0" distR="0" wp14:anchorId="7E968BBF" wp14:editId="30741F5F">
                <wp:extent cx="5759450" cy="1625600"/>
                <wp:effectExtent l="0" t="0" r="12700" b="12700"/>
                <wp:docPr id="9" name="Text Box 9"/>
                <wp:cNvGraphicFramePr/>
                <a:graphic xmlns:a="http://schemas.openxmlformats.org/drawingml/2006/main">
                  <a:graphicData uri="http://schemas.microsoft.com/office/word/2010/wordprocessingShape">
                    <wps:wsp>
                      <wps:cNvSpPr txBox="1"/>
                      <wps:spPr>
                        <a:xfrm>
                          <a:off x="0" y="0"/>
                          <a:ext cx="5759450" cy="1625600"/>
                        </a:xfrm>
                        <a:prstGeom prst="rect">
                          <a:avLst/>
                        </a:prstGeom>
                        <a:solidFill>
                          <a:schemeClr val="accent2"/>
                        </a:solidFill>
                        <a:ln w="3175">
                          <a:solidFill>
                            <a:srgbClr val="D7D1CC"/>
                          </a:solidFill>
                        </a:ln>
                        <a:effectLst/>
                      </wps:spPr>
                      <wps:style>
                        <a:lnRef idx="0">
                          <a:schemeClr val="accent1"/>
                        </a:lnRef>
                        <a:fillRef idx="0">
                          <a:schemeClr val="accent1"/>
                        </a:fillRef>
                        <a:effectRef idx="0">
                          <a:schemeClr val="accent1"/>
                        </a:effectRef>
                        <a:fontRef idx="minor">
                          <a:schemeClr val="dk1"/>
                        </a:fontRef>
                      </wps:style>
                      <wps:txbx>
                        <w:txbxContent>
                          <w:p w14:paraId="2A2D1CAD" w14:textId="77777777" w:rsidR="00365B8B" w:rsidRPr="000B6088" w:rsidRDefault="00365B8B" w:rsidP="00365B8B">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3A588D3E" w14:textId="65987D59" w:rsidR="00365B8B" w:rsidRPr="004206F4" w:rsidRDefault="00365B8B" w:rsidP="00273BE2">
                            <w:pPr>
                              <w:pStyle w:val="BodyText"/>
                              <w:numPr>
                                <w:ilvl w:val="0"/>
                                <w:numId w:val="21"/>
                              </w:numPr>
                            </w:pPr>
                            <w:r>
                              <w:t xml:space="preserve">A carer’s leave payment, similar to the </w:t>
                            </w:r>
                            <w:r w:rsidR="00792151">
                              <w:t xml:space="preserve">Parental Leave Pay offered by the Australian Government would reduce the financial impact of taking unpaid leave to provide care and improve the wellbeing of carers. </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7E968BBF" id="Text Box 9" o:spid="_x0000_s1034" type="#_x0000_t202" style="width:453.5pt;height:1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xY2hwIAAJoFAAAOAAAAZHJzL2Uyb0RvYy54bWysVN1v2yAQf5+0/wHxvjrOmn5EdaosUaZJ&#10;VVutnfpMMCRomGNAYmd/fQ9sJ2m7PXSaH/DB/biPH3d3dd1UmmyF8wpMQfOTASXCcCiVWRX0x+Pi&#10;0wUlPjBTMg1GFHQnPL2efPxwVduxGMIadCkcQSPGj2tb0HUIdpxlnq9FxfwJWGFQKcFVLODWrbLS&#10;sRqtVzobDgZnWQ2utA648B5P562STpJ9KQUPd1J6EYguKMYW0urSuoxrNrli45Vjdq14Fwb7hygq&#10;pgw63Zuas8DIxqk3pirFHXiQ4YRDlYGUiouUA2aTD15l87BmVqRckBxv9zT5/2eW324f7L0jofkC&#10;DT5gJKS2fuzxMObTSFfFP0ZKUI8U7va0iSYQjoej89Hl6QhVHHX52XB0NkjEZofr1vnwVUBFolBQ&#10;h++S6GLbGx/QJUJ7SPTmQatyobROm1gLYqYd2TJ8Rca5MGEYA8VbL5DakLqgn/PzUTL+Qufdarm3&#10;MT+f57PZWxNoUJvoU6TS6WI78JGksNMiYrT5LiRRZaLlr4EmRpNdREeUxLTec7HDH6J6z+U2j94z&#10;mLC/XCkDrqXpJb/lzz5k2eKR56O8oxiaZYOJF/SiL5cllDusIgdtg3nLFwpf+ob5cM8cdhRWB06J&#10;cIeL1ICvBJ1EyRrc7z+dRzwWOmopqbFDC+p/bZgTlOhvBlvgMj89jS3dbgb4UeKONctjjdlUM8Dy&#10;yXEeWZ7EiA+6F6WD6gmHyTR6RRUzHH0XNPTiLLRzA4cRF9NpAmETWxZuzIPl0XR8pFjHj80Tc7Yr&#10;9oB9cgt9L7Pxq5pvsal+7HQTYKFSQ0SeW1Y7/nEApIrvhlWcMMf7hDqM1MkzAAAA//8DAFBLAwQU&#10;AAYACAAAACEAIwIQEtoAAAAFAQAADwAAAGRycy9kb3ducmV2LnhtbEyPT0vEMBDF74LfIYzgzU1c&#10;sGptuoi4kIMXq+B12sw21fwpSXa3++2NXvTy4PGG937TbBZn2YFimoKXcL0SwMgPQU9+lPD+tr26&#10;A5Yyeo02eJJwogSb9vyswVqHo3+lQ5dHVkp8qlGCyXmuOU+DIYdpFWbyJduF6DAXG0euIx5LubN8&#10;LUTFHU6+LBic6cnQ8NXtnQTbm5dIH2o3YfXsVLdVn+qkpLy8WB4fgGVa8t8x/OAXdGgLUx/2Xidm&#10;JZRH8q+W7F7cFttLWN9UAnjb8P/07TcAAAD//wMAUEsBAi0AFAAGAAgAAAAhALaDOJL+AAAA4QEA&#10;ABMAAAAAAAAAAAAAAAAAAAAAAFtDb250ZW50X1R5cGVzXS54bWxQSwECLQAUAAYACAAAACEAOP0h&#10;/9YAAACUAQAACwAAAAAAAAAAAAAAAAAvAQAAX3JlbHMvLnJlbHNQSwECLQAUAAYACAAAACEA+ucW&#10;NocCAACaBQAADgAAAAAAAAAAAAAAAAAuAgAAZHJzL2Uyb0RvYy54bWxQSwECLQAUAAYACAAAACEA&#10;IwIQEtoAAAAFAQAADwAAAAAAAAAAAAAAAADhBAAAZHJzL2Rvd25yZXYueG1sUEsFBgAAAAAEAAQA&#10;8wAAAOgFAAAAAA==&#10;" fillcolor="#bad8d4 [3205]" strokecolor="#d7d1cc" strokeweight=".25pt">
                <v:textbox style="mso-fit-shape-to-text:t" inset=",2.5mm,,2.5mm">
                  <w:txbxContent>
                    <w:p w14:paraId="2A2D1CAD" w14:textId="77777777" w:rsidR="00365B8B" w:rsidRPr="000B6088" w:rsidRDefault="00365B8B" w:rsidP="00365B8B">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Pr>
                          <w:rFonts w:cstheme="minorHAnsi"/>
                          <w:b/>
                          <w:color w:val="000000" w:themeColor="text1"/>
                          <w:sz w:val="20"/>
                          <w:szCs w:val="20"/>
                          <w14:textOutline w14:w="9525" w14:cap="rnd" w14:cmpd="sng" w14:algn="ctr">
                            <w14:noFill/>
                            <w14:prstDash w14:val="solid"/>
                            <w14:bevel/>
                          </w14:textOutline>
                        </w:rPr>
                        <w:t>s</w:t>
                      </w:r>
                      <w:r w:rsidRPr="000B6088">
                        <w:rPr>
                          <w:rFonts w:cstheme="minorHAnsi"/>
                          <w:b/>
                          <w:color w:val="000000" w:themeColor="text1"/>
                          <w:sz w:val="20"/>
                          <w:szCs w:val="20"/>
                          <w14:textOutline w14:w="9525" w14:cap="rnd" w14:cmpd="sng" w14:algn="ctr">
                            <w14:noFill/>
                            <w14:prstDash w14:val="solid"/>
                            <w14:bevel/>
                          </w14:textOutline>
                        </w:rPr>
                        <w:t>:</w:t>
                      </w:r>
                      <w:r w:rsidRPr="000B6088">
                        <w:rPr>
                          <w:rFonts w:cstheme="minorHAnsi"/>
                          <w:b/>
                          <w:sz w:val="20"/>
                          <w:szCs w:val="20"/>
                          <w14:textOutline w14:w="9525" w14:cap="rnd" w14:cmpd="sng" w14:algn="ctr">
                            <w14:noFill/>
                            <w14:prstDash w14:val="solid"/>
                            <w14:bevel/>
                          </w14:textOutline>
                        </w:rPr>
                        <w:t xml:space="preserve"> </w:t>
                      </w:r>
                    </w:p>
                    <w:p w14:paraId="3A588D3E" w14:textId="65987D59" w:rsidR="00365B8B" w:rsidRPr="004206F4" w:rsidRDefault="00365B8B" w:rsidP="00273BE2">
                      <w:pPr>
                        <w:pStyle w:val="BodyText"/>
                        <w:numPr>
                          <w:ilvl w:val="0"/>
                          <w:numId w:val="21"/>
                        </w:numPr>
                      </w:pPr>
                      <w:r>
                        <w:t xml:space="preserve">A carer’s leave payment, similar to the </w:t>
                      </w:r>
                      <w:r w:rsidR="00792151">
                        <w:t xml:space="preserve">Parental Leave Pay offered by the Australian Government would reduce the financial impact of taking unpaid leave to provide care and improve the wellbeing of carers. </w:t>
                      </w:r>
                    </w:p>
                  </w:txbxContent>
                </v:textbox>
                <w10:anchorlock/>
              </v:shape>
            </w:pict>
          </mc:Fallback>
        </mc:AlternateContent>
      </w:r>
    </w:p>
    <w:p w14:paraId="05D06075" w14:textId="77777777" w:rsidR="00DB5995" w:rsidRDefault="00DB5995" w:rsidP="007E147B">
      <w:pPr>
        <w:pStyle w:val="Heading2"/>
      </w:pPr>
    </w:p>
    <w:p w14:paraId="326C8BA8" w14:textId="26110A00" w:rsidR="00514E55" w:rsidRPr="00514E55" w:rsidRDefault="00967200" w:rsidP="007E147B">
      <w:pPr>
        <w:pStyle w:val="Heading2"/>
      </w:pPr>
      <w:bookmarkStart w:id="34" w:name="_Toc113022389"/>
      <w:r>
        <w:t>H</w:t>
      </w:r>
      <w:r w:rsidR="00AD41FC">
        <w:t>ow we should consider whether reforms to supports for carers of older people should apply to other carers too.</w:t>
      </w:r>
      <w:bookmarkEnd w:id="34"/>
    </w:p>
    <w:p w14:paraId="08A55677" w14:textId="354EC53D" w:rsidR="005A4A9E" w:rsidRPr="00514E55" w:rsidRDefault="00AD41FC" w:rsidP="00514E55">
      <w:pPr>
        <w:pStyle w:val="BodyText"/>
        <w:pBdr>
          <w:top w:val="single" w:sz="18" w:space="1" w:color="AB8BBA" w:themeColor="background1" w:themeShade="BF"/>
          <w:left w:val="single" w:sz="18" w:space="4" w:color="AB8BBA" w:themeColor="background1" w:themeShade="BF"/>
          <w:bottom w:val="single" w:sz="18" w:space="1" w:color="AB8BBA" w:themeColor="background1" w:themeShade="BF"/>
          <w:right w:val="single" w:sz="18" w:space="4" w:color="AB8BBA" w:themeColor="background1" w:themeShade="BF"/>
        </w:pBdr>
        <w:rPr>
          <w:i/>
          <w:iCs/>
        </w:rPr>
      </w:pPr>
      <w:r w:rsidRPr="00D4705E">
        <w:rPr>
          <w:i/>
          <w:iCs/>
        </w:rPr>
        <w:t>Are there reasons to have different policies for informal carers of older people than for informal carers of other types of people?</w:t>
      </w:r>
    </w:p>
    <w:p w14:paraId="149D7621" w14:textId="77777777" w:rsidR="00DB5995" w:rsidRDefault="00DB5995" w:rsidP="00273BE2">
      <w:pPr>
        <w:pStyle w:val="BodyText"/>
        <w:rPr>
          <w:rStyle w:val="cf01"/>
          <w:rFonts w:asciiTheme="minorHAnsi" w:hAnsiTheme="minorHAnsi" w:cstheme="minorBidi"/>
          <w:sz w:val="22"/>
          <w:szCs w:val="22"/>
        </w:rPr>
      </w:pPr>
    </w:p>
    <w:p w14:paraId="403B2A57" w14:textId="46BA3F57" w:rsidR="00967200" w:rsidRDefault="00967200" w:rsidP="00273BE2">
      <w:pPr>
        <w:pStyle w:val="BodyText"/>
        <w:rPr>
          <w:rStyle w:val="cf01"/>
          <w:rFonts w:asciiTheme="minorHAnsi" w:hAnsiTheme="minorHAnsi" w:cstheme="minorBidi"/>
          <w:sz w:val="22"/>
          <w:szCs w:val="22"/>
        </w:rPr>
      </w:pPr>
      <w:r w:rsidRPr="00C62DB7">
        <w:rPr>
          <w:rStyle w:val="cf01"/>
          <w:rFonts w:asciiTheme="minorHAnsi" w:hAnsiTheme="minorHAnsi" w:cstheme="minorBidi"/>
          <w:sz w:val="22"/>
          <w:szCs w:val="22"/>
        </w:rPr>
        <w:t>The Australian Longitudinal Study on Women</w:t>
      </w:r>
      <w:r w:rsidR="001B0B19">
        <w:rPr>
          <w:rStyle w:val="cf01"/>
          <w:rFonts w:asciiTheme="minorHAnsi" w:hAnsiTheme="minorHAnsi" w:cstheme="minorBidi"/>
          <w:sz w:val="22"/>
          <w:szCs w:val="22"/>
        </w:rPr>
        <w:t>’</w:t>
      </w:r>
      <w:r w:rsidRPr="00C62DB7">
        <w:rPr>
          <w:rStyle w:val="cf01"/>
          <w:rFonts w:asciiTheme="minorHAnsi" w:hAnsiTheme="minorHAnsi" w:cstheme="minorBidi"/>
          <w:sz w:val="22"/>
          <w:szCs w:val="22"/>
        </w:rPr>
        <w:t>s Health strongly supports the provision of carer</w:t>
      </w:r>
      <w:r w:rsidR="001B0B19">
        <w:rPr>
          <w:rStyle w:val="cf01"/>
          <w:rFonts w:asciiTheme="minorHAnsi" w:hAnsiTheme="minorHAnsi" w:cstheme="minorBidi"/>
          <w:sz w:val="22"/>
          <w:szCs w:val="22"/>
        </w:rPr>
        <w:t>’</w:t>
      </w:r>
      <w:r w:rsidRPr="00C62DB7">
        <w:rPr>
          <w:rStyle w:val="cf01"/>
          <w:rFonts w:asciiTheme="minorHAnsi" w:hAnsiTheme="minorHAnsi" w:cstheme="minorBidi"/>
          <w:sz w:val="22"/>
          <w:szCs w:val="22"/>
        </w:rPr>
        <w:t>s leave and other supports for anyone caring for another person due to an illness, disability, or frailty in old age. These measures will support the health and wellbeing of all Australians</w:t>
      </w:r>
      <w:r w:rsidR="00C62DB7" w:rsidRPr="00C62DB7">
        <w:rPr>
          <w:rStyle w:val="cf01"/>
          <w:rFonts w:asciiTheme="minorHAnsi" w:hAnsiTheme="minorHAnsi" w:cstheme="minorBidi"/>
          <w:sz w:val="22"/>
          <w:szCs w:val="22"/>
        </w:rPr>
        <w:t xml:space="preserve">. </w:t>
      </w:r>
    </w:p>
    <w:p w14:paraId="3CB655EC" w14:textId="66D3DE20" w:rsidR="006A3499" w:rsidRDefault="00432F2B" w:rsidP="00514E55">
      <w:pPr>
        <w:pStyle w:val="BodyText"/>
      </w:pPr>
      <w:r>
        <w:t>T</w:t>
      </w:r>
      <w:r w:rsidR="00C62DB7">
        <w:t xml:space="preserve">he majority </w:t>
      </w:r>
      <w:r>
        <w:t xml:space="preserve">(58%) </w:t>
      </w:r>
      <w:r w:rsidR="00C62DB7">
        <w:t>of women from the 1946-51 cohort were caring for their parents</w:t>
      </w:r>
      <w:r>
        <w:t>/</w:t>
      </w:r>
      <w:r w:rsidR="00C62DB7">
        <w:t>parents-in-law or spouse/partner</w:t>
      </w:r>
      <w:r>
        <w:t xml:space="preserve"> at age 65-70. However</w:t>
      </w:r>
      <w:r w:rsidR="00113080">
        <w:t>,</w:t>
      </w:r>
      <w:r>
        <w:t xml:space="preserve"> a</w:t>
      </w:r>
      <w:r w:rsidR="00C62DB7">
        <w:t xml:space="preserve">bout 10% of </w:t>
      </w:r>
      <w:r>
        <w:t xml:space="preserve">women in late mid-age </w:t>
      </w:r>
      <w:r w:rsidR="00C62DB7">
        <w:t xml:space="preserve">were caring for </w:t>
      </w:r>
      <w:r>
        <w:t>their</w:t>
      </w:r>
      <w:r w:rsidR="00C62DB7">
        <w:t xml:space="preserve"> child.</w:t>
      </w:r>
      <w:r>
        <w:t xml:space="preserve"> While this could be due to a long-term disability, participant comments in the surveys often talk about the toll of caring for adult children after surgery or a cancer diagnosis</w:t>
      </w:r>
      <w:r w:rsidR="000F4423">
        <w:t xml:space="preserve"> </w:t>
      </w:r>
      <w:r w:rsidR="000F4423">
        <w:fldChar w:fldCharType="begin"/>
      </w:r>
      <w:r w:rsidR="000F4423">
        <w:instrText xml:space="preserve"> ADDIN EN.CITE &lt;EndNote&gt;&lt;Cite&gt;&lt;Author&gt;Tooth L&lt;/Author&gt;&lt;Year&gt;2018&lt;/Year&gt;&lt;RecNum&gt;16&lt;/RecNum&gt;&lt;DisplayText&gt;(Tooth L, 2018)&lt;/DisplayText&gt;&lt;record&gt;&lt;rec-number&gt;16&lt;/rec-number&gt;&lt;foreign-keys&gt;&lt;key app="EN" db-id="xx2v2zadpfd5z8etd04xdztg9xtdpff2szrs" timestamp="1661136169"&gt;16&lt;/key&gt;&lt;/foreign-keys&gt;&lt;ref-type name="Report"&gt;27&lt;/ref-type&gt;&lt;contributors&gt;&lt;authors&gt;&lt;author&gt;Tooth L, Loxton D, Chan H, Coombe J, Dobson A, Hockey R, Townsend N, Byles J &amp;amp; Mishra G. &lt;/author&gt;&lt;/authors&gt;&lt;subsidiary-authors&gt;&lt;author&gt;Report prepared for the Australian Government Department of Health&lt;/author&gt;&lt;/subsidiary-authors&gt;&lt;/contributors&gt;&lt;titles&gt;&lt;title&gt;From child care to elder care: Findings from the Australian Longitudinal Study on Women’s Health.&lt;/title&gt;&lt;/titles&gt;&lt;dates&gt;&lt;year&gt;2018&lt;/year&gt;&lt;pub-dates&gt;&lt;date&gt;May&lt;/date&gt;&lt;/pub-dates&gt;&lt;/dates&gt;&lt;urls&gt;&lt;/urls&gt;&lt;/record&gt;&lt;/Cite&gt;&lt;/EndNote&gt;</w:instrText>
      </w:r>
      <w:r w:rsidR="000F4423">
        <w:fldChar w:fldCharType="separate"/>
      </w:r>
      <w:r w:rsidR="000F4423">
        <w:rPr>
          <w:noProof/>
        </w:rPr>
        <w:t>(</w:t>
      </w:r>
      <w:hyperlink w:anchor="_ENREF_12" w:tooltip="Tooth L, 2018 #16" w:history="1">
        <w:r w:rsidR="000F4423">
          <w:rPr>
            <w:noProof/>
          </w:rPr>
          <w:t>Tooth L, 2018</w:t>
        </w:r>
      </w:hyperlink>
      <w:r w:rsidR="000F4423">
        <w:rPr>
          <w:noProof/>
        </w:rPr>
        <w:t>)</w:t>
      </w:r>
      <w:r w:rsidR="000F4423">
        <w:fldChar w:fldCharType="end"/>
      </w:r>
      <w:r>
        <w:t xml:space="preserve">. </w:t>
      </w:r>
    </w:p>
    <w:p w14:paraId="092139C4" w14:textId="77777777" w:rsidR="00DB5995" w:rsidRPr="00514E55" w:rsidRDefault="00DB5995" w:rsidP="00514E55">
      <w:pPr>
        <w:pStyle w:val="BodyText"/>
      </w:pPr>
    </w:p>
    <w:p w14:paraId="3A0B102F" w14:textId="77777777" w:rsidR="006A3499" w:rsidRPr="000B6088" w:rsidRDefault="006A3499" w:rsidP="006A3499">
      <w:pPr>
        <w:rPr>
          <w:rFonts w:cstheme="minorHAnsi"/>
          <w:szCs w:val="20"/>
        </w:rPr>
      </w:pPr>
      <w:r w:rsidRPr="000B6088">
        <w:rPr>
          <w:rFonts w:cstheme="minorHAnsi"/>
          <w:noProof/>
          <w:color w:val="000000" w:themeColor="text1"/>
          <w:szCs w:val="20"/>
          <w:lang w:val="en-GB" w:eastAsia="en-GB"/>
        </w:rPr>
        <w:lastRenderedPageBreak/>
        <mc:AlternateContent>
          <mc:Choice Requires="wps">
            <w:drawing>
              <wp:inline distT="0" distB="0" distL="0" distR="0" wp14:anchorId="35FAFB28" wp14:editId="7882074B">
                <wp:extent cx="6120130" cy="1375404"/>
                <wp:effectExtent l="0" t="0" r="13970" b="13970"/>
                <wp:docPr id="17" name="Text Box 17"/>
                <wp:cNvGraphicFramePr/>
                <a:graphic xmlns:a="http://schemas.openxmlformats.org/drawingml/2006/main">
                  <a:graphicData uri="http://schemas.microsoft.com/office/word/2010/wordprocessingShape">
                    <wps:wsp>
                      <wps:cNvSpPr txBox="1"/>
                      <wps:spPr>
                        <a:xfrm>
                          <a:off x="0" y="0"/>
                          <a:ext cx="6120130" cy="1375404"/>
                        </a:xfrm>
                        <a:prstGeom prst="rect">
                          <a:avLst/>
                        </a:prstGeom>
                        <a:solidFill>
                          <a:schemeClr val="accent2"/>
                        </a:solidFill>
                        <a:ln w="3175">
                          <a:solidFill>
                            <a:srgbClr val="D7D1CC"/>
                          </a:solidFill>
                        </a:ln>
                        <a:effectLst/>
                      </wps:spPr>
                      <wps:style>
                        <a:lnRef idx="0">
                          <a:schemeClr val="accent1"/>
                        </a:lnRef>
                        <a:fillRef idx="0">
                          <a:schemeClr val="accent1"/>
                        </a:fillRef>
                        <a:effectRef idx="0">
                          <a:schemeClr val="accent1"/>
                        </a:effectRef>
                        <a:fontRef idx="minor">
                          <a:schemeClr val="dk1"/>
                        </a:fontRef>
                      </wps:style>
                      <wps:txbx>
                        <w:txbxContent>
                          <w:p w14:paraId="21DD73BF" w14:textId="77777777" w:rsidR="006A3499" w:rsidRPr="000B6088" w:rsidRDefault="006A3499" w:rsidP="006A3499">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sidRPr="000B6088">
                              <w:rPr>
                                <w:rFonts w:cstheme="minorHAnsi"/>
                                <w:b/>
                                <w:sz w:val="20"/>
                                <w:szCs w:val="20"/>
                                <w14:textOutline w14:w="9525" w14:cap="rnd" w14:cmpd="sng" w14:algn="ctr">
                                  <w14:noFill/>
                                  <w14:prstDash w14:val="solid"/>
                                  <w14:bevel/>
                                </w14:textOutline>
                              </w:rPr>
                              <w:t xml:space="preserve"> </w:t>
                            </w:r>
                          </w:p>
                          <w:p w14:paraId="47AE36B6" w14:textId="1C26CFA7" w:rsidR="006A3499" w:rsidRPr="000B6088" w:rsidRDefault="009D6006" w:rsidP="00E10F72">
                            <w:pPr>
                              <w:pStyle w:val="RecommendationText"/>
                              <w:numPr>
                                <w:ilvl w:val="0"/>
                                <w:numId w:val="22"/>
                              </w:numPr>
                              <w:rPr>
                                <w:rFonts w:asciiTheme="minorHAnsi" w:hAnsiTheme="minorHAnsi" w:cstheme="minorHAnsi"/>
                                <w:sz w:val="20"/>
                                <w:szCs w:val="20"/>
                                <w14:textOutline w14:w="9525" w14:cap="rnd" w14:cmpd="sng" w14:algn="ctr">
                                  <w14:noFill/>
                                  <w14:prstDash w14:val="solid"/>
                                  <w14:bevel/>
                                </w14:textOutline>
                              </w:rPr>
                            </w:pPr>
                            <w:r>
                              <w:rPr>
                                <w:rFonts w:asciiTheme="minorHAnsi" w:hAnsiTheme="minorHAnsi" w:cstheme="minorHAnsi"/>
                                <w:sz w:val="20"/>
                                <w:szCs w:val="20"/>
                                <w:lang w:val="en-AU"/>
                                <w14:textOutline w14:w="9525" w14:cap="rnd" w14:cmpd="sng" w14:algn="ctr">
                                  <w14:noFill/>
                                  <w14:prstDash w14:val="solid"/>
                                  <w14:bevel/>
                                </w14:textOutline>
                              </w:rPr>
                              <w:t xml:space="preserve">Carer’s Leave entitlements should be made available regardless of whether care is provided to someone because they are elderly, ill, or disabled.  </w:t>
                            </w:r>
                          </w:p>
                        </w:txbxContent>
                      </wps:txbx>
                      <wps:bodyPr rot="0" spcFirstLastPara="0" vertOverflow="overflow" horzOverflow="overflow" vert="horz" wrap="square" lIns="91440" tIns="90000" rIns="91440" bIns="90000" numCol="1" spcCol="0" rtlCol="0" fromWordArt="0" anchor="t" anchorCtr="0" forceAA="0" compatLnSpc="1">
                        <a:prstTxWarp prst="textNoShape">
                          <a:avLst/>
                        </a:prstTxWarp>
                        <a:spAutoFit/>
                      </wps:bodyPr>
                    </wps:wsp>
                  </a:graphicData>
                </a:graphic>
              </wp:inline>
            </w:drawing>
          </mc:Choice>
          <mc:Fallback xmlns:oel="http://schemas.microsoft.com/office/2019/extlst">
            <w:pict>
              <v:shape w14:anchorId="35FAFB28" id="Text Box 17" o:spid="_x0000_s1035" type="#_x0000_t202" style="width:481.9pt;height:10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74TgwIAAJoFAAAOAAAAZHJzL2Uyb0RvYy54bWysVEtPGzEQvlfqf7B8L5uFACVig9JEqSoh&#10;QA0VZ8drJ1a9Htd2spv+esbe3SRAe6BqDs545/M8vnlc3zSVJlvhvAJT0PxkQIkwHEplVgX98Tj/&#10;9JkSH5gpmQYjCroTnt6MP364ru1InMIadCkcQSPGj2pb0HUIdpRlnq9FxfwJWGFQKcFVLODVrbLS&#10;sRqtVzo7HQwushpcaR1w4T1+nbVKOk72pRQ83EvpRSC6oBhbSKdL5zKe2fiajVaO2bXiXRjsH6Ko&#10;mDLodG9qxgIjG6femKoUd+BBhhMOVQZSKi5SDphNPniVzWLNrEi5IDne7mny/88sv9su7IMjofkC&#10;DRYwElJbP/L4MebTSFfFf4yUoB4p3O1pE00gHD9e5Bj7Gao46vKzy/PhYBjtZIfn1vnwVUBFolBQ&#10;h3VJdLHtrQ8ttIdEbx60KudK63SJvSCm2pEtwyoyzoUJp52DF0htSF3Qs/zyPBl/ofNutdzbmF3O&#10;8un0rQmMWJvoU6TW6WI78JGksNMiYrT5LiRRZaLlr4EmRpNdREeUxLTe87DDH6J6z+M2j94zmLB/&#10;XCkDrqXpJb/lzz5k2eKxkEd5RzE0ywYTL+hV3y5LKHfYRQ7aAfOWzxVW+pb58MAcThR2B26JcI+H&#10;1IBVgk6iZA3u95++Rzw2OmopqXFCC+p/bZgTlOhvBkfgKh8O40i3lwH+KHHHmuWxxmyqKWD75LiP&#10;LE9ixAfdi9JB9YTLZBK9oooZjr4LGnpxGtq9gcuIi8kkgXCILQu3ZmF5NB2LFPv4sXliznbNHnBO&#10;7qCfZTZ61fMtNvWPnWwCzFUaiMhzy2rHPy6ANFLdsoob5vieUIeVOn4GAAD//wMAUEsDBBQABgAI&#10;AAAAIQCCzbZO2gAAAAUBAAAPAAAAZHJzL2Rvd25yZXYueG1sTI9PS8QwEMXvgt8hjODNTXeFoLXp&#10;IuJCDl6sgtdpM9tU86ck2d3utzd60cuD4Q3v/V6zXZxlR4ppCl7CelUBIz8EPflRwvvb7uYOWMro&#10;NdrgScKZEmzby4sGax1O/pWOXR5ZCfGpRgkm57nmPA2GHKZVmMkXbx+iw1zOOHId8VTCneWbqhLc&#10;4eRLg8GZngwNX93BSbC9eYn0ofYTimenup36VGcl5fXV8vgALNOS/57hB7+gQ1uY+nDwOjEroQzJ&#10;v1q8e3FbZvQSNmshgLcN/0/ffgMAAP//AwBQSwECLQAUAAYACAAAACEAtoM4kv4AAADhAQAAEwAA&#10;AAAAAAAAAAAAAAAAAAAAW0NvbnRlbnRfVHlwZXNdLnhtbFBLAQItABQABgAIAAAAIQA4/SH/1gAA&#10;AJQBAAALAAAAAAAAAAAAAAAAAC8BAABfcmVscy8ucmVsc1BLAQItABQABgAIAAAAIQAkb74TgwIA&#10;AJoFAAAOAAAAAAAAAAAAAAAAAC4CAABkcnMvZTJvRG9jLnhtbFBLAQItABQABgAIAAAAIQCCzbZO&#10;2gAAAAUBAAAPAAAAAAAAAAAAAAAAAN0EAABkcnMvZG93bnJldi54bWxQSwUGAAAAAAQABADzAAAA&#10;5AUAAAAA&#10;" fillcolor="#bad8d4 [3205]" strokecolor="#d7d1cc" strokeweight=".25pt">
                <v:textbox style="mso-fit-shape-to-text:t" inset=",2.5mm,,2.5mm">
                  <w:txbxContent>
                    <w:p w14:paraId="21DD73BF" w14:textId="77777777" w:rsidR="006A3499" w:rsidRPr="000B6088" w:rsidRDefault="006A3499" w:rsidP="006A3499">
                      <w:pPr>
                        <w:rPr>
                          <w:rFonts w:cstheme="minorHAnsi"/>
                          <w:b/>
                          <w:sz w:val="20"/>
                          <w:szCs w:val="20"/>
                          <w14:textOutline w14:w="9525" w14:cap="rnd" w14:cmpd="sng" w14:algn="ctr">
                            <w14:noFill/>
                            <w14:prstDash w14:val="solid"/>
                            <w14:bevel/>
                          </w14:textOutline>
                        </w:rPr>
                      </w:pPr>
                      <w:r w:rsidRPr="000B6088">
                        <w:rPr>
                          <w:rFonts w:cstheme="minorHAnsi"/>
                          <w:b/>
                          <w:color w:val="000000" w:themeColor="text1"/>
                          <w:sz w:val="20"/>
                          <w:szCs w:val="20"/>
                          <w14:textOutline w14:w="9525" w14:cap="rnd" w14:cmpd="sng" w14:algn="ctr">
                            <w14:noFill/>
                            <w14:prstDash w14:val="solid"/>
                            <w14:bevel/>
                          </w14:textOutline>
                        </w:rPr>
                        <w:t>Recommendation:</w:t>
                      </w:r>
                      <w:r w:rsidRPr="000B6088">
                        <w:rPr>
                          <w:rFonts w:cstheme="minorHAnsi"/>
                          <w:b/>
                          <w:sz w:val="20"/>
                          <w:szCs w:val="20"/>
                          <w14:textOutline w14:w="9525" w14:cap="rnd" w14:cmpd="sng" w14:algn="ctr">
                            <w14:noFill/>
                            <w14:prstDash w14:val="solid"/>
                            <w14:bevel/>
                          </w14:textOutline>
                        </w:rPr>
                        <w:t xml:space="preserve"> </w:t>
                      </w:r>
                    </w:p>
                    <w:p w14:paraId="47AE36B6" w14:textId="1C26CFA7" w:rsidR="006A3499" w:rsidRPr="000B6088" w:rsidRDefault="009D6006" w:rsidP="00E10F72">
                      <w:pPr>
                        <w:pStyle w:val="RecommendationText"/>
                        <w:numPr>
                          <w:ilvl w:val="0"/>
                          <w:numId w:val="22"/>
                        </w:numPr>
                        <w:rPr>
                          <w:rFonts w:asciiTheme="minorHAnsi" w:hAnsiTheme="minorHAnsi" w:cstheme="minorHAnsi"/>
                          <w:sz w:val="20"/>
                          <w:szCs w:val="20"/>
                          <w14:textOutline w14:w="9525" w14:cap="rnd" w14:cmpd="sng" w14:algn="ctr">
                            <w14:noFill/>
                            <w14:prstDash w14:val="solid"/>
                            <w14:bevel/>
                          </w14:textOutline>
                        </w:rPr>
                      </w:pPr>
                      <w:r>
                        <w:rPr>
                          <w:rFonts w:asciiTheme="minorHAnsi" w:hAnsiTheme="minorHAnsi" w:cstheme="minorHAnsi"/>
                          <w:sz w:val="20"/>
                          <w:szCs w:val="20"/>
                          <w:lang w:val="en-AU"/>
                          <w14:textOutline w14:w="9525" w14:cap="rnd" w14:cmpd="sng" w14:algn="ctr">
                            <w14:noFill/>
                            <w14:prstDash w14:val="solid"/>
                            <w14:bevel/>
                          </w14:textOutline>
                        </w:rPr>
                        <w:t xml:space="preserve">Carer’s Leave entitlements should be made available regardless of whether care is provided to someone because they are elderly, ill, or disabled.  </w:t>
                      </w:r>
                    </w:p>
                  </w:txbxContent>
                </v:textbox>
                <w10:anchorlock/>
              </v:shape>
            </w:pict>
          </mc:Fallback>
        </mc:AlternateContent>
      </w:r>
    </w:p>
    <w:p w14:paraId="55789F8F" w14:textId="77777777" w:rsidR="006A3499" w:rsidRPr="000B6088" w:rsidRDefault="006A3499" w:rsidP="006A3499">
      <w:pPr>
        <w:spacing w:after="160" w:line="259" w:lineRule="auto"/>
        <w:rPr>
          <w:rFonts w:cstheme="minorHAnsi"/>
          <w:color w:val="BFA358"/>
          <w:szCs w:val="20"/>
          <w:lang w:val="en-US"/>
        </w:rPr>
      </w:pPr>
    </w:p>
    <w:p w14:paraId="0CD70E21" w14:textId="6393CE42" w:rsidR="006A3499" w:rsidRPr="00176C24" w:rsidRDefault="006A3499" w:rsidP="00241009">
      <w:pPr>
        <w:pStyle w:val="Heading1"/>
      </w:pPr>
      <w:bookmarkStart w:id="35" w:name="_Toc506801548"/>
      <w:bookmarkStart w:id="36" w:name="_Toc113022390"/>
      <w:r w:rsidRPr="00176C24">
        <w:t>Contributing authors</w:t>
      </w:r>
      <w:bookmarkEnd w:id="35"/>
      <w:bookmarkEnd w:id="36"/>
    </w:p>
    <w:p w14:paraId="3145B3AC" w14:textId="43275C31" w:rsidR="006A3499" w:rsidRPr="00D70883" w:rsidRDefault="006A3499" w:rsidP="006A3499">
      <w:pPr>
        <w:rPr>
          <w:rFonts w:cstheme="minorHAnsi"/>
        </w:rPr>
      </w:pPr>
      <w:r w:rsidRPr="00D70883">
        <w:rPr>
          <w:rFonts w:cstheme="minorHAnsi"/>
        </w:rPr>
        <w:t xml:space="preserve">This submission </w:t>
      </w:r>
      <w:r>
        <w:rPr>
          <w:rFonts w:cstheme="minorHAnsi"/>
        </w:rPr>
        <w:t xml:space="preserve">has been written by the following </w:t>
      </w:r>
      <w:r w:rsidRPr="00D70883">
        <w:rPr>
          <w:rFonts w:cstheme="minorHAnsi"/>
        </w:rPr>
        <w:t>authors</w:t>
      </w:r>
      <w:r>
        <w:rPr>
          <w:rFonts w:cstheme="minorHAnsi"/>
        </w:rPr>
        <w:t xml:space="preserve">. </w:t>
      </w:r>
      <w:r w:rsidRPr="00D70883">
        <w:rPr>
          <w:rFonts w:cstheme="minorHAnsi"/>
        </w:rPr>
        <w:t xml:space="preserve"> </w:t>
      </w:r>
    </w:p>
    <w:p w14:paraId="5A0AA35A" w14:textId="77777777" w:rsidR="006A3499" w:rsidRPr="00D70883" w:rsidRDefault="006A3499" w:rsidP="006A3499">
      <w:pPr>
        <w:rPr>
          <w:rFonts w:cstheme="minorHAnsi"/>
        </w:rPr>
      </w:pPr>
    </w:p>
    <w:p w14:paraId="652993AD" w14:textId="6FDCE82D" w:rsidR="006A3499" w:rsidRPr="00176C24" w:rsidRDefault="009D6006" w:rsidP="00273BE2">
      <w:pPr>
        <w:pStyle w:val="ListParagraph0"/>
        <w:numPr>
          <w:ilvl w:val="0"/>
          <w:numId w:val="16"/>
        </w:numPr>
      </w:pPr>
      <w:r>
        <w:rPr>
          <w:b/>
        </w:rPr>
        <w:t>Helen Gray</w:t>
      </w:r>
      <w:r w:rsidR="006A3499" w:rsidRPr="00D70883">
        <w:rPr>
          <w:b/>
        </w:rPr>
        <w:t>,</w:t>
      </w:r>
      <w:r w:rsidR="006A3499" w:rsidRPr="00D70883">
        <w:t xml:space="preserve"> School of </w:t>
      </w:r>
      <w:r>
        <w:t>Public Health, The</w:t>
      </w:r>
      <w:r w:rsidR="005574CC">
        <w:t xml:space="preserve"> University</w:t>
      </w:r>
      <w:r w:rsidR="006A3499" w:rsidRPr="00D70883">
        <w:t xml:space="preserve"> </w:t>
      </w:r>
      <w:r>
        <w:t>of Queensland</w:t>
      </w:r>
      <w:r w:rsidR="006A3499">
        <w:br/>
      </w:r>
    </w:p>
    <w:p w14:paraId="071347D7" w14:textId="1E0DEAB7" w:rsidR="006A3499" w:rsidRPr="00D70883" w:rsidRDefault="009D6006" w:rsidP="00273BE2">
      <w:pPr>
        <w:pStyle w:val="ListParagraph0"/>
        <w:numPr>
          <w:ilvl w:val="0"/>
          <w:numId w:val="16"/>
        </w:numPr>
      </w:pPr>
      <w:r>
        <w:rPr>
          <w:b/>
        </w:rPr>
        <w:t xml:space="preserve">Associate </w:t>
      </w:r>
      <w:r w:rsidR="006A3499" w:rsidRPr="00D70883">
        <w:rPr>
          <w:b/>
        </w:rPr>
        <w:t xml:space="preserve">Professor </w:t>
      </w:r>
      <w:r>
        <w:rPr>
          <w:b/>
        </w:rPr>
        <w:t>Leigh Tooth</w:t>
      </w:r>
      <w:r w:rsidR="006A3499" w:rsidRPr="00D70883">
        <w:rPr>
          <w:b/>
        </w:rPr>
        <w:t>,</w:t>
      </w:r>
      <w:r w:rsidR="006A3499" w:rsidRPr="00D70883">
        <w:t xml:space="preserve"> School of </w:t>
      </w:r>
      <w:r>
        <w:t>Public Health, The</w:t>
      </w:r>
      <w:r w:rsidR="005574CC">
        <w:t xml:space="preserve"> University</w:t>
      </w:r>
      <w:r>
        <w:t xml:space="preserve"> of Queensland</w:t>
      </w:r>
    </w:p>
    <w:p w14:paraId="09B7BD7A" w14:textId="77777777" w:rsidR="006A3499" w:rsidRPr="00176C24" w:rsidRDefault="006A3499" w:rsidP="006A3499">
      <w:pPr>
        <w:rPr>
          <w:rFonts w:cstheme="minorHAnsi"/>
        </w:rPr>
      </w:pPr>
    </w:p>
    <w:p w14:paraId="68ECB7E7" w14:textId="77777777" w:rsidR="006A3499" w:rsidRPr="00D70883" w:rsidRDefault="006A3499" w:rsidP="00273BE2">
      <w:pPr>
        <w:pStyle w:val="BodyText"/>
      </w:pPr>
    </w:p>
    <w:p w14:paraId="5C57F6CD" w14:textId="77777777" w:rsidR="006A3499" w:rsidRPr="00D70883" w:rsidRDefault="006A3499" w:rsidP="006A3499">
      <w:pPr>
        <w:rPr>
          <w:rFonts w:cstheme="minorHAnsi"/>
        </w:rPr>
      </w:pPr>
    </w:p>
    <w:p w14:paraId="35A4072A" w14:textId="77777777" w:rsidR="006A3499" w:rsidRPr="00D70883" w:rsidRDefault="006A3499" w:rsidP="006A3499">
      <w:pPr>
        <w:rPr>
          <w:rFonts w:cstheme="minorHAnsi"/>
        </w:rPr>
      </w:pPr>
    </w:p>
    <w:p w14:paraId="70B3B74A" w14:textId="77777777" w:rsidR="006A3499" w:rsidRDefault="006A3499" w:rsidP="006A3499">
      <w:pPr>
        <w:spacing w:after="160" w:line="259" w:lineRule="auto"/>
        <w:rPr>
          <w:rFonts w:cstheme="minorHAnsi"/>
        </w:rPr>
      </w:pPr>
      <w:r>
        <w:rPr>
          <w:rFonts w:cstheme="minorHAnsi"/>
        </w:rPr>
        <w:br w:type="page"/>
      </w:r>
    </w:p>
    <w:p w14:paraId="138538C0" w14:textId="77777777" w:rsidR="00194908" w:rsidRDefault="006A3499" w:rsidP="00241009">
      <w:pPr>
        <w:pStyle w:val="Heading1"/>
      </w:pPr>
      <w:bookmarkStart w:id="37" w:name="_Toc113022391"/>
      <w:r w:rsidRPr="00176C24">
        <w:lastRenderedPageBreak/>
        <w:t>Endnotes</w:t>
      </w:r>
      <w:bookmarkEnd w:id="37"/>
    </w:p>
    <w:p w14:paraId="1774EB17" w14:textId="77777777" w:rsidR="00194908" w:rsidRDefault="00194908" w:rsidP="00A2102A"/>
    <w:p w14:paraId="0B557B08" w14:textId="77777777" w:rsidR="000F4423" w:rsidRPr="000F4423" w:rsidRDefault="00194908" w:rsidP="000F4423">
      <w:pPr>
        <w:pStyle w:val="EndNoteBibliography"/>
      </w:pPr>
      <w:r w:rsidRPr="000F4423">
        <w:rPr>
          <w:rFonts w:asciiTheme="minorHAnsi" w:hAnsiTheme="minorHAnsi" w:cstheme="minorHAnsi"/>
        </w:rPr>
        <w:fldChar w:fldCharType="begin"/>
      </w:r>
      <w:r w:rsidRPr="000F4423">
        <w:rPr>
          <w:rFonts w:asciiTheme="minorHAnsi" w:hAnsiTheme="minorHAnsi" w:cstheme="minorHAnsi"/>
        </w:rPr>
        <w:instrText xml:space="preserve"> ADDIN EN.REFLIST </w:instrText>
      </w:r>
      <w:r w:rsidRPr="000F4423">
        <w:rPr>
          <w:rFonts w:asciiTheme="minorHAnsi" w:hAnsiTheme="minorHAnsi" w:cstheme="minorHAnsi"/>
        </w:rPr>
        <w:fldChar w:fldCharType="separate"/>
      </w:r>
      <w:bookmarkStart w:id="38" w:name="_ENREF_1"/>
      <w:r w:rsidR="000F4423" w:rsidRPr="000F4423">
        <w:t xml:space="preserve">Berecki-Gisolf, J., Lucke, J., Hockey, R., &amp; Dobson, A. (2008). Transitions into informal caregiving and out of paid employment of women in their 50's. </w:t>
      </w:r>
      <w:r w:rsidR="000F4423" w:rsidRPr="000F4423">
        <w:rPr>
          <w:i/>
        </w:rPr>
        <w:t>Social science &amp; medicine, 67</w:t>
      </w:r>
      <w:r w:rsidR="000F4423" w:rsidRPr="000F4423">
        <w:t xml:space="preserve">, 122-127. </w:t>
      </w:r>
    </w:p>
    <w:bookmarkEnd w:id="38"/>
    <w:p w14:paraId="4421FA54" w14:textId="77777777" w:rsidR="000F4423" w:rsidRPr="000F4423" w:rsidRDefault="000F4423" w:rsidP="000F4423">
      <w:pPr>
        <w:pStyle w:val="EndNoteBibliography"/>
      </w:pPr>
    </w:p>
    <w:p w14:paraId="73029C21" w14:textId="7E9AB842" w:rsidR="000F4423" w:rsidRPr="000F4423" w:rsidRDefault="000F4423" w:rsidP="000F4423">
      <w:pPr>
        <w:pStyle w:val="EndNoteBibliography"/>
      </w:pPr>
      <w:bookmarkStart w:id="39" w:name="_ENREF_2"/>
      <w:r w:rsidRPr="000F4423">
        <w:t xml:space="preserve">Berecki, J. L., J.; Hockey, R.; Dobson A. (2007). </w:t>
      </w:r>
      <w:r w:rsidRPr="000F4423">
        <w:rPr>
          <w:i/>
        </w:rPr>
        <w:t>Changes in Caring Roles and Employment in Mid-Life: Findings from the Australian Longitudinal Study on Women’s Health</w:t>
      </w:r>
      <w:r w:rsidRPr="000F4423">
        <w:t xml:space="preserve">. </w:t>
      </w:r>
      <w:hyperlink r:id="rId15" w:history="1">
        <w:r w:rsidRPr="000F4423">
          <w:rPr>
            <w:rStyle w:val="Hyperlink"/>
          </w:rPr>
          <w:t>https://alswh.org.au/post-outcomes/changes-in-caring-roles-and-employment-in-mid-life-findings-from-the-australian-longitudinal-study-on-womens-health/</w:t>
        </w:r>
      </w:hyperlink>
    </w:p>
    <w:bookmarkEnd w:id="39"/>
    <w:p w14:paraId="395308D3" w14:textId="77777777" w:rsidR="000F4423" w:rsidRPr="000F4423" w:rsidRDefault="000F4423" w:rsidP="000F4423">
      <w:pPr>
        <w:pStyle w:val="EndNoteBibliography"/>
      </w:pPr>
    </w:p>
    <w:p w14:paraId="58CC4EFE" w14:textId="271493DA" w:rsidR="000F4423" w:rsidRPr="000F4423" w:rsidRDefault="000F4423" w:rsidP="000F4423">
      <w:pPr>
        <w:pStyle w:val="EndNoteBibliography"/>
      </w:pPr>
      <w:bookmarkStart w:id="40" w:name="_ENREF_3"/>
      <w:r w:rsidRPr="000F4423">
        <w:rPr>
          <w:i/>
        </w:rPr>
        <w:t>Data Book for the 1946-51 Cohort</w:t>
      </w:r>
      <w:r w:rsidRPr="000F4423">
        <w:t xml:space="preserve">. (2019). </w:t>
      </w:r>
      <w:hyperlink r:id="rId16" w:history="1">
        <w:r w:rsidRPr="000F4423">
          <w:rPr>
            <w:rStyle w:val="Hyperlink"/>
          </w:rPr>
          <w:t>https://alswh.org.au/mid_databook-2/</w:t>
        </w:r>
      </w:hyperlink>
      <w:r w:rsidRPr="000F4423">
        <w:t xml:space="preserve"> </w:t>
      </w:r>
    </w:p>
    <w:bookmarkEnd w:id="40"/>
    <w:p w14:paraId="4A8AD2DF" w14:textId="77777777" w:rsidR="000F4423" w:rsidRPr="000F4423" w:rsidRDefault="000F4423" w:rsidP="000F4423">
      <w:pPr>
        <w:pStyle w:val="EndNoteBibliography"/>
      </w:pPr>
    </w:p>
    <w:p w14:paraId="0C2E2696" w14:textId="1F6433ED" w:rsidR="000F4423" w:rsidRPr="000F4423" w:rsidRDefault="000F4423" w:rsidP="000F4423">
      <w:pPr>
        <w:pStyle w:val="EndNoteBibliography"/>
      </w:pPr>
      <w:bookmarkStart w:id="41" w:name="_ENREF_4"/>
      <w:r w:rsidRPr="000F4423">
        <w:rPr>
          <w:i/>
        </w:rPr>
        <w:t>Data book for waves 1 to 16 of the six monthly survey of the 1921-1926 cohort (completed in 2020)</w:t>
      </w:r>
      <w:r w:rsidRPr="000F4423">
        <w:t xml:space="preserve">. (2020). </w:t>
      </w:r>
      <w:hyperlink r:id="rId17" w:history="1">
        <w:r w:rsidRPr="000F4423">
          <w:rPr>
            <w:rStyle w:val="Hyperlink"/>
          </w:rPr>
          <w:t>https://alswh.org.au/databook-for-6mfu-1921-26-cohort1to16/</w:t>
        </w:r>
      </w:hyperlink>
      <w:r w:rsidRPr="000F4423">
        <w:t xml:space="preserve"> </w:t>
      </w:r>
    </w:p>
    <w:bookmarkEnd w:id="41"/>
    <w:p w14:paraId="2AB2191F" w14:textId="77777777" w:rsidR="000F4423" w:rsidRPr="000F4423" w:rsidRDefault="000F4423" w:rsidP="000F4423">
      <w:pPr>
        <w:pStyle w:val="EndNoteBibliography"/>
      </w:pPr>
    </w:p>
    <w:p w14:paraId="320F20F0" w14:textId="0B722D23" w:rsidR="000F4423" w:rsidRPr="000F4423" w:rsidRDefault="000F4423" w:rsidP="000F4423">
      <w:pPr>
        <w:pStyle w:val="EndNoteBibliography"/>
      </w:pPr>
      <w:bookmarkStart w:id="42" w:name="_ENREF_5"/>
      <w:r w:rsidRPr="000F4423">
        <w:rPr>
          <w:i/>
        </w:rPr>
        <w:t>Databook for the 1921-26 cohort</w:t>
      </w:r>
      <w:r w:rsidRPr="000F4423">
        <w:t xml:space="preserve">. (2011). </w:t>
      </w:r>
      <w:hyperlink r:id="rId18" w:history="1">
        <w:r w:rsidRPr="000F4423">
          <w:rPr>
            <w:rStyle w:val="Hyperlink"/>
          </w:rPr>
          <w:t>https://alswh.org.au/old_databook/</w:t>
        </w:r>
      </w:hyperlink>
      <w:r w:rsidRPr="000F4423">
        <w:t xml:space="preserve"> </w:t>
      </w:r>
    </w:p>
    <w:bookmarkEnd w:id="42"/>
    <w:p w14:paraId="124A56FD" w14:textId="77777777" w:rsidR="000F4423" w:rsidRPr="000F4423" w:rsidRDefault="000F4423" w:rsidP="000F4423">
      <w:pPr>
        <w:pStyle w:val="EndNoteBibliography"/>
      </w:pPr>
    </w:p>
    <w:p w14:paraId="1BFCD7D6" w14:textId="55FA8581" w:rsidR="000F4423" w:rsidRPr="000F4423" w:rsidRDefault="000F4423" w:rsidP="000F4423">
      <w:pPr>
        <w:pStyle w:val="EndNoteBibliography"/>
      </w:pPr>
      <w:bookmarkStart w:id="43" w:name="_ENREF_6"/>
      <w:r w:rsidRPr="000F4423">
        <w:t xml:space="preserve">Ferreira, P., Loxton, D., &amp; Tooth, L. R. (2017, 8//). Intimate personal violence and caregiving: Influences on physical and mental health in middle-aged women. </w:t>
      </w:r>
      <w:r w:rsidRPr="000F4423">
        <w:rPr>
          <w:i/>
        </w:rPr>
        <w:t>Maturitas, 102</w:t>
      </w:r>
      <w:r w:rsidRPr="000F4423">
        <w:t xml:space="preserve">, 34-40. </w:t>
      </w:r>
      <w:hyperlink r:id="rId19" w:history="1">
        <w:r w:rsidRPr="000F4423">
          <w:rPr>
            <w:rStyle w:val="Hyperlink"/>
          </w:rPr>
          <w:t>https://doi.org/https://doi.org/10.1016/j.maturitas.2017.05.001</w:t>
        </w:r>
      </w:hyperlink>
      <w:r w:rsidRPr="000F4423">
        <w:t xml:space="preserve"> </w:t>
      </w:r>
    </w:p>
    <w:bookmarkEnd w:id="43"/>
    <w:p w14:paraId="2FCD73E0" w14:textId="77777777" w:rsidR="000F4423" w:rsidRPr="000F4423" w:rsidRDefault="000F4423" w:rsidP="000F4423">
      <w:pPr>
        <w:pStyle w:val="EndNoteBibliography"/>
      </w:pPr>
    </w:p>
    <w:p w14:paraId="650FFDD4" w14:textId="61846442" w:rsidR="000F4423" w:rsidRPr="000F4423" w:rsidRDefault="000F4423" w:rsidP="000F4423">
      <w:pPr>
        <w:pStyle w:val="EndNoteBibliography"/>
      </w:pPr>
      <w:bookmarkStart w:id="44" w:name="_ENREF_7"/>
      <w:r w:rsidRPr="000F4423">
        <w:t xml:space="preserve">Loxton, D. B., J.; Tooth, L.; Barnes, I.; Byrnes, E.; Cavenagh, D.; Chung, H-F.; Egan, N.; Forder, P.; Harris, M.; Hockey, R.; Moss, K.; Townsend, N.; Mishra, GD. (2021). </w:t>
      </w:r>
      <w:r w:rsidRPr="000F4423">
        <w:rPr>
          <w:i/>
        </w:rPr>
        <w:t>Reproductive health: Contraception, conception, and change of life – Findings from the Australian Longitudinal Study on Women’s Health</w:t>
      </w:r>
      <w:r w:rsidRPr="000F4423">
        <w:t xml:space="preserve">. </w:t>
      </w:r>
      <w:hyperlink r:id="rId20" w:history="1">
        <w:r w:rsidRPr="000F4423">
          <w:rPr>
            <w:rStyle w:val="Hyperlink"/>
          </w:rPr>
          <w:t>https://alswh.org.au/post-outcomes/2021-major-report-reproductive-health-contraception-conception-change-of-life/</w:t>
        </w:r>
      </w:hyperlink>
    </w:p>
    <w:bookmarkEnd w:id="44"/>
    <w:p w14:paraId="0904967F" w14:textId="77777777" w:rsidR="000F4423" w:rsidRPr="000F4423" w:rsidRDefault="000F4423" w:rsidP="000F4423">
      <w:pPr>
        <w:pStyle w:val="EndNoteBibliography"/>
      </w:pPr>
    </w:p>
    <w:p w14:paraId="0F78336E" w14:textId="4362247E" w:rsidR="000F4423" w:rsidRPr="000F4423" w:rsidRDefault="000F4423" w:rsidP="000F4423">
      <w:pPr>
        <w:pStyle w:val="EndNoteBibliography"/>
      </w:pPr>
      <w:bookmarkStart w:id="45" w:name="_ENREF_8"/>
      <w:r w:rsidRPr="000F4423">
        <w:t xml:space="preserve">Lucke, J. T., L.; Hockey, R.; Dobson, A. (2006). </w:t>
      </w:r>
      <w:r w:rsidRPr="000F4423">
        <w:rPr>
          <w:i/>
        </w:rPr>
        <w:t xml:space="preserve">Employed carers in mid-life: Findings from the Australian Longitudinal Study on Women’s Health. </w:t>
      </w:r>
      <w:r w:rsidRPr="000F4423">
        <w:t xml:space="preserve">[Report]. </w:t>
      </w:r>
      <w:hyperlink r:id="rId21" w:history="1">
        <w:r w:rsidRPr="000F4423">
          <w:rPr>
            <w:rStyle w:val="Hyperlink"/>
          </w:rPr>
          <w:t>https://alswh.org.au/post-outcomes/employed-carers-in-mid-life-findings-from-the-australian-longitudinal-study-on-womens-health/</w:t>
        </w:r>
      </w:hyperlink>
    </w:p>
    <w:bookmarkEnd w:id="45"/>
    <w:p w14:paraId="3B0914BB" w14:textId="77777777" w:rsidR="000F4423" w:rsidRPr="000F4423" w:rsidRDefault="000F4423" w:rsidP="000F4423">
      <w:pPr>
        <w:pStyle w:val="EndNoteBibliography"/>
      </w:pPr>
    </w:p>
    <w:p w14:paraId="2ABC6580" w14:textId="2D331E6C" w:rsidR="000F4423" w:rsidRPr="000F4423" w:rsidRDefault="000F4423" w:rsidP="000F4423">
      <w:pPr>
        <w:pStyle w:val="EndNoteBibliography"/>
      </w:pPr>
      <w:bookmarkStart w:id="46" w:name="_ENREF_9"/>
      <w:r w:rsidRPr="000F4423">
        <w:t xml:space="preserve">McKenzie S, T. L., Lucke J &amp; Dobson A. . (2009). </w:t>
      </w:r>
      <w:r w:rsidRPr="000F4423">
        <w:rPr>
          <w:i/>
        </w:rPr>
        <w:t>Caring and use of services in women born between 1946 and 1951: Findings from the Australian Longitudinal Study on Women’s Health.</w:t>
      </w:r>
      <w:r w:rsidRPr="000F4423">
        <w:t xml:space="preserve"> [Report]. </w:t>
      </w:r>
      <w:hyperlink r:id="rId22" w:history="1">
        <w:r w:rsidRPr="000F4423">
          <w:rPr>
            <w:rStyle w:val="Hyperlink"/>
          </w:rPr>
          <w:t>https://alswh.org.au/post-outcomes/caring-and-use-of-services-in-women-born-between-1946-and-1951-findings-from-the-australian-longitudinal-study-on-womens-health/</w:t>
        </w:r>
      </w:hyperlink>
    </w:p>
    <w:bookmarkEnd w:id="46"/>
    <w:p w14:paraId="3227B84C" w14:textId="77777777" w:rsidR="000F4423" w:rsidRPr="000F4423" w:rsidRDefault="000F4423" w:rsidP="000F4423">
      <w:pPr>
        <w:pStyle w:val="EndNoteBibliography"/>
      </w:pPr>
    </w:p>
    <w:p w14:paraId="3C30F520" w14:textId="717F14E2" w:rsidR="000F4423" w:rsidRPr="000F4423" w:rsidRDefault="000F4423" w:rsidP="000F4423">
      <w:pPr>
        <w:pStyle w:val="EndNoteBibliography"/>
      </w:pPr>
      <w:bookmarkStart w:id="47" w:name="_ENREF_10"/>
      <w:r w:rsidRPr="000F4423">
        <w:t xml:space="preserve">Rahman, M., Efird, J. T., &amp; Byles, J. E. (2019, 2019/03/01/). Patterns of aged care use among older Australian women: A prospective cohort study using linked data. </w:t>
      </w:r>
      <w:r w:rsidRPr="000F4423">
        <w:rPr>
          <w:i/>
        </w:rPr>
        <w:t>Archives of Gerontology and Geriatrics, 81</w:t>
      </w:r>
      <w:r w:rsidRPr="000F4423">
        <w:t xml:space="preserve">, 39-47. </w:t>
      </w:r>
      <w:hyperlink r:id="rId23" w:history="1">
        <w:r w:rsidRPr="000F4423">
          <w:rPr>
            <w:rStyle w:val="Hyperlink"/>
          </w:rPr>
          <w:t>https://doi.org/https://doi.org/10.1016/j.archger.2018.11.010</w:t>
        </w:r>
      </w:hyperlink>
      <w:r w:rsidRPr="000F4423">
        <w:t xml:space="preserve"> </w:t>
      </w:r>
    </w:p>
    <w:bookmarkEnd w:id="47"/>
    <w:p w14:paraId="4176937B" w14:textId="77777777" w:rsidR="000F4423" w:rsidRPr="000F4423" w:rsidRDefault="000F4423" w:rsidP="000F4423">
      <w:pPr>
        <w:pStyle w:val="EndNoteBibliography"/>
      </w:pPr>
    </w:p>
    <w:p w14:paraId="61D757FB" w14:textId="0E9CC8F5" w:rsidR="000F4423" w:rsidRPr="000F4423" w:rsidRDefault="000F4423" w:rsidP="000F4423">
      <w:pPr>
        <w:pStyle w:val="EndNoteBibliography"/>
      </w:pPr>
      <w:bookmarkStart w:id="48" w:name="_ENREF_11"/>
      <w:r w:rsidRPr="000F4423">
        <w:t xml:space="preserve">Rahman, M., Efird, J. T., Kendig, H., &amp; Byles, J. E. (2019, 2019/09/01). Patterns of home and community care use among older participants in the Australian Longitudinal Study of Women’s Health. </w:t>
      </w:r>
      <w:r w:rsidRPr="000F4423">
        <w:rPr>
          <w:i/>
        </w:rPr>
        <w:t>European Journal of Ageing, 16</w:t>
      </w:r>
      <w:r w:rsidRPr="000F4423">
        <w:t xml:space="preserve">(3), 293-303. </w:t>
      </w:r>
      <w:hyperlink r:id="rId24" w:history="1">
        <w:r w:rsidRPr="000F4423">
          <w:rPr>
            <w:rStyle w:val="Hyperlink"/>
          </w:rPr>
          <w:t>https://doi.org/10.1007/s10433-018-0495-y</w:t>
        </w:r>
      </w:hyperlink>
      <w:r w:rsidRPr="000F4423">
        <w:t xml:space="preserve"> </w:t>
      </w:r>
    </w:p>
    <w:bookmarkEnd w:id="48"/>
    <w:p w14:paraId="3599A575" w14:textId="77777777" w:rsidR="000F4423" w:rsidRPr="000F4423" w:rsidRDefault="000F4423" w:rsidP="000F4423">
      <w:pPr>
        <w:pStyle w:val="EndNoteBibliography"/>
      </w:pPr>
    </w:p>
    <w:p w14:paraId="07D350EC" w14:textId="77777777" w:rsidR="000F4423" w:rsidRPr="000F4423" w:rsidRDefault="000F4423" w:rsidP="000F4423">
      <w:pPr>
        <w:pStyle w:val="EndNoteBibliography"/>
      </w:pPr>
      <w:bookmarkStart w:id="49" w:name="_ENREF_12"/>
      <w:r w:rsidRPr="000F4423">
        <w:lastRenderedPageBreak/>
        <w:t xml:space="preserve">Tooth L, L. D., Chan H, Coombe J, Dobson A, Hockey R, Townsend N, Byles J &amp; Mishra G. . (2018). </w:t>
      </w:r>
      <w:r w:rsidRPr="000F4423">
        <w:rPr>
          <w:i/>
        </w:rPr>
        <w:t>From child care to elder care: Findings from the Australian Longitudinal Study on Women’s Health.</w:t>
      </w:r>
      <w:r w:rsidRPr="000F4423">
        <w:t xml:space="preserve"> </w:t>
      </w:r>
    </w:p>
    <w:bookmarkEnd w:id="49"/>
    <w:p w14:paraId="73F132F6" w14:textId="77777777" w:rsidR="000F4423" w:rsidRPr="000F4423" w:rsidRDefault="000F4423" w:rsidP="000F4423">
      <w:pPr>
        <w:pStyle w:val="EndNoteBibliography"/>
      </w:pPr>
    </w:p>
    <w:p w14:paraId="3F10937E" w14:textId="13A22E44" w:rsidR="000F4423" w:rsidRPr="000F4423" w:rsidRDefault="000F4423" w:rsidP="000F4423">
      <w:pPr>
        <w:pStyle w:val="EndNoteBibliography"/>
      </w:pPr>
      <w:bookmarkStart w:id="50" w:name="_ENREF_13"/>
      <w:r w:rsidRPr="000F4423">
        <w:t xml:space="preserve">Tooth, L., &amp; Mishra, G. (2014). Socioeconomic factors associated with trajectories of caring by young and mid-aged women: a cohort study. </w:t>
      </w:r>
      <w:r w:rsidRPr="000F4423">
        <w:rPr>
          <w:i/>
        </w:rPr>
        <w:t>BMC Public Health, 14</w:t>
      </w:r>
      <w:r w:rsidRPr="000F4423">
        <w:t xml:space="preserve">(1), 74. </w:t>
      </w:r>
      <w:hyperlink r:id="rId25" w:history="1">
        <w:r w:rsidRPr="000F4423">
          <w:rPr>
            <w:rStyle w:val="Hyperlink"/>
          </w:rPr>
          <w:t>http://www.biomedcentral.com/1471-2458/14/74</w:t>
        </w:r>
      </w:hyperlink>
    </w:p>
    <w:p w14:paraId="19EEE796" w14:textId="2BEEA3D5" w:rsidR="000F4423" w:rsidRPr="000F4423" w:rsidRDefault="007A1542" w:rsidP="000F4423">
      <w:pPr>
        <w:pStyle w:val="EndNoteBibliography"/>
      </w:pPr>
      <w:hyperlink r:id="rId26" w:history="1">
        <w:r w:rsidR="000F4423" w:rsidRPr="000F4423">
          <w:rPr>
            <w:rStyle w:val="Hyperlink"/>
          </w:rPr>
          <w:t>http://www.ncbi.nlm.nih.gov/pmc/articles/PMC3904927/pdf/1471-2458-14-74.pdf</w:t>
        </w:r>
      </w:hyperlink>
      <w:r w:rsidR="000F4423" w:rsidRPr="000F4423">
        <w:t xml:space="preserve"> </w:t>
      </w:r>
    </w:p>
    <w:bookmarkEnd w:id="50"/>
    <w:p w14:paraId="4A15821B" w14:textId="77777777" w:rsidR="000F4423" w:rsidRPr="000F4423" w:rsidRDefault="000F4423" w:rsidP="000F4423">
      <w:pPr>
        <w:pStyle w:val="EndNoteBibliography"/>
      </w:pPr>
    </w:p>
    <w:p w14:paraId="2E2B5AA5" w14:textId="6270B4FB" w:rsidR="000F4423" w:rsidRPr="000F4423" w:rsidRDefault="000F4423" w:rsidP="000F4423">
      <w:pPr>
        <w:pStyle w:val="EndNoteBibliography"/>
      </w:pPr>
      <w:bookmarkStart w:id="51" w:name="_ENREF_14"/>
      <w:r w:rsidRPr="000F4423">
        <w:t xml:space="preserve">Tooth, L., Russell, A., Lucke, J., Byrne, G., Lee, C., Wilson, A., &amp; Dobson, A. (2008, 2008/03/01). Impact of cognitive and physical impairment on carer burden and quality of life. </w:t>
      </w:r>
      <w:r w:rsidRPr="000F4423">
        <w:rPr>
          <w:i/>
        </w:rPr>
        <w:t>Quality of life research, 17</w:t>
      </w:r>
      <w:r w:rsidRPr="000F4423">
        <w:t xml:space="preserve">(2), 267-273. </w:t>
      </w:r>
      <w:hyperlink r:id="rId27" w:history="1">
        <w:r w:rsidRPr="000F4423">
          <w:rPr>
            <w:rStyle w:val="Hyperlink"/>
          </w:rPr>
          <w:t>https://doi.org/10.1007/s11136-007-9300-7</w:t>
        </w:r>
      </w:hyperlink>
      <w:r w:rsidRPr="000F4423">
        <w:t xml:space="preserve"> </w:t>
      </w:r>
    </w:p>
    <w:bookmarkEnd w:id="51"/>
    <w:p w14:paraId="6FBAC262" w14:textId="77777777" w:rsidR="000F4423" w:rsidRPr="000F4423" w:rsidRDefault="000F4423" w:rsidP="000F4423">
      <w:pPr>
        <w:pStyle w:val="EndNoteBibliography"/>
      </w:pPr>
    </w:p>
    <w:p w14:paraId="398B7457" w14:textId="50412F27" w:rsidR="009E3FDE" w:rsidRPr="000F4423" w:rsidRDefault="00194908" w:rsidP="00273BE2">
      <w:pPr>
        <w:pStyle w:val="BodyText"/>
        <w:rPr>
          <w:rFonts w:cstheme="minorHAnsi"/>
        </w:rPr>
      </w:pPr>
      <w:r w:rsidRPr="000F4423">
        <w:rPr>
          <w:rFonts w:cstheme="minorHAnsi"/>
        </w:rPr>
        <w:fldChar w:fldCharType="end"/>
      </w:r>
    </w:p>
    <w:sectPr w:rsidR="009E3FDE" w:rsidRPr="000F4423" w:rsidSect="00034D15">
      <w:headerReference w:type="default" r:id="rId28"/>
      <w:footerReference w:type="default" r:id="rId29"/>
      <w:headerReference w:type="first" r:id="rId30"/>
      <w:pgSz w:w="11906" w:h="16838" w:code="9"/>
      <w:pgMar w:top="2381" w:right="1418" w:bottom="1134" w:left="1418" w:header="56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D1337" w14:textId="77777777" w:rsidR="007A1542" w:rsidRDefault="007A1542" w:rsidP="00C20C17">
      <w:r>
        <w:separator/>
      </w:r>
    </w:p>
  </w:endnote>
  <w:endnote w:type="continuationSeparator" w:id="0">
    <w:p w14:paraId="159AC1A0" w14:textId="77777777" w:rsidR="007A1542" w:rsidRDefault="007A1542"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Gotham Light">
    <w:altName w:val="Times New Roman"/>
    <w:panose1 w:val="00000000000000000000"/>
    <w:charset w:val="00"/>
    <w:family w:val="modern"/>
    <w:notTrueType/>
    <w:pitch w:val="variable"/>
    <w:sig w:usb0="A00002FF" w:usb1="4000005B" w:usb2="00000000" w:usb3="00000000" w:csb0="0000009F" w:csb1="00000000"/>
  </w:font>
  <w:font w:name="Segoe UI">
    <w:panose1 w:val="020B0502040204020203"/>
    <w:charset w:val="00"/>
    <w:family w:val="swiss"/>
    <w:pitch w:val="variable"/>
    <w:sig w:usb0="E4002EFF" w:usb1="C000E47F" w:usb2="00000009" w:usb3="00000000" w:csb0="000001FF" w:csb1="00000000"/>
  </w:font>
  <w:font w:name="Gotham Book">
    <w:altName w:val="Calibri"/>
    <w:panose1 w:val="00000000000000000000"/>
    <w:charset w:val="00"/>
    <w:family w:val="modern"/>
    <w:notTrueType/>
    <w:pitch w:val="variable"/>
    <w:sig w:usb0="00000001" w:usb1="00000000" w:usb2="00000000" w:usb3="00000000" w:csb0="0000001B"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gsrygAdvTT86d47313+22">
    <w:altName w:val="MS Mincho"/>
    <w:panose1 w:val="00000000000000000000"/>
    <w:charset w:val="80"/>
    <w:family w:val="auto"/>
    <w:notTrueType/>
    <w:pitch w:val="default"/>
    <w:sig w:usb0="00000000" w:usb1="08070000" w:usb2="00000010" w:usb3="00000000" w:csb0="00020000" w:csb1="00000000"/>
  </w:font>
  <w:font w:name="Roboto">
    <w:altName w:val="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Look w:val="0600" w:firstRow="0" w:lastRow="0" w:firstColumn="0" w:lastColumn="0" w:noHBand="1" w:noVBand="1"/>
    </w:tblPr>
    <w:tblGrid>
      <w:gridCol w:w="8542"/>
      <w:gridCol w:w="528"/>
    </w:tblGrid>
    <w:tr w:rsidR="00B042DF" w14:paraId="7A9B4BBC" w14:textId="77777777" w:rsidTr="00B042DF">
      <w:tc>
        <w:tcPr>
          <w:tcW w:w="9072" w:type="dxa"/>
          <w:vAlign w:val="bottom"/>
        </w:tcPr>
        <w:p w14:paraId="541CD6A2" w14:textId="77777777" w:rsidR="00B042DF" w:rsidRDefault="00B042DF" w:rsidP="00B042DF">
          <w:pPr>
            <w:pStyle w:val="Footer"/>
            <w:jc w:val="right"/>
          </w:pPr>
        </w:p>
      </w:tc>
      <w:tc>
        <w:tcPr>
          <w:tcW w:w="556" w:type="dxa"/>
          <w:vAlign w:val="bottom"/>
        </w:tcPr>
        <w:p w14:paraId="7162E941" w14:textId="77777777" w:rsidR="00B042DF" w:rsidRPr="0033054B" w:rsidRDefault="00B042DF" w:rsidP="00B042DF">
          <w:pPr>
            <w:pStyle w:val="Footer"/>
            <w:jc w:val="right"/>
            <w:rPr>
              <w:szCs w:val="15"/>
            </w:rPr>
          </w:pPr>
          <w:r w:rsidRPr="0033054B">
            <w:rPr>
              <w:b/>
              <w:szCs w:val="15"/>
            </w:rPr>
            <w:fldChar w:fldCharType="begin"/>
          </w:r>
          <w:r w:rsidRPr="0033054B">
            <w:rPr>
              <w:b/>
              <w:szCs w:val="15"/>
            </w:rPr>
            <w:instrText xml:space="preserve"> PAGE   \* MERGEFORMAT </w:instrText>
          </w:r>
          <w:r w:rsidRPr="0033054B">
            <w:rPr>
              <w:b/>
              <w:szCs w:val="15"/>
            </w:rPr>
            <w:fldChar w:fldCharType="separate"/>
          </w:r>
          <w:r w:rsidRPr="0033054B">
            <w:rPr>
              <w:b/>
              <w:szCs w:val="15"/>
            </w:rPr>
            <w:t>13</w:t>
          </w:r>
          <w:r w:rsidRPr="0033054B">
            <w:rPr>
              <w:b/>
              <w:szCs w:val="15"/>
            </w:rPr>
            <w:fldChar w:fldCharType="end"/>
          </w:r>
        </w:p>
      </w:tc>
    </w:tr>
  </w:tbl>
  <w:p w14:paraId="32B56582" w14:textId="77777777" w:rsidR="00716942" w:rsidRPr="00B042DF" w:rsidRDefault="00716942" w:rsidP="00B042DF">
    <w:pP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29735" w14:textId="77777777" w:rsidR="007A1542" w:rsidRDefault="007A1542" w:rsidP="00C20C17">
      <w:r>
        <w:separator/>
      </w:r>
    </w:p>
  </w:footnote>
  <w:footnote w:type="continuationSeparator" w:id="0">
    <w:p w14:paraId="1FB8285B" w14:textId="77777777" w:rsidR="007A1542" w:rsidRDefault="007A1542" w:rsidP="00C20C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CA29A" w14:textId="77777777" w:rsidR="00F87F8B" w:rsidRDefault="00F87F8B" w:rsidP="00F87F8B">
    <w:pPr>
      <w:pStyle w:val="Header"/>
      <w:jc w:val="right"/>
    </w:pPr>
  </w:p>
  <w:p w14:paraId="0ED6C072" w14:textId="77777777" w:rsidR="00F87F8B" w:rsidRDefault="00241009" w:rsidP="00F87F8B">
    <w:pPr>
      <w:pStyle w:val="Header"/>
    </w:pPr>
    <w:r>
      <w:rPr>
        <w:noProof/>
      </w:rPr>
      <w:drawing>
        <wp:anchor distT="0" distB="0" distL="114300" distR="114300" simplePos="0" relativeHeight="251663872" behindDoc="0" locked="0" layoutInCell="1" allowOverlap="1" wp14:anchorId="526EE3F3" wp14:editId="032BC2D7">
          <wp:simplePos x="0" y="0"/>
          <wp:positionH relativeFrom="column">
            <wp:posOffset>3668395</wp:posOffset>
          </wp:positionH>
          <wp:positionV relativeFrom="paragraph">
            <wp:posOffset>123190</wp:posOffset>
          </wp:positionV>
          <wp:extent cx="2433320" cy="481330"/>
          <wp:effectExtent l="0" t="0" r="5080" b="0"/>
          <wp:wrapThrough wrapText="bothSides">
            <wp:wrapPolygon edited="0">
              <wp:start x="0" y="0"/>
              <wp:lineTo x="0" y="20517"/>
              <wp:lineTo x="2029" y="20517"/>
              <wp:lineTo x="3044" y="20517"/>
              <wp:lineTo x="21476" y="11968"/>
              <wp:lineTo x="21476" y="2565"/>
              <wp:lineTo x="6088" y="0"/>
              <wp:lineTo x="0" y="0"/>
            </wp:wrapPolygon>
          </wp:wrapThrough>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3320" cy="48133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3CFE" w14:textId="77777777" w:rsidR="00F4114D" w:rsidRDefault="00241009" w:rsidP="00F4114D">
    <w:pPr>
      <w:pStyle w:val="Header"/>
    </w:pPr>
    <w:r>
      <w:rPr>
        <w:noProof/>
      </w:rPr>
      <w:drawing>
        <wp:anchor distT="0" distB="0" distL="114300" distR="114300" simplePos="0" relativeHeight="251658752" behindDoc="0" locked="0" layoutInCell="1" allowOverlap="1" wp14:anchorId="40DE5240" wp14:editId="2C06382C">
          <wp:simplePos x="0" y="0"/>
          <wp:positionH relativeFrom="column">
            <wp:posOffset>3700145</wp:posOffset>
          </wp:positionH>
          <wp:positionV relativeFrom="paragraph">
            <wp:posOffset>337185</wp:posOffset>
          </wp:positionV>
          <wp:extent cx="2433320" cy="481330"/>
          <wp:effectExtent l="0" t="0" r="5080" b="0"/>
          <wp:wrapThrough wrapText="bothSides">
            <wp:wrapPolygon edited="0">
              <wp:start x="0" y="0"/>
              <wp:lineTo x="0" y="20517"/>
              <wp:lineTo x="2029" y="20517"/>
              <wp:lineTo x="3044" y="20517"/>
              <wp:lineTo x="21476" y="11968"/>
              <wp:lineTo x="21476" y="2565"/>
              <wp:lineTo x="6088" y="0"/>
              <wp:lineTo x="0" y="0"/>
            </wp:wrapPolygon>
          </wp:wrapThrough>
          <wp:docPr id="3" name="Picture 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433320" cy="4813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320F0"/>
    <w:multiLevelType w:val="multilevel"/>
    <w:tmpl w:val="8752BC70"/>
    <w:styleLink w:val="ListSectionTitle"/>
    <w:lvl w:ilvl="0">
      <w:start w:val="1"/>
      <w:numFmt w:val="decimal"/>
      <w:pStyle w:val="SectionTitleNumbered"/>
      <w:lvlText w:val="%1"/>
      <w:lvlJc w:val="left"/>
      <w:pPr>
        <w:tabs>
          <w:tab w:val="num" w:pos="1134"/>
        </w:tabs>
        <w:ind w:left="1134" w:hanging="1134"/>
      </w:pPr>
      <w:rPr>
        <w:rFonts w:ascii="Arial" w:hAnsi="Arial" w:hint="default"/>
        <w:b/>
        <w:i w:val="0"/>
        <w:caps w:val="0"/>
        <w:strike w:val="0"/>
        <w:dstrike w:val="0"/>
        <w:vanish w:val="0"/>
        <w:color w:val="652D86" w:themeColor="accent1"/>
        <w:sz w:val="48"/>
        <w:vertAlign w:val="baseline"/>
      </w:rPr>
    </w:lvl>
    <w:lvl w:ilvl="1">
      <w:start w:val="1"/>
      <w:numFmt w:val="decimal"/>
      <w:lvlRestart w:val="0"/>
      <w:pStyle w:val="SectionNumberOnly"/>
      <w:suff w:val="nothing"/>
      <w:lvlText w:val="%2"/>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1F71F6A"/>
    <w:multiLevelType w:val="hybridMultilevel"/>
    <w:tmpl w:val="D03AF7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006ED"/>
    <w:multiLevelType w:val="hybridMultilevel"/>
    <w:tmpl w:val="E876A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7510D7"/>
    <w:multiLevelType w:val="multilevel"/>
    <w:tmpl w:val="2F6CA4A0"/>
    <w:numStyleLink w:val="ListBullet"/>
  </w:abstractNum>
  <w:abstractNum w:abstractNumId="4" w15:restartNumberingAfterBreak="0">
    <w:nsid w:val="0DD726A9"/>
    <w:multiLevelType w:val="multilevel"/>
    <w:tmpl w:val="B5BC7C40"/>
    <w:styleLink w:val="ListAppendix"/>
    <w:lvl w:ilvl="0">
      <w:start w:val="1"/>
      <w:numFmt w:val="upperLetter"/>
      <w:pStyle w:val="Heading9"/>
      <w:lvlText w:val="Appendix %1"/>
      <w:lvlJc w:val="left"/>
      <w:pPr>
        <w:tabs>
          <w:tab w:val="num" w:pos="0"/>
        </w:tabs>
        <w:ind w:left="0" w:firstLine="0"/>
      </w:pPr>
      <w:rPr>
        <w:rFonts w:hint="default"/>
        <w:b w:val="0"/>
        <w:color w:val="652D86" w:themeColor="accent1"/>
      </w:rPr>
    </w:lvl>
    <w:lvl w:ilvl="1">
      <w:start w:val="1"/>
      <w:numFmt w:val="decimal"/>
      <w:pStyle w:val="AppendixH2"/>
      <w:lvlText w:val="%1-%2"/>
      <w:lvlJc w:val="left"/>
      <w:pPr>
        <w:tabs>
          <w:tab w:val="num" w:pos="1134"/>
        </w:tabs>
        <w:ind w:left="1134" w:hanging="1134"/>
      </w:pPr>
      <w:rPr>
        <w:rFonts w:hint="default"/>
        <w:color w:val="652D86" w:themeColor="accent1"/>
      </w:rPr>
    </w:lvl>
    <w:lvl w:ilvl="2">
      <w:start w:val="1"/>
      <w:numFmt w:val="decimal"/>
      <w:pStyle w:val="AppendixH3"/>
      <w:lvlText w:val="%1-%2-%3"/>
      <w:lvlJc w:val="left"/>
      <w:pPr>
        <w:tabs>
          <w:tab w:val="num" w:pos="1134"/>
        </w:tabs>
        <w:ind w:left="1134" w:hanging="1134"/>
      </w:pPr>
      <w:rPr>
        <w:rFonts w:hint="default"/>
        <w:color w:val="652D8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88B4D9D6"/>
    <w:styleLink w:val="ListAlpha"/>
    <w:lvl w:ilvl="0">
      <w:start w:val="1"/>
      <w:numFmt w:val="lowerLetter"/>
      <w:pStyle w:val="ListAlpha0"/>
      <w:lvlText w:val="%1."/>
      <w:lvlJc w:val="left"/>
      <w:pPr>
        <w:tabs>
          <w:tab w:val="num" w:pos="425"/>
        </w:tabs>
        <w:ind w:left="425" w:hanging="425"/>
      </w:pPr>
      <w:rPr>
        <w:rFonts w:hint="default"/>
      </w:rPr>
    </w:lvl>
    <w:lvl w:ilvl="1">
      <w:start w:val="1"/>
      <w:numFmt w:val="lowerRoman"/>
      <w:pStyle w:val="ListAlpha2"/>
      <w:lvlText w:val="%2."/>
      <w:lvlJc w:val="left"/>
      <w:pPr>
        <w:tabs>
          <w:tab w:val="num" w:pos="850"/>
        </w:tabs>
        <w:ind w:left="850" w:hanging="425"/>
      </w:pPr>
      <w:rPr>
        <w:rFonts w:hint="default"/>
      </w:rPr>
    </w:lvl>
    <w:lvl w:ilvl="2">
      <w:start w:val="1"/>
      <w:numFmt w:val="decimal"/>
      <w:pStyle w:val="ListAlpha3"/>
      <w:lvlText w:val="%3."/>
      <w:lvlJc w:val="left"/>
      <w:pPr>
        <w:tabs>
          <w:tab w:val="num" w:pos="1275"/>
        </w:tabs>
        <w:ind w:left="1275" w:hanging="425"/>
      </w:pPr>
      <w:rPr>
        <w:rFonts w:hint="default"/>
      </w:rPr>
    </w:lvl>
    <w:lvl w:ilvl="3">
      <w:start w:val="1"/>
      <w:numFmt w:val="upperLetter"/>
      <w:pStyle w:val="ListAlpha4"/>
      <w:lvlText w:val="%4."/>
      <w:lvlJc w:val="left"/>
      <w:pPr>
        <w:tabs>
          <w:tab w:val="num" w:pos="1700"/>
        </w:tabs>
        <w:ind w:left="1700" w:hanging="425"/>
      </w:pPr>
      <w:rPr>
        <w:rFonts w:hint="default"/>
      </w:rPr>
    </w:lvl>
    <w:lvl w:ilvl="4">
      <w:start w:val="1"/>
      <w:numFmt w:val="upperRoman"/>
      <w:pStyle w:val="ListAlpha5"/>
      <w:lvlText w:val="%5."/>
      <w:lvlJc w:val="left"/>
      <w:pPr>
        <w:tabs>
          <w:tab w:val="num" w:pos="2125"/>
        </w:tabs>
        <w:ind w:left="2125" w:hanging="425"/>
      </w:pPr>
      <w:rPr>
        <w:rFonts w:hint="default"/>
      </w:rPr>
    </w:lvl>
    <w:lvl w:ilvl="5">
      <w:start w:val="1"/>
      <w:numFmt w:val="lowerLetter"/>
      <w:pStyle w:val="ListAlpha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6" w15:restartNumberingAfterBreak="0">
    <w:nsid w:val="0F3E6C9D"/>
    <w:multiLevelType w:val="multilevel"/>
    <w:tmpl w:val="FF8069A4"/>
    <w:numStyleLink w:val="Bullets"/>
  </w:abstractNum>
  <w:abstractNum w:abstractNumId="7" w15:restartNumberingAfterBreak="0">
    <w:nsid w:val="13DF7F34"/>
    <w:multiLevelType w:val="hybridMultilevel"/>
    <w:tmpl w:val="80665D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377A78"/>
    <w:multiLevelType w:val="hybridMultilevel"/>
    <w:tmpl w:val="4C8288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A4E610B"/>
    <w:multiLevelType w:val="multilevel"/>
    <w:tmpl w:val="0B76EB08"/>
    <w:styleLink w:val="ListNumber"/>
    <w:lvl w:ilvl="0">
      <w:start w:val="1"/>
      <w:numFmt w:val="decimal"/>
      <w:pStyle w:val="ListNumber0"/>
      <w:lvlText w:val="%1."/>
      <w:lvlJc w:val="left"/>
      <w:pPr>
        <w:tabs>
          <w:tab w:val="num" w:pos="0"/>
        </w:tabs>
        <w:ind w:left="425" w:hanging="425"/>
      </w:pPr>
      <w:rPr>
        <w:rFonts w:hint="default"/>
      </w:rPr>
    </w:lvl>
    <w:lvl w:ilvl="1">
      <w:start w:val="1"/>
      <w:numFmt w:val="lowerLetter"/>
      <w:pStyle w:val="ListNumber2"/>
      <w:lvlText w:val="%2."/>
      <w:lvlJc w:val="left"/>
      <w:pPr>
        <w:tabs>
          <w:tab w:val="num" w:pos="850"/>
        </w:tabs>
        <w:ind w:left="850" w:hanging="425"/>
      </w:pPr>
      <w:rPr>
        <w:rFonts w:hint="default"/>
      </w:rPr>
    </w:lvl>
    <w:lvl w:ilvl="2">
      <w:start w:val="1"/>
      <w:numFmt w:val="lowerRoman"/>
      <w:pStyle w:val="ListNumber3"/>
      <w:lvlText w:val="%3."/>
      <w:lvlJc w:val="left"/>
      <w:pPr>
        <w:tabs>
          <w:tab w:val="num" w:pos="1275"/>
        </w:tabs>
        <w:ind w:left="1275" w:hanging="425"/>
      </w:pPr>
      <w:rPr>
        <w:rFonts w:hint="default"/>
      </w:rPr>
    </w:lvl>
    <w:lvl w:ilvl="3">
      <w:start w:val="1"/>
      <w:numFmt w:val="upperLetter"/>
      <w:pStyle w:val="ListNumber4"/>
      <w:lvlText w:val="%4."/>
      <w:lvlJc w:val="left"/>
      <w:pPr>
        <w:tabs>
          <w:tab w:val="num" w:pos="1700"/>
        </w:tabs>
        <w:ind w:left="1700" w:hanging="425"/>
      </w:pPr>
      <w:rPr>
        <w:rFonts w:hint="default"/>
      </w:rPr>
    </w:lvl>
    <w:lvl w:ilvl="4">
      <w:start w:val="1"/>
      <w:numFmt w:val="upperRoman"/>
      <w:pStyle w:val="ListNumber5"/>
      <w:lvlText w:val="%5."/>
      <w:lvlJc w:val="left"/>
      <w:pPr>
        <w:tabs>
          <w:tab w:val="num" w:pos="2125"/>
        </w:tabs>
        <w:ind w:left="2125" w:hanging="425"/>
      </w:pPr>
      <w:rPr>
        <w:rFonts w:hint="default"/>
      </w:rPr>
    </w:lvl>
    <w:lvl w:ilvl="5">
      <w:start w:val="1"/>
      <w:numFmt w:val="decimal"/>
      <w:pStyle w:val="ListNumber6"/>
      <w:lvlText w:val="%6."/>
      <w:lvlJc w:val="left"/>
      <w:pPr>
        <w:tabs>
          <w:tab w:val="num" w:pos="2550"/>
        </w:tabs>
        <w:ind w:left="2550" w:hanging="425"/>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0" w15:restartNumberingAfterBreak="0">
    <w:nsid w:val="1C4F3E46"/>
    <w:multiLevelType w:val="hybridMultilevel"/>
    <w:tmpl w:val="629EC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737170"/>
    <w:multiLevelType w:val="multilevel"/>
    <w:tmpl w:val="794003F6"/>
    <w:styleLink w:val="ListNbrHeading"/>
    <w:lvl w:ilvl="0">
      <w:start w:val="1"/>
      <w:numFmt w:val="decimal"/>
      <w:pStyle w:val="NbrHeading1"/>
      <w:lvlText w:val="%1."/>
      <w:lvlJc w:val="left"/>
      <w:pPr>
        <w:tabs>
          <w:tab w:val="num" w:pos="1134"/>
        </w:tabs>
        <w:ind w:left="1134" w:hanging="1134"/>
      </w:pPr>
      <w:rPr>
        <w:rFonts w:hint="default"/>
      </w:rPr>
    </w:lvl>
    <w:lvl w:ilvl="1">
      <w:start w:val="1"/>
      <w:numFmt w:val="decimal"/>
      <w:pStyle w:val="NbrHeading2"/>
      <w:lvlText w:val="%1.%2"/>
      <w:lvlJc w:val="left"/>
      <w:pPr>
        <w:tabs>
          <w:tab w:val="num" w:pos="1134"/>
        </w:tabs>
        <w:ind w:left="1134" w:hanging="1134"/>
      </w:pPr>
      <w:rPr>
        <w:rFonts w:hint="default"/>
      </w:rPr>
    </w:lvl>
    <w:lvl w:ilvl="2">
      <w:start w:val="1"/>
      <w:numFmt w:val="decimal"/>
      <w:pStyle w:val="NbrHeading3"/>
      <w:lvlText w:val="%1.%2.%3"/>
      <w:lvlJc w:val="left"/>
      <w:pPr>
        <w:tabs>
          <w:tab w:val="num" w:pos="1134"/>
        </w:tabs>
        <w:ind w:left="1134" w:hanging="1134"/>
      </w:pPr>
      <w:rPr>
        <w:rFonts w:hint="default"/>
      </w:rPr>
    </w:lvl>
    <w:lvl w:ilvl="3">
      <w:start w:val="1"/>
      <w:numFmt w:val="decimal"/>
      <w:pStyle w:val="NbrHeading4"/>
      <w:lvlText w:val="%1.%2.%3.%4"/>
      <w:lvlJc w:val="left"/>
      <w:pPr>
        <w:tabs>
          <w:tab w:val="num" w:pos="1134"/>
        </w:tabs>
        <w:ind w:left="1134" w:hanging="1134"/>
      </w:pPr>
      <w:rPr>
        <w:rFonts w:hint="default"/>
      </w:rPr>
    </w:lvl>
    <w:lvl w:ilvl="4">
      <w:start w:val="1"/>
      <w:numFmt w:val="decimal"/>
      <w:pStyle w:val="Nbr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3" w15:restartNumberingAfterBreak="0">
    <w:nsid w:val="29973E80"/>
    <w:multiLevelType w:val="multilevel"/>
    <w:tmpl w:val="D442603C"/>
    <w:styleLink w:val="ListTableNumber"/>
    <w:lvl w:ilvl="0">
      <w:start w:val="1"/>
      <w:numFmt w:val="decimal"/>
      <w:pStyle w:val="TableNumber"/>
      <w:lvlText w:val="%1."/>
      <w:lvlJc w:val="left"/>
      <w:pPr>
        <w:tabs>
          <w:tab w:val="num" w:pos="397"/>
        </w:tabs>
        <w:ind w:left="397" w:hanging="284"/>
      </w:pPr>
      <w:rPr>
        <w:rFonts w:hint="default"/>
      </w:rPr>
    </w:lvl>
    <w:lvl w:ilvl="1">
      <w:start w:val="1"/>
      <w:numFmt w:val="lowerLetter"/>
      <w:pStyle w:val="TableNumber2"/>
      <w:lvlText w:val="%2."/>
      <w:lvlJc w:val="left"/>
      <w:pPr>
        <w:tabs>
          <w:tab w:val="num" w:pos="680"/>
        </w:tabs>
        <w:ind w:left="680" w:hanging="283"/>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4" w15:restartNumberingAfterBreak="0">
    <w:nsid w:val="34BF508F"/>
    <w:multiLevelType w:val="hybridMultilevel"/>
    <w:tmpl w:val="8A321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A8E1944"/>
    <w:multiLevelType w:val="hybridMultilevel"/>
    <w:tmpl w:val="D7FC5D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7951F6"/>
    <w:multiLevelType w:val="hybridMultilevel"/>
    <w:tmpl w:val="42121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449FF"/>
    <w:multiLevelType w:val="hybridMultilevel"/>
    <w:tmpl w:val="204C86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BF26A71"/>
    <w:multiLevelType w:val="multilevel"/>
    <w:tmpl w:val="E9B44B6A"/>
    <w:styleLink w:val="ListParagraph"/>
    <w:lvl w:ilvl="0">
      <w:start w:val="1"/>
      <w:numFmt w:val="none"/>
      <w:pStyle w:val="BackCoverDetails"/>
      <w:lvlText w:val=""/>
      <w:lvlJc w:val="left"/>
      <w:pPr>
        <w:ind w:left="425" w:firstLine="0"/>
      </w:pPr>
      <w:rPr>
        <w:rFonts w:hint="default"/>
      </w:rPr>
    </w:lvl>
    <w:lvl w:ilvl="1">
      <w:start w:val="1"/>
      <w:numFmt w:val="none"/>
      <w:lvlText w:val=""/>
      <w:lvlJc w:val="left"/>
      <w:pPr>
        <w:ind w:left="851" w:hanging="1"/>
      </w:pPr>
      <w:rPr>
        <w:rFonts w:hint="default"/>
      </w:rPr>
    </w:lvl>
    <w:lvl w:ilvl="2">
      <w:start w:val="1"/>
      <w:numFmt w:val="none"/>
      <w:lvlText w:val=""/>
      <w:lvlJc w:val="left"/>
      <w:pPr>
        <w:ind w:left="1276" w:hanging="1"/>
      </w:pPr>
      <w:rPr>
        <w:rFonts w:hint="default"/>
      </w:rPr>
    </w:lvl>
    <w:lvl w:ilvl="3">
      <w:start w:val="1"/>
      <w:numFmt w:val="none"/>
      <w:lvlText w:val=""/>
      <w:lvlJc w:val="left"/>
      <w:pPr>
        <w:ind w:left="1701" w:hanging="1"/>
      </w:pPr>
      <w:rPr>
        <w:rFonts w:hint="default"/>
      </w:rPr>
    </w:lvl>
    <w:lvl w:ilvl="4">
      <w:start w:val="1"/>
      <w:numFmt w:val="none"/>
      <w:lvlText w:val=""/>
      <w:lvlJc w:val="left"/>
      <w:pPr>
        <w:ind w:left="2126" w:hanging="1"/>
      </w:pPr>
      <w:rPr>
        <w:rFonts w:hint="default"/>
      </w:rPr>
    </w:lvl>
    <w:lvl w:ilvl="5">
      <w:start w:val="1"/>
      <w:numFmt w:val="none"/>
      <w:lvlText w:val=""/>
      <w:lvlJc w:val="left"/>
      <w:pPr>
        <w:ind w:left="2552" w:hanging="2"/>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3ED36C63"/>
    <w:multiLevelType w:val="hybridMultilevel"/>
    <w:tmpl w:val="CBDC6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0071FAE"/>
    <w:multiLevelType w:val="multilevel"/>
    <w:tmpl w:val="9D625AA6"/>
    <w:styleLink w:val="ListNumberedHeadings"/>
    <w:lvl w:ilvl="0">
      <w:start w:val="1"/>
      <w:numFmt w:val="decimal"/>
      <w:lvlText w:val="%1"/>
      <w:lvlJc w:val="left"/>
      <w:pPr>
        <w:tabs>
          <w:tab w:val="num" w:pos="1134"/>
        </w:tabs>
        <w:ind w:left="1134" w:hanging="1134"/>
      </w:pPr>
      <w:rPr>
        <w:rFonts w:asciiTheme="majorHAnsi" w:hAnsiTheme="majorHAnsi" w:hint="default"/>
        <w:color w:val="BAD8D4" w:themeColor="accent2"/>
      </w:rPr>
    </w:lvl>
    <w:lvl w:ilvl="1">
      <w:start w:val="1"/>
      <w:numFmt w:val="decimal"/>
      <w:lvlText w:val="%1.%2"/>
      <w:lvlJc w:val="left"/>
      <w:pPr>
        <w:tabs>
          <w:tab w:val="num" w:pos="1134"/>
        </w:tabs>
        <w:ind w:left="1134" w:hanging="1134"/>
      </w:pPr>
      <w:rPr>
        <w:rFonts w:ascii="Gotham Light" w:hAnsi="Gotham Light" w:hint="default"/>
        <w:color w:val="5688C0" w:themeColor="accent3"/>
      </w:rPr>
    </w:lvl>
    <w:lvl w:ilvl="2">
      <w:start w:val="1"/>
      <w:numFmt w:val="decimal"/>
      <w:lvlText w:val="%1.%2.%3"/>
      <w:lvlJc w:val="left"/>
      <w:pPr>
        <w:tabs>
          <w:tab w:val="num" w:pos="1134"/>
        </w:tabs>
        <w:ind w:left="1134" w:hanging="1134"/>
      </w:pPr>
      <w:rPr>
        <w:rFonts w:asciiTheme="majorHAnsi" w:hAnsiTheme="majorHAnsi" w:hint="default"/>
        <w:color w:val="652D86" w:themeColor="accent1"/>
      </w:rPr>
    </w:lvl>
    <w:lvl w:ilvl="3">
      <w:start w:val="1"/>
      <w:numFmt w:val="decimal"/>
      <w:lvlText w:val="%1.%2.%3.%4"/>
      <w:lvlJc w:val="left"/>
      <w:pPr>
        <w:tabs>
          <w:tab w:val="num" w:pos="1134"/>
        </w:tabs>
        <w:ind w:left="1134" w:hanging="1134"/>
      </w:pPr>
      <w:rPr>
        <w:rFonts w:asciiTheme="majorHAnsi" w:hAnsiTheme="majorHAnsi" w:hint="default"/>
        <w:color w:val="auto"/>
        <w:sz w:val="18"/>
      </w:rPr>
    </w:lvl>
    <w:lvl w:ilvl="4">
      <w:start w:val="1"/>
      <w:numFmt w:val="decimal"/>
      <w:lvlText w:val="%1.%2.%3.%4.%5"/>
      <w:lvlJc w:val="left"/>
      <w:pPr>
        <w:tabs>
          <w:tab w:val="num" w:pos="1134"/>
        </w:tabs>
        <w:ind w:left="1134" w:hanging="1134"/>
      </w:pPr>
      <w:rPr>
        <w:rFonts w:asciiTheme="majorHAnsi" w:hAnsiTheme="majorHAnsi" w:hint="default"/>
        <w:color w:val="BAD8D4" w:themeColor="accent2"/>
        <w:sz w:val="18"/>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1" w15:restartNumberingAfterBreak="0">
    <w:nsid w:val="47D042C0"/>
    <w:multiLevelType w:val="hybridMultilevel"/>
    <w:tmpl w:val="EF54ED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8C90D8A"/>
    <w:multiLevelType w:val="multilevel"/>
    <w:tmpl w:val="8752BC70"/>
    <w:numStyleLink w:val="ListSectionTitle"/>
  </w:abstractNum>
  <w:abstractNum w:abstractNumId="23" w15:restartNumberingAfterBreak="0">
    <w:nsid w:val="514B00A7"/>
    <w:multiLevelType w:val="hybridMultilevel"/>
    <w:tmpl w:val="75223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2AA0A7D"/>
    <w:multiLevelType w:val="multilevel"/>
    <w:tmpl w:val="E9B44B6A"/>
    <w:numStyleLink w:val="ListParagraph"/>
  </w:abstractNum>
  <w:abstractNum w:abstractNumId="25" w15:restartNumberingAfterBreak="0">
    <w:nsid w:val="53FE7795"/>
    <w:multiLevelType w:val="multilevel"/>
    <w:tmpl w:val="B5BC7C40"/>
    <w:numStyleLink w:val="ListAppendix"/>
  </w:abstractNum>
  <w:abstractNum w:abstractNumId="26" w15:restartNumberingAfterBreak="0">
    <w:nsid w:val="5BF768DD"/>
    <w:multiLevelType w:val="hybridMultilevel"/>
    <w:tmpl w:val="7D28D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0E1502C"/>
    <w:multiLevelType w:val="multilevel"/>
    <w:tmpl w:val="FF8069A4"/>
    <w:styleLink w:val="Bullets"/>
    <w:lvl w:ilvl="0">
      <w:start w:val="1"/>
      <w:numFmt w:val="bullet"/>
      <w:lvlText w:val="•"/>
      <w:lvlJc w:val="left"/>
      <w:pPr>
        <w:ind w:left="227" w:hanging="227"/>
      </w:pPr>
      <w:rPr>
        <w:rFonts w:ascii="Times New Roman" w:hAnsi="Times New Roman" w:cs="Times New Roman" w:hint="default"/>
        <w:color w:val="auto"/>
      </w:rPr>
    </w:lvl>
    <w:lvl w:ilvl="1">
      <w:start w:val="1"/>
      <w:numFmt w:val="bullet"/>
      <w:lvlText w:val="–"/>
      <w:lvlJc w:val="left"/>
      <w:pPr>
        <w:ind w:left="454" w:hanging="227"/>
      </w:pPr>
      <w:rPr>
        <w:rFonts w:ascii="Arial" w:hAnsi="Arial" w:cs="Times New Roman" w:hint="default"/>
        <w:color w:val="auto"/>
      </w:rPr>
    </w:lvl>
    <w:lvl w:ilvl="2">
      <w:start w:val="1"/>
      <w:numFmt w:val="bullet"/>
      <w:lvlText w:val="»"/>
      <w:lvlJc w:val="left"/>
      <w:pPr>
        <w:ind w:left="907" w:hanging="227"/>
      </w:pPr>
      <w:rPr>
        <w:rFonts w:ascii="Arial" w:hAnsi="Arial" w:cs="Times New Roman" w:hint="default"/>
        <w:color w:val="auto"/>
      </w:rPr>
    </w:lvl>
    <w:lvl w:ilvl="3">
      <w:start w:val="1"/>
      <w:numFmt w:val="bullet"/>
      <w:lvlText w:val="–"/>
      <w:lvlJc w:val="left"/>
      <w:pPr>
        <w:tabs>
          <w:tab w:val="num" w:pos="851"/>
        </w:tabs>
        <w:ind w:left="907" w:hanging="227"/>
      </w:pPr>
      <w:rPr>
        <w:rFonts w:ascii="Arial" w:hAnsi="Arial" w:cs="Times New Roman" w:hint="default"/>
        <w:color w:val="auto"/>
      </w:rPr>
    </w:lvl>
    <w:lvl w:ilvl="4">
      <w:start w:val="1"/>
      <w:numFmt w:val="bullet"/>
      <w:lvlText w:val="–"/>
      <w:lvlJc w:val="left"/>
      <w:pPr>
        <w:ind w:left="1134" w:hanging="227"/>
      </w:pPr>
      <w:rPr>
        <w:rFonts w:ascii="Arial" w:hAnsi="Arial" w:cs="Times New Roman" w:hint="default"/>
        <w:color w:val="auto"/>
      </w:rPr>
    </w:lvl>
    <w:lvl w:ilvl="5">
      <w:start w:val="1"/>
      <w:numFmt w:val="bullet"/>
      <w:lvlText w:val="–"/>
      <w:lvlJc w:val="left"/>
      <w:pPr>
        <w:ind w:left="1361" w:hanging="227"/>
      </w:pPr>
      <w:rPr>
        <w:rFonts w:ascii="Arial" w:hAnsi="Arial" w:cs="Times New Roman" w:hint="default"/>
      </w:rPr>
    </w:lvl>
    <w:lvl w:ilvl="6">
      <w:start w:val="1"/>
      <w:numFmt w:val="bullet"/>
      <w:lvlText w:val="–"/>
      <w:lvlJc w:val="left"/>
      <w:pPr>
        <w:ind w:left="1588" w:hanging="227"/>
      </w:pPr>
      <w:rPr>
        <w:rFonts w:ascii="Arial" w:hAnsi="Arial" w:cs="Times New Roman" w:hint="default"/>
      </w:rPr>
    </w:lvl>
    <w:lvl w:ilvl="7">
      <w:start w:val="1"/>
      <w:numFmt w:val="bullet"/>
      <w:lvlText w:val="–"/>
      <w:lvlJc w:val="left"/>
      <w:pPr>
        <w:ind w:left="1814" w:hanging="226"/>
      </w:pPr>
      <w:rPr>
        <w:rFonts w:ascii="Arial" w:hAnsi="Arial" w:cs="Times New Roman" w:hint="default"/>
      </w:rPr>
    </w:lvl>
    <w:lvl w:ilvl="8">
      <w:start w:val="1"/>
      <w:numFmt w:val="bullet"/>
      <w:lvlText w:val="–"/>
      <w:lvlJc w:val="left"/>
      <w:pPr>
        <w:tabs>
          <w:tab w:val="num" w:pos="2211"/>
        </w:tabs>
        <w:ind w:left="2041" w:hanging="227"/>
      </w:pPr>
      <w:rPr>
        <w:rFonts w:ascii="Arial" w:hAnsi="Arial" w:cs="Times New Roman" w:hint="default"/>
      </w:rPr>
    </w:lvl>
  </w:abstractNum>
  <w:abstractNum w:abstractNumId="28" w15:restartNumberingAfterBreak="0">
    <w:nsid w:val="662C740E"/>
    <w:multiLevelType w:val="hybridMultilevel"/>
    <w:tmpl w:val="188270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12A2990"/>
    <w:multiLevelType w:val="hybridMultilevel"/>
    <w:tmpl w:val="7818A2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25B532E"/>
    <w:multiLevelType w:val="multilevel"/>
    <w:tmpl w:val="2F6CA4A0"/>
    <w:styleLink w:val="ListBullet"/>
    <w:lvl w:ilvl="0">
      <w:start w:val="1"/>
      <w:numFmt w:val="bullet"/>
      <w:pStyle w:val="ListBullet0"/>
      <w:lvlText w:val=""/>
      <w:lvlJc w:val="left"/>
      <w:pPr>
        <w:tabs>
          <w:tab w:val="num" w:pos="425"/>
        </w:tabs>
        <w:ind w:left="425" w:hanging="425"/>
      </w:pPr>
      <w:rPr>
        <w:rFonts w:ascii="Symbol" w:hAnsi="Symbol" w:hint="default"/>
      </w:rPr>
    </w:lvl>
    <w:lvl w:ilvl="1">
      <w:start w:val="1"/>
      <w:numFmt w:val="bullet"/>
      <w:pStyle w:val="ListBullet2"/>
      <w:lvlText w:val="–"/>
      <w:lvlJc w:val="left"/>
      <w:pPr>
        <w:tabs>
          <w:tab w:val="num" w:pos="850"/>
        </w:tabs>
        <w:ind w:left="850" w:hanging="425"/>
      </w:pPr>
      <w:rPr>
        <w:rFonts w:ascii="Arial Rounded MT" w:hAnsi="Arial Rounded MT" w:hint="default"/>
        <w:color w:val="auto"/>
      </w:rPr>
    </w:lvl>
    <w:lvl w:ilvl="2">
      <w:start w:val="1"/>
      <w:numFmt w:val="bullet"/>
      <w:pStyle w:val="ListBullet3"/>
      <w:lvlText w:val=""/>
      <w:lvlJc w:val="left"/>
      <w:pPr>
        <w:tabs>
          <w:tab w:val="num" w:pos="1275"/>
        </w:tabs>
        <w:ind w:left="1275" w:hanging="425"/>
      </w:pPr>
      <w:rPr>
        <w:rFonts w:ascii="Symbol" w:hAnsi="Symbol" w:hint="default"/>
      </w:rPr>
    </w:lvl>
    <w:lvl w:ilvl="3">
      <w:start w:val="1"/>
      <w:numFmt w:val="bullet"/>
      <w:pStyle w:val="ListBullet4"/>
      <w:lvlText w:val="–"/>
      <w:lvlJc w:val="left"/>
      <w:pPr>
        <w:tabs>
          <w:tab w:val="num" w:pos="1700"/>
        </w:tabs>
        <w:ind w:left="1700" w:hanging="425"/>
      </w:pPr>
      <w:rPr>
        <w:rFonts w:ascii="Arial Rounded MT" w:hAnsi="Arial Rounded MT" w:hint="default"/>
      </w:rPr>
    </w:lvl>
    <w:lvl w:ilvl="4">
      <w:start w:val="1"/>
      <w:numFmt w:val="bullet"/>
      <w:pStyle w:val="ListBullet5"/>
      <w:lvlText w:val=""/>
      <w:lvlJc w:val="left"/>
      <w:pPr>
        <w:tabs>
          <w:tab w:val="num" w:pos="2125"/>
        </w:tabs>
        <w:ind w:left="2125" w:hanging="425"/>
      </w:pPr>
      <w:rPr>
        <w:rFonts w:ascii="Symbol" w:hAnsi="Symbol" w:hint="default"/>
        <w:color w:val="auto"/>
      </w:rPr>
    </w:lvl>
    <w:lvl w:ilvl="5">
      <w:start w:val="1"/>
      <w:numFmt w:val="bullet"/>
      <w:pStyle w:val="ListBullet6"/>
      <w:lvlText w:val="–"/>
      <w:lvlJc w:val="left"/>
      <w:pPr>
        <w:tabs>
          <w:tab w:val="num" w:pos="2550"/>
        </w:tabs>
        <w:ind w:left="2550" w:hanging="425"/>
      </w:pPr>
      <w:rPr>
        <w:rFonts w:ascii="Arial Rounded MT" w:hAnsi="Arial Rounded MT" w:hint="default"/>
      </w:rPr>
    </w:lvl>
    <w:lvl w:ilvl="6">
      <w:start w:val="1"/>
      <w:numFmt w:val="none"/>
      <w:lvlText w:val="%7"/>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31" w15:restartNumberingAfterBreak="0">
    <w:nsid w:val="7C2971C9"/>
    <w:multiLevelType w:val="hybridMultilevel"/>
    <w:tmpl w:val="13B0C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0"/>
  </w:num>
  <w:num w:numId="2">
    <w:abstractNumId w:val="9"/>
  </w:num>
  <w:num w:numId="3">
    <w:abstractNumId w:val="18"/>
  </w:num>
  <w:num w:numId="4">
    <w:abstractNumId w:val="5"/>
  </w:num>
  <w:num w:numId="5">
    <w:abstractNumId w:val="24"/>
  </w:num>
  <w:num w:numId="6">
    <w:abstractNumId w:val="11"/>
  </w:num>
  <w:num w:numId="7">
    <w:abstractNumId w:val="12"/>
  </w:num>
  <w:num w:numId="8">
    <w:abstractNumId w:val="13"/>
  </w:num>
  <w:num w:numId="9">
    <w:abstractNumId w:val="4"/>
  </w:num>
  <w:num w:numId="10">
    <w:abstractNumId w:val="20"/>
  </w:num>
  <w:num w:numId="11">
    <w:abstractNumId w:val="3"/>
  </w:num>
  <w:num w:numId="12">
    <w:abstractNumId w:val="0"/>
  </w:num>
  <w:num w:numId="13">
    <w:abstractNumId w:val="22"/>
  </w:num>
  <w:num w:numId="14">
    <w:abstractNumId w:val="25"/>
  </w:num>
  <w:num w:numId="15">
    <w:abstractNumId w:val="16"/>
  </w:num>
  <w:num w:numId="16">
    <w:abstractNumId w:val="10"/>
  </w:num>
  <w:num w:numId="17">
    <w:abstractNumId w:val="27"/>
  </w:num>
  <w:num w:numId="18">
    <w:abstractNumId w:val="6"/>
  </w:num>
  <w:num w:numId="19">
    <w:abstractNumId w:val="19"/>
  </w:num>
  <w:num w:numId="20">
    <w:abstractNumId w:val="8"/>
  </w:num>
  <w:num w:numId="21">
    <w:abstractNumId w:val="7"/>
  </w:num>
  <w:num w:numId="22">
    <w:abstractNumId w:val="26"/>
  </w:num>
  <w:num w:numId="23">
    <w:abstractNumId w:val="31"/>
  </w:num>
  <w:num w:numId="24">
    <w:abstractNumId w:val="2"/>
  </w:num>
  <w:num w:numId="25">
    <w:abstractNumId w:val="29"/>
  </w:num>
  <w:num w:numId="26">
    <w:abstractNumId w:val="1"/>
  </w:num>
  <w:num w:numId="27">
    <w:abstractNumId w:val="28"/>
  </w:num>
  <w:num w:numId="28">
    <w:abstractNumId w:val="23"/>
  </w:num>
  <w:num w:numId="29">
    <w:abstractNumId w:val="15"/>
  </w:num>
  <w:num w:numId="30">
    <w:abstractNumId w:val="21"/>
  </w:num>
  <w:num w:numId="31">
    <w:abstractNumId w:val="17"/>
  </w:num>
  <w:num w:numId="32">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W1NDM0Mza2MDADAiUdpeDU4uLM/DyQAkOjWgBqvYnnLQAAAA=="/>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Arial&lt;/FontName&gt;&lt;FontSize&gt;11&lt;/FontSize&gt;&lt;ReflistTitle&gt;&lt;/ReflistTitle&gt;&lt;StartingRefnum&gt;1&lt;/StartingRefnum&gt;&lt;FirstLineIndent&gt;0&lt;/FirstLineIndent&gt;&lt;HangingIndent&gt;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xx2v2zadpfd5z8etd04xdztg9xtdpff2szrs&quot;&gt;Carers-Leave&lt;record-ids&gt;&lt;item&gt;3&lt;/item&gt;&lt;item&gt;4&lt;/item&gt;&lt;item&gt;10&lt;/item&gt;&lt;item&gt;16&lt;/item&gt;&lt;item&gt;17&lt;/item&gt;&lt;item&gt;18&lt;/item&gt;&lt;item&gt;19&lt;/item&gt;&lt;item&gt;20&lt;/item&gt;&lt;item&gt;21&lt;/item&gt;&lt;item&gt;22&lt;/item&gt;&lt;item&gt;23&lt;/item&gt;&lt;item&gt;24&lt;/item&gt;&lt;item&gt;25&lt;/item&gt;&lt;item&gt;26&lt;/item&gt;&lt;/record-ids&gt;&lt;/item&gt;&lt;/Libraries&gt;"/>
  </w:docVars>
  <w:rsids>
    <w:rsidRoot w:val="00BB65E2"/>
    <w:rsid w:val="00004583"/>
    <w:rsid w:val="00006694"/>
    <w:rsid w:val="0001025F"/>
    <w:rsid w:val="00012171"/>
    <w:rsid w:val="000170D2"/>
    <w:rsid w:val="00027898"/>
    <w:rsid w:val="000300D4"/>
    <w:rsid w:val="00034D15"/>
    <w:rsid w:val="00042A3F"/>
    <w:rsid w:val="00050E68"/>
    <w:rsid w:val="0005195B"/>
    <w:rsid w:val="0005463E"/>
    <w:rsid w:val="0007294E"/>
    <w:rsid w:val="00073E25"/>
    <w:rsid w:val="00083C46"/>
    <w:rsid w:val="00087C11"/>
    <w:rsid w:val="000A7AFE"/>
    <w:rsid w:val="000B3E75"/>
    <w:rsid w:val="000C0281"/>
    <w:rsid w:val="000D0828"/>
    <w:rsid w:val="000D5448"/>
    <w:rsid w:val="000E088B"/>
    <w:rsid w:val="000F4423"/>
    <w:rsid w:val="00103D53"/>
    <w:rsid w:val="001100C4"/>
    <w:rsid w:val="00113080"/>
    <w:rsid w:val="00142D3D"/>
    <w:rsid w:val="00151768"/>
    <w:rsid w:val="001532FD"/>
    <w:rsid w:val="0016241C"/>
    <w:rsid w:val="00165B0C"/>
    <w:rsid w:val="00173D04"/>
    <w:rsid w:val="001741BF"/>
    <w:rsid w:val="0017489A"/>
    <w:rsid w:val="001748ED"/>
    <w:rsid w:val="0018296F"/>
    <w:rsid w:val="00193459"/>
    <w:rsid w:val="00193BA2"/>
    <w:rsid w:val="00194908"/>
    <w:rsid w:val="00196C64"/>
    <w:rsid w:val="001A4E82"/>
    <w:rsid w:val="001B0B19"/>
    <w:rsid w:val="001B48C6"/>
    <w:rsid w:val="001B6A57"/>
    <w:rsid w:val="001C2DC1"/>
    <w:rsid w:val="001E544B"/>
    <w:rsid w:val="00213845"/>
    <w:rsid w:val="002142AC"/>
    <w:rsid w:val="00217245"/>
    <w:rsid w:val="002233DE"/>
    <w:rsid w:val="002239C0"/>
    <w:rsid w:val="00241009"/>
    <w:rsid w:val="00241DF1"/>
    <w:rsid w:val="00242EA1"/>
    <w:rsid w:val="00246596"/>
    <w:rsid w:val="00250110"/>
    <w:rsid w:val="00261624"/>
    <w:rsid w:val="00273BE2"/>
    <w:rsid w:val="00277AEA"/>
    <w:rsid w:val="00280D10"/>
    <w:rsid w:val="002870A3"/>
    <w:rsid w:val="00287293"/>
    <w:rsid w:val="00292EDB"/>
    <w:rsid w:val="002A2443"/>
    <w:rsid w:val="002B1232"/>
    <w:rsid w:val="002B60D0"/>
    <w:rsid w:val="002D73F6"/>
    <w:rsid w:val="002E48CA"/>
    <w:rsid w:val="002F612F"/>
    <w:rsid w:val="00300BF0"/>
    <w:rsid w:val="00310B79"/>
    <w:rsid w:val="00310C3D"/>
    <w:rsid w:val="0032304C"/>
    <w:rsid w:val="0033054B"/>
    <w:rsid w:val="003603E5"/>
    <w:rsid w:val="00362548"/>
    <w:rsid w:val="00365B8B"/>
    <w:rsid w:val="0037307F"/>
    <w:rsid w:val="00382562"/>
    <w:rsid w:val="00397E68"/>
    <w:rsid w:val="003A703A"/>
    <w:rsid w:val="003C35BE"/>
    <w:rsid w:val="003C4200"/>
    <w:rsid w:val="003C7A3C"/>
    <w:rsid w:val="003E1311"/>
    <w:rsid w:val="003E6540"/>
    <w:rsid w:val="003F5922"/>
    <w:rsid w:val="00400975"/>
    <w:rsid w:val="0041204B"/>
    <w:rsid w:val="00416FF4"/>
    <w:rsid w:val="004206F4"/>
    <w:rsid w:val="004233D9"/>
    <w:rsid w:val="00432F2B"/>
    <w:rsid w:val="0043499C"/>
    <w:rsid w:val="00441741"/>
    <w:rsid w:val="00445521"/>
    <w:rsid w:val="00452B36"/>
    <w:rsid w:val="00457AB1"/>
    <w:rsid w:val="00462B84"/>
    <w:rsid w:val="00463D08"/>
    <w:rsid w:val="0046714E"/>
    <w:rsid w:val="00467351"/>
    <w:rsid w:val="004713C5"/>
    <w:rsid w:val="00474724"/>
    <w:rsid w:val="00485FF7"/>
    <w:rsid w:val="00487123"/>
    <w:rsid w:val="004972A0"/>
    <w:rsid w:val="004B631F"/>
    <w:rsid w:val="004B6D21"/>
    <w:rsid w:val="004B7DD3"/>
    <w:rsid w:val="004D1799"/>
    <w:rsid w:val="004D43CE"/>
    <w:rsid w:val="004E135B"/>
    <w:rsid w:val="004E15E6"/>
    <w:rsid w:val="004E3690"/>
    <w:rsid w:val="004F0FF5"/>
    <w:rsid w:val="00502D4B"/>
    <w:rsid w:val="00507B7F"/>
    <w:rsid w:val="00514E55"/>
    <w:rsid w:val="0053017F"/>
    <w:rsid w:val="00530FAB"/>
    <w:rsid w:val="005568AD"/>
    <w:rsid w:val="005574CC"/>
    <w:rsid w:val="00564DF1"/>
    <w:rsid w:val="00565401"/>
    <w:rsid w:val="00571DD0"/>
    <w:rsid w:val="00573F03"/>
    <w:rsid w:val="00576B41"/>
    <w:rsid w:val="005A4A9E"/>
    <w:rsid w:val="005B156A"/>
    <w:rsid w:val="005B54F0"/>
    <w:rsid w:val="005B55F0"/>
    <w:rsid w:val="005C4BA2"/>
    <w:rsid w:val="005D0167"/>
    <w:rsid w:val="005D4250"/>
    <w:rsid w:val="005E3B57"/>
    <w:rsid w:val="005E6CF8"/>
    <w:rsid w:val="005E7363"/>
    <w:rsid w:val="005F08E3"/>
    <w:rsid w:val="005F10A5"/>
    <w:rsid w:val="00610370"/>
    <w:rsid w:val="00614669"/>
    <w:rsid w:val="00636186"/>
    <w:rsid w:val="006377A2"/>
    <w:rsid w:val="0063791D"/>
    <w:rsid w:val="006464D2"/>
    <w:rsid w:val="00663E44"/>
    <w:rsid w:val="00670B05"/>
    <w:rsid w:val="0067513F"/>
    <w:rsid w:val="00684298"/>
    <w:rsid w:val="00685077"/>
    <w:rsid w:val="006873AE"/>
    <w:rsid w:val="006917B9"/>
    <w:rsid w:val="006A1B55"/>
    <w:rsid w:val="006A3499"/>
    <w:rsid w:val="006A37C7"/>
    <w:rsid w:val="006B7A40"/>
    <w:rsid w:val="006C0E44"/>
    <w:rsid w:val="006E383A"/>
    <w:rsid w:val="006E71A4"/>
    <w:rsid w:val="006F3C27"/>
    <w:rsid w:val="006F4A1B"/>
    <w:rsid w:val="0071246C"/>
    <w:rsid w:val="00716942"/>
    <w:rsid w:val="0072122F"/>
    <w:rsid w:val="00721625"/>
    <w:rsid w:val="007239C6"/>
    <w:rsid w:val="00726403"/>
    <w:rsid w:val="00726BD4"/>
    <w:rsid w:val="00730459"/>
    <w:rsid w:val="00731D4C"/>
    <w:rsid w:val="00755477"/>
    <w:rsid w:val="0078557A"/>
    <w:rsid w:val="00792151"/>
    <w:rsid w:val="007A1542"/>
    <w:rsid w:val="007A6312"/>
    <w:rsid w:val="007B215D"/>
    <w:rsid w:val="007B3441"/>
    <w:rsid w:val="007C38B8"/>
    <w:rsid w:val="007D7382"/>
    <w:rsid w:val="007E147B"/>
    <w:rsid w:val="007E3873"/>
    <w:rsid w:val="007E7A88"/>
    <w:rsid w:val="007F5557"/>
    <w:rsid w:val="00805CE2"/>
    <w:rsid w:val="00811538"/>
    <w:rsid w:val="0081418C"/>
    <w:rsid w:val="0082380E"/>
    <w:rsid w:val="0083028E"/>
    <w:rsid w:val="00834296"/>
    <w:rsid w:val="00835311"/>
    <w:rsid w:val="0084489A"/>
    <w:rsid w:val="00862690"/>
    <w:rsid w:val="00866B54"/>
    <w:rsid w:val="00876D8F"/>
    <w:rsid w:val="008804CD"/>
    <w:rsid w:val="00881870"/>
    <w:rsid w:val="00882359"/>
    <w:rsid w:val="00883EF1"/>
    <w:rsid w:val="00896122"/>
    <w:rsid w:val="008A54C0"/>
    <w:rsid w:val="008B05C7"/>
    <w:rsid w:val="008B0D7D"/>
    <w:rsid w:val="008B1FE6"/>
    <w:rsid w:val="008C0369"/>
    <w:rsid w:val="008D5973"/>
    <w:rsid w:val="008E2A58"/>
    <w:rsid w:val="008E2EA4"/>
    <w:rsid w:val="008E75DC"/>
    <w:rsid w:val="008F1B16"/>
    <w:rsid w:val="008F5646"/>
    <w:rsid w:val="008F6DA1"/>
    <w:rsid w:val="00901358"/>
    <w:rsid w:val="00913F01"/>
    <w:rsid w:val="00944DDB"/>
    <w:rsid w:val="00960F48"/>
    <w:rsid w:val="00962D5A"/>
    <w:rsid w:val="00967200"/>
    <w:rsid w:val="00976371"/>
    <w:rsid w:val="009774DC"/>
    <w:rsid w:val="0098214D"/>
    <w:rsid w:val="009A2D57"/>
    <w:rsid w:val="009C6787"/>
    <w:rsid w:val="009D1C6B"/>
    <w:rsid w:val="009D48CA"/>
    <w:rsid w:val="009D6006"/>
    <w:rsid w:val="009D6143"/>
    <w:rsid w:val="009D7F71"/>
    <w:rsid w:val="009E3486"/>
    <w:rsid w:val="009E3FDE"/>
    <w:rsid w:val="009E6379"/>
    <w:rsid w:val="009E7DD1"/>
    <w:rsid w:val="009F043B"/>
    <w:rsid w:val="009F057D"/>
    <w:rsid w:val="009F176F"/>
    <w:rsid w:val="009F3881"/>
    <w:rsid w:val="00A0073E"/>
    <w:rsid w:val="00A052DA"/>
    <w:rsid w:val="00A10C99"/>
    <w:rsid w:val="00A12421"/>
    <w:rsid w:val="00A12FBC"/>
    <w:rsid w:val="00A2102A"/>
    <w:rsid w:val="00A2225B"/>
    <w:rsid w:val="00A3371A"/>
    <w:rsid w:val="00A34437"/>
    <w:rsid w:val="00A52DFD"/>
    <w:rsid w:val="00A60AB6"/>
    <w:rsid w:val="00A60BE5"/>
    <w:rsid w:val="00A75202"/>
    <w:rsid w:val="00A75A51"/>
    <w:rsid w:val="00A77D53"/>
    <w:rsid w:val="00A83B67"/>
    <w:rsid w:val="00A85A38"/>
    <w:rsid w:val="00AA1166"/>
    <w:rsid w:val="00AC4588"/>
    <w:rsid w:val="00AC4C91"/>
    <w:rsid w:val="00AD2201"/>
    <w:rsid w:val="00AD41FC"/>
    <w:rsid w:val="00AE34ED"/>
    <w:rsid w:val="00B025B0"/>
    <w:rsid w:val="00B042DF"/>
    <w:rsid w:val="00B13955"/>
    <w:rsid w:val="00B226FE"/>
    <w:rsid w:val="00B22ABE"/>
    <w:rsid w:val="00B4478A"/>
    <w:rsid w:val="00B579F6"/>
    <w:rsid w:val="00B672AB"/>
    <w:rsid w:val="00B67A60"/>
    <w:rsid w:val="00B742E4"/>
    <w:rsid w:val="00B91FBB"/>
    <w:rsid w:val="00BB65E2"/>
    <w:rsid w:val="00BC0E71"/>
    <w:rsid w:val="00BE48A2"/>
    <w:rsid w:val="00BF5C0E"/>
    <w:rsid w:val="00C20C17"/>
    <w:rsid w:val="00C33B32"/>
    <w:rsid w:val="00C40D08"/>
    <w:rsid w:val="00C474B7"/>
    <w:rsid w:val="00C55D20"/>
    <w:rsid w:val="00C62DB7"/>
    <w:rsid w:val="00C66E78"/>
    <w:rsid w:val="00C67048"/>
    <w:rsid w:val="00C853EF"/>
    <w:rsid w:val="00C86FDA"/>
    <w:rsid w:val="00C870F4"/>
    <w:rsid w:val="00C960ED"/>
    <w:rsid w:val="00CC57E6"/>
    <w:rsid w:val="00CD4A99"/>
    <w:rsid w:val="00CF66F5"/>
    <w:rsid w:val="00D10F90"/>
    <w:rsid w:val="00D13C7F"/>
    <w:rsid w:val="00D16D46"/>
    <w:rsid w:val="00D21733"/>
    <w:rsid w:val="00D3149A"/>
    <w:rsid w:val="00D32971"/>
    <w:rsid w:val="00D33A9D"/>
    <w:rsid w:val="00D41C1C"/>
    <w:rsid w:val="00D44241"/>
    <w:rsid w:val="00D4517E"/>
    <w:rsid w:val="00D4705E"/>
    <w:rsid w:val="00D5303B"/>
    <w:rsid w:val="00D67FDD"/>
    <w:rsid w:val="00D76C59"/>
    <w:rsid w:val="00D76FD5"/>
    <w:rsid w:val="00D8242B"/>
    <w:rsid w:val="00D94F37"/>
    <w:rsid w:val="00DA5594"/>
    <w:rsid w:val="00DA65AC"/>
    <w:rsid w:val="00DB5108"/>
    <w:rsid w:val="00DB5995"/>
    <w:rsid w:val="00DC24D2"/>
    <w:rsid w:val="00DD0AFE"/>
    <w:rsid w:val="00DD3FBD"/>
    <w:rsid w:val="00DD609F"/>
    <w:rsid w:val="00DD65ED"/>
    <w:rsid w:val="00DF135C"/>
    <w:rsid w:val="00E02C6F"/>
    <w:rsid w:val="00E03510"/>
    <w:rsid w:val="00E10F72"/>
    <w:rsid w:val="00E479DA"/>
    <w:rsid w:val="00E521FD"/>
    <w:rsid w:val="00E5565C"/>
    <w:rsid w:val="00E7261C"/>
    <w:rsid w:val="00E77CB1"/>
    <w:rsid w:val="00E87A8D"/>
    <w:rsid w:val="00EA19D5"/>
    <w:rsid w:val="00EC19B3"/>
    <w:rsid w:val="00EC36A6"/>
    <w:rsid w:val="00ED0CAF"/>
    <w:rsid w:val="00ED7464"/>
    <w:rsid w:val="00EE1A8D"/>
    <w:rsid w:val="00EE473C"/>
    <w:rsid w:val="00F00339"/>
    <w:rsid w:val="00F0090D"/>
    <w:rsid w:val="00F35375"/>
    <w:rsid w:val="00F4114D"/>
    <w:rsid w:val="00F47906"/>
    <w:rsid w:val="00F51A81"/>
    <w:rsid w:val="00F65963"/>
    <w:rsid w:val="00F66AB3"/>
    <w:rsid w:val="00F71ADB"/>
    <w:rsid w:val="00F8295B"/>
    <w:rsid w:val="00F870C9"/>
    <w:rsid w:val="00F87F8B"/>
    <w:rsid w:val="00F9621C"/>
    <w:rsid w:val="00F96FF8"/>
    <w:rsid w:val="00FA7D77"/>
    <w:rsid w:val="00FC0BC3"/>
    <w:rsid w:val="00FC4034"/>
    <w:rsid w:val="00FC4941"/>
    <w:rsid w:val="00FD1621"/>
    <w:rsid w:val="00FD650E"/>
    <w:rsid w:val="00FE23A6"/>
    <w:rsid w:val="00FE7360"/>
    <w:rsid w:val="00FF0C69"/>
    <w:rsid w:val="00FF554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5711C"/>
  <w15:chartTrackingRefBased/>
  <w15:docId w15:val="{8A783ACC-D9CE-4C5C-8340-3960FEEFF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lsdException w:name="toc 8"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 w:qFormat="1"/>
    <w:lsdException w:name="List Bullet 3" w:uiPriority="1" w:qFormat="1"/>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BE2"/>
    <w:pPr>
      <w:spacing w:after="0" w:line="240" w:lineRule="auto"/>
    </w:pPr>
  </w:style>
  <w:style w:type="paragraph" w:styleId="Heading1">
    <w:name w:val="heading 1"/>
    <w:basedOn w:val="Normal"/>
    <w:next w:val="BodyText"/>
    <w:link w:val="Heading1Char"/>
    <w:autoRedefine/>
    <w:uiPriority w:val="1"/>
    <w:qFormat/>
    <w:rsid w:val="00DB5995"/>
    <w:pPr>
      <w:keepNext/>
      <w:keepLines/>
      <w:spacing w:before="360" w:after="480"/>
      <w:outlineLvl w:val="0"/>
    </w:pPr>
    <w:rPr>
      <w:rFonts w:ascii="Century Gothic" w:eastAsiaTheme="majorEastAsia" w:hAnsi="Century Gothic" w:cstheme="majorBidi"/>
      <w:color w:val="652D86" w:themeColor="text2"/>
      <w:sz w:val="36"/>
      <w:szCs w:val="36"/>
    </w:rPr>
  </w:style>
  <w:style w:type="paragraph" w:styleId="Heading2">
    <w:name w:val="heading 2"/>
    <w:basedOn w:val="Normal"/>
    <w:next w:val="BodyText"/>
    <w:link w:val="Heading2Char"/>
    <w:autoRedefine/>
    <w:uiPriority w:val="1"/>
    <w:qFormat/>
    <w:rsid w:val="007E147B"/>
    <w:pPr>
      <w:keepNext/>
      <w:keepLines/>
      <w:spacing w:before="240" w:after="360"/>
      <w:outlineLvl w:val="1"/>
    </w:pPr>
    <w:rPr>
      <w:rFonts w:ascii="Century Gothic" w:eastAsiaTheme="majorEastAsia" w:hAnsi="Century Gothic" w:cstheme="majorBidi"/>
      <w:b/>
      <w:color w:val="652D86" w:themeColor="text2"/>
      <w:sz w:val="28"/>
      <w:szCs w:val="26"/>
    </w:rPr>
  </w:style>
  <w:style w:type="paragraph" w:styleId="Heading3">
    <w:name w:val="heading 3"/>
    <w:basedOn w:val="Normal"/>
    <w:next w:val="BodyText"/>
    <w:link w:val="Heading3Char"/>
    <w:autoRedefine/>
    <w:uiPriority w:val="1"/>
    <w:qFormat/>
    <w:rsid w:val="00DB5995"/>
    <w:pPr>
      <w:keepNext/>
      <w:keepLines/>
      <w:spacing w:before="360" w:after="240"/>
      <w:outlineLvl w:val="2"/>
    </w:pPr>
    <w:rPr>
      <w:rFonts w:ascii="Century Gothic" w:eastAsiaTheme="majorEastAsia" w:hAnsi="Century Gothic" w:cstheme="majorBidi"/>
      <w:color w:val="652D86" w:themeColor="text2"/>
      <w:sz w:val="26"/>
      <w:szCs w:val="24"/>
    </w:rPr>
  </w:style>
  <w:style w:type="paragraph" w:styleId="Heading4">
    <w:name w:val="heading 4"/>
    <w:basedOn w:val="Normal"/>
    <w:next w:val="BodyText"/>
    <w:link w:val="Heading4Char"/>
    <w:autoRedefine/>
    <w:uiPriority w:val="1"/>
    <w:qFormat/>
    <w:rsid w:val="00142D3D"/>
    <w:pPr>
      <w:keepNext/>
      <w:keepLines/>
      <w:spacing w:before="240" w:after="120"/>
      <w:outlineLvl w:val="3"/>
    </w:pPr>
    <w:rPr>
      <w:rFonts w:ascii="Arial" w:eastAsiaTheme="majorEastAsia" w:hAnsi="Arial" w:cstheme="majorBidi"/>
      <w:b/>
      <w:iCs/>
      <w:color w:val="652D86" w:themeColor="text2"/>
    </w:rPr>
  </w:style>
  <w:style w:type="paragraph" w:styleId="Heading5">
    <w:name w:val="heading 5"/>
    <w:basedOn w:val="Normal"/>
    <w:next w:val="BodyText"/>
    <w:link w:val="Heading5Char"/>
    <w:autoRedefine/>
    <w:uiPriority w:val="1"/>
    <w:qFormat/>
    <w:rsid w:val="00241009"/>
    <w:pPr>
      <w:keepNext/>
      <w:keepLines/>
      <w:spacing w:before="240" w:after="120"/>
      <w:outlineLvl w:val="4"/>
    </w:pPr>
    <w:rPr>
      <w:rFonts w:ascii="Century Gothic" w:eastAsiaTheme="majorEastAsia" w:hAnsi="Century Gothic" w:cstheme="majorBidi"/>
      <w:i/>
      <w:color w:val="DDD0E3" w:themeColor="background1"/>
    </w:rPr>
  </w:style>
  <w:style w:type="paragraph" w:styleId="Heading9">
    <w:name w:val="heading 9"/>
    <w:aliases w:val="Appendix H11"/>
    <w:basedOn w:val="Normal"/>
    <w:next w:val="BodyText"/>
    <w:link w:val="Heading9Char"/>
    <w:autoRedefine/>
    <w:uiPriority w:val="12"/>
    <w:semiHidden/>
    <w:qFormat/>
    <w:rsid w:val="0053017F"/>
    <w:pPr>
      <w:pageBreakBefore/>
      <w:numPr>
        <w:numId w:val="14"/>
      </w:numPr>
      <w:outlineLvl w:val="8"/>
    </w:pPr>
    <w:rPr>
      <w:b/>
      <w:iCs/>
      <w:color w:val="DDD0E3" w:themeColor="background1"/>
      <w:sz w:val="6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34"/>
    <w:qFormat/>
    <w:rsid w:val="005E7363"/>
    <w:pPr>
      <w:ind w:left="425"/>
    </w:pPr>
  </w:style>
  <w:style w:type="paragraph" w:customStyle="1" w:styleId="ListParagraph2">
    <w:name w:val="List Paragraph 2"/>
    <w:basedOn w:val="ListParagraph0"/>
    <w:uiPriority w:val="19"/>
    <w:rsid w:val="005E7363"/>
    <w:pPr>
      <w:numPr>
        <w:ilvl w:val="1"/>
      </w:numPr>
      <w:ind w:left="425"/>
    </w:pPr>
  </w:style>
  <w:style w:type="paragraph" w:customStyle="1" w:styleId="ListParagraph3">
    <w:name w:val="List Paragraph 3"/>
    <w:basedOn w:val="ListParagraph0"/>
    <w:uiPriority w:val="19"/>
    <w:rsid w:val="005E7363"/>
    <w:pPr>
      <w:numPr>
        <w:ilvl w:val="2"/>
      </w:numPr>
      <w:ind w:left="425"/>
    </w:pPr>
  </w:style>
  <w:style w:type="paragraph" w:customStyle="1" w:styleId="ListParagraph4">
    <w:name w:val="List Paragraph 4"/>
    <w:basedOn w:val="ListParagraph0"/>
    <w:uiPriority w:val="19"/>
    <w:rsid w:val="005E7363"/>
    <w:pPr>
      <w:numPr>
        <w:ilvl w:val="3"/>
      </w:numPr>
      <w:ind w:left="425"/>
    </w:pPr>
  </w:style>
  <w:style w:type="paragraph" w:customStyle="1" w:styleId="ListParagraph5">
    <w:name w:val="List Paragraph 5"/>
    <w:basedOn w:val="ListParagraph0"/>
    <w:uiPriority w:val="19"/>
    <w:rsid w:val="005E7363"/>
    <w:pPr>
      <w:numPr>
        <w:ilvl w:val="4"/>
      </w:numPr>
      <w:ind w:left="425"/>
    </w:pPr>
  </w:style>
  <w:style w:type="character" w:customStyle="1" w:styleId="Heading1Char">
    <w:name w:val="Heading 1 Char"/>
    <w:basedOn w:val="DefaultParagraphFont"/>
    <w:link w:val="Heading1"/>
    <w:uiPriority w:val="1"/>
    <w:rsid w:val="00DB5995"/>
    <w:rPr>
      <w:rFonts w:ascii="Century Gothic" w:eastAsiaTheme="majorEastAsia" w:hAnsi="Century Gothic" w:cstheme="majorBidi"/>
      <w:color w:val="652D86" w:themeColor="text2"/>
      <w:sz w:val="36"/>
      <w:szCs w:val="36"/>
    </w:rPr>
  </w:style>
  <w:style w:type="paragraph" w:customStyle="1" w:styleId="NbrHeading1">
    <w:name w:val="Nbr Heading 1"/>
    <w:basedOn w:val="Heading1"/>
    <w:next w:val="BodyText"/>
    <w:uiPriority w:val="1"/>
    <w:qFormat/>
    <w:rsid w:val="00834296"/>
    <w:pPr>
      <w:numPr>
        <w:numId w:val="6"/>
      </w:numPr>
    </w:pPr>
  </w:style>
  <w:style w:type="character" w:customStyle="1" w:styleId="Heading2Char">
    <w:name w:val="Heading 2 Char"/>
    <w:basedOn w:val="DefaultParagraphFont"/>
    <w:link w:val="Heading2"/>
    <w:uiPriority w:val="1"/>
    <w:rsid w:val="007E147B"/>
    <w:rPr>
      <w:rFonts w:ascii="Century Gothic" w:eastAsiaTheme="majorEastAsia" w:hAnsi="Century Gothic" w:cstheme="majorBidi"/>
      <w:b/>
      <w:color w:val="652D86" w:themeColor="text2"/>
      <w:sz w:val="28"/>
      <w:szCs w:val="26"/>
    </w:rPr>
  </w:style>
  <w:style w:type="paragraph" w:customStyle="1" w:styleId="NbrHeading2">
    <w:name w:val="Nbr Heading 2"/>
    <w:basedOn w:val="Heading2"/>
    <w:next w:val="BodyText"/>
    <w:uiPriority w:val="1"/>
    <w:qFormat/>
    <w:rsid w:val="00834296"/>
    <w:pPr>
      <w:numPr>
        <w:ilvl w:val="1"/>
        <w:numId w:val="6"/>
      </w:numPr>
    </w:pPr>
  </w:style>
  <w:style w:type="character" w:customStyle="1" w:styleId="Heading3Char">
    <w:name w:val="Heading 3 Char"/>
    <w:basedOn w:val="DefaultParagraphFont"/>
    <w:link w:val="Heading3"/>
    <w:uiPriority w:val="1"/>
    <w:rsid w:val="00DB5995"/>
    <w:rPr>
      <w:rFonts w:ascii="Century Gothic" w:eastAsiaTheme="majorEastAsia" w:hAnsi="Century Gothic" w:cstheme="majorBidi"/>
      <w:color w:val="652D86" w:themeColor="text2"/>
      <w:sz w:val="26"/>
      <w:szCs w:val="24"/>
    </w:rPr>
  </w:style>
  <w:style w:type="paragraph" w:customStyle="1" w:styleId="NbrHeading3">
    <w:name w:val="Nbr Heading 3"/>
    <w:basedOn w:val="Heading3"/>
    <w:next w:val="BodyText"/>
    <w:uiPriority w:val="1"/>
    <w:qFormat/>
    <w:rsid w:val="00834296"/>
    <w:pPr>
      <w:numPr>
        <w:ilvl w:val="2"/>
        <w:numId w:val="6"/>
      </w:numPr>
    </w:pPr>
  </w:style>
  <w:style w:type="character" w:customStyle="1" w:styleId="Heading4Char">
    <w:name w:val="Heading 4 Char"/>
    <w:basedOn w:val="DefaultParagraphFont"/>
    <w:link w:val="Heading4"/>
    <w:uiPriority w:val="1"/>
    <w:rsid w:val="00142D3D"/>
    <w:rPr>
      <w:rFonts w:ascii="Arial" w:eastAsiaTheme="majorEastAsia" w:hAnsi="Arial" w:cstheme="majorBidi"/>
      <w:b/>
      <w:iCs/>
      <w:color w:val="652D86" w:themeColor="text2"/>
    </w:rPr>
  </w:style>
  <w:style w:type="paragraph" w:customStyle="1" w:styleId="NbrHeading4">
    <w:name w:val="Nbr Heading 4"/>
    <w:basedOn w:val="Heading4"/>
    <w:next w:val="BodyText"/>
    <w:uiPriority w:val="1"/>
    <w:qFormat/>
    <w:rsid w:val="00834296"/>
    <w:pPr>
      <w:numPr>
        <w:ilvl w:val="3"/>
        <w:numId w:val="6"/>
      </w:numPr>
    </w:pPr>
  </w:style>
  <w:style w:type="character" w:customStyle="1" w:styleId="Heading5Char">
    <w:name w:val="Heading 5 Char"/>
    <w:basedOn w:val="DefaultParagraphFont"/>
    <w:link w:val="Heading5"/>
    <w:uiPriority w:val="1"/>
    <w:rsid w:val="00241009"/>
    <w:rPr>
      <w:rFonts w:ascii="Century Gothic" w:eastAsiaTheme="majorEastAsia" w:hAnsi="Century Gothic" w:cstheme="majorBidi"/>
      <w:i/>
      <w:color w:val="DDD0E3" w:themeColor="background1"/>
    </w:rPr>
  </w:style>
  <w:style w:type="paragraph" w:customStyle="1" w:styleId="NbrHeading5">
    <w:name w:val="Nbr Heading 5"/>
    <w:basedOn w:val="Heading5"/>
    <w:next w:val="BodyText"/>
    <w:uiPriority w:val="1"/>
    <w:qFormat/>
    <w:rsid w:val="00834296"/>
    <w:pPr>
      <w:numPr>
        <w:ilvl w:val="4"/>
        <w:numId w:val="6"/>
      </w:numPr>
    </w:pPr>
  </w:style>
  <w:style w:type="paragraph" w:styleId="Caption">
    <w:name w:val="caption"/>
    <w:basedOn w:val="Normal"/>
    <w:next w:val="FigureStyle"/>
    <w:link w:val="CaptionChar"/>
    <w:autoRedefine/>
    <w:uiPriority w:val="35"/>
    <w:qFormat/>
    <w:rsid w:val="00B91FBB"/>
    <w:pPr>
      <w:keepNext/>
      <w:tabs>
        <w:tab w:val="left" w:pos="0"/>
      </w:tabs>
      <w:spacing w:before="240" w:after="120"/>
    </w:pPr>
    <w:rPr>
      <w:i/>
      <w:iCs/>
      <w:color w:val="5A2878" w:themeColor="text2" w:themeShade="E6"/>
      <w:szCs w:val="18"/>
    </w:rPr>
  </w:style>
  <w:style w:type="paragraph" w:customStyle="1" w:styleId="TableCaption">
    <w:name w:val="Table Caption"/>
    <w:basedOn w:val="BodyText"/>
    <w:next w:val="BodyText"/>
    <w:autoRedefine/>
    <w:uiPriority w:val="6"/>
    <w:qFormat/>
    <w:rsid w:val="00EC36A6"/>
    <w:pPr>
      <w:keepNext/>
      <w:spacing w:before="240"/>
      <w:jc w:val="center"/>
    </w:pPr>
    <w:rPr>
      <w:bCs w:val="0"/>
      <w:i/>
      <w:color w:val="5A2878" w:themeColor="text2" w:themeShade="E6"/>
    </w:rPr>
  </w:style>
  <w:style w:type="character" w:styleId="PlaceholderText">
    <w:name w:val="Placeholder Text"/>
    <w:basedOn w:val="DefaultParagraphFont"/>
    <w:uiPriority w:val="99"/>
    <w:semiHidden/>
    <w:rsid w:val="00834296"/>
    <w:rPr>
      <w:color w:val="808080"/>
    </w:rPr>
  </w:style>
  <w:style w:type="paragraph" w:styleId="BodyText">
    <w:name w:val="Body Text"/>
    <w:basedOn w:val="Normal"/>
    <w:link w:val="BodyTextChar"/>
    <w:qFormat/>
    <w:rsid w:val="00273BE2"/>
    <w:pPr>
      <w:spacing w:before="120" w:after="120"/>
    </w:pPr>
    <w:rPr>
      <w:bCs/>
    </w:rPr>
  </w:style>
  <w:style w:type="character" w:customStyle="1" w:styleId="BodyTextChar">
    <w:name w:val="Body Text Char"/>
    <w:basedOn w:val="DefaultParagraphFont"/>
    <w:link w:val="BodyText"/>
    <w:rsid w:val="00273BE2"/>
    <w:rPr>
      <w:bCs/>
    </w:rPr>
  </w:style>
  <w:style w:type="paragraph" w:customStyle="1" w:styleId="FigureStyle">
    <w:name w:val="Figure Style"/>
    <w:basedOn w:val="Normal"/>
    <w:next w:val="BodyText"/>
    <w:uiPriority w:val="6"/>
    <w:qFormat/>
    <w:rsid w:val="00834296"/>
    <w:pPr>
      <w:spacing w:before="120" w:after="240"/>
      <w:jc w:val="center"/>
    </w:pPr>
  </w:style>
  <w:style w:type="paragraph" w:styleId="ListBullet0">
    <w:name w:val="List Bullet"/>
    <w:basedOn w:val="BodyText"/>
    <w:link w:val="ListBulletChar"/>
    <w:uiPriority w:val="1"/>
    <w:qFormat/>
    <w:rsid w:val="001E544B"/>
    <w:pPr>
      <w:numPr>
        <w:numId w:val="11"/>
      </w:numPr>
    </w:pPr>
  </w:style>
  <w:style w:type="numbering" w:customStyle="1" w:styleId="ListBullet">
    <w:name w:val="List_Bullet"/>
    <w:uiPriority w:val="99"/>
    <w:rsid w:val="001E544B"/>
    <w:pPr>
      <w:numPr>
        <w:numId w:val="1"/>
      </w:numPr>
    </w:pPr>
  </w:style>
  <w:style w:type="paragraph" w:customStyle="1" w:styleId="ListBullet6">
    <w:name w:val="List Bullet 6"/>
    <w:basedOn w:val="ListBullet0"/>
    <w:uiPriority w:val="19"/>
    <w:rsid w:val="006C0E44"/>
    <w:pPr>
      <w:numPr>
        <w:ilvl w:val="5"/>
      </w:numPr>
      <w:tabs>
        <w:tab w:val="clear" w:pos="2550"/>
      </w:tabs>
      <w:ind w:left="4320" w:hanging="360"/>
    </w:pPr>
  </w:style>
  <w:style w:type="paragraph" w:styleId="ListBullet2">
    <w:name w:val="List Bullet 2"/>
    <w:basedOn w:val="ListBullet0"/>
    <w:uiPriority w:val="1"/>
    <w:qFormat/>
    <w:rsid w:val="006C0E44"/>
    <w:pPr>
      <w:numPr>
        <w:ilvl w:val="1"/>
      </w:numPr>
    </w:pPr>
  </w:style>
  <w:style w:type="paragraph" w:styleId="ListBullet3">
    <w:name w:val="List Bullet 3"/>
    <w:basedOn w:val="ListBullet0"/>
    <w:uiPriority w:val="1"/>
    <w:qFormat/>
    <w:rsid w:val="006C0E44"/>
    <w:pPr>
      <w:numPr>
        <w:ilvl w:val="2"/>
      </w:numPr>
    </w:pPr>
  </w:style>
  <w:style w:type="paragraph" w:styleId="ListBullet4">
    <w:name w:val="List Bullet 4"/>
    <w:basedOn w:val="ListBullet0"/>
    <w:uiPriority w:val="19"/>
    <w:rsid w:val="006C0E44"/>
    <w:pPr>
      <w:numPr>
        <w:ilvl w:val="3"/>
      </w:numPr>
    </w:pPr>
  </w:style>
  <w:style w:type="paragraph" w:styleId="ListBullet5">
    <w:name w:val="List Bullet 5"/>
    <w:basedOn w:val="ListBullet0"/>
    <w:uiPriority w:val="19"/>
    <w:rsid w:val="006C0E44"/>
    <w:pPr>
      <w:numPr>
        <w:ilvl w:val="4"/>
      </w:numPr>
    </w:pPr>
  </w:style>
  <w:style w:type="paragraph" w:styleId="ListNumber0">
    <w:name w:val="List Number"/>
    <w:basedOn w:val="BodyText"/>
    <w:uiPriority w:val="2"/>
    <w:qFormat/>
    <w:rsid w:val="00834296"/>
    <w:pPr>
      <w:numPr>
        <w:numId w:val="2"/>
      </w:numPr>
    </w:pPr>
  </w:style>
  <w:style w:type="paragraph" w:customStyle="1" w:styleId="ListNumber6">
    <w:name w:val="List Number 6"/>
    <w:basedOn w:val="ListNumber0"/>
    <w:uiPriority w:val="19"/>
    <w:rsid w:val="00834296"/>
    <w:pPr>
      <w:numPr>
        <w:ilvl w:val="5"/>
      </w:numPr>
    </w:pPr>
  </w:style>
  <w:style w:type="paragraph" w:customStyle="1" w:styleId="ListParagraph6">
    <w:name w:val="List Paragraph 6"/>
    <w:basedOn w:val="ListParagraph0"/>
    <w:uiPriority w:val="19"/>
    <w:rsid w:val="005E7363"/>
    <w:pPr>
      <w:numPr>
        <w:ilvl w:val="5"/>
      </w:numPr>
      <w:ind w:left="425"/>
    </w:pPr>
  </w:style>
  <w:style w:type="paragraph" w:styleId="ListNumber2">
    <w:name w:val="List Number 2"/>
    <w:basedOn w:val="ListNumber0"/>
    <w:uiPriority w:val="19"/>
    <w:rsid w:val="00834296"/>
    <w:pPr>
      <w:numPr>
        <w:ilvl w:val="1"/>
      </w:numPr>
    </w:pPr>
  </w:style>
  <w:style w:type="paragraph" w:styleId="ListNumber3">
    <w:name w:val="List Number 3"/>
    <w:basedOn w:val="ListNumber0"/>
    <w:uiPriority w:val="19"/>
    <w:rsid w:val="00834296"/>
    <w:pPr>
      <w:numPr>
        <w:ilvl w:val="2"/>
      </w:numPr>
    </w:pPr>
  </w:style>
  <w:style w:type="paragraph" w:styleId="ListNumber4">
    <w:name w:val="List Number 4"/>
    <w:basedOn w:val="ListNumber0"/>
    <w:uiPriority w:val="19"/>
    <w:rsid w:val="00834296"/>
    <w:pPr>
      <w:numPr>
        <w:ilvl w:val="3"/>
      </w:numPr>
    </w:pPr>
  </w:style>
  <w:style w:type="paragraph" w:styleId="ListNumber5">
    <w:name w:val="List Number 5"/>
    <w:basedOn w:val="ListNumber0"/>
    <w:uiPriority w:val="19"/>
    <w:rsid w:val="00834296"/>
    <w:pPr>
      <w:numPr>
        <w:ilvl w:val="4"/>
      </w:numPr>
    </w:pPr>
  </w:style>
  <w:style w:type="numbering" w:customStyle="1" w:styleId="ListNumber">
    <w:name w:val="List_Number"/>
    <w:uiPriority w:val="99"/>
    <w:rsid w:val="00834296"/>
    <w:pPr>
      <w:numPr>
        <w:numId w:val="2"/>
      </w:numPr>
    </w:pPr>
  </w:style>
  <w:style w:type="numbering" w:customStyle="1" w:styleId="ListParagraph">
    <w:name w:val="List_Paragraph"/>
    <w:uiPriority w:val="99"/>
    <w:rsid w:val="005E7363"/>
    <w:pPr>
      <w:numPr>
        <w:numId w:val="3"/>
      </w:numPr>
    </w:pPr>
  </w:style>
  <w:style w:type="paragraph" w:customStyle="1" w:styleId="ListAlpha0">
    <w:name w:val="List Alpha"/>
    <w:basedOn w:val="BodyText"/>
    <w:uiPriority w:val="2"/>
    <w:qFormat/>
    <w:rsid w:val="007C38B8"/>
    <w:pPr>
      <w:numPr>
        <w:numId w:val="4"/>
      </w:numPr>
    </w:pPr>
  </w:style>
  <w:style w:type="paragraph" w:customStyle="1" w:styleId="ListAlpha2">
    <w:name w:val="List Alpha 2"/>
    <w:basedOn w:val="ListAlpha0"/>
    <w:uiPriority w:val="19"/>
    <w:rsid w:val="007C38B8"/>
    <w:pPr>
      <w:numPr>
        <w:ilvl w:val="1"/>
      </w:numPr>
    </w:pPr>
  </w:style>
  <w:style w:type="paragraph" w:customStyle="1" w:styleId="ListAlpha3">
    <w:name w:val="List Alpha 3"/>
    <w:basedOn w:val="ListAlpha0"/>
    <w:uiPriority w:val="19"/>
    <w:rsid w:val="007C38B8"/>
    <w:pPr>
      <w:numPr>
        <w:ilvl w:val="2"/>
      </w:numPr>
    </w:pPr>
  </w:style>
  <w:style w:type="paragraph" w:customStyle="1" w:styleId="ListAlpha4">
    <w:name w:val="List Alpha 4"/>
    <w:basedOn w:val="ListAlpha0"/>
    <w:uiPriority w:val="19"/>
    <w:rsid w:val="007C38B8"/>
    <w:pPr>
      <w:numPr>
        <w:ilvl w:val="3"/>
      </w:numPr>
    </w:pPr>
  </w:style>
  <w:style w:type="paragraph" w:customStyle="1" w:styleId="ListAlpha5">
    <w:name w:val="List Alpha 5"/>
    <w:basedOn w:val="ListAlpha0"/>
    <w:uiPriority w:val="19"/>
    <w:rsid w:val="007C38B8"/>
    <w:pPr>
      <w:numPr>
        <w:ilvl w:val="4"/>
      </w:numPr>
    </w:pPr>
  </w:style>
  <w:style w:type="paragraph" w:customStyle="1" w:styleId="ListAlpha6">
    <w:name w:val="List Alpha 6"/>
    <w:basedOn w:val="ListAlpha0"/>
    <w:uiPriority w:val="19"/>
    <w:rsid w:val="007C38B8"/>
    <w:pPr>
      <w:numPr>
        <w:ilvl w:val="5"/>
      </w:numPr>
    </w:pPr>
  </w:style>
  <w:style w:type="numbering" w:customStyle="1" w:styleId="ListAlpha">
    <w:name w:val="List_Alpha"/>
    <w:uiPriority w:val="99"/>
    <w:rsid w:val="007C38B8"/>
    <w:pPr>
      <w:numPr>
        <w:numId w:val="4"/>
      </w:numPr>
    </w:pPr>
  </w:style>
  <w:style w:type="numbering" w:customStyle="1" w:styleId="ListNbrHeading">
    <w:name w:val="List_NbrHeading"/>
    <w:uiPriority w:val="99"/>
    <w:rsid w:val="005E7363"/>
    <w:pPr>
      <w:numPr>
        <w:numId w:val="6"/>
      </w:numPr>
    </w:pPr>
  </w:style>
  <w:style w:type="paragraph" w:styleId="Title">
    <w:name w:val="Title"/>
    <w:basedOn w:val="Normal"/>
    <w:next w:val="BodyText"/>
    <w:link w:val="TitleChar"/>
    <w:autoRedefine/>
    <w:uiPriority w:val="10"/>
    <w:semiHidden/>
    <w:qFormat/>
    <w:rsid w:val="003603E5"/>
    <w:rPr>
      <w:rFonts w:asciiTheme="majorHAnsi" w:eastAsiaTheme="majorEastAsia" w:hAnsiTheme="majorHAnsi" w:cstheme="majorBidi"/>
      <w:b/>
      <w:color w:val="652D86" w:themeColor="text2"/>
      <w:sz w:val="72"/>
      <w:szCs w:val="56"/>
    </w:rPr>
  </w:style>
  <w:style w:type="character" w:customStyle="1" w:styleId="TitleChar">
    <w:name w:val="Title Char"/>
    <w:basedOn w:val="DefaultParagraphFont"/>
    <w:link w:val="Title"/>
    <w:uiPriority w:val="10"/>
    <w:semiHidden/>
    <w:rsid w:val="003603E5"/>
    <w:rPr>
      <w:rFonts w:asciiTheme="majorHAnsi" w:eastAsiaTheme="majorEastAsia" w:hAnsiTheme="majorHAnsi" w:cstheme="majorBidi"/>
      <w:b/>
      <w:color w:val="652D86" w:themeColor="text2"/>
      <w:sz w:val="72"/>
      <w:szCs w:val="56"/>
    </w:rPr>
  </w:style>
  <w:style w:type="paragraph" w:styleId="Subtitle">
    <w:name w:val="Subtitle"/>
    <w:basedOn w:val="Normal"/>
    <w:next w:val="BodyText"/>
    <w:link w:val="SubtitleChar"/>
    <w:uiPriority w:val="11"/>
    <w:semiHidden/>
    <w:rsid w:val="005D4250"/>
    <w:pPr>
      <w:numPr>
        <w:ilvl w:val="1"/>
      </w:numPr>
    </w:pPr>
    <w:rPr>
      <w:rFonts w:eastAsiaTheme="minorEastAsia"/>
      <w:color w:val="652D86" w:themeColor="accent1"/>
      <w:sz w:val="28"/>
    </w:rPr>
  </w:style>
  <w:style w:type="character" w:customStyle="1" w:styleId="SubtitleChar">
    <w:name w:val="Subtitle Char"/>
    <w:basedOn w:val="DefaultParagraphFont"/>
    <w:link w:val="Subtitle"/>
    <w:uiPriority w:val="11"/>
    <w:semiHidden/>
    <w:rsid w:val="0016241C"/>
    <w:rPr>
      <w:rFonts w:eastAsiaTheme="minorEastAsia"/>
      <w:color w:val="652D86" w:themeColor="accent1"/>
      <w:sz w:val="28"/>
    </w:rPr>
  </w:style>
  <w:style w:type="paragraph" w:styleId="TOCHeading">
    <w:name w:val="TOC Heading"/>
    <w:basedOn w:val="Normal"/>
    <w:next w:val="Normal"/>
    <w:uiPriority w:val="39"/>
    <w:qFormat/>
    <w:rsid w:val="00FD650E"/>
    <w:pPr>
      <w:spacing w:before="360" w:after="240"/>
    </w:pPr>
    <w:rPr>
      <w:rFonts w:ascii="Century Gothic" w:hAnsi="Century Gothic"/>
      <w:color w:val="652D86" w:themeColor="text2"/>
      <w:sz w:val="36"/>
    </w:rPr>
  </w:style>
  <w:style w:type="paragraph" w:styleId="TOC4">
    <w:name w:val="toc 4"/>
    <w:basedOn w:val="TOC1"/>
    <w:next w:val="Normal"/>
    <w:uiPriority w:val="39"/>
    <w:semiHidden/>
    <w:rsid w:val="00670B05"/>
    <w:pPr>
      <w:tabs>
        <w:tab w:val="left" w:pos="851"/>
      </w:tabs>
      <w:ind w:left="851" w:hanging="851"/>
    </w:pPr>
  </w:style>
  <w:style w:type="paragraph" w:styleId="TOC5">
    <w:name w:val="toc 5"/>
    <w:basedOn w:val="TOC2"/>
    <w:next w:val="Normal"/>
    <w:uiPriority w:val="39"/>
    <w:semiHidden/>
    <w:rsid w:val="00670B05"/>
    <w:pPr>
      <w:tabs>
        <w:tab w:val="left" w:pos="851"/>
      </w:tabs>
      <w:ind w:left="851" w:hanging="851"/>
    </w:pPr>
  </w:style>
  <w:style w:type="paragraph" w:styleId="TOC1">
    <w:name w:val="toc 1"/>
    <w:basedOn w:val="Normal"/>
    <w:next w:val="Normal"/>
    <w:uiPriority w:val="39"/>
    <w:rsid w:val="00B742E4"/>
    <w:pPr>
      <w:tabs>
        <w:tab w:val="right" w:leader="dot" w:pos="9639"/>
      </w:tabs>
      <w:spacing w:before="120" w:after="60"/>
    </w:pPr>
    <w:rPr>
      <w:b/>
    </w:rPr>
  </w:style>
  <w:style w:type="paragraph" w:styleId="TOC6">
    <w:name w:val="toc 6"/>
    <w:basedOn w:val="TOC3"/>
    <w:next w:val="Normal"/>
    <w:uiPriority w:val="39"/>
    <w:semiHidden/>
    <w:rsid w:val="00670B05"/>
    <w:pPr>
      <w:tabs>
        <w:tab w:val="left" w:pos="851"/>
      </w:tabs>
      <w:ind w:left="851" w:hanging="851"/>
    </w:pPr>
  </w:style>
  <w:style w:type="paragraph" w:styleId="Quote">
    <w:name w:val="Quote"/>
    <w:basedOn w:val="BodyText"/>
    <w:next w:val="Normal"/>
    <w:link w:val="QuoteChar"/>
    <w:uiPriority w:val="8"/>
    <w:rsid w:val="00A34437"/>
    <w:pPr>
      <w:spacing w:before="240" w:after="240"/>
      <w:ind w:left="567" w:right="567"/>
    </w:pPr>
    <w:rPr>
      <w:i/>
      <w:iCs/>
      <w:color w:val="652D86" w:themeColor="accent1"/>
    </w:rPr>
  </w:style>
  <w:style w:type="paragraph" w:styleId="TOC2">
    <w:name w:val="toc 2"/>
    <w:basedOn w:val="Normal"/>
    <w:next w:val="Normal"/>
    <w:uiPriority w:val="39"/>
    <w:rsid w:val="00B742E4"/>
    <w:pPr>
      <w:tabs>
        <w:tab w:val="right" w:leader="dot" w:pos="9639"/>
      </w:tabs>
      <w:spacing w:before="60" w:after="60"/>
    </w:pPr>
  </w:style>
  <w:style w:type="paragraph" w:styleId="TOC3">
    <w:name w:val="toc 3"/>
    <w:basedOn w:val="Normal"/>
    <w:next w:val="Normal"/>
    <w:uiPriority w:val="39"/>
    <w:rsid w:val="00B742E4"/>
    <w:pPr>
      <w:tabs>
        <w:tab w:val="right" w:leader="dot" w:pos="9639"/>
      </w:tabs>
      <w:spacing w:before="20" w:after="20"/>
    </w:pPr>
  </w:style>
  <w:style w:type="character" w:customStyle="1" w:styleId="QuoteChar">
    <w:name w:val="Quote Char"/>
    <w:basedOn w:val="DefaultParagraphFont"/>
    <w:link w:val="Quote"/>
    <w:uiPriority w:val="8"/>
    <w:rsid w:val="00A34437"/>
    <w:rPr>
      <w:i/>
      <w:iCs/>
      <w:color w:val="652D86" w:themeColor="accent1"/>
    </w:rPr>
  </w:style>
  <w:style w:type="paragraph" w:styleId="Footer">
    <w:name w:val="footer"/>
    <w:basedOn w:val="Normal"/>
    <w:link w:val="FooterChar"/>
    <w:uiPriority w:val="99"/>
    <w:rsid w:val="0016241C"/>
    <w:pPr>
      <w:tabs>
        <w:tab w:val="left" w:pos="284"/>
      </w:tabs>
    </w:pPr>
    <w:rPr>
      <w:sz w:val="15"/>
    </w:rPr>
  </w:style>
  <w:style w:type="character" w:customStyle="1" w:styleId="FooterChar">
    <w:name w:val="Footer Char"/>
    <w:basedOn w:val="DefaultParagraphFont"/>
    <w:link w:val="Footer"/>
    <w:uiPriority w:val="99"/>
    <w:rsid w:val="0016241C"/>
    <w:rPr>
      <w:sz w:val="15"/>
    </w:rPr>
  </w:style>
  <w:style w:type="paragraph" w:styleId="Header">
    <w:name w:val="header"/>
    <w:basedOn w:val="Normal"/>
    <w:link w:val="HeaderChar"/>
    <w:uiPriority w:val="99"/>
    <w:rsid w:val="00C20C17"/>
    <w:rPr>
      <w:sz w:val="18"/>
    </w:rPr>
  </w:style>
  <w:style w:type="character" w:customStyle="1" w:styleId="HeaderChar">
    <w:name w:val="Header Char"/>
    <w:basedOn w:val="DefaultParagraphFont"/>
    <w:link w:val="Header"/>
    <w:uiPriority w:val="99"/>
    <w:rsid w:val="00C20C17"/>
    <w:rPr>
      <w:sz w:val="18"/>
    </w:rPr>
  </w:style>
  <w:style w:type="table" w:styleId="TableGrid">
    <w:name w:val="Table Grid"/>
    <w:aliases w:val="Table No Border"/>
    <w:basedOn w:val="TableNormal"/>
    <w:uiPriority w:val="39"/>
    <w:rsid w:val="00A34437"/>
    <w:pPr>
      <w:spacing w:after="0" w:line="240" w:lineRule="auto"/>
    </w:pPr>
    <w:tblPr>
      <w:tblCellMar>
        <w:left w:w="0" w:type="dxa"/>
        <w:right w:w="0" w:type="dxa"/>
      </w:tblCellMar>
    </w:tblPr>
  </w:style>
  <w:style w:type="table" w:customStyle="1" w:styleId="TableUQ">
    <w:name w:val="Table UQ"/>
    <w:basedOn w:val="TableNormal"/>
    <w:uiPriority w:val="99"/>
    <w:rsid w:val="009E3FDE"/>
    <w:pPr>
      <w:spacing w:after="0" w:line="240" w:lineRule="auto"/>
    </w:pPr>
    <w:tblPr>
      <w:tblStyleRowBandSize w:val="1"/>
      <w:tblStyleColBandSize w:val="1"/>
      <w:tblBorders>
        <w:top w:val="single" w:sz="4" w:space="0" w:color="652D86" w:themeColor="accent1"/>
        <w:bottom w:val="single" w:sz="4" w:space="0" w:color="652D86" w:themeColor="accent1"/>
        <w:insideH w:val="single" w:sz="4" w:space="0" w:color="652D86" w:themeColor="accent1"/>
      </w:tblBorders>
      <w:tblCellMar>
        <w:left w:w="0" w:type="dxa"/>
        <w:right w:w="0" w:type="dxa"/>
      </w:tblCellMar>
    </w:tblPr>
    <w:tblStylePr w:type="firstRow">
      <w:rPr>
        <w:color w:val="DDD0E3" w:themeColor="background1"/>
      </w:rPr>
      <w:tblPr/>
      <w:tcPr>
        <w:tcBorders>
          <w:top w:val="single" w:sz="4" w:space="0" w:color="652D86" w:themeColor="accent1"/>
          <w:left w:val="single" w:sz="4" w:space="0" w:color="652D86" w:themeColor="accent1"/>
          <w:bottom w:val="single" w:sz="4" w:space="0" w:color="652D86" w:themeColor="accent1"/>
          <w:right w:val="single" w:sz="4" w:space="0" w:color="652D86" w:themeColor="accent1"/>
          <w:insideH w:val="nil"/>
          <w:insideV w:val="single" w:sz="4" w:space="0" w:color="652D86" w:themeColor="accent1"/>
          <w:tl2br w:val="nil"/>
          <w:tr2bl w:val="nil"/>
        </w:tcBorders>
        <w:shd w:val="clear" w:color="auto" w:fill="652D86" w:themeFill="accent1"/>
      </w:tcPr>
    </w:tblStylePr>
    <w:tblStylePr w:type="lastRow">
      <w:tblPr/>
      <w:tcPr>
        <w:shd w:val="clear" w:color="auto" w:fill="FDDEE3" w:themeFill="accent6" w:themeFillTint="33"/>
      </w:tcPr>
    </w:tblStylePr>
    <w:tblStylePr w:type="firstCol">
      <w:rPr>
        <w:color w:val="DDD0E3" w:themeColor="background1"/>
      </w:rPr>
      <w:tblPr/>
      <w:tcPr>
        <w:tcBorders>
          <w:insideH w:val="single" w:sz="4" w:space="0" w:color="DDD0E3" w:themeColor="background1"/>
        </w:tcBorders>
        <w:shd w:val="clear" w:color="auto" w:fill="652D86" w:themeFill="accent1"/>
      </w:tcPr>
    </w:tblStylePr>
    <w:tblStylePr w:type="lastCol">
      <w:tblPr/>
      <w:tcPr>
        <w:shd w:val="clear" w:color="auto" w:fill="FDDEE3" w:themeFill="accent6" w:themeFillTint="33"/>
      </w:tcPr>
    </w:tblStylePr>
    <w:tblStylePr w:type="band2Vert">
      <w:tblPr/>
      <w:tcPr>
        <w:shd w:val="clear" w:color="auto" w:fill="FDDEE3" w:themeFill="accent6" w:themeFillTint="33"/>
      </w:tcPr>
    </w:tblStylePr>
    <w:tblStylePr w:type="band2Horz">
      <w:tblPr/>
      <w:tcPr>
        <w:shd w:val="clear" w:color="auto" w:fill="FDDEE3" w:themeFill="accent6" w:themeFillTint="33"/>
      </w:tcPr>
    </w:tblStylePr>
  </w:style>
  <w:style w:type="table" w:customStyle="1" w:styleId="TableUQLined">
    <w:name w:val="Table UQ Lined"/>
    <w:basedOn w:val="TableNormal"/>
    <w:uiPriority w:val="99"/>
    <w:rsid w:val="009E3FDE"/>
    <w:pPr>
      <w:spacing w:after="0" w:line="240" w:lineRule="auto"/>
    </w:pPr>
    <w:tblPr>
      <w:tblStyleRowBandSize w:val="1"/>
      <w:tblStyleColBandSize w:val="1"/>
      <w:tblBorders>
        <w:top w:val="single" w:sz="4" w:space="0" w:color="652D86" w:themeColor="accent1"/>
        <w:bottom w:val="single" w:sz="18" w:space="0" w:color="652D86" w:themeColor="accent1"/>
        <w:insideH w:val="single" w:sz="4" w:space="0" w:color="652D86" w:themeColor="accent1"/>
      </w:tblBorders>
      <w:tblCellMar>
        <w:left w:w="0" w:type="dxa"/>
        <w:right w:w="0" w:type="dxa"/>
      </w:tblCellMar>
    </w:tblPr>
    <w:tblStylePr w:type="firstRow">
      <w:tblPr/>
      <w:tcPr>
        <w:tcBorders>
          <w:top w:val="single" w:sz="18" w:space="0" w:color="652D86" w:themeColor="accent1"/>
          <w:left w:val="nil"/>
          <w:bottom w:val="single" w:sz="18" w:space="0" w:color="652D86" w:themeColor="accent1"/>
          <w:right w:val="nil"/>
          <w:insideH w:val="nil"/>
          <w:insideV w:val="nil"/>
          <w:tl2br w:val="nil"/>
          <w:tr2bl w:val="nil"/>
        </w:tcBorders>
      </w:tcPr>
    </w:tblStylePr>
    <w:tblStylePr w:type="lastRow">
      <w:rPr>
        <w:b/>
      </w:rPr>
      <w:tblPr/>
      <w:tcPr>
        <w:shd w:val="clear" w:color="auto" w:fill="FDDEE3" w:themeFill="accent6" w:themeFillTint="33"/>
      </w:tcPr>
    </w:tblStylePr>
    <w:tblStylePr w:type="lastCol">
      <w:tblPr/>
      <w:tcPr>
        <w:shd w:val="clear" w:color="auto" w:fill="FDDEE3" w:themeFill="accent6" w:themeFillTint="33"/>
      </w:tcPr>
    </w:tblStylePr>
    <w:tblStylePr w:type="band2Vert">
      <w:tblPr/>
      <w:tcPr>
        <w:shd w:val="clear" w:color="auto" w:fill="FDDEE3" w:themeFill="accent6" w:themeFillTint="33"/>
      </w:tcPr>
    </w:tblStylePr>
    <w:tblStylePr w:type="band2Horz">
      <w:tblPr/>
      <w:tcPr>
        <w:shd w:val="clear" w:color="auto" w:fill="FDDEE3" w:themeFill="accent6" w:themeFillTint="33"/>
      </w:tcPr>
    </w:tblStylePr>
  </w:style>
  <w:style w:type="paragraph" w:customStyle="1" w:styleId="TableText">
    <w:name w:val="Table Text"/>
    <w:basedOn w:val="Normal"/>
    <w:uiPriority w:val="3"/>
    <w:qFormat/>
    <w:rsid w:val="00B025B0"/>
    <w:pPr>
      <w:spacing w:before="60" w:after="60"/>
      <w:ind w:left="113" w:right="113"/>
    </w:pPr>
  </w:style>
  <w:style w:type="paragraph" w:customStyle="1" w:styleId="TableHeading">
    <w:name w:val="Table Heading"/>
    <w:basedOn w:val="TableText"/>
    <w:uiPriority w:val="3"/>
    <w:qFormat/>
    <w:rsid w:val="00241009"/>
    <w:rPr>
      <w:rFonts w:ascii="Century Gothic" w:hAnsi="Century Gothic"/>
      <w:b/>
    </w:rPr>
  </w:style>
  <w:style w:type="paragraph" w:customStyle="1" w:styleId="TableBullet">
    <w:name w:val="Table Bullet"/>
    <w:basedOn w:val="TableText"/>
    <w:uiPriority w:val="4"/>
    <w:qFormat/>
    <w:rsid w:val="00B025B0"/>
    <w:pPr>
      <w:numPr>
        <w:numId w:val="7"/>
      </w:numPr>
    </w:pPr>
  </w:style>
  <w:style w:type="paragraph" w:customStyle="1" w:styleId="TableBullet2">
    <w:name w:val="Table Bullet 2"/>
    <w:basedOn w:val="TableBullet"/>
    <w:uiPriority w:val="19"/>
    <w:rsid w:val="00B025B0"/>
    <w:pPr>
      <w:numPr>
        <w:ilvl w:val="1"/>
      </w:numPr>
    </w:pPr>
  </w:style>
  <w:style w:type="paragraph" w:customStyle="1" w:styleId="TableNumber">
    <w:name w:val="Table Number"/>
    <w:basedOn w:val="TableText"/>
    <w:uiPriority w:val="4"/>
    <w:qFormat/>
    <w:rsid w:val="00B025B0"/>
    <w:pPr>
      <w:numPr>
        <w:numId w:val="8"/>
      </w:numPr>
    </w:pPr>
  </w:style>
  <w:style w:type="paragraph" w:customStyle="1" w:styleId="TableNumber2">
    <w:name w:val="Table Number 2"/>
    <w:basedOn w:val="TableNumber"/>
    <w:uiPriority w:val="19"/>
    <w:rsid w:val="00B025B0"/>
    <w:pPr>
      <w:numPr>
        <w:ilvl w:val="1"/>
      </w:numPr>
    </w:pPr>
  </w:style>
  <w:style w:type="numbering" w:customStyle="1" w:styleId="ListTableBullet">
    <w:name w:val="List_TableBullet"/>
    <w:uiPriority w:val="99"/>
    <w:rsid w:val="00B025B0"/>
    <w:pPr>
      <w:numPr>
        <w:numId w:val="7"/>
      </w:numPr>
    </w:pPr>
  </w:style>
  <w:style w:type="numbering" w:customStyle="1" w:styleId="ListTableNumber">
    <w:name w:val="List_TableNumber"/>
    <w:uiPriority w:val="99"/>
    <w:rsid w:val="00B025B0"/>
    <w:pPr>
      <w:numPr>
        <w:numId w:val="8"/>
      </w:numPr>
    </w:pPr>
  </w:style>
  <w:style w:type="paragraph" w:customStyle="1" w:styleId="CoverDetails">
    <w:name w:val="Cover Details"/>
    <w:basedOn w:val="Normal"/>
    <w:next w:val="BodyText"/>
    <w:uiPriority w:val="12"/>
    <w:semiHidden/>
    <w:rsid w:val="005D4250"/>
    <w:rPr>
      <w:b/>
      <w:color w:val="652D86" w:themeColor="accent1"/>
      <w:sz w:val="28"/>
    </w:rPr>
  </w:style>
  <w:style w:type="paragraph" w:customStyle="1" w:styleId="AppendixH2">
    <w:name w:val="Appendix H2"/>
    <w:basedOn w:val="Heading2"/>
    <w:next w:val="BodyText"/>
    <w:uiPriority w:val="14"/>
    <w:semiHidden/>
    <w:qFormat/>
    <w:rsid w:val="00C474B7"/>
    <w:pPr>
      <w:numPr>
        <w:ilvl w:val="1"/>
        <w:numId w:val="14"/>
      </w:numPr>
    </w:pPr>
  </w:style>
  <w:style w:type="paragraph" w:customStyle="1" w:styleId="AppendixH3">
    <w:name w:val="Appendix H3"/>
    <w:basedOn w:val="Heading3"/>
    <w:next w:val="BodyText"/>
    <w:uiPriority w:val="14"/>
    <w:semiHidden/>
    <w:qFormat/>
    <w:rsid w:val="00C474B7"/>
    <w:pPr>
      <w:numPr>
        <w:ilvl w:val="2"/>
        <w:numId w:val="14"/>
      </w:numPr>
    </w:pPr>
  </w:style>
  <w:style w:type="numbering" w:customStyle="1" w:styleId="ListAppendix">
    <w:name w:val="List_Appendix"/>
    <w:uiPriority w:val="99"/>
    <w:rsid w:val="00C474B7"/>
    <w:pPr>
      <w:numPr>
        <w:numId w:val="9"/>
      </w:numPr>
    </w:pPr>
  </w:style>
  <w:style w:type="paragraph" w:styleId="TOC8">
    <w:name w:val="toc 8"/>
    <w:basedOn w:val="TOC2"/>
    <w:next w:val="Normal"/>
    <w:uiPriority w:val="39"/>
    <w:semiHidden/>
    <w:rsid w:val="00B742E4"/>
    <w:pPr>
      <w:tabs>
        <w:tab w:val="left" w:pos="1701"/>
      </w:tabs>
    </w:pPr>
  </w:style>
  <w:style w:type="paragraph" w:styleId="TableofFigures">
    <w:name w:val="table of figures"/>
    <w:basedOn w:val="Normal"/>
    <w:next w:val="Normal"/>
    <w:uiPriority w:val="99"/>
    <w:semiHidden/>
    <w:rsid w:val="00B742E4"/>
    <w:pPr>
      <w:tabs>
        <w:tab w:val="left" w:pos="1134"/>
        <w:tab w:val="right" w:leader="dot" w:pos="9628"/>
      </w:tabs>
      <w:spacing w:before="60" w:after="60"/>
      <w:ind w:left="1134" w:hanging="1134"/>
    </w:pPr>
  </w:style>
  <w:style w:type="character" w:styleId="Hyperlink">
    <w:name w:val="Hyperlink"/>
    <w:basedOn w:val="DefaultParagraphFont"/>
    <w:uiPriority w:val="99"/>
    <w:rsid w:val="00B742E4"/>
    <w:rPr>
      <w:color w:val="65CBE5" w:themeColor="hyperlink"/>
      <w:u w:val="single"/>
    </w:rPr>
  </w:style>
  <w:style w:type="numbering" w:customStyle="1" w:styleId="ListNumberedHeadings">
    <w:name w:val="List_NumberedHeadings"/>
    <w:uiPriority w:val="99"/>
    <w:rsid w:val="006C0E44"/>
    <w:pPr>
      <w:numPr>
        <w:numId w:val="10"/>
      </w:numPr>
    </w:pPr>
  </w:style>
  <w:style w:type="character" w:customStyle="1" w:styleId="Heading9Char">
    <w:name w:val="Heading 9 Char"/>
    <w:aliases w:val="Appendix H11 Char"/>
    <w:basedOn w:val="DefaultParagraphFont"/>
    <w:link w:val="Heading9"/>
    <w:uiPriority w:val="12"/>
    <w:semiHidden/>
    <w:rsid w:val="0053017F"/>
    <w:rPr>
      <w:b/>
      <w:iCs/>
      <w:color w:val="DDD0E3" w:themeColor="background1"/>
      <w:sz w:val="64"/>
      <w:szCs w:val="21"/>
    </w:rPr>
  </w:style>
  <w:style w:type="paragraph" w:styleId="FootnoteText">
    <w:name w:val="footnote text"/>
    <w:basedOn w:val="Normal"/>
    <w:link w:val="FootnoteTextChar"/>
    <w:uiPriority w:val="99"/>
    <w:rsid w:val="00B13955"/>
    <w:pPr>
      <w:tabs>
        <w:tab w:val="left" w:pos="284"/>
      </w:tabs>
      <w:ind w:left="284" w:hanging="284"/>
    </w:pPr>
    <w:rPr>
      <w:sz w:val="16"/>
      <w:szCs w:val="20"/>
    </w:rPr>
  </w:style>
  <w:style w:type="character" w:customStyle="1" w:styleId="FootnoteTextChar">
    <w:name w:val="Footnote Text Char"/>
    <w:basedOn w:val="DefaultParagraphFont"/>
    <w:link w:val="FootnoteText"/>
    <w:uiPriority w:val="99"/>
    <w:rsid w:val="00B13955"/>
    <w:rPr>
      <w:sz w:val="16"/>
      <w:szCs w:val="20"/>
    </w:rPr>
  </w:style>
  <w:style w:type="character" w:styleId="FootnoteReference">
    <w:name w:val="footnote reference"/>
    <w:basedOn w:val="DefaultParagraphFont"/>
    <w:uiPriority w:val="99"/>
    <w:semiHidden/>
    <w:rsid w:val="00C20C17"/>
    <w:rPr>
      <w:vertAlign w:val="superscript"/>
    </w:rPr>
  </w:style>
  <w:style w:type="character" w:styleId="FollowedHyperlink">
    <w:name w:val="FollowedHyperlink"/>
    <w:basedOn w:val="DefaultParagraphFont"/>
    <w:uiPriority w:val="15"/>
    <w:rsid w:val="00670B05"/>
    <w:rPr>
      <w:color w:val="AB8AB9" w:themeColor="followedHyperlink"/>
      <w:u w:val="single"/>
    </w:rPr>
  </w:style>
  <w:style w:type="paragraph" w:customStyle="1" w:styleId="DividerTitle">
    <w:name w:val="Divider Title"/>
    <w:basedOn w:val="Normal"/>
    <w:uiPriority w:val="19"/>
    <w:semiHidden/>
    <w:qFormat/>
    <w:rsid w:val="00716942"/>
    <w:pPr>
      <w:spacing w:line="216" w:lineRule="auto"/>
    </w:pPr>
    <w:rPr>
      <w:color w:val="652D86" w:themeColor="accent1"/>
      <w:sz w:val="60"/>
    </w:rPr>
  </w:style>
  <w:style w:type="paragraph" w:customStyle="1" w:styleId="SectionTitleNumbered">
    <w:name w:val="Section Title Numbered"/>
    <w:basedOn w:val="Normal"/>
    <w:uiPriority w:val="19"/>
    <w:semiHidden/>
    <w:qFormat/>
    <w:rsid w:val="00614669"/>
    <w:pPr>
      <w:numPr>
        <w:numId w:val="13"/>
      </w:numPr>
      <w:spacing w:before="120"/>
    </w:pPr>
    <w:rPr>
      <w:color w:val="652D86" w:themeColor="accent1"/>
      <w:sz w:val="48"/>
    </w:rPr>
  </w:style>
  <w:style w:type="numbering" w:customStyle="1" w:styleId="ListSectionTitle">
    <w:name w:val="List_SectionTitle"/>
    <w:uiPriority w:val="99"/>
    <w:rsid w:val="00614669"/>
    <w:pPr>
      <w:numPr>
        <w:numId w:val="12"/>
      </w:numPr>
    </w:pPr>
  </w:style>
  <w:style w:type="paragraph" w:customStyle="1" w:styleId="Sectiontext">
    <w:name w:val="Section text"/>
    <w:basedOn w:val="Normal"/>
    <w:uiPriority w:val="19"/>
    <w:semiHidden/>
    <w:qFormat/>
    <w:rsid w:val="004972A0"/>
    <w:pPr>
      <w:spacing w:after="120" w:line="252" w:lineRule="auto"/>
      <w:ind w:right="7795"/>
    </w:pPr>
    <w:rPr>
      <w:sz w:val="18"/>
    </w:rPr>
  </w:style>
  <w:style w:type="paragraph" w:customStyle="1" w:styleId="DividerSectionTitle">
    <w:name w:val="Divider Section Title"/>
    <w:basedOn w:val="Normal"/>
    <w:uiPriority w:val="19"/>
    <w:semiHidden/>
    <w:qFormat/>
    <w:rsid w:val="00614669"/>
    <w:rPr>
      <w:b/>
      <w:color w:val="652D86" w:themeColor="accent1"/>
      <w:sz w:val="48"/>
    </w:rPr>
  </w:style>
  <w:style w:type="paragraph" w:customStyle="1" w:styleId="SectionNumberOnly">
    <w:name w:val="Section Number Only"/>
    <w:basedOn w:val="Normal"/>
    <w:uiPriority w:val="19"/>
    <w:semiHidden/>
    <w:qFormat/>
    <w:rsid w:val="00614669"/>
    <w:pPr>
      <w:numPr>
        <w:ilvl w:val="1"/>
        <w:numId w:val="13"/>
      </w:numPr>
      <w:spacing w:after="120"/>
    </w:pPr>
    <w:rPr>
      <w:color w:val="BAD8D4" w:themeColor="accent2"/>
      <w:sz w:val="72"/>
    </w:rPr>
  </w:style>
  <w:style w:type="character" w:styleId="CommentReference">
    <w:name w:val="annotation reference"/>
    <w:basedOn w:val="DefaultParagraphFont"/>
    <w:uiPriority w:val="99"/>
    <w:semiHidden/>
    <w:unhideWhenUsed/>
    <w:rsid w:val="000B3E75"/>
    <w:rPr>
      <w:sz w:val="16"/>
      <w:szCs w:val="16"/>
    </w:rPr>
  </w:style>
  <w:style w:type="paragraph" w:styleId="CommentText">
    <w:name w:val="annotation text"/>
    <w:basedOn w:val="Normal"/>
    <w:link w:val="CommentTextChar"/>
    <w:uiPriority w:val="99"/>
    <w:unhideWhenUsed/>
    <w:rsid w:val="000B3E75"/>
    <w:rPr>
      <w:szCs w:val="20"/>
    </w:rPr>
  </w:style>
  <w:style w:type="character" w:customStyle="1" w:styleId="CommentTextChar">
    <w:name w:val="Comment Text Char"/>
    <w:basedOn w:val="DefaultParagraphFont"/>
    <w:link w:val="CommentText"/>
    <w:uiPriority w:val="99"/>
    <w:rsid w:val="000B3E75"/>
    <w:rPr>
      <w:sz w:val="20"/>
      <w:szCs w:val="20"/>
    </w:rPr>
  </w:style>
  <w:style w:type="paragraph" w:styleId="CommentSubject">
    <w:name w:val="annotation subject"/>
    <w:basedOn w:val="CommentText"/>
    <w:next w:val="CommentText"/>
    <w:link w:val="CommentSubjectChar"/>
    <w:uiPriority w:val="99"/>
    <w:semiHidden/>
    <w:unhideWhenUsed/>
    <w:rsid w:val="000B3E75"/>
    <w:rPr>
      <w:b/>
      <w:bCs/>
    </w:rPr>
  </w:style>
  <w:style w:type="character" w:customStyle="1" w:styleId="CommentSubjectChar">
    <w:name w:val="Comment Subject Char"/>
    <w:basedOn w:val="CommentTextChar"/>
    <w:link w:val="CommentSubject"/>
    <w:uiPriority w:val="99"/>
    <w:semiHidden/>
    <w:rsid w:val="000B3E75"/>
    <w:rPr>
      <w:b/>
      <w:bCs/>
      <w:sz w:val="20"/>
      <w:szCs w:val="20"/>
    </w:rPr>
  </w:style>
  <w:style w:type="paragraph" w:styleId="BalloonText">
    <w:name w:val="Balloon Text"/>
    <w:basedOn w:val="Normal"/>
    <w:link w:val="BalloonTextChar"/>
    <w:uiPriority w:val="99"/>
    <w:semiHidden/>
    <w:unhideWhenUsed/>
    <w:rsid w:val="000B3E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E75"/>
    <w:rPr>
      <w:rFonts w:ascii="Segoe UI" w:hAnsi="Segoe UI" w:cs="Segoe UI"/>
      <w:sz w:val="18"/>
      <w:szCs w:val="18"/>
    </w:rPr>
  </w:style>
  <w:style w:type="paragraph" w:customStyle="1" w:styleId="BackCoverDetails">
    <w:name w:val="Back Cover Details"/>
    <w:basedOn w:val="Normal"/>
    <w:uiPriority w:val="20"/>
    <w:semiHidden/>
    <w:qFormat/>
    <w:rsid w:val="00D32971"/>
    <w:pPr>
      <w:numPr>
        <w:numId w:val="5"/>
      </w:numPr>
      <w:tabs>
        <w:tab w:val="left" w:pos="851"/>
      </w:tabs>
      <w:spacing w:before="240" w:after="240"/>
    </w:pPr>
    <w:rPr>
      <w:bCs/>
      <w:color w:val="DDD0E3" w:themeColor="background1"/>
      <w:sz w:val="24"/>
      <w:lang w:val="en-US"/>
    </w:rPr>
  </w:style>
  <w:style w:type="character" w:styleId="UnresolvedMention">
    <w:name w:val="Unresolved Mention"/>
    <w:basedOn w:val="DefaultParagraphFont"/>
    <w:uiPriority w:val="99"/>
    <w:semiHidden/>
    <w:unhideWhenUsed/>
    <w:rsid w:val="00D32971"/>
    <w:rPr>
      <w:color w:val="605E5C"/>
      <w:shd w:val="clear" w:color="auto" w:fill="E1DFDD"/>
    </w:rPr>
  </w:style>
  <w:style w:type="paragraph" w:customStyle="1" w:styleId="ReferenceText">
    <w:name w:val="Reference Text"/>
    <w:basedOn w:val="Normal"/>
    <w:uiPriority w:val="8"/>
    <w:qFormat/>
    <w:rsid w:val="006E71A4"/>
    <w:pPr>
      <w:spacing w:before="120" w:after="120" w:line="264" w:lineRule="auto"/>
      <w:ind w:left="425" w:hanging="425"/>
    </w:pPr>
    <w:rPr>
      <w:lang w:eastAsia="en-AU"/>
    </w:rPr>
  </w:style>
  <w:style w:type="paragraph" w:customStyle="1" w:styleId="BoilerplateBlurb">
    <w:name w:val="Boilerplate Blurb"/>
    <w:rsid w:val="006A3499"/>
    <w:pPr>
      <w:spacing w:before="120" w:after="200" w:line="240" w:lineRule="auto"/>
      <w:ind w:left="113"/>
    </w:pPr>
    <w:rPr>
      <w:rFonts w:ascii="Gotham Book" w:hAnsi="Gotham Book"/>
      <w:color w:val="000000" w:themeColor="text1"/>
      <w:szCs w:val="18"/>
    </w:rPr>
  </w:style>
  <w:style w:type="paragraph" w:styleId="EndnoteText">
    <w:name w:val="endnote text"/>
    <w:basedOn w:val="Normal"/>
    <w:link w:val="EndnoteTextChar"/>
    <w:uiPriority w:val="99"/>
    <w:unhideWhenUsed/>
    <w:rsid w:val="006A3499"/>
    <w:rPr>
      <w:rFonts w:ascii="Gotham Book" w:hAnsi="Gotham Book"/>
      <w:szCs w:val="24"/>
      <w:lang w:val="en-US"/>
    </w:rPr>
  </w:style>
  <w:style w:type="character" w:customStyle="1" w:styleId="EndnoteTextChar">
    <w:name w:val="Endnote Text Char"/>
    <w:basedOn w:val="DefaultParagraphFont"/>
    <w:link w:val="EndnoteText"/>
    <w:uiPriority w:val="99"/>
    <w:rsid w:val="006A3499"/>
    <w:rPr>
      <w:rFonts w:ascii="Gotham Book" w:hAnsi="Gotham Book"/>
      <w:szCs w:val="24"/>
      <w:lang w:val="en-US"/>
    </w:rPr>
  </w:style>
  <w:style w:type="character" w:styleId="EndnoteReference">
    <w:name w:val="endnote reference"/>
    <w:basedOn w:val="DefaultParagraphFont"/>
    <w:uiPriority w:val="99"/>
    <w:unhideWhenUsed/>
    <w:rsid w:val="006A3499"/>
    <w:rPr>
      <w:rFonts w:ascii="Gotham Book" w:hAnsi="Gotham Book"/>
      <w:vertAlign w:val="superscript"/>
    </w:rPr>
  </w:style>
  <w:style w:type="paragraph" w:customStyle="1" w:styleId="RecommendationText">
    <w:name w:val="Recommendation Text"/>
    <w:rsid w:val="006A3499"/>
    <w:pPr>
      <w:spacing w:after="0" w:line="240" w:lineRule="auto"/>
      <w:ind w:left="142"/>
    </w:pPr>
    <w:rPr>
      <w:rFonts w:ascii="Gotham Book" w:hAnsi="Gotham Book"/>
      <w:color w:val="000000" w:themeColor="text1"/>
      <w:szCs w:val="18"/>
      <w:lang w:val="en-US"/>
    </w:rPr>
  </w:style>
  <w:style w:type="character" w:customStyle="1" w:styleId="ListBulletChar">
    <w:name w:val="List Bullet Char"/>
    <w:basedOn w:val="DefaultParagraphFont"/>
    <w:link w:val="ListBullet0"/>
    <w:uiPriority w:val="1"/>
    <w:locked/>
    <w:rsid w:val="00AD41FC"/>
    <w:rPr>
      <w:bCs/>
    </w:rPr>
  </w:style>
  <w:style w:type="numbering" w:customStyle="1" w:styleId="Bullets">
    <w:name w:val="Bullets"/>
    <w:uiPriority w:val="99"/>
    <w:rsid w:val="00AD41FC"/>
    <w:pPr>
      <w:numPr>
        <w:numId w:val="17"/>
      </w:numPr>
    </w:pPr>
  </w:style>
  <w:style w:type="character" w:customStyle="1" w:styleId="CaptionChar">
    <w:name w:val="Caption Char"/>
    <w:basedOn w:val="DefaultParagraphFont"/>
    <w:link w:val="Caption"/>
    <w:uiPriority w:val="35"/>
    <w:locked/>
    <w:rsid w:val="00B91FBB"/>
    <w:rPr>
      <w:i/>
      <w:iCs/>
      <w:color w:val="5A2878" w:themeColor="text2" w:themeShade="E6"/>
      <w:szCs w:val="18"/>
    </w:rPr>
  </w:style>
  <w:style w:type="paragraph" w:customStyle="1" w:styleId="EndNoteBibliographyTitle">
    <w:name w:val="EndNote Bibliography Title"/>
    <w:basedOn w:val="Normal"/>
    <w:link w:val="EndNoteBibliographyTitleChar"/>
    <w:rsid w:val="00194908"/>
    <w:pPr>
      <w:jc w:val="center"/>
    </w:pPr>
    <w:rPr>
      <w:rFonts w:ascii="Arial" w:hAnsi="Arial" w:cs="Arial"/>
      <w:noProof/>
      <w:lang w:val="en-US"/>
    </w:rPr>
  </w:style>
  <w:style w:type="character" w:customStyle="1" w:styleId="EndNoteBibliographyTitleChar">
    <w:name w:val="EndNote Bibliography Title Char"/>
    <w:basedOn w:val="DefaultParagraphFont"/>
    <w:link w:val="EndNoteBibliographyTitle"/>
    <w:rsid w:val="00194908"/>
    <w:rPr>
      <w:rFonts w:ascii="Arial" w:hAnsi="Arial" w:cs="Arial"/>
      <w:noProof/>
      <w:lang w:val="en-US"/>
    </w:rPr>
  </w:style>
  <w:style w:type="paragraph" w:customStyle="1" w:styleId="EndNoteBibliography">
    <w:name w:val="EndNote Bibliography"/>
    <w:basedOn w:val="Normal"/>
    <w:link w:val="EndNoteBibliographyChar"/>
    <w:rsid w:val="00194908"/>
    <w:rPr>
      <w:rFonts w:ascii="Arial" w:hAnsi="Arial" w:cs="Arial"/>
      <w:noProof/>
      <w:lang w:val="en-US"/>
    </w:rPr>
  </w:style>
  <w:style w:type="character" w:customStyle="1" w:styleId="EndNoteBibliographyChar">
    <w:name w:val="EndNote Bibliography Char"/>
    <w:basedOn w:val="DefaultParagraphFont"/>
    <w:link w:val="EndNoteBibliography"/>
    <w:rsid w:val="00194908"/>
    <w:rPr>
      <w:rFonts w:ascii="Arial" w:hAnsi="Arial" w:cs="Arial"/>
      <w:noProof/>
      <w:lang w:val="en-US"/>
    </w:rPr>
  </w:style>
  <w:style w:type="paragraph" w:customStyle="1" w:styleId="Tabletext0">
    <w:name w:val="Table text"/>
    <w:basedOn w:val="Normal"/>
    <w:link w:val="TabletextChar"/>
    <w:qFormat/>
    <w:rsid w:val="0083028E"/>
    <w:pPr>
      <w:spacing w:before="40"/>
      <w:jc w:val="both"/>
    </w:pPr>
    <w:rPr>
      <w:rFonts w:ascii="Arial" w:eastAsia="MS Mincho" w:hAnsi="Arial" w:cs="Arial"/>
      <w:sz w:val="20"/>
      <w:lang w:val="en-US"/>
    </w:rPr>
  </w:style>
  <w:style w:type="character" w:customStyle="1" w:styleId="TabletextChar">
    <w:name w:val="Table text Char"/>
    <w:basedOn w:val="DefaultParagraphFont"/>
    <w:link w:val="Tabletext0"/>
    <w:rsid w:val="0083028E"/>
    <w:rPr>
      <w:rFonts w:ascii="Arial" w:eastAsia="MS Mincho" w:hAnsi="Arial" w:cs="Arial"/>
      <w:sz w:val="20"/>
      <w:lang w:val="en-US"/>
    </w:rPr>
  </w:style>
  <w:style w:type="paragraph" w:styleId="NormalWeb">
    <w:name w:val="Normal (Web)"/>
    <w:basedOn w:val="Normal"/>
    <w:uiPriority w:val="99"/>
    <w:semiHidden/>
    <w:unhideWhenUsed/>
    <w:rsid w:val="006A1B55"/>
    <w:pPr>
      <w:spacing w:before="100" w:beforeAutospacing="1" w:after="100" w:afterAutospacing="1"/>
    </w:pPr>
    <w:rPr>
      <w:rFonts w:ascii="Times New Roman" w:eastAsia="Times New Roman" w:hAnsi="Times New Roman" w:cs="Times New Roman"/>
      <w:sz w:val="24"/>
      <w:szCs w:val="24"/>
      <w:lang w:eastAsia="en-AU"/>
    </w:rPr>
  </w:style>
  <w:style w:type="table" w:styleId="TableGridLight">
    <w:name w:val="Grid Table Light"/>
    <w:basedOn w:val="TableNormal"/>
    <w:uiPriority w:val="40"/>
    <w:rsid w:val="00D41C1C"/>
    <w:pPr>
      <w:spacing w:after="0" w:line="240" w:lineRule="auto"/>
    </w:pPr>
    <w:tblPr>
      <w:tblBorders>
        <w:top w:val="single" w:sz="4" w:space="0" w:color="AB8BBA" w:themeColor="background1" w:themeShade="BF"/>
        <w:left w:val="single" w:sz="4" w:space="0" w:color="AB8BBA" w:themeColor="background1" w:themeShade="BF"/>
        <w:bottom w:val="single" w:sz="4" w:space="0" w:color="AB8BBA" w:themeColor="background1" w:themeShade="BF"/>
        <w:right w:val="single" w:sz="4" w:space="0" w:color="AB8BBA" w:themeColor="background1" w:themeShade="BF"/>
        <w:insideH w:val="single" w:sz="4" w:space="0" w:color="AB8BBA" w:themeColor="background1" w:themeShade="BF"/>
        <w:insideV w:val="single" w:sz="4" w:space="0" w:color="AB8BBA" w:themeColor="background1" w:themeShade="BF"/>
      </w:tblBorders>
    </w:tblPr>
  </w:style>
  <w:style w:type="character" w:styleId="Strong">
    <w:name w:val="Strong"/>
    <w:basedOn w:val="DefaultParagraphFont"/>
    <w:uiPriority w:val="22"/>
    <w:qFormat/>
    <w:rsid w:val="004206F4"/>
    <w:rPr>
      <w:b/>
      <w:bCs/>
    </w:rPr>
  </w:style>
  <w:style w:type="paragraph" w:styleId="PlainText">
    <w:name w:val="Plain Text"/>
    <w:basedOn w:val="Normal"/>
    <w:link w:val="PlainTextChar"/>
    <w:uiPriority w:val="99"/>
    <w:unhideWhenUsed/>
    <w:rsid w:val="00FD650E"/>
    <w:pPr>
      <w:spacing w:before="40"/>
      <w:jc w:val="both"/>
    </w:pPr>
    <w:rPr>
      <w:rFonts w:ascii="Calibri" w:hAnsi="Calibri" w:cs="Consolas"/>
      <w:sz w:val="24"/>
      <w:szCs w:val="21"/>
    </w:rPr>
  </w:style>
  <w:style w:type="character" w:customStyle="1" w:styleId="PlainTextChar">
    <w:name w:val="Plain Text Char"/>
    <w:basedOn w:val="DefaultParagraphFont"/>
    <w:link w:val="PlainText"/>
    <w:uiPriority w:val="99"/>
    <w:rsid w:val="00FD650E"/>
    <w:rPr>
      <w:rFonts w:ascii="Calibri" w:hAnsi="Calibri" w:cs="Consolas"/>
      <w:sz w:val="24"/>
      <w:szCs w:val="21"/>
    </w:rPr>
  </w:style>
  <w:style w:type="table" w:styleId="ListTable3-Accent4">
    <w:name w:val="List Table 3 Accent 4"/>
    <w:basedOn w:val="TableNormal"/>
    <w:uiPriority w:val="48"/>
    <w:rsid w:val="00FD650E"/>
    <w:pPr>
      <w:spacing w:after="0" w:line="240" w:lineRule="auto"/>
    </w:pPr>
    <w:tblPr>
      <w:tblStyleRowBandSize w:val="1"/>
      <w:tblStyleColBandSize w:val="1"/>
      <w:tblBorders>
        <w:top w:val="single" w:sz="4" w:space="0" w:color="F9B95C" w:themeColor="accent4"/>
        <w:left w:val="single" w:sz="4" w:space="0" w:color="F9B95C" w:themeColor="accent4"/>
        <w:bottom w:val="single" w:sz="4" w:space="0" w:color="F9B95C" w:themeColor="accent4"/>
        <w:right w:val="single" w:sz="4" w:space="0" w:color="F9B95C" w:themeColor="accent4"/>
      </w:tblBorders>
    </w:tblPr>
    <w:tblStylePr w:type="firstRow">
      <w:rPr>
        <w:b/>
        <w:bCs/>
        <w:color w:val="DDD0E3" w:themeColor="background1"/>
      </w:rPr>
      <w:tblPr/>
      <w:tcPr>
        <w:shd w:val="clear" w:color="auto" w:fill="F9B95C" w:themeFill="accent4"/>
      </w:tcPr>
    </w:tblStylePr>
    <w:tblStylePr w:type="lastRow">
      <w:rPr>
        <w:b/>
        <w:bCs/>
      </w:rPr>
      <w:tblPr/>
      <w:tcPr>
        <w:tcBorders>
          <w:top w:val="double" w:sz="4" w:space="0" w:color="F9B95C" w:themeColor="accent4"/>
        </w:tcBorders>
        <w:shd w:val="clear" w:color="auto" w:fill="DDD0E3" w:themeFill="background1"/>
      </w:tcPr>
    </w:tblStylePr>
    <w:tblStylePr w:type="firstCol">
      <w:rPr>
        <w:b/>
        <w:bCs/>
      </w:rPr>
      <w:tblPr/>
      <w:tcPr>
        <w:tcBorders>
          <w:right w:val="nil"/>
        </w:tcBorders>
        <w:shd w:val="clear" w:color="auto" w:fill="DDD0E3" w:themeFill="background1"/>
      </w:tcPr>
    </w:tblStylePr>
    <w:tblStylePr w:type="lastCol">
      <w:rPr>
        <w:b/>
        <w:bCs/>
      </w:rPr>
      <w:tblPr/>
      <w:tcPr>
        <w:tcBorders>
          <w:left w:val="nil"/>
        </w:tcBorders>
        <w:shd w:val="clear" w:color="auto" w:fill="DDD0E3" w:themeFill="background1"/>
      </w:tcPr>
    </w:tblStylePr>
    <w:tblStylePr w:type="band1Vert">
      <w:tblPr/>
      <w:tcPr>
        <w:tcBorders>
          <w:left w:val="single" w:sz="4" w:space="0" w:color="F9B95C" w:themeColor="accent4"/>
          <w:right w:val="single" w:sz="4" w:space="0" w:color="F9B95C" w:themeColor="accent4"/>
        </w:tcBorders>
      </w:tcPr>
    </w:tblStylePr>
    <w:tblStylePr w:type="band1Horz">
      <w:tblPr/>
      <w:tcPr>
        <w:tcBorders>
          <w:top w:val="single" w:sz="4" w:space="0" w:color="F9B95C" w:themeColor="accent4"/>
          <w:bottom w:val="single" w:sz="4" w:space="0" w:color="F9B9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9B95C" w:themeColor="accent4"/>
          <w:left w:val="nil"/>
        </w:tcBorders>
      </w:tcPr>
    </w:tblStylePr>
    <w:tblStylePr w:type="swCell">
      <w:tblPr/>
      <w:tcPr>
        <w:tcBorders>
          <w:top w:val="double" w:sz="4" w:space="0" w:color="F9B95C" w:themeColor="accent4"/>
          <w:right w:val="nil"/>
        </w:tcBorders>
      </w:tcPr>
    </w:tblStylePr>
  </w:style>
  <w:style w:type="paragraph" w:customStyle="1" w:styleId="pf0">
    <w:name w:val="pf0"/>
    <w:basedOn w:val="Normal"/>
    <w:rsid w:val="005A4A9E"/>
    <w:pPr>
      <w:spacing w:before="100" w:beforeAutospacing="1" w:after="100" w:afterAutospacing="1"/>
    </w:pPr>
    <w:rPr>
      <w:rFonts w:ascii="Times New Roman" w:eastAsia="Times New Roman" w:hAnsi="Times New Roman" w:cs="Times New Roman"/>
      <w:sz w:val="24"/>
      <w:szCs w:val="24"/>
      <w:lang w:eastAsia="en-AU"/>
    </w:rPr>
  </w:style>
  <w:style w:type="character" w:customStyle="1" w:styleId="cf01">
    <w:name w:val="cf01"/>
    <w:basedOn w:val="DefaultParagraphFont"/>
    <w:rsid w:val="005A4A9E"/>
    <w:rPr>
      <w:rFonts w:ascii="Segoe UI" w:hAnsi="Segoe UI" w:cs="Segoe UI" w:hint="default"/>
      <w:sz w:val="18"/>
      <w:szCs w:val="18"/>
    </w:rPr>
  </w:style>
  <w:style w:type="character" w:customStyle="1" w:styleId="NoSpacingChar">
    <w:name w:val="No Spacing Char"/>
    <w:basedOn w:val="DefaultParagraphFont"/>
    <w:link w:val="NoSpacing"/>
    <w:uiPriority w:val="1"/>
    <w:locked/>
    <w:rsid w:val="00193BA2"/>
    <w:rPr>
      <w:rFonts w:ascii="Segoe UI" w:hAnsi="Segoe UI" w:cs="Segoe UI"/>
      <w:sz w:val="24"/>
    </w:rPr>
  </w:style>
  <w:style w:type="paragraph" w:styleId="NoSpacing">
    <w:name w:val="No Spacing"/>
    <w:link w:val="NoSpacingChar"/>
    <w:uiPriority w:val="1"/>
    <w:qFormat/>
    <w:rsid w:val="00193BA2"/>
    <w:pPr>
      <w:spacing w:after="0" w:line="240" w:lineRule="auto"/>
    </w:pPr>
    <w:rPr>
      <w:rFonts w:ascii="Segoe UI" w:hAnsi="Segoe UI" w:cs="Segoe UI"/>
      <w:sz w:val="24"/>
    </w:rPr>
  </w:style>
  <w:style w:type="paragraph" w:styleId="Revision">
    <w:name w:val="Revision"/>
    <w:hidden/>
    <w:uiPriority w:val="99"/>
    <w:semiHidden/>
    <w:rsid w:val="001A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51286">
      <w:bodyDiv w:val="1"/>
      <w:marLeft w:val="0"/>
      <w:marRight w:val="0"/>
      <w:marTop w:val="0"/>
      <w:marBottom w:val="0"/>
      <w:divBdr>
        <w:top w:val="none" w:sz="0" w:space="0" w:color="auto"/>
        <w:left w:val="none" w:sz="0" w:space="0" w:color="auto"/>
        <w:bottom w:val="none" w:sz="0" w:space="0" w:color="auto"/>
        <w:right w:val="none" w:sz="0" w:space="0" w:color="auto"/>
      </w:divBdr>
      <w:divsChild>
        <w:div w:id="852568194">
          <w:marLeft w:val="0"/>
          <w:marRight w:val="0"/>
          <w:marTop w:val="0"/>
          <w:marBottom w:val="0"/>
          <w:divBdr>
            <w:top w:val="none" w:sz="0" w:space="0" w:color="auto"/>
            <w:left w:val="none" w:sz="0" w:space="0" w:color="auto"/>
            <w:bottom w:val="none" w:sz="0" w:space="0" w:color="auto"/>
            <w:right w:val="none" w:sz="0" w:space="0" w:color="auto"/>
          </w:divBdr>
          <w:divsChild>
            <w:div w:id="625046431">
              <w:marLeft w:val="0"/>
              <w:marRight w:val="0"/>
              <w:marTop w:val="0"/>
              <w:marBottom w:val="0"/>
              <w:divBdr>
                <w:top w:val="none" w:sz="0" w:space="0" w:color="auto"/>
                <w:left w:val="none" w:sz="0" w:space="0" w:color="auto"/>
                <w:bottom w:val="none" w:sz="0" w:space="0" w:color="auto"/>
                <w:right w:val="none" w:sz="0" w:space="0" w:color="auto"/>
              </w:divBdr>
              <w:divsChild>
                <w:div w:id="201275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811">
          <w:marLeft w:val="0"/>
          <w:marRight w:val="0"/>
          <w:marTop w:val="0"/>
          <w:marBottom w:val="0"/>
          <w:divBdr>
            <w:top w:val="none" w:sz="0" w:space="0" w:color="auto"/>
            <w:left w:val="none" w:sz="0" w:space="0" w:color="auto"/>
            <w:bottom w:val="none" w:sz="0" w:space="0" w:color="auto"/>
            <w:right w:val="none" w:sz="0" w:space="0" w:color="auto"/>
          </w:divBdr>
          <w:divsChild>
            <w:div w:id="1973174746">
              <w:marLeft w:val="0"/>
              <w:marRight w:val="0"/>
              <w:marTop w:val="0"/>
              <w:marBottom w:val="0"/>
              <w:divBdr>
                <w:top w:val="none" w:sz="0" w:space="0" w:color="auto"/>
                <w:left w:val="none" w:sz="0" w:space="0" w:color="auto"/>
                <w:bottom w:val="none" w:sz="0" w:space="0" w:color="auto"/>
                <w:right w:val="none" w:sz="0" w:space="0" w:color="auto"/>
              </w:divBdr>
              <w:divsChild>
                <w:div w:id="13009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605535">
      <w:bodyDiv w:val="1"/>
      <w:marLeft w:val="0"/>
      <w:marRight w:val="0"/>
      <w:marTop w:val="0"/>
      <w:marBottom w:val="0"/>
      <w:divBdr>
        <w:top w:val="none" w:sz="0" w:space="0" w:color="auto"/>
        <w:left w:val="none" w:sz="0" w:space="0" w:color="auto"/>
        <w:bottom w:val="none" w:sz="0" w:space="0" w:color="auto"/>
        <w:right w:val="none" w:sz="0" w:space="0" w:color="auto"/>
      </w:divBdr>
    </w:div>
    <w:div w:id="1242981755">
      <w:bodyDiv w:val="1"/>
      <w:marLeft w:val="0"/>
      <w:marRight w:val="0"/>
      <w:marTop w:val="0"/>
      <w:marBottom w:val="0"/>
      <w:divBdr>
        <w:top w:val="none" w:sz="0" w:space="0" w:color="auto"/>
        <w:left w:val="none" w:sz="0" w:space="0" w:color="auto"/>
        <w:bottom w:val="none" w:sz="0" w:space="0" w:color="auto"/>
        <w:right w:val="none" w:sz="0" w:space="0" w:color="auto"/>
      </w:divBdr>
    </w:div>
    <w:div w:id="1350109605">
      <w:bodyDiv w:val="1"/>
      <w:marLeft w:val="0"/>
      <w:marRight w:val="0"/>
      <w:marTop w:val="0"/>
      <w:marBottom w:val="0"/>
      <w:divBdr>
        <w:top w:val="none" w:sz="0" w:space="0" w:color="auto"/>
        <w:left w:val="none" w:sz="0" w:space="0" w:color="auto"/>
        <w:bottom w:val="none" w:sz="0" w:space="0" w:color="auto"/>
        <w:right w:val="none" w:sz="0" w:space="0" w:color="auto"/>
      </w:divBdr>
    </w:div>
    <w:div w:id="1917589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alswh.org.au/old_databook/" TargetMode="External"/><Relationship Id="rId26" Type="http://schemas.openxmlformats.org/officeDocument/2006/relationships/hyperlink" Target="http://www.ncbi.nlm.nih.gov/pmc/articles/PMC3904927/pdf/1471-2458-14-74.pdf" TargetMode="External"/><Relationship Id="rId3" Type="http://schemas.openxmlformats.org/officeDocument/2006/relationships/customXml" Target="../customXml/item3.xml"/><Relationship Id="rId21" Type="http://schemas.openxmlformats.org/officeDocument/2006/relationships/hyperlink" Target="https://alswh.org.au/post-outcomes/employed-carers-in-mid-life-findings-from-the-australian-longitudinal-study-on-womens-health/" TargetMode="Externa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alswh.org.au/databook-for-6mfu-1921-26-cohort1to16/" TargetMode="External"/><Relationship Id="rId25" Type="http://schemas.openxmlformats.org/officeDocument/2006/relationships/hyperlink" Target="http://www.biomedcentral.com/1471-2458/14/74" TargetMode="External"/><Relationship Id="rId2" Type="http://schemas.openxmlformats.org/officeDocument/2006/relationships/customXml" Target="../customXml/item2.xml"/><Relationship Id="rId16" Type="http://schemas.openxmlformats.org/officeDocument/2006/relationships/hyperlink" Target="https://alswh.org.au/mid_databook-2/" TargetMode="External"/><Relationship Id="rId20" Type="http://schemas.openxmlformats.org/officeDocument/2006/relationships/hyperlink" Target="https://alswh.org.au/post-outcomes/2021-major-report-reproductive-health-contraception-conception-change-of-lif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i.org/10.1007/s10433-018-0495-y"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alswh.org.au/post-outcomes/changes-in-caring-roles-and-employment-in-mid-life-findings-from-the-australian-longitudinal-study-on-womens-health/" TargetMode="External"/><Relationship Id="rId23" Type="http://schemas.openxmlformats.org/officeDocument/2006/relationships/hyperlink" Target="https://doi.org/https://doi.org/10.1016/j.archger.2018.11.010"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doi.org/https://doi.org/10.1016/j.maturitas.2017.05.00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1.xml"/><Relationship Id="rId22" Type="http://schemas.openxmlformats.org/officeDocument/2006/relationships/hyperlink" Target="https://alswh.org.au/post-outcomes/caring-and-use-of-services-in-women-born-between-1946-and-1951-findings-from-the-australian-longitudinal-study-on-womens-health/" TargetMode="External"/><Relationship Id="rId27" Type="http://schemas.openxmlformats.org/officeDocument/2006/relationships/hyperlink" Target="https://doi.org/10.1007/s11136-007-9300-7"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'live births'!$C$100</c:f>
              <c:strCache>
                <c:ptCount val="1"/>
                <c:pt idx="0">
                  <c:v>1 birth</c:v>
                </c:pt>
              </c:strCache>
            </c:strRef>
          </c:tx>
          <c:spPr>
            <a:solidFill>
              <a:srgbClr val="AB8AB9"/>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'live births'!$A$101:$B$104</c:f>
              <c:multiLvlStrCache>
                <c:ptCount val="4"/>
                <c:lvl>
                  <c:pt idx="0">
                    <c:v>Born 1973-78 (Survey 1, 1996)</c:v>
                  </c:pt>
                  <c:pt idx="1">
                    <c:v>Born 1989-95 (Survey 1, 2013)</c:v>
                  </c:pt>
                  <c:pt idx="2">
                    <c:v>Born 1973-78 (Survey 5, 2017)</c:v>
                  </c:pt>
                  <c:pt idx="3">
                    <c:v>Born 1989-95 (Survey 2, 2000)</c:v>
                  </c:pt>
                </c:lvl>
                <c:lvl>
                  <c:pt idx="0">
                    <c:v>18-23 years</c:v>
                  </c:pt>
                  <c:pt idx="2">
                    <c:v>22-27 years</c:v>
                  </c:pt>
                </c:lvl>
              </c:multiLvlStrCache>
            </c:multiLvlStrRef>
          </c:cat>
          <c:val>
            <c:numRef>
              <c:f>'live births'!$C$101:$C$104</c:f>
              <c:numCache>
                <c:formatCode>0.00</c:formatCode>
                <c:ptCount val="4"/>
                <c:pt idx="0">
                  <c:v>7.36</c:v>
                </c:pt>
                <c:pt idx="1">
                  <c:v>4.29</c:v>
                </c:pt>
                <c:pt idx="2">
                  <c:v>14.1</c:v>
                </c:pt>
                <c:pt idx="3">
                  <c:v>6.33</c:v>
                </c:pt>
              </c:numCache>
            </c:numRef>
          </c:val>
          <c:extLst>
            <c:ext xmlns:c16="http://schemas.microsoft.com/office/drawing/2014/chart" uri="{C3380CC4-5D6E-409C-BE32-E72D297353CC}">
              <c16:uniqueId val="{00000000-4EAA-4D23-ABC6-435A049C6268}"/>
            </c:ext>
          </c:extLst>
        </c:ser>
        <c:ser>
          <c:idx val="1"/>
          <c:order val="1"/>
          <c:tx>
            <c:strRef>
              <c:f>'live births'!$D$100</c:f>
              <c:strCache>
                <c:ptCount val="1"/>
                <c:pt idx="0">
                  <c:v>2+ births</c:v>
                </c:pt>
              </c:strCache>
            </c:strRef>
          </c:tx>
          <c:spPr>
            <a:solidFill>
              <a:srgbClr val="BAD8D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'live births'!$A$101:$B$104</c:f>
              <c:multiLvlStrCache>
                <c:ptCount val="4"/>
                <c:lvl>
                  <c:pt idx="0">
                    <c:v>Born 1973-78 (Survey 1, 1996)</c:v>
                  </c:pt>
                  <c:pt idx="1">
                    <c:v>Born 1989-95 (Survey 1, 2013)</c:v>
                  </c:pt>
                  <c:pt idx="2">
                    <c:v>Born 1973-78 (Survey 5, 2017)</c:v>
                  </c:pt>
                  <c:pt idx="3">
                    <c:v>Born 1989-95 (Survey 2, 2000)</c:v>
                  </c:pt>
                </c:lvl>
                <c:lvl>
                  <c:pt idx="0">
                    <c:v>18-23 years</c:v>
                  </c:pt>
                  <c:pt idx="2">
                    <c:v>22-27 years</c:v>
                  </c:pt>
                </c:lvl>
              </c:multiLvlStrCache>
            </c:multiLvlStrRef>
          </c:cat>
          <c:val>
            <c:numRef>
              <c:f>'live births'!$D$101:$D$104</c:f>
              <c:numCache>
                <c:formatCode>0.00</c:formatCode>
                <c:ptCount val="4"/>
                <c:pt idx="0">
                  <c:v>2.35</c:v>
                </c:pt>
                <c:pt idx="1">
                  <c:v>1.47</c:v>
                </c:pt>
                <c:pt idx="2">
                  <c:v>9.75</c:v>
                </c:pt>
                <c:pt idx="3">
                  <c:v>4.33</c:v>
                </c:pt>
              </c:numCache>
            </c:numRef>
          </c:val>
          <c:extLst>
            <c:ext xmlns:c16="http://schemas.microsoft.com/office/drawing/2014/chart" uri="{C3380CC4-5D6E-409C-BE32-E72D297353CC}">
              <c16:uniqueId val="{00000001-4EAA-4D23-ABC6-435A049C6268}"/>
            </c:ext>
          </c:extLst>
        </c:ser>
        <c:dLbls>
          <c:dLblPos val="outEnd"/>
          <c:showLegendKey val="0"/>
          <c:showVal val="1"/>
          <c:showCatName val="0"/>
          <c:showSerName val="0"/>
          <c:showPercent val="0"/>
          <c:showBubbleSize val="0"/>
        </c:dLbls>
        <c:gapWidth val="219"/>
        <c:overlap val="-27"/>
        <c:axId val="536101816"/>
        <c:axId val="536102800"/>
      </c:barChart>
      <c:catAx>
        <c:axId val="536101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36102800"/>
        <c:crosses val="autoZero"/>
        <c:auto val="1"/>
        <c:lblAlgn val="ctr"/>
        <c:lblOffset val="100"/>
        <c:noMultiLvlLbl val="0"/>
      </c:catAx>
      <c:valAx>
        <c:axId val="536102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solidFill>
                      <a:schemeClr val="tx1"/>
                    </a:solidFill>
                  </a:rPr>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361018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ALSWH">
      <a:dk1>
        <a:sysClr val="windowText" lastClr="000000"/>
      </a:dk1>
      <a:lt1>
        <a:srgbClr val="DDD0E3"/>
      </a:lt1>
      <a:dk2>
        <a:srgbClr val="652D86"/>
      </a:dk2>
      <a:lt2>
        <a:srgbClr val="FFFFFF"/>
      </a:lt2>
      <a:accent1>
        <a:srgbClr val="652D86"/>
      </a:accent1>
      <a:accent2>
        <a:srgbClr val="BAD8D4"/>
      </a:accent2>
      <a:accent3>
        <a:srgbClr val="5688C0"/>
      </a:accent3>
      <a:accent4>
        <a:srgbClr val="F9B95C"/>
      </a:accent4>
      <a:accent5>
        <a:srgbClr val="65CBE5"/>
      </a:accent5>
      <a:accent6>
        <a:srgbClr val="F95C75"/>
      </a:accent6>
      <a:hlink>
        <a:srgbClr val="65CBE5"/>
      </a:hlink>
      <a:folHlink>
        <a:srgbClr val="AB8AB9"/>
      </a:folHlink>
    </a:clrScheme>
    <a:fontScheme name="ALSWH">
      <a:majorFont>
        <a:latin typeface="Century Gothic"/>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gradFill>
          <a:gsLst>
            <a:gs pos="0">
              <a:schemeClr val="accent1"/>
            </a:gs>
            <a:gs pos="80000">
              <a:srgbClr val="913493"/>
            </a:gs>
          </a:gsLst>
          <a:lin ang="5400000" scaled="1"/>
        </a:gradFill>
        <a:ln w="17432" cap="flat">
          <a:noFill/>
          <a:prstDash val="solid"/>
          <a:miter/>
        </a:ln>
      </a:spPr>
      <a:bodyPr rtlCol="0" anchor="t"/>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636704f25f8a309805c777ccc6024cd0">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cc5c65e280cfad7c07c9ae51ebed157d"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AD71D28-C19F-47D4-B3B5-9EE97C79A606}">
  <ds:schemaRefs>
    <ds:schemaRef ds:uri="http://schemas.microsoft.com/office/2006/metadata/properties"/>
    <ds:schemaRef ds:uri="http://schemas.microsoft.com/office/infopath/2007/PartnerControls"/>
    <ds:schemaRef ds:uri="286bddf4-1b38-4099-95c6-c456def78276"/>
  </ds:schemaRefs>
</ds:datastoreItem>
</file>

<file path=customXml/itemProps3.xml><?xml version="1.0" encoding="utf-8"?>
<ds:datastoreItem xmlns:ds="http://schemas.openxmlformats.org/officeDocument/2006/customXml" ds:itemID="{2DCC8D21-E2BE-47FA-B793-2105D0115B07}">
  <ds:schemaRefs>
    <ds:schemaRef ds:uri="http://schemas.microsoft.com/sharepoint/v3/contenttype/forms"/>
  </ds:schemaRefs>
</ds:datastoreItem>
</file>

<file path=customXml/itemProps4.xml><?xml version="1.0" encoding="utf-8"?>
<ds:datastoreItem xmlns:ds="http://schemas.openxmlformats.org/officeDocument/2006/customXml" ds:itemID="{F012C926-4E0C-483A-8176-9EDCFA18C9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64D875-62D1-4F45-AC57-01729218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13183</Words>
  <Characters>75146</Characters>
  <Application>Microsoft Office Word</Application>
  <DocSecurity>0</DocSecurity>
  <Lines>626</Lines>
  <Paragraphs>176</Paragraphs>
  <ScaleCrop>false</ScaleCrop>
  <HeadingPairs>
    <vt:vector size="2" baseType="variant">
      <vt:variant>
        <vt:lpstr>Title</vt:lpstr>
      </vt:variant>
      <vt:variant>
        <vt:i4>1</vt:i4>
      </vt:variant>
    </vt:vector>
  </HeadingPairs>
  <TitlesOfParts>
    <vt:vector size="1" baseType="lpstr">
      <vt:lpstr>Submission 31 - Australian Longitudinal Study on Women’s Health (ALSWH) - Carer Leave - Public inquiry</vt:lpstr>
    </vt:vector>
  </TitlesOfParts>
  <Company>Australian Longitudinal Study on Women’s Health (ALSWH) </Company>
  <LinksUpToDate>false</LinksUpToDate>
  <CharactersWithSpaces>88153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31 - Australian Longitudinal Study on Women’s Health (ALSWH) - Carer Leave - Public inquiry</dc:title>
  <dc:subject/>
  <dc:creator>Australian Longitudinal Study on Women’s Health (ALSWH) </dc:creator>
  <cp:keywords/>
  <dc:description/>
  <cp:lastModifiedBy>Chris Alston</cp:lastModifiedBy>
  <cp:revision>5</cp:revision>
  <cp:lastPrinted>2022-09-07T01:57:00Z</cp:lastPrinted>
  <dcterms:created xsi:type="dcterms:W3CDTF">2022-09-05T07:48:00Z</dcterms:created>
  <dcterms:modified xsi:type="dcterms:W3CDTF">2022-09-07T01:57:00Z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f488380-630a-4f55-a077-a19445e3f360_Enabled">
    <vt:lpwstr>true</vt:lpwstr>
  </property>
  <property fmtid="{D5CDD505-2E9C-101B-9397-08002B2CF9AE}" pid="3" name="MSIP_Label_0f488380-630a-4f55-a077-a19445e3f360_SetDate">
    <vt:lpwstr>2022-08-21T22:56:03Z</vt:lpwstr>
  </property>
  <property fmtid="{D5CDD505-2E9C-101B-9397-08002B2CF9AE}" pid="4" name="MSIP_Label_0f488380-630a-4f55-a077-a19445e3f360_Method">
    <vt:lpwstr>Standard</vt:lpwstr>
  </property>
  <property fmtid="{D5CDD505-2E9C-101B-9397-08002B2CF9AE}" pid="5" name="MSIP_Label_0f488380-630a-4f55-a077-a19445e3f360_Name">
    <vt:lpwstr>OFFICIAL - INTERNAL</vt:lpwstr>
  </property>
  <property fmtid="{D5CDD505-2E9C-101B-9397-08002B2CF9AE}" pid="6" name="MSIP_Label_0f488380-630a-4f55-a077-a19445e3f360_SiteId">
    <vt:lpwstr>b6e377cf-9db3-46cb-91a2-fad9605bb15c</vt:lpwstr>
  </property>
  <property fmtid="{D5CDD505-2E9C-101B-9397-08002B2CF9AE}" pid="7" name="MSIP_Label_0f488380-630a-4f55-a077-a19445e3f360_ActionId">
    <vt:lpwstr>04661d2e-1692-4dd7-b12a-7edd8f166a8e</vt:lpwstr>
  </property>
  <property fmtid="{D5CDD505-2E9C-101B-9397-08002B2CF9AE}" pid="8" name="MSIP_Label_0f488380-630a-4f55-a077-a19445e3f360_ContentBits">
    <vt:lpwstr>0</vt:lpwstr>
  </property>
  <property fmtid="{D5CDD505-2E9C-101B-9397-08002B2CF9AE}" pid="9" name="ContentTypeId">
    <vt:lpwstr>0x010100BF6EBA99CBA9E745B0A91C47C2AC419F</vt:lpwstr>
  </property>
  <property fmtid="{D5CDD505-2E9C-101B-9397-08002B2CF9AE}" pid="10" name="RevIMBCS">
    <vt:lpwstr>1;#Unclassified|3955eeb1-2d18-4582-aeb2-00144ec3aaf5</vt:lpwstr>
  </property>
</Properties>
</file>