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1927" w14:textId="77777777" w:rsidR="001E3529" w:rsidRPr="001E3529" w:rsidRDefault="001E3529" w:rsidP="008A1DD6">
      <w:pPr>
        <w:pStyle w:val="Title"/>
        <w:rPr>
          <w:sz w:val="18"/>
          <w:szCs w:val="18"/>
        </w:rPr>
      </w:pPr>
    </w:p>
    <w:p w14:paraId="4C85733E" w14:textId="3CFC2FAF" w:rsidR="00D62BB4" w:rsidRPr="00500EA3" w:rsidRDefault="00C4514C" w:rsidP="008A1DD6">
      <w:pPr>
        <w:pStyle w:val="Title"/>
        <w:rPr>
          <w:u w:val="single"/>
        </w:rPr>
      </w:pPr>
      <w:r w:rsidRPr="00500EA3">
        <w:rPr>
          <w:u w:val="single"/>
        </w:rPr>
        <w:t>MTC Australia submission</w:t>
      </w:r>
    </w:p>
    <w:p w14:paraId="4E01E299" w14:textId="1BDBA26F" w:rsidR="00C95249" w:rsidRPr="00102B3D" w:rsidRDefault="001244A0" w:rsidP="008A1DD6">
      <w:pPr>
        <w:pStyle w:val="Title"/>
        <w:rPr>
          <w:i/>
          <w:iCs/>
        </w:rPr>
      </w:pPr>
      <w:r w:rsidRPr="00102B3D">
        <w:rPr>
          <w:i/>
          <w:iCs/>
        </w:rPr>
        <w:t xml:space="preserve">Fifth Interim Report </w:t>
      </w:r>
      <w:r w:rsidR="00D62BB4" w:rsidRPr="00102B3D">
        <w:rPr>
          <w:i/>
          <w:iCs/>
        </w:rPr>
        <w:t xml:space="preserve">- </w:t>
      </w:r>
      <w:r w:rsidR="00F451A3" w:rsidRPr="00102B3D">
        <w:rPr>
          <w:i/>
          <w:iCs/>
        </w:rPr>
        <w:t>5 Year Productivity Inquiry</w:t>
      </w:r>
      <w:r w:rsidR="006233B2" w:rsidRPr="00102B3D">
        <w:rPr>
          <w:i/>
          <w:iCs/>
        </w:rPr>
        <w:t>: From learning to growt</w:t>
      </w:r>
      <w:r w:rsidRPr="00102B3D">
        <w:rPr>
          <w:i/>
          <w:iCs/>
        </w:rPr>
        <w:t>h</w:t>
      </w:r>
      <w:r w:rsidR="00C95249" w:rsidRPr="00102B3D">
        <w:rPr>
          <w:i/>
          <w:iCs/>
        </w:rPr>
        <w:t xml:space="preserve">. </w:t>
      </w:r>
    </w:p>
    <w:p w14:paraId="0687EE98" w14:textId="77777777" w:rsidR="00C95249" w:rsidRPr="001E3529" w:rsidRDefault="00C95249" w:rsidP="005665CE">
      <w:pPr>
        <w:jc w:val="both"/>
        <w:rPr>
          <w:sz w:val="16"/>
          <w:szCs w:val="16"/>
        </w:rPr>
      </w:pPr>
    </w:p>
    <w:p w14:paraId="35B74C68" w14:textId="71B360A8" w:rsidR="00FA0D9B" w:rsidRDefault="00FA0D9B" w:rsidP="00FA0D9B">
      <w:pPr>
        <w:pStyle w:val="Heading1"/>
      </w:pPr>
      <w:r>
        <w:t>About MTC</w:t>
      </w:r>
      <w:r w:rsidR="00E0450F">
        <w:t xml:space="preserve"> Australia</w:t>
      </w:r>
    </w:p>
    <w:p w14:paraId="540FB710" w14:textId="787BA093" w:rsidR="00A561E6" w:rsidRDefault="00A561E6" w:rsidP="006E2E06">
      <w:pPr>
        <w:spacing w:line="240" w:lineRule="auto"/>
        <w:jc w:val="both"/>
      </w:pPr>
      <w:r w:rsidRPr="00A561E6">
        <w:t>MTC is a social enterprise that gives people the inspiration, capability and opportunity to create a fulfilling life. We deliver high</w:t>
      </w:r>
      <w:r w:rsidR="00CB5394">
        <w:t>-</w:t>
      </w:r>
      <w:r w:rsidRPr="00A561E6">
        <w:t xml:space="preserve">impact employment, training and youth programs that help more than </w:t>
      </w:r>
      <w:r w:rsidR="00D77122">
        <w:t>1</w:t>
      </w:r>
      <w:r w:rsidR="00B55BC6">
        <w:t>7,</w:t>
      </w:r>
      <w:r w:rsidRPr="00A561E6">
        <w:t xml:space="preserve">000 people every year gain skills for employment and entrepreneurship, build self-worth, and enable possibilities for transformative change. </w:t>
      </w:r>
    </w:p>
    <w:p w14:paraId="6E1D43DF" w14:textId="13B6DCF9" w:rsidR="00911C49" w:rsidRDefault="00D434C9" w:rsidP="006E2E06">
      <w:pPr>
        <w:spacing w:line="240" w:lineRule="auto"/>
        <w:jc w:val="both"/>
      </w:pPr>
      <w:r>
        <w:t>We are a Registered Training Organisation (RTO) in New South Wales</w:t>
      </w:r>
      <w:r w:rsidR="00605874">
        <w:t>,</w:t>
      </w:r>
      <w:r>
        <w:t xml:space="preserve"> and </w:t>
      </w:r>
      <w:r w:rsidR="001A244F">
        <w:t xml:space="preserve">we deliver a range of Vocational Education and Training (VET) courses as well as specific training for </w:t>
      </w:r>
      <w:r w:rsidR="001C0922">
        <w:t xml:space="preserve">job seekers from </w:t>
      </w:r>
      <w:r w:rsidR="008A5111">
        <w:t>Culturally and Linguistically Different backgrounds</w:t>
      </w:r>
      <w:r w:rsidR="008A5111" w:rsidDel="008A5111">
        <w:t xml:space="preserve"> </w:t>
      </w:r>
      <w:r w:rsidR="007B6C5C">
        <w:t>(CALD)</w:t>
      </w:r>
      <w:r w:rsidR="001C0922">
        <w:t xml:space="preserve"> and </w:t>
      </w:r>
      <w:r w:rsidR="001A244F">
        <w:t>mature job seekers</w:t>
      </w:r>
      <w:r w:rsidR="00E21BC4">
        <w:t>.</w:t>
      </w:r>
      <w:r w:rsidR="005665CE">
        <w:t xml:space="preserve"> W</w:t>
      </w:r>
      <w:r>
        <w:t>e also provide</w:t>
      </w:r>
      <w:r w:rsidR="00A76FC6">
        <w:t xml:space="preserve"> </w:t>
      </w:r>
      <w:r>
        <w:t>em</w:t>
      </w:r>
      <w:r w:rsidR="001A244F">
        <w:t>ployment services</w:t>
      </w:r>
      <w:r w:rsidR="005665CE">
        <w:t xml:space="preserve"> and youth and community programs.</w:t>
      </w:r>
    </w:p>
    <w:p w14:paraId="422C7D15" w14:textId="605E7EC1" w:rsidR="00C95249" w:rsidRPr="00724A32" w:rsidRDefault="00496B13" w:rsidP="00724A32">
      <w:pPr>
        <w:pStyle w:val="Heading1"/>
      </w:pPr>
      <w:r>
        <w:t xml:space="preserve">Submission to </w:t>
      </w:r>
      <w:r w:rsidR="00E0450F">
        <w:t>Interim Report 5</w:t>
      </w:r>
      <w:r w:rsidR="00C95249" w:rsidRPr="00724A32">
        <w:t xml:space="preserve"> </w:t>
      </w:r>
      <w:r w:rsidR="006233B2">
        <w:t>released on 4 October 2022</w:t>
      </w:r>
    </w:p>
    <w:p w14:paraId="1560AC2E" w14:textId="3F92D063" w:rsidR="00996DD2" w:rsidRDefault="00E0450F" w:rsidP="006E2E06">
      <w:pPr>
        <w:spacing w:line="240" w:lineRule="auto"/>
        <w:jc w:val="both"/>
      </w:pPr>
      <w:r>
        <w:t>MTC Australia welcomes the</w:t>
      </w:r>
      <w:r w:rsidR="004924E9">
        <w:t xml:space="preserve"> </w:t>
      </w:r>
      <w:r w:rsidR="00482FBB">
        <w:t>5</w:t>
      </w:r>
      <w:r w:rsidR="00A76FC6">
        <w:t>-</w:t>
      </w:r>
      <w:r w:rsidR="00482FBB">
        <w:t xml:space="preserve">Year </w:t>
      </w:r>
      <w:r w:rsidR="00292396">
        <w:t>Productivity Inquiry</w:t>
      </w:r>
      <w:r w:rsidR="004924E9">
        <w:t xml:space="preserve"> and the</w:t>
      </w:r>
      <w:r>
        <w:t xml:space="preserve"> opportunity to share information with the </w:t>
      </w:r>
      <w:r w:rsidR="004924E9">
        <w:t>Commission</w:t>
      </w:r>
      <w:r w:rsidR="00C95249">
        <w:t xml:space="preserve">. </w:t>
      </w:r>
      <w:r w:rsidR="00FC1243">
        <w:t xml:space="preserve">Through </w:t>
      </w:r>
      <w:r w:rsidR="00910E10">
        <w:t>the</w:t>
      </w:r>
      <w:r w:rsidR="00FC1243">
        <w:t xml:space="preserve"> delivery of the programs mentioned above, MTC Australia has an extensive understanding of VET as well as </w:t>
      </w:r>
      <w:r w:rsidR="00910E10">
        <w:t xml:space="preserve">of </w:t>
      </w:r>
      <w:r w:rsidR="00FC1243">
        <w:t xml:space="preserve">our </w:t>
      </w:r>
      <w:r w:rsidR="00A74A32">
        <w:t xml:space="preserve">students’ </w:t>
      </w:r>
      <w:r w:rsidR="00FC1243">
        <w:t xml:space="preserve">circumstances. The information below is to </w:t>
      </w:r>
      <w:r w:rsidR="00B05BB7">
        <w:t xml:space="preserve">share some of our insights </w:t>
      </w:r>
      <w:r w:rsidR="00A76FC6">
        <w:t>regarding</w:t>
      </w:r>
      <w:r w:rsidR="00B05BB7">
        <w:t xml:space="preserve"> the questions raised in the report.</w:t>
      </w:r>
    </w:p>
    <w:p w14:paraId="582EE9E1" w14:textId="499F8081" w:rsidR="00996DD2" w:rsidRPr="00724A32" w:rsidRDefault="00411EDD" w:rsidP="00724A32">
      <w:pPr>
        <w:pStyle w:val="Heading2"/>
      </w:pPr>
      <w:r>
        <w:t>3.1 Supporting sustainable growth in tertiary education</w:t>
      </w:r>
    </w:p>
    <w:p w14:paraId="7A156FD3" w14:textId="65EA700B" w:rsidR="00B05BB7" w:rsidRPr="00B05BB7" w:rsidRDefault="00B05BB7" w:rsidP="00724A32">
      <w:pPr>
        <w:pStyle w:val="Heading4"/>
        <w:rPr>
          <w:rStyle w:val="Emphasis"/>
          <w:i w:val="0"/>
          <w:iCs/>
          <w:color w:val="38A4AF"/>
        </w:rPr>
      </w:pPr>
      <w:r w:rsidRPr="00B05BB7">
        <w:rPr>
          <w:i/>
          <w:iCs/>
          <w:color w:val="38A4AF"/>
        </w:rPr>
        <w:t>Do funding caps place a binding constraint on education providers, or conversely, is there evidence on the extent of unmet demand for tertiary education?</w:t>
      </w:r>
      <w:r w:rsidRPr="00B05BB7">
        <w:rPr>
          <w:rStyle w:val="Emphasis"/>
          <w:i w:val="0"/>
          <w:iCs/>
          <w:color w:val="38A4AF"/>
        </w:rPr>
        <w:t xml:space="preserve"> </w:t>
      </w:r>
    </w:p>
    <w:p w14:paraId="772B99DD" w14:textId="4571192C" w:rsidR="000B2BFA" w:rsidRDefault="20E17ACC" w:rsidP="261B4B5A">
      <w:pPr>
        <w:spacing w:after="0" w:line="240" w:lineRule="auto"/>
        <w:jc w:val="both"/>
      </w:pPr>
      <w:r>
        <w:t>As with other eligible</w:t>
      </w:r>
      <w:r w:rsidR="00C67839">
        <w:t xml:space="preserve"> RTO</w:t>
      </w:r>
      <w:r w:rsidR="58E24E47">
        <w:t>s</w:t>
      </w:r>
      <w:r w:rsidR="00C67839">
        <w:t>, MTC Australia</w:t>
      </w:r>
      <w:r w:rsidR="000B2BFA">
        <w:t xml:space="preserve"> receives a</w:t>
      </w:r>
      <w:r w:rsidR="6E4088CC">
        <w:t xml:space="preserve">n annual allocation of </w:t>
      </w:r>
      <w:r w:rsidR="6BB2397F">
        <w:t xml:space="preserve">VET full qualification funding (Entitlement Full Qualification) </w:t>
      </w:r>
      <w:r w:rsidR="00843EEA">
        <w:t>as part of the</w:t>
      </w:r>
      <w:r w:rsidR="1C0E09A9">
        <w:t xml:space="preserve"> NSW government’s</w:t>
      </w:r>
      <w:r w:rsidR="000B2BFA">
        <w:t xml:space="preserve"> Smart and Skilled </w:t>
      </w:r>
      <w:r w:rsidR="3AEAF67D">
        <w:t>P</w:t>
      </w:r>
      <w:r w:rsidR="00A76C5E">
        <w:t>rogram</w:t>
      </w:r>
      <w:r w:rsidR="000B2BFA">
        <w:t>.</w:t>
      </w:r>
      <w:r w:rsidR="5DFACE20">
        <w:t xml:space="preserve"> </w:t>
      </w:r>
      <w:r w:rsidR="62620C4E">
        <w:t>Under this model, RTOs are limited to an approved qualifications list</w:t>
      </w:r>
      <w:r w:rsidR="6809744D">
        <w:t>, which begin</w:t>
      </w:r>
      <w:r w:rsidR="006D6847">
        <w:t>s</w:t>
      </w:r>
      <w:r w:rsidR="6809744D">
        <w:t xml:space="preserve"> at a minimum Certificate II level. Additionally, </w:t>
      </w:r>
      <w:r w:rsidR="050CAC60">
        <w:t>funding allocations must be utilised within a financial year, which poses several constraints on education providers</w:t>
      </w:r>
      <w:r w:rsidR="3D5D8E3A">
        <w:t>. Th</w:t>
      </w:r>
      <w:r w:rsidR="17993B21">
        <w:t>is</w:t>
      </w:r>
      <w:r w:rsidR="3D5D8E3A">
        <w:t xml:space="preserve"> include</w:t>
      </w:r>
      <w:r w:rsidR="18A1FC66">
        <w:t>s</w:t>
      </w:r>
      <w:r w:rsidR="3D5D8E3A">
        <w:t xml:space="preserve"> the inability to schedule courses of a reasonable duration </w:t>
      </w:r>
      <w:r w:rsidR="524BE884">
        <w:t xml:space="preserve">towards the end of the financial year, particularly if funding allocations or demand for previous courses have been met. </w:t>
      </w:r>
      <w:r w:rsidR="7B7060F2">
        <w:t xml:space="preserve">Also, restricting the approved list of qualifications to Certificate II for vocational qualifications under this model </w:t>
      </w:r>
      <w:r w:rsidR="1D1CA738">
        <w:t>does not take into consideration disadvantaged students at the lower levels</w:t>
      </w:r>
      <w:r w:rsidR="7316F035">
        <w:t xml:space="preserve">. </w:t>
      </w:r>
    </w:p>
    <w:p w14:paraId="14C7E604" w14:textId="15D43785" w:rsidR="00CD0777" w:rsidRDefault="7316F035" w:rsidP="261B4B5A">
      <w:pPr>
        <w:spacing w:after="0" w:line="240" w:lineRule="auto"/>
        <w:jc w:val="both"/>
      </w:pPr>
      <w:r>
        <w:t>A more flexible funding model, which is not restricted to funding cap allocations per financial year</w:t>
      </w:r>
      <w:r w:rsidR="00090151">
        <w:t>,</w:t>
      </w:r>
      <w:r>
        <w:t xml:space="preserve"> would allow education providers to </w:t>
      </w:r>
      <w:r w:rsidR="12499F1C">
        <w:t>meet student demand regardless of course start dates. Furthermore, funding for Certificate I level qualifications</w:t>
      </w:r>
      <w:r w:rsidR="00351E69">
        <w:t xml:space="preserve"> </w:t>
      </w:r>
      <w:r w:rsidR="12499F1C">
        <w:t xml:space="preserve">should be </w:t>
      </w:r>
      <w:r w:rsidR="00C12A4E">
        <w:t xml:space="preserve">availed </w:t>
      </w:r>
      <w:r w:rsidR="26AE31DD">
        <w:t>to any RTOs who engage with disadvantaged cohorts</w:t>
      </w:r>
      <w:r w:rsidR="00090151">
        <w:t>,</w:t>
      </w:r>
      <w:r w:rsidR="26AE31DD">
        <w:t xml:space="preserve"> e.g. migran</w:t>
      </w:r>
      <w:r w:rsidR="4D3E2386">
        <w:t xml:space="preserve">ts and refugees, learners with a disability and early school leavers. </w:t>
      </w:r>
    </w:p>
    <w:p w14:paraId="511D69F6" w14:textId="77777777" w:rsidR="00351E69" w:rsidRDefault="00351E69" w:rsidP="261B4B5A">
      <w:pPr>
        <w:spacing w:after="0" w:line="240" w:lineRule="auto"/>
        <w:jc w:val="both"/>
      </w:pPr>
    </w:p>
    <w:p w14:paraId="45784EBA" w14:textId="378DA617" w:rsidR="003E2E5C" w:rsidRPr="003E2E5C" w:rsidRDefault="00286AC3" w:rsidP="003E2E5C">
      <w:pPr>
        <w:pStyle w:val="Heading3"/>
        <w:spacing w:after="0"/>
        <w:rPr>
          <w:i/>
          <w:iCs/>
          <w:lang w:eastAsia="en-AU"/>
        </w:rPr>
      </w:pPr>
      <w:r>
        <w:rPr>
          <w:i/>
          <w:iCs/>
          <w:lang w:eastAsia="en-AU"/>
        </w:rPr>
        <w:t xml:space="preserve"> </w:t>
      </w:r>
      <w:r w:rsidR="003E2E5C" w:rsidRPr="003E2E5C">
        <w:rPr>
          <w:i/>
          <w:iCs/>
          <w:lang w:eastAsia="en-AU"/>
        </w:rPr>
        <w:t>How should places be expanded across VET and higher education?</w:t>
      </w:r>
    </w:p>
    <w:p w14:paraId="33710D3D" w14:textId="77777777" w:rsidR="003E2E5C" w:rsidRPr="003E2E5C" w:rsidRDefault="003E2E5C" w:rsidP="003E2E5C">
      <w:pPr>
        <w:pStyle w:val="Heading3"/>
        <w:spacing w:after="0"/>
        <w:rPr>
          <w:i/>
          <w:iCs/>
          <w:lang w:eastAsia="en-AU"/>
        </w:rPr>
      </w:pPr>
      <w:r w:rsidRPr="003E2E5C">
        <w:rPr>
          <w:i/>
          <w:iCs/>
          <w:lang w:eastAsia="en-AU"/>
        </w:rPr>
        <w:t>– Should growth in places be determined using a formula?</w:t>
      </w:r>
    </w:p>
    <w:p w14:paraId="1315A492" w14:textId="77777777" w:rsidR="003E2E5C" w:rsidRPr="003E2E5C" w:rsidRDefault="003E2E5C" w:rsidP="003E2E5C">
      <w:pPr>
        <w:pStyle w:val="Heading3"/>
        <w:spacing w:after="0"/>
        <w:rPr>
          <w:i/>
          <w:iCs/>
          <w:lang w:eastAsia="en-AU"/>
        </w:rPr>
      </w:pPr>
      <w:r w:rsidRPr="003E2E5C">
        <w:rPr>
          <w:i/>
          <w:iCs/>
          <w:lang w:eastAsia="en-AU"/>
        </w:rPr>
        <w:lastRenderedPageBreak/>
        <w:t>– Should demand-driven funding be expanded to support more students (such as equity groups)?</w:t>
      </w:r>
    </w:p>
    <w:p w14:paraId="503D046A" w14:textId="77777777" w:rsidR="000B2BFA" w:rsidRPr="000B2BFA" w:rsidRDefault="000B2BFA" w:rsidP="000B2BFA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en-AU"/>
        </w:rPr>
      </w:pPr>
    </w:p>
    <w:p w14:paraId="125C3F89" w14:textId="3B50A775" w:rsidR="003E2E5C" w:rsidRDefault="003E2E5C" w:rsidP="261B4B5A">
      <w:pPr>
        <w:spacing w:after="0" w:line="240" w:lineRule="auto"/>
        <w:jc w:val="both"/>
      </w:pPr>
      <w:r>
        <w:t>Based on MTC</w:t>
      </w:r>
      <w:r w:rsidR="00090151">
        <w:t xml:space="preserve"> </w:t>
      </w:r>
      <w:r w:rsidR="00A74A32">
        <w:t xml:space="preserve">Australia’s </w:t>
      </w:r>
      <w:r>
        <w:t xml:space="preserve">experience, VET courses are preferred by disadvantaged groups. For instance, 34% of </w:t>
      </w:r>
      <w:r w:rsidR="135EC9CE">
        <w:t>our students</w:t>
      </w:r>
      <w:r>
        <w:t xml:space="preserve"> </w:t>
      </w:r>
      <w:r w:rsidR="69A48E91">
        <w:t>a</w:t>
      </w:r>
      <w:r>
        <w:t xml:space="preserve">re </w:t>
      </w:r>
      <w:r w:rsidR="4B9D189B">
        <w:t>M</w:t>
      </w:r>
      <w:r>
        <w:t>ature</w:t>
      </w:r>
      <w:r w:rsidR="43AE7384">
        <w:t>-Aged</w:t>
      </w:r>
      <w:r>
        <w:t xml:space="preserve">, 21% are from a Culturally and Linguistically Different background (CALD), </w:t>
      </w:r>
      <w:r w:rsidR="00090151">
        <w:t xml:space="preserve">and </w:t>
      </w:r>
      <w:r>
        <w:t>14%</w:t>
      </w:r>
      <w:r w:rsidR="00275B19">
        <w:t xml:space="preserve"> are</w:t>
      </w:r>
      <w:r w:rsidR="0CF8336A">
        <w:t xml:space="preserve"> People with a Disability.</w:t>
      </w:r>
      <w:r>
        <w:t xml:space="preserve"> </w:t>
      </w:r>
    </w:p>
    <w:p w14:paraId="14C0E9CD" w14:textId="343034F5" w:rsidR="261B4B5A" w:rsidRDefault="261B4B5A" w:rsidP="261B4B5A">
      <w:pPr>
        <w:spacing w:after="0" w:line="240" w:lineRule="auto"/>
        <w:jc w:val="both"/>
      </w:pPr>
    </w:p>
    <w:p w14:paraId="1A9C6906" w14:textId="40B51B03" w:rsidR="00286AC3" w:rsidRDefault="005B4C19" w:rsidP="0012716C">
      <w:pPr>
        <w:spacing w:after="0" w:line="240" w:lineRule="auto"/>
        <w:jc w:val="both"/>
      </w:pPr>
      <w:r>
        <w:t xml:space="preserve">According to the Department of </w:t>
      </w:r>
      <w:r w:rsidR="00A74A32">
        <w:t xml:space="preserve">Education’s </w:t>
      </w:r>
      <w:r>
        <w:t xml:space="preserve">2020 Higher Education statistics, those numbers are significantly lower in </w:t>
      </w:r>
      <w:r w:rsidR="002F313E">
        <w:t>universities</w:t>
      </w:r>
      <w:r w:rsidR="27B52375">
        <w:t xml:space="preserve"> (</w:t>
      </w:r>
      <w:r w:rsidR="00404CFC">
        <w:t xml:space="preserve">4% </w:t>
      </w:r>
      <w:r w:rsidR="0FDAB618">
        <w:t>M</w:t>
      </w:r>
      <w:r w:rsidR="00404CFC">
        <w:t>ature</w:t>
      </w:r>
      <w:r w:rsidR="0D28FE5B">
        <w:t>-Aged</w:t>
      </w:r>
      <w:r w:rsidR="00404CFC">
        <w:t xml:space="preserve">, </w:t>
      </w:r>
      <w:r>
        <w:t>4%</w:t>
      </w:r>
      <w:r w:rsidR="007208C2">
        <w:t xml:space="preserve"> CALD</w:t>
      </w:r>
      <w:r>
        <w:t xml:space="preserve">, </w:t>
      </w:r>
      <w:r w:rsidR="00995777">
        <w:t xml:space="preserve">and </w:t>
      </w:r>
      <w:r>
        <w:t>7%</w:t>
      </w:r>
      <w:r w:rsidR="007208C2">
        <w:t xml:space="preserve"> </w:t>
      </w:r>
      <w:r w:rsidR="35DC44E6">
        <w:t>People with a Disability)</w:t>
      </w:r>
      <w:r>
        <w:t xml:space="preserve">. </w:t>
      </w:r>
      <w:r w:rsidR="00995777">
        <w:t>The table below compares the different equity groups across VET</w:t>
      </w:r>
      <w:r w:rsidR="373885DA">
        <w:t xml:space="preserve">, </w:t>
      </w:r>
      <w:r w:rsidR="00995777">
        <w:t>universities</w:t>
      </w:r>
      <w:r w:rsidR="5BC6EC32">
        <w:t xml:space="preserve"> and MTC Australia</w:t>
      </w:r>
      <w:r w:rsidR="0DD2D214">
        <w:t>:</w:t>
      </w:r>
      <w:r w:rsidR="5BC6EC32">
        <w:t xml:space="preserve"> </w:t>
      </w:r>
    </w:p>
    <w:p w14:paraId="4F038532" w14:textId="77777777" w:rsidR="00280873" w:rsidRPr="0012716C" w:rsidRDefault="00280873" w:rsidP="0012716C">
      <w:pPr>
        <w:spacing w:after="0" w:line="240" w:lineRule="auto"/>
        <w:jc w:val="both"/>
      </w:pPr>
    </w:p>
    <w:tbl>
      <w:tblPr>
        <w:tblStyle w:val="GridTable5Dark-Accent4"/>
        <w:tblpPr w:leftFromText="180" w:rightFromText="180" w:vertAnchor="text" w:horzAnchor="margin" w:tblpXSpec="center" w:tblpY="172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2201"/>
        <w:gridCol w:w="2613"/>
        <w:gridCol w:w="1322"/>
        <w:gridCol w:w="2880"/>
      </w:tblGrid>
      <w:tr w:rsidR="00286AC3" w:rsidRPr="003059E0" w14:paraId="04A0B500" w14:textId="77777777" w:rsidTr="00B03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hideMark/>
          </w:tcPr>
          <w:p w14:paraId="27879CF1" w14:textId="154F54B2" w:rsidR="00286AC3" w:rsidRPr="00B03BC6" w:rsidRDefault="00B03BC6" w:rsidP="00286AC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Percentage</w:t>
            </w:r>
            <w:r w:rsidR="00286AC3" w:rsidRPr="00B03BC6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 xml:space="preserve"> of students who are</w:t>
            </w:r>
            <w:r w:rsidR="00170468" w:rsidRPr="00B03BC6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/have</w:t>
            </w:r>
            <w:r w:rsidR="00286AC3" w:rsidRPr="00B03BC6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:</w:t>
            </w:r>
          </w:p>
        </w:tc>
        <w:tc>
          <w:tcPr>
            <w:tcW w:w="1449" w:type="pct"/>
            <w:hideMark/>
          </w:tcPr>
          <w:p w14:paraId="189C8EDD" w14:textId="72C4C085" w:rsidR="00286AC3" w:rsidRPr="00F734D5" w:rsidRDefault="00286AC3" w:rsidP="001271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MTC A</w:t>
            </w:r>
            <w:r w:rsidR="00170468"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ustralia</w:t>
            </w:r>
            <w:r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 xml:space="preserve"> VET commencing students (2020-22)</w:t>
            </w:r>
          </w:p>
        </w:tc>
        <w:tc>
          <w:tcPr>
            <w:tcW w:w="733" w:type="pct"/>
            <w:hideMark/>
          </w:tcPr>
          <w:p w14:paraId="4921686F" w14:textId="77777777" w:rsidR="00286AC3" w:rsidRPr="00F734D5" w:rsidRDefault="00286AC3" w:rsidP="001271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VET students (2020)</w:t>
            </w:r>
          </w:p>
        </w:tc>
        <w:tc>
          <w:tcPr>
            <w:tcW w:w="1597" w:type="pct"/>
            <w:hideMark/>
          </w:tcPr>
          <w:p w14:paraId="21B0545A" w14:textId="227C8CAD" w:rsidR="00286AC3" w:rsidRPr="00F734D5" w:rsidRDefault="00286AC3" w:rsidP="0012716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 xml:space="preserve">University commencing domestic students </w:t>
            </w:r>
            <w:r w:rsidR="00280873"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(</w:t>
            </w:r>
            <w:r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2020</w:t>
            </w:r>
            <w:r w:rsidR="00280873" w:rsidRPr="00F734D5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u w:val="single"/>
                <w:lang w:eastAsia="en-AU"/>
              </w:rPr>
              <w:t>)</w:t>
            </w:r>
          </w:p>
        </w:tc>
      </w:tr>
      <w:tr w:rsidR="00286AC3" w:rsidRPr="003059E0" w14:paraId="68BFF1B5" w14:textId="77777777" w:rsidTr="0001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bottom w:val="single" w:sz="12" w:space="0" w:color="auto"/>
            </w:tcBorders>
            <w:hideMark/>
          </w:tcPr>
          <w:p w14:paraId="244C6C3C" w14:textId="6F80180F" w:rsidR="00286AC3" w:rsidRPr="00E06574" w:rsidRDefault="00E06574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J</w:t>
            </w:r>
            <w:r w:rsidR="00286AC3"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ob seekers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22E10C38" w14:textId="77777777" w:rsidR="00286AC3" w:rsidRPr="003059E0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93%</w:t>
            </w:r>
          </w:p>
        </w:tc>
        <w:tc>
          <w:tcPr>
            <w:tcW w:w="733" w:type="pct"/>
            <w:tcBorders>
              <w:bottom w:val="single" w:sz="12" w:space="0" w:color="auto"/>
            </w:tcBorders>
            <w:hideMark/>
          </w:tcPr>
          <w:p w14:paraId="2E9E92B1" w14:textId="667F5C9B" w:rsidR="00286AC3" w:rsidRPr="003059E0" w:rsidRDefault="0012716C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  <w:tc>
          <w:tcPr>
            <w:tcW w:w="1597" w:type="pct"/>
            <w:tcBorders>
              <w:bottom w:val="single" w:sz="12" w:space="0" w:color="auto"/>
            </w:tcBorders>
            <w:hideMark/>
          </w:tcPr>
          <w:p w14:paraId="146E5BAE" w14:textId="77777777" w:rsidR="00286AC3" w:rsidRPr="003059E0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</w:tr>
      <w:tr w:rsidR="00286AC3" w:rsidRPr="003059E0" w14:paraId="6AE7C806" w14:textId="77777777" w:rsidTr="00013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26A8A23E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 xml:space="preserve">CALD/Non </w:t>
            </w:r>
            <w:proofErr w:type="gramStart"/>
            <w:r w:rsidRPr="00E06574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English speaking</w:t>
            </w:r>
            <w:proofErr w:type="gramEnd"/>
            <w:r w:rsidRPr="00E06574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 xml:space="preserve"> background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E64F72C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26B13DF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15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E63765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4%</w:t>
            </w:r>
          </w:p>
        </w:tc>
      </w:tr>
      <w:tr w:rsidR="00286AC3" w:rsidRPr="003059E0" w14:paraId="29124B3B" w14:textId="77777777" w:rsidTr="0001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8F18012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Have a disability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3CB0FFA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030B0B3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15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BCC9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7%</w:t>
            </w:r>
          </w:p>
        </w:tc>
      </w:tr>
      <w:tr w:rsidR="00286AC3" w:rsidRPr="003059E0" w14:paraId="01537BBA" w14:textId="77777777" w:rsidTr="00013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top w:val="single" w:sz="12" w:space="0" w:color="auto"/>
            </w:tcBorders>
            <w:hideMark/>
          </w:tcPr>
          <w:p w14:paraId="3DDCD29A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Indigenous</w:t>
            </w:r>
          </w:p>
        </w:tc>
        <w:tc>
          <w:tcPr>
            <w:tcW w:w="1449" w:type="pct"/>
            <w:tcBorders>
              <w:top w:val="single" w:sz="12" w:space="0" w:color="auto"/>
            </w:tcBorders>
            <w:hideMark/>
          </w:tcPr>
          <w:p w14:paraId="5B883250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  <w:tc>
          <w:tcPr>
            <w:tcW w:w="733" w:type="pct"/>
            <w:tcBorders>
              <w:top w:val="single" w:sz="12" w:space="0" w:color="auto"/>
            </w:tcBorders>
            <w:hideMark/>
          </w:tcPr>
          <w:p w14:paraId="12FF1523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1597" w:type="pct"/>
            <w:tcBorders>
              <w:top w:val="single" w:sz="12" w:space="0" w:color="auto"/>
            </w:tcBorders>
            <w:hideMark/>
          </w:tcPr>
          <w:p w14:paraId="5EDA8CAC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</w:tr>
      <w:tr w:rsidR="00286AC3" w:rsidRPr="003059E0" w14:paraId="7BCFE783" w14:textId="77777777" w:rsidTr="00B0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hideMark/>
          </w:tcPr>
          <w:p w14:paraId="7ABE4EDB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Homeless</w:t>
            </w:r>
          </w:p>
        </w:tc>
        <w:tc>
          <w:tcPr>
            <w:tcW w:w="1449" w:type="pct"/>
            <w:hideMark/>
          </w:tcPr>
          <w:p w14:paraId="71E421EA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  <w:tc>
          <w:tcPr>
            <w:tcW w:w="733" w:type="pct"/>
            <w:hideMark/>
          </w:tcPr>
          <w:p w14:paraId="57F60B36" w14:textId="3F1092BB" w:rsidR="00286AC3" w:rsidRPr="00286AC3" w:rsidRDefault="0012716C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  <w:tc>
          <w:tcPr>
            <w:tcW w:w="1597" w:type="pct"/>
            <w:hideMark/>
          </w:tcPr>
          <w:p w14:paraId="1519048A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</w:tr>
      <w:tr w:rsidR="00286AC3" w:rsidRPr="003059E0" w14:paraId="72B67728" w14:textId="77777777" w:rsidTr="00013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bottom w:val="single" w:sz="12" w:space="0" w:color="auto"/>
            </w:tcBorders>
            <w:hideMark/>
          </w:tcPr>
          <w:p w14:paraId="71F1946F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Refugees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5BD84C4D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733" w:type="pct"/>
            <w:tcBorders>
              <w:bottom w:val="single" w:sz="12" w:space="0" w:color="auto"/>
            </w:tcBorders>
            <w:hideMark/>
          </w:tcPr>
          <w:p w14:paraId="13F4080F" w14:textId="79D9E367" w:rsidR="00286AC3" w:rsidRPr="00286AC3" w:rsidRDefault="0012716C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  <w:tc>
          <w:tcPr>
            <w:tcW w:w="1597" w:type="pct"/>
            <w:tcBorders>
              <w:bottom w:val="single" w:sz="12" w:space="0" w:color="auto"/>
            </w:tcBorders>
            <w:hideMark/>
          </w:tcPr>
          <w:p w14:paraId="13E5D203" w14:textId="77777777" w:rsidR="00286AC3" w:rsidRPr="00286AC3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</w:tr>
      <w:tr w:rsidR="00286AC3" w:rsidRPr="003059E0" w14:paraId="483A476A" w14:textId="77777777" w:rsidTr="00013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D0630F7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en-AU"/>
              </w:rPr>
              <w:t>Mature (50+)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1916240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34%</w:t>
            </w:r>
          </w:p>
        </w:tc>
        <w:tc>
          <w:tcPr>
            <w:tcW w:w="733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1730804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15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76854" w14:textId="77777777" w:rsidR="00286AC3" w:rsidRPr="00286AC3" w:rsidRDefault="00286AC3" w:rsidP="0012716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86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4%</w:t>
            </w:r>
          </w:p>
        </w:tc>
      </w:tr>
      <w:tr w:rsidR="00286AC3" w:rsidRPr="003059E0" w14:paraId="1A59311A" w14:textId="77777777" w:rsidTr="00013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tcBorders>
              <w:top w:val="single" w:sz="12" w:space="0" w:color="auto"/>
            </w:tcBorders>
            <w:hideMark/>
          </w:tcPr>
          <w:p w14:paraId="7ED292BC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sz w:val="22"/>
                <w:szCs w:val="22"/>
                <w:lang w:eastAsia="en-AU"/>
              </w:rPr>
              <w:t>Youth (24 and under)</w:t>
            </w:r>
          </w:p>
        </w:tc>
        <w:tc>
          <w:tcPr>
            <w:tcW w:w="1449" w:type="pct"/>
            <w:tcBorders>
              <w:top w:val="single" w:sz="12" w:space="0" w:color="auto"/>
            </w:tcBorders>
            <w:hideMark/>
          </w:tcPr>
          <w:p w14:paraId="6F541F58" w14:textId="77777777" w:rsidR="00286AC3" w:rsidRPr="003059E0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33" w:type="pct"/>
            <w:tcBorders>
              <w:top w:val="single" w:sz="12" w:space="0" w:color="auto"/>
            </w:tcBorders>
            <w:hideMark/>
          </w:tcPr>
          <w:p w14:paraId="09436649" w14:textId="36F5CD98" w:rsidR="00286AC3" w:rsidRPr="003059E0" w:rsidRDefault="0012716C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N/A</w:t>
            </w:r>
          </w:p>
        </w:tc>
        <w:tc>
          <w:tcPr>
            <w:tcW w:w="1597" w:type="pct"/>
            <w:tcBorders>
              <w:top w:val="single" w:sz="12" w:space="0" w:color="auto"/>
            </w:tcBorders>
            <w:hideMark/>
          </w:tcPr>
          <w:p w14:paraId="79B7C6F9" w14:textId="77777777" w:rsidR="00286AC3" w:rsidRPr="003059E0" w:rsidRDefault="00286AC3" w:rsidP="0012716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059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59%</w:t>
            </w:r>
          </w:p>
        </w:tc>
      </w:tr>
      <w:tr w:rsidR="00286AC3" w:rsidRPr="003059E0" w14:paraId="28D45402" w14:textId="77777777" w:rsidTr="00B0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hideMark/>
          </w:tcPr>
          <w:p w14:paraId="6ABD629F" w14:textId="77777777" w:rsidR="00286AC3" w:rsidRPr="00E06574" w:rsidRDefault="00286AC3" w:rsidP="00286AC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FFFFFF" w:themeColor="background1"/>
                <w:sz w:val="16"/>
                <w:szCs w:val="16"/>
                <w:lang w:eastAsia="en-AU"/>
              </w:rPr>
            </w:pPr>
            <w:r w:rsidRPr="00E06574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FFFFFF" w:themeColor="background1"/>
                <w:sz w:val="16"/>
                <w:szCs w:val="16"/>
                <w:lang w:eastAsia="en-AU"/>
              </w:rPr>
              <w:t> Source:</w:t>
            </w:r>
          </w:p>
        </w:tc>
        <w:tc>
          <w:tcPr>
            <w:tcW w:w="1449" w:type="pct"/>
            <w:hideMark/>
          </w:tcPr>
          <w:p w14:paraId="7E7D6618" w14:textId="77777777" w:rsidR="00286AC3" w:rsidRPr="00926DCE" w:rsidRDefault="00286AC3" w:rsidP="00286A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</w:pPr>
            <w:r w:rsidRPr="00926DCE"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  <w:t> MTC internal data</w:t>
            </w:r>
          </w:p>
        </w:tc>
        <w:tc>
          <w:tcPr>
            <w:tcW w:w="733" w:type="pct"/>
            <w:hideMark/>
          </w:tcPr>
          <w:p w14:paraId="2BC29BFC" w14:textId="5A1F4577" w:rsidR="00286AC3" w:rsidRPr="00926DCE" w:rsidRDefault="00286AC3" w:rsidP="00286A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</w:pPr>
            <w:r w:rsidRPr="00926DCE"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  <w:t> </w:t>
            </w:r>
            <w:r w:rsidRPr="00926DC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AU"/>
              </w:rPr>
              <w:t>NCVER published data</w:t>
            </w:r>
            <w:r w:rsidR="00073589" w:rsidRPr="00926DCE">
              <w:rPr>
                <w:rStyle w:val="FootnoteReference"/>
                <w:rFonts w:ascii="Calibri" w:eastAsia="Times New Roman" w:hAnsi="Calibri" w:cs="Calibri"/>
                <w:i/>
                <w:iCs/>
                <w:color w:val="0000FF"/>
                <w:sz w:val="16"/>
                <w:szCs w:val="16"/>
                <w:u w:val="single"/>
                <w:lang w:eastAsia="en-AU"/>
              </w:rPr>
              <w:footnoteReference w:id="2"/>
            </w:r>
          </w:p>
        </w:tc>
        <w:tc>
          <w:tcPr>
            <w:tcW w:w="1597" w:type="pct"/>
            <w:hideMark/>
          </w:tcPr>
          <w:p w14:paraId="63E6D05C" w14:textId="2BFD6E14" w:rsidR="00286AC3" w:rsidRPr="00926DCE" w:rsidRDefault="00286AC3" w:rsidP="00286AC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</w:pPr>
            <w:r w:rsidRPr="00926DCE"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  <w:t xml:space="preserve"> Department of Education website </w:t>
            </w:r>
            <w:r w:rsidRPr="00926DC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AU"/>
              </w:rPr>
              <w:t>2020 commencing students</w:t>
            </w:r>
            <w:r w:rsidR="00E530E2" w:rsidRPr="00926DCE">
              <w:rPr>
                <w:rStyle w:val="FootnoteReference"/>
                <w:rFonts w:ascii="Calibri" w:eastAsia="Times New Roman" w:hAnsi="Calibri" w:cs="Calibri"/>
                <w:i/>
                <w:iCs/>
                <w:sz w:val="16"/>
                <w:szCs w:val="16"/>
                <w:lang w:eastAsia="en-AU"/>
              </w:rPr>
              <w:footnoteReference w:id="3"/>
            </w:r>
            <w:r w:rsidRPr="00926DCE">
              <w:rPr>
                <w:rFonts w:ascii="Calibri" w:eastAsia="Times New Roman" w:hAnsi="Calibri" w:cs="Calibri"/>
                <w:i/>
                <w:iCs/>
                <w:color w:val="3F474F" w:themeColor="text1"/>
                <w:sz w:val="16"/>
                <w:szCs w:val="16"/>
                <w:lang w:eastAsia="en-AU"/>
              </w:rPr>
              <w:t xml:space="preserve"> and </w:t>
            </w:r>
            <w:r w:rsidRPr="00926DCE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AU"/>
              </w:rPr>
              <w:t>equity groups</w:t>
            </w:r>
            <w:r w:rsidR="007D6E99" w:rsidRPr="00926DCE">
              <w:rPr>
                <w:rStyle w:val="FootnoteReference"/>
                <w:rFonts w:ascii="Calibri" w:eastAsia="Times New Roman" w:hAnsi="Calibri" w:cs="Calibri"/>
                <w:i/>
                <w:iCs/>
                <w:sz w:val="16"/>
                <w:szCs w:val="16"/>
                <w:lang w:eastAsia="en-AU"/>
              </w:rPr>
              <w:footnoteReference w:id="4"/>
            </w:r>
          </w:p>
        </w:tc>
      </w:tr>
    </w:tbl>
    <w:p w14:paraId="2D72B2EA" w14:textId="77777777" w:rsidR="00286AC3" w:rsidRDefault="00286AC3" w:rsidP="003E2E5C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eastAsia="en-AU"/>
        </w:rPr>
      </w:pPr>
    </w:p>
    <w:p w14:paraId="38CEAD4E" w14:textId="3C69DB51" w:rsidR="00D26811" w:rsidRDefault="30B99354" w:rsidP="008442B5">
      <w:pPr>
        <w:spacing w:after="0" w:line="240" w:lineRule="auto"/>
        <w:jc w:val="both"/>
      </w:pPr>
      <w:r>
        <w:t>The table indicates a high proportion of disadvantaged VET s</w:t>
      </w:r>
      <w:r w:rsidR="0D4E9FF2">
        <w:t>tudents who engage in our courses. These students rely on fully subsidised courses</w:t>
      </w:r>
      <w:r w:rsidR="4EA9BAC0">
        <w:t xml:space="preserve"> to access relevant skills </w:t>
      </w:r>
      <w:r w:rsidR="4EA9BAC0" w:rsidRPr="003C7BA2">
        <w:t>training</w:t>
      </w:r>
      <w:r w:rsidR="006F420B">
        <w:t>,</w:t>
      </w:r>
      <w:r w:rsidR="005A450A" w:rsidRPr="003C7BA2">
        <w:t xml:space="preserve"> and </w:t>
      </w:r>
      <w:r w:rsidR="00ED07A5" w:rsidRPr="003C7BA2">
        <w:t xml:space="preserve">some </w:t>
      </w:r>
      <w:r w:rsidR="00EA6452" w:rsidRPr="003C7BA2">
        <w:t>students</w:t>
      </w:r>
      <w:r w:rsidR="00EA6452">
        <w:t xml:space="preserve"> </w:t>
      </w:r>
      <w:r w:rsidR="00126B8B" w:rsidRPr="003C7BA2">
        <w:t>may require specific courses or licences to enter or re-enter the labour market</w:t>
      </w:r>
      <w:r w:rsidR="00ED07A5" w:rsidRPr="003C7BA2">
        <w:t>.</w:t>
      </w:r>
      <w:r w:rsidR="00126B8B" w:rsidRPr="003C7BA2">
        <w:t xml:space="preserve"> </w:t>
      </w:r>
      <w:r w:rsidR="007B7203" w:rsidRPr="003C7BA2">
        <w:t>However</w:t>
      </w:r>
      <w:r w:rsidR="00126B8B" w:rsidRPr="003C7BA2">
        <w:t>, short qualifications such as First aid training (Provide First Aid – HLTAID011)</w:t>
      </w:r>
      <w:r w:rsidR="007317DA" w:rsidRPr="003C7BA2">
        <w:t xml:space="preserve"> - </w:t>
      </w:r>
      <w:r w:rsidR="00126B8B" w:rsidRPr="003C7BA2">
        <w:t>which can be a requirement for some care sector jobs</w:t>
      </w:r>
      <w:r w:rsidR="007317DA" w:rsidRPr="003C7BA2">
        <w:t xml:space="preserve"> -</w:t>
      </w:r>
      <w:r w:rsidR="00126B8B" w:rsidRPr="003C7BA2">
        <w:t xml:space="preserve"> are not funded under Smart and Skilled</w:t>
      </w:r>
      <w:r w:rsidR="001E7AA4">
        <w:t>,</w:t>
      </w:r>
      <w:r w:rsidR="00C233AE" w:rsidRPr="003C7BA2">
        <w:t xml:space="preserve"> </w:t>
      </w:r>
      <w:r w:rsidR="00CE0F94" w:rsidRPr="003C7BA2">
        <w:t>even though</w:t>
      </w:r>
      <w:r w:rsidR="00C233AE" w:rsidRPr="003C7BA2">
        <w:t xml:space="preserve"> </w:t>
      </w:r>
      <w:r w:rsidR="00817E8F" w:rsidRPr="003C7BA2">
        <w:t xml:space="preserve">disadvantaged </w:t>
      </w:r>
      <w:r w:rsidR="001D6018" w:rsidRPr="003C7BA2">
        <w:t xml:space="preserve">students </w:t>
      </w:r>
      <w:r w:rsidR="005A450A" w:rsidRPr="003C7BA2">
        <w:t>may be unable to pay for it upfront</w:t>
      </w:r>
      <w:r w:rsidR="00126B8B" w:rsidRPr="003C7BA2">
        <w:t xml:space="preserve">. </w:t>
      </w:r>
      <w:r w:rsidR="003E2E5C">
        <w:t>As a result, we strongly believe access to VET courses should be increased</w:t>
      </w:r>
      <w:r w:rsidR="30B262F6">
        <w:t xml:space="preserve"> to include a broader range of certificate levels, including skill sets, </w:t>
      </w:r>
      <w:r w:rsidR="4AF959F9">
        <w:t xml:space="preserve">units of competency and </w:t>
      </w:r>
      <w:r w:rsidR="30B262F6">
        <w:t>no</w:t>
      </w:r>
      <w:r w:rsidR="15787127">
        <w:t>n-accredited</w:t>
      </w:r>
      <w:r w:rsidR="486A9F99">
        <w:t xml:space="preserve"> courses </w:t>
      </w:r>
      <w:r w:rsidR="001E7076" w:rsidRPr="003C7BA2">
        <w:t>specific to labour market needs and shortages</w:t>
      </w:r>
      <w:r w:rsidR="001E7076">
        <w:t xml:space="preserve"> </w:t>
      </w:r>
      <w:r w:rsidR="486A9F99">
        <w:t>over a longer funding period. This will ensure education providers can meet the needs of their student cohorts, without the current limitations on annual, fixed</w:t>
      </w:r>
      <w:r w:rsidR="00B8001C">
        <w:t>-</w:t>
      </w:r>
      <w:r w:rsidR="486A9F99">
        <w:t xml:space="preserve">cap funding. </w:t>
      </w:r>
    </w:p>
    <w:p w14:paraId="2A9C319A" w14:textId="6715A420" w:rsidR="00D26811" w:rsidRPr="008442B5" w:rsidRDefault="00D26811" w:rsidP="008442B5">
      <w:pPr>
        <w:spacing w:after="0" w:line="240" w:lineRule="auto"/>
        <w:jc w:val="both"/>
      </w:pPr>
    </w:p>
    <w:p w14:paraId="7E26C98D" w14:textId="3669918C" w:rsidR="003E2E5C" w:rsidRDefault="00242B51" w:rsidP="002930BB">
      <w:pPr>
        <w:spacing w:after="0" w:line="240" w:lineRule="auto"/>
        <w:jc w:val="both"/>
      </w:pPr>
      <w:r>
        <w:t>Under Smart and</w:t>
      </w:r>
      <w:r w:rsidR="700431A0">
        <w:t xml:space="preserve"> </w:t>
      </w:r>
      <w:r>
        <w:t>Skill</w:t>
      </w:r>
      <w:r w:rsidR="00B147EA">
        <w:t>ed</w:t>
      </w:r>
      <w:r w:rsidR="41EAC712">
        <w:t>, Aboriginal and</w:t>
      </w:r>
      <w:r w:rsidR="00630872">
        <w:t>/or</w:t>
      </w:r>
      <w:r w:rsidR="41EAC712">
        <w:t xml:space="preserve"> Torres Strait Islander</w:t>
      </w:r>
      <w:r w:rsidR="74C3B361">
        <w:t>s</w:t>
      </w:r>
      <w:r w:rsidR="41EAC712">
        <w:t>, People</w:t>
      </w:r>
      <w:r>
        <w:t xml:space="preserve"> with a </w:t>
      </w:r>
      <w:r w:rsidR="41EAC712">
        <w:t>Disability</w:t>
      </w:r>
      <w:r>
        <w:t>, long-term unemployed, regional or remote students can receive loading in NSW</w:t>
      </w:r>
      <w:r w:rsidR="003E2E5C" w:rsidRPr="00D26811">
        <w:t xml:space="preserve">. </w:t>
      </w:r>
      <w:r w:rsidR="09284623">
        <w:t>While loading payments for these cohorts are useful, they do not cover other disadvantaged groups</w:t>
      </w:r>
      <w:r w:rsidR="003D345B">
        <w:t>,</w:t>
      </w:r>
      <w:r w:rsidR="09284623">
        <w:t xml:space="preserve"> such as migrants and refugees with low </w:t>
      </w:r>
      <w:r w:rsidR="003F665A">
        <w:t>language, literacy and numeracy (</w:t>
      </w:r>
      <w:r w:rsidR="09284623">
        <w:t>LLN</w:t>
      </w:r>
      <w:r w:rsidR="003F665A">
        <w:t>)</w:t>
      </w:r>
      <w:r w:rsidR="09284623">
        <w:t xml:space="preserve"> levels. </w:t>
      </w:r>
    </w:p>
    <w:p w14:paraId="56FFC1D4" w14:textId="77777777" w:rsidR="002930BB" w:rsidRPr="00D26811" w:rsidRDefault="002930BB" w:rsidP="002930BB">
      <w:pPr>
        <w:spacing w:after="0" w:line="240" w:lineRule="auto"/>
        <w:jc w:val="both"/>
      </w:pPr>
    </w:p>
    <w:p w14:paraId="33728A5C" w14:textId="60789F66" w:rsidR="003E2E5C" w:rsidRPr="00D26811" w:rsidRDefault="6315563D" w:rsidP="00C37AD6">
      <w:pPr>
        <w:spacing w:line="240" w:lineRule="auto"/>
        <w:jc w:val="both"/>
      </w:pPr>
      <w:r>
        <w:t xml:space="preserve">A national approach to supporting equity groups who engage in vocational training is recommended. This approach should consider all barriers to </w:t>
      </w:r>
      <w:r w:rsidR="3F3B9A31">
        <w:t xml:space="preserve">participation, which may include homelessness, domestic violence, mental health etc. Vocational training is an important </w:t>
      </w:r>
      <w:r w:rsidR="0B6FB316">
        <w:t>step in providing equity groups with the skills they need for further education or employment opportunities.</w:t>
      </w:r>
      <w:r>
        <w:t xml:space="preserve"> </w:t>
      </w:r>
      <w:r w:rsidR="003E2E5C">
        <w:t>MTC suggests the loading could be reviewed to include more equity</w:t>
      </w:r>
      <w:r w:rsidR="7BD722D5">
        <w:t xml:space="preserve"> </w:t>
      </w:r>
      <w:r w:rsidR="003E2E5C">
        <w:t xml:space="preserve">groups. </w:t>
      </w:r>
      <w:r w:rsidR="007C0E2F">
        <w:t xml:space="preserve">As </w:t>
      </w:r>
      <w:r w:rsidR="0E94B15D">
        <w:t>referenced</w:t>
      </w:r>
      <w:r w:rsidR="007C0E2F">
        <w:t xml:space="preserve"> in the Productivity </w:t>
      </w:r>
      <w:r w:rsidR="00A74A32">
        <w:t xml:space="preserve">Commission’s </w:t>
      </w:r>
      <w:r w:rsidR="007C0E2F">
        <w:t xml:space="preserve">report, </w:t>
      </w:r>
      <w:r w:rsidR="00CF4A18">
        <w:t>one in five Australians hav</w:t>
      </w:r>
      <w:r w:rsidR="7AA89755">
        <w:t>e</w:t>
      </w:r>
      <w:r w:rsidR="00CF4A18">
        <w:t xml:space="preserve"> low foundation skills</w:t>
      </w:r>
      <w:r w:rsidR="103BB597">
        <w:t xml:space="preserve">. </w:t>
      </w:r>
      <w:r w:rsidR="00E76DD1">
        <w:t>As such, b</w:t>
      </w:r>
      <w:r w:rsidR="249D854E" w:rsidRPr="261B4B5A">
        <w:rPr>
          <w:rFonts w:eastAsiaTheme="minorEastAsia"/>
          <w:color w:val="60676D" w:themeColor="accent3"/>
        </w:rPr>
        <w:t>roader</w:t>
      </w:r>
      <w:r w:rsidR="00BD3C6E" w:rsidRPr="261B4B5A">
        <w:rPr>
          <w:rFonts w:eastAsiaTheme="minorEastAsia"/>
          <w:color w:val="60676D" w:themeColor="accent3"/>
        </w:rPr>
        <w:t xml:space="preserve"> funding </w:t>
      </w:r>
      <w:r w:rsidR="002127A2" w:rsidRPr="261B4B5A">
        <w:rPr>
          <w:rFonts w:eastAsiaTheme="minorEastAsia"/>
          <w:color w:val="60676D" w:themeColor="accent3"/>
        </w:rPr>
        <w:t xml:space="preserve">for </w:t>
      </w:r>
      <w:r w:rsidR="5196D065" w:rsidRPr="261B4B5A">
        <w:rPr>
          <w:rFonts w:eastAsiaTheme="minorEastAsia"/>
          <w:color w:val="60676D" w:themeColor="accent3"/>
        </w:rPr>
        <w:t>education Providers to</w:t>
      </w:r>
      <w:r w:rsidR="5196D065" w:rsidRPr="261B4B5A">
        <w:rPr>
          <w:color w:val="7030A0"/>
        </w:rPr>
        <w:t xml:space="preserve"> </w:t>
      </w:r>
      <w:r w:rsidR="5196D065" w:rsidRPr="261B4B5A">
        <w:rPr>
          <w:rFonts w:eastAsiaTheme="minorEastAsia"/>
          <w:color w:val="60676D" w:themeColor="accent3"/>
        </w:rPr>
        <w:t>deliver</w:t>
      </w:r>
      <w:r w:rsidR="002127A2" w:rsidRPr="261B4B5A">
        <w:rPr>
          <w:rFonts w:eastAsiaTheme="minorEastAsia"/>
          <w:color w:val="60676D" w:themeColor="accent3"/>
        </w:rPr>
        <w:t xml:space="preserve"> Foundation Skills </w:t>
      </w:r>
      <w:r w:rsidR="004F0B4E" w:rsidRPr="261B4B5A">
        <w:rPr>
          <w:rFonts w:eastAsiaTheme="minorEastAsia"/>
          <w:color w:val="60676D" w:themeColor="accent3"/>
        </w:rPr>
        <w:t xml:space="preserve">qualifications </w:t>
      </w:r>
      <w:r w:rsidR="3C53DBBA" w:rsidRPr="261B4B5A">
        <w:rPr>
          <w:rFonts w:eastAsiaTheme="minorEastAsia"/>
          <w:color w:val="60676D" w:themeColor="accent3"/>
        </w:rPr>
        <w:t>is</w:t>
      </w:r>
      <w:r w:rsidR="004F0B4E" w:rsidRPr="261B4B5A">
        <w:rPr>
          <w:rFonts w:eastAsiaTheme="minorEastAsia"/>
          <w:color w:val="60676D" w:themeColor="accent3"/>
        </w:rPr>
        <w:t xml:space="preserve"> essential to ensure disadvantaged communities are not left behind</w:t>
      </w:r>
      <w:r w:rsidR="004C768B" w:rsidRPr="261B4B5A">
        <w:rPr>
          <w:rFonts w:eastAsiaTheme="minorEastAsia"/>
          <w:color w:val="60676D" w:themeColor="accent3"/>
        </w:rPr>
        <w:t>.</w:t>
      </w:r>
    </w:p>
    <w:p w14:paraId="09A468F8" w14:textId="027C7B5C" w:rsidR="003E2E5C" w:rsidRDefault="003E2E5C" w:rsidP="00D26932">
      <w:pPr>
        <w:spacing w:after="0" w:line="240" w:lineRule="auto"/>
        <w:jc w:val="both"/>
      </w:pPr>
      <w:r w:rsidRPr="00370D63">
        <w:t> </w:t>
      </w:r>
    </w:p>
    <w:p w14:paraId="2AC76D01" w14:textId="1CA7E6EE" w:rsidR="00B778BE" w:rsidRDefault="00D26932" w:rsidP="00D26932">
      <w:pPr>
        <w:pStyle w:val="Heading2"/>
        <w:rPr>
          <w:lang w:eastAsia="en-AU"/>
        </w:rPr>
      </w:pPr>
      <w:r>
        <w:rPr>
          <w:lang w:eastAsia="en-AU"/>
        </w:rPr>
        <w:t>3.2 More effective targeting of government investment in education</w:t>
      </w:r>
    </w:p>
    <w:p w14:paraId="38E45BA4" w14:textId="24DD09FF" w:rsidR="00B778BE" w:rsidRPr="00B778BE" w:rsidRDefault="00B778BE" w:rsidP="00B778BE">
      <w:pPr>
        <w:jc w:val="both"/>
        <w:rPr>
          <w:rFonts w:ascii="Poppins" w:hAnsi="Poppins" w:cs="Poppins"/>
          <w:b/>
          <w:i/>
          <w:iCs/>
          <w:color w:val="38A4AF"/>
          <w:lang w:eastAsia="en-AU"/>
        </w:rPr>
      </w:pPr>
      <w:r w:rsidRPr="00B778BE">
        <w:rPr>
          <w:rFonts w:ascii="Poppins" w:hAnsi="Poppins" w:cs="Poppins"/>
          <w:b/>
          <w:i/>
          <w:iCs/>
          <w:color w:val="38A4AF"/>
          <w:lang w:eastAsia="en-AU"/>
        </w:rPr>
        <w:t>Can funding be better allocated in tertiary education to encourage competition across providers? To what extent would this (or other funding approaches) support more efficient or high-quality education, and improve the flexibility of the tertiary system to changing skill needs?</w:t>
      </w:r>
    </w:p>
    <w:p w14:paraId="685A467D" w14:textId="242C585B" w:rsidR="00B778BE" w:rsidRDefault="00B778BE" w:rsidP="00BD43F2">
      <w:pPr>
        <w:jc w:val="both"/>
      </w:pPr>
      <w:r>
        <w:t xml:space="preserve">According to </w:t>
      </w:r>
      <w:r w:rsidRPr="002669CC">
        <w:t>NCVER statistics</w:t>
      </w:r>
      <w:r w:rsidR="00991CDE">
        <w:rPr>
          <w:rStyle w:val="FootnoteReference"/>
        </w:rPr>
        <w:footnoteReference w:id="5"/>
      </w:r>
      <w:r>
        <w:t xml:space="preserve">, in 2020, 70% of the </w:t>
      </w:r>
      <w:r w:rsidRPr="000B2BFA">
        <w:t xml:space="preserve">government funding of VET </w:t>
      </w:r>
      <w:r w:rsidR="00565D8D">
        <w:t>went</w:t>
      </w:r>
      <w:r w:rsidRPr="000B2BFA">
        <w:t xml:space="preserve"> to TAFE </w:t>
      </w:r>
      <w:r>
        <w:t>(</w:t>
      </w:r>
      <w:r w:rsidRPr="000B2BFA">
        <w:t xml:space="preserve">and 5% to </w:t>
      </w:r>
      <w:r w:rsidR="00500EA3" w:rsidRPr="000B2BFA">
        <w:t>universities</w:t>
      </w:r>
      <w:r>
        <w:t>)</w:t>
      </w:r>
      <w:r w:rsidRPr="000B2BFA">
        <w:t xml:space="preserve">, which </w:t>
      </w:r>
      <w:r w:rsidR="00565D8D">
        <w:t>left</w:t>
      </w:r>
      <w:r w:rsidRPr="000B2BFA">
        <w:t xml:space="preserve"> only 25% of the annual funding for other organisations</w:t>
      </w:r>
      <w:r w:rsidR="00DD7A0E">
        <w:t>,</w:t>
      </w:r>
      <w:r w:rsidRPr="000B2BFA">
        <w:t xml:space="preserve"> including RTOs. </w:t>
      </w:r>
      <w:r>
        <w:t>MTC Australia believes this</w:t>
      </w:r>
      <w:r w:rsidRPr="000B2BFA">
        <w:t xml:space="preserve"> weakens the competition as it considerably limits the market size of VET outside of TAFE, while - as mentioned </w:t>
      </w:r>
      <w:r>
        <w:t xml:space="preserve">on </w:t>
      </w:r>
      <w:r w:rsidRPr="000B2BFA">
        <w:t>page 61</w:t>
      </w:r>
      <w:r>
        <w:t xml:space="preserve"> of the </w:t>
      </w:r>
      <w:r w:rsidR="00F85916">
        <w:t xml:space="preserve">Productivity Commission </w:t>
      </w:r>
      <w:r>
        <w:t>report</w:t>
      </w:r>
      <w:r w:rsidRPr="000B2BFA">
        <w:t xml:space="preserve"> - </w:t>
      </w:r>
      <w:r w:rsidR="00BD43F2">
        <w:t>students are equally satisfied with public and private RTOs</w:t>
      </w:r>
      <w:r w:rsidR="00CF25B9">
        <w:t xml:space="preserve"> and</w:t>
      </w:r>
      <w:r w:rsidR="00BD43F2">
        <w:t xml:space="preserve"> employer satisfaction is higher for private RTOs. </w:t>
      </w:r>
      <w:r w:rsidR="002E2A5E">
        <w:t>Competition can foster innovation in the sector.</w:t>
      </w:r>
      <w:r w:rsidR="00271045">
        <w:t xml:space="preserve"> When students </w:t>
      </w:r>
      <w:r w:rsidR="00AC742F">
        <w:t xml:space="preserve">can choose where they can study regardless of </w:t>
      </w:r>
      <w:r w:rsidR="6FC04CCA">
        <w:t>restrictions to funding models</w:t>
      </w:r>
      <w:r w:rsidR="00AC742F">
        <w:t xml:space="preserve">, this </w:t>
      </w:r>
      <w:r w:rsidR="006615E8">
        <w:t>encourages providers to innovate</w:t>
      </w:r>
      <w:r w:rsidR="000A65BC">
        <w:t xml:space="preserve"> or differentiate their offering</w:t>
      </w:r>
      <w:r w:rsidR="006615E8">
        <w:t xml:space="preserve"> to </w:t>
      </w:r>
      <w:r w:rsidR="008A2511">
        <w:t xml:space="preserve">remain competitive </w:t>
      </w:r>
      <w:r w:rsidR="000A3326">
        <w:t>i</w:t>
      </w:r>
      <w:r w:rsidR="008A2511">
        <w:t>n the market</w:t>
      </w:r>
      <w:r w:rsidR="006615E8">
        <w:t>.</w:t>
      </w:r>
      <w:r w:rsidR="5B197560">
        <w:t xml:space="preserve"> Such an approach would support more efficient or high-quality education, since students would have greater access to education providers who </w:t>
      </w:r>
      <w:r w:rsidR="311B6799">
        <w:t xml:space="preserve">could tailor courses to their needs. </w:t>
      </w:r>
    </w:p>
    <w:p w14:paraId="317E6548" w14:textId="053B35D5" w:rsidR="00FC266A" w:rsidRDefault="00D60F69" w:rsidP="008D6CE7">
      <w:pPr>
        <w:pStyle w:val="Heading2"/>
      </w:pPr>
      <w:r>
        <w:t>4.3 Allowing greater flexibility in VET course delivery</w:t>
      </w:r>
    </w:p>
    <w:p w14:paraId="6AABF45C" w14:textId="47B8E932" w:rsidR="00BB0223" w:rsidRDefault="00BB0223" w:rsidP="00BB0223">
      <w:pPr>
        <w:jc w:val="both"/>
        <w:rPr>
          <w:rFonts w:ascii="Poppins" w:hAnsi="Poppins" w:cs="Poppins"/>
          <w:b/>
          <w:i/>
          <w:iCs/>
          <w:color w:val="38A4AF"/>
          <w:lang w:eastAsia="en-AU"/>
        </w:rPr>
      </w:pPr>
      <w:r>
        <w:rPr>
          <w:rFonts w:ascii="Poppins" w:hAnsi="Poppins" w:cs="Poppins"/>
          <w:b/>
          <w:i/>
          <w:iCs/>
          <w:color w:val="38A4AF"/>
          <w:lang w:eastAsia="en-AU"/>
        </w:rPr>
        <w:t>What would be the risks and benefits of piloting alternative approaches to competency-based training?</w:t>
      </w:r>
    </w:p>
    <w:p w14:paraId="365D14D0" w14:textId="71F5B6B4" w:rsidR="00BB0223" w:rsidRDefault="00370AD9" w:rsidP="00C37AD6">
      <w:pPr>
        <w:jc w:val="both"/>
      </w:pPr>
      <w:r>
        <w:t xml:space="preserve">While a proficiency-based model could help with some of the current challenges, </w:t>
      </w:r>
      <w:r w:rsidR="00AA29DD">
        <w:t xml:space="preserve">we </w:t>
      </w:r>
      <w:r w:rsidR="00E25A46">
        <w:t>are concerned</w:t>
      </w:r>
      <w:r w:rsidR="00AA29DD">
        <w:t xml:space="preserve"> there could be significant risks associated with the change. It would require a </w:t>
      </w:r>
      <w:r w:rsidR="00456C32">
        <w:t>considerabl</w:t>
      </w:r>
      <w:r w:rsidR="00805446">
        <w:t xml:space="preserve">e overhaul of the whole system and </w:t>
      </w:r>
      <w:r w:rsidR="00456C32">
        <w:t>could discourage learners</w:t>
      </w:r>
      <w:r w:rsidR="00805446">
        <w:t xml:space="preserve"> at the lower end of the proficiency scale. </w:t>
      </w:r>
      <w:r w:rsidR="00E25A46">
        <w:t xml:space="preserve">At some stage, grading to a bell curve may also be required, which </w:t>
      </w:r>
      <w:r w:rsidR="004B18CC">
        <w:t xml:space="preserve">tends to create </w:t>
      </w:r>
      <w:r w:rsidR="0091297A">
        <w:t>competition between students</w:t>
      </w:r>
      <w:r w:rsidR="004B18CC">
        <w:t xml:space="preserve"> rather than</w:t>
      </w:r>
      <w:r w:rsidR="0091297A">
        <w:t xml:space="preserve"> collaborative</w:t>
      </w:r>
      <w:r w:rsidR="004B18CC">
        <w:t xml:space="preserve"> </w:t>
      </w:r>
      <w:r w:rsidR="0091297A">
        <w:t>learning environments.</w:t>
      </w:r>
      <w:r w:rsidR="00424186">
        <w:t xml:space="preserve"> </w:t>
      </w:r>
    </w:p>
    <w:p w14:paraId="47F357E1" w14:textId="441A0C77" w:rsidR="008D6CE7" w:rsidRDefault="008D6CE7" w:rsidP="00C37AD6">
      <w:pPr>
        <w:jc w:val="both"/>
        <w:rPr>
          <w:rFonts w:ascii="Poppins" w:hAnsi="Poppins" w:cs="Poppins"/>
          <w:b/>
          <w:i/>
          <w:iCs/>
          <w:color w:val="38A4AF"/>
          <w:lang w:eastAsia="en-AU"/>
        </w:rPr>
      </w:pPr>
      <w:r w:rsidRPr="008D6CE7">
        <w:rPr>
          <w:rFonts w:ascii="Poppins" w:hAnsi="Poppins" w:cs="Poppins"/>
          <w:b/>
          <w:i/>
          <w:iCs/>
          <w:color w:val="38A4AF"/>
          <w:lang w:eastAsia="en-AU"/>
        </w:rPr>
        <w:t>Under an alternative approach, how should training be defined and updated over time?</w:t>
      </w:r>
    </w:p>
    <w:p w14:paraId="2DEAF71A" w14:textId="38764E34" w:rsidR="008D6CE7" w:rsidRPr="008D6CE7" w:rsidRDefault="009D006B" w:rsidP="00C37AD6">
      <w:pPr>
        <w:jc w:val="both"/>
        <w:rPr>
          <w:rFonts w:ascii="Poppins" w:hAnsi="Poppins" w:cs="Poppins"/>
          <w:b/>
          <w:i/>
          <w:iCs/>
          <w:color w:val="38A4AF"/>
          <w:lang w:eastAsia="en-AU"/>
        </w:rPr>
      </w:pPr>
      <w:r>
        <w:t xml:space="preserve">MTC Australia agrees with the current challenges mentioned in the Productivity Commission report, such as </w:t>
      </w:r>
      <w:r w:rsidR="008A4C5B">
        <w:t xml:space="preserve">the rigidity of the current training packages and the time taken for them to be updated. </w:t>
      </w:r>
      <w:r w:rsidR="00B16043">
        <w:t>To tackle those issues, MTC Australia suggests new curricula</w:t>
      </w:r>
      <w:r w:rsidR="006C6FF6">
        <w:t xml:space="preserve"> that aim at broader knowledge</w:t>
      </w:r>
      <w:r w:rsidR="00B16043">
        <w:t xml:space="preserve"> could be developed </w:t>
      </w:r>
      <w:r w:rsidR="006C6FF6">
        <w:t xml:space="preserve">to give more flexibility to providers to update teaching material and reduce the frequency with </w:t>
      </w:r>
      <w:r w:rsidR="00BB0223">
        <w:t xml:space="preserve">which training packages need to be updated. </w:t>
      </w:r>
    </w:p>
    <w:sectPr w:rsidR="008D6CE7" w:rsidRPr="008D6CE7" w:rsidSect="009375D5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754D" w14:textId="77777777" w:rsidR="001E39F4" w:rsidRDefault="001E39F4" w:rsidP="00724A32">
      <w:r>
        <w:separator/>
      </w:r>
    </w:p>
  </w:endnote>
  <w:endnote w:type="continuationSeparator" w:id="0">
    <w:p w14:paraId="5050EB19" w14:textId="77777777" w:rsidR="001E39F4" w:rsidRDefault="001E39F4" w:rsidP="00724A32">
      <w:r>
        <w:continuationSeparator/>
      </w:r>
    </w:p>
  </w:endnote>
  <w:endnote w:type="continuationNotice" w:id="1">
    <w:p w14:paraId="0B868B1D" w14:textId="77777777" w:rsidR="001E39F4" w:rsidRDefault="001E3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 Black">
    <w:altName w:val="Roboto Black"/>
    <w:charset w:val="00"/>
    <w:family w:val="auto"/>
    <w:pitch w:val="variable"/>
    <w:sig w:usb0="E00002FF" w:usb1="5000205B" w:usb2="00000020" w:usb3="00000000" w:csb0="0000019F" w:csb1="00000000"/>
  </w:font>
  <w:font w:name="Sofia Pro Black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846" w14:textId="77777777" w:rsidR="001E39F4" w:rsidRDefault="001E39F4" w:rsidP="00724A32">
      <w:r>
        <w:separator/>
      </w:r>
    </w:p>
  </w:footnote>
  <w:footnote w:type="continuationSeparator" w:id="0">
    <w:p w14:paraId="090DF724" w14:textId="77777777" w:rsidR="001E39F4" w:rsidRDefault="001E39F4" w:rsidP="00724A32">
      <w:r>
        <w:continuationSeparator/>
      </w:r>
    </w:p>
  </w:footnote>
  <w:footnote w:type="continuationNotice" w:id="1">
    <w:p w14:paraId="526079BC" w14:textId="77777777" w:rsidR="001E39F4" w:rsidRDefault="001E39F4">
      <w:pPr>
        <w:spacing w:after="0" w:line="240" w:lineRule="auto"/>
      </w:pPr>
    </w:p>
  </w:footnote>
  <w:footnote w:id="2">
    <w:p w14:paraId="42B626B2" w14:textId="007D3583" w:rsidR="00073589" w:rsidRPr="007D6E99" w:rsidRDefault="00073589">
      <w:pPr>
        <w:pStyle w:val="FootnoteText"/>
        <w:rPr>
          <w:sz w:val="16"/>
          <w:szCs w:val="16"/>
        </w:rPr>
      </w:pPr>
      <w:r w:rsidRPr="007D6E99">
        <w:rPr>
          <w:rStyle w:val="FootnoteReference"/>
          <w:sz w:val="16"/>
          <w:szCs w:val="16"/>
        </w:rPr>
        <w:footnoteRef/>
      </w:r>
      <w:r w:rsidRPr="007D6E99">
        <w:rPr>
          <w:sz w:val="16"/>
          <w:szCs w:val="16"/>
        </w:rPr>
        <w:t xml:space="preserve"> (2022). </w:t>
      </w:r>
      <w:r w:rsidRPr="007D6E99">
        <w:rPr>
          <w:i/>
          <w:iCs/>
          <w:sz w:val="16"/>
          <w:szCs w:val="16"/>
        </w:rPr>
        <w:t>Historical time series of government-funded vocational education and training from 1981 to 2021</w:t>
      </w:r>
      <w:r w:rsidRPr="007D6E99">
        <w:rPr>
          <w:sz w:val="16"/>
          <w:szCs w:val="16"/>
        </w:rPr>
        <w:t xml:space="preserve">. NCVER. </w:t>
      </w:r>
      <w:hyperlink r:id="rId1" w:history="1">
        <w:r w:rsidRPr="007D6E99">
          <w:rPr>
            <w:rStyle w:val="Hyperlink"/>
            <w:sz w:val="16"/>
            <w:szCs w:val="16"/>
          </w:rPr>
          <w:t>https://www.ncver.edu.au/research-and-statistics/data/all-data/historical-time-series-of-government-funded-vocational-education-and-training-from-1981-to-2021</w:t>
        </w:r>
      </w:hyperlink>
      <w:r w:rsidRPr="007D6E99">
        <w:rPr>
          <w:sz w:val="16"/>
          <w:szCs w:val="16"/>
        </w:rPr>
        <w:t xml:space="preserve"> </w:t>
      </w:r>
    </w:p>
  </w:footnote>
  <w:footnote w:id="3">
    <w:p w14:paraId="1521BFFC" w14:textId="48062144" w:rsidR="00E530E2" w:rsidRPr="007D6E99" w:rsidRDefault="00E530E2">
      <w:pPr>
        <w:pStyle w:val="FootnoteText"/>
        <w:rPr>
          <w:sz w:val="16"/>
          <w:szCs w:val="16"/>
        </w:rPr>
      </w:pPr>
      <w:r w:rsidRPr="007D6E99">
        <w:rPr>
          <w:rStyle w:val="FootnoteReference"/>
          <w:sz w:val="16"/>
          <w:szCs w:val="16"/>
        </w:rPr>
        <w:footnoteRef/>
      </w:r>
      <w:r w:rsidRPr="007D6E99">
        <w:rPr>
          <w:sz w:val="16"/>
          <w:szCs w:val="16"/>
        </w:rPr>
        <w:t xml:space="preserve"> (2022). </w:t>
      </w:r>
      <w:r w:rsidRPr="007D6E99">
        <w:rPr>
          <w:i/>
          <w:iCs/>
          <w:sz w:val="16"/>
          <w:szCs w:val="16"/>
        </w:rPr>
        <w:t>2020 Section 1 Commencing students</w:t>
      </w:r>
      <w:r w:rsidRPr="007D6E99">
        <w:rPr>
          <w:sz w:val="16"/>
          <w:szCs w:val="16"/>
        </w:rPr>
        <w:t xml:space="preserve">. Department of Education. </w:t>
      </w:r>
      <w:hyperlink r:id="rId2" w:history="1">
        <w:r w:rsidRPr="007D6E99">
          <w:rPr>
            <w:rStyle w:val="Hyperlink"/>
            <w:sz w:val="16"/>
            <w:szCs w:val="16"/>
          </w:rPr>
          <w:t>https://www.education.gov.au/higher-education-statistics/resources/2020-section-1-commencing-students</w:t>
        </w:r>
      </w:hyperlink>
      <w:r w:rsidRPr="007D6E99">
        <w:rPr>
          <w:sz w:val="16"/>
          <w:szCs w:val="16"/>
        </w:rPr>
        <w:t xml:space="preserve"> </w:t>
      </w:r>
    </w:p>
  </w:footnote>
  <w:footnote w:id="4">
    <w:p w14:paraId="3474B6D4" w14:textId="623B6332" w:rsidR="007D6E99" w:rsidRDefault="007D6E99">
      <w:pPr>
        <w:pStyle w:val="FootnoteText"/>
      </w:pPr>
      <w:r w:rsidRPr="007D6E99">
        <w:rPr>
          <w:rStyle w:val="FootnoteReference"/>
          <w:sz w:val="16"/>
          <w:szCs w:val="16"/>
        </w:rPr>
        <w:footnoteRef/>
      </w:r>
      <w:r w:rsidRPr="007D6E99">
        <w:rPr>
          <w:sz w:val="16"/>
          <w:szCs w:val="16"/>
        </w:rPr>
        <w:t xml:space="preserve"> (2022). </w:t>
      </w:r>
      <w:r w:rsidRPr="007D6E99">
        <w:rPr>
          <w:i/>
          <w:iCs/>
          <w:sz w:val="16"/>
          <w:szCs w:val="16"/>
        </w:rPr>
        <w:t>2020 Section 11 Equity groups</w:t>
      </w:r>
      <w:r w:rsidRPr="007D6E99">
        <w:rPr>
          <w:sz w:val="16"/>
          <w:szCs w:val="16"/>
        </w:rPr>
        <w:t xml:space="preserve">. Department of Education. </w:t>
      </w:r>
      <w:hyperlink r:id="rId3" w:history="1">
        <w:r w:rsidRPr="007D6E99">
          <w:rPr>
            <w:rStyle w:val="Hyperlink"/>
            <w:sz w:val="16"/>
            <w:szCs w:val="16"/>
          </w:rPr>
          <w:t>https://www.education.gov.au/higher-education-statistics/resources/2020-section-11-equity-groups</w:t>
        </w:r>
      </w:hyperlink>
      <w:r w:rsidRPr="007D6E99">
        <w:rPr>
          <w:sz w:val="16"/>
          <w:szCs w:val="16"/>
        </w:rPr>
        <w:t xml:space="preserve"> </w:t>
      </w:r>
    </w:p>
  </w:footnote>
  <w:footnote w:id="5">
    <w:p w14:paraId="57C1DD0B" w14:textId="270389C5" w:rsidR="00991CDE" w:rsidRPr="00991CDE" w:rsidRDefault="00991CDE">
      <w:pPr>
        <w:pStyle w:val="FootnoteText"/>
        <w:rPr>
          <w:sz w:val="16"/>
          <w:szCs w:val="16"/>
        </w:rPr>
      </w:pPr>
      <w:r w:rsidRPr="00991CDE">
        <w:rPr>
          <w:rStyle w:val="FootnoteReference"/>
          <w:sz w:val="16"/>
          <w:szCs w:val="16"/>
        </w:rPr>
        <w:footnoteRef/>
      </w:r>
      <w:r w:rsidRPr="00991CDE">
        <w:rPr>
          <w:sz w:val="16"/>
          <w:szCs w:val="16"/>
        </w:rPr>
        <w:t xml:space="preserve"> (2021). </w:t>
      </w:r>
      <w:r w:rsidRPr="00991CDE">
        <w:rPr>
          <w:i/>
          <w:iCs/>
          <w:sz w:val="16"/>
          <w:szCs w:val="16"/>
        </w:rPr>
        <w:t>Government funding of VET 2020: data tables</w:t>
      </w:r>
      <w:r w:rsidRPr="00991CDE">
        <w:rPr>
          <w:sz w:val="16"/>
          <w:szCs w:val="16"/>
        </w:rPr>
        <w:t xml:space="preserve">. NCVER. </w:t>
      </w:r>
      <w:hyperlink r:id="rId4" w:history="1">
        <w:r w:rsidRPr="00991CDE">
          <w:rPr>
            <w:rStyle w:val="Hyperlink"/>
            <w:sz w:val="16"/>
            <w:szCs w:val="16"/>
          </w:rPr>
          <w:t>https://www.ncver.edu.au/research-and-statistics/data/all-data/government-funding-of-vet-2020-data-tables</w:t>
        </w:r>
      </w:hyperlink>
      <w:r w:rsidRPr="00991CDE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73FA" w14:textId="08812E2B" w:rsidR="000C1E66" w:rsidRDefault="00AC07BB" w:rsidP="00724A32">
    <w:pPr>
      <w:pStyle w:val="Header"/>
    </w:pPr>
    <w:r>
      <w:rPr>
        <w:noProof/>
      </w:rPr>
      <w:pict w14:anchorId="5ED4E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80172" o:spid="_x0000_s1026" type="#_x0000_t75" alt="MTC-Word-bg-P1-A4" style="position:absolute;margin-left:0;margin-top:0;width:446.25pt;height:631.5pt;z-index:-251657728;mso-wrap-edited:f;mso-position-horizontal:center;mso-position-horizontal-relative:margin;mso-position-vertical:center;mso-position-vertical-relative:margin" o:allowincell="f">
          <v:imagedata r:id="rId1" o:title="MTC-Word-bg-P1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04E7" w14:textId="707411F8" w:rsidR="00687411" w:rsidRDefault="00687411" w:rsidP="00724A3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5CD8D3" wp14:editId="7634C0E8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8282" cy="106818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TC-Word-bg-P2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2" cy="10702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CCD6" w14:textId="349197CD" w:rsidR="005C513E" w:rsidRDefault="00A830A8" w:rsidP="00724A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7960DF" wp14:editId="20A862E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703" cy="1067752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C AL Letter 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03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77"/>
    <w:multiLevelType w:val="multilevel"/>
    <w:tmpl w:val="31E4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45645F"/>
    <w:multiLevelType w:val="hybridMultilevel"/>
    <w:tmpl w:val="44C0D572"/>
    <w:lvl w:ilvl="0" w:tplc="2E6C34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4577">
    <w:abstractNumId w:val="1"/>
  </w:num>
  <w:num w:numId="2" w16cid:durableId="49619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jE3MDQ0szAzMzFT0lEKTi0uzszPAymwrAUAWhwsEywAAAA="/>
  </w:docVars>
  <w:rsids>
    <w:rsidRoot w:val="002445C6"/>
    <w:rsid w:val="000073B4"/>
    <w:rsid w:val="00013A08"/>
    <w:rsid w:val="00025FD9"/>
    <w:rsid w:val="00034396"/>
    <w:rsid w:val="00034BCA"/>
    <w:rsid w:val="00041888"/>
    <w:rsid w:val="00046266"/>
    <w:rsid w:val="0006073A"/>
    <w:rsid w:val="00061D04"/>
    <w:rsid w:val="000628D6"/>
    <w:rsid w:val="00070118"/>
    <w:rsid w:val="00070E35"/>
    <w:rsid w:val="00073589"/>
    <w:rsid w:val="00074171"/>
    <w:rsid w:val="00084F80"/>
    <w:rsid w:val="0008511D"/>
    <w:rsid w:val="000868F0"/>
    <w:rsid w:val="00087C8C"/>
    <w:rsid w:val="00090151"/>
    <w:rsid w:val="000918E9"/>
    <w:rsid w:val="000A2E47"/>
    <w:rsid w:val="000A3326"/>
    <w:rsid w:val="000A65BC"/>
    <w:rsid w:val="000B2BFA"/>
    <w:rsid w:val="000C1E66"/>
    <w:rsid w:val="000D01B1"/>
    <w:rsid w:val="000E1B76"/>
    <w:rsid w:val="000E42BC"/>
    <w:rsid w:val="00102B3D"/>
    <w:rsid w:val="001109B5"/>
    <w:rsid w:val="001142C3"/>
    <w:rsid w:val="001244A0"/>
    <w:rsid w:val="0012607F"/>
    <w:rsid w:val="00126B8B"/>
    <w:rsid w:val="0012716C"/>
    <w:rsid w:val="00131703"/>
    <w:rsid w:val="00134A43"/>
    <w:rsid w:val="0013689C"/>
    <w:rsid w:val="0013706B"/>
    <w:rsid w:val="00142DDB"/>
    <w:rsid w:val="001444AB"/>
    <w:rsid w:val="00161F2D"/>
    <w:rsid w:val="001622D8"/>
    <w:rsid w:val="00166AEA"/>
    <w:rsid w:val="00170468"/>
    <w:rsid w:val="00175B78"/>
    <w:rsid w:val="001804DA"/>
    <w:rsid w:val="001A244F"/>
    <w:rsid w:val="001B0543"/>
    <w:rsid w:val="001C0922"/>
    <w:rsid w:val="001C1C3A"/>
    <w:rsid w:val="001D6018"/>
    <w:rsid w:val="001E3529"/>
    <w:rsid w:val="001E39F4"/>
    <w:rsid w:val="001E7076"/>
    <w:rsid w:val="001E7AA4"/>
    <w:rsid w:val="001F5A1D"/>
    <w:rsid w:val="002011F6"/>
    <w:rsid w:val="002012E0"/>
    <w:rsid w:val="00201BD9"/>
    <w:rsid w:val="002127A2"/>
    <w:rsid w:val="00223E93"/>
    <w:rsid w:val="00225267"/>
    <w:rsid w:val="0022531A"/>
    <w:rsid w:val="00226CB7"/>
    <w:rsid w:val="00227E6B"/>
    <w:rsid w:val="00242B51"/>
    <w:rsid w:val="002445C6"/>
    <w:rsid w:val="002479A4"/>
    <w:rsid w:val="00253522"/>
    <w:rsid w:val="002669CC"/>
    <w:rsid w:val="00271045"/>
    <w:rsid w:val="00275B19"/>
    <w:rsid w:val="00280873"/>
    <w:rsid w:val="00283A9E"/>
    <w:rsid w:val="00286AC3"/>
    <w:rsid w:val="00292396"/>
    <w:rsid w:val="002930BB"/>
    <w:rsid w:val="002943CD"/>
    <w:rsid w:val="002A0CBC"/>
    <w:rsid w:val="002B04B2"/>
    <w:rsid w:val="002B3883"/>
    <w:rsid w:val="002B39F7"/>
    <w:rsid w:val="002B5956"/>
    <w:rsid w:val="002E1553"/>
    <w:rsid w:val="002E2A5E"/>
    <w:rsid w:val="002E6C89"/>
    <w:rsid w:val="002F313E"/>
    <w:rsid w:val="00302C82"/>
    <w:rsid w:val="003059E0"/>
    <w:rsid w:val="00311589"/>
    <w:rsid w:val="003144F7"/>
    <w:rsid w:val="0033773D"/>
    <w:rsid w:val="00351E69"/>
    <w:rsid w:val="0036096A"/>
    <w:rsid w:val="00370AD9"/>
    <w:rsid w:val="00370D63"/>
    <w:rsid w:val="00391D29"/>
    <w:rsid w:val="00397D3A"/>
    <w:rsid w:val="003A5AC2"/>
    <w:rsid w:val="003C2748"/>
    <w:rsid w:val="003C3FE7"/>
    <w:rsid w:val="003C7BA2"/>
    <w:rsid w:val="003D345B"/>
    <w:rsid w:val="003D7343"/>
    <w:rsid w:val="003D7B77"/>
    <w:rsid w:val="003E2E5C"/>
    <w:rsid w:val="003F2C25"/>
    <w:rsid w:val="003F5F1D"/>
    <w:rsid w:val="003F665A"/>
    <w:rsid w:val="0040071E"/>
    <w:rsid w:val="004037E8"/>
    <w:rsid w:val="00404CFC"/>
    <w:rsid w:val="00411EDD"/>
    <w:rsid w:val="00424186"/>
    <w:rsid w:val="0043339D"/>
    <w:rsid w:val="00433BAB"/>
    <w:rsid w:val="00450398"/>
    <w:rsid w:val="00456C32"/>
    <w:rsid w:val="00463678"/>
    <w:rsid w:val="00482FBB"/>
    <w:rsid w:val="00483655"/>
    <w:rsid w:val="00491E27"/>
    <w:rsid w:val="004924E9"/>
    <w:rsid w:val="004935D0"/>
    <w:rsid w:val="00496B13"/>
    <w:rsid w:val="004A5B0C"/>
    <w:rsid w:val="004B18CC"/>
    <w:rsid w:val="004C1DC4"/>
    <w:rsid w:val="004C768B"/>
    <w:rsid w:val="004D2C04"/>
    <w:rsid w:val="004D5825"/>
    <w:rsid w:val="004F0B4E"/>
    <w:rsid w:val="00500EA3"/>
    <w:rsid w:val="00503D94"/>
    <w:rsid w:val="0050637E"/>
    <w:rsid w:val="00507031"/>
    <w:rsid w:val="00513512"/>
    <w:rsid w:val="0051668E"/>
    <w:rsid w:val="005211BD"/>
    <w:rsid w:val="00522684"/>
    <w:rsid w:val="005255BE"/>
    <w:rsid w:val="00527159"/>
    <w:rsid w:val="00536827"/>
    <w:rsid w:val="00542290"/>
    <w:rsid w:val="00546BF4"/>
    <w:rsid w:val="005626F5"/>
    <w:rsid w:val="00565D8D"/>
    <w:rsid w:val="005665CE"/>
    <w:rsid w:val="00571682"/>
    <w:rsid w:val="00575CFB"/>
    <w:rsid w:val="00581934"/>
    <w:rsid w:val="005867D5"/>
    <w:rsid w:val="00595166"/>
    <w:rsid w:val="005A450A"/>
    <w:rsid w:val="005B4C19"/>
    <w:rsid w:val="005C513E"/>
    <w:rsid w:val="005D2CCC"/>
    <w:rsid w:val="005D2F73"/>
    <w:rsid w:val="005D786A"/>
    <w:rsid w:val="005F1B2D"/>
    <w:rsid w:val="006055D5"/>
    <w:rsid w:val="00605874"/>
    <w:rsid w:val="00606C48"/>
    <w:rsid w:val="00616288"/>
    <w:rsid w:val="00617F08"/>
    <w:rsid w:val="00620239"/>
    <w:rsid w:val="0062173E"/>
    <w:rsid w:val="00623113"/>
    <w:rsid w:val="006233B2"/>
    <w:rsid w:val="00625217"/>
    <w:rsid w:val="00630872"/>
    <w:rsid w:val="00640B5D"/>
    <w:rsid w:val="00642189"/>
    <w:rsid w:val="00652361"/>
    <w:rsid w:val="00652A2A"/>
    <w:rsid w:val="006615E8"/>
    <w:rsid w:val="00665CCA"/>
    <w:rsid w:val="00666C79"/>
    <w:rsid w:val="00666E3E"/>
    <w:rsid w:val="00680D5B"/>
    <w:rsid w:val="00682D94"/>
    <w:rsid w:val="006869EE"/>
    <w:rsid w:val="00687411"/>
    <w:rsid w:val="006A48ED"/>
    <w:rsid w:val="006A6569"/>
    <w:rsid w:val="006B1294"/>
    <w:rsid w:val="006B779A"/>
    <w:rsid w:val="006B7986"/>
    <w:rsid w:val="006C531A"/>
    <w:rsid w:val="006C665A"/>
    <w:rsid w:val="006C6FF6"/>
    <w:rsid w:val="006D6847"/>
    <w:rsid w:val="006E2E06"/>
    <w:rsid w:val="006E3EBC"/>
    <w:rsid w:val="006F420B"/>
    <w:rsid w:val="00706C63"/>
    <w:rsid w:val="007208C2"/>
    <w:rsid w:val="0072298B"/>
    <w:rsid w:val="00724A32"/>
    <w:rsid w:val="00726616"/>
    <w:rsid w:val="007317DA"/>
    <w:rsid w:val="007421AC"/>
    <w:rsid w:val="00742E50"/>
    <w:rsid w:val="00757490"/>
    <w:rsid w:val="00762380"/>
    <w:rsid w:val="00765DFE"/>
    <w:rsid w:val="00774A77"/>
    <w:rsid w:val="00790F1F"/>
    <w:rsid w:val="007B6C5C"/>
    <w:rsid w:val="007B7203"/>
    <w:rsid w:val="007C0E2F"/>
    <w:rsid w:val="007C2129"/>
    <w:rsid w:val="007C250E"/>
    <w:rsid w:val="007C77F2"/>
    <w:rsid w:val="007D5DFB"/>
    <w:rsid w:val="007D6C4B"/>
    <w:rsid w:val="007D6E99"/>
    <w:rsid w:val="007F5FBA"/>
    <w:rsid w:val="00800842"/>
    <w:rsid w:val="00805446"/>
    <w:rsid w:val="00813069"/>
    <w:rsid w:val="00815BF9"/>
    <w:rsid w:val="00817D55"/>
    <w:rsid w:val="00817E8F"/>
    <w:rsid w:val="008247BF"/>
    <w:rsid w:val="008351E3"/>
    <w:rsid w:val="008361C6"/>
    <w:rsid w:val="00841670"/>
    <w:rsid w:val="00843EEA"/>
    <w:rsid w:val="008442B5"/>
    <w:rsid w:val="00862EE7"/>
    <w:rsid w:val="00864205"/>
    <w:rsid w:val="00864548"/>
    <w:rsid w:val="00875BC7"/>
    <w:rsid w:val="00883037"/>
    <w:rsid w:val="00883434"/>
    <w:rsid w:val="00897D73"/>
    <w:rsid w:val="008A0920"/>
    <w:rsid w:val="008A130C"/>
    <w:rsid w:val="008A1DD6"/>
    <w:rsid w:val="008A2511"/>
    <w:rsid w:val="008A4C5B"/>
    <w:rsid w:val="008A5111"/>
    <w:rsid w:val="008B6E34"/>
    <w:rsid w:val="008D339F"/>
    <w:rsid w:val="008D3CD6"/>
    <w:rsid w:val="008D5C59"/>
    <w:rsid w:val="008D6CE7"/>
    <w:rsid w:val="008E1596"/>
    <w:rsid w:val="008F7B74"/>
    <w:rsid w:val="00902F3A"/>
    <w:rsid w:val="00905BD9"/>
    <w:rsid w:val="00910E10"/>
    <w:rsid w:val="00911C49"/>
    <w:rsid w:val="0091297A"/>
    <w:rsid w:val="00912F95"/>
    <w:rsid w:val="009172B5"/>
    <w:rsid w:val="0092039F"/>
    <w:rsid w:val="00926DCE"/>
    <w:rsid w:val="00927E1F"/>
    <w:rsid w:val="00931AE8"/>
    <w:rsid w:val="00933555"/>
    <w:rsid w:val="009375D5"/>
    <w:rsid w:val="00937F06"/>
    <w:rsid w:val="00941C60"/>
    <w:rsid w:val="00945195"/>
    <w:rsid w:val="009547D8"/>
    <w:rsid w:val="00956AA2"/>
    <w:rsid w:val="00956DA0"/>
    <w:rsid w:val="00962F65"/>
    <w:rsid w:val="00972C1F"/>
    <w:rsid w:val="00987939"/>
    <w:rsid w:val="00991CDE"/>
    <w:rsid w:val="00992759"/>
    <w:rsid w:val="00995777"/>
    <w:rsid w:val="0099582B"/>
    <w:rsid w:val="00996DD2"/>
    <w:rsid w:val="009A5A0F"/>
    <w:rsid w:val="009A7393"/>
    <w:rsid w:val="009B6EE7"/>
    <w:rsid w:val="009B7D8B"/>
    <w:rsid w:val="009C1B9A"/>
    <w:rsid w:val="009C445A"/>
    <w:rsid w:val="009D006B"/>
    <w:rsid w:val="009D1AE8"/>
    <w:rsid w:val="00A263E8"/>
    <w:rsid w:val="00A423C8"/>
    <w:rsid w:val="00A47743"/>
    <w:rsid w:val="00A52267"/>
    <w:rsid w:val="00A561E6"/>
    <w:rsid w:val="00A74431"/>
    <w:rsid w:val="00A74A32"/>
    <w:rsid w:val="00A76C5E"/>
    <w:rsid w:val="00A76FC6"/>
    <w:rsid w:val="00A812AA"/>
    <w:rsid w:val="00A830A8"/>
    <w:rsid w:val="00A84CAF"/>
    <w:rsid w:val="00AA0EC4"/>
    <w:rsid w:val="00AA29DD"/>
    <w:rsid w:val="00AC07BB"/>
    <w:rsid w:val="00AC1888"/>
    <w:rsid w:val="00AC6422"/>
    <w:rsid w:val="00AC742F"/>
    <w:rsid w:val="00AD3662"/>
    <w:rsid w:val="00AE339B"/>
    <w:rsid w:val="00B03BC6"/>
    <w:rsid w:val="00B05BB7"/>
    <w:rsid w:val="00B147EA"/>
    <w:rsid w:val="00B16043"/>
    <w:rsid w:val="00B20F12"/>
    <w:rsid w:val="00B3461F"/>
    <w:rsid w:val="00B36D86"/>
    <w:rsid w:val="00B51676"/>
    <w:rsid w:val="00B55BC6"/>
    <w:rsid w:val="00B645F9"/>
    <w:rsid w:val="00B65C5E"/>
    <w:rsid w:val="00B778BE"/>
    <w:rsid w:val="00B8001C"/>
    <w:rsid w:val="00B90736"/>
    <w:rsid w:val="00BA22D2"/>
    <w:rsid w:val="00BB0223"/>
    <w:rsid w:val="00BC673D"/>
    <w:rsid w:val="00BD017C"/>
    <w:rsid w:val="00BD3C6E"/>
    <w:rsid w:val="00BD43F2"/>
    <w:rsid w:val="00BE3A9A"/>
    <w:rsid w:val="00C02E79"/>
    <w:rsid w:val="00C07A41"/>
    <w:rsid w:val="00C12A4E"/>
    <w:rsid w:val="00C14A0E"/>
    <w:rsid w:val="00C15FED"/>
    <w:rsid w:val="00C16DE8"/>
    <w:rsid w:val="00C211B8"/>
    <w:rsid w:val="00C233AE"/>
    <w:rsid w:val="00C37AD6"/>
    <w:rsid w:val="00C4514C"/>
    <w:rsid w:val="00C67839"/>
    <w:rsid w:val="00C84F2D"/>
    <w:rsid w:val="00C86C13"/>
    <w:rsid w:val="00C9509C"/>
    <w:rsid w:val="00C95249"/>
    <w:rsid w:val="00CB5394"/>
    <w:rsid w:val="00CC16BB"/>
    <w:rsid w:val="00CD0777"/>
    <w:rsid w:val="00CD2CA4"/>
    <w:rsid w:val="00CD3F6D"/>
    <w:rsid w:val="00CE0C2F"/>
    <w:rsid w:val="00CE0F94"/>
    <w:rsid w:val="00CF25B9"/>
    <w:rsid w:val="00CF4A18"/>
    <w:rsid w:val="00CF77DA"/>
    <w:rsid w:val="00CF7AD7"/>
    <w:rsid w:val="00D046B1"/>
    <w:rsid w:val="00D05FDF"/>
    <w:rsid w:val="00D07534"/>
    <w:rsid w:val="00D23CA5"/>
    <w:rsid w:val="00D26811"/>
    <w:rsid w:val="00D26932"/>
    <w:rsid w:val="00D376AB"/>
    <w:rsid w:val="00D434C9"/>
    <w:rsid w:val="00D43CCA"/>
    <w:rsid w:val="00D45051"/>
    <w:rsid w:val="00D514B5"/>
    <w:rsid w:val="00D60F69"/>
    <w:rsid w:val="00D62BB4"/>
    <w:rsid w:val="00D64954"/>
    <w:rsid w:val="00D710BF"/>
    <w:rsid w:val="00D77122"/>
    <w:rsid w:val="00D84E15"/>
    <w:rsid w:val="00D97B2D"/>
    <w:rsid w:val="00DD03A3"/>
    <w:rsid w:val="00DD7A0E"/>
    <w:rsid w:val="00DE6D9F"/>
    <w:rsid w:val="00E0450F"/>
    <w:rsid w:val="00E06574"/>
    <w:rsid w:val="00E21BC4"/>
    <w:rsid w:val="00E25A46"/>
    <w:rsid w:val="00E35F61"/>
    <w:rsid w:val="00E411A2"/>
    <w:rsid w:val="00E45773"/>
    <w:rsid w:val="00E505C4"/>
    <w:rsid w:val="00E530E2"/>
    <w:rsid w:val="00E60B2A"/>
    <w:rsid w:val="00E76DD1"/>
    <w:rsid w:val="00E76E67"/>
    <w:rsid w:val="00E83A28"/>
    <w:rsid w:val="00EA38C7"/>
    <w:rsid w:val="00EA4F28"/>
    <w:rsid w:val="00EA6452"/>
    <w:rsid w:val="00EC1C35"/>
    <w:rsid w:val="00EC49CE"/>
    <w:rsid w:val="00ED07A5"/>
    <w:rsid w:val="00ED08D6"/>
    <w:rsid w:val="00EE4EF7"/>
    <w:rsid w:val="00EE78EE"/>
    <w:rsid w:val="00EF2D9A"/>
    <w:rsid w:val="00F11AED"/>
    <w:rsid w:val="00F139B9"/>
    <w:rsid w:val="00F215C8"/>
    <w:rsid w:val="00F27880"/>
    <w:rsid w:val="00F451A3"/>
    <w:rsid w:val="00F51C5B"/>
    <w:rsid w:val="00F55359"/>
    <w:rsid w:val="00F5593E"/>
    <w:rsid w:val="00F60FE4"/>
    <w:rsid w:val="00F6307E"/>
    <w:rsid w:val="00F64D14"/>
    <w:rsid w:val="00F734D5"/>
    <w:rsid w:val="00F85916"/>
    <w:rsid w:val="00F910DF"/>
    <w:rsid w:val="00F92ADD"/>
    <w:rsid w:val="00F95641"/>
    <w:rsid w:val="00FA0D9B"/>
    <w:rsid w:val="00FA4092"/>
    <w:rsid w:val="00FB2999"/>
    <w:rsid w:val="00FC1243"/>
    <w:rsid w:val="00FC20CF"/>
    <w:rsid w:val="00FC266A"/>
    <w:rsid w:val="00FC4D57"/>
    <w:rsid w:val="00FC5D18"/>
    <w:rsid w:val="00FD5004"/>
    <w:rsid w:val="00FE323D"/>
    <w:rsid w:val="00FE68AF"/>
    <w:rsid w:val="00FE6B2C"/>
    <w:rsid w:val="00FF10AD"/>
    <w:rsid w:val="00FF7156"/>
    <w:rsid w:val="018436AD"/>
    <w:rsid w:val="01AB73CA"/>
    <w:rsid w:val="027E8565"/>
    <w:rsid w:val="02D9E4A5"/>
    <w:rsid w:val="037A53CB"/>
    <w:rsid w:val="038CC2C1"/>
    <w:rsid w:val="050CAC60"/>
    <w:rsid w:val="051505FE"/>
    <w:rsid w:val="05E62399"/>
    <w:rsid w:val="05FA0F02"/>
    <w:rsid w:val="06B4BB8A"/>
    <w:rsid w:val="07437D3D"/>
    <w:rsid w:val="09284623"/>
    <w:rsid w:val="09644EE1"/>
    <w:rsid w:val="09A2CC23"/>
    <w:rsid w:val="0A76F01A"/>
    <w:rsid w:val="0A830B85"/>
    <w:rsid w:val="0B6FB316"/>
    <w:rsid w:val="0C6529A6"/>
    <w:rsid w:val="0C971FCC"/>
    <w:rsid w:val="0C9BEFA3"/>
    <w:rsid w:val="0CC6E954"/>
    <w:rsid w:val="0CEC698A"/>
    <w:rsid w:val="0CF8336A"/>
    <w:rsid w:val="0D28FE5B"/>
    <w:rsid w:val="0D4E9FF2"/>
    <w:rsid w:val="0DAE90DC"/>
    <w:rsid w:val="0DD2D214"/>
    <w:rsid w:val="0E8839EB"/>
    <w:rsid w:val="0E94B15D"/>
    <w:rsid w:val="0EC72436"/>
    <w:rsid w:val="0FDAB618"/>
    <w:rsid w:val="0FED4F3F"/>
    <w:rsid w:val="103BB597"/>
    <w:rsid w:val="106C1459"/>
    <w:rsid w:val="12499F1C"/>
    <w:rsid w:val="12BF9824"/>
    <w:rsid w:val="135EC9CE"/>
    <w:rsid w:val="15787127"/>
    <w:rsid w:val="15D87C2B"/>
    <w:rsid w:val="17618E8D"/>
    <w:rsid w:val="17993B21"/>
    <w:rsid w:val="17A1FF5B"/>
    <w:rsid w:val="18A1FC66"/>
    <w:rsid w:val="19F121E1"/>
    <w:rsid w:val="1A723948"/>
    <w:rsid w:val="1A87F478"/>
    <w:rsid w:val="1AC25A1B"/>
    <w:rsid w:val="1B752AAB"/>
    <w:rsid w:val="1B8CF242"/>
    <w:rsid w:val="1C0E09A9"/>
    <w:rsid w:val="1D16260B"/>
    <w:rsid w:val="1D1CA738"/>
    <w:rsid w:val="1D4CAF42"/>
    <w:rsid w:val="20606365"/>
    <w:rsid w:val="20E17ACC"/>
    <w:rsid w:val="249D854E"/>
    <w:rsid w:val="25A17C3E"/>
    <w:rsid w:val="261B4B5A"/>
    <w:rsid w:val="26313019"/>
    <w:rsid w:val="2633A6B4"/>
    <w:rsid w:val="26AE31DD"/>
    <w:rsid w:val="26B7E5E6"/>
    <w:rsid w:val="27AF5EEB"/>
    <w:rsid w:val="27B52375"/>
    <w:rsid w:val="27B71BBB"/>
    <w:rsid w:val="280F388E"/>
    <w:rsid w:val="28671C05"/>
    <w:rsid w:val="2888D624"/>
    <w:rsid w:val="28F62C76"/>
    <w:rsid w:val="291D7314"/>
    <w:rsid w:val="2939F475"/>
    <w:rsid w:val="2A24A685"/>
    <w:rsid w:val="307ABFAC"/>
    <w:rsid w:val="30B262F6"/>
    <w:rsid w:val="30B99354"/>
    <w:rsid w:val="311B6799"/>
    <w:rsid w:val="3137F968"/>
    <w:rsid w:val="32D3C9C9"/>
    <w:rsid w:val="3444FA88"/>
    <w:rsid w:val="35DC44E6"/>
    <w:rsid w:val="360B6A8B"/>
    <w:rsid w:val="36F2208C"/>
    <w:rsid w:val="373885DA"/>
    <w:rsid w:val="374FEE16"/>
    <w:rsid w:val="3A3BEDAC"/>
    <w:rsid w:val="3ADEDBAE"/>
    <w:rsid w:val="3AEAF67D"/>
    <w:rsid w:val="3B42A990"/>
    <w:rsid w:val="3B88BDA6"/>
    <w:rsid w:val="3BE60F1F"/>
    <w:rsid w:val="3C02B9FB"/>
    <w:rsid w:val="3C53DBBA"/>
    <w:rsid w:val="3D5D8E3A"/>
    <w:rsid w:val="3DEC48E6"/>
    <w:rsid w:val="3F3B9A31"/>
    <w:rsid w:val="3FBA3A57"/>
    <w:rsid w:val="4099F459"/>
    <w:rsid w:val="41250DD2"/>
    <w:rsid w:val="41EAC712"/>
    <w:rsid w:val="426A449A"/>
    <w:rsid w:val="42F1DB19"/>
    <w:rsid w:val="42F6FA85"/>
    <w:rsid w:val="43AE7384"/>
    <w:rsid w:val="43D1951B"/>
    <w:rsid w:val="44A8349D"/>
    <w:rsid w:val="46EEEA23"/>
    <w:rsid w:val="472D484F"/>
    <w:rsid w:val="47C6AD02"/>
    <w:rsid w:val="486A9F99"/>
    <w:rsid w:val="496EE8D9"/>
    <w:rsid w:val="4AF516DC"/>
    <w:rsid w:val="4AF959F9"/>
    <w:rsid w:val="4AFE4DC4"/>
    <w:rsid w:val="4B337635"/>
    <w:rsid w:val="4B73DFF9"/>
    <w:rsid w:val="4B9D189B"/>
    <w:rsid w:val="4BF8121B"/>
    <w:rsid w:val="4C98BD5F"/>
    <w:rsid w:val="4D3E2386"/>
    <w:rsid w:val="4D9308F0"/>
    <w:rsid w:val="4E6B16F7"/>
    <w:rsid w:val="4EA9BAC0"/>
    <w:rsid w:val="4F2E5E25"/>
    <w:rsid w:val="5196D065"/>
    <w:rsid w:val="51C366FF"/>
    <w:rsid w:val="51DA765D"/>
    <w:rsid w:val="524BE884"/>
    <w:rsid w:val="53695A8D"/>
    <w:rsid w:val="5400E142"/>
    <w:rsid w:val="563CFBDF"/>
    <w:rsid w:val="56A866A6"/>
    <w:rsid w:val="57104067"/>
    <w:rsid w:val="585C876D"/>
    <w:rsid w:val="58E24E47"/>
    <w:rsid w:val="59483A74"/>
    <w:rsid w:val="59DB2BC7"/>
    <w:rsid w:val="5AB12E48"/>
    <w:rsid w:val="5B197560"/>
    <w:rsid w:val="5B9883E4"/>
    <w:rsid w:val="5BC6EC32"/>
    <w:rsid w:val="5D12CC89"/>
    <w:rsid w:val="5D32F1FB"/>
    <w:rsid w:val="5DB81770"/>
    <w:rsid w:val="5DFACE20"/>
    <w:rsid w:val="5E0A10B9"/>
    <w:rsid w:val="5F17C135"/>
    <w:rsid w:val="600364CC"/>
    <w:rsid w:val="6003E2C5"/>
    <w:rsid w:val="601B2B68"/>
    <w:rsid w:val="62620C4E"/>
    <w:rsid w:val="6283121C"/>
    <w:rsid w:val="6315563D"/>
    <w:rsid w:val="633FA3AD"/>
    <w:rsid w:val="647D86C0"/>
    <w:rsid w:val="65887239"/>
    <w:rsid w:val="6595EE6A"/>
    <w:rsid w:val="667F9548"/>
    <w:rsid w:val="67305E05"/>
    <w:rsid w:val="6731BECB"/>
    <w:rsid w:val="6809744D"/>
    <w:rsid w:val="68B991CE"/>
    <w:rsid w:val="69A48E91"/>
    <w:rsid w:val="6BB2397F"/>
    <w:rsid w:val="6CE3892A"/>
    <w:rsid w:val="6CEB76B0"/>
    <w:rsid w:val="6D31712F"/>
    <w:rsid w:val="6E4088CC"/>
    <w:rsid w:val="6F2560FC"/>
    <w:rsid w:val="6FC04CCA"/>
    <w:rsid w:val="700431A0"/>
    <w:rsid w:val="70D7404B"/>
    <w:rsid w:val="71D56555"/>
    <w:rsid w:val="73106F08"/>
    <w:rsid w:val="7316F035"/>
    <w:rsid w:val="74042ED4"/>
    <w:rsid w:val="74182F59"/>
    <w:rsid w:val="742C41E7"/>
    <w:rsid w:val="74C3B361"/>
    <w:rsid w:val="74DA9B85"/>
    <w:rsid w:val="75AAB16E"/>
    <w:rsid w:val="75C81248"/>
    <w:rsid w:val="76847F8F"/>
    <w:rsid w:val="78E25230"/>
    <w:rsid w:val="7AA89755"/>
    <w:rsid w:val="7B58BD27"/>
    <w:rsid w:val="7B7060F2"/>
    <w:rsid w:val="7BD722D5"/>
    <w:rsid w:val="7C204389"/>
    <w:rsid w:val="7DC9A993"/>
    <w:rsid w:val="7F46E4A2"/>
    <w:rsid w:val="7FC9F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59942"/>
  <w15:chartTrackingRefBased/>
  <w15:docId w15:val="{77D372A3-958D-46D9-8A0C-878781D5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32"/>
    <w:pPr>
      <w:spacing w:line="276" w:lineRule="auto"/>
    </w:pPr>
    <w:rPr>
      <w:rFonts w:ascii="Poppins Light" w:hAnsi="Poppins Light" w:cs="Open Sans"/>
      <w:color w:val="60676D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A32"/>
    <w:pPr>
      <w:spacing w:line="240" w:lineRule="auto"/>
      <w:outlineLvl w:val="0"/>
    </w:pPr>
    <w:rPr>
      <w:rFonts w:ascii="Poppins" w:hAnsi="Poppins" w:cs="Poppins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A32"/>
    <w:pPr>
      <w:outlineLvl w:val="1"/>
    </w:pPr>
    <w:rPr>
      <w:rFonts w:ascii="Poppins" w:hAnsi="Poppins" w:cs="Poppins"/>
      <w:b/>
      <w:color w:val="F95F5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A32"/>
    <w:pPr>
      <w:outlineLvl w:val="2"/>
    </w:pPr>
    <w:rPr>
      <w:rFonts w:ascii="Poppins" w:hAnsi="Poppins" w:cs="Poppins"/>
      <w:b/>
      <w:color w:val="38A4A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96DD2"/>
    <w:pPr>
      <w:outlineLvl w:val="3"/>
    </w:pPr>
    <w:rPr>
      <w:color w:val="3F47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66"/>
  </w:style>
  <w:style w:type="paragraph" w:styleId="Footer">
    <w:name w:val="footer"/>
    <w:basedOn w:val="Normal"/>
    <w:link w:val="FooterChar"/>
    <w:uiPriority w:val="99"/>
    <w:unhideWhenUsed/>
    <w:rsid w:val="000C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66"/>
  </w:style>
  <w:style w:type="paragraph" w:styleId="NormalWeb">
    <w:name w:val="Normal (Web)"/>
    <w:basedOn w:val="Normal"/>
    <w:uiPriority w:val="99"/>
    <w:semiHidden/>
    <w:unhideWhenUsed/>
    <w:rsid w:val="00C9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4A32"/>
    <w:rPr>
      <w:rFonts w:ascii="Poppins" w:hAnsi="Poppins" w:cs="Poppins"/>
      <w:b/>
      <w:color w:val="60676D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8A1DD6"/>
    <w:rPr>
      <w:rFonts w:ascii="Roboto Black" w:hAnsi="Roboto Black"/>
      <w:color w:val="38A4AF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DD6"/>
    <w:rPr>
      <w:rFonts w:ascii="Roboto Black" w:hAnsi="Roboto Black" w:cs="Poppins"/>
      <w:b/>
      <w:color w:val="38A4AF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24A32"/>
    <w:rPr>
      <w:rFonts w:ascii="Poppins" w:hAnsi="Poppins" w:cs="Poppins"/>
      <w:b/>
      <w:color w:val="F95F5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4A32"/>
    <w:rPr>
      <w:rFonts w:ascii="Poppins" w:hAnsi="Poppins" w:cs="Poppins"/>
      <w:b/>
      <w:color w:val="38A4A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96DD2"/>
    <w:rPr>
      <w:rFonts w:ascii="Sofia Pro Black" w:hAnsi="Sofia Pro Black" w:cs="Open Sans"/>
      <w:b/>
      <w:color w:val="3F474F"/>
      <w:sz w:val="21"/>
      <w:szCs w:val="21"/>
    </w:rPr>
  </w:style>
  <w:style w:type="character" w:styleId="Strong">
    <w:name w:val="Strong"/>
    <w:uiPriority w:val="22"/>
    <w:qFormat/>
    <w:rsid w:val="00996DD2"/>
  </w:style>
  <w:style w:type="character" w:styleId="Emphasis">
    <w:name w:val="Emphasis"/>
    <w:basedOn w:val="Strong"/>
    <w:uiPriority w:val="20"/>
    <w:qFormat/>
    <w:rsid w:val="00996DD2"/>
    <w:rPr>
      <w:i/>
    </w:rPr>
  </w:style>
  <w:style w:type="paragraph" w:styleId="ListParagraph">
    <w:name w:val="List Paragraph"/>
    <w:basedOn w:val="Normal"/>
    <w:uiPriority w:val="34"/>
    <w:qFormat/>
    <w:rsid w:val="00996DD2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FE"/>
    <w:rPr>
      <w:rFonts w:ascii="Segoe UI" w:hAnsi="Segoe UI" w:cs="Segoe UI"/>
      <w:color w:val="60676D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6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5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665CE"/>
    <w:rPr>
      <w:rFonts w:ascii="Poppins Light" w:hAnsi="Poppins Light" w:cs="Open Sans"/>
      <w:color w:val="60676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CE"/>
    <w:rPr>
      <w:rFonts w:ascii="Poppins Light" w:hAnsi="Poppins Light" w:cs="Open Sans"/>
      <w:b/>
      <w:bCs/>
      <w:color w:val="60676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2BF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C212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42C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B7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B78"/>
    <w:rPr>
      <w:rFonts w:ascii="Poppins Light" w:hAnsi="Poppins Light" w:cs="Open Sans"/>
      <w:color w:val="60676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5B78"/>
    <w:rPr>
      <w:vertAlign w:val="superscript"/>
    </w:rPr>
  </w:style>
  <w:style w:type="character" w:customStyle="1" w:styleId="c8wgl00">
    <w:name w:val="c8wgl00"/>
    <w:basedOn w:val="DefaultParagraphFont"/>
    <w:rsid w:val="00175B78"/>
  </w:style>
  <w:style w:type="character" w:styleId="Mention">
    <w:name w:val="Mention"/>
    <w:basedOn w:val="DefaultParagraphFont"/>
    <w:uiPriority w:val="99"/>
    <w:unhideWhenUsed/>
    <w:rsid w:val="00456C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F2D9A"/>
    <w:pPr>
      <w:spacing w:after="0" w:line="240" w:lineRule="auto"/>
    </w:pPr>
    <w:rPr>
      <w:rFonts w:ascii="Poppins Light" w:hAnsi="Poppins Light" w:cs="Open Sans"/>
      <w:color w:val="60676D"/>
      <w:sz w:val="20"/>
      <w:szCs w:val="20"/>
    </w:rPr>
  </w:style>
  <w:style w:type="table" w:styleId="GridTable5Dark-Accent4">
    <w:name w:val="Grid Table 5 Dark Accent 4"/>
    <w:basedOn w:val="TableNormal"/>
    <w:uiPriority w:val="50"/>
    <w:rsid w:val="00B03B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E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A4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A4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A4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A4AF" w:themeFill="accent4"/>
      </w:tcPr>
    </w:tblStylePr>
    <w:tblStylePr w:type="band1Vert">
      <w:tblPr/>
      <w:tcPr>
        <w:shd w:val="clear" w:color="auto" w:fill="AADEE4" w:themeFill="accent4" w:themeFillTint="66"/>
      </w:tcPr>
    </w:tblStylePr>
    <w:tblStylePr w:type="band1Horz">
      <w:tblPr/>
      <w:tcPr>
        <w:shd w:val="clear" w:color="auto" w:fill="AADEE4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cation.gov.au/higher-education-statistics/resources/2020-section-11-equity-groups" TargetMode="External"/><Relationship Id="rId2" Type="http://schemas.openxmlformats.org/officeDocument/2006/relationships/hyperlink" Target="https://www.education.gov.au/higher-education-statistics/resources/2020-section-1-commencing-students" TargetMode="External"/><Relationship Id="rId1" Type="http://schemas.openxmlformats.org/officeDocument/2006/relationships/hyperlink" Target="https://www.ncver.edu.au/research-and-statistics/data/all-data/historical-time-series-of-government-funded-vocational-education-and-training-from-1981-to-2021" TargetMode="External"/><Relationship Id="rId4" Type="http://schemas.openxmlformats.org/officeDocument/2006/relationships/hyperlink" Target="https://www.ncver.edu.au/research-and-statistics/data/all-data/government-funding-of-vet-2020-data-tab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T rebrand colours">
  <a:themeElements>
    <a:clrScheme name="MT rebrand 2019">
      <a:dk1>
        <a:srgbClr val="3F474F"/>
      </a:dk1>
      <a:lt1>
        <a:srgbClr val="FFFFFF"/>
      </a:lt1>
      <a:dk2>
        <a:srgbClr val="38A4AF"/>
      </a:dk2>
      <a:lt2>
        <a:srgbClr val="EFEEEB"/>
      </a:lt2>
      <a:accent1>
        <a:srgbClr val="38A4AF"/>
      </a:accent1>
      <a:accent2>
        <a:srgbClr val="F95F59"/>
      </a:accent2>
      <a:accent3>
        <a:srgbClr val="60676D"/>
      </a:accent3>
      <a:accent4>
        <a:srgbClr val="38A4AF"/>
      </a:accent4>
      <a:accent5>
        <a:srgbClr val="F95F59"/>
      </a:accent5>
      <a:accent6>
        <a:srgbClr val="3F474F"/>
      </a:accent6>
      <a:hlink>
        <a:srgbClr val="38A4AF"/>
      </a:hlink>
      <a:folHlink>
        <a:srgbClr val="597E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de763-e98f-42f4-b0bd-74de4194f5a6">
      <Value>7</Value>
    </TaxCatchAll>
    <lcf76f155ced4ddcb4097134ff3c332f xmlns="bdd0a26e-c6ec-4bf1-bd20-37c13dde6be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E76FA2643E44FB4C775EBC22BAE9A" ma:contentTypeVersion="8353" ma:contentTypeDescription="Create a new document." ma:contentTypeScope="" ma:versionID="c9664c43eb8ad38e5090e6662de38e4a">
  <xsd:schema xmlns:xsd="http://www.w3.org/2001/XMLSchema" xmlns:xs="http://www.w3.org/2001/XMLSchema" xmlns:p="http://schemas.microsoft.com/office/2006/metadata/properties" xmlns:ns2="773de763-e98f-42f4-b0bd-74de4194f5a6" xmlns:ns3="bdd0a26e-c6ec-4bf1-bd20-37c13dde6be9" targetNamespace="http://schemas.microsoft.com/office/2006/metadata/properties" ma:root="true" ma:fieldsID="ea7b4facf862d29cd9a9f16945a9c776" ns2:_="" ns3:_="">
    <xsd:import namespace="773de763-e98f-42f4-b0bd-74de4194f5a6"/>
    <xsd:import namespace="bdd0a26e-c6ec-4bf1-bd20-37c13dde6b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e763-e98f-42f4-b0bd-74de4194f5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4e6e81-fec3-4ff7-8ec5-74d9d49882b9}" ma:internalName="TaxCatchAll" ma:showField="CatchAllData" ma:web="773de763-e98f-42f4-b0bd-74de4194f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0a26e-c6ec-4bf1-bd20-37c13dde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3ee756-1341-4827-a215-e3ef82213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D8286-5397-4164-A281-72408B162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522DF-F485-4DBC-9DDF-5F309C1B266D}">
  <ds:schemaRefs>
    <ds:schemaRef ds:uri="http://www.w3.org/XML/1998/namespace"/>
    <ds:schemaRef ds:uri="bdd0a26e-c6ec-4bf1-bd20-37c13dde6be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773de763-e98f-42f4-b0bd-74de4194f5a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2AD4B0-ACC2-4A3E-9573-463882DE56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AA834F-E3BC-4F95-A8DB-437C1EED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e763-e98f-42f4-b0bd-74de4194f5a6"/>
    <ds:schemaRef ds:uri="bdd0a26e-c6ec-4bf1-bd20-37c13dde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140 - MTC Australia - Productivity - Public inquiry</vt:lpstr>
    </vt:vector>
  </TitlesOfParts>
  <Company>MTC Australia</Company>
  <LinksUpToDate>false</LinksUpToDate>
  <CharactersWithSpaces>8396</CharactersWithSpaces>
  <SharedDoc>false</SharedDoc>
  <HLinks>
    <vt:vector size="24" baseType="variant">
      <vt:variant>
        <vt:i4>83</vt:i4>
      </vt:variant>
      <vt:variant>
        <vt:i4>9</vt:i4>
      </vt:variant>
      <vt:variant>
        <vt:i4>0</vt:i4>
      </vt:variant>
      <vt:variant>
        <vt:i4>5</vt:i4>
      </vt:variant>
      <vt:variant>
        <vt:lpwstr>https://www.ncver.edu.au/research-and-statistics/data/all-data/government-funding-of-vet-2020-data-tables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https://www.education.gov.au/higher-education-statistics/resources/2020-section-11-equity-groups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https://www.education.gov.au/higher-education-statistics/resources/2020-section-1-commencing-students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https://www.ncver.edu.au/research-and-statistics/data/all-data/historical-time-series-of-government-funded-vocational-education-and-training-from-1981-to-2021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140 - MTC Australia - Productivity - Public inquiry</dc:title>
  <dc:subject/>
  <dc:creator>MTC Australia</dc:creator>
  <cp:keywords/>
  <dc:description/>
  <cp:lastModifiedBy>Chris Alston</cp:lastModifiedBy>
  <cp:revision>342</cp:revision>
  <dcterms:created xsi:type="dcterms:W3CDTF">2022-08-16T06:34:00Z</dcterms:created>
  <dcterms:modified xsi:type="dcterms:W3CDTF">2022-10-25T01:57:00Z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0x010100AF7EF9DCC2EE5B479FD74AEE649037A3</vt:lpwstr>
  </property>
  <property fmtid="{D5CDD505-2E9C-101B-9397-08002B2CF9AE}" pid="3" name="Order">
    <vt:r8>262200</vt:r8>
  </property>
  <property fmtid="{D5CDD505-2E9C-101B-9397-08002B2CF9AE}" pid="4" name="_dlc_DocIdItemGuid">
    <vt:lpwstr>688393fe-1338-53b4-9595-5e1ea0061baf</vt:lpwstr>
  </property>
  <property fmtid="{D5CDD505-2E9C-101B-9397-08002B2CF9AE}" pid="5" name="MTCLocation">
    <vt:lpwstr/>
  </property>
  <property fmtid="{D5CDD505-2E9C-101B-9397-08002B2CF9AE}" pid="6" name="Divisions">
    <vt:lpwstr>7;#All MTC|8f060ad7-f36e-4130-a43e-366751bad627</vt:lpwstr>
  </property>
</Properties>
</file>